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C94C2">
      <w:pPr>
        <w:ind w:firstLine="3654" w:firstLineChars="1300"/>
        <w:rPr>
          <w:rFonts w:hint="eastAsia" w:ascii="宋体" w:hAnsi="宋体"/>
          <w:color w:val="FF0000"/>
          <w:szCs w:val="21"/>
        </w:rPr>
      </w:pPr>
      <w:bookmarkStart w:id="0" w:name="_Hlk71456902"/>
      <w:r>
        <w:rPr>
          <w:rFonts w:hint="eastAsia" w:ascii="宋体" w:hAnsi="宋体" w:eastAsia="黑体"/>
          <w:b/>
          <w:bCs/>
          <w:color w:val="FF0000"/>
          <w:kern w:val="44"/>
          <w:sz w:val="28"/>
          <w:szCs w:val="44"/>
        </w:rPr>
        <w:t>特别警示条款</w:t>
      </w:r>
    </w:p>
    <w:p w14:paraId="0495D3E6">
      <w:pPr>
        <w:pBdr>
          <w:top w:val="none" w:color="auto" w:sz="0" w:space="1"/>
          <w:left w:val="none" w:color="auto" w:sz="0" w:space="4"/>
          <w:bottom w:val="none" w:color="auto" w:sz="0" w:space="1"/>
          <w:right w:val="none" w:color="auto" w:sz="0" w:space="4"/>
        </w:pBdr>
        <w:spacing w:after="240" w:afterLines="100" w:line="400" w:lineRule="exact"/>
        <w:ind w:firstLine="422" w:firstLineChars="200"/>
        <w:rPr>
          <w:rFonts w:hint="eastAsia" w:ascii="宋体" w:hAnsi="宋体" w:cs="宋体"/>
          <w:b/>
          <w:bCs/>
          <w:color w:val="FF0000"/>
          <w:szCs w:val="21"/>
        </w:rPr>
      </w:pPr>
      <w:r>
        <w:rPr>
          <w:rFonts w:hint="eastAsia" w:ascii="宋体" w:hAnsi="宋体" w:cs="宋体"/>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5DE85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vAlign w:val="center"/>
          </w:tcPr>
          <w:p w14:paraId="260AEBA4">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序号</w:t>
            </w:r>
          </w:p>
        </w:tc>
        <w:tc>
          <w:tcPr>
            <w:tcW w:w="7711" w:type="dxa"/>
            <w:tcBorders>
              <w:tl2br w:val="nil"/>
              <w:tr2bl w:val="nil"/>
            </w:tcBorders>
            <w:vAlign w:val="center"/>
          </w:tcPr>
          <w:p w14:paraId="589079EE">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b/>
                <w:bCs/>
                <w:color w:val="FF0000"/>
                <w:szCs w:val="21"/>
              </w:rPr>
              <w:t>供应商参与投标禁止情形</w:t>
            </w:r>
          </w:p>
        </w:tc>
      </w:tr>
      <w:tr w14:paraId="517B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1DE89C73">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1</w:t>
            </w:r>
          </w:p>
        </w:tc>
        <w:tc>
          <w:tcPr>
            <w:tcW w:w="7711" w:type="dxa"/>
            <w:tcBorders>
              <w:tl2br w:val="nil"/>
              <w:tr2bl w:val="nil"/>
            </w:tcBorders>
            <w:vAlign w:val="center"/>
          </w:tcPr>
          <w:p w14:paraId="0E09B713">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与其他投标供应商的法定代表人、主要经营负责人、投标授权代表人、项目负责人、主要技术人员为</w:t>
            </w:r>
            <w:r>
              <w:rPr>
                <w:rFonts w:hint="eastAsia" w:ascii="宋体" w:hAnsi="宋体" w:cs="宋体"/>
                <w:b/>
                <w:bCs/>
                <w:color w:val="FF0000"/>
                <w:szCs w:val="21"/>
              </w:rPr>
              <w:t>同一人、属同一单位或者在同一单位缴纳社会保险</w:t>
            </w:r>
            <w:r>
              <w:rPr>
                <w:rFonts w:hint="eastAsia" w:ascii="宋体" w:hAnsi="宋体" w:cs="宋体"/>
                <w:color w:val="FF0000"/>
                <w:szCs w:val="21"/>
              </w:rPr>
              <w:t>。</w:t>
            </w:r>
          </w:p>
        </w:tc>
      </w:tr>
      <w:tr w14:paraId="6718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562527D1">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2</w:t>
            </w:r>
          </w:p>
        </w:tc>
        <w:tc>
          <w:tcPr>
            <w:tcW w:w="7711" w:type="dxa"/>
            <w:tcBorders>
              <w:tl2br w:val="nil"/>
              <w:tr2bl w:val="nil"/>
            </w:tcBorders>
            <w:vAlign w:val="center"/>
          </w:tcPr>
          <w:p w14:paraId="58FBA2EE">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参与本项目政府采购活动时，与其他投标供应商存在单位负责人为</w:t>
            </w:r>
            <w:r>
              <w:rPr>
                <w:rFonts w:hint="eastAsia" w:ascii="宋体" w:hAnsi="宋体" w:cs="宋体"/>
                <w:b/>
                <w:bCs/>
                <w:color w:val="FF0000"/>
                <w:szCs w:val="21"/>
              </w:rPr>
              <w:t>同一人或直接控股、管理关系</w:t>
            </w:r>
            <w:r>
              <w:rPr>
                <w:rFonts w:hint="eastAsia" w:ascii="宋体" w:hAnsi="宋体" w:cs="宋体"/>
                <w:color w:val="FF0000"/>
                <w:szCs w:val="21"/>
              </w:rPr>
              <w:t>。</w:t>
            </w:r>
          </w:p>
        </w:tc>
      </w:tr>
      <w:tr w14:paraId="4E811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69CA2E69">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3</w:t>
            </w:r>
          </w:p>
        </w:tc>
        <w:tc>
          <w:tcPr>
            <w:tcW w:w="7711" w:type="dxa"/>
            <w:tcBorders>
              <w:tl2br w:val="nil"/>
              <w:tr2bl w:val="nil"/>
            </w:tcBorders>
            <w:vAlign w:val="center"/>
          </w:tcPr>
          <w:p w14:paraId="431319B6">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与其他投标供应商的投标文件或部分投标文件</w:t>
            </w:r>
            <w:r>
              <w:rPr>
                <w:rFonts w:hint="eastAsia" w:ascii="宋体" w:hAnsi="宋体" w:cs="宋体"/>
                <w:b/>
                <w:bCs/>
                <w:color w:val="FF0000"/>
                <w:szCs w:val="21"/>
              </w:rPr>
              <w:t>相互混装或存在非正常一致</w:t>
            </w:r>
            <w:r>
              <w:rPr>
                <w:rFonts w:hint="eastAsia" w:ascii="宋体" w:hAnsi="宋体" w:cs="宋体"/>
                <w:color w:val="FF0000"/>
                <w:szCs w:val="21"/>
              </w:rPr>
              <w:t>。</w:t>
            </w:r>
          </w:p>
        </w:tc>
      </w:tr>
      <w:tr w14:paraId="30FDC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tcBorders>
              <w:tl2br w:val="nil"/>
              <w:tr2bl w:val="nil"/>
            </w:tcBorders>
            <w:vAlign w:val="center"/>
          </w:tcPr>
          <w:p w14:paraId="12D0C255">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4</w:t>
            </w:r>
          </w:p>
        </w:tc>
        <w:tc>
          <w:tcPr>
            <w:tcW w:w="7711" w:type="dxa"/>
            <w:tcBorders>
              <w:tl2br w:val="nil"/>
              <w:tr2bl w:val="nil"/>
            </w:tcBorders>
            <w:vAlign w:val="center"/>
          </w:tcPr>
          <w:p w14:paraId="1FB7084A">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与其他投标供应商的投标文件由</w:t>
            </w:r>
            <w:r>
              <w:rPr>
                <w:rFonts w:hint="eastAsia" w:ascii="宋体" w:hAnsi="宋体" w:cs="宋体"/>
                <w:b/>
                <w:bCs/>
                <w:color w:val="FF0000"/>
                <w:szCs w:val="21"/>
              </w:rPr>
              <w:t>同一单位或者同一人编制</w:t>
            </w:r>
            <w:r>
              <w:rPr>
                <w:rFonts w:hint="eastAsia" w:ascii="宋体" w:hAnsi="宋体" w:cs="宋体"/>
                <w:color w:val="FF0000"/>
                <w:szCs w:val="21"/>
              </w:rPr>
              <w:t>，或者使用</w:t>
            </w:r>
            <w:r>
              <w:rPr>
                <w:rFonts w:hint="eastAsia" w:ascii="宋体" w:hAnsi="宋体" w:cs="宋体"/>
                <w:b/>
                <w:bCs/>
                <w:color w:val="FF0000"/>
                <w:szCs w:val="21"/>
              </w:rPr>
              <w:t>同一设备编制</w:t>
            </w:r>
            <w:r>
              <w:rPr>
                <w:rFonts w:hint="eastAsia" w:ascii="宋体" w:hAnsi="宋体" w:cs="宋体"/>
                <w:color w:val="FF0000"/>
                <w:szCs w:val="21"/>
              </w:rPr>
              <w:t>（“文件制作机器码”“文件创建标识码”一致）。</w:t>
            </w:r>
          </w:p>
        </w:tc>
      </w:tr>
      <w:tr w14:paraId="573E1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tcBorders>
              <w:tl2br w:val="nil"/>
              <w:tr2bl w:val="nil"/>
            </w:tcBorders>
            <w:vAlign w:val="center"/>
          </w:tcPr>
          <w:p w14:paraId="76142D0B">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5</w:t>
            </w:r>
          </w:p>
        </w:tc>
        <w:tc>
          <w:tcPr>
            <w:tcW w:w="7711" w:type="dxa"/>
            <w:tcBorders>
              <w:tl2br w:val="nil"/>
              <w:tr2bl w:val="nil"/>
            </w:tcBorders>
            <w:vAlign w:val="center"/>
          </w:tcPr>
          <w:p w14:paraId="2B068CBD">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提供</w:t>
            </w:r>
            <w:r>
              <w:rPr>
                <w:rFonts w:hint="eastAsia" w:ascii="宋体" w:hAnsi="宋体" w:cs="宋体"/>
                <w:b/>
                <w:bCs/>
                <w:color w:val="FF0000"/>
                <w:szCs w:val="21"/>
              </w:rPr>
              <w:t>未经出具机构核实</w:t>
            </w:r>
            <w:r>
              <w:rPr>
                <w:rFonts w:hint="eastAsia" w:ascii="宋体" w:hAnsi="宋体" w:cs="宋体"/>
                <w:color w:val="FF0000"/>
                <w:szCs w:val="21"/>
              </w:rPr>
              <w:t>的虚假的检验检测报告、业绩材料、社保缴纳证明、学历学位证书、职称认证证书等材料。</w:t>
            </w:r>
          </w:p>
        </w:tc>
      </w:tr>
      <w:tr w14:paraId="1A653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tcBorders>
              <w:tl2br w:val="nil"/>
              <w:tr2bl w:val="nil"/>
            </w:tcBorders>
            <w:vAlign w:val="center"/>
          </w:tcPr>
          <w:p w14:paraId="5E018AC3">
            <w:pPr>
              <w:pBdr>
                <w:top w:val="none" w:color="auto" w:sz="0" w:space="1"/>
                <w:left w:val="none" w:color="auto" w:sz="0" w:space="4"/>
                <w:bottom w:val="none" w:color="auto" w:sz="0" w:space="1"/>
                <w:right w:val="none" w:color="auto" w:sz="0" w:space="4"/>
              </w:pBdr>
              <w:spacing w:line="400" w:lineRule="exact"/>
              <w:jc w:val="center"/>
              <w:rPr>
                <w:rFonts w:hint="eastAsia" w:ascii="宋体" w:hAnsi="宋体" w:cs="宋体"/>
                <w:color w:val="FF0000"/>
                <w:szCs w:val="21"/>
              </w:rPr>
            </w:pPr>
            <w:r>
              <w:rPr>
                <w:rFonts w:hint="eastAsia" w:ascii="宋体" w:hAnsi="宋体" w:cs="宋体"/>
                <w:color w:val="FF0000"/>
                <w:szCs w:val="21"/>
              </w:rPr>
              <w:t>6</w:t>
            </w:r>
          </w:p>
        </w:tc>
        <w:tc>
          <w:tcPr>
            <w:tcW w:w="7711" w:type="dxa"/>
            <w:tcBorders>
              <w:tl2br w:val="nil"/>
              <w:tr2bl w:val="nil"/>
            </w:tcBorders>
            <w:vAlign w:val="center"/>
          </w:tcPr>
          <w:p w14:paraId="4423C8C4">
            <w:pPr>
              <w:pBdr>
                <w:top w:val="none" w:color="auto" w:sz="0" w:space="1"/>
                <w:left w:val="none" w:color="auto" w:sz="0" w:space="4"/>
                <w:bottom w:val="none" w:color="auto" w:sz="0" w:space="1"/>
                <w:right w:val="none" w:color="auto" w:sz="0" w:space="4"/>
              </w:pBdr>
              <w:spacing w:line="400" w:lineRule="exact"/>
              <w:jc w:val="left"/>
              <w:rPr>
                <w:rFonts w:hint="eastAsia" w:ascii="宋体" w:hAnsi="宋体" w:cs="宋体"/>
                <w:color w:val="FF0000"/>
                <w:szCs w:val="21"/>
              </w:rPr>
            </w:pPr>
            <w:r>
              <w:rPr>
                <w:rFonts w:hint="eastAsia" w:ascii="宋体" w:hAnsi="宋体" w:cs="宋体"/>
                <w:color w:val="FF0000"/>
                <w:szCs w:val="21"/>
              </w:rPr>
              <w:t>擅自将投标密钥或电子营业执照出借他人使用或未妥善保管。</w:t>
            </w:r>
          </w:p>
        </w:tc>
      </w:tr>
    </w:tbl>
    <w:p w14:paraId="18914FC7">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p>
    <w:p w14:paraId="6CD02830">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0110FC74">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（一）在采购活动中应当回避而未回避的；</w:t>
      </w:r>
    </w:p>
    <w:p w14:paraId="465A4643">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（二）未按本条例规定签订、履行采购合同，造成严重后果的；</w:t>
      </w:r>
    </w:p>
    <w:p w14:paraId="1735ACD8">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（三）隐瞒真实情况，提供虚假资料的；</w:t>
      </w:r>
    </w:p>
    <w:p w14:paraId="61567CE8">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（四）以非法手段排斥其他供应商参与竞争的；</w:t>
      </w:r>
    </w:p>
    <w:p w14:paraId="3D5985E2">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（五）与其他采购参加人串通投标的；</w:t>
      </w:r>
    </w:p>
    <w:p w14:paraId="66361C17">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（六）恶意投诉的；</w:t>
      </w:r>
    </w:p>
    <w:p w14:paraId="76B65FC4">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（七）向采购项目相关人行贿或者提供其他不当利益的；</w:t>
      </w:r>
    </w:p>
    <w:p w14:paraId="4479B2AA">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（八）阻碍、抗拒主管部门监督检查的；</w:t>
      </w:r>
    </w:p>
    <w:p w14:paraId="3CE713E4">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（九）其他违反本条例规定的行为。</w:t>
      </w:r>
    </w:p>
    <w:p w14:paraId="67E5C43B">
      <w:pPr>
        <w:pBdr>
          <w:top w:val="none" w:color="auto" w:sz="0" w:space="1"/>
          <w:left w:val="none" w:color="auto" w:sz="0" w:space="4"/>
          <w:bottom w:val="none" w:color="auto" w:sz="0" w:space="1"/>
          <w:right w:val="none" w:color="auto" w:sz="0" w:space="4"/>
        </w:pBdr>
        <w:ind w:firstLine="402" w:firstLineChars="200"/>
        <w:rPr>
          <w:rFonts w:hint="eastAsia"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11010060">
      <w:pPr>
        <w:pBdr>
          <w:top w:val="none" w:color="auto" w:sz="0" w:space="1"/>
          <w:left w:val="none" w:color="auto" w:sz="0" w:space="4"/>
          <w:bottom w:val="none" w:color="auto" w:sz="0" w:space="1"/>
          <w:right w:val="none" w:color="auto" w:sz="0" w:space="4"/>
        </w:pBdr>
        <w:ind w:firstLine="402" w:firstLineChars="200"/>
        <w:rPr>
          <w:rFonts w:hint="eastAsia"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19FD6446">
      <w:pPr>
        <w:pBdr>
          <w:top w:val="none" w:color="auto" w:sz="0" w:space="1"/>
          <w:left w:val="none" w:color="auto" w:sz="0" w:space="4"/>
          <w:bottom w:val="none" w:color="auto" w:sz="0" w:space="1"/>
          <w:right w:val="none" w:color="auto" w:sz="0" w:space="4"/>
        </w:pBdr>
        <w:ind w:firstLine="400" w:firstLineChars="200"/>
        <w:rPr>
          <w:rFonts w:hint="eastAsia"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4065A70D">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78B4EC09">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为避免出现不同供应商投标文件的文件制作机器码、文件创建标识码、IP地址一致的异常情况，建议各供应商编制、上传投标文件时不要使用公共电脑设备或公共网络。</w:t>
      </w:r>
    </w:p>
    <w:p w14:paraId="7229559C">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rPr>
        <w:t>、</w:t>
      </w:r>
      <w:r>
        <w:rPr>
          <w:rFonts w:hint="eastAsia" w:ascii="宋体" w:hAnsi="宋体"/>
          <w:color w:val="FF0000"/>
          <w:sz w:val="20"/>
          <w:szCs w:val="20"/>
        </w:rPr>
        <w:t>依法吊销其营业</w:t>
      </w:r>
      <w:r>
        <w:rPr>
          <w:rFonts w:hint="eastAsia" w:hAnsi="宋体"/>
          <w:color w:val="FF0000"/>
          <w:sz w:val="20"/>
          <w:szCs w:val="20"/>
        </w:rPr>
        <w:t>执照等行政处罚，</w:t>
      </w:r>
      <w:r>
        <w:rPr>
          <w:rFonts w:hint="eastAsia" w:ascii="宋体" w:hAnsi="宋体"/>
          <w:color w:val="FF0000"/>
          <w:sz w:val="20"/>
          <w:szCs w:val="20"/>
        </w:rPr>
        <w:t>构成犯罪的，依法追究刑事责任</w:t>
      </w:r>
      <w:r>
        <w:rPr>
          <w:rFonts w:hint="eastAsia"/>
          <w:bCs/>
          <w:color w:val="FF0000"/>
          <w:sz w:val="20"/>
          <w:szCs w:val="20"/>
        </w:rPr>
        <w:t>，请各供应商独立编制、上传投标文件，妥善保管和使用电子密钥。</w:t>
      </w:r>
    </w:p>
    <w:p w14:paraId="61820858">
      <w:pPr>
        <w:pBdr>
          <w:top w:val="none" w:color="auto" w:sz="0" w:space="1"/>
          <w:left w:val="none" w:color="auto" w:sz="0" w:space="4"/>
          <w:bottom w:val="none" w:color="auto" w:sz="0" w:space="1"/>
          <w:right w:val="none" w:color="auto" w:sz="0" w:space="4"/>
        </w:pBdr>
        <w:ind w:firstLine="422" w:firstLineChars="200"/>
        <w:rPr>
          <w:b/>
          <w:color w:val="FF0000"/>
        </w:rPr>
      </w:pPr>
    </w:p>
    <w:p w14:paraId="05D469FD">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4E385315">
      <w:pPr>
        <w:pBdr>
          <w:top w:val="none" w:color="auto" w:sz="0" w:space="1"/>
          <w:left w:val="none" w:color="auto" w:sz="0" w:space="4"/>
          <w:bottom w:val="none" w:color="auto" w:sz="0" w:space="1"/>
          <w:right w:val="none" w:color="auto" w:sz="0" w:space="4"/>
        </w:pBdr>
        <w:ind w:firstLine="422" w:firstLineChars="200"/>
        <w:rPr>
          <w:b/>
          <w:color w:val="FF0000"/>
        </w:rPr>
      </w:pPr>
    </w:p>
    <w:p w14:paraId="2A7189D5">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608F81FD">
      <w:pPr>
        <w:pStyle w:val="38"/>
      </w:pPr>
    </w:p>
    <w:p w14:paraId="26F5E536">
      <w:pPr>
        <w:pStyle w:val="16"/>
        <w:widowControl/>
        <w:pBdr>
          <w:top w:val="none" w:color="auto" w:sz="0" w:space="1"/>
          <w:left w:val="none" w:color="auto" w:sz="0" w:space="4"/>
          <w:bottom w:val="none" w:color="auto" w:sz="0" w:space="1"/>
          <w:right w:val="none" w:color="auto" w:sz="0" w:space="4"/>
        </w:pBdr>
        <w:jc w:val="both"/>
        <w:outlineLvl w:val="1"/>
        <w:rPr>
          <w:b/>
          <w:color w:val="FF0000"/>
          <w:kern w:val="2"/>
          <w:sz w:val="21"/>
        </w:rPr>
      </w:pPr>
      <w:r>
        <w:rPr>
          <w:rFonts w:hint="eastAsia"/>
          <w:b/>
          <w:color w:val="FF0000"/>
          <w:kern w:val="2"/>
          <w:sz w:val="21"/>
        </w:rPr>
        <w:t>注：“特别警示条款”和《政府采购违法行为风险知悉确认书》用于对供应商违法行为的提醒，不作为供应商资格性审查及符合性审查条件。</w:t>
      </w:r>
    </w:p>
    <w:p w14:paraId="65CE342C">
      <w:pPr>
        <w:rPr>
          <w:rFonts w:hint="eastAsia" w:ascii="黑体" w:hAnsi="宋体" w:eastAsia="黑体" w:cs="黑体"/>
          <w:sz w:val="40"/>
          <w:szCs w:val="40"/>
        </w:rPr>
      </w:pPr>
      <w:r>
        <w:rPr>
          <w:rFonts w:hint="eastAsia" w:ascii="黑体" w:hAnsi="宋体" w:eastAsia="黑体" w:cs="黑体"/>
          <w:sz w:val="40"/>
          <w:szCs w:val="40"/>
        </w:rPr>
        <w:br w:type="page"/>
      </w:r>
    </w:p>
    <w:p w14:paraId="679E6816">
      <w:pPr>
        <w:pStyle w:val="16"/>
        <w:widowControl/>
        <w:jc w:val="center"/>
        <w:outlineLvl w:val="1"/>
        <w:rPr>
          <w:rFonts w:hint="eastAsia" w:ascii="黑体" w:hAnsi="宋体" w:eastAsia="黑体" w:cs="黑体"/>
          <w:sz w:val="40"/>
          <w:szCs w:val="40"/>
        </w:rPr>
      </w:pPr>
    </w:p>
    <w:p w14:paraId="3476F908">
      <w:pPr>
        <w:pStyle w:val="16"/>
        <w:widowControl/>
        <w:jc w:val="center"/>
        <w:outlineLvl w:val="1"/>
        <w:rPr>
          <w:rFonts w:hint="eastAsia" w:ascii="黑体" w:hAnsi="宋体" w:eastAsia="黑体" w:cs="黑体"/>
          <w:sz w:val="40"/>
          <w:szCs w:val="40"/>
        </w:rPr>
      </w:pPr>
      <w:r>
        <w:rPr>
          <w:rFonts w:hint="eastAsia" w:ascii="黑体" w:hAnsi="宋体" w:eastAsia="黑体" w:cs="黑体"/>
          <w:sz w:val="40"/>
          <w:szCs w:val="40"/>
        </w:rPr>
        <w:t>招标文件信息</w:t>
      </w:r>
    </w:p>
    <w:tbl>
      <w:tblPr>
        <w:tblStyle w:val="21"/>
        <w:tblW w:w="7943" w:type="dxa"/>
        <w:jc w:val="center"/>
        <w:tblCellSpacing w:w="0" w:type="dxa"/>
        <w:tblLayout w:type="fixed"/>
        <w:tblCellMar>
          <w:top w:w="45" w:type="dxa"/>
          <w:left w:w="45" w:type="dxa"/>
          <w:bottom w:w="45" w:type="dxa"/>
          <w:right w:w="45" w:type="dxa"/>
        </w:tblCellMar>
      </w:tblPr>
      <w:tblGrid>
        <w:gridCol w:w="2723"/>
        <w:gridCol w:w="5220"/>
      </w:tblGrid>
      <w:tr w14:paraId="6F132D13">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3D7CF36A">
            <w:pPr>
              <w:widowControl/>
              <w:jc w:val="right"/>
              <w:rPr>
                <w:sz w:val="30"/>
                <w:szCs w:val="30"/>
              </w:rPr>
            </w:pPr>
            <w:r>
              <w:rPr>
                <w:rFonts w:ascii="宋体" w:hAnsi="宋体" w:cs="宋体"/>
                <w:kern w:val="0"/>
                <w:sz w:val="30"/>
                <w:szCs w:val="30"/>
              </w:rPr>
              <w:t>项目编号：</w:t>
            </w:r>
          </w:p>
        </w:tc>
        <w:tc>
          <w:tcPr>
            <w:tcW w:w="5220" w:type="dxa"/>
            <w:vAlign w:val="center"/>
          </w:tcPr>
          <w:p w14:paraId="244C3D62">
            <w:pPr>
              <w:widowControl/>
              <w:jc w:val="left"/>
              <w:rPr>
                <w:sz w:val="30"/>
                <w:szCs w:val="30"/>
              </w:rPr>
            </w:pPr>
            <w:bookmarkStart w:id="134" w:name="_GoBack"/>
            <w:r>
              <w:rPr>
                <w:rFonts w:hint="eastAsia"/>
                <w:sz w:val="30"/>
                <w:szCs w:val="30"/>
              </w:rPr>
              <w:t>SZCG2026000856</w:t>
            </w:r>
            <w:bookmarkEnd w:id="134"/>
          </w:p>
        </w:tc>
      </w:tr>
      <w:tr w14:paraId="2AE58892">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7082672A">
            <w:pPr>
              <w:widowControl/>
              <w:jc w:val="right"/>
              <w:rPr>
                <w:sz w:val="30"/>
                <w:szCs w:val="30"/>
              </w:rPr>
            </w:pPr>
            <w:r>
              <w:rPr>
                <w:rFonts w:ascii="宋体" w:hAnsi="宋体" w:cs="宋体"/>
                <w:kern w:val="0"/>
                <w:sz w:val="30"/>
                <w:szCs w:val="30"/>
              </w:rPr>
              <w:t>项目名称：</w:t>
            </w:r>
          </w:p>
        </w:tc>
        <w:tc>
          <w:tcPr>
            <w:tcW w:w="5220" w:type="dxa"/>
            <w:vAlign w:val="center"/>
          </w:tcPr>
          <w:p w14:paraId="6F1979EB">
            <w:pPr>
              <w:widowControl/>
              <w:jc w:val="left"/>
              <w:rPr>
                <w:rFonts w:hint="eastAsia" w:ascii="宋体" w:hAnsi="宋体" w:eastAsia="宋体" w:cs="宋体"/>
                <w:kern w:val="0"/>
                <w:sz w:val="24"/>
                <w:lang w:eastAsia="zh-CN"/>
              </w:rPr>
            </w:pPr>
            <w:r>
              <w:rPr>
                <w:rFonts w:hint="eastAsia" w:ascii="宋体" w:hAnsi="宋体" w:cs="宋体" w:eastAsiaTheme="minorEastAsia"/>
                <w:kern w:val="0"/>
                <w:sz w:val="30"/>
                <w:szCs w:val="30"/>
                <w:lang w:eastAsia="zh-CN"/>
              </w:rPr>
              <w:t>中国医学科学院肿瘤医院深圳医院放疗计划设计工作站采购</w:t>
            </w:r>
          </w:p>
        </w:tc>
      </w:tr>
      <w:tr w14:paraId="4563451F">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3C9CABD1">
            <w:pPr>
              <w:widowControl/>
              <w:jc w:val="right"/>
              <w:rPr>
                <w:sz w:val="30"/>
                <w:szCs w:val="30"/>
              </w:rPr>
            </w:pPr>
            <w:r>
              <w:rPr>
                <w:rFonts w:ascii="宋体" w:hAnsi="宋体" w:cs="宋体"/>
                <w:kern w:val="0"/>
                <w:sz w:val="30"/>
                <w:szCs w:val="30"/>
              </w:rPr>
              <w:t xml:space="preserve">包 </w:t>
            </w:r>
            <w:r>
              <w:rPr>
                <w:rFonts w:hint="eastAsia" w:ascii="宋体" w:hAnsi="宋体" w:cs="宋体"/>
                <w:kern w:val="0"/>
                <w:sz w:val="30"/>
                <w:szCs w:val="30"/>
              </w:rPr>
              <w:t xml:space="preserve">   </w:t>
            </w:r>
            <w:r>
              <w:rPr>
                <w:rFonts w:ascii="宋体" w:hAnsi="宋体" w:cs="宋体"/>
                <w:kern w:val="0"/>
                <w:sz w:val="30"/>
                <w:szCs w:val="30"/>
              </w:rPr>
              <w:t>号：</w:t>
            </w:r>
          </w:p>
        </w:tc>
        <w:tc>
          <w:tcPr>
            <w:tcW w:w="5220" w:type="dxa"/>
            <w:vAlign w:val="center"/>
          </w:tcPr>
          <w:p w14:paraId="1922A804">
            <w:pPr>
              <w:widowControl/>
              <w:jc w:val="left"/>
              <w:rPr>
                <w:sz w:val="30"/>
                <w:szCs w:val="30"/>
              </w:rPr>
            </w:pPr>
            <w:r>
              <w:rPr>
                <w:rFonts w:ascii="宋体" w:hAnsi="宋体" w:cs="宋体"/>
                <w:kern w:val="0"/>
                <w:sz w:val="30"/>
                <w:szCs w:val="30"/>
              </w:rPr>
              <w:t>A</w:t>
            </w:r>
          </w:p>
        </w:tc>
      </w:tr>
      <w:tr w14:paraId="2A7DEEE1">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52A40DCE">
            <w:pPr>
              <w:widowControl/>
              <w:jc w:val="right"/>
              <w:rPr>
                <w:sz w:val="30"/>
                <w:szCs w:val="30"/>
              </w:rPr>
            </w:pPr>
            <w:r>
              <w:rPr>
                <w:rFonts w:ascii="宋体" w:hAnsi="宋体" w:cs="宋体"/>
                <w:kern w:val="0"/>
                <w:sz w:val="30"/>
                <w:szCs w:val="30"/>
              </w:rPr>
              <w:t>项目类型：</w:t>
            </w:r>
          </w:p>
        </w:tc>
        <w:tc>
          <w:tcPr>
            <w:tcW w:w="5220" w:type="dxa"/>
            <w:vAlign w:val="center"/>
          </w:tcPr>
          <w:p w14:paraId="00A42666">
            <w:pPr>
              <w:widowControl/>
              <w:jc w:val="left"/>
              <w:rPr>
                <w:sz w:val="30"/>
                <w:szCs w:val="30"/>
              </w:rPr>
            </w:pPr>
            <w:r>
              <w:rPr>
                <w:rFonts w:ascii="宋体" w:hAnsi="宋体" w:cs="宋体"/>
                <w:kern w:val="0"/>
                <w:sz w:val="30"/>
                <w:szCs w:val="30"/>
              </w:rPr>
              <w:t>货物类</w:t>
            </w:r>
          </w:p>
        </w:tc>
      </w:tr>
      <w:tr w14:paraId="4FA32B76">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01F3EE92">
            <w:pPr>
              <w:widowControl/>
              <w:jc w:val="right"/>
              <w:rPr>
                <w:sz w:val="30"/>
                <w:szCs w:val="30"/>
              </w:rPr>
            </w:pPr>
            <w:r>
              <w:rPr>
                <w:rFonts w:ascii="宋体" w:hAnsi="宋体" w:cs="宋体"/>
                <w:kern w:val="0"/>
                <w:sz w:val="30"/>
                <w:szCs w:val="30"/>
              </w:rPr>
              <w:t>采购方式：</w:t>
            </w:r>
          </w:p>
        </w:tc>
        <w:tc>
          <w:tcPr>
            <w:tcW w:w="5220" w:type="dxa"/>
            <w:vAlign w:val="center"/>
          </w:tcPr>
          <w:p w14:paraId="5232789E">
            <w:pPr>
              <w:widowControl/>
              <w:jc w:val="left"/>
              <w:rPr>
                <w:sz w:val="30"/>
                <w:szCs w:val="30"/>
              </w:rPr>
            </w:pPr>
            <w:r>
              <w:rPr>
                <w:rFonts w:ascii="宋体" w:hAnsi="宋体" w:cs="宋体"/>
                <w:kern w:val="0"/>
                <w:sz w:val="30"/>
                <w:szCs w:val="30"/>
              </w:rPr>
              <w:t>公开招标</w:t>
            </w:r>
          </w:p>
        </w:tc>
      </w:tr>
      <w:tr w14:paraId="3EBE48DE">
        <w:tblPrEx>
          <w:tblCellMar>
            <w:top w:w="45" w:type="dxa"/>
            <w:left w:w="45" w:type="dxa"/>
            <w:bottom w:w="45" w:type="dxa"/>
            <w:right w:w="45" w:type="dxa"/>
          </w:tblCellMar>
        </w:tblPrEx>
        <w:trPr>
          <w:trHeight w:val="738" w:hRule="atLeast"/>
          <w:tblCellSpacing w:w="0" w:type="dxa"/>
          <w:jc w:val="center"/>
        </w:trPr>
        <w:tc>
          <w:tcPr>
            <w:tcW w:w="2723" w:type="dxa"/>
            <w:vAlign w:val="center"/>
          </w:tcPr>
          <w:p w14:paraId="714D8022">
            <w:pPr>
              <w:widowControl/>
              <w:jc w:val="right"/>
              <w:rPr>
                <w:sz w:val="30"/>
                <w:szCs w:val="30"/>
              </w:rPr>
            </w:pPr>
            <w:r>
              <w:rPr>
                <w:rFonts w:ascii="宋体" w:hAnsi="宋体" w:cs="宋体"/>
                <w:kern w:val="0"/>
                <w:sz w:val="30"/>
                <w:szCs w:val="30"/>
              </w:rPr>
              <w:t>货币类型：</w:t>
            </w:r>
          </w:p>
        </w:tc>
        <w:tc>
          <w:tcPr>
            <w:tcW w:w="5220" w:type="dxa"/>
            <w:vAlign w:val="center"/>
          </w:tcPr>
          <w:p w14:paraId="5738F8D1">
            <w:pPr>
              <w:widowControl/>
              <w:jc w:val="left"/>
              <w:rPr>
                <w:sz w:val="30"/>
                <w:szCs w:val="30"/>
              </w:rPr>
            </w:pPr>
            <w:r>
              <w:rPr>
                <w:rFonts w:ascii="宋体" w:hAnsi="宋体" w:cs="宋体"/>
                <w:kern w:val="0"/>
                <w:sz w:val="30"/>
                <w:szCs w:val="30"/>
              </w:rPr>
              <w:t>人民币</w:t>
            </w:r>
          </w:p>
        </w:tc>
      </w:tr>
      <w:bookmarkEnd w:id="0"/>
    </w:tbl>
    <w:p w14:paraId="1CAE3A38">
      <w:pPr>
        <w:pStyle w:val="16"/>
        <w:widowControl/>
        <w:jc w:val="center"/>
        <w:outlineLvl w:val="1"/>
        <w:rPr>
          <w:rFonts w:hint="eastAsia" w:ascii="黑体" w:hAnsi="宋体" w:eastAsia="黑体" w:cs="黑体"/>
          <w:sz w:val="40"/>
          <w:szCs w:val="40"/>
        </w:rPr>
        <w:sectPr>
          <w:headerReference r:id="rId3" w:type="first"/>
          <w:footerReference r:id="rId4" w:type="default"/>
          <w:footerReference r:id="rId5" w:type="even"/>
          <w:pgSz w:w="11907" w:h="16840"/>
          <w:pgMar w:top="1440" w:right="1418" w:bottom="1440" w:left="1418" w:header="851" w:footer="992" w:gutter="0"/>
          <w:cols w:space="425" w:num="1"/>
          <w:titlePg/>
          <w:docGrid w:linePitch="462" w:charSpace="0"/>
        </w:sectPr>
      </w:pPr>
    </w:p>
    <w:p w14:paraId="310501C9">
      <w:pPr>
        <w:pStyle w:val="16"/>
        <w:widowControl/>
        <w:jc w:val="center"/>
        <w:outlineLvl w:val="1"/>
        <w:rPr>
          <w:rFonts w:ascii="黑体" w:hAnsi="宋体" w:eastAsia="黑体" w:cs="黑体"/>
          <w:sz w:val="40"/>
          <w:szCs w:val="40"/>
        </w:rPr>
      </w:pPr>
      <w:r>
        <w:rPr>
          <w:rFonts w:hint="eastAsia" w:ascii="黑体" w:hAnsi="宋体" w:eastAsia="黑体" w:cs="黑体"/>
          <w:sz w:val="40"/>
          <w:szCs w:val="40"/>
        </w:rPr>
        <w:t>资格性审查表</w:t>
      </w:r>
    </w:p>
    <w:tbl>
      <w:tblPr>
        <w:tblStyle w:val="21"/>
        <w:tblW w:w="1023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9443"/>
      </w:tblGrid>
      <w:tr w14:paraId="674B42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0350F74">
            <w:pPr>
              <w:widowControl/>
              <w:jc w:val="center"/>
              <w:rPr>
                <w:sz w:val="28"/>
                <w:szCs w:val="28"/>
              </w:rPr>
            </w:pPr>
            <w:r>
              <w:rPr>
                <w:rFonts w:ascii="宋体" w:hAnsi="宋体" w:cs="宋体"/>
                <w:kern w:val="0"/>
                <w:sz w:val="28"/>
                <w:szCs w:val="28"/>
                <w:lang w:bidi="ar"/>
              </w:rPr>
              <w:t>序号</w:t>
            </w:r>
          </w:p>
        </w:tc>
        <w:tc>
          <w:tcPr>
            <w:tcW w:w="9443"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B0C6DF3">
            <w:pPr>
              <w:widowControl/>
              <w:jc w:val="center"/>
              <w:rPr>
                <w:sz w:val="28"/>
                <w:szCs w:val="28"/>
              </w:rPr>
            </w:pPr>
            <w:r>
              <w:rPr>
                <w:rFonts w:ascii="宋体" w:hAnsi="宋体" w:cs="宋体"/>
                <w:kern w:val="0"/>
                <w:sz w:val="28"/>
                <w:szCs w:val="28"/>
                <w:lang w:bidi="ar"/>
              </w:rPr>
              <w:t>内容</w:t>
            </w:r>
          </w:p>
        </w:tc>
      </w:tr>
      <w:tr w14:paraId="1E330E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tcPr>
          <w:p w14:paraId="3D5738A1">
            <w:pPr>
              <w:widowControl/>
              <w:jc w:val="center"/>
              <w:textAlignment w:val="top"/>
              <w:rPr>
                <w:szCs w:val="21"/>
              </w:rPr>
            </w:pPr>
            <w:r>
              <w:rPr>
                <w:rFonts w:ascii="宋体" w:hAnsi="宋体" w:cs="宋体"/>
                <w:kern w:val="0"/>
                <w:szCs w:val="21"/>
                <w:lang w:bidi="ar"/>
              </w:rPr>
              <w:t>1</w:t>
            </w:r>
          </w:p>
        </w:tc>
        <w:tc>
          <w:tcPr>
            <w:tcW w:w="9443" w:type="dxa"/>
            <w:tcBorders>
              <w:top w:val="single" w:color="000000" w:sz="8" w:space="0"/>
              <w:left w:val="single" w:color="000000" w:sz="8" w:space="0"/>
              <w:bottom w:val="single" w:color="000000" w:sz="8" w:space="0"/>
              <w:right w:val="single" w:color="000000" w:sz="8" w:space="0"/>
            </w:tcBorders>
            <w:shd w:val="clear" w:color="auto" w:fill="auto"/>
          </w:tcPr>
          <w:p w14:paraId="40775462">
            <w:pPr>
              <w:widowControl/>
              <w:jc w:val="left"/>
              <w:textAlignment w:val="top"/>
              <w:rPr>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716C92DC">
      <w:pPr>
        <w:pStyle w:val="16"/>
        <w:widowControl/>
        <w:spacing w:before="280" w:beforeAutospacing="0"/>
        <w:jc w:val="center"/>
        <w:outlineLvl w:val="1"/>
        <w:rPr>
          <w:rFonts w:ascii="黑体" w:hAnsi="宋体" w:eastAsia="黑体" w:cs="黑体"/>
          <w:sz w:val="40"/>
          <w:szCs w:val="40"/>
        </w:rPr>
      </w:pPr>
      <w:r>
        <w:rPr>
          <w:rFonts w:hint="eastAsia" w:ascii="黑体" w:hAnsi="宋体" w:eastAsia="黑体" w:cs="黑体"/>
          <w:sz w:val="40"/>
          <w:szCs w:val="40"/>
        </w:rPr>
        <w:t>符合性审查表</w:t>
      </w:r>
    </w:p>
    <w:tbl>
      <w:tblPr>
        <w:tblStyle w:val="21"/>
        <w:tblW w:w="1028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9495"/>
      </w:tblGrid>
      <w:tr w14:paraId="32F25D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24332BB">
            <w:pPr>
              <w:widowControl/>
              <w:jc w:val="center"/>
              <w:rPr>
                <w:sz w:val="28"/>
                <w:szCs w:val="28"/>
              </w:rPr>
            </w:pPr>
            <w:r>
              <w:rPr>
                <w:rFonts w:ascii="宋体" w:hAnsi="宋体" w:cs="宋体"/>
                <w:kern w:val="0"/>
                <w:sz w:val="28"/>
                <w:szCs w:val="28"/>
                <w:lang w:bidi="ar"/>
              </w:rPr>
              <w:t>序号</w:t>
            </w:r>
          </w:p>
        </w:tc>
        <w:tc>
          <w:tcPr>
            <w:tcW w:w="9495"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65C4C89">
            <w:pPr>
              <w:widowControl/>
              <w:jc w:val="center"/>
              <w:rPr>
                <w:sz w:val="28"/>
                <w:szCs w:val="28"/>
              </w:rPr>
            </w:pPr>
            <w:r>
              <w:rPr>
                <w:rFonts w:ascii="宋体" w:hAnsi="宋体" w:cs="宋体"/>
                <w:kern w:val="0"/>
                <w:sz w:val="28"/>
                <w:szCs w:val="28"/>
                <w:lang w:bidi="ar"/>
              </w:rPr>
              <w:t>内容</w:t>
            </w:r>
          </w:p>
        </w:tc>
      </w:tr>
      <w:tr w14:paraId="3FDD43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B1C7BA">
            <w:pPr>
              <w:widowControl/>
              <w:jc w:val="center"/>
              <w:textAlignment w:val="top"/>
              <w:rPr>
                <w:szCs w:val="21"/>
              </w:rPr>
            </w:pPr>
            <w:r>
              <w:rPr>
                <w:rFonts w:ascii="宋体" w:hAnsi="宋体" w:cs="宋体"/>
                <w:kern w:val="0"/>
                <w:szCs w:val="21"/>
                <w:lang w:bidi="ar"/>
              </w:rPr>
              <w:t>1</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6B03D22">
            <w:pPr>
              <w:widowControl/>
              <w:jc w:val="left"/>
              <w:textAlignment w:val="top"/>
              <w:rPr>
                <w:szCs w:val="21"/>
              </w:rPr>
            </w:pPr>
            <w:r>
              <w:rPr>
                <w:rFonts w:hint="eastAsia"/>
              </w:rPr>
              <w:t>不得将一个包的内容拆开投标；</w:t>
            </w:r>
          </w:p>
        </w:tc>
      </w:tr>
      <w:tr w14:paraId="411E99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97313C">
            <w:pPr>
              <w:widowControl/>
              <w:jc w:val="center"/>
              <w:textAlignment w:val="top"/>
              <w:rPr>
                <w:szCs w:val="21"/>
              </w:rPr>
            </w:pPr>
            <w:r>
              <w:rPr>
                <w:rFonts w:ascii="宋体" w:hAnsi="宋体" w:cs="宋体"/>
                <w:kern w:val="0"/>
                <w:szCs w:val="21"/>
                <w:lang w:bidi="ar"/>
              </w:rPr>
              <w:t>2</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161FE71E">
            <w:pPr>
              <w:widowControl/>
              <w:jc w:val="left"/>
              <w:textAlignment w:val="top"/>
              <w:rPr>
                <w:szCs w:val="21"/>
              </w:rPr>
            </w:pPr>
            <w:r>
              <w:rPr>
                <w:rFonts w:hint="eastAsia"/>
              </w:rPr>
              <w:t>对同一项目投标时，不得提供两套以上的投标方案（招标文件另有规定的除外）；</w:t>
            </w:r>
          </w:p>
        </w:tc>
      </w:tr>
      <w:tr w14:paraId="4647E4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03428B">
            <w:pPr>
              <w:widowControl/>
              <w:jc w:val="center"/>
              <w:textAlignment w:val="top"/>
              <w:rPr>
                <w:szCs w:val="21"/>
              </w:rPr>
            </w:pPr>
            <w:r>
              <w:rPr>
                <w:rFonts w:ascii="宋体" w:hAnsi="宋体" w:cs="宋体"/>
                <w:kern w:val="0"/>
                <w:szCs w:val="21"/>
                <w:lang w:bidi="ar"/>
              </w:rPr>
              <w:t>3</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31053637">
            <w:pPr>
              <w:widowControl/>
              <w:jc w:val="left"/>
              <w:textAlignment w:val="top"/>
              <w:rPr>
                <w:szCs w:val="21"/>
              </w:rPr>
            </w:pPr>
            <w:r>
              <w:rPr>
                <w:rFonts w:hint="eastAsia"/>
              </w:rPr>
              <w:t>分项报价或投标总价不得高于相应预算金额（或设定的预算金额下的最高限价）；</w:t>
            </w:r>
          </w:p>
        </w:tc>
      </w:tr>
      <w:tr w14:paraId="6E4560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72F77F6">
            <w:pPr>
              <w:keepNext w:val="0"/>
              <w:keepLines w:val="0"/>
              <w:pageBreakBefore w:val="0"/>
              <w:widowControl/>
              <w:kinsoku/>
              <w:wordWrap/>
              <w:overflowPunct/>
              <w:topLinePunct w:val="0"/>
              <w:autoSpaceDE/>
              <w:autoSpaceDN/>
              <w:bidi w:val="0"/>
              <w:adjustRightInd/>
              <w:snapToGrid/>
              <w:jc w:val="center"/>
              <w:textAlignment w:val="top"/>
              <w:rPr>
                <w:szCs w:val="21"/>
              </w:rPr>
            </w:pPr>
            <w:r>
              <w:rPr>
                <w:rFonts w:hint="eastAsia" w:ascii="宋体" w:hAnsi="宋体" w:cs="宋体"/>
                <w:kern w:val="0"/>
                <w:sz w:val="21"/>
                <w:szCs w:val="21"/>
                <w:lang w:val="en-US" w:eastAsia="zh-CN" w:bidi="ar"/>
              </w:rPr>
              <w:t>4</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9C77750">
            <w:pPr>
              <w:widowControl/>
              <w:jc w:val="both"/>
              <w:textAlignment w:val="top"/>
              <w:rPr>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76AD8E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F3DB3BC">
            <w:pPr>
              <w:keepNext w:val="0"/>
              <w:keepLines w:val="0"/>
              <w:pageBreakBefore w:val="0"/>
              <w:widowControl/>
              <w:kinsoku/>
              <w:wordWrap/>
              <w:overflowPunct/>
              <w:topLinePunct w:val="0"/>
              <w:autoSpaceDE/>
              <w:autoSpaceDN/>
              <w:bidi w:val="0"/>
              <w:adjustRightInd/>
              <w:snapToGrid/>
              <w:jc w:val="center"/>
              <w:textAlignment w:val="top"/>
              <w:rPr>
                <w:szCs w:val="21"/>
              </w:rPr>
            </w:pPr>
            <w:r>
              <w:rPr>
                <w:rFonts w:hint="eastAsia" w:ascii="宋体" w:hAnsi="宋体" w:cs="宋体"/>
                <w:kern w:val="0"/>
                <w:sz w:val="21"/>
                <w:szCs w:val="21"/>
                <w:lang w:val="en-US" w:eastAsia="zh-CN" w:bidi="ar"/>
              </w:rPr>
              <w:t>5</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D5EE368">
            <w:pPr>
              <w:widowControl/>
              <w:jc w:val="left"/>
              <w:textAlignment w:val="top"/>
              <w:rPr>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6555C9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8946310">
            <w:pPr>
              <w:keepNext w:val="0"/>
              <w:keepLines w:val="0"/>
              <w:pageBreakBefore w:val="0"/>
              <w:widowControl/>
              <w:kinsoku/>
              <w:wordWrap/>
              <w:overflowPunct/>
              <w:topLinePunct w:val="0"/>
              <w:autoSpaceDE/>
              <w:autoSpaceDN/>
              <w:bidi w:val="0"/>
              <w:adjustRightInd/>
              <w:snapToGrid/>
              <w:jc w:val="center"/>
              <w:textAlignment w:val="top"/>
            </w:pPr>
            <w:r>
              <w:rPr>
                <w:rFonts w:hint="eastAsia" w:ascii="宋体" w:hAnsi="宋体" w:cs="宋体"/>
                <w:sz w:val="21"/>
                <w:szCs w:val="21"/>
                <w:lang w:val="en-US" w:eastAsia="zh-CN"/>
              </w:rPr>
              <w:t>6</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39123528">
            <w:pPr>
              <w:widowControl/>
              <w:jc w:val="left"/>
              <w:textAlignment w:val="top"/>
            </w:pPr>
            <w:r>
              <w:rPr>
                <w:rFonts w:hint="eastAsia"/>
              </w:rPr>
              <w:t>采购标的/所投产品/货物清单/报价等任意一类有缺漏项或响应不全，或者对招标文件规定的项目需求内容或者需求数量进行修改，评审委员会判定投标响应不满足采购需求；</w:t>
            </w:r>
          </w:p>
        </w:tc>
      </w:tr>
      <w:tr w14:paraId="058B98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E800E2">
            <w:pPr>
              <w:keepNext w:val="0"/>
              <w:keepLines w:val="0"/>
              <w:pageBreakBefore w:val="0"/>
              <w:widowControl/>
              <w:kinsoku/>
              <w:wordWrap/>
              <w:overflowPunct/>
              <w:topLinePunct w:val="0"/>
              <w:autoSpaceDE/>
              <w:autoSpaceDN/>
              <w:bidi w:val="0"/>
              <w:adjustRightInd/>
              <w:snapToGrid/>
              <w:jc w:val="center"/>
              <w:textAlignment w:val="top"/>
              <w:rPr>
                <w:szCs w:val="21"/>
              </w:rPr>
            </w:pPr>
            <w:r>
              <w:rPr>
                <w:rFonts w:hint="eastAsia" w:ascii="宋体" w:hAnsi="宋体" w:cs="宋体"/>
                <w:kern w:val="0"/>
                <w:sz w:val="21"/>
                <w:szCs w:val="21"/>
                <w:lang w:val="en-US" w:eastAsia="zh-CN" w:bidi="ar"/>
              </w:rPr>
              <w:t>7</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359717E1">
            <w:pPr>
              <w:widowControl/>
              <w:jc w:val="left"/>
              <w:textAlignment w:val="top"/>
              <w:rPr>
                <w:szCs w:val="21"/>
              </w:rPr>
            </w:pPr>
            <w:r>
              <w:rPr>
                <w:rFonts w:hint="eastAsia"/>
              </w:rPr>
              <w:t>投标文件存在列放位置错误，导致属于信息公开情形的没有被公开；</w:t>
            </w:r>
          </w:p>
        </w:tc>
      </w:tr>
      <w:tr w14:paraId="232A7A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87DE1FD">
            <w:pPr>
              <w:keepNext w:val="0"/>
              <w:keepLines w:val="0"/>
              <w:pageBreakBefore w:val="0"/>
              <w:widowControl/>
              <w:kinsoku/>
              <w:wordWrap/>
              <w:overflowPunct/>
              <w:topLinePunct w:val="0"/>
              <w:autoSpaceDE/>
              <w:autoSpaceDN/>
              <w:bidi w:val="0"/>
              <w:adjustRightInd/>
              <w:snapToGrid/>
              <w:jc w:val="center"/>
              <w:textAlignment w:val="top"/>
              <w:rPr>
                <w:szCs w:val="21"/>
              </w:rPr>
            </w:pPr>
            <w:r>
              <w:rPr>
                <w:rFonts w:hint="eastAsia" w:ascii="宋体" w:hAnsi="宋体" w:cs="宋体"/>
                <w:kern w:val="0"/>
                <w:sz w:val="21"/>
                <w:szCs w:val="21"/>
                <w:lang w:val="en-US" w:eastAsia="zh-CN" w:bidi="ar"/>
              </w:rPr>
              <w:t>8</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079B47E4">
            <w:pPr>
              <w:widowControl/>
              <w:jc w:val="left"/>
              <w:textAlignment w:val="top"/>
              <w:rPr>
                <w:szCs w:val="21"/>
              </w:rPr>
            </w:pPr>
            <w:r>
              <w:rPr>
                <w:rFonts w:hint="eastAsia"/>
              </w:rPr>
              <w:t>投标文件电子文档不得带病毒；</w:t>
            </w:r>
          </w:p>
        </w:tc>
      </w:tr>
      <w:tr w14:paraId="16EF73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F1C513">
            <w:pPr>
              <w:keepNext w:val="0"/>
              <w:keepLines w:val="0"/>
              <w:pageBreakBefore w:val="0"/>
              <w:widowControl/>
              <w:kinsoku/>
              <w:wordWrap/>
              <w:overflowPunct/>
              <w:topLinePunct w:val="0"/>
              <w:autoSpaceDE/>
              <w:autoSpaceDN/>
              <w:bidi w:val="0"/>
              <w:adjustRightInd/>
              <w:snapToGrid/>
              <w:jc w:val="center"/>
              <w:textAlignment w:val="top"/>
              <w:rPr>
                <w:szCs w:val="21"/>
              </w:rPr>
            </w:pPr>
            <w:r>
              <w:rPr>
                <w:rFonts w:hint="eastAsia" w:ascii="宋体" w:hAnsi="宋体" w:cs="宋体"/>
                <w:kern w:val="0"/>
                <w:sz w:val="21"/>
                <w:szCs w:val="21"/>
                <w:lang w:val="en-US" w:eastAsia="zh-CN" w:bidi="ar"/>
              </w:rPr>
              <w:t>9</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5DFEA28D">
            <w:pPr>
              <w:widowControl/>
              <w:jc w:val="left"/>
              <w:textAlignment w:val="top"/>
              <w:rPr>
                <w:szCs w:val="21"/>
              </w:rPr>
            </w:pPr>
            <w:r>
              <w:rPr>
                <w:rFonts w:hint="eastAsia"/>
              </w:rPr>
              <w:t>投标文件不得用不属于本公司的电子密钥或电子营业执照进行加密；</w:t>
            </w:r>
          </w:p>
        </w:tc>
      </w:tr>
      <w:tr w14:paraId="6CE7EE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80" w:hRule="atLeast"/>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50B8A3">
            <w:pPr>
              <w:keepNext w:val="0"/>
              <w:keepLines w:val="0"/>
              <w:pageBreakBefore w:val="0"/>
              <w:widowControl/>
              <w:kinsoku/>
              <w:wordWrap/>
              <w:overflowPunct/>
              <w:topLinePunct w:val="0"/>
              <w:autoSpaceDE/>
              <w:autoSpaceDN/>
              <w:bidi w:val="0"/>
              <w:adjustRightInd/>
              <w:snapToGrid/>
              <w:jc w:val="center"/>
              <w:textAlignment w:val="top"/>
              <w:rPr>
                <w:rFonts w:ascii="宋体" w:hAnsi="宋体" w:cs="宋体"/>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0</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387E91F">
            <w:pPr>
              <w:widowControl/>
              <w:jc w:val="left"/>
              <w:textAlignment w:val="top"/>
            </w:pPr>
            <w:r>
              <w:rPr>
                <w:rFonts w:hint="eastAsia"/>
              </w:rPr>
              <w:t>不得与其他投标供应商投标文件“文件制作机器码”一致；</w:t>
            </w:r>
          </w:p>
        </w:tc>
      </w:tr>
      <w:tr w14:paraId="6D9255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CADB28">
            <w:pPr>
              <w:keepNext w:val="0"/>
              <w:keepLines w:val="0"/>
              <w:pageBreakBefore w:val="0"/>
              <w:widowControl/>
              <w:kinsoku/>
              <w:wordWrap/>
              <w:overflowPunct/>
              <w:topLinePunct w:val="0"/>
              <w:autoSpaceDE/>
              <w:autoSpaceDN/>
              <w:bidi w:val="0"/>
              <w:adjustRightInd/>
              <w:snapToGrid/>
              <w:jc w:val="center"/>
              <w:textAlignment w:val="top"/>
              <w:rPr>
                <w:rFonts w:ascii="宋体" w:hAnsi="宋体" w:cs="宋体"/>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1</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6C43D724">
            <w:pPr>
              <w:widowControl/>
              <w:jc w:val="left"/>
              <w:textAlignment w:val="top"/>
            </w:pPr>
            <w:r>
              <w:rPr>
                <w:rFonts w:hint="eastAsia"/>
              </w:rPr>
              <w:t>不得与其他投标供应商投标文件“文件创建标识码”一致；</w:t>
            </w:r>
          </w:p>
        </w:tc>
      </w:tr>
      <w:tr w14:paraId="10E3E2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D8642B">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12</w:t>
            </w:r>
          </w:p>
        </w:tc>
        <w:tc>
          <w:tcPr>
            <w:tcW w:w="9495" w:type="dxa"/>
            <w:tcBorders>
              <w:top w:val="single" w:color="000000" w:sz="8" w:space="0"/>
              <w:left w:val="single" w:color="000000" w:sz="8" w:space="0"/>
              <w:bottom w:val="single" w:color="000000" w:sz="8" w:space="0"/>
              <w:right w:val="single" w:color="000000" w:sz="8" w:space="0"/>
            </w:tcBorders>
            <w:shd w:val="clear" w:color="auto" w:fill="auto"/>
            <w:vAlign w:val="top"/>
          </w:tcPr>
          <w:p w14:paraId="53DE45FD">
            <w:pPr>
              <w:keepNext w:val="0"/>
              <w:keepLines w:val="0"/>
              <w:pageBreakBefore w:val="0"/>
              <w:widowControl/>
              <w:kinsoku/>
              <w:wordWrap/>
              <w:overflowPunct/>
              <w:topLinePunct w:val="0"/>
              <w:autoSpaceDE/>
              <w:autoSpaceDN/>
              <w:bidi w:val="0"/>
              <w:adjustRightInd/>
              <w:snapToGrid/>
              <w:jc w:val="left"/>
              <w:textAlignment w:val="top"/>
              <w:rPr>
                <w:rFonts w:hint="eastAsia"/>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r>
              <w:rPr>
                <w:rFonts w:hint="eastAsia" w:ascii="宋体" w:hAnsi="宋体" w:cs="宋体"/>
                <w:sz w:val="21"/>
                <w:szCs w:val="21"/>
                <w:lang w:val="en-US" w:eastAsia="zh-CN"/>
              </w:rPr>
              <w:t>；</w:t>
            </w:r>
          </w:p>
        </w:tc>
      </w:tr>
      <w:tr w14:paraId="78A23A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ACF204F">
            <w:pPr>
              <w:keepNext w:val="0"/>
              <w:keepLines w:val="0"/>
              <w:pageBreakBefore w:val="0"/>
              <w:widowControl/>
              <w:kinsoku/>
              <w:wordWrap/>
              <w:overflowPunct/>
              <w:topLinePunct w:val="0"/>
              <w:autoSpaceDE/>
              <w:autoSpaceDN/>
              <w:bidi w:val="0"/>
              <w:adjustRightInd/>
              <w:snapToGrid/>
              <w:jc w:val="center"/>
              <w:textAlignment w:val="top"/>
              <w:rPr>
                <w:rFonts w:hint="default"/>
                <w:szCs w:val="21"/>
                <w:lang w:val="en-US"/>
              </w:rPr>
            </w:pPr>
            <w:r>
              <w:rPr>
                <w:rFonts w:hint="eastAsia" w:ascii="宋体" w:hAnsi="宋体" w:cs="宋体"/>
                <w:sz w:val="21"/>
                <w:szCs w:val="21"/>
                <w:lang w:val="en-US" w:eastAsia="zh-CN"/>
              </w:rPr>
              <w:t>13</w:t>
            </w:r>
          </w:p>
        </w:tc>
        <w:tc>
          <w:tcPr>
            <w:tcW w:w="9495" w:type="dxa"/>
            <w:tcBorders>
              <w:top w:val="single" w:color="000000" w:sz="8" w:space="0"/>
              <w:left w:val="single" w:color="000000" w:sz="8" w:space="0"/>
              <w:bottom w:val="single" w:color="000000" w:sz="8" w:space="0"/>
              <w:right w:val="single" w:color="000000" w:sz="8" w:space="0"/>
            </w:tcBorders>
            <w:shd w:val="clear" w:color="auto" w:fill="auto"/>
          </w:tcPr>
          <w:p w14:paraId="25BA150F">
            <w:pPr>
              <w:widowControl/>
              <w:jc w:val="left"/>
              <w:textAlignment w:val="top"/>
              <w:rPr>
                <w:szCs w:val="21"/>
              </w:rPr>
            </w:pPr>
            <w:r>
              <w:rPr>
                <w:rFonts w:hint="eastAsia"/>
              </w:rPr>
              <w:t>法律、法规、规章、规范性文件规定的其他情形。</w:t>
            </w:r>
          </w:p>
        </w:tc>
      </w:tr>
    </w:tbl>
    <w:p w14:paraId="521C0D54">
      <w:pPr>
        <w:pStyle w:val="16"/>
        <w:widowControl/>
        <w:jc w:val="center"/>
        <w:outlineLvl w:val="1"/>
        <w:rPr>
          <w:rFonts w:ascii="黑体" w:hAnsi="宋体" w:eastAsia="黑体" w:cs="黑体"/>
          <w:sz w:val="40"/>
          <w:szCs w:val="40"/>
          <w:highlight w:val="none"/>
        </w:rPr>
      </w:pPr>
      <w:r>
        <w:rPr>
          <w:rFonts w:hint="eastAsia" w:ascii="黑体" w:hAnsi="宋体" w:eastAsia="黑体" w:cs="黑体"/>
          <w:sz w:val="40"/>
          <w:szCs w:val="40"/>
          <w:highlight w:val="none"/>
          <w:lang w:val="en-US" w:eastAsia="zh-CN"/>
        </w:rPr>
        <w:t>异常低价</w:t>
      </w:r>
      <w:r>
        <w:rPr>
          <w:rFonts w:hint="eastAsia" w:ascii="黑体" w:hAnsi="宋体" w:eastAsia="黑体" w:cs="黑体"/>
          <w:sz w:val="40"/>
          <w:szCs w:val="40"/>
          <w:highlight w:val="none"/>
        </w:rPr>
        <w:t>审查表</w:t>
      </w:r>
    </w:p>
    <w:tbl>
      <w:tblPr>
        <w:tblStyle w:val="21"/>
        <w:tblW w:w="1032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1256"/>
        <w:gridCol w:w="9068"/>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1256"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906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12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9068" w:type="dxa"/>
            <w:tcBorders>
              <w:top w:val="single" w:color="000000" w:sz="8" w:space="0"/>
              <w:left w:val="single" w:color="000000" w:sz="8" w:space="0"/>
              <w:bottom w:val="single" w:color="000000" w:sz="8" w:space="0"/>
              <w:right w:val="single" w:color="000000" w:sz="8" w:space="0"/>
            </w:tcBorders>
            <w:shd w:val="clear" w:color="auto" w:fill="auto"/>
            <w:vAlign w:val="top"/>
          </w:tcPr>
          <w:p w14:paraId="4419CC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eastAsia" w:ascii="宋体" w:hAnsi="宋体" w:eastAsia="宋体" w:cs="宋体"/>
                <w:sz w:val="21"/>
                <w:szCs w:val="21"/>
              </w:rPr>
            </w:pPr>
            <w:r>
              <w:rPr>
                <w:rFonts w:hint="eastAsia" w:ascii="宋体" w:hAnsi="宋体" w:eastAsia="宋体" w:cs="宋体"/>
                <w:sz w:val="21"/>
                <w:szCs w:val="21"/>
              </w:rPr>
              <w:t>评审中出现下列情形之一的，评审委员会应当启动异常低价投标（响应）审查程序：</w:t>
            </w:r>
          </w:p>
          <w:p w14:paraId="7E0000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eastAsia" w:ascii="宋体" w:hAnsi="宋体" w:eastAsia="宋体" w:cs="宋体"/>
                <w:sz w:val="21"/>
                <w:szCs w:val="21"/>
              </w:rPr>
            </w:pPr>
            <w:r>
              <w:rPr>
                <w:rFonts w:hint="eastAsia" w:ascii="宋体" w:hAnsi="宋体" w:eastAsia="宋体" w:cs="宋体"/>
                <w:sz w:val="21"/>
                <w:szCs w:val="21"/>
              </w:rPr>
              <w:t>1.投标（响应）报价低于全部通过符合性审查供应商投标（响应）报价平均值50%的，即投标（响应）报价&lt;全部通过符合性审查供应商投标（响应）报价平均值×50%；</w:t>
            </w:r>
          </w:p>
          <w:p w14:paraId="721DEF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eastAsia" w:ascii="宋体" w:hAnsi="宋体" w:eastAsia="宋体" w:cs="宋体"/>
                <w:sz w:val="21"/>
                <w:szCs w:val="21"/>
              </w:rPr>
            </w:pPr>
          </w:p>
          <w:p w14:paraId="21D682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eastAsia" w:ascii="宋体" w:hAnsi="宋体" w:eastAsia="宋体" w:cs="宋体"/>
                <w:sz w:val="21"/>
                <w:szCs w:val="21"/>
              </w:rPr>
            </w:pPr>
            <w:r>
              <w:rPr>
                <w:rFonts w:hint="eastAsia" w:ascii="宋体" w:hAnsi="宋体" w:eastAsia="宋体" w:cs="宋体"/>
                <w:sz w:val="21"/>
                <w:szCs w:val="21"/>
              </w:rPr>
              <w:t>2.投标（响应）报价低于通过符合性审查的次低报价供应商投标（响应）报价50%的，即投标（响应）报价&lt;通过符合性审查的次低报价供应商投标（响应）报价×50%；</w:t>
            </w:r>
          </w:p>
          <w:p w14:paraId="72C489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eastAsia" w:ascii="宋体" w:hAnsi="宋体" w:eastAsia="宋体" w:cs="宋体"/>
                <w:sz w:val="21"/>
                <w:szCs w:val="21"/>
              </w:rPr>
            </w:pPr>
          </w:p>
          <w:p w14:paraId="155AC1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eastAsia" w:ascii="宋体" w:hAnsi="宋体" w:eastAsia="宋体" w:cs="宋体"/>
                <w:sz w:val="21"/>
                <w:szCs w:val="21"/>
              </w:rPr>
            </w:pPr>
            <w:r>
              <w:rPr>
                <w:rFonts w:hint="eastAsia" w:ascii="宋体" w:hAnsi="宋体" w:eastAsia="宋体" w:cs="宋体"/>
                <w:sz w:val="21"/>
                <w:szCs w:val="21"/>
              </w:rPr>
              <w:t>3.投标（响应）报价低于采购项目最高限价45%的，即投标（响应）报价&lt;采购项目最高限价×45%；</w:t>
            </w:r>
          </w:p>
          <w:p w14:paraId="34CA2B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eastAsia" w:ascii="宋体" w:hAnsi="宋体" w:eastAsia="宋体" w:cs="宋体"/>
                <w:sz w:val="21"/>
                <w:szCs w:val="21"/>
              </w:rPr>
            </w:pPr>
          </w:p>
          <w:p w14:paraId="4B2247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eastAsia" w:ascii="宋体" w:hAnsi="宋体" w:eastAsia="宋体" w:cs="宋体"/>
                <w:sz w:val="21"/>
                <w:szCs w:val="21"/>
              </w:rPr>
            </w:pPr>
            <w:r>
              <w:rPr>
                <w:rFonts w:hint="eastAsia" w:ascii="宋体" w:hAnsi="宋体" w:eastAsia="宋体" w:cs="宋体"/>
                <w:sz w:val="21"/>
                <w:szCs w:val="21"/>
              </w:rPr>
              <w:t>4.评审委员会基于专业判断，认为供应商报价过低，有可能影响产品质量或者不能诚信履约的其他情形。</w:t>
            </w:r>
          </w:p>
          <w:p w14:paraId="546DE11F">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0436F0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F53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1F96128D">
      <w:pPr>
        <w:pStyle w:val="16"/>
        <w:widowControl/>
        <w:jc w:val="center"/>
        <w:outlineLvl w:val="1"/>
        <w:rPr>
          <w:rFonts w:hint="eastAsia" w:ascii="黑体" w:hAnsi="宋体" w:eastAsia="黑体" w:cs="黑体"/>
          <w:sz w:val="40"/>
          <w:szCs w:val="40"/>
        </w:rPr>
      </w:pPr>
    </w:p>
    <w:p w14:paraId="4CCCA468">
      <w:pPr>
        <w:pStyle w:val="16"/>
        <w:widowControl/>
        <w:jc w:val="center"/>
        <w:outlineLvl w:val="1"/>
        <w:rPr>
          <w:rFonts w:hint="eastAsia" w:ascii="黑体" w:hAnsi="宋体" w:eastAsia="黑体" w:cs="黑体"/>
          <w:sz w:val="40"/>
          <w:szCs w:val="40"/>
        </w:rPr>
      </w:pPr>
      <w:r>
        <w:rPr>
          <w:rFonts w:hint="eastAsia" w:ascii="黑体" w:hAnsi="宋体" w:eastAsia="黑体" w:cs="黑体"/>
          <w:sz w:val="40"/>
          <w:szCs w:val="40"/>
        </w:rPr>
        <w:t>评标信息</w:t>
      </w:r>
    </w:p>
    <w:tbl>
      <w:tblPr>
        <w:tblStyle w:val="21"/>
        <w:tblW w:w="9141" w:type="dxa"/>
        <w:jc w:val="center"/>
        <w:tblCellSpacing w:w="0" w:type="dxa"/>
        <w:tblLayout w:type="fixed"/>
        <w:tblCellMar>
          <w:top w:w="45" w:type="dxa"/>
          <w:left w:w="45" w:type="dxa"/>
          <w:bottom w:w="45" w:type="dxa"/>
          <w:right w:w="45" w:type="dxa"/>
        </w:tblCellMar>
      </w:tblPr>
      <w:tblGrid>
        <w:gridCol w:w="9141"/>
      </w:tblGrid>
      <w:tr w14:paraId="41F144E6">
        <w:trPr>
          <w:tblCellSpacing w:w="0" w:type="dxa"/>
          <w:jc w:val="center"/>
        </w:trPr>
        <w:tc>
          <w:tcPr>
            <w:tcW w:w="9078" w:type="dxa"/>
            <w:vAlign w:val="center"/>
          </w:tcPr>
          <w:p w14:paraId="1A060583">
            <w:pPr>
              <w:jc w:val="left"/>
              <w:rPr>
                <w:rFonts w:ascii="宋体"/>
                <w:b/>
                <w:bCs/>
                <w:sz w:val="24"/>
              </w:rPr>
            </w:pPr>
            <w:r>
              <w:rPr>
                <w:b/>
                <w:bCs/>
              </w:rPr>
              <w:t>评标方法：综合评分法</w:t>
            </w:r>
          </w:p>
        </w:tc>
      </w:tr>
      <w:tr w14:paraId="33E50E28">
        <w:tblPrEx>
          <w:tblCellMar>
            <w:top w:w="45" w:type="dxa"/>
            <w:left w:w="45" w:type="dxa"/>
            <w:bottom w:w="45" w:type="dxa"/>
            <w:right w:w="45" w:type="dxa"/>
          </w:tblCellMar>
        </w:tblPrEx>
        <w:trPr>
          <w:trHeight w:val="90" w:hRule="atLeast"/>
          <w:tblCellSpacing w:w="0" w:type="dxa"/>
          <w:jc w:val="center"/>
        </w:trPr>
        <w:tc>
          <w:tcPr>
            <w:tcW w:w="9078" w:type="dxa"/>
            <w:vAlign w:val="center"/>
          </w:tcPr>
          <w:p w14:paraId="26C47ECA">
            <w:pPr>
              <w:ind w:firstLine="420"/>
            </w:pPr>
            <w:r>
              <w:rPr>
                <w:rFonts w:hint="eastAsia"/>
              </w:rPr>
              <w:t>综合评分法，是指投标文件满足招标文件全部实质性要求，且按照评审因素的量化指标评审得分排名前列的投标人为中标候选人的评标方法。</w:t>
            </w:r>
          </w:p>
          <w:p w14:paraId="726D863D">
            <w:pPr>
              <w:ind w:firstLine="420"/>
              <w:rPr>
                <w:szCs w:val="21"/>
              </w:rPr>
            </w:pPr>
          </w:p>
          <w:p w14:paraId="2BA1577F">
            <w:pPr>
              <w:ind w:firstLine="420"/>
              <w:rPr>
                <w:szCs w:val="21"/>
              </w:rPr>
            </w:pPr>
            <w:r>
              <w:rPr>
                <w:szCs w:val="21"/>
              </w:rPr>
              <w:t>价格分计算方法：</w:t>
            </w:r>
          </w:p>
          <w:p w14:paraId="41A143D3">
            <w:pPr>
              <w:pStyle w:val="16"/>
              <w:widowControl/>
              <w:spacing w:beforeAutospacing="0" w:afterAutospacing="0"/>
              <w:ind w:left="420"/>
              <w:rPr>
                <w:kern w:val="2"/>
                <w:sz w:val="21"/>
                <w:szCs w:val="21"/>
              </w:rPr>
            </w:pPr>
            <w:r>
              <w:rPr>
                <w:kern w:val="2"/>
                <w:sz w:val="21"/>
                <w:szCs w:val="21"/>
              </w:rPr>
              <w:t xml:space="preserve">采用低价优先法计算，即满足招标文件要求且投标价格最低的投标报价为评标基准价，其价格分为满分。其他投标人的价格分统一按照下列公式计算： </w:t>
            </w:r>
          </w:p>
          <w:p w14:paraId="6F6EE2CF">
            <w:pPr>
              <w:pStyle w:val="16"/>
              <w:widowControl/>
              <w:spacing w:beforeAutospacing="0" w:afterAutospacing="0"/>
              <w:ind w:left="420"/>
              <w:rPr>
                <w:kern w:val="2"/>
                <w:sz w:val="21"/>
                <w:szCs w:val="21"/>
              </w:rPr>
            </w:pPr>
            <w:r>
              <w:rPr>
                <w:kern w:val="2"/>
                <w:sz w:val="21"/>
                <w:szCs w:val="21"/>
              </w:rPr>
              <w:t xml:space="preserve">投标报价得分=(评标基准价／投标报价)×100 </w:t>
            </w:r>
          </w:p>
          <w:p w14:paraId="6009BFB3">
            <w:pPr>
              <w:pStyle w:val="16"/>
              <w:widowControl/>
              <w:spacing w:beforeAutospacing="0" w:afterAutospacing="0"/>
              <w:ind w:left="420"/>
              <w:rPr>
                <w:kern w:val="2"/>
                <w:sz w:val="21"/>
                <w:szCs w:val="21"/>
              </w:rPr>
            </w:pPr>
            <w:r>
              <w:rPr>
                <w:kern w:val="2"/>
                <w:sz w:val="21"/>
                <w:szCs w:val="21"/>
              </w:rPr>
              <w:t xml:space="preserve">评标总得分＝F1×A1＋F2×A2＋……＋Fn×An </w:t>
            </w:r>
          </w:p>
          <w:p w14:paraId="7604CD7A">
            <w:pPr>
              <w:pStyle w:val="16"/>
              <w:widowControl/>
              <w:spacing w:beforeAutospacing="0" w:afterAutospacing="0"/>
              <w:ind w:left="420"/>
              <w:rPr>
                <w:kern w:val="2"/>
                <w:sz w:val="21"/>
                <w:szCs w:val="21"/>
              </w:rPr>
            </w:pPr>
            <w:r>
              <w:rPr>
                <w:kern w:val="2"/>
                <w:sz w:val="21"/>
                <w:szCs w:val="21"/>
              </w:rPr>
              <w:t xml:space="preserve">F1、F2……Fn分别为各项评审因素的得分； </w:t>
            </w:r>
          </w:p>
          <w:p w14:paraId="7A3A6D09">
            <w:pPr>
              <w:pStyle w:val="16"/>
              <w:widowControl/>
              <w:spacing w:beforeAutospacing="0" w:afterAutospacing="0"/>
              <w:ind w:left="420"/>
              <w:rPr>
                <w:kern w:val="2"/>
                <w:sz w:val="21"/>
                <w:szCs w:val="21"/>
              </w:rPr>
            </w:pPr>
            <w:r>
              <w:rPr>
                <w:kern w:val="2"/>
                <w:sz w:val="21"/>
                <w:szCs w:val="21"/>
              </w:rPr>
              <w:t xml:space="preserve">A1、A2、……An 分别为各项评审因素所占的权重(A1＋A2＋……＋An＝1)。 </w:t>
            </w:r>
          </w:p>
          <w:p w14:paraId="3325738E">
            <w:pPr>
              <w:pStyle w:val="16"/>
              <w:widowControl/>
              <w:spacing w:beforeAutospacing="0" w:afterAutospacing="0"/>
              <w:ind w:left="420"/>
              <w:rPr>
                <w:kern w:val="2"/>
                <w:sz w:val="21"/>
                <w:szCs w:val="21"/>
              </w:rPr>
            </w:pPr>
            <w:r>
              <w:rPr>
                <w:kern w:val="2"/>
                <w:sz w:val="21"/>
                <w:szCs w:val="21"/>
              </w:rPr>
              <w:t>评标过程中，不得去掉报价中的最高报价和最低报价。</w:t>
            </w:r>
          </w:p>
          <w:p w14:paraId="480ACAE5">
            <w:pPr>
              <w:pStyle w:val="16"/>
              <w:widowControl/>
              <w:spacing w:beforeAutospacing="0" w:afterAutospacing="0"/>
              <w:ind w:left="420"/>
              <w:rPr>
                <w:kern w:val="2"/>
                <w:sz w:val="21"/>
                <w:szCs w:val="21"/>
              </w:rPr>
            </w:pPr>
            <w:r>
              <w:rPr>
                <w:rFonts w:hint="eastAsia"/>
                <w:kern w:val="2"/>
                <w:sz w:val="21"/>
                <w:szCs w:val="21"/>
              </w:rPr>
              <w:t>因落实政府采购政策进行价格调整的，以调整后的价格计算评标基准价和投标报价。</w:t>
            </w:r>
          </w:p>
          <w:p w14:paraId="2BA3CC03">
            <w:pPr>
              <w:pStyle w:val="16"/>
              <w:widowControl/>
              <w:spacing w:beforeAutospacing="0" w:afterAutospacing="0"/>
              <w:ind w:left="420"/>
            </w:pPr>
          </w:p>
          <w:p w14:paraId="5B8367BD">
            <w:pPr>
              <w:pStyle w:val="16"/>
              <w:widowControl/>
              <w:spacing w:beforeAutospacing="0" w:afterAutospacing="0"/>
              <w:ind w:left="420"/>
            </w:pPr>
            <w:r>
              <w:rPr>
                <w:rFonts w:hint="eastAsia"/>
                <w:b/>
                <w:bCs/>
              </w:rPr>
              <w:t>注：投标人的“投标技术响应”“技术要求偏离表中偏离情况”等必须与客观实际保持一致，响应不实且情节严重的，经查实，将依法记入供应商诚信档案或受到行政处罚。</w:t>
            </w:r>
          </w:p>
        </w:tc>
      </w:tr>
    </w:tbl>
    <w:p w14:paraId="1397AC72">
      <w:pPr>
        <w:rPr>
          <w:rFonts w:hint="eastAsia" w:eastAsia="宋体"/>
          <w:vanish/>
          <w:sz w:val="24"/>
          <w:highlight w:val="yellow"/>
          <w:lang w:eastAsia="zh-CN"/>
        </w:rPr>
      </w:pPr>
      <w:r>
        <w:rPr>
          <w:rFonts w:hint="eastAsia"/>
          <w:vanish/>
          <w:sz w:val="24"/>
          <w:highlight w:val="yellow"/>
          <w:lang w:eastAsia="zh-CN"/>
        </w:rPr>
        <w:t xml:space="preserve"> </w:t>
      </w:r>
    </w:p>
    <w:tbl>
      <w:tblPr>
        <w:tblStyle w:val="2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900"/>
        <w:gridCol w:w="1483"/>
        <w:gridCol w:w="767"/>
        <w:gridCol w:w="1083"/>
        <w:gridCol w:w="4347"/>
      </w:tblGrid>
      <w:tr w14:paraId="67FA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74" w:type="dxa"/>
            <w:tcBorders>
              <w:left w:val="single" w:color="auto" w:sz="4" w:space="0"/>
            </w:tcBorders>
            <w:noWrap w:val="0"/>
            <w:vAlign w:val="center"/>
          </w:tcPr>
          <w:p w14:paraId="0663EFA8">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bookmarkStart w:id="1" w:name="_Hlk72360569"/>
            <w:r>
              <w:rPr>
                <w:rFonts w:hint="eastAsia" w:ascii="宋体" w:hAnsi="宋体" w:eastAsia="宋体" w:cs="宋体"/>
                <w:sz w:val="21"/>
                <w:szCs w:val="21"/>
              </w:rPr>
              <w:t>序号</w:t>
            </w:r>
          </w:p>
        </w:tc>
        <w:tc>
          <w:tcPr>
            <w:tcW w:w="4233" w:type="dxa"/>
            <w:gridSpan w:val="4"/>
            <w:noWrap w:val="0"/>
            <w:vAlign w:val="center"/>
          </w:tcPr>
          <w:p w14:paraId="5EC1CA8B">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评分项</w:t>
            </w:r>
          </w:p>
        </w:tc>
        <w:tc>
          <w:tcPr>
            <w:tcW w:w="4347" w:type="dxa"/>
            <w:tcBorders>
              <w:right w:val="single" w:color="auto" w:sz="4" w:space="0"/>
            </w:tcBorders>
            <w:noWrap w:val="0"/>
            <w:vAlign w:val="center"/>
          </w:tcPr>
          <w:p w14:paraId="465EE3E1">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权重</w:t>
            </w:r>
          </w:p>
        </w:tc>
      </w:tr>
      <w:tr w14:paraId="4901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74" w:type="dxa"/>
            <w:tcBorders>
              <w:left w:val="single" w:color="auto" w:sz="4" w:space="0"/>
            </w:tcBorders>
            <w:noWrap w:val="0"/>
            <w:vAlign w:val="center"/>
          </w:tcPr>
          <w:p w14:paraId="08CE44C7">
            <w:pPr>
              <w:keepNext w:val="0"/>
              <w:keepLines w:val="0"/>
              <w:suppressLineNumbers w:val="0"/>
              <w:spacing w:before="0" w:beforeAutospacing="0" w:after="0" w:afterAutospacing="0" w:line="50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4233" w:type="dxa"/>
            <w:gridSpan w:val="4"/>
            <w:noWrap w:val="0"/>
            <w:vAlign w:val="center"/>
          </w:tcPr>
          <w:p w14:paraId="00671F95">
            <w:pPr>
              <w:keepNext w:val="0"/>
              <w:keepLines w:val="0"/>
              <w:suppressLineNumbers w:val="0"/>
              <w:spacing w:before="0" w:beforeAutospacing="0" w:after="0" w:afterAutospacing="0" w:line="50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价格</w:t>
            </w:r>
          </w:p>
        </w:tc>
        <w:tc>
          <w:tcPr>
            <w:tcW w:w="4347" w:type="dxa"/>
            <w:tcBorders>
              <w:right w:val="single" w:color="auto" w:sz="4" w:space="0"/>
            </w:tcBorders>
            <w:noWrap w:val="0"/>
            <w:vAlign w:val="center"/>
          </w:tcPr>
          <w:p w14:paraId="20649ED7">
            <w:pPr>
              <w:keepNext w:val="0"/>
              <w:keepLines w:val="0"/>
              <w:suppressLineNumbers w:val="0"/>
              <w:spacing w:before="0" w:beforeAutospacing="0" w:after="0" w:afterAutospacing="0" w:line="50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30</w:t>
            </w:r>
          </w:p>
        </w:tc>
      </w:tr>
      <w:tr w14:paraId="1BA99B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tcBorders>
              <w:left w:val="single" w:color="auto" w:sz="4" w:space="0"/>
            </w:tcBorders>
            <w:noWrap w:val="0"/>
            <w:vAlign w:val="center"/>
          </w:tcPr>
          <w:p w14:paraId="3DF21746">
            <w:pPr>
              <w:keepNext w:val="0"/>
              <w:keepLines w:val="0"/>
              <w:suppressLineNumbers w:val="0"/>
              <w:spacing w:before="0" w:beforeAutospacing="0" w:after="0" w:afterAutospacing="0" w:line="50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2</w:t>
            </w:r>
          </w:p>
        </w:tc>
        <w:tc>
          <w:tcPr>
            <w:tcW w:w="4233" w:type="dxa"/>
            <w:gridSpan w:val="4"/>
            <w:noWrap w:val="0"/>
            <w:vAlign w:val="center"/>
          </w:tcPr>
          <w:p w14:paraId="6A64C1B6">
            <w:pPr>
              <w:keepNext w:val="0"/>
              <w:keepLines w:val="0"/>
              <w:suppressLineNumbers w:val="0"/>
              <w:spacing w:before="0" w:beforeAutospacing="0" w:after="0" w:afterAutospacing="0" w:line="50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技术部分</w:t>
            </w:r>
          </w:p>
        </w:tc>
        <w:tc>
          <w:tcPr>
            <w:tcW w:w="4347" w:type="dxa"/>
            <w:tcBorders>
              <w:right w:val="single" w:color="auto" w:sz="4" w:space="0"/>
            </w:tcBorders>
            <w:noWrap w:val="0"/>
            <w:vAlign w:val="center"/>
          </w:tcPr>
          <w:p w14:paraId="78E5B48B">
            <w:pPr>
              <w:keepNext w:val="0"/>
              <w:keepLines w:val="0"/>
              <w:suppressLineNumbers w:val="0"/>
              <w:spacing w:before="0" w:beforeAutospacing="0" w:after="0" w:afterAutospacing="0" w:line="500" w:lineRule="exact"/>
              <w:ind w:left="0" w:right="0"/>
              <w:jc w:val="center"/>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59</w:t>
            </w:r>
          </w:p>
        </w:tc>
      </w:tr>
      <w:tr w14:paraId="0FBBF2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vMerge w:val="restart"/>
            <w:tcBorders>
              <w:left w:val="single" w:color="auto" w:sz="4" w:space="0"/>
            </w:tcBorders>
            <w:noWrap w:val="0"/>
            <w:vAlign w:val="center"/>
          </w:tcPr>
          <w:p w14:paraId="4A317CF7">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p>
        </w:tc>
        <w:tc>
          <w:tcPr>
            <w:tcW w:w="900" w:type="dxa"/>
            <w:noWrap w:val="0"/>
            <w:vAlign w:val="center"/>
          </w:tcPr>
          <w:p w14:paraId="23FFAAA8">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483" w:type="dxa"/>
            <w:noWrap w:val="0"/>
            <w:vAlign w:val="center"/>
          </w:tcPr>
          <w:p w14:paraId="4769CDB0">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评分因素</w:t>
            </w:r>
          </w:p>
        </w:tc>
        <w:tc>
          <w:tcPr>
            <w:tcW w:w="767" w:type="dxa"/>
            <w:noWrap w:val="0"/>
            <w:vAlign w:val="center"/>
          </w:tcPr>
          <w:p w14:paraId="5A121ECA">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权重</w:t>
            </w:r>
          </w:p>
        </w:tc>
        <w:tc>
          <w:tcPr>
            <w:tcW w:w="1083" w:type="dxa"/>
            <w:noWrap w:val="0"/>
            <w:vAlign w:val="center"/>
          </w:tcPr>
          <w:p w14:paraId="6DE445F3">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评分方式</w:t>
            </w:r>
          </w:p>
        </w:tc>
        <w:tc>
          <w:tcPr>
            <w:tcW w:w="4347" w:type="dxa"/>
            <w:tcBorders>
              <w:right w:val="single" w:color="auto" w:sz="4" w:space="0"/>
            </w:tcBorders>
            <w:noWrap w:val="0"/>
            <w:vAlign w:val="center"/>
          </w:tcPr>
          <w:p w14:paraId="0EE831A0">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评分准则</w:t>
            </w:r>
          </w:p>
        </w:tc>
      </w:tr>
      <w:tr w14:paraId="06CE61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4" w:type="dxa"/>
            <w:vMerge w:val="continue"/>
            <w:tcBorders>
              <w:left w:val="single" w:color="auto" w:sz="4" w:space="0"/>
            </w:tcBorders>
            <w:noWrap w:val="0"/>
            <w:vAlign w:val="center"/>
          </w:tcPr>
          <w:p w14:paraId="7AFC2E10">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p>
        </w:tc>
        <w:tc>
          <w:tcPr>
            <w:tcW w:w="900" w:type="dxa"/>
            <w:noWrap w:val="0"/>
            <w:vAlign w:val="center"/>
          </w:tcPr>
          <w:p w14:paraId="00D4B5B6">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483" w:type="dxa"/>
            <w:noWrap w:val="0"/>
            <w:vAlign w:val="center"/>
          </w:tcPr>
          <w:p w14:paraId="1E0684F6">
            <w:pPr>
              <w:keepNext w:val="0"/>
              <w:keepLines w:val="0"/>
              <w:suppressLineNumbers w:val="0"/>
              <w:tabs>
                <w:tab w:val="left" w:pos="426"/>
              </w:tabs>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技术规格偏离情况</w:t>
            </w:r>
          </w:p>
        </w:tc>
        <w:tc>
          <w:tcPr>
            <w:tcW w:w="767" w:type="dxa"/>
            <w:noWrap w:val="0"/>
            <w:vAlign w:val="center"/>
          </w:tcPr>
          <w:p w14:paraId="4CA5D3CB">
            <w:pPr>
              <w:keepNext w:val="0"/>
              <w:keepLines w:val="0"/>
              <w:suppressLineNumbers w:val="0"/>
              <w:tabs>
                <w:tab w:val="left" w:pos="426"/>
              </w:tabs>
              <w:spacing w:before="0" w:beforeAutospacing="0" w:after="0" w:afterAutospacing="0" w:line="500" w:lineRule="exact"/>
              <w:ind w:left="0" w:right="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52</w:t>
            </w:r>
          </w:p>
        </w:tc>
        <w:tc>
          <w:tcPr>
            <w:tcW w:w="1083" w:type="dxa"/>
            <w:noWrap w:val="0"/>
            <w:vAlign w:val="center"/>
          </w:tcPr>
          <w:p w14:paraId="7666AFEE">
            <w:pPr>
              <w:keepNext w:val="0"/>
              <w:keepLines w:val="0"/>
              <w:suppressLineNumbers w:val="0"/>
              <w:tabs>
                <w:tab w:val="left" w:pos="426"/>
              </w:tabs>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专家</w:t>
            </w:r>
            <w:r>
              <w:rPr>
                <w:rFonts w:hint="eastAsia" w:ascii="宋体" w:hAnsi="宋体" w:eastAsia="宋体" w:cs="宋体"/>
                <w:kern w:val="0"/>
                <w:sz w:val="21"/>
                <w:szCs w:val="21"/>
              </w:rPr>
              <w:t>评分</w:t>
            </w:r>
          </w:p>
        </w:tc>
        <w:tc>
          <w:tcPr>
            <w:tcW w:w="4347" w:type="dxa"/>
            <w:tcBorders>
              <w:right w:val="single" w:color="auto" w:sz="4" w:space="0"/>
            </w:tcBorders>
            <w:noWrap w:val="0"/>
            <w:vAlign w:val="center"/>
          </w:tcPr>
          <w:p w14:paraId="2EA232FC">
            <w:pPr>
              <w:keepNext w:val="0"/>
              <w:keepLines w:val="0"/>
              <w:suppressLineNumbers w:val="0"/>
              <w:tabs>
                <w:tab w:val="left" w:pos="426"/>
              </w:tabs>
              <w:spacing w:before="0" w:beforeAutospacing="0" w:after="0" w:afterAutospacing="0" w:line="500" w:lineRule="exact"/>
              <w:ind w:left="0" w:right="0"/>
              <w:rPr>
                <w:rFonts w:hint="eastAsia" w:ascii="宋体" w:hAnsi="宋体" w:eastAsia="宋体" w:cs="宋体"/>
                <w:sz w:val="21"/>
                <w:szCs w:val="21"/>
                <w:highlight w:val="none"/>
              </w:rPr>
            </w:pPr>
            <w:r>
              <w:rPr>
                <w:rFonts w:hint="eastAsia" w:ascii="宋体" w:hAnsi="宋体" w:eastAsia="宋体" w:cs="宋体"/>
                <w:sz w:val="21"/>
                <w:szCs w:val="21"/>
                <w:highlight w:val="none"/>
              </w:rPr>
              <w:t>投标人应如实填写《技术要求偏离表》，评审委员会根据技术需求参数响应情况进行打分，满分</w:t>
            </w:r>
            <w:r>
              <w:rPr>
                <w:rFonts w:hint="eastAsia" w:ascii="宋体" w:hAnsi="宋体" w:eastAsia="宋体" w:cs="宋体"/>
                <w:sz w:val="21"/>
                <w:szCs w:val="21"/>
                <w:highlight w:val="none"/>
                <w:lang w:val="en-US" w:eastAsia="zh-CN"/>
              </w:rPr>
              <w:t>100</w:t>
            </w:r>
            <w:r>
              <w:rPr>
                <w:rFonts w:hint="eastAsia" w:ascii="宋体" w:hAnsi="宋体" w:eastAsia="宋体" w:cs="宋体"/>
                <w:sz w:val="21"/>
                <w:szCs w:val="21"/>
                <w:highlight w:val="none"/>
              </w:rPr>
              <w:t>分，带“▲”重要参数每负偏离一项扣</w:t>
            </w:r>
            <w:r>
              <w:rPr>
                <w:rFonts w:hint="eastAsia" w:ascii="宋体" w:hAnsi="宋体" w:cs="宋体"/>
                <w:sz w:val="21"/>
                <w:szCs w:val="21"/>
                <w:highlight w:val="none"/>
                <w:lang w:val="en-US" w:eastAsia="zh-CN"/>
              </w:rPr>
              <w:t>3.8</w:t>
            </w:r>
            <w:r>
              <w:rPr>
                <w:rFonts w:hint="eastAsia" w:ascii="宋体" w:hAnsi="宋体" w:eastAsia="宋体" w:cs="宋体"/>
                <w:sz w:val="21"/>
                <w:szCs w:val="21"/>
                <w:highlight w:val="none"/>
              </w:rPr>
              <w:t>分，其他一般参数每负偏离一项扣</w:t>
            </w:r>
            <w:r>
              <w:rPr>
                <w:rFonts w:hint="eastAsia" w:ascii="宋体" w:hAnsi="宋体" w:cs="宋体"/>
                <w:sz w:val="21"/>
                <w:szCs w:val="21"/>
                <w:highlight w:val="none"/>
                <w:lang w:val="en-US" w:eastAsia="zh-CN"/>
              </w:rPr>
              <w:t>0.31</w:t>
            </w:r>
            <w:r>
              <w:rPr>
                <w:rFonts w:hint="eastAsia" w:ascii="宋体" w:hAnsi="宋体" w:eastAsia="宋体" w:cs="宋体"/>
                <w:sz w:val="21"/>
                <w:szCs w:val="21"/>
                <w:highlight w:val="none"/>
              </w:rPr>
              <w:t>分，扣完为止。</w:t>
            </w:r>
          </w:p>
        </w:tc>
      </w:tr>
      <w:tr w14:paraId="7D36B1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4" w:type="dxa"/>
            <w:vMerge w:val="continue"/>
            <w:tcBorders>
              <w:left w:val="single" w:color="auto" w:sz="4" w:space="0"/>
            </w:tcBorders>
            <w:noWrap w:val="0"/>
            <w:vAlign w:val="center"/>
          </w:tcPr>
          <w:p w14:paraId="71742374">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p>
        </w:tc>
        <w:tc>
          <w:tcPr>
            <w:tcW w:w="900" w:type="dxa"/>
            <w:noWrap w:val="0"/>
            <w:vAlign w:val="center"/>
          </w:tcPr>
          <w:p w14:paraId="4DF35D13">
            <w:pPr>
              <w:keepNext w:val="0"/>
              <w:keepLines w:val="0"/>
              <w:pageBreakBefore w:val="0"/>
              <w:widowControl w:val="0"/>
              <w:suppressLineNumbers w:val="0"/>
              <w:kinsoku/>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2</w:t>
            </w:r>
          </w:p>
        </w:tc>
        <w:tc>
          <w:tcPr>
            <w:tcW w:w="1483" w:type="dxa"/>
            <w:noWrap w:val="0"/>
            <w:vAlign w:val="center"/>
          </w:tcPr>
          <w:p w14:paraId="285BAA05">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宋体" w:hAnsi="宋体" w:eastAsia="宋体" w:cs="宋体"/>
                <w:kern w:val="2"/>
                <w:sz w:val="21"/>
                <w:szCs w:val="21"/>
                <w:lang w:val="en-US" w:eastAsia="zh-CN"/>
              </w:rPr>
            </w:pPr>
            <w:r>
              <w:rPr>
                <w:rFonts w:hint="eastAsia" w:ascii="宋体" w:hAnsi="宋体" w:eastAsia="宋体" w:cs="宋体"/>
                <w:sz w:val="21"/>
                <w:szCs w:val="21"/>
              </w:rPr>
              <w:t>技术保障措施</w:t>
            </w:r>
          </w:p>
        </w:tc>
        <w:tc>
          <w:tcPr>
            <w:tcW w:w="767" w:type="dxa"/>
            <w:noWrap w:val="0"/>
            <w:vAlign w:val="center"/>
          </w:tcPr>
          <w:p w14:paraId="228CB88A">
            <w:pPr>
              <w:keepNext w:val="0"/>
              <w:keepLines w:val="0"/>
              <w:pageBreakBefore w:val="0"/>
              <w:suppressLineNumbers w:val="0"/>
              <w:kinsoku/>
              <w:wordWrap/>
              <w:overflowPunct/>
              <w:topLinePunct w:val="0"/>
              <w:autoSpaceDE/>
              <w:autoSpaceDN/>
              <w:bidi w:val="0"/>
              <w:snapToGrid/>
              <w:spacing w:before="0" w:beforeAutospacing="0" w:after="0" w:afterAutospacing="0" w:line="240" w:lineRule="auto"/>
              <w:ind w:left="0" w:leftChars="0" w:right="0" w:rightChars="0"/>
              <w:jc w:val="center"/>
              <w:textAlignment w:val="auto"/>
              <w:rPr>
                <w:rFonts w:hint="eastAsia" w:ascii="宋体" w:hAnsi="宋体" w:eastAsia="宋体" w:cs="宋体"/>
                <w:kern w:val="2"/>
                <w:sz w:val="21"/>
                <w:szCs w:val="21"/>
                <w:lang w:val="en-US" w:eastAsia="zh-CN"/>
              </w:rPr>
            </w:pPr>
            <w:r>
              <w:rPr>
                <w:rFonts w:hint="eastAsia" w:ascii="宋体" w:hAnsi="宋体" w:cs="宋体"/>
                <w:kern w:val="0"/>
                <w:sz w:val="21"/>
                <w:szCs w:val="21"/>
                <w:highlight w:val="none"/>
                <w:lang w:val="en-US" w:eastAsia="zh-CN"/>
              </w:rPr>
              <w:t>7</w:t>
            </w:r>
          </w:p>
        </w:tc>
        <w:tc>
          <w:tcPr>
            <w:tcW w:w="1083" w:type="dxa"/>
            <w:noWrap w:val="0"/>
            <w:vAlign w:val="center"/>
          </w:tcPr>
          <w:p w14:paraId="4927D2EA">
            <w:pPr>
              <w:keepNext w:val="0"/>
              <w:keepLines w:val="0"/>
              <w:pageBreakBefore w:val="0"/>
              <w:suppressLineNumbers w:val="0"/>
              <w:kinsoku/>
              <w:wordWrap/>
              <w:overflowPunct/>
              <w:topLinePunct w:val="0"/>
              <w:autoSpaceDE/>
              <w:autoSpaceDN/>
              <w:bidi w:val="0"/>
              <w:snapToGrid/>
              <w:spacing w:before="0" w:beforeAutospacing="0" w:after="0" w:afterAutospacing="0" w:line="240" w:lineRule="auto"/>
              <w:ind w:left="0" w:leftChars="0" w:right="0" w:rightChars="0"/>
              <w:jc w:val="center"/>
              <w:textAlignment w:val="auto"/>
              <w:rPr>
                <w:rFonts w:hint="eastAsia" w:ascii="宋体" w:hAnsi="宋体" w:eastAsia="宋体" w:cs="宋体"/>
                <w:kern w:val="2"/>
                <w:sz w:val="21"/>
                <w:szCs w:val="21"/>
                <w:lang w:val="en-US" w:eastAsia="zh-CN"/>
              </w:rPr>
            </w:pPr>
            <w:r>
              <w:rPr>
                <w:rFonts w:hint="eastAsia" w:ascii="宋体" w:hAnsi="宋体" w:eastAsia="宋体" w:cs="宋体"/>
                <w:sz w:val="21"/>
                <w:szCs w:val="21"/>
                <w:highlight w:val="none"/>
              </w:rPr>
              <w:t>专家</w:t>
            </w:r>
            <w:r>
              <w:rPr>
                <w:rFonts w:hint="eastAsia" w:ascii="宋体" w:hAnsi="宋体" w:eastAsia="宋体" w:cs="宋体"/>
                <w:kern w:val="0"/>
                <w:sz w:val="21"/>
                <w:szCs w:val="21"/>
              </w:rPr>
              <w:t>评分</w:t>
            </w:r>
          </w:p>
        </w:tc>
        <w:tc>
          <w:tcPr>
            <w:tcW w:w="4347" w:type="dxa"/>
            <w:tcBorders>
              <w:right w:val="single" w:color="auto" w:sz="4" w:space="0"/>
            </w:tcBorders>
            <w:noWrap w:val="0"/>
            <w:vAlign w:val="center"/>
          </w:tcPr>
          <w:p w14:paraId="409DECEA">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（一）评审内容：</w:t>
            </w:r>
          </w:p>
          <w:p w14:paraId="418B9866">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投标文件中提供技术保障措施</w:t>
            </w: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格式自拟</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，包括以下内容：</w:t>
            </w:r>
          </w:p>
          <w:p w14:paraId="05A2F7E4">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1</w:t>
            </w:r>
            <w:r>
              <w:rPr>
                <w:rFonts w:hint="eastAsia" w:ascii="宋体" w:hAnsi="宋体" w:eastAsia="宋体" w:cs="宋体"/>
                <w:color w:val="000000"/>
                <w:kern w:val="0"/>
                <w:sz w:val="21"/>
                <w:szCs w:val="21"/>
              </w:rPr>
              <w:t>.技术方案</w:t>
            </w:r>
            <w:r>
              <w:rPr>
                <w:rFonts w:hint="eastAsia" w:ascii="宋体" w:hAnsi="宋体" w:eastAsia="宋体" w:cs="宋体"/>
                <w:sz w:val="21"/>
                <w:szCs w:val="21"/>
              </w:rPr>
              <w:t>，包括供货时间保障、质量保障措施，每提供一项得</w:t>
            </w:r>
            <w:r>
              <w:rPr>
                <w:rFonts w:hint="eastAsia" w:ascii="宋体" w:hAnsi="宋体" w:cs="宋体"/>
                <w:sz w:val="21"/>
                <w:szCs w:val="21"/>
                <w:lang w:val="en-US" w:eastAsia="zh-CN"/>
              </w:rPr>
              <w:t>10</w:t>
            </w:r>
            <w:r>
              <w:rPr>
                <w:rFonts w:hint="eastAsia" w:ascii="宋体" w:hAnsi="宋体" w:eastAsia="宋体" w:cs="宋体"/>
                <w:sz w:val="21"/>
                <w:szCs w:val="21"/>
              </w:rPr>
              <w:t>分，最高得</w:t>
            </w:r>
            <w:r>
              <w:rPr>
                <w:rFonts w:hint="eastAsia" w:ascii="宋体" w:hAnsi="宋体" w:cs="宋体"/>
                <w:sz w:val="21"/>
                <w:szCs w:val="21"/>
                <w:lang w:val="en-US" w:eastAsia="zh-CN"/>
              </w:rPr>
              <w:t>20</w:t>
            </w:r>
            <w:r>
              <w:rPr>
                <w:rFonts w:hint="eastAsia" w:ascii="宋体" w:hAnsi="宋体" w:eastAsia="宋体" w:cs="宋体"/>
                <w:sz w:val="21"/>
                <w:szCs w:val="21"/>
              </w:rPr>
              <w:t>分</w:t>
            </w:r>
            <w:r>
              <w:rPr>
                <w:rFonts w:hint="eastAsia" w:ascii="宋体" w:hAnsi="宋体" w:eastAsia="宋体" w:cs="宋体"/>
                <w:color w:val="000000"/>
                <w:kern w:val="0"/>
                <w:sz w:val="21"/>
                <w:szCs w:val="21"/>
              </w:rPr>
              <w:t>；</w:t>
            </w:r>
          </w:p>
          <w:p w14:paraId="25F03E86">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b w:val="0"/>
                <w:bCs w:val="0"/>
                <w:color w:val="000000"/>
                <w:kern w:val="0"/>
                <w:sz w:val="21"/>
                <w:szCs w:val="21"/>
                <w:lang w:val="en-US" w:eastAsia="zh-CN"/>
              </w:rPr>
            </w:pPr>
            <w:r>
              <w:rPr>
                <w:rFonts w:hint="eastAsia" w:ascii="宋体" w:hAnsi="宋体" w:cs="宋体"/>
                <w:b w:val="0"/>
                <w:bCs w:val="0"/>
                <w:color w:val="000000"/>
                <w:kern w:val="0"/>
                <w:sz w:val="21"/>
                <w:szCs w:val="21"/>
                <w:lang w:val="en-US" w:eastAsia="zh-CN"/>
              </w:rPr>
              <w:t>2</w:t>
            </w:r>
            <w:r>
              <w:rPr>
                <w:rFonts w:hint="eastAsia" w:ascii="宋体" w:hAnsi="宋体" w:eastAsia="宋体" w:cs="宋体"/>
                <w:b w:val="0"/>
                <w:bCs w:val="0"/>
                <w:color w:val="000000"/>
                <w:kern w:val="0"/>
                <w:sz w:val="21"/>
                <w:szCs w:val="21"/>
                <w:lang w:val="en-US" w:eastAsia="zh-CN"/>
              </w:rPr>
              <w:t>.项目实施保障措施，包括（1）实施进度计划表</w:t>
            </w:r>
            <w:r>
              <w:rPr>
                <w:rFonts w:hint="eastAsia" w:ascii="宋体" w:hAnsi="宋体" w:cs="宋体"/>
                <w:b w:val="0"/>
                <w:bCs w:val="0"/>
                <w:color w:val="000000"/>
                <w:kern w:val="0"/>
                <w:sz w:val="21"/>
                <w:szCs w:val="21"/>
                <w:lang w:val="en-US" w:eastAsia="zh-CN"/>
              </w:rPr>
              <w:t>；（2）</w:t>
            </w:r>
            <w:r>
              <w:rPr>
                <w:rFonts w:hint="eastAsia" w:ascii="宋体" w:hAnsi="宋体" w:eastAsia="宋体" w:cs="宋体"/>
                <w:b w:val="0"/>
                <w:bCs w:val="0"/>
                <w:color w:val="000000"/>
                <w:kern w:val="0"/>
                <w:sz w:val="21"/>
                <w:szCs w:val="21"/>
                <w:lang w:val="en-US" w:eastAsia="zh-CN"/>
              </w:rPr>
              <w:t>需求分析</w:t>
            </w:r>
            <w:r>
              <w:rPr>
                <w:rFonts w:hint="eastAsia" w:ascii="宋体" w:hAnsi="宋体" w:cs="宋体"/>
                <w:b w:val="0"/>
                <w:bCs w:val="0"/>
                <w:color w:val="000000"/>
                <w:kern w:val="0"/>
                <w:sz w:val="21"/>
                <w:szCs w:val="21"/>
                <w:lang w:val="en-US" w:eastAsia="zh-CN"/>
              </w:rPr>
              <w:t>；（3）</w:t>
            </w:r>
            <w:r>
              <w:rPr>
                <w:rFonts w:hint="eastAsia" w:ascii="宋体" w:hAnsi="宋体" w:eastAsia="宋体" w:cs="宋体"/>
                <w:b w:val="0"/>
                <w:bCs w:val="0"/>
                <w:color w:val="000000"/>
                <w:kern w:val="0"/>
                <w:sz w:val="21"/>
                <w:szCs w:val="21"/>
                <w:lang w:val="en-US" w:eastAsia="zh-CN"/>
              </w:rPr>
              <w:t>本地化部署与适配</w:t>
            </w:r>
            <w:r>
              <w:rPr>
                <w:rFonts w:hint="eastAsia" w:ascii="宋体" w:hAnsi="宋体" w:cs="宋体"/>
                <w:b w:val="0"/>
                <w:bCs w:val="0"/>
                <w:color w:val="000000"/>
                <w:kern w:val="0"/>
                <w:sz w:val="21"/>
                <w:szCs w:val="21"/>
                <w:lang w:val="en-US" w:eastAsia="zh-CN"/>
              </w:rPr>
              <w:t>；（4）</w:t>
            </w:r>
            <w:r>
              <w:rPr>
                <w:rFonts w:hint="eastAsia" w:ascii="宋体" w:hAnsi="宋体" w:eastAsia="宋体" w:cs="宋体"/>
                <w:b w:val="0"/>
                <w:bCs w:val="0"/>
                <w:color w:val="000000"/>
                <w:kern w:val="0"/>
                <w:sz w:val="21"/>
                <w:szCs w:val="21"/>
                <w:lang w:val="en-US" w:eastAsia="zh-CN"/>
              </w:rPr>
              <w:t>系统集成、测试、上线</w:t>
            </w:r>
            <w:r>
              <w:rPr>
                <w:rFonts w:hint="eastAsia" w:ascii="宋体" w:hAnsi="宋体" w:cs="宋体"/>
                <w:sz w:val="21"/>
                <w:szCs w:val="21"/>
                <w:lang w:eastAsia="zh-CN"/>
              </w:rPr>
              <w:t>；</w:t>
            </w:r>
            <w:r>
              <w:rPr>
                <w:rFonts w:hint="eastAsia" w:ascii="宋体" w:hAnsi="宋体" w:eastAsia="宋体" w:cs="宋体"/>
                <w:sz w:val="21"/>
                <w:szCs w:val="21"/>
              </w:rPr>
              <w:t>每提供一项得</w:t>
            </w:r>
            <w:r>
              <w:rPr>
                <w:rFonts w:hint="eastAsia" w:ascii="宋体" w:hAnsi="宋体" w:cs="宋体"/>
                <w:sz w:val="21"/>
                <w:szCs w:val="21"/>
                <w:lang w:val="en-US" w:eastAsia="zh-CN"/>
              </w:rPr>
              <w:t>18</w:t>
            </w:r>
            <w:r>
              <w:rPr>
                <w:rFonts w:hint="eastAsia" w:ascii="宋体" w:hAnsi="宋体" w:eastAsia="宋体" w:cs="宋体"/>
                <w:sz w:val="21"/>
                <w:szCs w:val="21"/>
              </w:rPr>
              <w:t>分，最高得</w:t>
            </w:r>
            <w:r>
              <w:rPr>
                <w:rFonts w:hint="eastAsia" w:ascii="宋体" w:hAnsi="宋体" w:cs="宋体"/>
                <w:sz w:val="21"/>
                <w:szCs w:val="21"/>
                <w:lang w:val="en-US" w:eastAsia="zh-CN"/>
              </w:rPr>
              <w:t>72</w:t>
            </w:r>
            <w:r>
              <w:rPr>
                <w:rFonts w:hint="eastAsia" w:ascii="宋体" w:hAnsi="宋体" w:eastAsia="宋体" w:cs="宋体"/>
                <w:sz w:val="21"/>
                <w:szCs w:val="21"/>
              </w:rPr>
              <w:t>分</w:t>
            </w:r>
            <w:r>
              <w:rPr>
                <w:rFonts w:hint="eastAsia" w:ascii="宋体" w:hAnsi="宋体" w:eastAsia="宋体" w:cs="宋体"/>
                <w:b w:val="0"/>
                <w:bCs w:val="0"/>
                <w:color w:val="000000"/>
                <w:kern w:val="0"/>
                <w:sz w:val="21"/>
                <w:szCs w:val="21"/>
                <w:lang w:val="en-US" w:eastAsia="zh-CN"/>
              </w:rPr>
              <w:t>。</w:t>
            </w:r>
          </w:p>
          <w:p w14:paraId="65102169">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（二）评分内容：</w:t>
            </w:r>
          </w:p>
          <w:p w14:paraId="166517E9">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在此基础上，专家根据</w:t>
            </w:r>
            <w:r>
              <w:rPr>
                <w:rFonts w:hint="eastAsia" w:ascii="宋体" w:hAnsi="宋体" w:eastAsia="宋体" w:cs="宋体"/>
                <w:color w:val="000000"/>
                <w:kern w:val="0"/>
                <w:sz w:val="21"/>
                <w:szCs w:val="21"/>
                <w:lang w:val="en-US" w:eastAsia="zh-CN"/>
              </w:rPr>
              <w:t>投标人</w:t>
            </w:r>
            <w:r>
              <w:rPr>
                <w:rFonts w:hint="eastAsia" w:ascii="宋体" w:hAnsi="宋体" w:eastAsia="宋体" w:cs="宋体"/>
                <w:color w:val="000000"/>
                <w:kern w:val="0"/>
                <w:sz w:val="21"/>
                <w:szCs w:val="21"/>
              </w:rPr>
              <w:t>响应内容</w:t>
            </w:r>
            <w:r>
              <w:rPr>
                <w:rFonts w:hint="eastAsia" w:ascii="宋体" w:hAnsi="宋体" w:eastAsia="宋体" w:cs="宋体"/>
                <w:sz w:val="21"/>
                <w:szCs w:val="21"/>
              </w:rPr>
              <w:t>按照量化的评审因素指标</w:t>
            </w:r>
            <w:r>
              <w:rPr>
                <w:rFonts w:hint="eastAsia" w:ascii="宋体" w:hAnsi="宋体" w:eastAsia="宋体" w:cs="宋体"/>
                <w:color w:val="000000"/>
                <w:kern w:val="0"/>
                <w:sz w:val="21"/>
                <w:szCs w:val="21"/>
              </w:rPr>
              <w:t>进一步评审：</w:t>
            </w:r>
          </w:p>
          <w:p w14:paraId="7CA5A27A">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1.</w:t>
            </w:r>
            <w:r>
              <w:rPr>
                <w:rFonts w:hint="eastAsia" w:ascii="宋体" w:hAnsi="宋体" w:eastAsia="宋体" w:cs="宋体"/>
                <w:color w:val="000000"/>
                <w:kern w:val="0"/>
                <w:sz w:val="21"/>
                <w:szCs w:val="21"/>
              </w:rPr>
              <w:t>技术保障措施响应内容全面；</w:t>
            </w:r>
          </w:p>
          <w:p w14:paraId="1D327D64">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2.</w:t>
            </w:r>
            <w:r>
              <w:rPr>
                <w:rFonts w:hint="eastAsia" w:ascii="宋体" w:hAnsi="宋体" w:eastAsia="宋体" w:cs="宋体"/>
                <w:color w:val="000000"/>
                <w:kern w:val="0"/>
                <w:sz w:val="21"/>
                <w:szCs w:val="21"/>
              </w:rPr>
              <w:t>技术保障措施响应内容具体；</w:t>
            </w:r>
          </w:p>
          <w:p w14:paraId="3AB55E3F">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3.</w:t>
            </w:r>
            <w:r>
              <w:rPr>
                <w:rFonts w:hint="eastAsia" w:ascii="宋体" w:hAnsi="宋体" w:eastAsia="宋体" w:cs="宋体"/>
                <w:color w:val="000000"/>
                <w:kern w:val="0"/>
                <w:sz w:val="21"/>
                <w:szCs w:val="21"/>
              </w:rPr>
              <w:t>技术保障措施响应内容科学合理；</w:t>
            </w:r>
          </w:p>
          <w:p w14:paraId="3F32497E">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4.</w:t>
            </w:r>
            <w:r>
              <w:rPr>
                <w:rFonts w:hint="eastAsia" w:ascii="宋体" w:hAnsi="宋体" w:eastAsia="宋体" w:cs="宋体"/>
                <w:color w:val="000000"/>
                <w:kern w:val="0"/>
                <w:sz w:val="21"/>
                <w:szCs w:val="21"/>
              </w:rPr>
              <w:t>技术保障措施响应内容可操作性强。</w:t>
            </w:r>
          </w:p>
          <w:p w14:paraId="0226C4DC">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满足以上四项要求的评价为优，加</w:t>
            </w:r>
            <w:r>
              <w:rPr>
                <w:rFonts w:hint="eastAsia" w:ascii="宋体" w:hAnsi="宋体" w:cs="宋体"/>
                <w:color w:val="000000"/>
                <w:kern w:val="0"/>
                <w:sz w:val="21"/>
                <w:szCs w:val="21"/>
                <w:lang w:val="en-US" w:eastAsia="zh-CN"/>
              </w:rPr>
              <w:t>8</w:t>
            </w:r>
            <w:r>
              <w:rPr>
                <w:rFonts w:hint="eastAsia" w:ascii="宋体" w:hAnsi="宋体" w:eastAsia="宋体" w:cs="宋体"/>
                <w:color w:val="000000"/>
                <w:kern w:val="0"/>
                <w:sz w:val="21"/>
                <w:szCs w:val="21"/>
              </w:rPr>
              <w:t>分。</w:t>
            </w:r>
          </w:p>
          <w:p w14:paraId="277FC395">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满足以上任意三项要求的评价为良，加</w:t>
            </w:r>
            <w:r>
              <w:rPr>
                <w:rFonts w:hint="eastAsia" w:ascii="宋体" w:hAnsi="宋体" w:cs="宋体"/>
                <w:color w:val="000000"/>
                <w:kern w:val="0"/>
                <w:sz w:val="21"/>
                <w:szCs w:val="21"/>
                <w:lang w:val="en-US" w:eastAsia="zh-CN"/>
              </w:rPr>
              <w:t>5</w:t>
            </w:r>
            <w:r>
              <w:rPr>
                <w:rFonts w:hint="eastAsia" w:ascii="宋体" w:hAnsi="宋体" w:eastAsia="宋体" w:cs="宋体"/>
                <w:color w:val="000000"/>
                <w:kern w:val="0"/>
                <w:sz w:val="21"/>
                <w:szCs w:val="21"/>
              </w:rPr>
              <w:t>分。</w:t>
            </w:r>
          </w:p>
          <w:p w14:paraId="38D8EE6F">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满足以上任意二项要求的评价为中，加</w:t>
            </w:r>
            <w:r>
              <w:rPr>
                <w:rFonts w:hint="eastAsia" w:ascii="宋体" w:hAnsi="宋体" w:cs="宋体"/>
                <w:color w:val="000000"/>
                <w:kern w:val="0"/>
                <w:sz w:val="21"/>
                <w:szCs w:val="21"/>
                <w:lang w:val="en-US" w:eastAsia="zh-CN"/>
              </w:rPr>
              <w:t>2</w:t>
            </w:r>
            <w:r>
              <w:rPr>
                <w:rFonts w:hint="eastAsia" w:ascii="宋体" w:hAnsi="宋体" w:eastAsia="宋体" w:cs="宋体"/>
                <w:color w:val="000000"/>
                <w:kern w:val="0"/>
                <w:sz w:val="21"/>
                <w:szCs w:val="21"/>
              </w:rPr>
              <w:t>分。</w:t>
            </w:r>
          </w:p>
          <w:p w14:paraId="049F9D56">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其它情况的评价为差，加0分。</w:t>
            </w:r>
          </w:p>
          <w:p w14:paraId="1930717D">
            <w:pPr>
              <w:keepNext w:val="0"/>
              <w:keepLines w:val="0"/>
              <w:widowControl/>
              <w:suppressLineNumbers w:val="0"/>
              <w:spacing w:before="0" w:beforeAutospacing="0" w:after="0" w:afterAutospacing="0" w:line="360" w:lineRule="auto"/>
              <w:ind w:left="0" w:leftChars="0" w:right="0" w:rightChars="0"/>
              <w:jc w:val="left"/>
              <w:rPr>
                <w:rFonts w:hint="eastAsia"/>
                <w:lang w:val="en-US" w:eastAsia="zh-CN"/>
              </w:rPr>
            </w:pPr>
            <w:r>
              <w:rPr>
                <w:rFonts w:hint="eastAsia" w:ascii="宋体" w:hAnsi="宋体" w:eastAsia="宋体" w:cs="宋体"/>
                <w:sz w:val="21"/>
                <w:szCs w:val="21"/>
              </w:rPr>
              <w:t>若评审为差，专家应当书面说明理由并记录在档。</w:t>
            </w:r>
          </w:p>
        </w:tc>
      </w:tr>
      <w:tr w14:paraId="458A07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tcBorders>
              <w:left w:val="single" w:color="auto" w:sz="4" w:space="0"/>
            </w:tcBorders>
            <w:noWrap w:val="0"/>
            <w:vAlign w:val="center"/>
          </w:tcPr>
          <w:p w14:paraId="65470BA4">
            <w:pPr>
              <w:keepNext w:val="0"/>
              <w:keepLines w:val="0"/>
              <w:suppressLineNumbers w:val="0"/>
              <w:spacing w:before="0" w:beforeAutospacing="0" w:after="0" w:afterAutospacing="0" w:line="50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3</w:t>
            </w:r>
          </w:p>
        </w:tc>
        <w:tc>
          <w:tcPr>
            <w:tcW w:w="4233" w:type="dxa"/>
            <w:gridSpan w:val="4"/>
            <w:noWrap w:val="0"/>
            <w:vAlign w:val="center"/>
          </w:tcPr>
          <w:p w14:paraId="01D30520">
            <w:pPr>
              <w:keepNext w:val="0"/>
              <w:keepLines w:val="0"/>
              <w:suppressLineNumbers w:val="0"/>
              <w:spacing w:before="0" w:beforeAutospacing="0" w:after="0" w:afterAutospacing="0" w:line="500" w:lineRule="exact"/>
              <w:ind w:left="0" w:right="0"/>
              <w:jc w:val="center"/>
              <w:rPr>
                <w:rFonts w:hint="eastAsia" w:ascii="宋体" w:hAnsi="宋体" w:eastAsia="宋体" w:cs="宋体"/>
                <w:b/>
                <w:bCs/>
                <w:sz w:val="21"/>
                <w:szCs w:val="21"/>
              </w:rPr>
            </w:pPr>
            <w:r>
              <w:rPr>
                <w:rFonts w:hint="eastAsia" w:ascii="宋体" w:hAnsi="宋体" w:eastAsia="宋体" w:cs="宋体"/>
                <w:b/>
                <w:bCs/>
                <w:sz w:val="21"/>
                <w:szCs w:val="21"/>
              </w:rPr>
              <w:t>商务部分</w:t>
            </w:r>
          </w:p>
        </w:tc>
        <w:tc>
          <w:tcPr>
            <w:tcW w:w="4347" w:type="dxa"/>
            <w:tcBorders>
              <w:right w:val="single" w:color="auto" w:sz="4" w:space="0"/>
            </w:tcBorders>
            <w:noWrap w:val="0"/>
            <w:vAlign w:val="center"/>
          </w:tcPr>
          <w:p w14:paraId="1C02E121">
            <w:pPr>
              <w:keepNext w:val="0"/>
              <w:keepLines w:val="0"/>
              <w:suppressLineNumbers w:val="0"/>
              <w:spacing w:before="0" w:beforeAutospacing="0" w:after="0" w:afterAutospacing="0" w:line="500" w:lineRule="exact"/>
              <w:ind w:left="0" w:right="0"/>
              <w:jc w:val="center"/>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11</w:t>
            </w:r>
          </w:p>
        </w:tc>
      </w:tr>
      <w:tr w14:paraId="39E502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4" w:type="dxa"/>
            <w:vMerge w:val="restart"/>
            <w:tcBorders>
              <w:left w:val="single" w:color="auto" w:sz="4" w:space="0"/>
            </w:tcBorders>
            <w:noWrap w:val="0"/>
            <w:vAlign w:val="center"/>
          </w:tcPr>
          <w:p w14:paraId="7E4824AA">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p>
        </w:tc>
        <w:tc>
          <w:tcPr>
            <w:tcW w:w="900" w:type="dxa"/>
            <w:noWrap w:val="0"/>
            <w:vAlign w:val="center"/>
          </w:tcPr>
          <w:p w14:paraId="5A4E6893">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483" w:type="dxa"/>
            <w:noWrap w:val="0"/>
            <w:vAlign w:val="center"/>
          </w:tcPr>
          <w:p w14:paraId="75499039">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评分因素</w:t>
            </w:r>
          </w:p>
        </w:tc>
        <w:tc>
          <w:tcPr>
            <w:tcW w:w="767" w:type="dxa"/>
            <w:noWrap w:val="0"/>
            <w:vAlign w:val="center"/>
          </w:tcPr>
          <w:p w14:paraId="086C99E8">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权重</w:t>
            </w:r>
          </w:p>
        </w:tc>
        <w:tc>
          <w:tcPr>
            <w:tcW w:w="1083" w:type="dxa"/>
            <w:noWrap w:val="0"/>
            <w:vAlign w:val="center"/>
          </w:tcPr>
          <w:p w14:paraId="4CDA7790">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评分方式</w:t>
            </w:r>
          </w:p>
        </w:tc>
        <w:tc>
          <w:tcPr>
            <w:tcW w:w="4347" w:type="dxa"/>
            <w:tcBorders>
              <w:right w:val="single" w:color="auto" w:sz="4" w:space="0"/>
            </w:tcBorders>
            <w:noWrap w:val="0"/>
            <w:vAlign w:val="center"/>
          </w:tcPr>
          <w:p w14:paraId="11D6711C">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评分准则</w:t>
            </w:r>
          </w:p>
        </w:tc>
      </w:tr>
      <w:tr w14:paraId="74B96B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4" w:type="dxa"/>
            <w:vMerge w:val="continue"/>
            <w:tcBorders>
              <w:left w:val="single" w:color="auto" w:sz="4" w:space="0"/>
            </w:tcBorders>
            <w:noWrap w:val="0"/>
            <w:vAlign w:val="center"/>
          </w:tcPr>
          <w:p w14:paraId="2F4FC4D9">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p>
        </w:tc>
        <w:tc>
          <w:tcPr>
            <w:tcW w:w="900" w:type="dxa"/>
            <w:noWrap w:val="0"/>
            <w:vAlign w:val="center"/>
          </w:tcPr>
          <w:p w14:paraId="64D540C3">
            <w:pPr>
              <w:keepNext w:val="0"/>
              <w:keepLines w:val="0"/>
              <w:suppressLineNumbers w:val="0"/>
              <w:spacing w:before="0" w:beforeAutospacing="0" w:after="0" w:afterAutospacing="0" w:line="500" w:lineRule="exact"/>
              <w:ind w:left="0" w:right="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483" w:type="dxa"/>
            <w:noWrap w:val="0"/>
            <w:vAlign w:val="center"/>
          </w:tcPr>
          <w:p w14:paraId="12B53B2B">
            <w:pPr>
              <w:keepNext w:val="0"/>
              <w:keepLines w:val="0"/>
              <w:widowControl/>
              <w:suppressLineNumbers w:val="0"/>
              <w:tabs>
                <w:tab w:val="left" w:pos="426"/>
              </w:tabs>
              <w:spacing w:before="0" w:beforeAutospacing="0" w:after="0" w:afterAutospacing="0" w:line="500" w:lineRule="exact"/>
              <w:ind w:left="0" w:right="0"/>
              <w:jc w:val="center"/>
              <w:rPr>
                <w:rFonts w:hint="eastAsia" w:ascii="宋体" w:hAnsi="宋体" w:eastAsia="宋体" w:cs="宋体"/>
                <w:kern w:val="0"/>
                <w:sz w:val="21"/>
                <w:szCs w:val="21"/>
              </w:rPr>
            </w:pPr>
            <w:r>
              <w:rPr>
                <w:rFonts w:hint="eastAsia" w:ascii="宋体" w:hAnsi="宋体" w:eastAsia="宋体" w:cs="宋体"/>
                <w:szCs w:val="21"/>
              </w:rPr>
              <w:t>演示</w:t>
            </w:r>
          </w:p>
        </w:tc>
        <w:tc>
          <w:tcPr>
            <w:tcW w:w="767" w:type="dxa"/>
            <w:noWrap w:val="0"/>
            <w:vAlign w:val="center"/>
          </w:tcPr>
          <w:p w14:paraId="0C943898">
            <w:pPr>
              <w:spacing w:line="240" w:lineRule="exact"/>
              <w:jc w:val="center"/>
              <w:rPr>
                <w:rFonts w:hint="eastAsia" w:ascii="宋体" w:hAnsi="宋体" w:eastAsia="宋体" w:cs="宋体"/>
                <w:kern w:val="0"/>
                <w:sz w:val="21"/>
                <w:szCs w:val="21"/>
                <w:lang w:val="en-US" w:eastAsia="zh-CN"/>
              </w:rPr>
            </w:pPr>
            <w:r>
              <w:rPr>
                <w:rFonts w:hint="eastAsia" w:ascii="宋体" w:hAnsi="宋体" w:eastAsia="宋体" w:cs="宋体"/>
                <w:szCs w:val="21"/>
              </w:rPr>
              <w:t>10</w:t>
            </w:r>
          </w:p>
        </w:tc>
        <w:tc>
          <w:tcPr>
            <w:tcW w:w="1083" w:type="dxa"/>
            <w:noWrap w:val="0"/>
            <w:vAlign w:val="center"/>
          </w:tcPr>
          <w:p w14:paraId="30ADDF2B">
            <w:pPr>
              <w:spacing w:line="240" w:lineRule="exact"/>
              <w:jc w:val="center"/>
              <w:rPr>
                <w:rFonts w:hint="eastAsia" w:ascii="宋体" w:hAnsi="宋体" w:eastAsia="宋体" w:cs="宋体"/>
                <w:kern w:val="0"/>
                <w:sz w:val="21"/>
                <w:szCs w:val="21"/>
              </w:rPr>
            </w:pPr>
            <w:r>
              <w:rPr>
                <w:rFonts w:hint="eastAsia" w:ascii="宋体" w:hAnsi="宋体" w:eastAsia="宋体" w:cs="宋体"/>
                <w:sz w:val="21"/>
                <w:szCs w:val="21"/>
                <w:highlight w:val="none"/>
              </w:rPr>
              <w:t>专家</w:t>
            </w:r>
            <w:r>
              <w:rPr>
                <w:rFonts w:hint="eastAsia" w:ascii="宋体" w:hAnsi="宋体" w:eastAsia="宋体" w:cs="宋体"/>
                <w:kern w:val="0"/>
                <w:sz w:val="21"/>
                <w:szCs w:val="21"/>
              </w:rPr>
              <w:t>评分</w:t>
            </w:r>
          </w:p>
        </w:tc>
        <w:tc>
          <w:tcPr>
            <w:tcW w:w="4347" w:type="dxa"/>
            <w:tcBorders>
              <w:right w:val="single" w:color="auto" w:sz="4" w:space="0"/>
            </w:tcBorders>
            <w:noWrap w:val="0"/>
            <w:vAlign w:val="center"/>
          </w:tcPr>
          <w:p w14:paraId="78907646">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1.评审委员会根据“七、演示要求”的内容进行打分，全部演示满足的得66分，每一项演示不满足扣6分，扣完为止，不提供演示不得分。</w:t>
            </w:r>
          </w:p>
          <w:p w14:paraId="67732B0E">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2.在此基础上，根据以下标准进行评价评分：</w:t>
            </w:r>
          </w:p>
          <w:p w14:paraId="09048628">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评价为优：演示功能全面、运行效果流畅，演示内容完整且清晰，完整匹配演示要求的，得34分；</w:t>
            </w:r>
          </w:p>
          <w:p w14:paraId="40922665">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评价为良：演示功能较全面、运行效果较流畅，演示内容基本完整清晰，基本满足演示要求的，得20分；                                   </w:t>
            </w:r>
          </w:p>
          <w:p w14:paraId="4348A59A">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评价为中：演示功能不全、运行效果不流畅，演示内容不</w:t>
            </w:r>
            <w:r>
              <w:rPr>
                <w:rFonts w:hint="eastAsia" w:ascii="宋体" w:hAnsi="宋体" w:cs="宋体"/>
                <w:color w:val="000000"/>
                <w:kern w:val="0"/>
                <w:sz w:val="21"/>
                <w:szCs w:val="21"/>
                <w:lang w:val="en-US" w:eastAsia="zh-CN"/>
              </w:rPr>
              <w:t>完整</w:t>
            </w:r>
            <w:r>
              <w:rPr>
                <w:rFonts w:hint="eastAsia" w:ascii="宋体" w:hAnsi="宋体" w:eastAsia="宋体" w:cs="宋体"/>
                <w:color w:val="000000"/>
                <w:kern w:val="0"/>
                <w:sz w:val="21"/>
                <w:szCs w:val="21"/>
              </w:rPr>
              <w:t>不清晰，不能满足演示要求的，得10分；</w:t>
            </w:r>
          </w:p>
          <w:p w14:paraId="5BC0CB78">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评价为差：演示功能</w:t>
            </w:r>
            <w:r>
              <w:rPr>
                <w:rFonts w:hint="eastAsia" w:ascii="宋体" w:hAnsi="宋体" w:cs="宋体"/>
                <w:color w:val="000000"/>
                <w:kern w:val="0"/>
                <w:sz w:val="21"/>
                <w:szCs w:val="21"/>
                <w:lang w:val="en-US" w:eastAsia="zh-CN"/>
              </w:rPr>
              <w:t>存在重大缺漏</w:t>
            </w:r>
            <w:r>
              <w:rPr>
                <w:rFonts w:hint="eastAsia" w:ascii="宋体" w:hAnsi="宋体" w:eastAsia="宋体" w:cs="宋体"/>
                <w:color w:val="000000"/>
                <w:kern w:val="0"/>
                <w:sz w:val="21"/>
                <w:szCs w:val="21"/>
              </w:rPr>
              <w:t>、运行效果</w:t>
            </w:r>
            <w:r>
              <w:rPr>
                <w:rFonts w:hint="eastAsia" w:ascii="宋体" w:hAnsi="宋体" w:cs="宋体"/>
                <w:color w:val="000000"/>
                <w:kern w:val="0"/>
                <w:sz w:val="21"/>
                <w:szCs w:val="21"/>
                <w:lang w:val="en-US" w:eastAsia="zh-CN"/>
              </w:rPr>
              <w:t>很</w:t>
            </w:r>
            <w:r>
              <w:rPr>
                <w:rFonts w:hint="eastAsia" w:ascii="宋体" w:hAnsi="宋体" w:eastAsia="宋体" w:cs="宋体"/>
                <w:color w:val="000000"/>
                <w:kern w:val="0"/>
                <w:sz w:val="21"/>
                <w:szCs w:val="21"/>
              </w:rPr>
              <w:t>不流畅，演示内容</w:t>
            </w:r>
            <w:r>
              <w:rPr>
                <w:rFonts w:hint="eastAsia" w:ascii="宋体" w:hAnsi="宋体" w:cs="宋体"/>
                <w:color w:val="000000"/>
                <w:kern w:val="0"/>
                <w:sz w:val="21"/>
                <w:szCs w:val="21"/>
                <w:lang w:val="en-US" w:eastAsia="zh-CN"/>
              </w:rPr>
              <w:t>很</w:t>
            </w:r>
            <w:r>
              <w:rPr>
                <w:rFonts w:hint="eastAsia" w:ascii="宋体" w:hAnsi="宋体" w:eastAsia="宋体" w:cs="宋体"/>
                <w:color w:val="000000"/>
                <w:kern w:val="0"/>
                <w:sz w:val="21"/>
                <w:szCs w:val="21"/>
              </w:rPr>
              <w:t>不</w:t>
            </w:r>
            <w:r>
              <w:rPr>
                <w:rFonts w:hint="eastAsia" w:ascii="宋体" w:hAnsi="宋体" w:cs="宋体"/>
                <w:color w:val="000000"/>
                <w:kern w:val="0"/>
                <w:sz w:val="21"/>
                <w:szCs w:val="21"/>
                <w:lang w:val="en-US" w:eastAsia="zh-CN"/>
              </w:rPr>
              <w:t>完整很</w:t>
            </w:r>
            <w:r>
              <w:rPr>
                <w:rFonts w:hint="eastAsia" w:ascii="宋体" w:hAnsi="宋体" w:eastAsia="宋体" w:cs="宋体"/>
                <w:color w:val="000000"/>
                <w:kern w:val="0"/>
                <w:sz w:val="21"/>
                <w:szCs w:val="21"/>
              </w:rPr>
              <w:t>不清晰，</w:t>
            </w:r>
            <w:r>
              <w:rPr>
                <w:rFonts w:hint="eastAsia" w:ascii="宋体" w:hAnsi="宋体" w:cs="宋体"/>
                <w:color w:val="000000"/>
                <w:kern w:val="0"/>
                <w:sz w:val="21"/>
                <w:szCs w:val="21"/>
                <w:lang w:val="en-US" w:eastAsia="zh-CN"/>
              </w:rPr>
              <w:t>根本</w:t>
            </w:r>
            <w:r>
              <w:rPr>
                <w:rFonts w:hint="eastAsia" w:ascii="宋体" w:hAnsi="宋体" w:eastAsia="宋体" w:cs="宋体"/>
                <w:color w:val="000000"/>
                <w:kern w:val="0"/>
                <w:sz w:val="21"/>
                <w:szCs w:val="21"/>
              </w:rPr>
              <w:t>不能满足演示要求</w:t>
            </w:r>
            <w:r>
              <w:rPr>
                <w:rFonts w:hint="eastAsia" w:ascii="宋体" w:hAnsi="宋体" w:cs="宋体"/>
                <w:color w:val="000000"/>
                <w:kern w:val="0"/>
                <w:sz w:val="21"/>
                <w:szCs w:val="21"/>
                <w:lang w:val="en-US" w:eastAsia="zh-CN"/>
              </w:rPr>
              <w:t>或</w:t>
            </w:r>
            <w:r>
              <w:rPr>
                <w:rFonts w:hint="eastAsia" w:ascii="宋体" w:hAnsi="宋体" w:eastAsia="宋体" w:cs="宋体"/>
                <w:color w:val="000000"/>
                <w:kern w:val="0"/>
                <w:sz w:val="21"/>
                <w:szCs w:val="21"/>
              </w:rPr>
              <w:t>未演示的，得0分。</w:t>
            </w:r>
          </w:p>
          <w:p w14:paraId="2FD510C0">
            <w:pPr>
              <w:keepNext w:val="0"/>
              <w:keepLines w:val="0"/>
              <w:widowControl/>
              <w:suppressLineNumbers w:val="0"/>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color w:val="000000"/>
                <w:kern w:val="0"/>
                <w:sz w:val="21"/>
                <w:szCs w:val="21"/>
              </w:rPr>
              <w:t>如评审为差，评审专家须书面说明理由，并记录在档。</w:t>
            </w:r>
          </w:p>
        </w:tc>
      </w:tr>
      <w:tr w14:paraId="133DE1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4" w:type="dxa"/>
            <w:vMerge w:val="continue"/>
            <w:tcBorders>
              <w:left w:val="single" w:color="auto" w:sz="4" w:space="0"/>
              <w:bottom w:val="single" w:color="auto" w:sz="4" w:space="0"/>
            </w:tcBorders>
            <w:noWrap w:val="0"/>
            <w:vAlign w:val="center"/>
          </w:tcPr>
          <w:p w14:paraId="0F3DC200">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p>
        </w:tc>
        <w:tc>
          <w:tcPr>
            <w:tcW w:w="900" w:type="dxa"/>
            <w:tcBorders>
              <w:bottom w:val="single" w:color="auto" w:sz="4" w:space="0"/>
            </w:tcBorders>
            <w:noWrap w:val="0"/>
            <w:vAlign w:val="center"/>
          </w:tcPr>
          <w:p w14:paraId="64204E21">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lang w:eastAsia="zh-CN"/>
              </w:rPr>
            </w:pPr>
            <w:r>
              <w:rPr>
                <w:rFonts w:hint="eastAsia" w:ascii="宋体" w:hAnsi="宋体" w:cs="宋体"/>
                <w:sz w:val="21"/>
                <w:szCs w:val="21"/>
                <w:lang w:val="en-US" w:eastAsia="zh-CN"/>
              </w:rPr>
              <w:t>2</w:t>
            </w:r>
          </w:p>
        </w:tc>
        <w:tc>
          <w:tcPr>
            <w:tcW w:w="1483" w:type="dxa"/>
            <w:tcBorders>
              <w:bottom w:val="single" w:color="auto" w:sz="4" w:space="0"/>
            </w:tcBorders>
            <w:noWrap w:val="0"/>
            <w:vAlign w:val="center"/>
          </w:tcPr>
          <w:p w14:paraId="1552DE98">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诚信情况</w:t>
            </w:r>
          </w:p>
        </w:tc>
        <w:tc>
          <w:tcPr>
            <w:tcW w:w="767" w:type="dxa"/>
            <w:tcBorders>
              <w:bottom w:val="single" w:color="auto" w:sz="4" w:space="0"/>
            </w:tcBorders>
            <w:noWrap w:val="0"/>
            <w:vAlign w:val="center"/>
          </w:tcPr>
          <w:p w14:paraId="2A5D90A8">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p>
        </w:tc>
        <w:tc>
          <w:tcPr>
            <w:tcW w:w="1083" w:type="dxa"/>
            <w:tcBorders>
              <w:bottom w:val="single" w:color="auto" w:sz="4" w:space="0"/>
            </w:tcBorders>
            <w:noWrap w:val="0"/>
            <w:vAlign w:val="center"/>
          </w:tcPr>
          <w:p w14:paraId="2AE7BBB8">
            <w:pPr>
              <w:keepNext w:val="0"/>
              <w:keepLines w:val="0"/>
              <w:suppressLineNumbers w:val="0"/>
              <w:spacing w:before="0" w:beforeAutospacing="0" w:after="0" w:afterAutospacing="0" w:line="500" w:lineRule="exact"/>
              <w:ind w:left="0" w:right="0"/>
              <w:jc w:val="center"/>
              <w:rPr>
                <w:rFonts w:hint="eastAsia" w:ascii="宋体" w:hAnsi="宋体" w:eastAsia="宋体" w:cs="宋体"/>
                <w:sz w:val="21"/>
                <w:szCs w:val="21"/>
              </w:rPr>
            </w:pPr>
            <w:r>
              <w:rPr>
                <w:rFonts w:hint="eastAsia" w:ascii="宋体" w:hAnsi="宋体" w:eastAsia="宋体" w:cs="宋体"/>
                <w:sz w:val="21"/>
                <w:szCs w:val="21"/>
              </w:rPr>
              <w:t>专家评分</w:t>
            </w:r>
          </w:p>
        </w:tc>
        <w:tc>
          <w:tcPr>
            <w:tcW w:w="4347" w:type="dxa"/>
            <w:tcBorders>
              <w:bottom w:val="single" w:color="auto" w:sz="4" w:space="0"/>
              <w:right w:val="single" w:color="auto" w:sz="4" w:space="0"/>
            </w:tcBorders>
            <w:noWrap w:val="0"/>
            <w:vAlign w:val="center"/>
          </w:tcPr>
          <w:p w14:paraId="487F35CD">
            <w:pPr>
              <w:keepNext w:val="0"/>
              <w:keepLines w:val="0"/>
              <w:widowControl/>
              <w:suppressLineNumbers w:val="0"/>
              <w:tabs>
                <w:tab w:val="left" w:pos="426"/>
              </w:tabs>
              <w:spacing w:before="0" w:beforeAutospacing="0" w:after="0" w:afterAutospacing="0" w:line="360" w:lineRule="auto"/>
              <w:ind w:left="0" w:right="0"/>
              <w:rPr>
                <w:rFonts w:hint="eastAsia" w:ascii="宋体" w:hAnsi="宋体" w:eastAsia="宋体" w:cs="宋体"/>
                <w:kern w:val="0"/>
                <w:sz w:val="21"/>
                <w:szCs w:val="21"/>
              </w:rPr>
            </w:pPr>
            <w:r>
              <w:rPr>
                <w:rFonts w:hint="eastAsia" w:ascii="宋体" w:hAnsi="宋体" w:eastAsia="宋体" w:cs="宋体"/>
                <w:kern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14:paraId="0A9D9651">
            <w:pPr>
              <w:keepNext w:val="0"/>
              <w:keepLines w:val="0"/>
              <w:widowControl/>
              <w:suppressLineNumbers w:val="0"/>
              <w:tabs>
                <w:tab w:val="left" w:pos="426"/>
              </w:tabs>
              <w:spacing w:before="0" w:beforeAutospacing="0" w:after="0" w:afterAutospacing="0" w:line="360" w:lineRule="auto"/>
              <w:ind w:left="0" w:right="0"/>
              <w:rPr>
                <w:rFonts w:hint="eastAsia" w:ascii="宋体" w:hAnsi="宋体" w:eastAsia="宋体" w:cs="宋体"/>
                <w:kern w:val="0"/>
                <w:sz w:val="21"/>
                <w:szCs w:val="21"/>
              </w:rPr>
            </w:pPr>
            <w:r>
              <w:rPr>
                <w:rFonts w:hint="eastAsia" w:ascii="宋体" w:hAnsi="宋体" w:eastAsia="宋体" w:cs="宋体"/>
                <w:kern w:val="0"/>
                <w:sz w:val="21"/>
                <w:szCs w:val="21"/>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bookmarkEnd w:id="1"/>
    </w:tbl>
    <w:p w14:paraId="27E1362C">
      <w:pPr>
        <w:jc w:val="center"/>
        <w:rPr>
          <w:rFonts w:hint="eastAsia"/>
          <w:b/>
          <w:sz w:val="120"/>
          <w:szCs w:val="120"/>
        </w:rPr>
      </w:pPr>
    </w:p>
    <w:p w14:paraId="6B1EB9F8">
      <w:pPr>
        <w:jc w:val="center"/>
        <w:rPr>
          <w:rFonts w:hint="eastAsia"/>
          <w:b/>
          <w:sz w:val="120"/>
          <w:szCs w:val="120"/>
        </w:rPr>
      </w:pPr>
    </w:p>
    <w:p w14:paraId="70524D4E">
      <w:pPr>
        <w:jc w:val="center"/>
        <w:rPr>
          <w:rFonts w:hint="eastAsia"/>
          <w:b/>
          <w:sz w:val="120"/>
          <w:szCs w:val="120"/>
        </w:rPr>
      </w:pPr>
    </w:p>
    <w:p w14:paraId="7D756BD5">
      <w:pPr>
        <w:jc w:val="center"/>
        <w:rPr>
          <w:b/>
          <w:sz w:val="120"/>
          <w:szCs w:val="120"/>
        </w:rPr>
      </w:pPr>
      <w:r>
        <w:rPr>
          <w:rFonts w:hint="eastAsia"/>
          <w:b/>
          <w:sz w:val="120"/>
          <w:szCs w:val="120"/>
        </w:rPr>
        <w:t>政府采购</w:t>
      </w:r>
    </w:p>
    <w:p w14:paraId="49C9AC54">
      <w:pPr>
        <w:jc w:val="center"/>
        <w:rPr>
          <w:b/>
          <w:sz w:val="120"/>
          <w:szCs w:val="120"/>
        </w:rPr>
      </w:pPr>
      <w:r>
        <w:rPr>
          <w:rFonts w:hint="eastAsia"/>
          <w:b/>
          <w:sz w:val="120"/>
          <w:szCs w:val="120"/>
        </w:rPr>
        <w:t>招标文件</w:t>
      </w:r>
    </w:p>
    <w:p w14:paraId="26840393">
      <w:pPr>
        <w:jc w:val="center"/>
        <w:rPr>
          <w:b/>
          <w:sz w:val="52"/>
          <w:szCs w:val="52"/>
        </w:rPr>
      </w:pPr>
      <w:r>
        <w:rPr>
          <w:rFonts w:hint="eastAsia"/>
          <w:b/>
          <w:sz w:val="52"/>
          <w:szCs w:val="52"/>
        </w:rPr>
        <w:t>（货物类）</w:t>
      </w:r>
    </w:p>
    <w:p w14:paraId="03A6E06A"/>
    <w:p w14:paraId="31B4BB91"/>
    <w:p w14:paraId="44AB05C2"/>
    <w:p w14:paraId="1A48B2DA"/>
    <w:p w14:paraId="45C018F6"/>
    <w:p w14:paraId="59661D8B"/>
    <w:p w14:paraId="339A3782"/>
    <w:p w14:paraId="7986F55C"/>
    <w:p w14:paraId="01B0812B"/>
    <w:p w14:paraId="0F7A5D6B"/>
    <w:p w14:paraId="397D4E3D"/>
    <w:p w14:paraId="17F06779"/>
    <w:p w14:paraId="2FFEC263"/>
    <w:p w14:paraId="730CD1A1"/>
    <w:p w14:paraId="22DE50DB"/>
    <w:p w14:paraId="1923EEA0"/>
    <w:p w14:paraId="68E3935A"/>
    <w:p w14:paraId="2E2D150C"/>
    <w:p w14:paraId="0C1474FB"/>
    <w:p w14:paraId="0BE1CE29">
      <w:pPr>
        <w:jc w:val="center"/>
        <w:rPr>
          <w:b/>
          <w:sz w:val="44"/>
          <w:szCs w:val="44"/>
        </w:rPr>
      </w:pPr>
      <w:bookmarkStart w:id="2" w:name="_Hlk71465316"/>
      <w:r>
        <w:rPr>
          <w:rFonts w:hint="eastAsia"/>
          <w:b/>
          <w:sz w:val="44"/>
          <w:szCs w:val="44"/>
        </w:rPr>
        <w:t>深圳公共资源交易中心</w:t>
      </w:r>
    </w:p>
    <w:p w14:paraId="08E3FE11">
      <w:pPr>
        <w:jc w:val="center"/>
        <w:rPr>
          <w:b/>
          <w:sz w:val="44"/>
          <w:szCs w:val="44"/>
        </w:rPr>
      </w:pPr>
      <w:r>
        <w:rPr>
          <w:rFonts w:hint="eastAsia"/>
          <w:b/>
          <w:sz w:val="44"/>
          <w:szCs w:val="44"/>
        </w:rPr>
        <w:t>（2026）</w:t>
      </w:r>
    </w:p>
    <w:bookmarkEnd w:id="2"/>
    <w:p w14:paraId="07D9D224">
      <w:pPr>
        <w:widowControl/>
        <w:jc w:val="center"/>
      </w:pPr>
    </w:p>
    <w:p w14:paraId="5BCDCB1C">
      <w:pPr>
        <w:widowControl/>
        <w:jc w:val="both"/>
      </w:pPr>
    </w:p>
    <w:p w14:paraId="454A6625">
      <w:pPr>
        <w:spacing w:before="240" w:beforeLines="100" w:after="240" w:afterLines="100"/>
        <w:jc w:val="center"/>
        <w:rPr>
          <w:rFonts w:hint="eastAsia" w:ascii="黑体" w:hAnsi="黑体" w:eastAsia="黑体" w:cs="黑体"/>
          <w:b/>
          <w:bCs/>
          <w:sz w:val="28"/>
          <w:szCs w:val="36"/>
        </w:rPr>
      </w:pPr>
      <w:bookmarkStart w:id="3" w:name="_Hlk72218009"/>
      <w:r>
        <w:rPr>
          <w:rFonts w:hint="eastAsia" w:ascii="黑体" w:hAnsi="黑体" w:eastAsia="黑体" w:cs="黑体"/>
          <w:b/>
          <w:bCs/>
          <w:sz w:val="28"/>
          <w:szCs w:val="36"/>
        </w:rPr>
        <w:t>目   录</w:t>
      </w:r>
    </w:p>
    <w:p w14:paraId="3D500770">
      <w:pPr>
        <w:outlineLvl w:val="0"/>
        <w:rPr>
          <w:b/>
          <w:sz w:val="24"/>
        </w:rPr>
      </w:pPr>
      <w:r>
        <w:rPr>
          <w:rFonts w:hint="eastAsia"/>
          <w:b/>
          <w:sz w:val="24"/>
        </w:rPr>
        <w:t>第一册    专用条款</w:t>
      </w:r>
    </w:p>
    <w:p w14:paraId="25C21372">
      <w:pPr>
        <w:ind w:firstLine="960" w:firstLineChars="400"/>
        <w:rPr>
          <w:sz w:val="24"/>
        </w:rPr>
      </w:pPr>
      <w:r>
        <w:rPr>
          <w:rFonts w:hint="eastAsia"/>
          <w:sz w:val="24"/>
        </w:rPr>
        <w:t>关键信息</w:t>
      </w:r>
    </w:p>
    <w:p w14:paraId="55F928DB">
      <w:pPr>
        <w:ind w:left="630" w:leftChars="300" w:firstLine="630" w:firstLineChars="300"/>
        <w:rPr>
          <w:rFonts w:hint="eastAsia" w:ascii="宋体" w:hAnsi="宋体"/>
          <w:szCs w:val="21"/>
        </w:rPr>
      </w:pPr>
      <w:r>
        <w:rPr>
          <w:rFonts w:hint="eastAsia" w:ascii="宋体" w:hAnsi="宋体"/>
          <w:szCs w:val="21"/>
        </w:rPr>
        <w:t>第一章  招标公告</w:t>
      </w:r>
    </w:p>
    <w:p w14:paraId="256A585A">
      <w:pPr>
        <w:ind w:left="630" w:leftChars="300" w:firstLine="630" w:firstLineChars="300"/>
        <w:rPr>
          <w:rFonts w:hint="eastAsia" w:ascii="宋体" w:hAnsi="宋体"/>
          <w:szCs w:val="21"/>
        </w:rPr>
      </w:pPr>
      <w:r>
        <w:rPr>
          <w:rFonts w:hint="eastAsia" w:ascii="宋体" w:hAnsi="宋体"/>
          <w:szCs w:val="21"/>
        </w:rPr>
        <w:t xml:space="preserve">第二章  </w:t>
      </w:r>
      <w:bookmarkStart w:id="4" w:name="_Hlk71994379"/>
      <w:r>
        <w:rPr>
          <w:rFonts w:hint="eastAsia" w:ascii="宋体" w:hAnsi="宋体"/>
          <w:szCs w:val="21"/>
        </w:rPr>
        <w:t>对通用条款的补充内容及其他关键信息</w:t>
      </w:r>
      <w:bookmarkEnd w:id="4"/>
    </w:p>
    <w:p w14:paraId="6D87CDB6">
      <w:pPr>
        <w:ind w:left="630" w:leftChars="300" w:firstLine="630" w:firstLineChars="300"/>
        <w:rPr>
          <w:rFonts w:hint="eastAsia"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21B4C94">
      <w:pPr>
        <w:ind w:left="630" w:leftChars="300" w:firstLine="630" w:firstLineChars="300"/>
        <w:rPr>
          <w:rFonts w:hint="eastAsia"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05341AD3">
      <w:pPr>
        <w:ind w:left="630" w:leftChars="300" w:firstLine="630" w:firstLineChars="300"/>
        <w:rPr>
          <w:rFonts w:hint="eastAsia" w:ascii="宋体" w:hAnsi="宋体"/>
          <w:szCs w:val="21"/>
        </w:rPr>
      </w:pPr>
      <w:r>
        <w:rPr>
          <w:rFonts w:hint="eastAsia" w:ascii="宋体" w:hAnsi="宋体"/>
          <w:szCs w:val="21"/>
        </w:rPr>
        <w:t>第五章  合同条款及格式</w:t>
      </w:r>
    </w:p>
    <w:p w14:paraId="5F92AC7E">
      <w:pPr>
        <w:rPr>
          <w:b/>
          <w:sz w:val="24"/>
        </w:rPr>
      </w:pPr>
    </w:p>
    <w:p w14:paraId="06E310A1">
      <w:pPr>
        <w:outlineLvl w:val="0"/>
        <w:rPr>
          <w:b/>
          <w:sz w:val="24"/>
        </w:rPr>
      </w:pPr>
      <w:r>
        <w:rPr>
          <w:rFonts w:hint="eastAsia"/>
          <w:b/>
          <w:sz w:val="24"/>
        </w:rPr>
        <w:t>第二册    通用条款</w:t>
      </w:r>
    </w:p>
    <w:p w14:paraId="358E312D">
      <w:pPr>
        <w:ind w:left="630" w:leftChars="300" w:firstLine="411" w:firstLineChars="196"/>
        <w:rPr>
          <w:rFonts w:hint="eastAsia" w:ascii="宋体" w:hAnsi="宋体"/>
          <w:szCs w:val="21"/>
        </w:rPr>
      </w:pPr>
      <w:r>
        <w:rPr>
          <w:rFonts w:hint="eastAsia" w:ascii="宋体" w:hAnsi="宋体"/>
          <w:szCs w:val="21"/>
        </w:rPr>
        <w:t>第一章  总则</w:t>
      </w:r>
    </w:p>
    <w:p w14:paraId="6A4EAC99">
      <w:pPr>
        <w:ind w:left="630" w:leftChars="300" w:firstLine="411" w:firstLineChars="196"/>
        <w:rPr>
          <w:rFonts w:hint="eastAsia" w:ascii="宋体" w:hAnsi="宋体"/>
          <w:szCs w:val="21"/>
        </w:rPr>
      </w:pPr>
      <w:r>
        <w:rPr>
          <w:rFonts w:hint="eastAsia" w:ascii="宋体" w:hAnsi="宋体"/>
          <w:szCs w:val="21"/>
        </w:rPr>
        <w:t>第二章  招标文件</w:t>
      </w:r>
    </w:p>
    <w:p w14:paraId="17FB7AC6">
      <w:pPr>
        <w:ind w:left="630" w:leftChars="300" w:firstLine="411" w:firstLineChars="196"/>
        <w:rPr>
          <w:rFonts w:hint="eastAsia" w:ascii="宋体" w:hAnsi="宋体"/>
          <w:szCs w:val="21"/>
        </w:rPr>
      </w:pPr>
      <w:r>
        <w:rPr>
          <w:rFonts w:hint="eastAsia" w:ascii="宋体" w:hAnsi="宋体"/>
          <w:szCs w:val="21"/>
        </w:rPr>
        <w:t>第三章  投标文件的编制</w:t>
      </w:r>
    </w:p>
    <w:p w14:paraId="31AEABC8">
      <w:pPr>
        <w:ind w:left="630" w:leftChars="300" w:firstLine="411" w:firstLineChars="196"/>
        <w:rPr>
          <w:rFonts w:hint="eastAsia" w:ascii="宋体" w:hAnsi="宋体"/>
          <w:szCs w:val="21"/>
        </w:rPr>
      </w:pPr>
      <w:r>
        <w:rPr>
          <w:rFonts w:hint="eastAsia" w:ascii="宋体" w:hAnsi="宋体"/>
          <w:szCs w:val="21"/>
        </w:rPr>
        <w:t>第四章  投标文件的递交</w:t>
      </w:r>
    </w:p>
    <w:p w14:paraId="47797927">
      <w:pPr>
        <w:ind w:left="630" w:leftChars="300" w:firstLine="411" w:firstLineChars="196"/>
        <w:rPr>
          <w:rFonts w:hint="eastAsia" w:ascii="宋体" w:hAnsi="宋体"/>
          <w:szCs w:val="21"/>
        </w:rPr>
      </w:pPr>
      <w:r>
        <w:rPr>
          <w:rFonts w:hint="eastAsia" w:ascii="宋体" w:hAnsi="宋体"/>
          <w:szCs w:val="21"/>
        </w:rPr>
        <w:t>第五章  开标</w:t>
      </w:r>
    </w:p>
    <w:p w14:paraId="14B1A43B">
      <w:pPr>
        <w:ind w:left="630" w:leftChars="300" w:firstLine="411" w:firstLineChars="196"/>
        <w:rPr>
          <w:rFonts w:hint="eastAsia" w:ascii="宋体" w:hAnsi="宋体"/>
          <w:szCs w:val="21"/>
        </w:rPr>
      </w:pPr>
      <w:r>
        <w:rPr>
          <w:rFonts w:hint="eastAsia" w:ascii="宋体" w:hAnsi="宋体"/>
          <w:szCs w:val="21"/>
        </w:rPr>
        <w:t>第六章  评审要求</w:t>
      </w:r>
    </w:p>
    <w:p w14:paraId="6BFB6D4A">
      <w:pPr>
        <w:ind w:left="630" w:leftChars="300" w:firstLine="411" w:firstLineChars="196"/>
        <w:rPr>
          <w:rFonts w:hint="eastAsia" w:ascii="宋体" w:hAnsi="宋体"/>
          <w:szCs w:val="21"/>
        </w:rPr>
      </w:pPr>
      <w:r>
        <w:rPr>
          <w:rFonts w:hint="eastAsia" w:ascii="宋体" w:hAnsi="宋体"/>
          <w:szCs w:val="21"/>
        </w:rPr>
        <w:t>第七章  评审程序及评审方法</w:t>
      </w:r>
    </w:p>
    <w:p w14:paraId="6EEC5C77">
      <w:pPr>
        <w:ind w:left="630" w:leftChars="300" w:firstLine="411" w:firstLineChars="196"/>
        <w:rPr>
          <w:rFonts w:hint="eastAsia" w:ascii="宋体" w:hAnsi="宋体"/>
          <w:szCs w:val="21"/>
        </w:rPr>
      </w:pPr>
      <w:r>
        <w:rPr>
          <w:rFonts w:hint="eastAsia" w:ascii="宋体" w:hAnsi="宋体"/>
          <w:szCs w:val="21"/>
        </w:rPr>
        <w:t>第八章  定标及公示</w:t>
      </w:r>
    </w:p>
    <w:p w14:paraId="25FD10B1">
      <w:pPr>
        <w:ind w:left="630" w:leftChars="300" w:firstLine="411" w:firstLineChars="196"/>
        <w:rPr>
          <w:rFonts w:hint="eastAsia" w:ascii="宋体" w:hAnsi="宋体"/>
          <w:szCs w:val="21"/>
        </w:rPr>
      </w:pPr>
      <w:r>
        <w:rPr>
          <w:rFonts w:hint="eastAsia" w:ascii="宋体" w:hAnsi="宋体"/>
          <w:szCs w:val="21"/>
        </w:rPr>
        <w:t>第九章  公开招标失败的后续处理</w:t>
      </w:r>
    </w:p>
    <w:p w14:paraId="36B7D041">
      <w:pPr>
        <w:ind w:left="630" w:leftChars="300" w:firstLine="411" w:firstLineChars="196"/>
        <w:rPr>
          <w:rFonts w:hint="eastAsia" w:ascii="宋体" w:hAnsi="宋体"/>
          <w:szCs w:val="21"/>
        </w:rPr>
      </w:pPr>
      <w:r>
        <w:rPr>
          <w:rFonts w:hint="eastAsia" w:ascii="宋体" w:hAnsi="宋体"/>
          <w:szCs w:val="21"/>
        </w:rPr>
        <w:t>第十章  合同的授予与备案</w:t>
      </w:r>
    </w:p>
    <w:p w14:paraId="142513B0">
      <w:pPr>
        <w:ind w:firstLine="1050" w:firstLineChars="500"/>
      </w:pPr>
      <w:r>
        <w:rPr>
          <w:rFonts w:hint="eastAsia"/>
        </w:rPr>
        <w:t>第十一章  质疑处理</w:t>
      </w:r>
    </w:p>
    <w:p w14:paraId="2603E22D">
      <w:pPr>
        <w:pStyle w:val="3"/>
      </w:pPr>
    </w:p>
    <w:p w14:paraId="417521F1">
      <w:pPr>
        <w:pStyle w:val="2"/>
        <w:sectPr>
          <w:pgSz w:w="11907" w:h="16840"/>
          <w:pgMar w:top="1440" w:right="1797" w:bottom="1440" w:left="1797" w:header="851" w:footer="992" w:gutter="0"/>
          <w:cols w:space="425" w:num="1"/>
          <w:titlePg/>
          <w:docGrid w:linePitch="462" w:charSpace="0"/>
        </w:sectPr>
      </w:pPr>
    </w:p>
    <w:bookmarkEnd w:id="3"/>
    <w:p w14:paraId="74FC731F">
      <w:pPr>
        <w:pStyle w:val="4"/>
        <w:rPr>
          <w:rFonts w:hint="eastAsia"/>
          <w:color w:val="FF0000"/>
          <w:sz w:val="24"/>
        </w:rPr>
      </w:pPr>
      <w:bookmarkStart w:id="5" w:name="bt投标人须知"/>
      <w:bookmarkEnd w:id="5"/>
      <w:bookmarkStart w:id="6" w:name="bt商务标投标文件格式"/>
      <w:bookmarkEnd w:id="6"/>
      <w:bookmarkStart w:id="7" w:name="合同格式"/>
      <w:bookmarkEnd w:id="7"/>
      <w:bookmarkStart w:id="8" w:name="bt合同格式"/>
      <w:bookmarkEnd w:id="8"/>
      <w:bookmarkStart w:id="9" w:name="bt本工程承诺书"/>
      <w:bookmarkEnd w:id="9"/>
      <w:bookmarkStart w:id="10" w:name="bt投标报价汇总表"/>
      <w:bookmarkEnd w:id="10"/>
      <w:bookmarkStart w:id="11" w:name="bt投标文件签署授权委托书"/>
      <w:bookmarkEnd w:id="11"/>
      <w:bookmarkStart w:id="12" w:name="bt开标一览表"/>
      <w:bookmarkEnd w:id="12"/>
      <w:bookmarkStart w:id="13" w:name="bt说明"/>
      <w:bookmarkEnd w:id="13"/>
      <w:bookmarkStart w:id="14" w:name="bt项目管理班子配备情况"/>
      <w:bookmarkEnd w:id="14"/>
      <w:bookmarkStart w:id="15" w:name="bt技术标投标文件格式"/>
      <w:bookmarkEnd w:id="15"/>
      <w:bookmarkStart w:id="16" w:name="bt其他资料由投标人自定"/>
      <w:bookmarkEnd w:id="16"/>
      <w:bookmarkStart w:id="17" w:name="bt合同条款及格式"/>
      <w:bookmarkEnd w:id="17"/>
      <w:bookmarkStart w:id="18" w:name="bt合同条款"/>
      <w:bookmarkEnd w:id="18"/>
      <w:bookmarkStart w:id="19" w:name="bt其他资料2"/>
      <w:bookmarkEnd w:id="19"/>
      <w:bookmarkStart w:id="20" w:name="bt投标人情况介绍"/>
      <w:bookmarkEnd w:id="20"/>
      <w:bookmarkStart w:id="21" w:name="bt投标函"/>
      <w:bookmarkEnd w:id="21"/>
      <w:r>
        <w:rPr>
          <w:rFonts w:hint="eastAsia"/>
        </w:rPr>
        <w:t>第一册  专用条款</w:t>
      </w:r>
    </w:p>
    <w:p w14:paraId="62399597">
      <w:pPr>
        <w:pStyle w:val="7"/>
        <w:rPr>
          <w:rFonts w:hint="eastAsia"/>
          <w:sz w:val="28"/>
          <w:szCs w:val="28"/>
        </w:rPr>
      </w:pPr>
      <w:r>
        <w:rPr>
          <w:rFonts w:hint="eastAsia"/>
          <w:sz w:val="28"/>
          <w:szCs w:val="28"/>
        </w:rPr>
        <w:t>第一章  招标公告</w:t>
      </w:r>
    </w:p>
    <w:p w14:paraId="6ABD8523">
      <w:pPr>
        <w:spacing w:line="360" w:lineRule="auto"/>
        <w:rPr>
          <w:rFonts w:hint="eastAsia" w:ascii="宋体" w:hAnsi="宋体" w:cs="宋体"/>
          <w:b/>
          <w:bCs/>
          <w:kern w:val="0"/>
          <w:szCs w:val="21"/>
        </w:rPr>
      </w:pPr>
      <w:r>
        <w:rPr>
          <w:rFonts w:hint="eastAsia" w:ascii="宋体" w:hAnsi="宋体" w:cs="宋体"/>
          <w:b/>
          <w:bCs/>
          <w:kern w:val="0"/>
          <w:szCs w:val="21"/>
        </w:rPr>
        <w:t>申请人的资格要求：</w:t>
      </w:r>
    </w:p>
    <w:p w14:paraId="3625AA41">
      <w:pPr>
        <w:ind w:firstLine="630" w:firstLineChars="300"/>
        <w:rPr>
          <w:rFonts w:hint="eastAsia" w:ascii="宋体" w:hAnsi="宋体" w:cs="宋体"/>
          <w:kern w:val="0"/>
          <w:szCs w:val="21"/>
        </w:rPr>
      </w:pPr>
      <w:r>
        <w:rPr>
          <w:rFonts w:hint="eastAsia" w:ascii="宋体" w:hAnsi="宋体" w:cs="宋体"/>
          <w:kern w:val="0"/>
          <w:szCs w:val="21"/>
        </w:rPr>
        <w:t>1</w:t>
      </w:r>
      <w:r>
        <w:rPr>
          <w:rFonts w:ascii="宋体" w:hAnsi="宋体" w:cs="宋体"/>
          <w:kern w:val="0"/>
          <w:szCs w:val="21"/>
        </w:rPr>
        <w:t>.</w:t>
      </w:r>
      <w:bookmarkStart w:id="22" w:name="_Hlk72162904"/>
      <w:r>
        <w:rPr>
          <w:rFonts w:hint="eastAsia" w:ascii="宋体" w:hAnsi="宋体" w:cs="宋体"/>
          <w:kern w:val="0"/>
          <w:szCs w:val="21"/>
        </w:rPr>
        <w:t>具有独立法人资格或是具有独立承担民事责任能力的其他组织（提供营业执照或事业单位法人证书等证明资料扫描件；如果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bookmarkEnd w:id="22"/>
    </w:p>
    <w:p w14:paraId="71732FB1">
      <w:pPr>
        <w:ind w:firstLine="630" w:firstLineChars="300"/>
        <w:rPr>
          <w:rFonts w:hint="eastAsia" w:ascii="宋体" w:hAnsi="宋体" w:cs="宋体"/>
          <w:kern w:val="0"/>
          <w:szCs w:val="21"/>
        </w:rPr>
      </w:pPr>
      <w:r>
        <w:rPr>
          <w:rFonts w:hint="eastAsia" w:ascii="宋体" w:hAnsi="宋体" w:cs="宋体"/>
          <w:color w:val="FF0000"/>
          <w:kern w:val="0"/>
          <w:szCs w:val="21"/>
        </w:rPr>
        <w:t>2.本项目不接受联合体投标，不允许分包，禁止转包，接受投标人选用进口产品参与投标（由供应商在《政府采购投标及履约承诺函》中作出声明）；</w:t>
      </w:r>
    </w:p>
    <w:p w14:paraId="47D5E5B5">
      <w:pPr>
        <w:ind w:firstLine="630" w:firstLineChars="300"/>
        <w:rPr>
          <w:rFonts w:hint="eastAsia" w:ascii="宋体" w:hAnsi="宋体" w:cs="宋体"/>
          <w:kern w:val="0"/>
          <w:szCs w:val="21"/>
        </w:rPr>
      </w:pPr>
      <w:r>
        <w:rPr>
          <w:rFonts w:hint="eastAsia" w:ascii="宋体" w:hAnsi="宋体" w:cs="宋体"/>
          <w:kern w:val="0"/>
          <w:szCs w:val="21"/>
        </w:rPr>
        <w:t>3</w:t>
      </w:r>
      <w:r>
        <w:rPr>
          <w:rFonts w:ascii="宋体" w:hAnsi="宋体" w:cs="宋体"/>
          <w:kern w:val="0"/>
          <w:szCs w:val="21"/>
        </w:rPr>
        <w:t>.</w:t>
      </w:r>
      <w:r>
        <w:rPr>
          <w:rFonts w:hint="eastAsia" w:ascii="宋体" w:hAnsi="宋体" w:cs="宋体"/>
          <w:kern w:val="0"/>
          <w:szCs w:val="21"/>
        </w:rPr>
        <w:t>参与本项目政府采购活动时不存在被有关部门禁止参与政府采购活动且在有效期内的情况（由供应商在《政府采购投标及履约承诺函》中作出声明）；</w:t>
      </w:r>
    </w:p>
    <w:p w14:paraId="1A875DBD">
      <w:pPr>
        <w:ind w:firstLine="630" w:firstLineChars="300"/>
        <w:rPr>
          <w:rFonts w:hint="eastAsia" w:ascii="宋体" w:hAnsi="宋体" w:cs="宋体"/>
          <w:kern w:val="0"/>
          <w:szCs w:val="21"/>
        </w:rPr>
      </w:pPr>
      <w:r>
        <w:rPr>
          <w:rFonts w:hint="eastAsia" w:ascii="宋体" w:hAnsi="宋体" w:cs="宋体"/>
          <w:kern w:val="0"/>
          <w:szCs w:val="21"/>
        </w:rPr>
        <w:t>4</w:t>
      </w:r>
      <w:r>
        <w:rPr>
          <w:rFonts w:ascii="宋体" w:hAnsi="宋体" w:cs="宋体"/>
          <w:kern w:val="0"/>
          <w:szCs w:val="21"/>
        </w:rPr>
        <w:t>.</w:t>
      </w:r>
      <w:r>
        <w:rPr>
          <w:rFonts w:hint="eastAsia" w:ascii="宋体" w:hAnsi="宋体" w:cs="宋体"/>
          <w:kern w:val="0"/>
          <w:szCs w:val="21"/>
        </w:rPr>
        <w:t>具备《中华人民共和国政府采购法》第二十二条第一款的条件（由供应商在《政府采购投标及履约承诺函》中作出声明）；</w:t>
      </w:r>
    </w:p>
    <w:p w14:paraId="2B7039E1">
      <w:pPr>
        <w:ind w:firstLine="630" w:firstLineChars="300"/>
        <w:rPr>
          <w:rFonts w:hint="eastAsia" w:ascii="宋体" w:hAnsi="宋体" w:cs="宋体"/>
          <w:kern w:val="0"/>
          <w:szCs w:val="21"/>
        </w:rPr>
      </w:pP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未被列入失信被执行人、重大税收违法案件当事人名单、政府采购严重违法失信行为记录名单（由供应商在《政府采购投标及履约承诺函》中作出声明）；</w:t>
      </w:r>
    </w:p>
    <w:p w14:paraId="799EEF68">
      <w:pPr>
        <w:ind w:firstLine="630" w:firstLineChars="300"/>
        <w:rPr>
          <w:rFonts w:hint="eastAsia" w:ascii="宋体" w:hAnsi="宋体" w:cs="宋体"/>
          <w:color w:val="FF0000"/>
          <w:kern w:val="0"/>
          <w:szCs w:val="21"/>
        </w:rPr>
      </w:pPr>
      <w:r>
        <w:rPr>
          <w:rFonts w:hint="eastAsia" w:ascii="宋体" w:hAnsi="宋体" w:cs="宋体"/>
          <w:color w:val="FF0000"/>
          <w:kern w:val="0"/>
          <w:szCs w:val="21"/>
        </w:rPr>
        <w:t>6.不存在《深圳市财政局政府采购供应商信用信息管理办法》（深财规〔2023〕3号）列明的严重违法失信行为（由供应商在《政府采购投标及履约承诺函》中作出声明）；</w:t>
      </w:r>
    </w:p>
    <w:p w14:paraId="05D5ED0A">
      <w:pPr>
        <w:ind w:firstLine="630" w:firstLineChars="300"/>
        <w:rPr>
          <w:rFonts w:hint="eastAsia" w:ascii="宋体" w:hAnsi="宋体" w:cs="宋体"/>
          <w:kern w:val="0"/>
          <w:szCs w:val="21"/>
        </w:rPr>
      </w:pPr>
      <w:r>
        <w:rPr>
          <w:rFonts w:hint="eastAsia" w:ascii="宋体" w:hAnsi="宋体" w:cs="宋体"/>
          <w:kern w:val="0"/>
          <w:szCs w:val="21"/>
        </w:rPr>
        <w:t>7.为采购项目提供整体设计、规范编制或者项目管理、监理、检测等服务的供应商，不得再参加该采购项目的其他采购活动（由供应商在《政府采购投标及履约承诺函》中作出声明）；</w:t>
      </w:r>
    </w:p>
    <w:p w14:paraId="2A8D9325">
      <w:pPr>
        <w:ind w:firstLine="630" w:firstLineChars="300"/>
        <w:rPr>
          <w:rFonts w:hint="eastAsia" w:ascii="宋体" w:hAnsi="宋体" w:cs="宋体"/>
          <w:color w:val="FF0000"/>
          <w:kern w:val="0"/>
          <w:szCs w:val="21"/>
        </w:rPr>
      </w:pPr>
      <w:r>
        <w:rPr>
          <w:rFonts w:hint="eastAsia" w:ascii="宋体" w:hAnsi="宋体" w:cs="宋体"/>
          <w:color w:val="FF0000"/>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4C85A3DF">
      <w:pPr>
        <w:ind w:firstLine="630" w:firstLineChars="300"/>
        <w:rPr>
          <w:rFonts w:hint="eastAsia" w:ascii="宋体" w:hAnsi="宋体" w:eastAsia="宋体" w:cs="宋体"/>
          <w:b/>
          <w:bCs/>
          <w:color w:val="FF0000"/>
          <w:kern w:val="0"/>
          <w:szCs w:val="21"/>
          <w:lang w:val="en-US" w:eastAsia="zh-CN"/>
        </w:rPr>
      </w:pPr>
      <w:r>
        <w:rPr>
          <w:rFonts w:hint="eastAsia" w:ascii="宋体" w:hAnsi="宋体" w:cs="宋体"/>
          <w:kern w:val="0"/>
          <w:szCs w:val="21"/>
        </w:rPr>
        <w:t>9.本项目不专门面向中小企业采购</w:t>
      </w:r>
      <w:r>
        <w:rPr>
          <w:rFonts w:hint="eastAsia" w:ascii="宋体" w:hAnsi="宋体" w:cs="宋体"/>
          <w:kern w:val="0"/>
          <w:szCs w:val="21"/>
          <w:lang w:eastAsia="zh-CN"/>
        </w:rPr>
        <w:t>。</w:t>
      </w:r>
    </w:p>
    <w:p w14:paraId="2438200E">
      <w:pPr>
        <w:wordWrap w:val="0"/>
        <w:ind w:firstLine="630" w:firstLineChars="300"/>
        <w:rPr>
          <w:rFonts w:hint="eastAsia" w:eastAsia="宋体"/>
          <w:lang w:eastAsia="zh-CN"/>
        </w:rPr>
      </w:pPr>
      <w:r>
        <w:rPr>
          <w:rFonts w:hint="eastAsia" w:ascii="宋体" w:hAnsi="宋体" w:cs="宋体"/>
          <w:kern w:val="0"/>
          <w:szCs w:val="21"/>
        </w:rPr>
        <w:t>10.投标人若为生产企业：所投产品为第二、三类医疗器械的，提供监督管理部门签发的涵盖所投报医疗器械的《医疗器械生产许可证》(有效期内)扫描件；投标人若为经营企业：所投产品为第二类医疗器械的，提供监督管理部门签发的涵盖所投报医疗器械的《医疗器械经营备案凭证》扫描件；所投产品为第三类医疗器械的，提供监督管理部门签发的涵盖所投报医疗器械的《医疗器械经营许可证》(有效期内)扫描件</w:t>
      </w:r>
      <w:r>
        <w:rPr>
          <w:rFonts w:hint="eastAsia" w:ascii="宋体" w:hAnsi="宋体" w:cs="宋体"/>
          <w:kern w:val="0"/>
          <w:szCs w:val="21"/>
          <w:lang w:eastAsia="zh-CN"/>
        </w:rPr>
        <w:t>。</w:t>
      </w:r>
    </w:p>
    <w:p w14:paraId="6007CCF3">
      <w:pPr>
        <w:ind w:firstLine="630" w:firstLineChars="300"/>
        <w:rPr>
          <w:rFonts w:hint="eastAsia" w:ascii="宋体" w:hAnsi="宋体" w:cs="宋体"/>
          <w:color w:val="FF0000"/>
          <w:kern w:val="0"/>
          <w:szCs w:val="21"/>
        </w:rPr>
      </w:pPr>
    </w:p>
    <w:p w14:paraId="62E75804">
      <w:pPr>
        <w:wordWrap w:val="0"/>
        <w:ind w:firstLine="420" w:firstLineChars="200"/>
        <w:rPr>
          <w:rFonts w:hint="eastAsia" w:ascii="宋体" w:hAnsi="宋体" w:cs="宋体"/>
          <w:kern w:val="0"/>
          <w:szCs w:val="21"/>
        </w:rPr>
      </w:pPr>
      <w:r>
        <w:rPr>
          <w:rFonts w:hint="eastAsia" w:ascii="宋体" w:hAnsi="宋体" w:cs="宋体"/>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以及深圳市、区财政部门认可的“供应商诚信档案库”</w:t>
      </w:r>
      <w:r>
        <w:rPr>
          <w:rFonts w:hint="eastAsia" w:ascii="宋体" w:hAnsi="宋体" w:cs="宋体"/>
          <w:kern w:val="0"/>
          <w:szCs w:val="21"/>
        </w:rPr>
        <w:t>为供应商信用信息的查询渠道，相关信息以开标当日的查询结果为准；</w:t>
      </w:r>
    </w:p>
    <w:p w14:paraId="7C19EA78">
      <w:pPr>
        <w:ind w:firstLine="420" w:firstLineChars="200"/>
        <w:rPr>
          <w:rFonts w:hint="eastAsia"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13FE136E">
      <w:pPr>
        <w:ind w:firstLine="420" w:firstLineChars="200"/>
        <w:rPr>
          <w:rFonts w:hint="eastAsia" w:ascii="宋体" w:hAnsi="宋体"/>
        </w:rPr>
      </w:pPr>
    </w:p>
    <w:p w14:paraId="3600F286">
      <w:pPr>
        <w:ind w:firstLine="442" w:firstLineChars="200"/>
        <w:rPr>
          <w:b/>
        </w:rPr>
      </w:pPr>
      <w:r>
        <w:rPr>
          <w:rFonts w:hint="eastAsia"/>
          <w:b/>
          <w:sz w:val="22"/>
          <w:szCs w:val="18"/>
        </w:rPr>
        <w:t>完整公告内容详见：深圳公共资源交易网（</w:t>
      </w:r>
      <w:r>
        <w:rPr>
          <w:b/>
          <w:sz w:val="22"/>
          <w:szCs w:val="18"/>
        </w:rPr>
        <w:t>https://www.szggzy.com</w:t>
      </w:r>
      <w:r>
        <w:rPr>
          <w:rFonts w:hint="eastAsia"/>
          <w:b/>
          <w:sz w:val="22"/>
          <w:szCs w:val="18"/>
        </w:rPr>
        <w:t>）</w:t>
      </w:r>
    </w:p>
    <w:p w14:paraId="38C1A87E">
      <w:pPr>
        <w:pStyle w:val="7"/>
        <w:rPr>
          <w:rFonts w:hint="eastAsia"/>
          <w:sz w:val="28"/>
          <w:szCs w:val="28"/>
        </w:rPr>
      </w:pPr>
      <w:r>
        <w:rPr>
          <w:rFonts w:hint="eastAsia"/>
          <w:sz w:val="28"/>
          <w:szCs w:val="28"/>
        </w:rPr>
        <w:t xml:space="preserve">第二章 </w:t>
      </w:r>
      <w:bookmarkStart w:id="23" w:name="_Hlk71926094"/>
      <w:r>
        <w:rPr>
          <w:rFonts w:hint="eastAsia"/>
          <w:sz w:val="28"/>
          <w:szCs w:val="28"/>
        </w:rPr>
        <w:t>对通用条款的补充内容及其他关键信息</w:t>
      </w:r>
      <w:bookmarkEnd w:id="23"/>
    </w:p>
    <w:p w14:paraId="3FEF66BE">
      <w:pPr>
        <w:pStyle w:val="7"/>
        <w:spacing w:before="120" w:beforeLines="50" w:after="120" w:afterLines="50"/>
        <w:rPr>
          <w:rFonts w:hint="eastAsia"/>
          <w:szCs w:val="24"/>
        </w:rPr>
      </w:pPr>
      <w:bookmarkStart w:id="24" w:name="_Toc60560625"/>
      <w:bookmarkStart w:id="25" w:name="_Toc73517639"/>
      <w:bookmarkStart w:id="26" w:name="_Toc60631620"/>
      <w:bookmarkStart w:id="27" w:name="_Toc100052364"/>
      <w:bookmarkStart w:id="28" w:name="_Toc73518117"/>
      <w:bookmarkStart w:id="29" w:name="_Toc73521635"/>
      <w:bookmarkStart w:id="30" w:name="_Toc101074876"/>
      <w:bookmarkStart w:id="31" w:name="_Toc73521547"/>
      <w:r>
        <w:rPr>
          <w:rFonts w:hint="eastAsia"/>
          <w:szCs w:val="24"/>
        </w:rPr>
        <w:t>一、对通用条款的补充内容</w:t>
      </w:r>
    </w:p>
    <w:bookmarkEnd w:id="24"/>
    <w:bookmarkEnd w:id="25"/>
    <w:bookmarkEnd w:id="26"/>
    <w:bookmarkEnd w:id="27"/>
    <w:bookmarkEnd w:id="28"/>
    <w:bookmarkEnd w:id="29"/>
    <w:bookmarkEnd w:id="30"/>
    <w:bookmarkEnd w:id="31"/>
    <w:tbl>
      <w:tblPr>
        <w:tblStyle w:val="21"/>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230405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FDABB4E">
            <w:pPr>
              <w:jc w:val="center"/>
              <w:rPr>
                <w:rFonts w:hint="eastAsia" w:ascii="宋体" w:hAnsi="宋体"/>
                <w:b/>
                <w:bCs/>
              </w:rPr>
            </w:pPr>
            <w:bookmarkStart w:id="32" w:name="_Hlk72218097"/>
            <w:r>
              <w:rPr>
                <w:rFonts w:hint="eastAsia" w:ascii="宋体" w:hAnsi="宋体"/>
                <w:b/>
                <w:bCs/>
              </w:rPr>
              <w:t>通用条款序号</w:t>
            </w:r>
          </w:p>
        </w:tc>
        <w:tc>
          <w:tcPr>
            <w:tcW w:w="2409" w:type="dxa"/>
            <w:vAlign w:val="center"/>
          </w:tcPr>
          <w:p w14:paraId="39D75B6C">
            <w:pPr>
              <w:jc w:val="center"/>
              <w:rPr>
                <w:rFonts w:hint="eastAsia" w:ascii="宋体" w:hAnsi="宋体"/>
                <w:b/>
                <w:bCs/>
              </w:rPr>
            </w:pPr>
            <w:r>
              <w:rPr>
                <w:rFonts w:hint="eastAsia" w:ascii="宋体" w:hAnsi="宋体"/>
                <w:b/>
                <w:bCs/>
              </w:rPr>
              <w:t>涉及事项</w:t>
            </w:r>
          </w:p>
        </w:tc>
        <w:tc>
          <w:tcPr>
            <w:tcW w:w="4980" w:type="dxa"/>
            <w:vAlign w:val="center"/>
          </w:tcPr>
          <w:p w14:paraId="44C55997">
            <w:pPr>
              <w:jc w:val="center"/>
              <w:rPr>
                <w:rFonts w:hint="eastAsia"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27DEF0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D0E5BAE">
            <w:pPr>
              <w:jc w:val="center"/>
              <w:rPr>
                <w:rFonts w:hint="eastAsia" w:ascii="宋体" w:hAnsi="宋体"/>
              </w:rPr>
            </w:pPr>
            <w:r>
              <w:rPr>
                <w:rFonts w:hint="eastAsia" w:ascii="宋体" w:hAnsi="宋体"/>
              </w:rPr>
              <w:t>3</w:t>
            </w:r>
            <w:r>
              <w:rPr>
                <w:rFonts w:ascii="宋体" w:hAnsi="宋体"/>
              </w:rPr>
              <w:t>.1</w:t>
            </w:r>
          </w:p>
        </w:tc>
        <w:tc>
          <w:tcPr>
            <w:tcW w:w="2409" w:type="dxa"/>
            <w:vAlign w:val="center"/>
          </w:tcPr>
          <w:p w14:paraId="4ABE9FDE">
            <w:pPr>
              <w:jc w:val="center"/>
            </w:pPr>
            <w:r>
              <w:rPr>
                <w:rFonts w:hint="eastAsia"/>
              </w:rPr>
              <w:t>采购人</w:t>
            </w:r>
          </w:p>
        </w:tc>
        <w:tc>
          <w:tcPr>
            <w:tcW w:w="4980" w:type="dxa"/>
            <w:vAlign w:val="center"/>
          </w:tcPr>
          <w:p w14:paraId="3EEA3C24">
            <w:pPr>
              <w:jc w:val="center"/>
              <w:rPr>
                <w:rFonts w:hint="eastAsia" w:ascii="宋体" w:hAnsi="宋体"/>
              </w:rPr>
            </w:pPr>
            <w:r>
              <w:rPr>
                <w:rFonts w:hint="eastAsia" w:ascii="宋体" w:hAnsi="宋体"/>
              </w:rPr>
              <w:t>中国医学科学院肿瘤医院深圳医院</w:t>
            </w:r>
          </w:p>
        </w:tc>
      </w:tr>
      <w:tr w14:paraId="08404B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2B1C9C3">
            <w:pPr>
              <w:jc w:val="center"/>
              <w:rPr>
                <w:rFonts w:hint="eastAsia" w:ascii="宋体" w:hAnsi="宋体"/>
              </w:rPr>
            </w:pPr>
            <w:r>
              <w:rPr>
                <w:rFonts w:hint="eastAsia" w:ascii="宋体" w:hAnsi="宋体"/>
              </w:rPr>
              <w:t>3</w:t>
            </w:r>
            <w:r>
              <w:rPr>
                <w:rFonts w:ascii="宋体" w:hAnsi="宋体"/>
              </w:rPr>
              <w:t>.2</w:t>
            </w:r>
          </w:p>
        </w:tc>
        <w:tc>
          <w:tcPr>
            <w:tcW w:w="2409" w:type="dxa"/>
            <w:vAlign w:val="center"/>
          </w:tcPr>
          <w:p w14:paraId="2A2FFB63">
            <w:pPr>
              <w:jc w:val="center"/>
              <w:rPr>
                <w:rFonts w:hint="eastAsia" w:ascii="宋体" w:hAnsi="宋体"/>
              </w:rPr>
            </w:pPr>
            <w:r>
              <w:rPr>
                <w:rFonts w:hint="eastAsia" w:ascii="宋体" w:hAnsi="宋体"/>
              </w:rPr>
              <w:t>政府集中采购机构</w:t>
            </w:r>
          </w:p>
        </w:tc>
        <w:tc>
          <w:tcPr>
            <w:tcW w:w="4980" w:type="dxa"/>
            <w:vAlign w:val="center"/>
          </w:tcPr>
          <w:p w14:paraId="4B7AE4AF">
            <w:pPr>
              <w:jc w:val="center"/>
              <w:rPr>
                <w:rFonts w:hint="eastAsia" w:ascii="宋体" w:hAnsi="宋体"/>
              </w:rPr>
            </w:pPr>
            <w:r>
              <w:rPr>
                <w:rFonts w:hint="eastAsia" w:ascii="宋体" w:hAnsi="宋体"/>
              </w:rPr>
              <w:t>深圳公共资源交易中心</w:t>
            </w:r>
          </w:p>
          <w:p w14:paraId="0CE288B1">
            <w:pPr>
              <w:jc w:val="center"/>
              <w:rPr>
                <w:rFonts w:hint="eastAsia" w:ascii="宋体" w:hAnsi="宋体"/>
              </w:rPr>
            </w:pPr>
            <w:r>
              <w:rPr>
                <w:rFonts w:hint="eastAsia" w:ascii="宋体" w:hAnsi="宋体"/>
              </w:rPr>
              <w:t>（深圳交易集团有限公司政府采购业务分公司）</w:t>
            </w:r>
          </w:p>
        </w:tc>
      </w:tr>
      <w:tr w14:paraId="60E65F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CC4A456">
            <w:pPr>
              <w:jc w:val="center"/>
              <w:rPr>
                <w:rFonts w:hint="eastAsia" w:ascii="宋体" w:hAnsi="宋体"/>
              </w:rPr>
            </w:pPr>
            <w:r>
              <w:rPr>
                <w:rFonts w:hint="eastAsia" w:ascii="宋体" w:hAnsi="宋体"/>
              </w:rPr>
              <w:t>9</w:t>
            </w:r>
          </w:p>
        </w:tc>
        <w:tc>
          <w:tcPr>
            <w:tcW w:w="2409" w:type="dxa"/>
            <w:vAlign w:val="center"/>
          </w:tcPr>
          <w:p w14:paraId="6E804F00">
            <w:pPr>
              <w:jc w:val="center"/>
              <w:rPr>
                <w:rFonts w:hint="eastAsia" w:ascii="宋体" w:hAnsi="宋体"/>
              </w:rPr>
            </w:pPr>
            <w:r>
              <w:rPr>
                <w:rFonts w:hint="eastAsia" w:ascii="宋体" w:hAnsi="宋体"/>
              </w:rPr>
              <w:t>踏勘现场</w:t>
            </w:r>
          </w:p>
        </w:tc>
        <w:tc>
          <w:tcPr>
            <w:tcW w:w="4980" w:type="dxa"/>
            <w:vAlign w:val="center"/>
          </w:tcPr>
          <w:p w14:paraId="7DF16D5E">
            <w:pPr>
              <w:jc w:val="center"/>
              <w:rPr>
                <w:rFonts w:hint="eastAsia" w:ascii="宋体" w:hAnsi="宋体"/>
              </w:rPr>
            </w:pPr>
            <w:r>
              <w:rPr>
                <w:rFonts w:hint="eastAsia" w:ascii="宋体" w:hAnsi="宋体"/>
              </w:rPr>
              <w:t>不组织</w:t>
            </w:r>
          </w:p>
        </w:tc>
      </w:tr>
      <w:tr w14:paraId="6BDF9E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B625895">
            <w:pPr>
              <w:jc w:val="center"/>
              <w:rPr>
                <w:rFonts w:hint="eastAsia" w:ascii="宋体" w:hAnsi="宋体"/>
              </w:rPr>
            </w:pPr>
            <w:r>
              <w:rPr>
                <w:rFonts w:hint="eastAsia" w:ascii="宋体" w:hAnsi="宋体"/>
              </w:rPr>
              <w:t>1</w:t>
            </w:r>
            <w:r>
              <w:rPr>
                <w:rFonts w:ascii="宋体" w:hAnsi="宋体"/>
              </w:rPr>
              <w:t>0</w:t>
            </w:r>
          </w:p>
        </w:tc>
        <w:tc>
          <w:tcPr>
            <w:tcW w:w="2409" w:type="dxa"/>
            <w:vAlign w:val="center"/>
          </w:tcPr>
          <w:p w14:paraId="266E8292">
            <w:pPr>
              <w:jc w:val="center"/>
              <w:rPr>
                <w:rFonts w:hint="eastAsia" w:ascii="宋体" w:hAnsi="宋体"/>
              </w:rPr>
            </w:pPr>
            <w:r>
              <w:rPr>
                <w:rFonts w:hint="eastAsia" w:ascii="宋体" w:hAnsi="宋体"/>
              </w:rPr>
              <w:t>标前会议</w:t>
            </w:r>
          </w:p>
        </w:tc>
        <w:tc>
          <w:tcPr>
            <w:tcW w:w="4980" w:type="dxa"/>
            <w:vAlign w:val="center"/>
          </w:tcPr>
          <w:p w14:paraId="653AEA34">
            <w:pPr>
              <w:jc w:val="center"/>
              <w:rPr>
                <w:rFonts w:hint="eastAsia" w:ascii="宋体" w:hAnsi="宋体"/>
              </w:rPr>
            </w:pPr>
            <w:r>
              <w:rPr>
                <w:rFonts w:hint="eastAsia" w:ascii="宋体" w:hAnsi="宋体"/>
              </w:rPr>
              <w:t>不组织</w:t>
            </w:r>
          </w:p>
        </w:tc>
      </w:tr>
      <w:tr w14:paraId="2A402A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3602D84">
            <w:pPr>
              <w:jc w:val="center"/>
              <w:rPr>
                <w:rFonts w:hint="eastAsia"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1377E108">
            <w:pPr>
              <w:jc w:val="center"/>
              <w:rPr>
                <w:rFonts w:hint="eastAsia" w:ascii="宋体" w:hAnsi="宋体"/>
              </w:rPr>
            </w:pPr>
            <w:r>
              <w:rPr>
                <w:rFonts w:hint="eastAsia" w:ascii="宋体" w:hAnsi="宋体"/>
              </w:rPr>
              <w:t>招标文件的澄清和修改</w:t>
            </w:r>
          </w:p>
        </w:tc>
        <w:tc>
          <w:tcPr>
            <w:tcW w:w="4980" w:type="dxa"/>
            <w:vAlign w:val="center"/>
          </w:tcPr>
          <w:p w14:paraId="3F4C1BF4">
            <w:pPr>
              <w:jc w:val="center"/>
              <w:rPr>
                <w:rFonts w:hint="eastAsia" w:ascii="宋体" w:hAnsi="宋体"/>
              </w:rPr>
            </w:pPr>
            <w:r>
              <w:rPr>
                <w:rFonts w:hint="eastAsia" w:ascii="宋体" w:hAnsi="宋体"/>
              </w:rPr>
              <w:t>投标截止日三日前，投标人有义务在招标期间在政府集中采购机构网站浏览与本项目有关的澄清和修改信息</w:t>
            </w:r>
          </w:p>
        </w:tc>
      </w:tr>
      <w:tr w14:paraId="7EF435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8B6A9C5">
            <w:pPr>
              <w:jc w:val="center"/>
              <w:rPr>
                <w:rFonts w:hint="eastAsia" w:ascii="宋体" w:hAnsi="宋体"/>
              </w:rPr>
            </w:pPr>
            <w:r>
              <w:rPr>
                <w:rFonts w:hint="eastAsia" w:ascii="宋体" w:hAnsi="宋体"/>
              </w:rPr>
              <w:t>2</w:t>
            </w:r>
            <w:r>
              <w:rPr>
                <w:rFonts w:ascii="宋体" w:hAnsi="宋体"/>
              </w:rPr>
              <w:t>0</w:t>
            </w:r>
          </w:p>
        </w:tc>
        <w:tc>
          <w:tcPr>
            <w:tcW w:w="2409" w:type="dxa"/>
            <w:vAlign w:val="center"/>
          </w:tcPr>
          <w:p w14:paraId="0F5BC5A9">
            <w:pPr>
              <w:jc w:val="center"/>
              <w:rPr>
                <w:rFonts w:hint="eastAsia" w:ascii="宋体" w:hAnsi="宋体"/>
              </w:rPr>
            </w:pPr>
            <w:r>
              <w:rPr>
                <w:rFonts w:hint="eastAsia" w:ascii="宋体" w:hAnsi="宋体"/>
              </w:rPr>
              <w:t>投标有效期</w:t>
            </w:r>
          </w:p>
        </w:tc>
        <w:tc>
          <w:tcPr>
            <w:tcW w:w="4980" w:type="dxa"/>
            <w:vAlign w:val="center"/>
          </w:tcPr>
          <w:p w14:paraId="5445EFF3">
            <w:pPr>
              <w:jc w:val="center"/>
              <w:rPr>
                <w:rFonts w:hint="eastAsia" w:ascii="宋体" w:hAnsi="宋体"/>
              </w:rPr>
            </w:pPr>
            <w:r>
              <w:rPr>
                <w:rFonts w:hint="eastAsia" w:ascii="宋体" w:hAnsi="宋体"/>
              </w:rPr>
              <w:t>120个日历日</w:t>
            </w:r>
          </w:p>
        </w:tc>
      </w:tr>
      <w:tr w14:paraId="4C848C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2E04768">
            <w:pPr>
              <w:jc w:val="center"/>
              <w:rPr>
                <w:rFonts w:hint="eastAsia" w:ascii="宋体" w:hAnsi="宋体"/>
              </w:rPr>
            </w:pPr>
            <w:r>
              <w:rPr>
                <w:rFonts w:hint="eastAsia" w:ascii="宋体" w:hAnsi="宋体"/>
              </w:rPr>
              <w:t>2</w:t>
            </w:r>
            <w:r>
              <w:rPr>
                <w:rFonts w:ascii="宋体" w:hAnsi="宋体"/>
              </w:rPr>
              <w:t>2</w:t>
            </w:r>
          </w:p>
        </w:tc>
        <w:tc>
          <w:tcPr>
            <w:tcW w:w="2409" w:type="dxa"/>
            <w:vAlign w:val="center"/>
          </w:tcPr>
          <w:p w14:paraId="541A269A">
            <w:pPr>
              <w:jc w:val="center"/>
              <w:rPr>
                <w:rFonts w:hint="eastAsia" w:ascii="宋体" w:hAnsi="宋体"/>
              </w:rPr>
            </w:pPr>
            <w:r>
              <w:rPr>
                <w:rFonts w:hint="eastAsia" w:ascii="宋体" w:hAnsi="宋体"/>
              </w:rPr>
              <w:t>投标人的替代方案</w:t>
            </w:r>
          </w:p>
        </w:tc>
        <w:tc>
          <w:tcPr>
            <w:tcW w:w="4980" w:type="dxa"/>
            <w:vAlign w:val="center"/>
          </w:tcPr>
          <w:p w14:paraId="07F86C98">
            <w:pPr>
              <w:jc w:val="center"/>
              <w:rPr>
                <w:rFonts w:hint="eastAsia" w:ascii="宋体" w:hAnsi="宋体"/>
              </w:rPr>
            </w:pPr>
            <w:r>
              <w:rPr>
                <w:rFonts w:hint="eastAsia" w:ascii="宋体" w:hAnsi="宋体"/>
              </w:rPr>
              <w:t>不接受</w:t>
            </w:r>
          </w:p>
        </w:tc>
      </w:tr>
      <w:tr w14:paraId="062556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71BA2FF">
            <w:pPr>
              <w:jc w:val="center"/>
              <w:rPr>
                <w:rFonts w:hint="eastAsia" w:ascii="宋体" w:hAnsi="宋体"/>
              </w:rPr>
            </w:pPr>
            <w:r>
              <w:rPr>
                <w:rFonts w:hint="eastAsia" w:ascii="宋体" w:hAnsi="宋体"/>
              </w:rPr>
              <w:t>2</w:t>
            </w:r>
            <w:r>
              <w:rPr>
                <w:rFonts w:ascii="宋体" w:hAnsi="宋体"/>
              </w:rPr>
              <w:t>5</w:t>
            </w:r>
          </w:p>
        </w:tc>
        <w:tc>
          <w:tcPr>
            <w:tcW w:w="2409" w:type="dxa"/>
            <w:vAlign w:val="center"/>
          </w:tcPr>
          <w:p w14:paraId="1BF2AAE3">
            <w:pPr>
              <w:jc w:val="center"/>
              <w:rPr>
                <w:rFonts w:hint="eastAsia" w:ascii="宋体" w:hAnsi="宋体"/>
              </w:rPr>
            </w:pPr>
            <w:r>
              <w:rPr>
                <w:rFonts w:hint="eastAsia" w:ascii="宋体" w:hAnsi="宋体"/>
              </w:rPr>
              <w:t>投标文件的大小</w:t>
            </w:r>
          </w:p>
        </w:tc>
        <w:tc>
          <w:tcPr>
            <w:tcW w:w="4980" w:type="dxa"/>
            <w:vAlign w:val="center"/>
          </w:tcPr>
          <w:p w14:paraId="3ECC176C">
            <w:pPr>
              <w:jc w:val="center"/>
              <w:rPr>
                <w:rFonts w:hint="eastAsia" w:ascii="宋体" w:hAnsi="宋体"/>
              </w:rPr>
            </w:pPr>
            <w:r>
              <w:rPr>
                <w:rFonts w:hint="eastAsia" w:ascii="宋体" w:hAnsi="宋体"/>
              </w:rPr>
              <w:t>电子投标文件大小不得超过250MB</w:t>
            </w:r>
          </w:p>
        </w:tc>
      </w:tr>
      <w:tr w14:paraId="78456E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28C7DB0">
            <w:pPr>
              <w:jc w:val="center"/>
              <w:rPr>
                <w:rFonts w:hint="eastAsia" w:ascii="宋体" w:hAnsi="宋体"/>
              </w:rPr>
            </w:pPr>
            <w:r>
              <w:rPr>
                <w:rFonts w:hint="eastAsia" w:ascii="宋体" w:hAnsi="宋体"/>
              </w:rPr>
              <w:t>2</w:t>
            </w:r>
            <w:r>
              <w:rPr>
                <w:rFonts w:ascii="宋体" w:hAnsi="宋体"/>
              </w:rPr>
              <w:t>6</w:t>
            </w:r>
          </w:p>
        </w:tc>
        <w:tc>
          <w:tcPr>
            <w:tcW w:w="2409" w:type="dxa"/>
            <w:vAlign w:val="center"/>
          </w:tcPr>
          <w:p w14:paraId="0F7B1EB8">
            <w:pPr>
              <w:jc w:val="center"/>
              <w:rPr>
                <w:rFonts w:hint="eastAsia" w:ascii="宋体" w:hAnsi="宋体"/>
              </w:rPr>
            </w:pPr>
            <w:bookmarkStart w:id="33" w:name="_Hlk71664860"/>
            <w:r>
              <w:rPr>
                <w:rFonts w:hint="eastAsia" w:ascii="宋体" w:hAnsi="宋体"/>
              </w:rPr>
              <w:t>样品、现场演示、方案讲解</w:t>
            </w:r>
            <w:bookmarkEnd w:id="33"/>
          </w:p>
        </w:tc>
        <w:tc>
          <w:tcPr>
            <w:tcW w:w="4980" w:type="dxa"/>
            <w:vAlign w:val="center"/>
          </w:tcPr>
          <w:p w14:paraId="2E6F516E">
            <w:pPr>
              <w:jc w:val="center"/>
              <w:rPr>
                <w:rFonts w:hint="eastAsia" w:ascii="宋体" w:hAnsi="宋体"/>
              </w:rPr>
            </w:pPr>
            <w:r>
              <w:rPr>
                <w:rFonts w:hint="eastAsia" w:ascii="宋体" w:hAnsi="宋体"/>
              </w:rPr>
              <w:t>如有样品、演示、方案讲解，具体安排见第三章 用户需求书相关要求</w:t>
            </w:r>
          </w:p>
        </w:tc>
      </w:tr>
      <w:tr w14:paraId="33518F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B92B3A4">
            <w:pPr>
              <w:jc w:val="center"/>
              <w:rPr>
                <w:rFonts w:hint="eastAsia" w:ascii="宋体" w:hAnsi="宋体"/>
              </w:rPr>
            </w:pPr>
            <w:r>
              <w:rPr>
                <w:rFonts w:hint="eastAsia" w:ascii="宋体" w:hAnsi="宋体"/>
              </w:rPr>
              <w:t>3</w:t>
            </w:r>
            <w:r>
              <w:rPr>
                <w:rFonts w:ascii="宋体" w:hAnsi="宋体"/>
              </w:rPr>
              <w:t>7</w:t>
            </w:r>
          </w:p>
        </w:tc>
        <w:tc>
          <w:tcPr>
            <w:tcW w:w="2409" w:type="dxa"/>
            <w:vAlign w:val="center"/>
          </w:tcPr>
          <w:p w14:paraId="16342A15">
            <w:pPr>
              <w:jc w:val="center"/>
              <w:rPr>
                <w:rFonts w:hint="eastAsia" w:ascii="宋体" w:hAnsi="宋体"/>
              </w:rPr>
            </w:pPr>
            <w:r>
              <w:rPr>
                <w:rFonts w:hint="eastAsia" w:ascii="宋体" w:hAnsi="宋体"/>
              </w:rPr>
              <w:t>评审方法</w:t>
            </w:r>
          </w:p>
        </w:tc>
        <w:tc>
          <w:tcPr>
            <w:tcW w:w="4980" w:type="dxa"/>
            <w:vAlign w:val="center"/>
          </w:tcPr>
          <w:p w14:paraId="04E4D033">
            <w:pPr>
              <w:jc w:val="left"/>
              <w:rPr>
                <w:rFonts w:hint="eastAsia" w:ascii="宋体" w:hAnsi="宋体"/>
              </w:rPr>
            </w:pPr>
            <w:r>
              <w:rPr>
                <w:rFonts w:hint="eastAsia" w:ascii="宋体" w:hAnsi="宋体"/>
              </w:rPr>
              <w:t>综合评分法</w:t>
            </w:r>
          </w:p>
        </w:tc>
      </w:tr>
      <w:tr w14:paraId="1C3EC6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35" w:hRule="atLeast"/>
          <w:jc w:val="center"/>
        </w:trPr>
        <w:tc>
          <w:tcPr>
            <w:tcW w:w="978" w:type="dxa"/>
            <w:vAlign w:val="center"/>
          </w:tcPr>
          <w:p w14:paraId="54ECE2C3">
            <w:pPr>
              <w:jc w:val="center"/>
              <w:rPr>
                <w:rFonts w:hint="eastAsia" w:ascii="宋体" w:hAnsi="宋体"/>
              </w:rPr>
            </w:pPr>
            <w:r>
              <w:rPr>
                <w:rFonts w:hint="eastAsia" w:ascii="宋体" w:hAnsi="宋体"/>
              </w:rPr>
              <w:t>3</w:t>
            </w:r>
            <w:r>
              <w:rPr>
                <w:rFonts w:ascii="宋体" w:hAnsi="宋体"/>
              </w:rPr>
              <w:t>8</w:t>
            </w:r>
          </w:p>
        </w:tc>
        <w:tc>
          <w:tcPr>
            <w:tcW w:w="2409" w:type="dxa"/>
            <w:vAlign w:val="center"/>
          </w:tcPr>
          <w:p w14:paraId="45595A23">
            <w:pPr>
              <w:jc w:val="center"/>
              <w:rPr>
                <w:rFonts w:hint="eastAsia" w:ascii="宋体" w:hAnsi="宋体"/>
              </w:rPr>
            </w:pPr>
            <w:r>
              <w:rPr>
                <w:rFonts w:hint="eastAsia" w:ascii="宋体" w:hAnsi="宋体"/>
              </w:rPr>
              <w:t>是否为评定分离</w:t>
            </w:r>
          </w:p>
        </w:tc>
        <w:tc>
          <w:tcPr>
            <w:tcW w:w="4980" w:type="dxa"/>
            <w:vAlign w:val="center"/>
          </w:tcPr>
          <w:p w14:paraId="03D96382">
            <w:pPr>
              <w:jc w:val="left"/>
              <w:rPr>
                <w:rFonts w:hint="eastAsia" w:ascii="宋体" w:hAnsi="宋体"/>
              </w:rPr>
            </w:pPr>
            <w:r>
              <w:rPr>
                <w:rFonts w:hint="eastAsia" w:ascii="宋体" w:hAnsi="宋体"/>
              </w:rPr>
              <w:t>非评定分离</w:t>
            </w:r>
          </w:p>
        </w:tc>
      </w:tr>
      <w:tr w14:paraId="7D8077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843B39F">
            <w:pPr>
              <w:jc w:val="center"/>
              <w:rPr>
                <w:rFonts w:hint="eastAsia" w:ascii="宋体" w:hAnsi="宋体"/>
              </w:rPr>
            </w:pPr>
            <w:r>
              <w:rPr>
                <w:rFonts w:hint="eastAsia" w:ascii="宋体" w:hAnsi="宋体"/>
              </w:rPr>
              <w:t>4</w:t>
            </w:r>
            <w:r>
              <w:rPr>
                <w:rFonts w:ascii="宋体" w:hAnsi="宋体"/>
              </w:rPr>
              <w:t>6</w:t>
            </w:r>
          </w:p>
        </w:tc>
        <w:tc>
          <w:tcPr>
            <w:tcW w:w="2409" w:type="dxa"/>
            <w:vAlign w:val="center"/>
          </w:tcPr>
          <w:p w14:paraId="6825E65B">
            <w:pPr>
              <w:jc w:val="center"/>
              <w:rPr>
                <w:rFonts w:hint="eastAsia" w:ascii="宋体" w:hAnsi="宋体"/>
              </w:rPr>
            </w:pPr>
            <w:r>
              <w:rPr>
                <w:rFonts w:hint="eastAsia" w:ascii="宋体" w:hAnsi="宋体"/>
              </w:rPr>
              <w:t>履约担保</w:t>
            </w:r>
          </w:p>
        </w:tc>
        <w:tc>
          <w:tcPr>
            <w:tcW w:w="4980" w:type="dxa"/>
            <w:vAlign w:val="center"/>
          </w:tcPr>
          <w:p w14:paraId="6EC8165E">
            <w:pPr>
              <w:jc w:val="left"/>
            </w:pPr>
            <w:r>
              <w:rPr>
                <w:rFonts w:hint="eastAsia"/>
              </w:rPr>
              <w:t>合同签订后10日内，中标人自主选择以支票、汇票、本票、保函等非现金形式缴纳或提交合同金额的10%（如中小微企业，5%）的履约保证金。履约保证金在中标人履行完成合同约定权利义务事项在合同期满之日起，中标人根据采购人要求提交完整资料起60 日内按原方式退还，不计利息。因中标人原因而未能达到本项目验收标准或验收不通过的，履约保证金不予退还。采购人逾期退还履约保证金的，向中标人每日偿付履约保证金的0.5‰的利息。</w:t>
            </w:r>
          </w:p>
        </w:tc>
      </w:tr>
    </w:tbl>
    <w:p w14:paraId="58AC88AE">
      <w:pPr>
        <w:rPr>
          <w:b/>
        </w:rPr>
      </w:pPr>
      <w:r>
        <w:rPr>
          <w:rFonts w:hint="eastAsia"/>
          <w:szCs w:val="21"/>
        </w:rPr>
        <w:t>备注：本表是通用条款相关条款的补充和明确，如与通用条款内容相冲突的，以本表为准。</w:t>
      </w:r>
    </w:p>
    <w:bookmarkEnd w:id="32"/>
    <w:p w14:paraId="6507F8AB">
      <w:pPr>
        <w:pStyle w:val="7"/>
        <w:spacing w:before="120" w:beforeLines="50" w:after="120" w:afterLines="50"/>
        <w:rPr>
          <w:rFonts w:hint="eastAsia"/>
          <w:szCs w:val="24"/>
        </w:rPr>
      </w:pPr>
      <w:bookmarkStart w:id="34" w:name="_Hlk72218117"/>
      <w:r>
        <w:rPr>
          <w:rFonts w:hint="eastAsia"/>
          <w:szCs w:val="24"/>
        </w:rPr>
        <w:t>二、其他关键信息</w:t>
      </w:r>
    </w:p>
    <w:p w14:paraId="012CA4E1">
      <w:pPr>
        <w:ind w:firstLine="422" w:firstLineChars="200"/>
        <w:rPr>
          <w:b/>
          <w:bCs/>
        </w:rPr>
      </w:pPr>
      <w:bookmarkStart w:id="35" w:name="_Hlk72579427"/>
      <w:r>
        <w:rPr>
          <w:rFonts w:hint="eastAsia"/>
          <w:b/>
          <w:bCs/>
        </w:rPr>
        <w:t>（一）与“对通用条款的补充内容”章节相关的事项</w:t>
      </w:r>
    </w:p>
    <w:p w14:paraId="6630783E">
      <w:pPr>
        <w:spacing w:line="276" w:lineRule="auto"/>
        <w:ind w:firstLine="422" w:firstLineChars="200"/>
        <w:jc w:val="left"/>
        <w:rPr>
          <w:rFonts w:hint="eastAsia" w:asciiTheme="minorEastAsia" w:hAnsiTheme="minorEastAsia" w:eastAsiaTheme="minorEastAsia"/>
          <w:b/>
          <w:kern w:val="0"/>
          <w:szCs w:val="20"/>
        </w:rPr>
      </w:pPr>
      <w:r>
        <w:rPr>
          <w:rFonts w:hint="eastAsia" w:asciiTheme="minorEastAsia" w:hAnsiTheme="minorEastAsia" w:eastAsiaTheme="minorEastAsia"/>
          <w:b/>
          <w:kern w:val="0"/>
          <w:szCs w:val="20"/>
        </w:rPr>
        <w:t>1、评标定标信息</w:t>
      </w:r>
    </w:p>
    <w:p w14:paraId="6A53CF7C">
      <w:pPr>
        <w:jc w:val="center"/>
      </w:pPr>
      <w:r>
        <w:rPr>
          <w:rFonts w:hint="eastAsia"/>
          <w:b/>
        </w:rPr>
        <w:t>非评定分离项目</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4"/>
        <w:gridCol w:w="4417"/>
      </w:tblGrid>
      <w:tr w14:paraId="169AD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14058A14">
            <w:pPr>
              <w:jc w:val="center"/>
            </w:pPr>
            <w:r>
              <w:rPr>
                <w:rFonts w:hint="eastAsia"/>
              </w:rPr>
              <w:t>评标方法</w:t>
            </w:r>
          </w:p>
        </w:tc>
        <w:tc>
          <w:tcPr>
            <w:tcW w:w="2660" w:type="pct"/>
          </w:tcPr>
          <w:p w14:paraId="06FF446C">
            <w:pPr>
              <w:jc w:val="center"/>
            </w:pPr>
            <w:r>
              <w:rPr>
                <w:rFonts w:hint="eastAsia"/>
              </w:rPr>
              <w:t>综合评分法</w:t>
            </w:r>
          </w:p>
        </w:tc>
      </w:tr>
      <w:tr w14:paraId="2C84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2F01F4AC">
            <w:pPr>
              <w:jc w:val="center"/>
            </w:pPr>
            <w:r>
              <w:rPr>
                <w:rFonts w:hint="eastAsia"/>
              </w:rPr>
              <w:t>候选中标供应商家数</w:t>
            </w:r>
          </w:p>
        </w:tc>
        <w:tc>
          <w:tcPr>
            <w:tcW w:w="2660" w:type="pct"/>
          </w:tcPr>
          <w:p w14:paraId="2DB0ED53">
            <w:pPr>
              <w:jc w:val="center"/>
            </w:pPr>
            <w:r>
              <w:rPr>
                <w:rFonts w:hint="eastAsia"/>
              </w:rPr>
              <w:t>3</w:t>
            </w:r>
          </w:p>
        </w:tc>
      </w:tr>
      <w:tr w14:paraId="128F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9" w:type="pct"/>
          </w:tcPr>
          <w:p w14:paraId="2B3F96D8">
            <w:pPr>
              <w:jc w:val="center"/>
            </w:pPr>
            <w:r>
              <w:rPr>
                <w:rFonts w:hint="eastAsia"/>
              </w:rPr>
              <w:t>中标供应商家数</w:t>
            </w:r>
          </w:p>
        </w:tc>
        <w:tc>
          <w:tcPr>
            <w:tcW w:w="2660" w:type="pct"/>
          </w:tcPr>
          <w:p w14:paraId="2D23F789">
            <w:pPr>
              <w:jc w:val="center"/>
            </w:pPr>
            <w:r>
              <w:rPr>
                <w:rFonts w:hint="eastAsia"/>
              </w:rPr>
              <w:t>1</w:t>
            </w:r>
          </w:p>
        </w:tc>
      </w:tr>
    </w:tbl>
    <w:p w14:paraId="5C3D9BED">
      <w:pPr>
        <w:ind w:firstLine="422" w:firstLineChars="200"/>
        <w:rPr>
          <w:b/>
        </w:rPr>
      </w:pPr>
    </w:p>
    <w:bookmarkEnd w:id="34"/>
    <w:bookmarkEnd w:id="35"/>
    <w:p w14:paraId="485742FC">
      <w:pPr>
        <w:ind w:firstLine="422" w:firstLineChars="200"/>
        <w:rPr>
          <w:b/>
        </w:rPr>
      </w:pPr>
      <w:r>
        <w:rPr>
          <w:rFonts w:hint="eastAsia"/>
          <w:b/>
        </w:rPr>
        <w:t>（二）政府采购政策的有关事项说明</w:t>
      </w:r>
    </w:p>
    <w:p w14:paraId="03002B19">
      <w:pPr>
        <w:ind w:firstLine="422" w:firstLineChars="200"/>
        <w:rPr>
          <w:b/>
          <w:bCs/>
        </w:rPr>
      </w:pPr>
      <w:r>
        <w:rPr>
          <w:b/>
          <w:bCs/>
        </w:rPr>
        <w:t>1</w:t>
      </w:r>
      <w:r>
        <w:rPr>
          <w:rFonts w:hint="eastAsia"/>
          <w:b/>
          <w:bCs/>
          <w:lang w:val="en-US" w:eastAsia="zh-CN"/>
        </w:rPr>
        <w:t>.</w:t>
      </w:r>
      <w:r>
        <w:rPr>
          <w:rFonts w:hint="eastAsia"/>
          <w:b/>
          <w:bCs/>
        </w:rPr>
        <w:t>关于享受中小企业扶持政策的主体、价格扣除比例及采购标的所属行业等事项的说明</w:t>
      </w:r>
    </w:p>
    <w:p w14:paraId="102D5817">
      <w:pPr>
        <w:ind w:firstLine="630" w:firstLineChars="300"/>
      </w:pPr>
      <w:r>
        <w:rPr>
          <w:rFonts w:hint="eastAsia"/>
        </w:rPr>
        <w:t>（1）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32C98C22">
      <w:pPr>
        <w:pStyle w:val="38"/>
        <w:ind w:firstLine="420" w:firstLineChars="200"/>
      </w:pPr>
      <w:r>
        <w:rPr>
          <w:rFonts w:hint="eastAsia"/>
        </w:rPr>
        <w:t>备注：（a）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在货物采购项目中，货物由中小企业制造，即货物由中小企业生产且使用该中小企业商号或者注册商标（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14:paraId="23A9B4CF">
      <w:pPr>
        <w:ind w:firstLine="630" w:firstLineChars="300"/>
      </w:pPr>
      <w:r>
        <w:rPr>
          <w:rFonts w:hint="eastAsia"/>
        </w:rPr>
        <w:t>（2）预留份额专门面向中小企业采购的项目，不再执行价格扣除比例。</w:t>
      </w:r>
    </w:p>
    <w:p w14:paraId="32929F15">
      <w:pPr>
        <w:ind w:firstLine="630" w:firstLineChars="300"/>
      </w:pPr>
      <w:r>
        <w:rPr>
          <w:rFonts w:hint="eastAsia"/>
        </w:rPr>
        <w:t>（3）未预留份额专门面向中小企业采购的项目，应执行价格扣除比例：投标人提供的货物（以招标文件用户需求书“货物</w:t>
      </w:r>
      <w:r>
        <w:rPr>
          <w:rFonts w:hint="eastAsia"/>
          <w:lang w:val="en-US" w:eastAsia="zh-CN"/>
        </w:rPr>
        <w:t>需求</w:t>
      </w:r>
      <w:r>
        <w:rPr>
          <w:rFonts w:hint="eastAsia"/>
        </w:rPr>
        <w:t>明细”的“货物名称”一栏为准）</w:t>
      </w:r>
      <w:r>
        <w:rPr>
          <w:rFonts w:hint="eastAsia"/>
          <w:b/>
          <w:bCs/>
          <w:color w:val="FF0000"/>
        </w:rPr>
        <w:t>全部均由小型、微型企业制造</w:t>
      </w:r>
      <w:r>
        <w:rPr>
          <w:rFonts w:hint="eastAsia"/>
        </w:rPr>
        <w:t>，则对其投标总价给予</w:t>
      </w:r>
      <w:r>
        <w:rPr>
          <w:b/>
          <w:bCs/>
          <w:color w:val="FF0000"/>
          <w:u w:val="single"/>
        </w:rPr>
        <w:t xml:space="preserve">  </w:t>
      </w:r>
      <w:r>
        <w:rPr>
          <w:rFonts w:hint="eastAsia"/>
          <w:b/>
          <w:bCs/>
          <w:color w:val="FF0000"/>
          <w:u w:val="single"/>
        </w:rPr>
        <w:t xml:space="preserve">   10 </w:t>
      </w:r>
      <w:r>
        <w:rPr>
          <w:b/>
          <w:bCs/>
          <w:color w:val="FF0000"/>
          <w:u w:val="single"/>
        </w:rPr>
        <w:t xml:space="preserve">  </w:t>
      </w:r>
      <w:r>
        <w:rPr>
          <w:rFonts w:hint="eastAsia"/>
          <w:b/>
          <w:bCs/>
          <w:color w:val="FF0000"/>
          <w:u w:val="single"/>
        </w:rPr>
        <w:t xml:space="preserve"> </w:t>
      </w:r>
      <w:r>
        <w:rPr>
          <w:rFonts w:hint="eastAsia"/>
          <w:b/>
          <w:bCs/>
          <w:color w:val="FF0000"/>
        </w:rPr>
        <w:t xml:space="preserve"> </w:t>
      </w:r>
      <w:r>
        <w:rPr>
          <w:b/>
          <w:bCs/>
          <w:color w:val="FF0000"/>
        </w:rPr>
        <w:t>%</w:t>
      </w:r>
      <w:r>
        <w:rPr>
          <w:rFonts w:hint="eastAsia"/>
          <w:color w:val="000000" w:themeColor="text1"/>
          <w14:textFill>
            <w14:solidFill>
              <w14:schemeClr w14:val="tx1"/>
            </w14:solidFill>
          </w14:textFill>
        </w:rPr>
        <w:t>（10%~20%）</w:t>
      </w:r>
      <w:r>
        <w:rPr>
          <w:rFonts w:hint="eastAsia"/>
        </w:rPr>
        <w:t>的扣除，用扣除后的价格参与评审。</w:t>
      </w:r>
    </w:p>
    <w:p w14:paraId="4BEAAB54">
      <w:pPr>
        <w:ind w:firstLine="630" w:firstLineChars="300"/>
        <w:rPr>
          <w:rFonts w:hint="eastAsia" w:asciiTheme="minorEastAsia" w:hAnsiTheme="minorEastAsia" w:eastAsiaTheme="minorEastAsia" w:cstheme="minorEastAsia"/>
          <w:b/>
          <w:bCs/>
          <w:color w:val="FF0000"/>
          <w:szCs w:val="21"/>
        </w:rPr>
      </w:pPr>
      <w:bookmarkStart w:id="36" w:name="_Hlk71970739"/>
      <w:r>
        <w:rPr>
          <w:rFonts w:hint="eastAsia"/>
        </w:rPr>
        <w:t>（4）</w:t>
      </w:r>
      <w:r>
        <w:rPr>
          <w:rFonts w:hint="eastAsia" w:asciiTheme="minorEastAsia" w:hAnsiTheme="minorEastAsia" w:eastAsiaTheme="minorEastAsia" w:cstheme="minor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Cs w:val="21"/>
        </w:rPr>
        <w:t>《中小企业声明函》中相关企业（货物制造商）所属行业应当与采购标的所属行业相一致，</w:t>
      </w:r>
      <w:r>
        <w:rPr>
          <w:rFonts w:hint="eastAsia"/>
          <w:b/>
          <w:bCs/>
          <w:color w:val="FF0000"/>
        </w:rPr>
        <w:t>标的所属行业以招标文件第一册第三章用户需求书“货物</w:t>
      </w:r>
      <w:r>
        <w:rPr>
          <w:rFonts w:hint="eastAsia"/>
          <w:b/>
          <w:bCs/>
          <w:color w:val="FF0000"/>
          <w:lang w:val="en-US" w:eastAsia="zh-CN"/>
        </w:rPr>
        <w:t>需求</w:t>
      </w:r>
      <w:r>
        <w:rPr>
          <w:rFonts w:hint="eastAsia"/>
          <w:b/>
          <w:bCs/>
          <w:color w:val="FF0000"/>
        </w:rPr>
        <w:t>明细”的“标的所属行业”一栏为准</w:t>
      </w:r>
      <w:r>
        <w:rPr>
          <w:rFonts w:hint="eastAsia" w:asciiTheme="minorEastAsia" w:hAnsiTheme="minorEastAsia" w:eastAsiaTheme="minorEastAsia" w:cstheme="minorEastAsia"/>
          <w:b/>
          <w:bCs/>
          <w:color w:val="FF0000"/>
          <w:szCs w:val="21"/>
        </w:rPr>
        <w:t>。</w:t>
      </w:r>
    </w:p>
    <w:bookmarkEnd w:id="36"/>
    <w:p w14:paraId="1053FC94">
      <w:pPr>
        <w:ind w:firstLine="630" w:firstLineChars="300"/>
      </w:pPr>
      <w:r>
        <w:rPr>
          <w:rFonts w:hint="eastAsia" w:asciiTheme="minorEastAsia" w:hAnsiTheme="minorEastAsia" w:eastAsiaTheme="minorEastAsia" w:cstheme="minorEastAsia"/>
          <w:szCs w:val="21"/>
        </w:rPr>
        <w:t>（5）中型企业、小型、微型企业为优惠主体的认定资料为《中小企业声明函》；残疾人福利性单位为优惠主体的认定资料为《残疾人福利性单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投标文件组成要求及格式”中“三、投标人情况及资格证明文件”章节提供的格式）。</w:t>
      </w:r>
    </w:p>
    <w:p w14:paraId="1FD13AE8">
      <w:pPr>
        <w:ind w:firstLine="630" w:firstLineChars="300"/>
        <w:rPr>
          <w:color w:val="FF0000"/>
        </w:rPr>
      </w:pPr>
      <w:r>
        <w:rPr>
          <w:rFonts w:hint="eastAsia"/>
        </w:rPr>
        <w:t>（6）依据《</w:t>
      </w:r>
      <w:r>
        <w:rPr>
          <w:rFonts w:hint="eastAsia" w:asciiTheme="minorEastAsia" w:hAnsiTheme="minorEastAsia" w:eastAsiaTheme="minorEastAsia" w:cstheme="minorEastAsia"/>
          <w:szCs w:val="21"/>
        </w:rPr>
        <w:t>政府采购促进中小企业发展管理办法》</w:t>
      </w:r>
      <w:r>
        <w:rPr>
          <w:rFonts w:hint="eastAsia"/>
        </w:rPr>
        <w:t>规定享受扶持政策获得政府采购合同的，小微企业不得将合同分包给大中型企业，中型企业不得将合同分包给大型企业。</w:t>
      </w:r>
    </w:p>
    <w:p w14:paraId="431F63B9">
      <w:pPr>
        <w:ind w:firstLine="422" w:firstLineChars="200"/>
        <w:rPr>
          <w:b/>
          <w:bCs/>
        </w:rPr>
      </w:pPr>
      <w:r>
        <w:rPr>
          <w:rFonts w:hint="eastAsia"/>
          <w:b/>
          <w:bCs/>
        </w:rPr>
        <w:t>2</w:t>
      </w:r>
      <w:r>
        <w:rPr>
          <w:rFonts w:hint="eastAsia"/>
          <w:b/>
          <w:bCs/>
          <w:lang w:val="en-US" w:eastAsia="zh-CN"/>
        </w:rPr>
        <w:t>.</w:t>
      </w:r>
      <w:r>
        <w:rPr>
          <w:rFonts w:hint="eastAsia"/>
          <w:b/>
          <w:bCs/>
        </w:rPr>
        <w:t>关于享受对本国产品的政府采购支持政策的主体、价格扣除比例等事项的说明</w:t>
      </w:r>
    </w:p>
    <w:p w14:paraId="07CE453C">
      <w:pPr>
        <w:ind w:firstLine="420" w:firstLineChars="200"/>
      </w:pPr>
      <w:r>
        <w:rPr>
          <w:rFonts w:hint="eastAsia"/>
        </w:rPr>
        <w:t>（1）适用主体：国有企业、民营企业、外资企业等各类经营主体平等享受对本国产品的政府采购支持政策。</w:t>
      </w:r>
    </w:p>
    <w:p w14:paraId="5A617404">
      <w:pPr>
        <w:pStyle w:val="38"/>
        <w:ind w:firstLine="420" w:firstLineChars="200"/>
        <w:rPr>
          <w:rFonts w:ascii="Times New Roman" w:hAnsi="Times New Roman"/>
          <w:szCs w:val="24"/>
        </w:rPr>
      </w:pPr>
      <w:r>
        <w:rPr>
          <w:rFonts w:hint="eastAsia" w:ascii="Times New Roman" w:hAnsi="Times New Roman"/>
          <w:szCs w:val="24"/>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273C06B">
      <w:pPr>
        <w:pStyle w:val="38"/>
        <w:ind w:firstLine="420" w:firstLineChars="200"/>
        <w:rPr>
          <w:rFonts w:ascii="Times New Roman" w:hAnsi="Times New Roman"/>
          <w:szCs w:val="24"/>
        </w:rPr>
      </w:pPr>
      <w:r>
        <w:rPr>
          <w:rFonts w:hint="eastAsia" w:ascii="Times New Roman" w:hAnsi="Times New Roman"/>
          <w:szCs w:val="24"/>
        </w:rPr>
        <w:t>（3）价格扣除：政府采购活动中既有本国产品又有非本国产品参与竞争的，依法对本国产品给予价格评审优惠，</w:t>
      </w:r>
      <w:r>
        <w:rPr>
          <w:rFonts w:hint="eastAsia" w:ascii="Times New Roman" w:hAnsi="Times New Roman"/>
          <w:b/>
          <w:bCs/>
          <w:color w:val="FF0000"/>
          <w:szCs w:val="24"/>
        </w:rPr>
        <w:t>对本国产品的报价给予20%的价格扣除</w:t>
      </w:r>
      <w:r>
        <w:rPr>
          <w:rFonts w:hint="eastAsia" w:ascii="Times New Roman" w:hAnsi="Times New Roman"/>
          <w:color w:val="000000" w:themeColor="text1"/>
          <w:szCs w:val="24"/>
          <w14:textFill>
            <w14:solidFill>
              <w14:schemeClr w14:val="tx1"/>
            </w14:solidFill>
          </w14:textFill>
        </w:rPr>
        <w:t>，</w:t>
      </w:r>
      <w:r>
        <w:rPr>
          <w:rFonts w:hint="eastAsia" w:ascii="Times New Roman" w:hAnsi="Times New Roman"/>
          <w:szCs w:val="24"/>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b/>
          <w:bCs/>
          <w:color w:val="FF0000"/>
          <w:szCs w:val="24"/>
        </w:rPr>
        <w:t>总报价给予20%的价格扣除</w:t>
      </w:r>
      <w:r>
        <w:rPr>
          <w:rFonts w:hint="eastAsia" w:ascii="Times New Roman" w:hAnsi="Times New Roman"/>
          <w:szCs w:val="24"/>
        </w:rPr>
        <w:t>，用扣除后的价格参与评审。</w:t>
      </w:r>
    </w:p>
    <w:p w14:paraId="40080D9D">
      <w:pPr>
        <w:pStyle w:val="38"/>
        <w:ind w:firstLine="420" w:firstLineChars="200"/>
      </w:pPr>
      <w:r>
        <w:rPr>
          <w:rFonts w:hint="eastAsia" w:ascii="Times New Roman" w:hAnsi="Times New Roman"/>
          <w:szCs w:val="24"/>
        </w:rPr>
        <w:t>（4）供应商出具符合要求的《关于符合本国产品标准的声明函》或财政部会同有关部门规定的有关证明文件，该产品视为本国产品。</w:t>
      </w:r>
      <w:r>
        <w:rPr>
          <w:rFonts w:hint="eastAsia"/>
        </w:rPr>
        <w:t>声明函样式见本招标文件第一册专用条款“第四章  投标文件组成要求及格式”中“三、投标人情况及资格证明文件”章节提供的格式）。</w:t>
      </w:r>
    </w:p>
    <w:p w14:paraId="0A602020">
      <w:pPr>
        <w:pStyle w:val="38"/>
        <w:ind w:firstLine="422" w:firstLineChars="200"/>
        <w:rPr>
          <w:b/>
          <w:bCs/>
        </w:rPr>
      </w:pPr>
      <w:r>
        <w:rPr>
          <w:rFonts w:hint="eastAsia"/>
          <w:b/>
          <w:bCs/>
        </w:rPr>
        <w:t>3</w:t>
      </w:r>
      <w:r>
        <w:rPr>
          <w:rFonts w:hint="eastAsia"/>
          <w:b/>
          <w:bCs/>
          <w:lang w:val="en-US" w:eastAsia="zh-CN"/>
        </w:rPr>
        <w:t>.</w:t>
      </w:r>
      <w:r>
        <w:rPr>
          <w:rFonts w:hint="eastAsia"/>
          <w:b/>
          <w:bCs/>
        </w:rPr>
        <w:t>关于同时满足中小企业扶持政策和对本国产品的支持政策的事项说明</w:t>
      </w:r>
    </w:p>
    <w:p w14:paraId="307EE9BB">
      <w:pPr>
        <w:pStyle w:val="38"/>
        <w:ind w:firstLine="420" w:firstLineChars="200"/>
        <w:rPr>
          <w:rFonts w:ascii="Times New Roman" w:hAnsi="Times New Roman"/>
          <w:szCs w:val="24"/>
        </w:rPr>
      </w:pPr>
      <w:r>
        <w:rPr>
          <w:rFonts w:hint="eastAsia" w:ascii="Times New Roman" w:hAnsi="Times New Roman"/>
          <w:szCs w:val="24"/>
        </w:rPr>
        <w:t>本国产品政策实施后，政府采购活动中既有本国产品又有非本国产品参与竞争的，依法对本国产品给予价格评审优惠，对本国产品的报价给予20%的价格扣除，用扣除后的价格参与评审。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b/>
          <w:bCs/>
          <w:color w:val="FF0000"/>
          <w:szCs w:val="24"/>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szCs w:val="24"/>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5B5829D3">
      <w:pPr>
        <w:pStyle w:val="38"/>
        <w:ind w:firstLine="420" w:firstLineChars="200"/>
        <w:rPr>
          <w:rFonts w:ascii="Times New Roman" w:hAnsi="Times New Roman"/>
          <w:szCs w:val="24"/>
        </w:rPr>
      </w:pPr>
      <w:r>
        <w:rPr>
          <w:rFonts w:hint="eastAsia" w:ascii="Times New Roman" w:hAnsi="Times New Roman"/>
          <w:szCs w:val="24"/>
        </w:rPr>
        <w:t>（1）预留份额专门面向中小企业采购的项目，不再享受小微企业价格扣除优惠。若供应商所投货物同时满足对本国产品的支持政策的规定，应享受该政策20%价格扣除优惠；</w:t>
      </w:r>
    </w:p>
    <w:p w14:paraId="4BBAA0BD">
      <w:pPr>
        <w:pStyle w:val="38"/>
        <w:ind w:firstLine="420" w:firstLineChars="200"/>
        <w:rPr>
          <w:rFonts w:ascii="Times New Roman" w:hAnsi="Times New Roman"/>
          <w:szCs w:val="24"/>
        </w:rPr>
      </w:pPr>
      <w:r>
        <w:rPr>
          <w:rFonts w:hint="eastAsia" w:ascii="Times New Roman" w:hAnsi="Times New Roman"/>
          <w:szCs w:val="24"/>
        </w:rPr>
        <w:t>（2）未预留份额专门面向中小企业采购的项目，供应商同时满足小微企业和所投产品符合本国产品支持政策规定的，应同时对该供应商投标总报价给予多项价格扣除优惠，用扣除后的价格参与评审。</w:t>
      </w:r>
    </w:p>
    <w:p w14:paraId="1C570832">
      <w:pPr>
        <w:pStyle w:val="38"/>
        <w:ind w:firstLine="422" w:firstLineChars="200"/>
        <w:rPr>
          <w:b/>
          <w:bCs/>
        </w:rPr>
      </w:pPr>
      <w:r>
        <w:rPr>
          <w:rFonts w:hint="eastAsia"/>
          <w:b/>
          <w:bCs/>
        </w:rPr>
        <w:t>4</w:t>
      </w:r>
      <w:r>
        <w:rPr>
          <w:rFonts w:hint="eastAsia"/>
          <w:b/>
          <w:bCs/>
          <w:lang w:val="en-US" w:eastAsia="zh-CN"/>
        </w:rPr>
        <w:t>.</w:t>
      </w:r>
      <w:r>
        <w:rPr>
          <w:b/>
          <w:bCs/>
        </w:rPr>
        <w:t>上述支持政策不改变最终中标</w:t>
      </w:r>
      <w:r>
        <w:rPr>
          <w:rFonts w:hint="eastAsia"/>
          <w:b/>
          <w:bCs/>
        </w:rPr>
        <w:t>（</w:t>
      </w:r>
      <w:r>
        <w:rPr>
          <w:b/>
          <w:bCs/>
        </w:rPr>
        <w:t>成交</w:t>
      </w:r>
      <w:r>
        <w:rPr>
          <w:rFonts w:hint="eastAsia"/>
          <w:b/>
          <w:bCs/>
        </w:rPr>
        <w:t>）</w:t>
      </w:r>
      <w:r>
        <w:rPr>
          <w:b/>
          <w:bCs/>
        </w:rPr>
        <w:t>价格，政府采购合同仍按照中标</w:t>
      </w:r>
      <w:r>
        <w:rPr>
          <w:rFonts w:hint="eastAsia"/>
          <w:b/>
          <w:bCs/>
        </w:rPr>
        <w:t>（</w:t>
      </w:r>
      <w:r>
        <w:rPr>
          <w:b/>
          <w:bCs/>
        </w:rPr>
        <w:t>成交</w:t>
      </w:r>
      <w:r>
        <w:rPr>
          <w:rFonts w:hint="eastAsia"/>
          <w:b/>
          <w:bCs/>
        </w:rPr>
        <w:t>）</w:t>
      </w:r>
      <w:r>
        <w:rPr>
          <w:b/>
          <w:bCs/>
        </w:rPr>
        <w:t>供应商的报价签订。</w:t>
      </w:r>
    </w:p>
    <w:p w14:paraId="5C09F9B4">
      <w:pPr>
        <w:ind w:firstLine="422" w:firstLineChars="200"/>
        <w:rPr>
          <w:b/>
        </w:rPr>
      </w:pPr>
    </w:p>
    <w:p w14:paraId="1F8D45CE">
      <w:pPr>
        <w:ind w:firstLine="422" w:firstLineChars="200"/>
        <w:rPr>
          <w:b/>
          <w:bCs/>
        </w:rPr>
      </w:pPr>
      <w:r>
        <w:rPr>
          <w:rFonts w:hint="eastAsia"/>
          <w:b/>
        </w:rPr>
        <w:t>（三）代理服务费</w:t>
      </w:r>
    </w:p>
    <w:p w14:paraId="440F0639">
      <w:pPr>
        <w:ind w:firstLine="422" w:firstLineChars="200"/>
        <w:rPr>
          <w:b/>
          <w:bCs/>
        </w:rPr>
      </w:pPr>
      <w:r>
        <w:rPr>
          <w:rFonts w:hint="eastAsia"/>
          <w:b/>
          <w:bCs/>
        </w:rPr>
        <w:t>本项目不向中标（成交）供应商收取代理服务费。</w:t>
      </w:r>
    </w:p>
    <w:p w14:paraId="167D2D34">
      <w:pPr>
        <w:rPr>
          <w:sz w:val="28"/>
          <w:szCs w:val="28"/>
        </w:rPr>
      </w:pPr>
      <w:r>
        <w:rPr>
          <w:rFonts w:hint="eastAsia"/>
          <w:sz w:val="28"/>
          <w:szCs w:val="28"/>
        </w:rPr>
        <w:br w:type="page"/>
      </w:r>
    </w:p>
    <w:p w14:paraId="6FCAFC9B">
      <w:pPr>
        <w:pStyle w:val="7"/>
        <w:rPr>
          <w:rFonts w:hint="eastAsia"/>
          <w:sz w:val="28"/>
          <w:szCs w:val="28"/>
        </w:rPr>
      </w:pPr>
      <w:r>
        <w:rPr>
          <w:rFonts w:hint="eastAsia"/>
          <w:sz w:val="28"/>
          <w:szCs w:val="28"/>
        </w:rPr>
        <w:t>第三章 用户需求书</w:t>
      </w:r>
    </w:p>
    <w:p w14:paraId="309D8959">
      <w:pPr>
        <w:pStyle w:val="7"/>
        <w:spacing w:before="120" w:beforeLines="50" w:after="120" w:afterLines="50"/>
        <w:rPr>
          <w:rFonts w:hint="eastAsia"/>
          <w:szCs w:val="24"/>
        </w:rPr>
      </w:pPr>
      <w:r>
        <w:rPr>
          <w:rFonts w:hint="eastAsia"/>
          <w:szCs w:val="24"/>
        </w:rPr>
        <w:t>一、项目基本信息</w:t>
      </w:r>
    </w:p>
    <w:p w14:paraId="150645AB">
      <w:pPr>
        <w:rPr>
          <w:rFonts w:hint="eastAsia" w:ascii="宋体" w:hAnsi="宋体"/>
          <w:b/>
          <w:color w:val="FF0000"/>
          <w:szCs w:val="21"/>
        </w:rPr>
      </w:pPr>
    </w:p>
    <w:tbl>
      <w:tblPr>
        <w:tblStyle w:val="21"/>
        <w:tblW w:w="56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4"/>
        <w:gridCol w:w="3557"/>
        <w:gridCol w:w="1825"/>
        <w:gridCol w:w="1882"/>
        <w:gridCol w:w="1698"/>
      </w:tblGrid>
      <w:tr w14:paraId="399F4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1" w:type="pct"/>
            <w:vAlign w:val="center"/>
          </w:tcPr>
          <w:p w14:paraId="3F502724">
            <w:pPr>
              <w:jc w:val="center"/>
              <w:rPr>
                <w:b/>
                <w:szCs w:val="21"/>
              </w:rPr>
            </w:pPr>
            <w:r>
              <w:rPr>
                <w:rFonts w:hint="eastAsia"/>
                <w:b/>
                <w:szCs w:val="21"/>
              </w:rPr>
              <w:t>序号</w:t>
            </w:r>
          </w:p>
        </w:tc>
        <w:tc>
          <w:tcPr>
            <w:tcW w:w="3557" w:type="dxa"/>
            <w:vAlign w:val="center"/>
          </w:tcPr>
          <w:p w14:paraId="0E649EA4">
            <w:pPr>
              <w:keepNext w:val="0"/>
              <w:keepLines w:val="0"/>
              <w:suppressLineNumbers w:val="0"/>
              <w:spacing w:before="0" w:beforeAutospacing="0" w:after="0" w:afterAutospacing="0"/>
              <w:ind w:left="0" w:leftChars="0" w:right="0" w:rightChars="0"/>
              <w:jc w:val="center"/>
              <w:rPr>
                <w:b/>
                <w:szCs w:val="21"/>
              </w:rPr>
            </w:pPr>
            <w:r>
              <w:rPr>
                <w:rFonts w:hint="eastAsia"/>
                <w:b/>
                <w:szCs w:val="21"/>
              </w:rPr>
              <w:t>采购计划编号</w:t>
            </w:r>
          </w:p>
        </w:tc>
        <w:tc>
          <w:tcPr>
            <w:tcW w:w="1982" w:type="dxa"/>
            <w:vAlign w:val="center"/>
          </w:tcPr>
          <w:p w14:paraId="4AE343BA">
            <w:pPr>
              <w:keepNext w:val="0"/>
              <w:keepLines w:val="0"/>
              <w:suppressLineNumbers w:val="0"/>
              <w:spacing w:before="0" w:beforeAutospacing="0" w:after="0" w:afterAutospacing="0"/>
              <w:ind w:left="0" w:leftChars="0" w:right="0" w:rightChars="0"/>
              <w:jc w:val="center"/>
              <w:rPr>
                <w:b/>
                <w:szCs w:val="21"/>
              </w:rPr>
            </w:pPr>
            <w:r>
              <w:rPr>
                <w:rFonts w:hint="eastAsia"/>
                <w:b/>
                <w:szCs w:val="21"/>
              </w:rPr>
              <w:t>采购项目名称</w:t>
            </w:r>
          </w:p>
        </w:tc>
        <w:tc>
          <w:tcPr>
            <w:tcW w:w="1945" w:type="dxa"/>
            <w:vAlign w:val="center"/>
          </w:tcPr>
          <w:p w14:paraId="7FBFFBBE">
            <w:pPr>
              <w:keepNext w:val="0"/>
              <w:keepLines w:val="0"/>
              <w:suppressLineNumbers w:val="0"/>
              <w:spacing w:before="0" w:beforeAutospacing="0" w:after="0" w:afterAutospacing="0"/>
              <w:ind w:left="0" w:leftChars="0" w:right="0" w:rightChars="0"/>
              <w:jc w:val="center"/>
            </w:pPr>
            <w:r>
              <w:rPr>
                <w:rFonts w:hint="eastAsia"/>
                <w:b/>
                <w:szCs w:val="21"/>
              </w:rPr>
              <w:t>预算金额（元）</w:t>
            </w:r>
          </w:p>
        </w:tc>
        <w:tc>
          <w:tcPr>
            <w:tcW w:w="1740" w:type="dxa"/>
            <w:vAlign w:val="center"/>
          </w:tcPr>
          <w:p w14:paraId="7C611A49">
            <w:pPr>
              <w:keepNext w:val="0"/>
              <w:keepLines w:val="0"/>
              <w:suppressLineNumbers w:val="0"/>
              <w:spacing w:before="0" w:beforeAutospacing="0" w:after="0" w:afterAutospacing="0"/>
              <w:ind w:left="0" w:leftChars="0" w:right="0" w:rightChars="0"/>
              <w:jc w:val="center"/>
              <w:rPr>
                <w:rFonts w:hint="eastAsia"/>
                <w:b/>
                <w:szCs w:val="21"/>
              </w:rPr>
            </w:pPr>
            <w:r>
              <w:rPr>
                <w:rFonts w:hint="eastAsia"/>
                <w:b/>
                <w:szCs w:val="21"/>
                <w:lang w:val="en-US" w:eastAsia="zh-CN"/>
              </w:rPr>
              <w:t>最高限价（元）</w:t>
            </w:r>
          </w:p>
        </w:tc>
      </w:tr>
      <w:tr w14:paraId="6CB8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1" w:type="pct"/>
            <w:vAlign w:val="center"/>
          </w:tcPr>
          <w:p w14:paraId="7C3CB325">
            <w:pPr>
              <w:jc w:val="center"/>
              <w:rPr>
                <w:bCs/>
                <w:szCs w:val="21"/>
              </w:rPr>
            </w:pPr>
            <w:r>
              <w:rPr>
                <w:rFonts w:hint="eastAsia"/>
                <w:bCs/>
                <w:szCs w:val="21"/>
              </w:rPr>
              <w:t>1</w:t>
            </w:r>
          </w:p>
        </w:tc>
        <w:tc>
          <w:tcPr>
            <w:tcW w:w="3557" w:type="dxa"/>
            <w:vAlign w:val="center"/>
          </w:tcPr>
          <w:p w14:paraId="377E69B0">
            <w:pPr>
              <w:keepNext w:val="0"/>
              <w:keepLines w:val="0"/>
              <w:suppressLineNumbers w:val="0"/>
              <w:spacing w:before="0" w:beforeAutospacing="0" w:after="0" w:afterAutospacing="0"/>
              <w:ind w:left="0" w:leftChars="0" w:right="0" w:rightChars="0"/>
              <w:jc w:val="center"/>
              <w:rPr>
                <w:bCs/>
                <w:szCs w:val="21"/>
              </w:rPr>
            </w:pPr>
            <w:r>
              <w:rPr>
                <w:rFonts w:hint="eastAsia"/>
                <w:bCs/>
                <w:szCs w:val="21"/>
              </w:rPr>
              <w:t xml:space="preserve">PLAN-2025-440300000-118028-12683  </w:t>
            </w:r>
          </w:p>
        </w:tc>
        <w:tc>
          <w:tcPr>
            <w:tcW w:w="1982" w:type="dxa"/>
            <w:vAlign w:val="center"/>
          </w:tcPr>
          <w:p w14:paraId="7525C0A1">
            <w:pPr>
              <w:keepNext w:val="0"/>
              <w:keepLines w:val="0"/>
              <w:suppressLineNumbers w:val="0"/>
              <w:spacing w:before="0" w:beforeAutospacing="0" w:after="0" w:afterAutospacing="0"/>
              <w:ind w:left="0" w:leftChars="0" w:right="0" w:rightChars="0"/>
              <w:jc w:val="center"/>
              <w:rPr>
                <w:rFonts w:hint="eastAsia" w:eastAsia="宋体"/>
                <w:bCs/>
                <w:szCs w:val="21"/>
                <w:lang w:eastAsia="zh-CN"/>
              </w:rPr>
            </w:pPr>
            <w:r>
              <w:rPr>
                <w:rFonts w:hint="eastAsia"/>
                <w:bCs/>
                <w:szCs w:val="21"/>
                <w:lang w:eastAsia="zh-CN"/>
              </w:rPr>
              <w:t>中国医学科学院肿瘤医院深圳医院放疗计划设计工作站采购</w:t>
            </w:r>
          </w:p>
        </w:tc>
        <w:tc>
          <w:tcPr>
            <w:tcW w:w="1945" w:type="dxa"/>
            <w:vAlign w:val="center"/>
          </w:tcPr>
          <w:p w14:paraId="4C84D4D3">
            <w:pPr>
              <w:keepNext w:val="0"/>
              <w:keepLines w:val="0"/>
              <w:suppressLineNumbers w:val="0"/>
              <w:spacing w:before="0" w:beforeAutospacing="0" w:after="0" w:afterAutospacing="0"/>
              <w:ind w:left="0" w:leftChars="0" w:right="0" w:rightChars="0"/>
              <w:jc w:val="center"/>
              <w:rPr>
                <w:bCs/>
                <w:szCs w:val="21"/>
              </w:rPr>
            </w:pPr>
            <w:r>
              <w:rPr>
                <w:rFonts w:hint="default" w:eastAsia="宋体"/>
                <w:bCs/>
                <w:szCs w:val="21"/>
                <w:lang w:val="en-US" w:eastAsia="zh-CN"/>
              </w:rPr>
              <w:t xml:space="preserve">10000000.00元 </w:t>
            </w:r>
          </w:p>
        </w:tc>
        <w:tc>
          <w:tcPr>
            <w:tcW w:w="1740" w:type="dxa"/>
            <w:vAlign w:val="center"/>
          </w:tcPr>
          <w:p w14:paraId="7837DA9A">
            <w:pPr>
              <w:keepNext w:val="0"/>
              <w:keepLines w:val="0"/>
              <w:suppressLineNumbers w:val="0"/>
              <w:spacing w:before="0" w:beforeAutospacing="0" w:after="0" w:afterAutospacing="0"/>
              <w:ind w:left="0" w:leftChars="0" w:right="0" w:rightChars="0"/>
              <w:jc w:val="center"/>
              <w:rPr>
                <w:rFonts w:hint="eastAsia"/>
                <w:bCs/>
                <w:szCs w:val="21"/>
              </w:rPr>
            </w:pPr>
            <w:r>
              <w:rPr>
                <w:rFonts w:hint="eastAsia"/>
                <w:bCs/>
                <w:szCs w:val="21"/>
              </w:rPr>
              <w:t xml:space="preserve">10000000.00元 </w:t>
            </w:r>
          </w:p>
        </w:tc>
      </w:tr>
    </w:tbl>
    <w:p w14:paraId="4F0AE10A">
      <w:pPr>
        <w:rPr>
          <w:rFonts w:hint="eastAsia" w:ascii="宋体" w:hAnsi="宋体"/>
          <w:b/>
          <w:szCs w:val="21"/>
        </w:rPr>
      </w:pPr>
    </w:p>
    <w:p w14:paraId="3173DCAD">
      <w:pPr>
        <w:pStyle w:val="7"/>
        <w:spacing w:before="120" w:beforeLines="50" w:after="120" w:afterLines="50"/>
        <w:rPr>
          <w:rFonts w:hint="eastAsia"/>
          <w:szCs w:val="24"/>
        </w:rPr>
      </w:pPr>
      <w:bookmarkStart w:id="37" w:name="_Hlk72258617"/>
      <w:r>
        <w:rPr>
          <w:rFonts w:hint="eastAsia"/>
          <w:szCs w:val="24"/>
        </w:rPr>
        <w:t>二、货物</w:t>
      </w:r>
      <w:r>
        <w:rPr>
          <w:rFonts w:hint="eastAsia"/>
          <w:szCs w:val="24"/>
          <w:lang w:val="en-US" w:eastAsia="zh-CN"/>
        </w:rPr>
        <w:t>需求</w:t>
      </w:r>
      <w:r>
        <w:rPr>
          <w:rFonts w:hint="eastAsia"/>
          <w:szCs w:val="24"/>
        </w:rPr>
        <w:t>明细</w:t>
      </w:r>
    </w:p>
    <w:tbl>
      <w:tblPr>
        <w:tblStyle w:val="22"/>
        <w:tblW w:w="6718" w:type="pct"/>
        <w:tblInd w:w="-1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2074"/>
        <w:gridCol w:w="1908"/>
        <w:gridCol w:w="730"/>
        <w:gridCol w:w="736"/>
        <w:gridCol w:w="1052"/>
        <w:gridCol w:w="792"/>
        <w:gridCol w:w="792"/>
        <w:gridCol w:w="792"/>
        <w:gridCol w:w="1776"/>
      </w:tblGrid>
      <w:tr w14:paraId="6F538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25" w:type="pct"/>
            <w:vAlign w:val="center"/>
          </w:tcPr>
          <w:p w14:paraId="622E7A4A">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kern w:val="0"/>
                <w:szCs w:val="21"/>
              </w:rPr>
            </w:pPr>
            <w:bookmarkStart w:id="38" w:name="OLE_LINK1"/>
            <w:r>
              <w:rPr>
                <w:rFonts w:hint="eastAsia" w:ascii="宋体" w:hAnsi="宋体" w:cs="宋体"/>
                <w:b/>
                <w:bCs/>
                <w:color w:val="000000"/>
                <w:kern w:val="0"/>
                <w:szCs w:val="21"/>
              </w:rPr>
              <w:t>序号</w:t>
            </w:r>
          </w:p>
        </w:tc>
        <w:tc>
          <w:tcPr>
            <w:tcW w:w="929" w:type="pct"/>
            <w:vAlign w:val="center"/>
          </w:tcPr>
          <w:p w14:paraId="3FF5269F">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kern w:val="0"/>
                <w:szCs w:val="21"/>
              </w:rPr>
            </w:pPr>
            <w:r>
              <w:rPr>
                <w:rFonts w:hint="eastAsia" w:ascii="宋体" w:hAnsi="宋体" w:cs="宋体"/>
                <w:b/>
                <w:bCs/>
                <w:color w:val="000000"/>
                <w:kern w:val="0"/>
                <w:szCs w:val="21"/>
              </w:rPr>
              <w:t>采购计划编号</w:t>
            </w:r>
          </w:p>
        </w:tc>
        <w:tc>
          <w:tcPr>
            <w:tcW w:w="855" w:type="pct"/>
            <w:vAlign w:val="center"/>
          </w:tcPr>
          <w:p w14:paraId="4AB3389E">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kern w:val="0"/>
                <w:szCs w:val="21"/>
              </w:rPr>
            </w:pPr>
            <w:r>
              <w:rPr>
                <w:rFonts w:hint="eastAsia" w:ascii="宋体" w:hAnsi="宋体" w:cs="宋体"/>
                <w:b/>
                <w:bCs/>
                <w:color w:val="000000"/>
                <w:kern w:val="0"/>
                <w:szCs w:val="21"/>
              </w:rPr>
              <w:t>货物名称（标的名称）</w:t>
            </w:r>
          </w:p>
        </w:tc>
        <w:tc>
          <w:tcPr>
            <w:tcW w:w="327" w:type="pct"/>
            <w:vAlign w:val="center"/>
          </w:tcPr>
          <w:p w14:paraId="37711A3B">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kern w:val="0"/>
                <w:szCs w:val="21"/>
              </w:rPr>
            </w:pPr>
            <w:r>
              <w:rPr>
                <w:rFonts w:hint="eastAsia" w:ascii="宋体" w:hAnsi="宋体" w:cs="宋体"/>
                <w:b/>
                <w:bCs/>
                <w:color w:val="000000"/>
                <w:kern w:val="0"/>
                <w:szCs w:val="21"/>
              </w:rPr>
              <w:t>数量</w:t>
            </w:r>
          </w:p>
        </w:tc>
        <w:tc>
          <w:tcPr>
            <w:tcW w:w="329" w:type="pct"/>
            <w:vAlign w:val="center"/>
          </w:tcPr>
          <w:p w14:paraId="59D6993E">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kern w:val="0"/>
                <w:szCs w:val="21"/>
              </w:rPr>
            </w:pPr>
            <w:r>
              <w:rPr>
                <w:rFonts w:hint="eastAsia" w:ascii="宋体" w:hAnsi="宋体" w:cs="宋体"/>
                <w:b/>
                <w:bCs/>
                <w:color w:val="000000"/>
                <w:kern w:val="0"/>
                <w:szCs w:val="21"/>
              </w:rPr>
              <w:t>单位</w:t>
            </w:r>
          </w:p>
        </w:tc>
        <w:tc>
          <w:tcPr>
            <w:tcW w:w="471" w:type="pct"/>
            <w:vAlign w:val="center"/>
          </w:tcPr>
          <w:p w14:paraId="744D2A0B">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kern w:val="0"/>
                <w:szCs w:val="21"/>
              </w:rPr>
            </w:pPr>
            <w:r>
              <w:rPr>
                <w:rFonts w:hint="eastAsia"/>
                <w:b/>
                <w:bCs/>
                <w:color w:val="FF0000"/>
                <w:szCs w:val="21"/>
              </w:rPr>
              <w:t>是否接受进口</w:t>
            </w:r>
          </w:p>
        </w:tc>
        <w:tc>
          <w:tcPr>
            <w:tcW w:w="355" w:type="pct"/>
            <w:vAlign w:val="center"/>
          </w:tcPr>
          <w:p w14:paraId="2277FD64">
            <w:pPr>
              <w:keepNext w:val="0"/>
              <w:keepLines w:val="0"/>
              <w:suppressLineNumbers w:val="0"/>
              <w:spacing w:before="0" w:beforeAutospacing="0" w:after="0" w:afterAutospacing="0"/>
              <w:ind w:left="0" w:right="0"/>
              <w:jc w:val="center"/>
              <w:rPr>
                <w:rFonts w:hint="default"/>
                <w:b/>
                <w:bCs/>
                <w:color w:val="FF0000"/>
                <w:szCs w:val="21"/>
              </w:rPr>
            </w:pPr>
            <w:r>
              <w:rPr>
                <w:rFonts w:hint="eastAsia"/>
                <w:b/>
                <w:bCs/>
                <w:color w:val="FF0000"/>
                <w:szCs w:val="21"/>
              </w:rPr>
              <w:t>是否为节能产品</w:t>
            </w:r>
          </w:p>
        </w:tc>
        <w:tc>
          <w:tcPr>
            <w:tcW w:w="355" w:type="pct"/>
            <w:vAlign w:val="center"/>
          </w:tcPr>
          <w:p w14:paraId="2939F8D9">
            <w:pPr>
              <w:keepNext w:val="0"/>
              <w:keepLines w:val="0"/>
              <w:suppressLineNumbers w:val="0"/>
              <w:spacing w:before="0" w:beforeAutospacing="0" w:after="0" w:afterAutospacing="0"/>
              <w:ind w:left="0" w:right="0"/>
              <w:jc w:val="center"/>
              <w:rPr>
                <w:rFonts w:hint="default"/>
                <w:b/>
                <w:bCs/>
                <w:color w:val="FF0000"/>
                <w:szCs w:val="21"/>
              </w:rPr>
            </w:pPr>
            <w:r>
              <w:rPr>
                <w:rFonts w:hint="eastAsia"/>
                <w:b/>
                <w:bCs/>
                <w:color w:val="FF0000"/>
                <w:szCs w:val="21"/>
              </w:rPr>
              <w:t>是否为环境标志产品</w:t>
            </w:r>
          </w:p>
        </w:tc>
        <w:tc>
          <w:tcPr>
            <w:tcW w:w="355" w:type="pct"/>
            <w:vAlign w:val="center"/>
          </w:tcPr>
          <w:p w14:paraId="01C44A5D">
            <w:pPr>
              <w:keepNext w:val="0"/>
              <w:keepLines w:val="0"/>
              <w:suppressLineNumbers w:val="0"/>
              <w:spacing w:before="0" w:beforeAutospacing="0" w:after="0" w:afterAutospacing="0"/>
              <w:ind w:left="0" w:right="0"/>
              <w:jc w:val="center"/>
              <w:rPr>
                <w:rFonts w:hint="default" w:ascii="宋体" w:hAnsi="宋体" w:cs="宋体"/>
                <w:b/>
                <w:bCs/>
                <w:color w:val="FF0000"/>
                <w:szCs w:val="21"/>
              </w:rPr>
            </w:pPr>
            <w:r>
              <w:rPr>
                <w:rFonts w:hint="eastAsia"/>
                <w:b/>
                <w:bCs/>
                <w:color w:val="FF0000"/>
                <w:szCs w:val="21"/>
              </w:rPr>
              <w:t>是否专门面向中小企业</w:t>
            </w:r>
          </w:p>
        </w:tc>
        <w:tc>
          <w:tcPr>
            <w:tcW w:w="795" w:type="pct"/>
            <w:vAlign w:val="center"/>
          </w:tcPr>
          <w:p w14:paraId="6F9300D7">
            <w:pPr>
              <w:keepNext w:val="0"/>
              <w:keepLines w:val="0"/>
              <w:suppressLineNumbers w:val="0"/>
              <w:spacing w:before="0" w:beforeAutospacing="0" w:after="0" w:afterAutospacing="0"/>
              <w:ind w:left="0" w:right="0"/>
              <w:jc w:val="center"/>
              <w:rPr>
                <w:rFonts w:hint="default" w:ascii="宋体" w:hAnsi="宋体" w:cs="宋体"/>
                <w:b/>
                <w:bCs/>
                <w:color w:val="000000"/>
                <w:kern w:val="0"/>
                <w:szCs w:val="21"/>
              </w:rPr>
            </w:pPr>
            <w:r>
              <w:rPr>
                <w:rFonts w:hint="eastAsia" w:ascii="宋体" w:hAnsi="宋体" w:cs="宋体"/>
                <w:b/>
                <w:bCs/>
                <w:color w:val="FF0000"/>
                <w:szCs w:val="21"/>
              </w:rPr>
              <w:t>标的所属行业</w:t>
            </w:r>
          </w:p>
        </w:tc>
      </w:tr>
      <w:tr w14:paraId="3EF8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 w:type="pct"/>
            <w:vAlign w:val="center"/>
          </w:tcPr>
          <w:p w14:paraId="04447BF4">
            <w:pPr>
              <w:keepNext w:val="0"/>
              <w:keepLines w:val="0"/>
              <w:widowControl/>
              <w:suppressLineNumbers w:val="0"/>
              <w:spacing w:before="0" w:beforeAutospacing="0" w:after="0" w:afterAutospacing="0"/>
              <w:ind w:left="0" w:right="0"/>
              <w:jc w:val="center"/>
              <w:textAlignment w:val="center"/>
              <w:rPr>
                <w:rFonts w:hint="default" w:ascii="宋体" w:hAnsi="宋体" w:cs="宋体"/>
                <w:szCs w:val="21"/>
              </w:rPr>
            </w:pPr>
            <w:r>
              <w:rPr>
                <w:rFonts w:hint="eastAsia" w:ascii="宋体" w:hAnsi="宋体" w:cs="宋体"/>
                <w:color w:val="000000"/>
                <w:kern w:val="0"/>
                <w:szCs w:val="21"/>
              </w:rPr>
              <w:t>1</w:t>
            </w:r>
          </w:p>
        </w:tc>
        <w:tc>
          <w:tcPr>
            <w:tcW w:w="929" w:type="pct"/>
            <w:vAlign w:val="center"/>
          </w:tcPr>
          <w:p w14:paraId="65D6C365">
            <w:pPr>
              <w:keepNext w:val="0"/>
              <w:keepLines w:val="0"/>
              <w:suppressLineNumbers w:val="0"/>
              <w:spacing w:before="0" w:beforeAutospacing="0" w:after="0" w:afterAutospacing="0"/>
              <w:ind w:left="0" w:right="0"/>
              <w:jc w:val="center"/>
              <w:rPr>
                <w:rFonts w:hint="default" w:ascii="宋体" w:hAnsi="宋体" w:cs="宋体"/>
                <w:color w:val="000000"/>
                <w:kern w:val="0"/>
                <w:szCs w:val="21"/>
              </w:rPr>
            </w:pPr>
            <w:r>
              <w:rPr>
                <w:rFonts w:hint="default" w:ascii="宋体" w:hAnsi="宋体" w:cs="宋体"/>
                <w:color w:val="000000"/>
                <w:kern w:val="0"/>
                <w:szCs w:val="21"/>
              </w:rPr>
              <w:t xml:space="preserve">PLAN-2025-440300000-118028-12683 </w:t>
            </w:r>
          </w:p>
        </w:tc>
        <w:tc>
          <w:tcPr>
            <w:tcW w:w="855" w:type="pct"/>
            <w:vAlign w:val="center"/>
          </w:tcPr>
          <w:p w14:paraId="2D949588">
            <w:pPr>
              <w:keepNext w:val="0"/>
              <w:keepLines w:val="0"/>
              <w:widowControl/>
              <w:suppressLineNumbers w:val="0"/>
              <w:spacing w:before="0" w:beforeAutospacing="0" w:after="0" w:afterAutospacing="0"/>
              <w:ind w:left="0" w:right="0"/>
              <w:jc w:val="center"/>
              <w:rPr>
                <w:rFonts w:hint="default" w:ascii="宋体" w:hAnsi="宋体" w:cs="宋体"/>
                <w:szCs w:val="21"/>
              </w:rPr>
            </w:pPr>
            <w:r>
              <w:rPr>
                <w:rFonts w:hint="default" w:ascii="宋体" w:hAnsi="宋体" w:cs="宋体"/>
                <w:szCs w:val="21"/>
              </w:rPr>
              <w:t>放疗计划设计工作站</w:t>
            </w:r>
          </w:p>
        </w:tc>
        <w:tc>
          <w:tcPr>
            <w:tcW w:w="327" w:type="pct"/>
            <w:vAlign w:val="center"/>
          </w:tcPr>
          <w:p w14:paraId="7C60914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1</w:t>
            </w:r>
          </w:p>
        </w:tc>
        <w:tc>
          <w:tcPr>
            <w:tcW w:w="329" w:type="pct"/>
            <w:vAlign w:val="center"/>
          </w:tcPr>
          <w:p w14:paraId="22372CFE">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套</w:t>
            </w:r>
          </w:p>
        </w:tc>
        <w:tc>
          <w:tcPr>
            <w:tcW w:w="471" w:type="pct"/>
            <w:vAlign w:val="center"/>
          </w:tcPr>
          <w:p w14:paraId="57F5F0A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Cs w:val="21"/>
              </w:rPr>
            </w:pPr>
            <w:r>
              <w:rPr>
                <w:rFonts w:hint="eastAsia" w:ascii="宋体" w:hAnsi="宋体" w:cs="宋体"/>
                <w:color w:val="000000"/>
                <w:kern w:val="0"/>
                <w:szCs w:val="21"/>
              </w:rPr>
              <w:t>接受进口</w:t>
            </w:r>
          </w:p>
        </w:tc>
        <w:tc>
          <w:tcPr>
            <w:tcW w:w="355" w:type="pct"/>
            <w:vAlign w:val="center"/>
          </w:tcPr>
          <w:p w14:paraId="43D1579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Cs w:val="21"/>
              </w:rPr>
            </w:pPr>
            <w:r>
              <w:rPr>
                <w:rFonts w:hint="eastAsia" w:ascii="宋体" w:hAnsi="宋体" w:cs="宋体"/>
                <w:bCs/>
                <w:color w:val="FF0000"/>
                <w:szCs w:val="21"/>
              </w:rPr>
              <w:t>否</w:t>
            </w:r>
          </w:p>
        </w:tc>
        <w:tc>
          <w:tcPr>
            <w:tcW w:w="355" w:type="pct"/>
            <w:vAlign w:val="center"/>
          </w:tcPr>
          <w:p w14:paraId="3B24A87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szCs w:val="21"/>
              </w:rPr>
            </w:pPr>
            <w:r>
              <w:rPr>
                <w:rFonts w:hint="eastAsia" w:ascii="宋体" w:hAnsi="宋体" w:cs="宋体"/>
                <w:bCs/>
                <w:color w:val="FF0000"/>
                <w:szCs w:val="21"/>
              </w:rPr>
              <w:t>否</w:t>
            </w:r>
          </w:p>
        </w:tc>
        <w:tc>
          <w:tcPr>
            <w:tcW w:w="355" w:type="pct"/>
            <w:vAlign w:val="center"/>
          </w:tcPr>
          <w:p w14:paraId="284D4CE8">
            <w:pPr>
              <w:keepNext w:val="0"/>
              <w:keepLines w:val="0"/>
              <w:suppressLineNumbers w:val="0"/>
              <w:spacing w:before="0" w:beforeAutospacing="0" w:after="0" w:afterAutospacing="0"/>
              <w:ind w:left="0" w:right="0"/>
              <w:jc w:val="center"/>
              <w:rPr>
                <w:rFonts w:hint="default" w:ascii="宋体" w:hAnsi="宋体" w:cs="宋体"/>
                <w:bCs/>
                <w:color w:val="FF0000"/>
                <w:szCs w:val="21"/>
              </w:rPr>
            </w:pPr>
            <w:r>
              <w:rPr>
                <w:rFonts w:hint="eastAsia" w:ascii="宋体" w:hAnsi="宋体" w:cs="宋体"/>
                <w:bCs/>
                <w:color w:val="FF0000"/>
                <w:szCs w:val="21"/>
              </w:rPr>
              <w:t>否</w:t>
            </w:r>
          </w:p>
        </w:tc>
        <w:tc>
          <w:tcPr>
            <w:tcW w:w="795" w:type="pct"/>
            <w:vAlign w:val="center"/>
          </w:tcPr>
          <w:p w14:paraId="7076E833">
            <w:pPr>
              <w:keepNext w:val="0"/>
              <w:keepLines w:val="0"/>
              <w:suppressLineNumbers w:val="0"/>
              <w:spacing w:before="0" w:beforeAutospacing="0" w:after="0" w:afterAutospacing="0"/>
              <w:ind w:left="0" w:right="0"/>
              <w:jc w:val="center"/>
              <w:rPr>
                <w:rFonts w:hint="default" w:ascii="宋体" w:hAnsi="宋体" w:cs="宋体"/>
                <w:bCs/>
                <w:color w:val="FF0000"/>
                <w:szCs w:val="21"/>
              </w:rPr>
            </w:pPr>
            <w:r>
              <w:rPr>
                <w:rFonts w:hint="eastAsia"/>
              </w:rPr>
              <w:t>工业</w:t>
            </w:r>
          </w:p>
        </w:tc>
      </w:tr>
      <w:bookmarkEnd w:id="38"/>
    </w:tbl>
    <w:p w14:paraId="6367FE87">
      <w:pPr>
        <w:ind w:firstLine="422" w:firstLineChars="200"/>
        <w:rPr>
          <w:rFonts w:hint="eastAsia" w:ascii="宋体" w:hAnsi="宋体"/>
          <w:b/>
          <w:szCs w:val="21"/>
        </w:rPr>
      </w:pPr>
      <w:r>
        <w:rPr>
          <w:rFonts w:hint="eastAsia" w:ascii="宋体" w:hAnsi="宋体" w:cs="宋体"/>
          <w:b/>
          <w:szCs w:val="21"/>
        </w:rPr>
        <w:t>备注：1.备注栏注明“拒绝进口”的产品不接受投标人选用进口产</w:t>
      </w:r>
      <w:r>
        <w:rPr>
          <w:rFonts w:hint="eastAsia" w:ascii="宋体" w:hAnsi="宋体"/>
          <w:b/>
          <w:szCs w:val="21"/>
        </w:rPr>
        <w:t xml:space="preserve">品参与投标；注明“接受进口”的产品允许投标人选用进口产品参与投标，但不排斥国内产品。 </w:t>
      </w:r>
    </w:p>
    <w:p w14:paraId="7FC18E25">
      <w:pPr>
        <w:ind w:firstLine="422" w:firstLineChars="200"/>
        <w:rPr>
          <w:rFonts w:hint="eastAsia" w:ascii="宋体" w:hAnsi="宋体"/>
          <w:b/>
          <w:szCs w:val="21"/>
        </w:rPr>
      </w:pPr>
      <w:r>
        <w:rPr>
          <w:rFonts w:hint="eastAsia" w:ascii="宋体" w:hAnsi="宋体"/>
          <w:b/>
          <w:szCs w:val="21"/>
        </w:rPr>
        <w:t>2.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bookmarkEnd w:id="37"/>
    <w:p w14:paraId="507F1DEC">
      <w:pPr>
        <w:ind w:firstLine="422" w:firstLineChars="200"/>
        <w:rPr>
          <w:rFonts w:hint="eastAsia" w:ascii="宋体" w:hAnsi="宋体"/>
          <w:b/>
          <w:color w:val="FF0000"/>
          <w:szCs w:val="21"/>
        </w:rPr>
      </w:pPr>
      <w:bookmarkStart w:id="39" w:name="_Toc128884461"/>
      <w:r>
        <w:rPr>
          <w:rFonts w:hint="eastAsia" w:ascii="宋体" w:hAnsi="宋体"/>
          <w:b/>
          <w:color w:val="FF0000"/>
          <w:szCs w:val="21"/>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46851847">
      <w:pPr>
        <w:pStyle w:val="38"/>
        <w:ind w:firstLine="422" w:firstLineChars="200"/>
      </w:pPr>
      <w:r>
        <w:rPr>
          <w:rFonts w:hint="eastAsia" w:ascii="宋体" w:hAnsi="宋体"/>
          <w:b/>
          <w:color w:val="FF0000"/>
          <w:szCs w:val="21"/>
        </w:rPr>
        <w:t>4.“是否为环境标志产品”一栏，由采购人根据《关于印发环境标志产品政府采购品目清单的通知》（财库〔2019〕18号）的品目清单填写，填写为“优先采购”则给与相应评审加分。</w:t>
      </w:r>
    </w:p>
    <w:bookmarkEnd w:id="39"/>
    <w:p w14:paraId="21F6FEBB">
      <w:pPr>
        <w:ind w:firstLine="422" w:firstLineChars="200"/>
        <w:rPr>
          <w:rFonts w:ascii="宋体" w:hAnsi="宋体"/>
          <w:b/>
          <w:color w:val="FF0000"/>
          <w:szCs w:val="21"/>
        </w:rPr>
      </w:pPr>
      <w:r>
        <w:rPr>
          <w:rFonts w:hint="eastAsia" w:ascii="宋体" w:hAnsi="宋体"/>
          <w:b/>
          <w:color w:val="FF0000"/>
          <w:szCs w:val="21"/>
        </w:rPr>
        <w:t>5.本项目为单一产品采购，不设置核心产品。</w:t>
      </w:r>
    </w:p>
    <w:p w14:paraId="6AE470D4">
      <w:pPr>
        <w:pStyle w:val="7"/>
        <w:spacing w:before="120" w:beforeLines="50" w:after="120" w:afterLines="50"/>
        <w:rPr>
          <w:rFonts w:hint="eastAsia"/>
          <w:sz w:val="28"/>
          <w:szCs w:val="28"/>
        </w:rPr>
      </w:pPr>
      <w:r>
        <w:rPr>
          <w:rFonts w:hint="eastAsia"/>
          <w:sz w:val="28"/>
          <w:szCs w:val="28"/>
        </w:rPr>
        <w:t>三、实质性条款</w:t>
      </w:r>
    </w:p>
    <w:tbl>
      <w:tblPr>
        <w:tblStyle w:val="21"/>
        <w:tblW w:w="8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7609"/>
      </w:tblGrid>
      <w:tr w14:paraId="0D55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1820646D">
            <w:pPr>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7609" w:type="dxa"/>
            <w:vAlign w:val="center"/>
          </w:tcPr>
          <w:p w14:paraId="3045A9D3">
            <w:pPr>
              <w:adjustRightInd w:val="0"/>
              <w:snapToGrid w:val="0"/>
              <w:spacing w:line="360" w:lineRule="auto"/>
              <w:jc w:val="center"/>
              <w:rPr>
                <w:rFonts w:hint="eastAsia" w:ascii="宋体" w:hAnsi="宋体"/>
                <w:kern w:val="0"/>
                <w:szCs w:val="21"/>
              </w:rPr>
            </w:pPr>
            <w:r>
              <w:rPr>
                <w:rFonts w:hint="eastAsia" w:ascii="宋体" w:hAnsi="宋体"/>
                <w:kern w:val="0"/>
                <w:szCs w:val="21"/>
              </w:rPr>
              <w:t>实质性条款具体内容</w:t>
            </w:r>
          </w:p>
        </w:tc>
      </w:tr>
      <w:tr w14:paraId="03F1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10B30C35">
            <w:pPr>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7609" w:type="dxa"/>
            <w:vAlign w:val="center"/>
          </w:tcPr>
          <w:p w14:paraId="083B6FAA">
            <w:pPr>
              <w:adjustRightInd w:val="0"/>
              <w:snapToGrid w:val="0"/>
              <w:spacing w:line="360" w:lineRule="auto"/>
              <w:jc w:val="center"/>
              <w:rPr>
                <w:rFonts w:hint="eastAsia" w:hAnsi="宋体"/>
                <w:kern w:val="0"/>
                <w:szCs w:val="21"/>
                <w:highlight w:val="yellow"/>
              </w:rPr>
            </w:pPr>
            <w:r>
              <w:rPr>
                <w:rFonts w:hint="eastAsia" w:ascii="宋体" w:hAnsi="宋体"/>
                <w:kern w:val="0"/>
                <w:szCs w:val="21"/>
              </w:rPr>
              <w:t>具体以采购文件第三章 用户需求书中带“★”的需求项为准。</w:t>
            </w:r>
          </w:p>
        </w:tc>
      </w:tr>
    </w:tbl>
    <w:p w14:paraId="093A2DCA">
      <w:pPr>
        <w:rPr>
          <w:b/>
        </w:rPr>
      </w:pPr>
      <w:r>
        <w:rPr>
          <w:rFonts w:hint="eastAsia"/>
          <w:b/>
        </w:rPr>
        <w:t>注：上表所列内容为不可负偏离条款，负偏离将视为未实质性满足招标文件要求作投标无效处理。</w:t>
      </w:r>
    </w:p>
    <w:p w14:paraId="18C14732">
      <w:pPr>
        <w:pStyle w:val="7"/>
        <w:spacing w:before="120" w:beforeLines="50" w:after="120" w:afterLines="50"/>
        <w:rPr>
          <w:rFonts w:hint="eastAsia"/>
          <w:sz w:val="28"/>
          <w:szCs w:val="28"/>
        </w:rPr>
      </w:pPr>
      <w:r>
        <w:rPr>
          <w:rFonts w:hint="eastAsia"/>
          <w:sz w:val="28"/>
          <w:szCs w:val="28"/>
        </w:rPr>
        <w:t>四、技术要求</w:t>
      </w:r>
    </w:p>
    <w:p w14:paraId="26ACA71D">
      <w:pPr>
        <w:ind w:firstLine="422" w:firstLineChars="200"/>
        <w:rPr>
          <w:b/>
        </w:rPr>
      </w:pPr>
      <w:r>
        <w:rPr>
          <w:rFonts w:hint="eastAsia"/>
          <w:b/>
          <w:szCs w:val="21"/>
        </w:rPr>
        <w:t>说明：</w:t>
      </w:r>
      <w:r>
        <w:rPr>
          <w:b/>
          <w:szCs w:val="21"/>
        </w:rPr>
        <w:t xml:space="preserve"> </w:t>
      </w:r>
      <w:r>
        <w:rPr>
          <w:b/>
        </w:rPr>
        <w:t>1</w:t>
      </w:r>
      <w:r>
        <w:rPr>
          <w:rFonts w:hint="eastAsia"/>
          <w:b/>
        </w:rPr>
        <w:t>.评分时，如对一项招标技术要求（以划分框为准）中的内容存在两处（或以上）负偏离的，在评分时只作一项负偏离扣分。</w:t>
      </w:r>
    </w:p>
    <w:p w14:paraId="50EE846A">
      <w:pPr>
        <w:ind w:firstLine="422" w:firstLineChars="200"/>
        <w:rPr>
          <w:b/>
          <w:szCs w:val="21"/>
        </w:rPr>
      </w:pPr>
      <w:r>
        <w:rPr>
          <w:b/>
          <w:szCs w:val="21"/>
        </w:rPr>
        <w:t>2</w:t>
      </w:r>
      <w:r>
        <w:rPr>
          <w:rFonts w:hint="eastAsia"/>
          <w:b/>
          <w:szCs w:val="21"/>
        </w:rPr>
        <w:t>.带★号条款为不可负偏离条款，不作为评分准则中的评分内容，如未响应或出现负偏离的，将作投标无效处理；带“</w:t>
      </w:r>
      <w:r>
        <w:t>▲</w:t>
      </w:r>
      <w:r>
        <w:rPr>
          <w:rFonts w:hint="eastAsia"/>
          <w:b/>
          <w:szCs w:val="21"/>
        </w:rPr>
        <w:t>”指标项为重要参数条款，负偏离时依据相关评分准则内容作重点扣分处理。</w:t>
      </w:r>
    </w:p>
    <w:p w14:paraId="1A94949B">
      <w:pPr>
        <w:ind w:firstLine="422" w:firstLineChars="200"/>
        <w:rPr>
          <w:b/>
          <w:szCs w:val="21"/>
        </w:rPr>
      </w:pPr>
      <w:r>
        <w:rPr>
          <w:b/>
          <w:szCs w:val="21"/>
        </w:rPr>
        <w:t>3</w:t>
      </w:r>
      <w:bookmarkStart w:id="40" w:name="_Hlk72585069"/>
      <w:r>
        <w:rPr>
          <w:rFonts w:hint="eastAsia"/>
          <w:b/>
          <w:szCs w:val="21"/>
        </w:rPr>
        <w:t>.招标技术要求中，用</w:t>
      </w:r>
      <w:r>
        <w:rPr>
          <w:rFonts w:hint="eastAsia"/>
          <w:b/>
          <w:color w:val="FF0000"/>
          <w:szCs w:val="21"/>
        </w:rPr>
        <w:t>红色加粗字体标注</w:t>
      </w:r>
      <w:r>
        <w:rPr>
          <w:rFonts w:hint="eastAsia"/>
          <w:b/>
          <w:szCs w:val="21"/>
        </w:rPr>
        <w:t>的指标项均要求提供证明资料；其余指标项未要求提供证明资料，无需提供相关证明资料。</w:t>
      </w:r>
    </w:p>
    <w:p w14:paraId="7F784198">
      <w:pPr>
        <w:ind w:firstLine="422" w:firstLineChars="200"/>
        <w:rPr>
          <w:rFonts w:hint="eastAsia"/>
          <w:b/>
          <w:szCs w:val="21"/>
        </w:rPr>
      </w:pPr>
      <w:r>
        <w:rPr>
          <w:rFonts w:hint="eastAsia"/>
          <w:b/>
          <w:szCs w:val="21"/>
        </w:rPr>
        <w:t>4.涉及区间的参数，除特别注明以外，</w:t>
      </w:r>
      <w:bookmarkStart w:id="41" w:name="_Hlk75447406"/>
      <w:r>
        <w:rPr>
          <w:rFonts w:hint="eastAsia"/>
          <w:b/>
          <w:szCs w:val="21"/>
        </w:rPr>
        <w:t>产品参数区间与招标要求不一致的均视为负偏离。</w:t>
      </w:r>
      <w:bookmarkEnd w:id="41"/>
      <w:r>
        <w:rPr>
          <w:rFonts w:hint="eastAsia"/>
          <w:b/>
          <w:szCs w:val="21"/>
        </w:rPr>
        <w:t>例：区间要求为0-20ML,只要响应的不是“0-20ML”，如投标文件响应为 0-15ML 、0-21ML 、1-12ML 、 9-20ML 、6-21ML 、9ML等情形均视为负偏离。</w:t>
      </w:r>
    </w:p>
    <w:bookmarkEnd w:id="40"/>
    <w:tbl>
      <w:tblPr>
        <w:tblStyle w:val="21"/>
        <w:tblW w:w="9136" w:type="dxa"/>
        <w:tblInd w:w="-3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698"/>
        <w:gridCol w:w="1862"/>
        <w:gridCol w:w="5938"/>
      </w:tblGrid>
      <w:tr w14:paraId="49CF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38" w:type="dxa"/>
            <w:noWrap w:val="0"/>
            <w:vAlign w:val="center"/>
          </w:tcPr>
          <w:p w14:paraId="20E6003B">
            <w:pPr>
              <w:widowControl/>
              <w:spacing w:line="500" w:lineRule="exact"/>
              <w:jc w:val="center"/>
              <w:rPr>
                <w:rFonts w:hint="default" w:ascii="宋体" w:hAnsi="宋体" w:cs="宋体"/>
                <w:b/>
                <w:sz w:val="21"/>
                <w:szCs w:val="21"/>
                <w:lang w:val="en-US" w:eastAsia="zh-CN"/>
              </w:rPr>
            </w:pPr>
            <w:r>
              <w:rPr>
                <w:rFonts w:hint="eastAsia" w:ascii="宋体" w:hAnsi="宋体" w:cs="宋体"/>
                <w:b/>
                <w:sz w:val="21"/>
                <w:szCs w:val="21"/>
                <w:lang w:val="en-US" w:eastAsia="zh-CN"/>
              </w:rPr>
              <w:t>序号</w:t>
            </w:r>
          </w:p>
        </w:tc>
        <w:tc>
          <w:tcPr>
            <w:tcW w:w="698" w:type="dxa"/>
            <w:noWrap w:val="0"/>
            <w:vAlign w:val="center"/>
          </w:tcPr>
          <w:p w14:paraId="1EA3ED55">
            <w:pPr>
              <w:widowControl/>
              <w:spacing w:line="500" w:lineRule="exact"/>
              <w:jc w:val="center"/>
              <w:rPr>
                <w:rFonts w:hint="default" w:ascii="宋体" w:hAnsi="宋体" w:eastAsia="宋体" w:cs="宋体"/>
                <w:b/>
                <w:sz w:val="21"/>
                <w:szCs w:val="21"/>
                <w:lang w:val="en-US" w:eastAsia="zh-CN"/>
              </w:rPr>
            </w:pPr>
            <w:r>
              <w:rPr>
                <w:rFonts w:hint="eastAsia" w:ascii="宋体" w:hAnsi="宋体" w:cs="宋体"/>
                <w:b/>
                <w:sz w:val="21"/>
                <w:szCs w:val="21"/>
                <w:lang w:val="en-US" w:eastAsia="zh-CN"/>
              </w:rPr>
              <w:t>货物名称</w:t>
            </w:r>
          </w:p>
        </w:tc>
        <w:tc>
          <w:tcPr>
            <w:tcW w:w="1862" w:type="dxa"/>
            <w:noWrap w:val="0"/>
            <w:vAlign w:val="center"/>
          </w:tcPr>
          <w:p w14:paraId="05A9B4CE">
            <w:pPr>
              <w:widowControl/>
              <w:spacing w:line="500" w:lineRule="exact"/>
              <w:jc w:val="center"/>
              <w:rPr>
                <w:rFonts w:hint="eastAsia" w:ascii="宋体" w:hAnsi="宋体" w:eastAsia="宋体" w:cs="宋体"/>
                <w:b/>
                <w:sz w:val="21"/>
                <w:szCs w:val="21"/>
              </w:rPr>
            </w:pPr>
            <w:r>
              <w:rPr>
                <w:rFonts w:hint="eastAsia" w:ascii="宋体" w:hAnsi="宋体" w:eastAsia="宋体" w:cs="宋体"/>
                <w:b/>
                <w:sz w:val="21"/>
                <w:szCs w:val="21"/>
              </w:rPr>
              <w:t>编号</w:t>
            </w:r>
          </w:p>
        </w:tc>
        <w:tc>
          <w:tcPr>
            <w:tcW w:w="5938" w:type="dxa"/>
            <w:noWrap w:val="0"/>
            <w:vAlign w:val="center"/>
          </w:tcPr>
          <w:p w14:paraId="66DC30ED">
            <w:pPr>
              <w:widowControl/>
              <w:spacing w:line="500" w:lineRule="exact"/>
              <w:jc w:val="center"/>
              <w:rPr>
                <w:rFonts w:hint="eastAsia" w:ascii="宋体" w:hAnsi="宋体" w:eastAsia="宋体" w:cs="宋体"/>
                <w:b/>
                <w:sz w:val="21"/>
                <w:szCs w:val="21"/>
              </w:rPr>
            </w:pPr>
            <w:r>
              <w:rPr>
                <w:rFonts w:hint="eastAsia" w:ascii="宋体" w:hAnsi="宋体" w:eastAsia="宋体" w:cs="宋体"/>
                <w:b/>
                <w:bCs/>
                <w:color w:val="000000"/>
                <w:kern w:val="0"/>
                <w:sz w:val="21"/>
                <w:szCs w:val="21"/>
                <w:lang w:val="en-US" w:eastAsia="zh-CN"/>
              </w:rPr>
              <w:t>招标</w:t>
            </w:r>
            <w:r>
              <w:rPr>
                <w:rFonts w:hint="eastAsia" w:ascii="宋体" w:hAnsi="宋体" w:eastAsia="宋体" w:cs="宋体"/>
                <w:b/>
                <w:bCs/>
                <w:color w:val="000000"/>
                <w:kern w:val="0"/>
                <w:sz w:val="21"/>
                <w:szCs w:val="21"/>
              </w:rPr>
              <w:t>技术要求</w:t>
            </w:r>
          </w:p>
        </w:tc>
      </w:tr>
      <w:tr w14:paraId="437CF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38" w:type="dxa"/>
            <w:vMerge w:val="restart"/>
            <w:noWrap w:val="0"/>
            <w:vAlign w:val="center"/>
          </w:tcPr>
          <w:p w14:paraId="2A16CCBB">
            <w:pPr>
              <w:widowControl/>
              <w:numPr>
                <w:ilvl w:val="0"/>
                <w:numId w:val="0"/>
              </w:numPr>
              <w:spacing w:after="0" w:line="500" w:lineRule="exact"/>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698" w:type="dxa"/>
            <w:vMerge w:val="restart"/>
            <w:noWrap w:val="0"/>
            <w:vAlign w:val="center"/>
          </w:tcPr>
          <w:p w14:paraId="13B10843">
            <w:pPr>
              <w:widowControl/>
              <w:numPr>
                <w:ilvl w:val="0"/>
                <w:numId w:val="0"/>
              </w:numPr>
              <w:spacing w:after="0" w:line="500" w:lineRule="exact"/>
              <w:jc w:val="both"/>
              <w:rPr>
                <w:rFonts w:hint="eastAsia" w:ascii="宋体" w:hAnsi="宋体" w:eastAsia="宋体" w:cs="宋体"/>
                <w:color w:val="auto"/>
                <w:kern w:val="2"/>
                <w:sz w:val="21"/>
                <w:szCs w:val="21"/>
                <w:lang w:val="en-US" w:eastAsia="zh-CN" w:bidi="ar-SA"/>
              </w:rPr>
            </w:pPr>
            <w:r>
              <w:rPr>
                <w:rFonts w:hint="eastAsia" w:ascii="宋体" w:hAnsi="宋体" w:cs="宋体"/>
                <w:szCs w:val="21"/>
                <w:lang w:val="en-US" w:eastAsia="zh-CN"/>
              </w:rPr>
              <w:t>放</w:t>
            </w:r>
            <w:r>
              <w:rPr>
                <w:rFonts w:hint="default" w:ascii="宋体" w:hAnsi="宋体" w:cs="宋体"/>
                <w:szCs w:val="21"/>
              </w:rPr>
              <w:t>疗计划设计工作站</w:t>
            </w:r>
          </w:p>
        </w:tc>
        <w:tc>
          <w:tcPr>
            <w:tcW w:w="1862" w:type="dxa"/>
            <w:noWrap w:val="0"/>
            <w:vAlign w:val="center"/>
          </w:tcPr>
          <w:p w14:paraId="1EAAF93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w:t>
            </w:r>
          </w:p>
        </w:tc>
        <w:tc>
          <w:tcPr>
            <w:tcW w:w="5938" w:type="dxa"/>
            <w:noWrap w:val="0"/>
            <w:vAlign w:val="center"/>
          </w:tcPr>
          <w:p w14:paraId="7FF3D5AA">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设备要求概述</w:t>
            </w:r>
          </w:p>
        </w:tc>
      </w:tr>
      <w:tr w14:paraId="1D08E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638" w:type="dxa"/>
            <w:vMerge w:val="continue"/>
            <w:noWrap w:val="0"/>
            <w:vAlign w:val="center"/>
          </w:tcPr>
          <w:p w14:paraId="5EDC8E61">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5916815">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5B9A33E">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1.1</w:t>
            </w:r>
          </w:p>
        </w:tc>
        <w:tc>
          <w:tcPr>
            <w:tcW w:w="5938" w:type="dxa"/>
            <w:noWrap w:val="0"/>
            <w:vAlign w:val="center"/>
          </w:tcPr>
          <w:p w14:paraId="6D8AB298">
            <w:pPr>
              <w:keepNext w:val="0"/>
              <w:keepLines w:val="0"/>
              <w:widowControl/>
              <w:suppressLineNumbers w:val="0"/>
              <w:jc w:val="both"/>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所投设备要求：本次招标为1套放疗计划设计工作站，包含≥8台物理师工作站（用于治疗计划设计与计算）、≥21台医生工作站（用于计划审核与靶区勾画设计）以及支持系统运行所必需的全部软硬件。</w:t>
            </w:r>
          </w:p>
        </w:tc>
      </w:tr>
      <w:tr w14:paraId="6947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638" w:type="dxa"/>
            <w:vMerge w:val="continue"/>
            <w:noWrap w:val="0"/>
            <w:vAlign w:val="center"/>
          </w:tcPr>
          <w:p w14:paraId="66781E7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9C9316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041957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1.2</w:t>
            </w:r>
            <w:r>
              <w:rPr>
                <w:rFonts w:hint="eastAsia"/>
                <w:lang w:val="en-US" w:eastAsia="zh-CN"/>
              </w:rPr>
              <w:t>▲</w:t>
            </w:r>
          </w:p>
        </w:tc>
        <w:tc>
          <w:tcPr>
            <w:tcW w:w="5938" w:type="dxa"/>
            <w:noWrap w:val="0"/>
            <w:vAlign w:val="center"/>
          </w:tcPr>
          <w:p w14:paraId="550835B1">
            <w:pPr>
              <w:keepNext w:val="0"/>
              <w:keepLines w:val="0"/>
              <w:widowControl/>
              <w:suppressLineNumbers w:val="0"/>
              <w:jc w:val="both"/>
              <w:textAlignment w:val="center"/>
              <w:rPr>
                <w:rFonts w:hint="eastAsia" w:ascii="宋体" w:hAnsi="宋体" w:eastAsia="宋体" w:cs="宋体"/>
                <w:bCs/>
                <w:color w:val="auto"/>
                <w:sz w:val="21"/>
                <w:szCs w:val="21"/>
              </w:rPr>
            </w:pPr>
            <w:r>
              <w:rPr>
                <w:rFonts w:hint="eastAsia" w:ascii="宋体" w:hAnsi="宋体" w:eastAsia="宋体" w:cs="宋体"/>
                <w:i w:val="0"/>
                <w:iCs w:val="0"/>
                <w:color w:val="auto"/>
                <w:kern w:val="0"/>
                <w:sz w:val="21"/>
                <w:szCs w:val="21"/>
                <w:u w:val="none"/>
                <w:lang w:val="en-US" w:eastAsia="zh-CN" w:bidi="ar"/>
              </w:rPr>
              <w:t>放疗计划设计工作站所生成的治疗计划数据，能安全推送至现有放射治疗设备执行，投标人</w:t>
            </w:r>
            <w:r>
              <w:rPr>
                <w:rFonts w:hint="eastAsia" w:ascii="宋体" w:hAnsi="宋体" w:cs="宋体"/>
                <w:i w:val="0"/>
                <w:iCs w:val="0"/>
                <w:color w:val="auto"/>
                <w:kern w:val="0"/>
                <w:sz w:val="21"/>
                <w:szCs w:val="21"/>
                <w:u w:val="none"/>
                <w:lang w:val="en-US" w:eastAsia="zh-CN" w:bidi="ar"/>
              </w:rPr>
              <w:t>应</w:t>
            </w:r>
            <w:r>
              <w:rPr>
                <w:rFonts w:hint="eastAsia" w:ascii="宋体" w:hAnsi="宋体" w:eastAsia="宋体" w:cs="宋体"/>
                <w:i w:val="0"/>
                <w:iCs w:val="0"/>
                <w:color w:val="auto"/>
                <w:kern w:val="0"/>
                <w:sz w:val="21"/>
                <w:szCs w:val="21"/>
                <w:u w:val="none"/>
                <w:lang w:val="en-US" w:eastAsia="zh-CN" w:bidi="ar"/>
              </w:rPr>
              <w:t>负责放疗计划设计工作站与医院现有放射治疗设备的兼容与联动安全。</w:t>
            </w:r>
          </w:p>
        </w:tc>
      </w:tr>
      <w:tr w14:paraId="68BCE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38" w:type="dxa"/>
            <w:vMerge w:val="continue"/>
            <w:noWrap w:val="0"/>
            <w:vAlign w:val="center"/>
          </w:tcPr>
          <w:p w14:paraId="42421E7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A03DA6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6F40BF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w:t>
            </w:r>
          </w:p>
        </w:tc>
        <w:tc>
          <w:tcPr>
            <w:tcW w:w="5938" w:type="dxa"/>
            <w:noWrap w:val="0"/>
            <w:vAlign w:val="center"/>
          </w:tcPr>
          <w:p w14:paraId="4948AD45">
            <w:pPr>
              <w:keepNext/>
              <w:keepLines/>
              <w:widowControl/>
              <w:spacing w:before="40" w:after="0" w:line="500" w:lineRule="exact"/>
              <w:jc w:val="both"/>
              <w:outlineLvl w:val="1"/>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硬件平台</w:t>
            </w:r>
          </w:p>
        </w:tc>
      </w:tr>
      <w:tr w14:paraId="7C69D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6DF64CD">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655ACB9">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384D6CD">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w:t>
            </w:r>
          </w:p>
        </w:tc>
        <w:tc>
          <w:tcPr>
            <w:tcW w:w="5938" w:type="dxa"/>
            <w:noWrap w:val="0"/>
            <w:vAlign w:val="center"/>
          </w:tcPr>
          <w:p w14:paraId="1B50A5F1">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物理师和后装工作站硬件（带GPU）</w:t>
            </w:r>
          </w:p>
        </w:tc>
      </w:tr>
      <w:tr w14:paraId="39A3F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279400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241C69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5505FF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2.1.1</w:t>
            </w:r>
          </w:p>
        </w:tc>
        <w:tc>
          <w:tcPr>
            <w:tcW w:w="5938" w:type="dxa"/>
            <w:noWrap w:val="0"/>
            <w:vAlign w:val="center"/>
          </w:tcPr>
          <w:p w14:paraId="26A163B2">
            <w:pPr>
              <w:keepNext w:val="0"/>
              <w:keepLines w:val="0"/>
              <w:widowControl/>
              <w:suppressLineNumbers w:val="0"/>
              <w:jc w:val="both"/>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中央处理器（Processor）：基准频率≥3.2GHz</w:t>
            </w:r>
          </w:p>
        </w:tc>
      </w:tr>
      <w:tr w14:paraId="2D685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F74FB7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DF7301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7CBA12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2.1.2</w:t>
            </w:r>
          </w:p>
        </w:tc>
        <w:tc>
          <w:tcPr>
            <w:tcW w:w="5938" w:type="dxa"/>
            <w:noWrap w:val="0"/>
            <w:vAlign w:val="center"/>
          </w:tcPr>
          <w:p w14:paraId="66A2CDE4">
            <w:pPr>
              <w:keepNext w:val="0"/>
              <w:keepLines w:val="0"/>
              <w:widowControl/>
              <w:suppressLineNumbers w:val="0"/>
              <w:jc w:val="both"/>
              <w:textAlignment w:val="center"/>
              <w:rPr>
                <w:rFonts w:hint="eastAsia" w:ascii="宋体" w:hAnsi="宋体" w:eastAsia="宋体" w:cs="宋体"/>
                <w:color w:val="auto"/>
                <w:sz w:val="21"/>
                <w:szCs w:val="21"/>
                <w:lang w:eastAsia="zh-CN"/>
              </w:rPr>
            </w:pPr>
            <w:r>
              <w:rPr>
                <w:rFonts w:hint="eastAsia" w:ascii="宋体" w:hAnsi="宋体" w:eastAsia="宋体" w:cs="宋体"/>
                <w:i w:val="0"/>
                <w:iCs w:val="0"/>
                <w:color w:val="auto"/>
                <w:kern w:val="0"/>
                <w:sz w:val="21"/>
                <w:szCs w:val="21"/>
                <w:u w:val="none"/>
                <w:lang w:val="en-US" w:eastAsia="zh-CN" w:bidi="ar"/>
              </w:rPr>
              <w:t>随机存取存储器（RAM）：主机内存≥64 GB</w:t>
            </w:r>
          </w:p>
        </w:tc>
      </w:tr>
      <w:tr w14:paraId="49076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ADB61A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4A946F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729BF3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2.1.3</w:t>
            </w:r>
          </w:p>
        </w:tc>
        <w:tc>
          <w:tcPr>
            <w:tcW w:w="5938" w:type="dxa"/>
            <w:noWrap w:val="0"/>
            <w:vAlign w:val="center"/>
          </w:tcPr>
          <w:p w14:paraId="635E31FB">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显卡/适配器（Video Card/Adapter）：配备专用计算显卡，显存 ≥2GB</w:t>
            </w:r>
          </w:p>
        </w:tc>
      </w:tr>
      <w:tr w14:paraId="2B545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42DDC3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5F655B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322633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2.1.4</w:t>
            </w:r>
          </w:p>
        </w:tc>
        <w:tc>
          <w:tcPr>
            <w:tcW w:w="5938" w:type="dxa"/>
            <w:noWrap w:val="0"/>
            <w:vAlign w:val="center"/>
          </w:tcPr>
          <w:p w14:paraId="623D369A">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终端显示器：≥27英寸液晶显示器</w:t>
            </w:r>
          </w:p>
        </w:tc>
      </w:tr>
      <w:tr w14:paraId="0D57F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894DCF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E9B0E4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D55F6E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2.1.5</w:t>
            </w:r>
          </w:p>
        </w:tc>
        <w:tc>
          <w:tcPr>
            <w:tcW w:w="5938" w:type="dxa"/>
            <w:noWrap w:val="0"/>
            <w:vAlign w:val="center"/>
          </w:tcPr>
          <w:p w14:paraId="05343D5A">
            <w:pPr>
              <w:keepNext w:val="0"/>
              <w:keepLines w:val="0"/>
              <w:widowControl/>
              <w:suppressLineNumbers w:val="0"/>
              <w:jc w:val="both"/>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每个物理师工作站需配置专业级图形处理附加卡（GPU卡）≥1个，显存≥24GB</w:t>
            </w:r>
          </w:p>
        </w:tc>
      </w:tr>
      <w:tr w14:paraId="1B0DB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E9493BC">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5203872">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28BC1DF">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w:t>
            </w:r>
          </w:p>
        </w:tc>
        <w:tc>
          <w:tcPr>
            <w:tcW w:w="5938" w:type="dxa"/>
            <w:noWrap w:val="0"/>
            <w:vAlign w:val="center"/>
          </w:tcPr>
          <w:p w14:paraId="45DEBB2B">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医生工作站硬件</w:t>
            </w:r>
          </w:p>
        </w:tc>
      </w:tr>
      <w:tr w14:paraId="0D1D4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82BA27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1ED3D6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598A0E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2.2.1</w:t>
            </w:r>
          </w:p>
        </w:tc>
        <w:tc>
          <w:tcPr>
            <w:tcW w:w="5938" w:type="dxa"/>
            <w:noWrap w:val="0"/>
            <w:vAlign w:val="center"/>
          </w:tcPr>
          <w:p w14:paraId="35E237AB">
            <w:pPr>
              <w:keepNext w:val="0"/>
              <w:keepLines w:val="0"/>
              <w:widowControl/>
              <w:suppressLineNumbers w:val="0"/>
              <w:jc w:val="both"/>
              <w:textAlignment w:val="center"/>
              <w:rPr>
                <w:rFonts w:hint="eastAsia" w:ascii="宋体" w:hAnsi="宋体" w:eastAsia="宋体" w:cs="宋体"/>
                <w:color w:val="auto"/>
                <w:sz w:val="21"/>
                <w:szCs w:val="21"/>
                <w:lang w:eastAsia="zh-CN"/>
              </w:rPr>
            </w:pPr>
            <w:r>
              <w:rPr>
                <w:rFonts w:hint="eastAsia" w:ascii="宋体" w:hAnsi="宋体" w:eastAsia="宋体" w:cs="宋体"/>
                <w:i w:val="0"/>
                <w:iCs w:val="0"/>
                <w:color w:val="auto"/>
                <w:kern w:val="0"/>
                <w:sz w:val="21"/>
                <w:szCs w:val="21"/>
                <w:u w:val="none"/>
                <w:lang w:val="en-US" w:eastAsia="zh-CN" w:bidi="ar"/>
              </w:rPr>
              <w:t>中央处理器（Processor）：主频≥2.1GHz</w:t>
            </w:r>
          </w:p>
        </w:tc>
      </w:tr>
      <w:tr w14:paraId="7A5F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55135A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337421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86AB4B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2.2.2</w:t>
            </w:r>
          </w:p>
        </w:tc>
        <w:tc>
          <w:tcPr>
            <w:tcW w:w="5938" w:type="dxa"/>
            <w:noWrap w:val="0"/>
            <w:vAlign w:val="center"/>
          </w:tcPr>
          <w:p w14:paraId="0BEB92AC">
            <w:pPr>
              <w:keepNext w:val="0"/>
              <w:keepLines w:val="0"/>
              <w:widowControl/>
              <w:suppressLineNumbers w:val="0"/>
              <w:jc w:val="both"/>
              <w:textAlignment w:val="center"/>
              <w:rPr>
                <w:rFonts w:hint="eastAsia" w:ascii="宋体" w:hAnsi="宋体" w:eastAsia="宋体" w:cs="宋体"/>
                <w:color w:val="auto"/>
                <w:sz w:val="21"/>
                <w:szCs w:val="21"/>
                <w:lang w:eastAsia="zh-CN"/>
              </w:rPr>
            </w:pPr>
            <w:r>
              <w:rPr>
                <w:rFonts w:hint="eastAsia" w:ascii="宋体" w:hAnsi="宋体" w:eastAsia="宋体" w:cs="宋体"/>
                <w:i w:val="0"/>
                <w:iCs w:val="0"/>
                <w:color w:val="auto"/>
                <w:kern w:val="0"/>
                <w:sz w:val="21"/>
                <w:szCs w:val="21"/>
                <w:u w:val="none"/>
                <w:lang w:val="en-US" w:eastAsia="zh-CN" w:bidi="ar"/>
              </w:rPr>
              <w:t>随机存取存储器(RAM)：主机内存≥16GB</w:t>
            </w:r>
          </w:p>
        </w:tc>
      </w:tr>
      <w:tr w14:paraId="7E07C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B2550B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241168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091833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2.2.3</w:t>
            </w:r>
          </w:p>
        </w:tc>
        <w:tc>
          <w:tcPr>
            <w:tcW w:w="5938" w:type="dxa"/>
            <w:noWrap w:val="0"/>
            <w:vAlign w:val="center"/>
          </w:tcPr>
          <w:p w14:paraId="553740A6">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显卡/适配器(Video Card/Adapter)：配备专用计算显卡，显存 ≥2GB，双显示端口和单VGA输出端口</w:t>
            </w:r>
          </w:p>
        </w:tc>
      </w:tr>
      <w:tr w14:paraId="0C68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7D6B9E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1E8EF2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16AC4D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2.2.4</w:t>
            </w:r>
          </w:p>
        </w:tc>
        <w:tc>
          <w:tcPr>
            <w:tcW w:w="5938" w:type="dxa"/>
            <w:noWrap w:val="0"/>
            <w:vAlign w:val="center"/>
          </w:tcPr>
          <w:p w14:paraId="1AAE3FEA">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终端显示器：尺寸≥27英寸液晶显示器</w:t>
            </w:r>
          </w:p>
        </w:tc>
      </w:tr>
      <w:tr w14:paraId="5439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C88EF58">
            <w:pPr>
              <w:widowControl/>
              <w:numPr>
                <w:ilvl w:val="2"/>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1928306">
            <w:pPr>
              <w:widowControl/>
              <w:numPr>
                <w:ilvl w:val="2"/>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A5E777F">
            <w:pPr>
              <w:widowControl/>
              <w:numPr>
                <w:ilvl w:val="2"/>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w:t>
            </w:r>
          </w:p>
        </w:tc>
        <w:tc>
          <w:tcPr>
            <w:tcW w:w="5938" w:type="dxa"/>
            <w:noWrap w:val="0"/>
            <w:vAlign w:val="center"/>
          </w:tcPr>
          <w:p w14:paraId="454BB979">
            <w:pPr>
              <w:widowControl/>
              <w:spacing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分布式计算服务器硬件≥2套</w:t>
            </w:r>
          </w:p>
        </w:tc>
      </w:tr>
      <w:tr w14:paraId="01EA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8C4D55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highlight w:val="none"/>
                <w:lang w:val="en-US" w:eastAsia="zh-CN" w:bidi="ar-SA"/>
              </w:rPr>
            </w:pPr>
          </w:p>
        </w:tc>
        <w:tc>
          <w:tcPr>
            <w:tcW w:w="698" w:type="dxa"/>
            <w:vMerge w:val="continue"/>
            <w:noWrap w:val="0"/>
            <w:vAlign w:val="center"/>
          </w:tcPr>
          <w:p w14:paraId="0C0E5D4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highlight w:val="none"/>
                <w:lang w:val="en-US" w:eastAsia="zh-CN" w:bidi="ar-SA"/>
              </w:rPr>
            </w:pPr>
          </w:p>
        </w:tc>
        <w:tc>
          <w:tcPr>
            <w:tcW w:w="1862" w:type="dxa"/>
            <w:noWrap w:val="0"/>
            <w:vAlign w:val="center"/>
          </w:tcPr>
          <w:p w14:paraId="0B3AAF0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2.3.1</w:t>
            </w:r>
          </w:p>
        </w:tc>
        <w:tc>
          <w:tcPr>
            <w:tcW w:w="5938" w:type="dxa"/>
            <w:noWrap w:val="0"/>
            <w:vAlign w:val="center"/>
          </w:tcPr>
          <w:p w14:paraId="138C8F62">
            <w:pPr>
              <w:keepNext w:val="0"/>
              <w:keepLines w:val="0"/>
              <w:widowControl/>
              <w:suppressLineNumbers w:val="0"/>
              <w:jc w:val="both"/>
              <w:textAlignment w:val="center"/>
              <w:rPr>
                <w:rFonts w:hint="eastAsia" w:ascii="宋体" w:hAnsi="宋体" w:eastAsia="宋体" w:cs="宋体"/>
                <w:b/>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随机存取存储器(RAM)：主机内存≥128GB</w:t>
            </w:r>
          </w:p>
        </w:tc>
      </w:tr>
      <w:tr w14:paraId="09CC2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A1E30F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E22FDE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8ED3F0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2.3.2</w:t>
            </w:r>
          </w:p>
        </w:tc>
        <w:tc>
          <w:tcPr>
            <w:tcW w:w="5938" w:type="dxa"/>
            <w:noWrap w:val="0"/>
            <w:vAlign w:val="center"/>
          </w:tcPr>
          <w:p w14:paraId="0906DF92">
            <w:pPr>
              <w:keepNext w:val="0"/>
              <w:keepLines w:val="0"/>
              <w:widowControl/>
              <w:suppressLineNumbers w:val="0"/>
              <w:jc w:val="both"/>
              <w:textAlignment w:val="center"/>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磁盘存储器(Hard Drives)：RAID后容量≥960GB(RAID 1+1 HS)</w:t>
            </w:r>
          </w:p>
        </w:tc>
      </w:tr>
      <w:tr w14:paraId="31E6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2658B6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213DFB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669FBF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2.3.3</w:t>
            </w:r>
          </w:p>
        </w:tc>
        <w:tc>
          <w:tcPr>
            <w:tcW w:w="5938" w:type="dxa"/>
            <w:noWrap w:val="0"/>
            <w:vAlign w:val="center"/>
          </w:tcPr>
          <w:p w14:paraId="56F9F3D2">
            <w:pPr>
              <w:keepNext w:val="0"/>
              <w:keepLines w:val="0"/>
              <w:widowControl/>
              <w:suppressLineNumbers w:val="0"/>
              <w:jc w:val="both"/>
              <w:textAlignment w:val="center"/>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GPU：配置≥1张推理/计算卡，单卡显存≥24 GB GDDR6</w:t>
            </w:r>
          </w:p>
        </w:tc>
      </w:tr>
      <w:tr w14:paraId="53A7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95A2E3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772126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A18F70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2.3.4</w:t>
            </w:r>
          </w:p>
        </w:tc>
        <w:tc>
          <w:tcPr>
            <w:tcW w:w="5938" w:type="dxa"/>
            <w:noWrap w:val="0"/>
            <w:vAlign w:val="center"/>
          </w:tcPr>
          <w:p w14:paraId="455675BB">
            <w:pPr>
              <w:keepNext w:val="0"/>
              <w:keepLines w:val="0"/>
              <w:widowControl/>
              <w:suppressLineNumbers w:val="0"/>
              <w:jc w:val="left"/>
              <w:textAlignment w:val="center"/>
              <w:rPr>
                <w:rFonts w:hint="eastAsia" w:ascii="宋体" w:hAnsi="宋体" w:eastAsia="宋体" w:cs="宋体"/>
                <w:b/>
                <w:color w:val="auto"/>
                <w:sz w:val="21"/>
                <w:szCs w:val="21"/>
              </w:rPr>
            </w:pPr>
            <w:r>
              <w:rPr>
                <w:rStyle w:val="62"/>
                <w:rFonts w:hint="eastAsia" w:ascii="宋体" w:hAnsi="宋体" w:eastAsia="宋体" w:cs="宋体"/>
                <w:color w:val="auto"/>
                <w:sz w:val="21"/>
                <w:szCs w:val="21"/>
                <w:lang w:val="en-US" w:eastAsia="zh-CN" w:bidi="ar"/>
              </w:rPr>
              <w:t>冗余（Redundancy）:配置冗余电源(2PSU)</w:t>
            </w:r>
          </w:p>
        </w:tc>
      </w:tr>
      <w:tr w14:paraId="2583D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F43551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294888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9D4D54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2.3.5</w:t>
            </w:r>
          </w:p>
        </w:tc>
        <w:tc>
          <w:tcPr>
            <w:tcW w:w="5938" w:type="dxa"/>
            <w:noWrap w:val="0"/>
            <w:vAlign w:val="center"/>
          </w:tcPr>
          <w:p w14:paraId="5719A820">
            <w:pPr>
              <w:keepNext w:val="0"/>
              <w:keepLines w:val="0"/>
              <w:widowControl/>
              <w:suppressLineNumbers w:val="0"/>
              <w:jc w:val="both"/>
              <w:textAlignment w:val="center"/>
              <w:rPr>
                <w:rFonts w:hint="eastAsia" w:ascii="宋体" w:hAnsi="宋体" w:eastAsia="宋体" w:cs="宋体"/>
                <w:b/>
                <w:color w:val="auto"/>
                <w:sz w:val="21"/>
                <w:szCs w:val="21"/>
                <w:lang w:val="en-US"/>
              </w:rPr>
            </w:pPr>
            <w:r>
              <w:rPr>
                <w:rFonts w:hint="eastAsia" w:ascii="宋体" w:hAnsi="宋体" w:eastAsia="宋体" w:cs="宋体"/>
                <w:i w:val="0"/>
                <w:iCs w:val="0"/>
                <w:color w:val="auto"/>
                <w:kern w:val="0"/>
                <w:sz w:val="21"/>
                <w:szCs w:val="21"/>
                <w:u w:val="none"/>
                <w:lang w:val="en-US" w:eastAsia="zh-CN" w:bidi="ar"/>
              </w:rPr>
              <w:t>网络接口(Network Interface)：</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10GB网络接口卡</w:t>
            </w:r>
          </w:p>
        </w:tc>
      </w:tr>
      <w:tr w14:paraId="3FB1D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C86B8D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DA1407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06668A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w:t>
            </w:r>
          </w:p>
        </w:tc>
        <w:tc>
          <w:tcPr>
            <w:tcW w:w="5938" w:type="dxa"/>
            <w:noWrap w:val="0"/>
            <w:vAlign w:val="center"/>
          </w:tcPr>
          <w:p w14:paraId="3088871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系统服务器</w:t>
            </w:r>
          </w:p>
        </w:tc>
      </w:tr>
      <w:tr w14:paraId="0429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B996B9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FA697C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DC4406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2.4.1</w:t>
            </w:r>
          </w:p>
        </w:tc>
        <w:tc>
          <w:tcPr>
            <w:tcW w:w="5938" w:type="dxa"/>
            <w:noWrap w:val="0"/>
            <w:vAlign w:val="center"/>
          </w:tcPr>
          <w:p w14:paraId="09FFB69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CPU：总物理核心数≥12核</w:t>
            </w:r>
          </w:p>
        </w:tc>
      </w:tr>
      <w:tr w14:paraId="6368A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D871BC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C18597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D7FC88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2.4.2</w:t>
            </w:r>
          </w:p>
        </w:tc>
        <w:tc>
          <w:tcPr>
            <w:tcW w:w="5938" w:type="dxa"/>
            <w:noWrap w:val="0"/>
            <w:vAlign w:val="center"/>
          </w:tcPr>
          <w:p w14:paraId="7E3FF33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硬盘：配置≥3块固态硬盘，单盘容量≥96GB SSD</w:t>
            </w:r>
          </w:p>
        </w:tc>
      </w:tr>
      <w:tr w14:paraId="23A5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BEB3E5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EB3655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B8F5D3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2.4.3</w:t>
            </w:r>
          </w:p>
        </w:tc>
        <w:tc>
          <w:tcPr>
            <w:tcW w:w="5938" w:type="dxa"/>
            <w:noWrap w:val="0"/>
            <w:vAlign w:val="center"/>
          </w:tcPr>
          <w:p w14:paraId="62EB492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内存：配置≥128GB ECC RAM</w:t>
            </w:r>
          </w:p>
        </w:tc>
      </w:tr>
      <w:tr w14:paraId="6BFC7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D4EDDF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D05736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629997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2.4.4</w:t>
            </w:r>
          </w:p>
        </w:tc>
        <w:tc>
          <w:tcPr>
            <w:tcW w:w="5938" w:type="dxa"/>
            <w:noWrap w:val="0"/>
            <w:vAlign w:val="center"/>
          </w:tcPr>
          <w:p w14:paraId="5A3FB2D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电源：1+1冗余电源</w:t>
            </w:r>
          </w:p>
        </w:tc>
      </w:tr>
      <w:tr w14:paraId="6A63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2A2426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43C844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2D95E6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w:t>
            </w:r>
          </w:p>
        </w:tc>
        <w:tc>
          <w:tcPr>
            <w:tcW w:w="5938" w:type="dxa"/>
            <w:noWrap w:val="0"/>
            <w:vAlign w:val="center"/>
          </w:tcPr>
          <w:p w14:paraId="601C387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放疗云平台服务器硬件</w:t>
            </w:r>
          </w:p>
        </w:tc>
      </w:tr>
      <w:tr w14:paraId="4849B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E617C1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A02AD5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89A088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2.5.1</w:t>
            </w:r>
          </w:p>
        </w:tc>
        <w:tc>
          <w:tcPr>
            <w:tcW w:w="5938" w:type="dxa"/>
            <w:noWrap w:val="0"/>
            <w:vAlign w:val="center"/>
          </w:tcPr>
          <w:p w14:paraId="5583826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CPU：配置≥1颗，总物理核心数≥16核</w:t>
            </w:r>
          </w:p>
        </w:tc>
      </w:tr>
      <w:tr w14:paraId="2FC7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7B30AF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E2CDC4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9CBB74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2.5.2</w:t>
            </w:r>
          </w:p>
        </w:tc>
        <w:tc>
          <w:tcPr>
            <w:tcW w:w="5938" w:type="dxa"/>
            <w:noWrap w:val="0"/>
            <w:vAlign w:val="center"/>
          </w:tcPr>
          <w:p w14:paraId="3414FB2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硬盘：配置≥3块固态硬盘，单盘容量≥96GB SSD</w:t>
            </w:r>
          </w:p>
        </w:tc>
      </w:tr>
      <w:tr w14:paraId="744CC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5BDDC3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8BCFCF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EDA129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2.5.3</w:t>
            </w:r>
          </w:p>
        </w:tc>
        <w:tc>
          <w:tcPr>
            <w:tcW w:w="5938" w:type="dxa"/>
            <w:noWrap w:val="0"/>
            <w:vAlign w:val="center"/>
          </w:tcPr>
          <w:p w14:paraId="1A14B88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内存：≥128GB ECC RAM</w:t>
            </w:r>
          </w:p>
        </w:tc>
      </w:tr>
      <w:tr w14:paraId="6F930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D0644B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0BC754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0A710C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2.5.4</w:t>
            </w:r>
          </w:p>
        </w:tc>
        <w:tc>
          <w:tcPr>
            <w:tcW w:w="5938" w:type="dxa"/>
            <w:noWrap w:val="0"/>
            <w:vAlign w:val="center"/>
          </w:tcPr>
          <w:p w14:paraId="5C4545C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电源：1+1冗余电源</w:t>
            </w:r>
          </w:p>
        </w:tc>
      </w:tr>
      <w:tr w14:paraId="302AA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08309D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4F04AC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17D48E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w:t>
            </w:r>
          </w:p>
        </w:tc>
        <w:tc>
          <w:tcPr>
            <w:tcW w:w="5938" w:type="dxa"/>
            <w:noWrap w:val="0"/>
            <w:vAlign w:val="center"/>
          </w:tcPr>
          <w:p w14:paraId="384675D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管理工作站</w:t>
            </w:r>
          </w:p>
        </w:tc>
      </w:tr>
      <w:tr w14:paraId="15C0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8B5F18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9EA95E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CAF110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2.6.1</w:t>
            </w:r>
          </w:p>
        </w:tc>
        <w:tc>
          <w:tcPr>
            <w:tcW w:w="5938" w:type="dxa"/>
            <w:noWrap w:val="0"/>
            <w:vAlign w:val="center"/>
          </w:tcPr>
          <w:p w14:paraId="04E5EF8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CPU：总物理核心数≥12核</w:t>
            </w:r>
          </w:p>
        </w:tc>
      </w:tr>
      <w:tr w14:paraId="08745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BCFECE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8FD0E5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168AEC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2.6.2</w:t>
            </w:r>
          </w:p>
        </w:tc>
        <w:tc>
          <w:tcPr>
            <w:tcW w:w="5938" w:type="dxa"/>
            <w:noWrap w:val="0"/>
            <w:vAlign w:val="center"/>
          </w:tcPr>
          <w:p w14:paraId="3D210A0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硬盘：≥512GB</w:t>
            </w:r>
          </w:p>
        </w:tc>
      </w:tr>
      <w:tr w14:paraId="35C3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0F7FF8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B24C27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2EA0A8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2.6.3</w:t>
            </w:r>
          </w:p>
        </w:tc>
        <w:tc>
          <w:tcPr>
            <w:tcW w:w="5938" w:type="dxa"/>
            <w:noWrap w:val="0"/>
            <w:vAlign w:val="center"/>
          </w:tcPr>
          <w:p w14:paraId="4C3ED61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内存：≥8GB</w:t>
            </w:r>
          </w:p>
        </w:tc>
      </w:tr>
      <w:tr w14:paraId="4D48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1C7CAE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7E3AA2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DA7A12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c>
          <w:tcPr>
            <w:tcW w:w="5938" w:type="dxa"/>
            <w:noWrap w:val="0"/>
            <w:vAlign w:val="center"/>
          </w:tcPr>
          <w:p w14:paraId="1D4AFB01">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软件基本环境</w:t>
            </w:r>
          </w:p>
        </w:tc>
      </w:tr>
      <w:tr w14:paraId="14475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43D4E37">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2E9341D">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CFE0F4B">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3.1</w:t>
            </w:r>
            <w:r>
              <w:rPr>
                <w:rFonts w:hint="eastAsia" w:ascii="宋体" w:hAnsi="宋体" w:eastAsia="宋体" w:cs="宋体"/>
                <w:i w:val="0"/>
                <w:iCs w:val="0"/>
                <w:color w:val="auto"/>
                <w:kern w:val="0"/>
                <w:sz w:val="21"/>
                <w:szCs w:val="21"/>
                <w:u w:val="none"/>
                <w:lang w:val="en-US" w:eastAsia="zh-CN" w:bidi="ar"/>
              </w:rPr>
              <w:t>★</w:t>
            </w:r>
          </w:p>
        </w:tc>
        <w:tc>
          <w:tcPr>
            <w:tcW w:w="5938" w:type="dxa"/>
            <w:noWrap w:val="0"/>
            <w:vAlign w:val="center"/>
          </w:tcPr>
          <w:p w14:paraId="3D3AF988">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系统架构：采用C/S（客户端/服务器）架构</w:t>
            </w:r>
          </w:p>
        </w:tc>
      </w:tr>
      <w:tr w14:paraId="1CE8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815F0C5">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1B7C66C">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D77A46E">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3.2</w:t>
            </w:r>
          </w:p>
        </w:tc>
        <w:tc>
          <w:tcPr>
            <w:tcW w:w="5938" w:type="dxa"/>
            <w:noWrap w:val="0"/>
            <w:vAlign w:val="center"/>
          </w:tcPr>
          <w:p w14:paraId="107D4CFC">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临床与管理数据库：数据库应是关系型数据库管理系统，如SQL SERVER、Oracle, Sybase, Informix。应建立在符合ANSII规定标准的SQL语言上</w:t>
            </w:r>
          </w:p>
        </w:tc>
      </w:tr>
      <w:tr w14:paraId="7E8E9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EA1747C">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9FCD997">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D2BAFEA">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3.3</w:t>
            </w:r>
          </w:p>
        </w:tc>
        <w:tc>
          <w:tcPr>
            <w:tcW w:w="5938" w:type="dxa"/>
            <w:noWrap w:val="0"/>
            <w:vAlign w:val="center"/>
          </w:tcPr>
          <w:p w14:paraId="55EC5C53">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数据传输协议：支持HL-7接口协议</w:t>
            </w:r>
          </w:p>
        </w:tc>
      </w:tr>
      <w:tr w14:paraId="79EF2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D1C487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57E7FF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FEB09F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3.4</w:t>
            </w:r>
          </w:p>
        </w:tc>
        <w:tc>
          <w:tcPr>
            <w:tcW w:w="5938" w:type="dxa"/>
            <w:noWrap w:val="0"/>
            <w:vAlign w:val="center"/>
          </w:tcPr>
          <w:p w14:paraId="63675A72">
            <w:pPr>
              <w:keepNext w:val="0"/>
              <w:keepLines w:val="0"/>
              <w:widowControl/>
              <w:suppressLineNumbers w:val="0"/>
              <w:jc w:val="both"/>
              <w:textAlignment w:val="center"/>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DICOM：系统应遵循DICOM3.0协议，以接收CT、CBCT、MRI、和PET等影像，实现医学影像共享</w:t>
            </w:r>
          </w:p>
        </w:tc>
      </w:tr>
      <w:tr w14:paraId="1F338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638" w:type="dxa"/>
            <w:vMerge w:val="continue"/>
            <w:noWrap w:val="0"/>
            <w:vAlign w:val="center"/>
          </w:tcPr>
          <w:p w14:paraId="51C7214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9179DA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9B32E1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3.5</w:t>
            </w:r>
          </w:p>
        </w:tc>
        <w:tc>
          <w:tcPr>
            <w:tcW w:w="5938" w:type="dxa"/>
            <w:noWrap w:val="0"/>
            <w:vAlign w:val="center"/>
          </w:tcPr>
          <w:p w14:paraId="474B475F">
            <w:pPr>
              <w:keepNext w:val="0"/>
              <w:keepLines w:val="0"/>
              <w:widowControl/>
              <w:suppressLineNumbers w:val="0"/>
              <w:jc w:val="both"/>
              <w:textAlignment w:val="center"/>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放疗网络：系统提供与放射治疗网络系统连接的DICOM  RT接口，支持以DICOM RT方式输入/输出患者资料（包括影像、器官轮廓、计划及剂量）。</w:t>
            </w:r>
          </w:p>
        </w:tc>
      </w:tr>
      <w:tr w14:paraId="691D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6F287B9">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1840670D">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31DBC73F">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w:t>
            </w:r>
          </w:p>
        </w:tc>
        <w:tc>
          <w:tcPr>
            <w:tcW w:w="5938" w:type="dxa"/>
            <w:noWrap w:val="0"/>
            <w:vAlign w:val="center"/>
          </w:tcPr>
          <w:p w14:paraId="7630E51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放射治疗计划系统应该与医院现有放疗管理系统</w:t>
            </w:r>
            <w:r>
              <w:rPr>
                <w:rFonts w:hint="eastAsia"/>
              </w:rPr>
              <w:t>实现数据层面的无缝对接与互联互通，</w:t>
            </w:r>
            <w:r>
              <w:rPr>
                <w:rFonts w:hint="eastAsia"/>
                <w:lang w:val="en-US" w:eastAsia="zh-CN"/>
              </w:rPr>
              <w:t>实现</w:t>
            </w:r>
            <w:r>
              <w:rPr>
                <w:rFonts w:hint="eastAsia"/>
              </w:rPr>
              <w:t>数据一致性与流程闭环</w:t>
            </w:r>
          </w:p>
        </w:tc>
      </w:tr>
      <w:tr w14:paraId="4C0A5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D37A4A4">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072C982D">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45703046">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3.7</w:t>
            </w:r>
            <w:r>
              <w:rPr>
                <w:rFonts w:hint="eastAsia" w:ascii="宋体" w:hAnsi="宋体" w:eastAsia="宋体" w:cs="宋体"/>
                <w:i w:val="0"/>
                <w:iCs w:val="0"/>
                <w:color w:val="000000"/>
                <w:kern w:val="0"/>
                <w:sz w:val="21"/>
                <w:szCs w:val="21"/>
                <w:u w:val="none"/>
                <w:lang w:val="en-US" w:eastAsia="zh-CN" w:bidi="ar"/>
              </w:rPr>
              <w:t>▲</w:t>
            </w:r>
          </w:p>
        </w:tc>
        <w:tc>
          <w:tcPr>
            <w:tcW w:w="5938" w:type="dxa"/>
            <w:noWrap w:val="0"/>
            <w:vAlign w:val="center"/>
          </w:tcPr>
          <w:p w14:paraId="2EE5B3E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放射治疗计划系统需要支持分布式计算技术框架（投标时提供能体现该技术参数要求且清晰可辨的技术白皮书或</w:t>
            </w:r>
            <w:r>
              <w:rPr>
                <w:rFonts w:hint="eastAsia" w:ascii="宋体" w:hAnsi="宋体" w:cs="宋体"/>
                <w:b/>
                <w:bCs/>
                <w:i w:val="0"/>
                <w:iCs w:val="0"/>
                <w:color w:val="FF0000"/>
                <w:kern w:val="0"/>
                <w:sz w:val="21"/>
                <w:szCs w:val="21"/>
                <w:u w:val="none"/>
                <w:lang w:val="en-US" w:eastAsia="zh-CN" w:bidi="ar"/>
              </w:rPr>
              <w:t>产品技术说明或产品彩页</w:t>
            </w:r>
            <w:r>
              <w:rPr>
                <w:rFonts w:hint="eastAsia" w:ascii="宋体" w:hAnsi="宋体" w:eastAsia="宋体" w:cs="宋体"/>
                <w:b/>
                <w:bCs/>
                <w:i w:val="0"/>
                <w:iCs w:val="0"/>
                <w:color w:val="FF0000"/>
                <w:kern w:val="0"/>
                <w:sz w:val="21"/>
                <w:szCs w:val="21"/>
                <w:u w:val="none"/>
                <w:lang w:val="en-US" w:eastAsia="zh-CN" w:bidi="ar"/>
              </w:rPr>
              <w:t>扫描件）</w:t>
            </w:r>
          </w:p>
        </w:tc>
      </w:tr>
      <w:tr w14:paraId="526C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F2D560A">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32F21239">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040399E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3.8</w:t>
            </w:r>
            <w:r>
              <w:rPr>
                <w:rFonts w:hint="eastAsia"/>
                <w:lang w:val="en-US" w:eastAsia="zh-CN"/>
              </w:rPr>
              <w:t>★</w:t>
            </w:r>
          </w:p>
        </w:tc>
        <w:tc>
          <w:tcPr>
            <w:tcW w:w="5938" w:type="dxa"/>
            <w:noWrap w:val="0"/>
            <w:vAlign w:val="center"/>
          </w:tcPr>
          <w:p w14:paraId="51C29E1A">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须提供</w:t>
            </w:r>
            <w:r>
              <w:rPr>
                <w:rFonts w:hint="eastAsia"/>
                <w:lang w:val="en-US" w:eastAsia="zh-CN"/>
              </w:rPr>
              <w:t>≥</w:t>
            </w:r>
            <w:r>
              <w:rPr>
                <w:rFonts w:hint="eastAsia" w:ascii="宋体" w:hAnsi="宋体" w:eastAsia="宋体" w:cs="宋体"/>
                <w:i w:val="0"/>
                <w:iCs w:val="0"/>
                <w:color w:val="000000"/>
                <w:kern w:val="0"/>
                <w:sz w:val="21"/>
                <w:szCs w:val="21"/>
                <w:u w:val="none"/>
                <w:lang w:val="en-US" w:eastAsia="zh-CN" w:bidi="ar"/>
              </w:rPr>
              <w:t>4台直线加速器建模</w:t>
            </w:r>
          </w:p>
        </w:tc>
      </w:tr>
      <w:tr w14:paraId="1E62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AAB3AA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47AA1D40">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6FB932A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p>
        </w:tc>
        <w:tc>
          <w:tcPr>
            <w:tcW w:w="5938" w:type="dxa"/>
            <w:noWrap w:val="0"/>
            <w:vAlign w:val="center"/>
          </w:tcPr>
          <w:p w14:paraId="40204A81">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软件功能要求</w:t>
            </w:r>
          </w:p>
        </w:tc>
      </w:tr>
      <w:tr w14:paraId="1D7AD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AB40ECE">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18F33916">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446B112C">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4.1</w:t>
            </w:r>
          </w:p>
        </w:tc>
        <w:tc>
          <w:tcPr>
            <w:tcW w:w="5938" w:type="dxa"/>
            <w:noWrap w:val="0"/>
            <w:vAlign w:val="center"/>
          </w:tcPr>
          <w:p w14:paraId="50D8DFCE">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影像配准</w:t>
            </w:r>
          </w:p>
        </w:tc>
      </w:tr>
      <w:tr w14:paraId="7500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E09324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6D91FE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2070B82">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4.1.1</w:t>
            </w:r>
          </w:p>
        </w:tc>
        <w:tc>
          <w:tcPr>
            <w:tcW w:w="5938" w:type="dxa"/>
            <w:noWrap w:val="0"/>
            <w:vAlign w:val="center"/>
          </w:tcPr>
          <w:p w14:paraId="1E84EE1B">
            <w:pPr>
              <w:widowControl/>
              <w:spacing w:line="500" w:lineRule="exact"/>
              <w:rPr>
                <w:rFonts w:hint="eastAsia" w:ascii="宋体" w:hAnsi="宋体" w:eastAsia="宋体" w:cs="宋体"/>
                <w:sz w:val="21"/>
                <w:szCs w:val="21"/>
              </w:rPr>
            </w:pPr>
            <w:r>
              <w:rPr>
                <w:rFonts w:hint="eastAsia" w:ascii="宋体" w:hAnsi="宋体" w:eastAsia="宋体" w:cs="宋体"/>
                <w:sz w:val="21"/>
                <w:szCs w:val="21"/>
              </w:rPr>
              <w:t>系统应</w:t>
            </w:r>
            <w:r>
              <w:rPr>
                <w:rFonts w:hint="eastAsia" w:ascii="宋体" w:hAnsi="宋体" w:eastAsia="宋体" w:cs="宋体"/>
                <w:sz w:val="21"/>
                <w:szCs w:val="21"/>
                <w:lang w:eastAsia="zh-CN"/>
              </w:rPr>
              <w:t>提供</w:t>
            </w:r>
            <w:r>
              <w:rPr>
                <w:rFonts w:hint="eastAsia" w:ascii="宋体" w:hAnsi="宋体" w:eastAsia="宋体" w:cs="宋体"/>
                <w:sz w:val="21"/>
                <w:szCs w:val="21"/>
              </w:rPr>
              <w:t>CT、MRI、CBCT、PET影像的配准</w:t>
            </w:r>
          </w:p>
        </w:tc>
      </w:tr>
      <w:tr w14:paraId="016D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A17243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8D83A2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C5E6B58">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4.1.2</w:t>
            </w:r>
          </w:p>
        </w:tc>
        <w:tc>
          <w:tcPr>
            <w:tcW w:w="5938" w:type="dxa"/>
            <w:noWrap w:val="0"/>
            <w:vAlign w:val="center"/>
          </w:tcPr>
          <w:p w14:paraId="4779D385">
            <w:pPr>
              <w:widowControl/>
              <w:spacing w:line="500" w:lineRule="exact"/>
              <w:rPr>
                <w:rFonts w:hint="eastAsia" w:ascii="宋体" w:hAnsi="宋体" w:eastAsia="宋体" w:cs="宋体"/>
                <w:sz w:val="21"/>
                <w:szCs w:val="21"/>
              </w:rPr>
            </w:pPr>
            <w:r>
              <w:rPr>
                <w:rFonts w:hint="eastAsia" w:ascii="宋体" w:hAnsi="宋体" w:eastAsia="宋体" w:cs="宋体"/>
                <w:sz w:val="21"/>
                <w:szCs w:val="21"/>
              </w:rPr>
              <w:t>系统应</w:t>
            </w:r>
            <w:r>
              <w:rPr>
                <w:rFonts w:hint="eastAsia" w:ascii="宋体" w:hAnsi="宋体" w:eastAsia="宋体" w:cs="宋体"/>
                <w:sz w:val="21"/>
                <w:szCs w:val="21"/>
                <w:lang w:eastAsia="zh-CN"/>
              </w:rPr>
              <w:t>提供</w:t>
            </w:r>
            <w:r>
              <w:rPr>
                <w:rFonts w:hint="eastAsia" w:ascii="宋体" w:hAnsi="宋体" w:eastAsia="宋体" w:cs="宋体"/>
                <w:sz w:val="21"/>
                <w:szCs w:val="21"/>
              </w:rPr>
              <w:t>刚性配准功能，</w:t>
            </w:r>
            <w:r>
              <w:rPr>
                <w:rFonts w:hint="eastAsia" w:ascii="宋体" w:hAnsi="宋体" w:eastAsia="宋体" w:cs="宋体"/>
                <w:sz w:val="21"/>
                <w:szCs w:val="21"/>
                <w:lang w:eastAsia="zh-CN"/>
              </w:rPr>
              <w:t>提供</w:t>
            </w:r>
            <w:r>
              <w:rPr>
                <w:rFonts w:hint="eastAsia" w:ascii="宋体" w:hAnsi="宋体" w:eastAsia="宋体" w:cs="宋体"/>
                <w:sz w:val="21"/>
                <w:szCs w:val="21"/>
              </w:rPr>
              <w:t>影像的刚性配准</w:t>
            </w:r>
          </w:p>
        </w:tc>
      </w:tr>
      <w:tr w14:paraId="5E89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B1BDF3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2C5B36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61B132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4.1.3</w:t>
            </w:r>
          </w:p>
        </w:tc>
        <w:tc>
          <w:tcPr>
            <w:tcW w:w="5938" w:type="dxa"/>
            <w:noWrap w:val="0"/>
            <w:vAlign w:val="center"/>
          </w:tcPr>
          <w:p w14:paraId="695DBD0C">
            <w:pPr>
              <w:widowControl/>
              <w:spacing w:line="500" w:lineRule="exact"/>
              <w:rPr>
                <w:rFonts w:hint="eastAsia" w:ascii="宋体" w:hAnsi="宋体" w:eastAsia="宋体" w:cs="宋体"/>
                <w:sz w:val="21"/>
                <w:szCs w:val="21"/>
              </w:rPr>
            </w:pPr>
            <w:r>
              <w:rPr>
                <w:rFonts w:hint="eastAsia" w:ascii="宋体" w:hAnsi="宋体" w:eastAsia="宋体" w:cs="宋体"/>
                <w:sz w:val="21"/>
                <w:szCs w:val="21"/>
              </w:rPr>
              <w:t>系统应</w:t>
            </w:r>
            <w:r>
              <w:rPr>
                <w:rFonts w:hint="eastAsia" w:ascii="宋体" w:hAnsi="宋体" w:eastAsia="宋体" w:cs="宋体"/>
                <w:sz w:val="21"/>
                <w:szCs w:val="21"/>
                <w:lang w:eastAsia="zh-CN"/>
              </w:rPr>
              <w:t>提供</w:t>
            </w:r>
            <w:r>
              <w:rPr>
                <w:rFonts w:hint="eastAsia" w:ascii="宋体" w:hAnsi="宋体" w:eastAsia="宋体" w:cs="宋体"/>
                <w:sz w:val="21"/>
                <w:szCs w:val="21"/>
              </w:rPr>
              <w:t>影像的形变配准</w:t>
            </w:r>
          </w:p>
        </w:tc>
      </w:tr>
      <w:tr w14:paraId="130D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E44A12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A5FFE4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825889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4.1.4</w:t>
            </w:r>
          </w:p>
        </w:tc>
        <w:tc>
          <w:tcPr>
            <w:tcW w:w="5938" w:type="dxa"/>
            <w:noWrap w:val="0"/>
            <w:vAlign w:val="center"/>
          </w:tcPr>
          <w:p w14:paraId="52AE5289">
            <w:pPr>
              <w:widowControl/>
              <w:spacing w:line="500" w:lineRule="exact"/>
              <w:rPr>
                <w:rFonts w:hint="eastAsia" w:ascii="宋体" w:hAnsi="宋体" w:eastAsia="宋体" w:cs="宋体"/>
                <w:sz w:val="21"/>
                <w:szCs w:val="21"/>
              </w:rPr>
            </w:pPr>
            <w:r>
              <w:rPr>
                <w:rFonts w:hint="eastAsia" w:ascii="宋体" w:hAnsi="宋体" w:eastAsia="宋体" w:cs="宋体"/>
                <w:sz w:val="21"/>
                <w:szCs w:val="21"/>
              </w:rPr>
              <w:t>系统应</w:t>
            </w:r>
            <w:r>
              <w:rPr>
                <w:rFonts w:hint="eastAsia" w:ascii="宋体" w:hAnsi="宋体" w:eastAsia="宋体" w:cs="宋体"/>
                <w:sz w:val="21"/>
                <w:szCs w:val="21"/>
                <w:lang w:eastAsia="zh-CN"/>
              </w:rPr>
              <w:t>提供</w:t>
            </w:r>
            <w:r>
              <w:rPr>
                <w:rFonts w:hint="eastAsia" w:ascii="宋体" w:hAnsi="宋体" w:eastAsia="宋体" w:cs="宋体"/>
                <w:sz w:val="21"/>
                <w:szCs w:val="21"/>
              </w:rPr>
              <w:t>配准结果评估，提供自动评估工具</w:t>
            </w:r>
          </w:p>
        </w:tc>
      </w:tr>
      <w:tr w14:paraId="2584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8" w:type="dxa"/>
            <w:vMerge w:val="continue"/>
            <w:noWrap w:val="0"/>
            <w:vAlign w:val="center"/>
          </w:tcPr>
          <w:p w14:paraId="00D1FE6A">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32F1B7F3">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64D6843E">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4.2</w:t>
            </w:r>
          </w:p>
        </w:tc>
        <w:tc>
          <w:tcPr>
            <w:tcW w:w="5938" w:type="dxa"/>
            <w:noWrap w:val="0"/>
            <w:vAlign w:val="center"/>
          </w:tcPr>
          <w:p w14:paraId="7B46E7EE">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结构勾画</w:t>
            </w:r>
          </w:p>
        </w:tc>
      </w:tr>
      <w:tr w14:paraId="57BF1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38" w:type="dxa"/>
            <w:vMerge w:val="continue"/>
            <w:noWrap w:val="0"/>
            <w:vAlign w:val="center"/>
          </w:tcPr>
          <w:p w14:paraId="14D2AEC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D06D95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6E4B336">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w:t>
            </w:r>
          </w:p>
        </w:tc>
        <w:tc>
          <w:tcPr>
            <w:tcW w:w="5938" w:type="dxa"/>
            <w:noWrap w:val="0"/>
            <w:vAlign w:val="center"/>
          </w:tcPr>
          <w:p w14:paraId="5F68BD3C">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提供涂抹/勾勒的方式绘制或者调整勾画轮廓功能。</w:t>
            </w:r>
          </w:p>
        </w:tc>
      </w:tr>
      <w:tr w14:paraId="2AB3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178102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8C93AA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E1F5C9A">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4.2.2</w:t>
            </w:r>
          </w:p>
        </w:tc>
        <w:tc>
          <w:tcPr>
            <w:tcW w:w="5938" w:type="dxa"/>
            <w:noWrap w:val="0"/>
            <w:vAlign w:val="center"/>
          </w:tcPr>
          <w:p w14:paraId="340030D2">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提供方形/圆形的方式绘制或调整勾画轮廓功能。</w:t>
            </w:r>
          </w:p>
        </w:tc>
      </w:tr>
      <w:tr w14:paraId="63C8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F2BABA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8867A1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4E8982A">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4.2.3</w:t>
            </w:r>
          </w:p>
        </w:tc>
        <w:tc>
          <w:tcPr>
            <w:tcW w:w="5938" w:type="dxa"/>
            <w:noWrap w:val="0"/>
            <w:vAlign w:val="center"/>
          </w:tcPr>
          <w:p w14:paraId="06020FFD">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提供外扩/缩小已有的勾画轮廓功能。</w:t>
            </w:r>
          </w:p>
        </w:tc>
      </w:tr>
      <w:tr w14:paraId="67D1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7BD013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4C68DA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5C1DF4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4.2.4</w:t>
            </w:r>
          </w:p>
        </w:tc>
        <w:tc>
          <w:tcPr>
            <w:tcW w:w="5938" w:type="dxa"/>
            <w:noWrap w:val="0"/>
            <w:vAlign w:val="center"/>
          </w:tcPr>
          <w:p w14:paraId="7D3CC58A">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提供对已有的勾画轮廓一键生成外扩环功能。</w:t>
            </w:r>
          </w:p>
        </w:tc>
      </w:tr>
      <w:tr w14:paraId="716FB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4DD723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84AA5E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1209789">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4.2.5</w:t>
            </w:r>
          </w:p>
        </w:tc>
        <w:tc>
          <w:tcPr>
            <w:tcW w:w="5938" w:type="dxa"/>
            <w:noWrap w:val="0"/>
            <w:vAlign w:val="center"/>
          </w:tcPr>
          <w:p w14:paraId="1EF02064">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提供对两个选定结构进行交集和差集的修剪功能。</w:t>
            </w:r>
          </w:p>
        </w:tc>
      </w:tr>
      <w:tr w14:paraId="2961E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585A45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F52404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C10E52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4.2.6</w:t>
            </w:r>
          </w:p>
        </w:tc>
        <w:tc>
          <w:tcPr>
            <w:tcW w:w="5938" w:type="dxa"/>
            <w:noWrap w:val="0"/>
            <w:vAlign w:val="center"/>
          </w:tcPr>
          <w:p w14:paraId="0CF0EF1D">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提供对现有结构进行并集、交集、差集、非集等布尔运算来创建新的勾画轮廓功能。</w:t>
            </w:r>
          </w:p>
        </w:tc>
      </w:tr>
      <w:tr w14:paraId="243D3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A917AD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5A2BF5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6580581">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4.2.7</w:t>
            </w:r>
          </w:p>
        </w:tc>
        <w:tc>
          <w:tcPr>
            <w:tcW w:w="5938" w:type="dxa"/>
            <w:noWrap w:val="0"/>
            <w:vAlign w:val="center"/>
          </w:tcPr>
          <w:p w14:paraId="001D1271">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可删除ROI的所有切片上面积小于指定面积阈值的所有轮廓。</w:t>
            </w:r>
          </w:p>
        </w:tc>
      </w:tr>
      <w:tr w14:paraId="1B0B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08BEAC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594203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D9E1CE8">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w:t>
            </w:r>
          </w:p>
        </w:tc>
        <w:tc>
          <w:tcPr>
            <w:tcW w:w="5938" w:type="dxa"/>
            <w:noWrap w:val="0"/>
            <w:vAlign w:val="center"/>
          </w:tcPr>
          <w:p w14:paraId="022723B8">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应提供基于经验知识库的自动勾画功能</w:t>
            </w:r>
          </w:p>
        </w:tc>
      </w:tr>
      <w:tr w14:paraId="0774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2634A10">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DBE06F8">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9650F17">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4.2.8.1</w:t>
            </w:r>
          </w:p>
        </w:tc>
        <w:tc>
          <w:tcPr>
            <w:tcW w:w="5938" w:type="dxa"/>
            <w:noWrap w:val="0"/>
            <w:vAlign w:val="center"/>
          </w:tcPr>
          <w:p w14:paraId="786C8E7D">
            <w:pPr>
              <w:keepNext w:val="0"/>
              <w:keepLines w:val="0"/>
              <w:widowControl/>
              <w:suppressLineNumbers w:val="0"/>
              <w:jc w:val="both"/>
              <w:textAlignment w:val="center"/>
              <w:rPr>
                <w:rFonts w:hint="eastAsia" w:ascii="宋体" w:hAnsi="宋体" w:eastAsia="宋体" w:cs="宋体"/>
                <w:color w:val="000000"/>
                <w:sz w:val="21"/>
                <w:szCs w:val="21"/>
                <w:lang w:eastAsia="zh-CN"/>
              </w:rPr>
            </w:pPr>
            <w:r>
              <w:rPr>
                <w:rFonts w:hint="eastAsia" w:ascii="宋体" w:hAnsi="宋体" w:eastAsia="宋体" w:cs="宋体"/>
                <w:b/>
                <w:bCs/>
                <w:i w:val="0"/>
                <w:iCs w:val="0"/>
                <w:color w:val="FF0000"/>
                <w:kern w:val="0"/>
                <w:sz w:val="21"/>
                <w:szCs w:val="21"/>
                <w:u w:val="none"/>
                <w:lang w:val="en-US" w:eastAsia="zh-CN" w:bidi="ar"/>
              </w:rPr>
              <w:t>应提供≥1个预置专家图谱库</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62B72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3FD0AF2">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E3B946F">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C8E6349">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4.2.8.2</w:t>
            </w:r>
          </w:p>
        </w:tc>
        <w:tc>
          <w:tcPr>
            <w:tcW w:w="5938" w:type="dxa"/>
            <w:noWrap w:val="0"/>
            <w:vAlign w:val="center"/>
          </w:tcPr>
          <w:p w14:paraId="26FB50AA">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应提供可检索肿瘤部位和分期说明功能</w:t>
            </w:r>
          </w:p>
        </w:tc>
      </w:tr>
      <w:tr w14:paraId="7D497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71753E6">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13E958F">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5E22278">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4.2.8.3</w:t>
            </w:r>
          </w:p>
        </w:tc>
        <w:tc>
          <w:tcPr>
            <w:tcW w:w="5938" w:type="dxa"/>
            <w:noWrap w:val="0"/>
            <w:vAlign w:val="center"/>
          </w:tcPr>
          <w:p w14:paraId="6642B473">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应提供根据临床需求创建自定义图谱库功能</w:t>
            </w:r>
          </w:p>
        </w:tc>
      </w:tr>
      <w:tr w14:paraId="0F0B3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DC197A9">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E07D779">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ECF195C">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4.2.8.4</w:t>
            </w:r>
            <w:r>
              <w:rPr>
                <w:rFonts w:hint="eastAsia" w:ascii="宋体" w:hAnsi="宋体" w:eastAsia="宋体" w:cs="宋体"/>
                <w:color w:val="000000"/>
                <w:kern w:val="2"/>
                <w:sz w:val="21"/>
                <w:szCs w:val="21"/>
                <w:lang w:val="en-US" w:eastAsia="zh-CN" w:bidi="ar"/>
              </w:rPr>
              <w:t>▲</w:t>
            </w:r>
          </w:p>
        </w:tc>
        <w:tc>
          <w:tcPr>
            <w:tcW w:w="5938" w:type="dxa"/>
            <w:noWrap w:val="0"/>
            <w:vAlign w:val="center"/>
          </w:tcPr>
          <w:p w14:paraId="3D417098">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应提供科室编辑现有治疗计划病例数据库中的病例功能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4979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9CE9AF9">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C670CA4">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2304939">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4.2.8.5</w:t>
            </w:r>
            <w:r>
              <w:rPr>
                <w:rFonts w:hint="eastAsia" w:ascii="宋体" w:hAnsi="宋体" w:eastAsia="宋体" w:cs="宋体"/>
                <w:color w:val="000000"/>
                <w:kern w:val="2"/>
                <w:sz w:val="21"/>
                <w:szCs w:val="21"/>
                <w:lang w:val="en-US" w:eastAsia="zh-CN" w:bidi="ar"/>
              </w:rPr>
              <w:t>▲</w:t>
            </w:r>
          </w:p>
        </w:tc>
        <w:tc>
          <w:tcPr>
            <w:tcW w:w="5938" w:type="dxa"/>
            <w:noWrap w:val="0"/>
            <w:vAlign w:val="center"/>
          </w:tcPr>
          <w:p w14:paraId="6005D323">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应提供解剖图谱功能，可描述各解剖结构详细信息</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30786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B133570">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094D356">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A5C12BA">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4.2.8.6</w:t>
            </w:r>
          </w:p>
        </w:tc>
        <w:tc>
          <w:tcPr>
            <w:tcW w:w="5938" w:type="dxa"/>
            <w:noWrap w:val="0"/>
            <w:vAlign w:val="center"/>
          </w:tcPr>
          <w:p w14:paraId="1449444F">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应提供≥2个图谱的自动勾画功能</w:t>
            </w:r>
          </w:p>
        </w:tc>
      </w:tr>
      <w:tr w14:paraId="16C48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4DC30C0">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790DC7D">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EF87464">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4.2.8.7</w:t>
            </w:r>
          </w:p>
        </w:tc>
        <w:tc>
          <w:tcPr>
            <w:tcW w:w="5938" w:type="dxa"/>
            <w:noWrap w:val="0"/>
            <w:vAlign w:val="center"/>
          </w:tcPr>
          <w:p w14:paraId="2235356A">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应提供肺肿瘤自动勾画功能</w:t>
            </w:r>
          </w:p>
        </w:tc>
      </w:tr>
      <w:tr w14:paraId="2EC2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2109E7F">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9ACB9D7">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1A662C6">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4.2.8.8</w:t>
            </w:r>
          </w:p>
        </w:tc>
        <w:tc>
          <w:tcPr>
            <w:tcW w:w="5938" w:type="dxa"/>
            <w:noWrap w:val="0"/>
            <w:vAlign w:val="center"/>
          </w:tcPr>
          <w:p w14:paraId="69B94FF7">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应提供PET阈值勾画功能</w:t>
            </w:r>
          </w:p>
        </w:tc>
      </w:tr>
      <w:tr w14:paraId="1332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1DA942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E2C203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1957EF8">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4.2.9</w:t>
            </w:r>
          </w:p>
        </w:tc>
        <w:tc>
          <w:tcPr>
            <w:tcW w:w="5938" w:type="dxa"/>
            <w:noWrap w:val="0"/>
            <w:vAlign w:val="center"/>
          </w:tcPr>
          <w:p w14:paraId="21065769">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应提供自动SUV勾画功能</w:t>
            </w:r>
          </w:p>
        </w:tc>
      </w:tr>
      <w:tr w14:paraId="6F9F6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8A5EBB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9A925D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E9AC0D7">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4.2.10</w:t>
            </w:r>
          </w:p>
        </w:tc>
        <w:tc>
          <w:tcPr>
            <w:tcW w:w="5938" w:type="dxa"/>
            <w:noWrap w:val="0"/>
            <w:vAlign w:val="center"/>
          </w:tcPr>
          <w:p w14:paraId="5A39F690">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应提供多模态影像勾画功能</w:t>
            </w:r>
          </w:p>
        </w:tc>
      </w:tr>
      <w:tr w14:paraId="4D38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689E42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0586FB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EA4C3C7">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w:t>
            </w:r>
          </w:p>
        </w:tc>
        <w:tc>
          <w:tcPr>
            <w:tcW w:w="5938" w:type="dxa"/>
            <w:noWrap w:val="0"/>
            <w:vAlign w:val="center"/>
          </w:tcPr>
          <w:p w14:paraId="11C8B9E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应提供4D影像数据处理功能</w:t>
            </w:r>
          </w:p>
        </w:tc>
      </w:tr>
      <w:tr w14:paraId="231DF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380A545">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81948C4">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C232881">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4.2.11.1</w:t>
            </w:r>
          </w:p>
        </w:tc>
        <w:tc>
          <w:tcPr>
            <w:tcW w:w="5938" w:type="dxa"/>
            <w:noWrap w:val="0"/>
            <w:vAlign w:val="center"/>
          </w:tcPr>
          <w:p w14:paraId="5B2D670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应提供生成MIP、AIP和MinIP图像功能</w:t>
            </w:r>
          </w:p>
        </w:tc>
      </w:tr>
      <w:tr w14:paraId="4973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0EA1DEA">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2EA24DA">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76AA964">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4.2.11.2</w:t>
            </w:r>
          </w:p>
        </w:tc>
        <w:tc>
          <w:tcPr>
            <w:tcW w:w="5938" w:type="dxa"/>
            <w:noWrap w:val="0"/>
            <w:vAlign w:val="center"/>
          </w:tcPr>
          <w:p w14:paraId="7125F3A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应提供合成照射靶体积ITV功能</w:t>
            </w:r>
          </w:p>
        </w:tc>
      </w:tr>
      <w:tr w14:paraId="41A2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E83423F">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70BB8DC">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8D140C1">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4.2.11.3</w:t>
            </w:r>
          </w:p>
        </w:tc>
        <w:tc>
          <w:tcPr>
            <w:tcW w:w="5938" w:type="dxa"/>
            <w:noWrap w:val="0"/>
            <w:vAlign w:val="center"/>
          </w:tcPr>
          <w:p w14:paraId="21737C9E">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应提供刚性、形变的4D结构派生功能</w:t>
            </w:r>
          </w:p>
        </w:tc>
      </w:tr>
      <w:tr w14:paraId="7D889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0DDD8D1">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F07E616">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67FA21B">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4.2.11.4</w:t>
            </w:r>
          </w:p>
        </w:tc>
        <w:tc>
          <w:tcPr>
            <w:tcW w:w="5938" w:type="dxa"/>
            <w:noWrap w:val="0"/>
            <w:vAlign w:val="center"/>
          </w:tcPr>
          <w:p w14:paraId="63195388">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应提供浏览呼吸幅度曲线功能</w:t>
            </w:r>
          </w:p>
        </w:tc>
      </w:tr>
      <w:tr w14:paraId="139A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9B900A8">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757BEC4">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AF4A422">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4.2.11.5</w:t>
            </w:r>
          </w:p>
        </w:tc>
        <w:tc>
          <w:tcPr>
            <w:tcW w:w="5938" w:type="dxa"/>
            <w:noWrap w:val="0"/>
            <w:vAlign w:val="center"/>
          </w:tcPr>
          <w:p w14:paraId="7FCCFE14">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应提供4D体积统计，评估质心和体积变化功能</w:t>
            </w:r>
          </w:p>
        </w:tc>
      </w:tr>
      <w:tr w14:paraId="46160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8EB4A98">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0402A37">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114ED45">
            <w:pPr>
              <w:widowControl/>
              <w:numPr>
                <w:ilvl w:val="3"/>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4.2.11.6</w:t>
            </w:r>
          </w:p>
        </w:tc>
        <w:tc>
          <w:tcPr>
            <w:tcW w:w="5938" w:type="dxa"/>
            <w:noWrap w:val="0"/>
            <w:vAlign w:val="center"/>
          </w:tcPr>
          <w:p w14:paraId="71534380">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应提供勾画和计划射野上播放4D动态回放功能</w:t>
            </w:r>
          </w:p>
        </w:tc>
      </w:tr>
      <w:tr w14:paraId="55A4E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77D9CA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1C939A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51960E9">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4.2.12</w:t>
            </w:r>
          </w:p>
        </w:tc>
        <w:tc>
          <w:tcPr>
            <w:tcW w:w="5938" w:type="dxa"/>
            <w:noWrap w:val="0"/>
            <w:vAlign w:val="center"/>
          </w:tcPr>
          <w:p w14:paraId="2F56435C">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应支持临床协议模板</w:t>
            </w:r>
          </w:p>
        </w:tc>
      </w:tr>
      <w:tr w14:paraId="4793C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8021FBE">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79C2C6E5">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40761F54">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4.3</w:t>
            </w:r>
          </w:p>
        </w:tc>
        <w:tc>
          <w:tcPr>
            <w:tcW w:w="5938" w:type="dxa"/>
            <w:noWrap w:val="0"/>
            <w:vAlign w:val="center"/>
          </w:tcPr>
          <w:p w14:paraId="6D3D0BC9">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计划设计</w:t>
            </w:r>
          </w:p>
        </w:tc>
      </w:tr>
      <w:tr w14:paraId="0A03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E6FDDF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7D80F7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620D2E6">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w:t>
            </w:r>
          </w:p>
        </w:tc>
        <w:tc>
          <w:tcPr>
            <w:tcW w:w="5938" w:type="dxa"/>
            <w:noWrap w:val="0"/>
            <w:vAlign w:val="center"/>
          </w:tcPr>
          <w:p w14:paraId="49864F9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应提供野中野技术</w:t>
            </w:r>
          </w:p>
        </w:tc>
      </w:tr>
      <w:tr w14:paraId="5FCC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A02895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9496B4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319593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w:t>
            </w:r>
          </w:p>
        </w:tc>
        <w:tc>
          <w:tcPr>
            <w:tcW w:w="5938" w:type="dxa"/>
            <w:noWrap w:val="0"/>
            <w:vAlign w:val="center"/>
          </w:tcPr>
          <w:p w14:paraId="7B2EA318">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应提供补偿器计划设计</w:t>
            </w:r>
          </w:p>
        </w:tc>
      </w:tr>
      <w:tr w14:paraId="1BEC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EDB90D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99FA53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93402B0">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4.3.3</w:t>
            </w:r>
          </w:p>
        </w:tc>
        <w:tc>
          <w:tcPr>
            <w:tcW w:w="5938" w:type="dxa"/>
            <w:noWrap w:val="0"/>
            <w:vAlign w:val="center"/>
          </w:tcPr>
          <w:p w14:paraId="32378C3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应提供电子线放疗计划</w:t>
            </w:r>
          </w:p>
        </w:tc>
      </w:tr>
      <w:tr w14:paraId="59937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FEF38C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2C3183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8D08C72">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4.3.4</w:t>
            </w:r>
            <w:r>
              <w:rPr>
                <w:rFonts w:hint="eastAsia" w:ascii="宋体" w:hAnsi="宋体" w:eastAsia="宋体" w:cs="宋体"/>
                <w:i w:val="0"/>
                <w:iCs w:val="0"/>
                <w:color w:val="000000"/>
                <w:kern w:val="0"/>
                <w:sz w:val="21"/>
                <w:szCs w:val="21"/>
                <w:u w:val="none"/>
                <w:lang w:val="en-US" w:eastAsia="zh-CN" w:bidi="ar"/>
              </w:rPr>
              <w:t>▲</w:t>
            </w:r>
          </w:p>
        </w:tc>
        <w:tc>
          <w:tcPr>
            <w:tcW w:w="5938" w:type="dxa"/>
            <w:noWrap w:val="0"/>
            <w:vAlign w:val="center"/>
          </w:tcPr>
          <w:p w14:paraId="5084553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应提供后装放疗计划</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500FF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1546C7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A24E86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095052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4.3.5</w:t>
            </w:r>
          </w:p>
        </w:tc>
        <w:tc>
          <w:tcPr>
            <w:tcW w:w="5938" w:type="dxa"/>
            <w:noWrap w:val="0"/>
            <w:vAlign w:val="center"/>
          </w:tcPr>
          <w:p w14:paraId="14DDE6AA">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应提供光子线放疗计划</w:t>
            </w:r>
          </w:p>
        </w:tc>
      </w:tr>
      <w:tr w14:paraId="36B8E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21BD6A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76FDA9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629C984">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4.3.6</w:t>
            </w:r>
            <w:r>
              <w:rPr>
                <w:rFonts w:hint="eastAsia" w:ascii="宋体" w:hAnsi="宋体" w:eastAsia="宋体" w:cs="宋体"/>
                <w:b/>
                <w:kern w:val="2"/>
                <w:sz w:val="21"/>
                <w:szCs w:val="21"/>
                <w:lang w:val="en-US" w:eastAsia="zh-CN" w:bidi="ar-SA"/>
              </w:rPr>
              <w:t>▲</w:t>
            </w:r>
          </w:p>
        </w:tc>
        <w:tc>
          <w:tcPr>
            <w:tcW w:w="5938" w:type="dxa"/>
            <w:noWrap w:val="0"/>
            <w:vAlign w:val="center"/>
          </w:tcPr>
          <w:p w14:paraId="5D6A5B50">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可拓展IBA质子设备放疗计划</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448E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5DA87C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D4A6E9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565053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4.3.7</w:t>
            </w:r>
          </w:p>
        </w:tc>
        <w:tc>
          <w:tcPr>
            <w:tcW w:w="5938" w:type="dxa"/>
            <w:noWrap w:val="0"/>
            <w:vAlign w:val="center"/>
          </w:tcPr>
          <w:p w14:paraId="64B43305">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应提供正向放疗计划设计</w:t>
            </w:r>
          </w:p>
        </w:tc>
      </w:tr>
      <w:tr w14:paraId="4CBCC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BACF53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7B50FD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E07BC42">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4.3.8</w:t>
            </w:r>
          </w:p>
        </w:tc>
        <w:tc>
          <w:tcPr>
            <w:tcW w:w="5938" w:type="dxa"/>
            <w:noWrap w:val="0"/>
            <w:vAlign w:val="center"/>
          </w:tcPr>
          <w:p w14:paraId="4F05C01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应提供逆向调强放疗计划设计</w:t>
            </w:r>
          </w:p>
        </w:tc>
      </w:tr>
      <w:tr w14:paraId="035B8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C08F49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F4B48C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F6A679F">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4.3.9</w:t>
            </w:r>
          </w:p>
        </w:tc>
        <w:tc>
          <w:tcPr>
            <w:tcW w:w="5938" w:type="dxa"/>
            <w:noWrap w:val="0"/>
            <w:vAlign w:val="center"/>
          </w:tcPr>
          <w:p w14:paraId="2EB99998">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应提供对固定野调强放疗计划（IMRT）的优化过程GPU加速</w:t>
            </w:r>
          </w:p>
        </w:tc>
      </w:tr>
      <w:tr w14:paraId="4F232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818CE9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511479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DBDF0DD">
            <w:pPr>
              <w:widowControl/>
              <w:numPr>
                <w:ilvl w:val="0"/>
                <w:numId w:val="0"/>
              </w:numPr>
              <w:spacing w:after="0" w:line="500" w:lineRule="exact"/>
              <w:ind w:firstLine="420" w:firstLineChars="20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kern w:val="2"/>
                <w:sz w:val="21"/>
                <w:szCs w:val="21"/>
                <w:lang w:val="en-US" w:eastAsia="zh-CN" w:bidi="ar-SA"/>
              </w:rPr>
              <w:t>4.3.10</w:t>
            </w:r>
          </w:p>
        </w:tc>
        <w:tc>
          <w:tcPr>
            <w:tcW w:w="5938" w:type="dxa"/>
            <w:noWrap w:val="0"/>
            <w:vAlign w:val="center"/>
          </w:tcPr>
          <w:p w14:paraId="156B27FF">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应提供容积旋转调强放疗技术</w:t>
            </w:r>
          </w:p>
        </w:tc>
      </w:tr>
      <w:tr w14:paraId="115B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E38B10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55D8C7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C4A9653">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4.3.11</w:t>
            </w:r>
          </w:p>
        </w:tc>
        <w:tc>
          <w:tcPr>
            <w:tcW w:w="5938" w:type="dxa"/>
            <w:noWrap w:val="0"/>
            <w:vAlign w:val="center"/>
          </w:tcPr>
          <w:p w14:paraId="6E41A02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应提供对容积旋转调强放疗计划（VMAT）的优化过程GPU加速</w:t>
            </w:r>
          </w:p>
        </w:tc>
      </w:tr>
      <w:tr w14:paraId="012E9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8ABFBF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9C5D17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12F2F52">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4.3.12</w:t>
            </w:r>
            <w:r>
              <w:rPr>
                <w:rFonts w:hint="eastAsia" w:ascii="宋体" w:hAnsi="宋体" w:eastAsia="宋体" w:cs="宋体"/>
                <w:i w:val="0"/>
                <w:iCs w:val="0"/>
                <w:color w:val="000000"/>
                <w:kern w:val="0"/>
                <w:sz w:val="21"/>
                <w:szCs w:val="21"/>
                <w:u w:val="none"/>
                <w:lang w:val="en-US" w:eastAsia="zh-CN" w:bidi="ar"/>
              </w:rPr>
              <w:t>▲</w:t>
            </w:r>
          </w:p>
        </w:tc>
        <w:tc>
          <w:tcPr>
            <w:tcW w:w="5938" w:type="dxa"/>
            <w:noWrap w:val="0"/>
            <w:vAlign w:val="center"/>
          </w:tcPr>
          <w:p w14:paraId="3BDFAEF6">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应提供采购人现</w:t>
            </w:r>
            <w:r>
              <w:rPr>
                <w:rFonts w:hint="eastAsia" w:ascii="宋体" w:hAnsi="宋体" w:cs="宋体"/>
                <w:b/>
                <w:bCs/>
                <w:i w:val="0"/>
                <w:iCs w:val="0"/>
                <w:color w:val="FF0000"/>
                <w:kern w:val="0"/>
                <w:sz w:val="21"/>
                <w:szCs w:val="21"/>
                <w:u w:val="none"/>
                <w:lang w:val="en-US" w:eastAsia="zh-CN" w:bidi="ar"/>
              </w:rPr>
              <w:t>有在用</w:t>
            </w:r>
            <w:r>
              <w:rPr>
                <w:rFonts w:hint="eastAsia" w:ascii="宋体" w:hAnsi="宋体" w:eastAsia="宋体" w:cs="宋体"/>
                <w:b/>
                <w:bCs/>
                <w:i w:val="0"/>
                <w:iCs w:val="0"/>
                <w:color w:val="FF0000"/>
                <w:kern w:val="0"/>
                <w:sz w:val="21"/>
                <w:szCs w:val="21"/>
                <w:u w:val="none"/>
                <w:lang w:val="en-US" w:eastAsia="zh-CN" w:bidi="ar"/>
              </w:rPr>
              <w:t>品牌（包括医科达、瓦里安）加速器容积旋转调强放疗计划（VMAT）</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45FD8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5181E2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9C7EF3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337EDF6">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4.3.13</w:t>
            </w:r>
          </w:p>
        </w:tc>
        <w:tc>
          <w:tcPr>
            <w:tcW w:w="5938" w:type="dxa"/>
            <w:noWrap w:val="0"/>
            <w:vAlign w:val="center"/>
          </w:tcPr>
          <w:p w14:paraId="2AE24921">
            <w:pPr>
              <w:keepNext w:val="0"/>
              <w:keepLines w:val="0"/>
              <w:widowControl/>
              <w:suppressLineNumbers w:val="0"/>
              <w:jc w:val="both"/>
              <w:textAlignment w:val="center"/>
              <w:rPr>
                <w:rFonts w:hint="eastAsia" w:ascii="宋体" w:hAnsi="宋体" w:eastAsia="宋体" w:cs="宋体"/>
                <w:b/>
                <w:bCs/>
                <w:color w:val="FF0000"/>
                <w:sz w:val="21"/>
                <w:szCs w:val="21"/>
                <w:lang w:val="en-US" w:eastAsia="zh-CN"/>
              </w:rPr>
            </w:pPr>
            <w:r>
              <w:rPr>
                <w:rFonts w:hint="eastAsia" w:ascii="宋体" w:hAnsi="宋体" w:eastAsia="宋体" w:cs="宋体"/>
                <w:b/>
                <w:bCs/>
                <w:i w:val="0"/>
                <w:iCs w:val="0"/>
                <w:color w:val="FF0000"/>
                <w:kern w:val="0"/>
                <w:sz w:val="21"/>
                <w:szCs w:val="21"/>
                <w:u w:val="none"/>
                <w:lang w:val="en-US" w:eastAsia="zh-CN" w:bidi="ar"/>
              </w:rPr>
              <w:t>应提供射野自动避让选定的危及器官功能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31A3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77FD27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7D8F38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DAF0F37">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4.3.14</w:t>
            </w:r>
          </w:p>
        </w:tc>
        <w:tc>
          <w:tcPr>
            <w:tcW w:w="5938" w:type="dxa"/>
            <w:noWrap w:val="0"/>
            <w:vAlign w:val="center"/>
          </w:tcPr>
          <w:p w14:paraId="5316704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应提供适形弧计划设计</w:t>
            </w:r>
          </w:p>
        </w:tc>
      </w:tr>
      <w:tr w14:paraId="7ED5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B18FF2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37E46C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CDE8DA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4.3.15</w:t>
            </w:r>
          </w:p>
        </w:tc>
        <w:tc>
          <w:tcPr>
            <w:tcW w:w="5938" w:type="dxa"/>
            <w:noWrap w:val="0"/>
            <w:vAlign w:val="center"/>
          </w:tcPr>
          <w:p w14:paraId="0C076965">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应提供自动优化射野衔接剂量分布功能</w:t>
            </w:r>
          </w:p>
        </w:tc>
      </w:tr>
      <w:tr w14:paraId="52CFD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765402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FF75F7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D779F3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4.3.16</w:t>
            </w:r>
          </w:p>
        </w:tc>
        <w:tc>
          <w:tcPr>
            <w:tcW w:w="5938" w:type="dxa"/>
            <w:noWrap w:val="0"/>
            <w:vAlign w:val="center"/>
          </w:tcPr>
          <w:p w14:paraId="43FBA54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应提供加载计划模板</w:t>
            </w:r>
          </w:p>
        </w:tc>
      </w:tr>
      <w:tr w14:paraId="740C3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490CEA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3D4E27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065FC7A">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4.3.17</w:t>
            </w:r>
          </w:p>
        </w:tc>
        <w:tc>
          <w:tcPr>
            <w:tcW w:w="5938" w:type="dxa"/>
            <w:noWrap w:val="0"/>
            <w:vAlign w:val="center"/>
          </w:tcPr>
          <w:p w14:paraId="348C08A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可设定射束在特定机架角度暂停出束（角度避让）</w:t>
            </w:r>
          </w:p>
        </w:tc>
      </w:tr>
      <w:tr w14:paraId="0855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C60FD8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B3533A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1FAF48F">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4.3.18</w:t>
            </w:r>
          </w:p>
        </w:tc>
        <w:tc>
          <w:tcPr>
            <w:tcW w:w="5938" w:type="dxa"/>
            <w:noWrap w:val="0"/>
            <w:vAlign w:val="center"/>
          </w:tcPr>
          <w:p w14:paraId="6F16A53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应提供优化目标模板</w:t>
            </w:r>
          </w:p>
        </w:tc>
      </w:tr>
      <w:tr w14:paraId="0426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5CF7EC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05DE33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40E0212">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4.3.19</w:t>
            </w:r>
          </w:p>
        </w:tc>
        <w:tc>
          <w:tcPr>
            <w:tcW w:w="5938" w:type="dxa"/>
            <w:noWrap w:val="0"/>
            <w:vAlign w:val="center"/>
          </w:tcPr>
          <w:p w14:paraId="6F06EFE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可在IMRT/VMAT计划优化过程中随时调整目标函数且无需停止优化</w:t>
            </w:r>
          </w:p>
        </w:tc>
      </w:tr>
      <w:tr w14:paraId="28A6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D7AC2E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10323E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7F4B00A">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4.3.20</w:t>
            </w:r>
            <w:r>
              <w:rPr>
                <w:rFonts w:hint="eastAsia" w:ascii="宋体" w:hAnsi="宋体" w:eastAsia="宋体" w:cs="宋体"/>
                <w:color w:val="000000"/>
                <w:kern w:val="2"/>
                <w:sz w:val="21"/>
                <w:szCs w:val="21"/>
                <w:lang w:val="en-US" w:eastAsia="zh-CN" w:bidi="ar"/>
              </w:rPr>
              <w:t>▲</w:t>
            </w:r>
          </w:p>
        </w:tc>
        <w:tc>
          <w:tcPr>
            <w:tcW w:w="5938" w:type="dxa"/>
            <w:noWrap w:val="0"/>
            <w:vAlign w:val="center"/>
          </w:tcPr>
          <w:p w14:paraId="76A8C69A">
            <w:pPr>
              <w:keepNext w:val="0"/>
              <w:keepLines w:val="0"/>
              <w:widowControl/>
              <w:suppressLineNumbers w:val="0"/>
              <w:jc w:val="both"/>
              <w:textAlignment w:val="center"/>
              <w:rPr>
                <w:rFonts w:hint="eastAsia" w:ascii="宋体" w:hAnsi="宋体" w:eastAsia="宋体" w:cs="宋体"/>
                <w:sz w:val="21"/>
                <w:szCs w:val="21"/>
                <w:lang w:val="en-US" w:eastAsia="zh-CN"/>
              </w:rPr>
            </w:pPr>
            <w:r>
              <w:rPr>
                <w:rFonts w:hint="eastAsia" w:ascii="宋体" w:hAnsi="宋体" w:eastAsia="宋体" w:cs="宋体"/>
                <w:b/>
                <w:bCs/>
                <w:i w:val="0"/>
                <w:iCs w:val="0"/>
                <w:color w:val="FF0000"/>
                <w:kern w:val="0"/>
                <w:sz w:val="21"/>
                <w:szCs w:val="21"/>
                <w:u w:val="none"/>
                <w:lang w:val="en-US" w:eastAsia="zh-CN" w:bidi="ar"/>
              </w:rPr>
              <w:t>在计划优化界面提供至少3种方式显示成本函数罚分：包括但不限于气泡、条状、曲线</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429C4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90F9BC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4856AC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F2B0698">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4.3.21</w:t>
            </w:r>
          </w:p>
        </w:tc>
        <w:tc>
          <w:tcPr>
            <w:tcW w:w="5938" w:type="dxa"/>
            <w:noWrap w:val="0"/>
            <w:vAlign w:val="center"/>
          </w:tcPr>
          <w:p w14:paraId="1621D415">
            <w:pPr>
              <w:keepNext w:val="0"/>
              <w:keepLines w:val="0"/>
              <w:widowControl/>
              <w:suppressLineNumbers w:val="0"/>
              <w:jc w:val="both"/>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应提供单次优化过程的最大迭代次数，不需人工设定干预限制</w:t>
            </w:r>
          </w:p>
        </w:tc>
      </w:tr>
      <w:tr w14:paraId="2723F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ACD0E0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16D0F7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2C04008">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4.3.22</w:t>
            </w:r>
          </w:p>
        </w:tc>
        <w:tc>
          <w:tcPr>
            <w:tcW w:w="5938" w:type="dxa"/>
            <w:noWrap w:val="0"/>
            <w:vAlign w:val="center"/>
          </w:tcPr>
          <w:p w14:paraId="39E93BA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提供在优化过程中实时显示函数罚分曲线功能</w:t>
            </w:r>
          </w:p>
        </w:tc>
      </w:tr>
      <w:tr w14:paraId="2A4A1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E579D5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3536D4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787A6BC">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4.3.23</w:t>
            </w:r>
          </w:p>
        </w:tc>
        <w:tc>
          <w:tcPr>
            <w:tcW w:w="5938" w:type="dxa"/>
            <w:noWrap w:val="0"/>
            <w:vAlign w:val="center"/>
          </w:tcPr>
          <w:p w14:paraId="5F9656A8">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应提供在计划优化过程中可同时显示对比计划的DVH功能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70DBC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F1E800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5280D3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659F017">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4.3.24</w:t>
            </w:r>
          </w:p>
        </w:tc>
        <w:tc>
          <w:tcPr>
            <w:tcW w:w="5938" w:type="dxa"/>
            <w:noWrap w:val="0"/>
            <w:vAlign w:val="center"/>
          </w:tcPr>
          <w:p w14:paraId="760DA8EA">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应提供在单个计划中同时优化≥2个等中心的计划，并在射野重叠的地方创建平滑的剂量梯度功能</w:t>
            </w:r>
          </w:p>
        </w:tc>
      </w:tr>
      <w:tr w14:paraId="24C5F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129CE5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C5CCAF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70A191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4.3.25</w:t>
            </w:r>
          </w:p>
        </w:tc>
        <w:tc>
          <w:tcPr>
            <w:tcW w:w="5938" w:type="dxa"/>
            <w:noWrap w:val="0"/>
            <w:vAlign w:val="center"/>
          </w:tcPr>
          <w:p w14:paraId="7F500E8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应提供当两个相邻等中心距离大于3cm时，将自动开启多中心计划自动平滑功能。（投标时提供能体现该技术参数要求且清晰可辨的技术白皮书扫描件或使用界面截图）</w:t>
            </w:r>
          </w:p>
        </w:tc>
      </w:tr>
      <w:tr w14:paraId="16E83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DC9916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E9A187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17218A0">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4.3.26</w:t>
            </w:r>
          </w:p>
        </w:tc>
        <w:tc>
          <w:tcPr>
            <w:tcW w:w="5938" w:type="dxa"/>
            <w:noWrap w:val="0"/>
            <w:vAlign w:val="center"/>
          </w:tcPr>
          <w:p w14:paraId="669168F7">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应提供多中心计划自动平滑功能，提供手动打开和关闭此功能</w:t>
            </w:r>
          </w:p>
        </w:tc>
      </w:tr>
      <w:tr w14:paraId="535C3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AC4217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66FADA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89FD84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4.3.27</w:t>
            </w:r>
            <w:r>
              <w:rPr>
                <w:rFonts w:hint="eastAsia" w:ascii="宋体" w:hAnsi="宋体" w:eastAsia="宋体" w:cs="宋体"/>
                <w:color w:val="000000"/>
                <w:kern w:val="2"/>
                <w:sz w:val="21"/>
                <w:szCs w:val="21"/>
                <w:lang w:val="en-US" w:eastAsia="zh-CN" w:bidi="ar"/>
              </w:rPr>
              <w:t>▲</w:t>
            </w:r>
          </w:p>
        </w:tc>
        <w:tc>
          <w:tcPr>
            <w:tcW w:w="5938" w:type="dxa"/>
            <w:noWrap w:val="0"/>
            <w:vAlign w:val="center"/>
          </w:tcPr>
          <w:p w14:paraId="6E75E3B8">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应提供在VMAT计划优化开始前，检查旋转计划中的当前射野几何结构对靶区结构的覆盖程度功能（投标时提供能体现该技术参数要求且清晰可辨的技术白皮书扫描件或</w:t>
            </w:r>
            <w:r>
              <w:rPr>
                <w:rFonts w:hint="eastAsia" w:ascii="宋体" w:hAnsi="宋体" w:cs="宋体"/>
                <w:b/>
                <w:bCs/>
                <w:i w:val="0"/>
                <w:iCs w:val="0"/>
                <w:color w:val="FF0000"/>
                <w:kern w:val="0"/>
                <w:sz w:val="21"/>
                <w:szCs w:val="21"/>
                <w:u w:val="none"/>
                <w:lang w:val="en-US" w:eastAsia="zh-CN" w:bidi="ar"/>
              </w:rPr>
              <w:t>使用界面截图</w:t>
            </w:r>
            <w:r>
              <w:rPr>
                <w:rFonts w:hint="eastAsia" w:ascii="宋体" w:hAnsi="宋体" w:eastAsia="宋体" w:cs="宋体"/>
                <w:b/>
                <w:bCs/>
                <w:i w:val="0"/>
                <w:iCs w:val="0"/>
                <w:color w:val="FF0000"/>
                <w:kern w:val="0"/>
                <w:sz w:val="21"/>
                <w:szCs w:val="21"/>
                <w:u w:val="none"/>
                <w:lang w:val="en-US" w:eastAsia="zh-CN" w:bidi="ar"/>
              </w:rPr>
              <w:t>）</w:t>
            </w:r>
          </w:p>
        </w:tc>
      </w:tr>
      <w:tr w14:paraId="577B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2BE47E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45E768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71F3F44">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4.3.28</w:t>
            </w:r>
            <w:r>
              <w:rPr>
                <w:rFonts w:hint="eastAsia" w:ascii="宋体" w:hAnsi="宋体" w:eastAsia="宋体" w:cs="宋体"/>
                <w:color w:val="000000"/>
                <w:kern w:val="2"/>
                <w:sz w:val="21"/>
                <w:szCs w:val="21"/>
                <w:lang w:val="en-US" w:eastAsia="zh-CN" w:bidi="ar"/>
              </w:rPr>
              <w:t>▲</w:t>
            </w:r>
          </w:p>
        </w:tc>
        <w:tc>
          <w:tcPr>
            <w:tcW w:w="5938" w:type="dxa"/>
            <w:noWrap w:val="0"/>
            <w:vAlign w:val="center"/>
          </w:tcPr>
          <w:p w14:paraId="1DE06F09">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应支持在VMAT计划优化开始前，以数字百分比的方式显示具体射野对靶区覆盖程度（投标时提供能体现该技术参数要求且清晰可辨的技术白皮书扫描件或</w:t>
            </w:r>
            <w:r>
              <w:rPr>
                <w:rFonts w:hint="eastAsia" w:ascii="宋体" w:hAnsi="宋体" w:cs="宋体"/>
                <w:b/>
                <w:bCs/>
                <w:i w:val="0"/>
                <w:iCs w:val="0"/>
                <w:color w:val="FF0000"/>
                <w:kern w:val="0"/>
                <w:sz w:val="21"/>
                <w:szCs w:val="21"/>
                <w:u w:val="none"/>
                <w:lang w:val="en-US" w:eastAsia="zh-CN" w:bidi="ar"/>
              </w:rPr>
              <w:t>使用界面截图</w:t>
            </w:r>
            <w:r>
              <w:rPr>
                <w:rFonts w:hint="eastAsia" w:ascii="宋体" w:hAnsi="宋体" w:eastAsia="宋体" w:cs="宋体"/>
                <w:b/>
                <w:bCs/>
                <w:i w:val="0"/>
                <w:iCs w:val="0"/>
                <w:color w:val="FF0000"/>
                <w:kern w:val="0"/>
                <w:sz w:val="21"/>
                <w:szCs w:val="21"/>
                <w:u w:val="none"/>
                <w:lang w:val="en-US" w:eastAsia="zh-CN" w:bidi="ar"/>
              </w:rPr>
              <w:t>）</w:t>
            </w:r>
          </w:p>
        </w:tc>
      </w:tr>
      <w:tr w14:paraId="404F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6FD518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B32FB4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FDE7B5B">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4.3.29</w:t>
            </w:r>
          </w:p>
        </w:tc>
        <w:tc>
          <w:tcPr>
            <w:tcW w:w="5938" w:type="dxa"/>
            <w:noWrap w:val="0"/>
            <w:vAlign w:val="center"/>
          </w:tcPr>
          <w:p w14:paraId="744A4BD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提供以颜色方式直观展示靶区覆盖程度功能</w:t>
            </w:r>
          </w:p>
        </w:tc>
      </w:tr>
      <w:tr w14:paraId="33B1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FC62A2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40C11A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04BFFB7">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4.3.30</w:t>
            </w:r>
            <w:r>
              <w:rPr>
                <w:rFonts w:hint="eastAsia" w:ascii="宋体" w:hAnsi="宋体" w:eastAsia="宋体" w:cs="宋体"/>
                <w:i w:val="0"/>
                <w:iCs w:val="0"/>
                <w:color w:val="000000"/>
                <w:kern w:val="0"/>
                <w:sz w:val="21"/>
                <w:szCs w:val="21"/>
                <w:u w:val="none"/>
                <w:lang w:val="en-US" w:eastAsia="zh-CN" w:bidi="ar"/>
              </w:rPr>
              <w:t>▲</w:t>
            </w:r>
          </w:p>
        </w:tc>
        <w:tc>
          <w:tcPr>
            <w:tcW w:w="5938" w:type="dxa"/>
            <w:noWrap w:val="0"/>
            <w:vAlign w:val="center"/>
          </w:tcPr>
          <w:p w14:paraId="609AC5C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应提供制定光子束外照射，包括三维适形、固定野调强（动态和静态调强）、容积调强（或旋转调强）、立体定向和电子束外照射以及近距离照射（铱192源）放射治疗计划。</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7E033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FF3E3D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F5B0AD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DFF4C46">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4.3.31</w:t>
            </w:r>
          </w:p>
        </w:tc>
        <w:tc>
          <w:tcPr>
            <w:tcW w:w="5938" w:type="dxa"/>
            <w:noWrap w:val="0"/>
            <w:vAlign w:val="center"/>
          </w:tcPr>
          <w:p w14:paraId="391B53D8">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应提供计划目标设定比较表：至少支持设定最大剂量（Dmax）、最小剂量(Dmin)、平均剂量(Dmean)、体积剂量、剂量体积、CI(适形指数)、梯度指数（或梯度测量）</w:t>
            </w:r>
          </w:p>
        </w:tc>
      </w:tr>
      <w:tr w14:paraId="7EE6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F93E98E">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51153F2F">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275BFF0B">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4.4</w:t>
            </w:r>
          </w:p>
        </w:tc>
        <w:tc>
          <w:tcPr>
            <w:tcW w:w="5938" w:type="dxa"/>
            <w:noWrap w:val="0"/>
            <w:vAlign w:val="center"/>
          </w:tcPr>
          <w:p w14:paraId="48D1DB26">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剂量计算</w:t>
            </w:r>
          </w:p>
        </w:tc>
      </w:tr>
      <w:tr w14:paraId="1F355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2C089D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172D4E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48C6F9A3">
            <w:pPr>
              <w:widowControl/>
              <w:numPr>
                <w:ilvl w:val="0"/>
                <w:numId w:val="0"/>
              </w:numPr>
              <w:spacing w:after="0" w:line="500" w:lineRule="exact"/>
              <w:ind w:firstLine="420" w:firstLineChars="200"/>
              <w:jc w:val="center"/>
              <w:rPr>
                <w:rFonts w:hint="eastAsia" w:ascii="宋体" w:hAnsi="宋体" w:eastAsia="宋体" w:cs="宋体"/>
                <w:color w:val="FF0000"/>
                <w:kern w:val="2"/>
                <w:sz w:val="21"/>
                <w:szCs w:val="21"/>
                <w:lang w:val="en-US" w:eastAsia="zh-CN" w:bidi="ar-SA"/>
              </w:rPr>
            </w:pPr>
            <w:r>
              <w:rPr>
                <w:rFonts w:hint="eastAsia" w:ascii="宋体" w:hAnsi="宋体" w:eastAsia="宋体" w:cs="宋体"/>
                <w:color w:val="auto"/>
                <w:kern w:val="2"/>
                <w:sz w:val="21"/>
                <w:szCs w:val="21"/>
                <w:lang w:val="en-US" w:eastAsia="zh-CN" w:bidi="ar-SA"/>
              </w:rPr>
              <w:t>4.4.1</w:t>
            </w:r>
          </w:p>
        </w:tc>
        <w:tc>
          <w:tcPr>
            <w:tcW w:w="5938" w:type="dxa"/>
            <w:noWrap w:val="0"/>
            <w:vAlign w:val="center"/>
          </w:tcPr>
          <w:p w14:paraId="1057E541">
            <w:pPr>
              <w:widowControl/>
              <w:spacing w:line="500" w:lineRule="exact"/>
              <w:rPr>
                <w:rFonts w:hint="eastAsia" w:ascii="宋体" w:hAnsi="宋体" w:eastAsia="宋体" w:cs="宋体"/>
                <w:color w:val="FF0000"/>
                <w:sz w:val="21"/>
                <w:szCs w:val="21"/>
              </w:rPr>
            </w:pPr>
            <w:r>
              <w:rPr>
                <w:rFonts w:hint="eastAsia" w:ascii="宋体" w:hAnsi="宋体" w:eastAsia="宋体" w:cs="宋体"/>
                <w:sz w:val="21"/>
                <w:szCs w:val="21"/>
              </w:rPr>
              <w:t>应</w:t>
            </w:r>
            <w:r>
              <w:rPr>
                <w:rFonts w:hint="eastAsia" w:ascii="宋体" w:hAnsi="宋体" w:eastAsia="宋体" w:cs="宋体"/>
                <w:sz w:val="21"/>
                <w:szCs w:val="21"/>
                <w:lang w:eastAsia="zh-CN"/>
              </w:rPr>
              <w:t>提供</w:t>
            </w:r>
            <w:r>
              <w:rPr>
                <w:rFonts w:hint="eastAsia" w:ascii="宋体" w:hAnsi="宋体" w:eastAsia="宋体" w:cs="宋体"/>
                <w:sz w:val="21"/>
                <w:szCs w:val="21"/>
              </w:rPr>
              <w:t>蒙特卡洛精度的光子剂量计算算法</w:t>
            </w:r>
          </w:p>
        </w:tc>
      </w:tr>
      <w:tr w14:paraId="0C10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873885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BAA9E1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4658D77">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4.4.2</w:t>
            </w:r>
            <w:r>
              <w:rPr>
                <w:rFonts w:hint="eastAsia" w:ascii="宋体" w:hAnsi="宋体" w:eastAsia="宋体" w:cs="宋体"/>
                <w:color w:val="000000"/>
                <w:kern w:val="2"/>
                <w:sz w:val="21"/>
                <w:szCs w:val="21"/>
                <w:lang w:val="en-US" w:eastAsia="zh-CN" w:bidi="ar"/>
              </w:rPr>
              <w:t>▲</w:t>
            </w:r>
          </w:p>
        </w:tc>
        <w:tc>
          <w:tcPr>
            <w:tcW w:w="5938" w:type="dxa"/>
            <w:noWrap w:val="0"/>
            <w:vAlign w:val="center"/>
          </w:tcPr>
          <w:p w14:paraId="62012B6E">
            <w:pPr>
              <w:widowControl/>
              <w:spacing w:line="500" w:lineRule="exact"/>
              <w:rPr>
                <w:rFonts w:hint="eastAsia" w:ascii="宋体" w:hAnsi="宋体" w:eastAsia="宋体" w:cs="宋体"/>
                <w:sz w:val="21"/>
                <w:szCs w:val="21"/>
              </w:rPr>
            </w:pPr>
            <w:r>
              <w:rPr>
                <w:rFonts w:hint="eastAsia" w:ascii="宋体" w:hAnsi="宋体" w:eastAsia="宋体" w:cs="宋体"/>
                <w:b/>
                <w:bCs/>
                <w:color w:val="FF0000"/>
                <w:sz w:val="21"/>
                <w:szCs w:val="21"/>
              </w:rPr>
              <w:t>应</w:t>
            </w:r>
            <w:r>
              <w:rPr>
                <w:rFonts w:hint="eastAsia" w:ascii="宋体" w:hAnsi="宋体" w:eastAsia="宋体" w:cs="宋体"/>
                <w:b/>
                <w:bCs/>
                <w:color w:val="FF0000"/>
                <w:sz w:val="21"/>
                <w:szCs w:val="21"/>
                <w:lang w:eastAsia="zh-CN"/>
              </w:rPr>
              <w:t>提供</w:t>
            </w:r>
            <w:r>
              <w:rPr>
                <w:rFonts w:hint="eastAsia" w:ascii="宋体" w:hAnsi="宋体" w:eastAsia="宋体" w:cs="宋体"/>
                <w:b/>
                <w:bCs/>
                <w:color w:val="FF0000"/>
                <w:sz w:val="21"/>
                <w:szCs w:val="21"/>
              </w:rPr>
              <w:t>电子线剂量计算应支持蒙特卡洛精度算法</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0C91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D42CD2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B54F05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7A85FC6B">
            <w:pPr>
              <w:widowControl/>
              <w:numPr>
                <w:ilvl w:val="0"/>
                <w:numId w:val="0"/>
              </w:numPr>
              <w:spacing w:after="0" w:line="500" w:lineRule="exact"/>
              <w:ind w:firstLine="420" w:firstLineChars="200"/>
              <w:jc w:val="center"/>
              <w:rPr>
                <w:rFonts w:hint="eastAsia" w:ascii="宋体" w:hAnsi="宋体" w:eastAsia="宋体" w:cs="宋体"/>
                <w:color w:val="FF0000"/>
                <w:kern w:val="2"/>
                <w:sz w:val="21"/>
                <w:szCs w:val="21"/>
                <w:lang w:val="en-US" w:eastAsia="zh-CN" w:bidi="ar-SA"/>
              </w:rPr>
            </w:pPr>
            <w:r>
              <w:rPr>
                <w:rFonts w:hint="eastAsia" w:ascii="宋体" w:hAnsi="宋体" w:eastAsia="宋体" w:cs="宋体"/>
                <w:color w:val="auto"/>
                <w:kern w:val="2"/>
                <w:sz w:val="21"/>
                <w:szCs w:val="21"/>
                <w:lang w:val="en-US" w:eastAsia="zh-CN" w:bidi="ar-SA"/>
              </w:rPr>
              <w:t>4.4.3</w:t>
            </w:r>
          </w:p>
        </w:tc>
        <w:tc>
          <w:tcPr>
            <w:tcW w:w="5938" w:type="dxa"/>
            <w:noWrap w:val="0"/>
            <w:vAlign w:val="center"/>
          </w:tcPr>
          <w:p w14:paraId="5ED13DD9">
            <w:pPr>
              <w:widowControl/>
              <w:spacing w:line="500" w:lineRule="exact"/>
              <w:rPr>
                <w:rFonts w:hint="eastAsia" w:ascii="宋体" w:hAnsi="宋体" w:eastAsia="宋体" w:cs="宋体"/>
                <w:color w:val="FF0000"/>
                <w:sz w:val="21"/>
                <w:szCs w:val="21"/>
                <w:lang w:val="en-US" w:eastAsia="zh-CN"/>
              </w:rPr>
            </w:pPr>
            <w:r>
              <w:rPr>
                <w:rFonts w:hint="eastAsia" w:ascii="宋体" w:hAnsi="宋体" w:eastAsia="宋体" w:cs="宋体"/>
                <w:sz w:val="21"/>
                <w:szCs w:val="21"/>
              </w:rPr>
              <w:t>应</w:t>
            </w:r>
            <w:r>
              <w:rPr>
                <w:rFonts w:hint="eastAsia" w:ascii="宋体" w:hAnsi="宋体" w:eastAsia="宋体" w:cs="宋体"/>
                <w:sz w:val="21"/>
                <w:szCs w:val="21"/>
                <w:lang w:eastAsia="zh-CN"/>
              </w:rPr>
              <w:t>提供</w:t>
            </w:r>
            <w:r>
              <w:rPr>
                <w:rFonts w:hint="eastAsia" w:ascii="宋体" w:hAnsi="宋体" w:eastAsia="宋体" w:cs="宋体"/>
                <w:sz w:val="21"/>
                <w:szCs w:val="21"/>
              </w:rPr>
              <w:t>GPU对IMRT和VAMT计划剂量计算加速</w:t>
            </w:r>
            <w:r>
              <w:rPr>
                <w:rFonts w:hint="eastAsia" w:ascii="宋体" w:hAnsi="宋体" w:eastAsia="宋体" w:cs="宋体"/>
                <w:sz w:val="21"/>
                <w:szCs w:val="21"/>
                <w:lang w:val="en-US" w:eastAsia="zh-CN"/>
              </w:rPr>
              <w:t>功能</w:t>
            </w:r>
          </w:p>
        </w:tc>
      </w:tr>
      <w:tr w14:paraId="3FFE2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93097AC">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2C25C943">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6C4127BA">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4.5</w:t>
            </w:r>
          </w:p>
        </w:tc>
        <w:tc>
          <w:tcPr>
            <w:tcW w:w="5938" w:type="dxa"/>
            <w:noWrap w:val="0"/>
            <w:vAlign w:val="center"/>
          </w:tcPr>
          <w:p w14:paraId="68D6AECB">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计划评估</w:t>
            </w:r>
          </w:p>
        </w:tc>
      </w:tr>
      <w:tr w14:paraId="5AC2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70563A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8DE458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9384CA1">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w:t>
            </w:r>
          </w:p>
        </w:tc>
        <w:tc>
          <w:tcPr>
            <w:tcW w:w="5938" w:type="dxa"/>
            <w:noWrap w:val="0"/>
            <w:vAlign w:val="center"/>
          </w:tcPr>
          <w:p w14:paraId="437404A5">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应提供并排计划剂量分布比较功能</w:t>
            </w:r>
          </w:p>
        </w:tc>
      </w:tr>
      <w:tr w14:paraId="6AF1B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816A27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7DADC7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8ABCD28">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4.5.2</w:t>
            </w:r>
          </w:p>
        </w:tc>
        <w:tc>
          <w:tcPr>
            <w:tcW w:w="5938" w:type="dxa"/>
            <w:noWrap w:val="0"/>
            <w:vAlign w:val="center"/>
          </w:tcPr>
          <w:p w14:paraId="08466EF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个结构、</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个计划的DVH比较功能</w:t>
            </w:r>
          </w:p>
        </w:tc>
      </w:tr>
      <w:tr w14:paraId="281E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F5BA7A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089B7E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4AAB14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4.5.3</w:t>
            </w:r>
          </w:p>
        </w:tc>
        <w:tc>
          <w:tcPr>
            <w:tcW w:w="5938" w:type="dxa"/>
            <w:noWrap w:val="0"/>
            <w:vAlign w:val="center"/>
          </w:tcPr>
          <w:p w14:paraId="7FC22445">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应提供外照射计划的叠加和相减功能</w:t>
            </w:r>
          </w:p>
        </w:tc>
      </w:tr>
      <w:tr w14:paraId="1C67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6B9D4E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69BF8C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808A779">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4.5.4</w:t>
            </w:r>
          </w:p>
        </w:tc>
        <w:tc>
          <w:tcPr>
            <w:tcW w:w="5938" w:type="dxa"/>
            <w:noWrap w:val="0"/>
            <w:vAlign w:val="center"/>
          </w:tcPr>
          <w:p w14:paraId="7E655F22">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b w:val="0"/>
                <w:bCs w:val="0"/>
                <w:i w:val="0"/>
                <w:iCs w:val="0"/>
                <w:color w:val="000000"/>
                <w:kern w:val="0"/>
                <w:sz w:val="21"/>
                <w:szCs w:val="21"/>
                <w:u w:val="none"/>
                <w:lang w:val="en-US" w:eastAsia="zh-CN" w:bidi="ar"/>
              </w:rPr>
              <w:t>应提供近距离治疗计划的叠加和相减功能</w:t>
            </w:r>
          </w:p>
        </w:tc>
      </w:tr>
      <w:tr w14:paraId="52EB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706866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2A703D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2167B78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4.5.5</w:t>
            </w:r>
          </w:p>
        </w:tc>
        <w:tc>
          <w:tcPr>
            <w:tcW w:w="5938" w:type="dxa"/>
            <w:noWrap w:val="0"/>
            <w:vAlign w:val="center"/>
          </w:tcPr>
          <w:p w14:paraId="7906540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应提供外照射计划的鲁棒性评估功能</w:t>
            </w:r>
            <w:r>
              <w:rPr>
                <w:rFonts w:hint="eastAsia" w:ascii="宋体" w:hAnsi="宋体" w:eastAsia="宋体" w:cs="宋体"/>
                <w:b/>
                <w:bCs/>
                <w:i w:val="0"/>
                <w:iCs w:val="0"/>
                <w:color w:val="FF0000"/>
                <w:kern w:val="2"/>
                <w:sz w:val="21"/>
                <w:szCs w:val="21"/>
                <w:u w:val="none"/>
                <w:lang w:val="en-US" w:eastAsia="zh-CN" w:bidi="ar"/>
              </w:rPr>
              <w:t>（</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r>
              <w:rPr>
                <w:rFonts w:hint="eastAsia" w:ascii="宋体" w:hAnsi="宋体" w:eastAsia="宋体" w:cs="宋体"/>
                <w:b/>
                <w:bCs/>
                <w:i w:val="0"/>
                <w:iCs w:val="0"/>
                <w:color w:val="FF0000"/>
                <w:kern w:val="2"/>
                <w:sz w:val="21"/>
                <w:szCs w:val="21"/>
                <w:u w:val="none"/>
                <w:lang w:val="en-US" w:eastAsia="zh-CN" w:bidi="ar"/>
              </w:rPr>
              <w:t>）</w:t>
            </w:r>
          </w:p>
        </w:tc>
      </w:tr>
      <w:tr w14:paraId="7D3D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8" w:type="dxa"/>
            <w:vMerge w:val="continue"/>
            <w:noWrap w:val="0"/>
            <w:vAlign w:val="center"/>
          </w:tcPr>
          <w:p w14:paraId="23D8EEA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005D4A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1994B488">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4.5.6</w:t>
            </w:r>
          </w:p>
        </w:tc>
        <w:tc>
          <w:tcPr>
            <w:tcW w:w="5938" w:type="dxa"/>
            <w:noWrap w:val="0"/>
            <w:vAlign w:val="center"/>
          </w:tcPr>
          <w:p w14:paraId="2162EAB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应提供电子计划批准功能</w:t>
            </w:r>
          </w:p>
        </w:tc>
      </w:tr>
      <w:tr w14:paraId="06C8E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92E2C6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F65AD8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630809B2">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4.5.7</w:t>
            </w:r>
            <w:r>
              <w:rPr>
                <w:rFonts w:hint="eastAsia" w:ascii="宋体" w:hAnsi="宋体" w:eastAsia="宋体" w:cs="宋体"/>
                <w:kern w:val="2"/>
                <w:sz w:val="21"/>
                <w:szCs w:val="21"/>
                <w:lang w:val="en-US" w:eastAsia="zh-CN" w:bidi="ar-SA"/>
              </w:rPr>
              <w:t>▲</w:t>
            </w:r>
          </w:p>
        </w:tc>
        <w:tc>
          <w:tcPr>
            <w:tcW w:w="5938" w:type="dxa"/>
            <w:noWrap w:val="0"/>
            <w:vAlign w:val="center"/>
          </w:tcPr>
          <w:p w14:paraId="4D54B7EE">
            <w:pPr>
              <w:widowControl/>
              <w:spacing w:line="500" w:lineRule="exact"/>
              <w:ind w:right="-50" w:rightChars="-24"/>
              <w:rPr>
                <w:rFonts w:hint="eastAsia" w:ascii="宋体" w:hAnsi="宋体" w:eastAsia="宋体" w:cs="宋体"/>
                <w:sz w:val="21"/>
                <w:szCs w:val="21"/>
                <w:lang w:eastAsia="zh-CN"/>
              </w:rPr>
            </w:pPr>
            <w:r>
              <w:rPr>
                <w:rFonts w:hint="eastAsia" w:ascii="宋体" w:hAnsi="宋体" w:eastAsia="宋体" w:cs="宋体"/>
                <w:b/>
                <w:bCs/>
                <w:color w:val="FF0000"/>
                <w:sz w:val="21"/>
                <w:szCs w:val="21"/>
              </w:rPr>
              <w:t>应提供后装计划的剂量评估功能</w:t>
            </w:r>
            <w:r>
              <w:rPr>
                <w:rFonts w:hint="eastAsia" w:ascii="宋体" w:hAnsi="宋体" w:cs="宋体"/>
                <w:b/>
                <w:bCs/>
                <w:color w:val="FF0000"/>
                <w:sz w:val="21"/>
                <w:szCs w:val="21"/>
                <w:lang w:eastAsia="zh-CN"/>
              </w:rPr>
              <w:t>（投标时提供能体现该技术参数要求且清晰可辨的技术白皮书或产品技术说明或产品彩页扫描件）</w:t>
            </w:r>
          </w:p>
        </w:tc>
      </w:tr>
      <w:tr w14:paraId="3D28E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44F1F2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4AE2BC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DAD7586">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4.5.8</w:t>
            </w:r>
          </w:p>
        </w:tc>
        <w:tc>
          <w:tcPr>
            <w:tcW w:w="5938" w:type="dxa"/>
            <w:noWrap w:val="0"/>
            <w:vAlign w:val="center"/>
          </w:tcPr>
          <w:p w14:paraId="5C1E833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应提供后装与光子计划的剂量叠加评估功能</w:t>
            </w:r>
          </w:p>
        </w:tc>
      </w:tr>
      <w:tr w14:paraId="4832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699984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8B89AE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B8CA200">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4.5.9</w:t>
            </w:r>
          </w:p>
        </w:tc>
        <w:tc>
          <w:tcPr>
            <w:tcW w:w="5938" w:type="dxa"/>
            <w:noWrap w:val="0"/>
            <w:vAlign w:val="center"/>
          </w:tcPr>
          <w:p w14:paraId="6F6B2567">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应支持对单一计划进行评估功能；</w:t>
            </w:r>
          </w:p>
        </w:tc>
      </w:tr>
      <w:tr w14:paraId="5AB2B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3EB118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6B2F91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5A7E91AD">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4.5.10</w:t>
            </w:r>
          </w:p>
        </w:tc>
        <w:tc>
          <w:tcPr>
            <w:tcW w:w="5938" w:type="dxa"/>
            <w:noWrap w:val="0"/>
            <w:vAlign w:val="center"/>
          </w:tcPr>
          <w:p w14:paraId="2F22ED2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应提供对2个计划同时进行比较和评估功能；</w:t>
            </w:r>
          </w:p>
        </w:tc>
      </w:tr>
      <w:tr w14:paraId="08FF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F2CDBB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A2D930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02E2284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4.5.11</w:t>
            </w:r>
          </w:p>
        </w:tc>
        <w:tc>
          <w:tcPr>
            <w:tcW w:w="5938" w:type="dxa"/>
            <w:noWrap w:val="0"/>
            <w:vAlign w:val="center"/>
          </w:tcPr>
          <w:p w14:paraId="48F68BC8">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应提供在同一张图表中可同时显示两组DVH功能；</w:t>
            </w:r>
          </w:p>
        </w:tc>
      </w:tr>
      <w:tr w14:paraId="6D6C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B507F7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36DF29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715293B">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4.5.12</w:t>
            </w:r>
          </w:p>
        </w:tc>
        <w:tc>
          <w:tcPr>
            <w:tcW w:w="5938" w:type="dxa"/>
            <w:noWrap w:val="0"/>
            <w:vAlign w:val="center"/>
          </w:tcPr>
          <w:p w14:paraId="4839282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应提供获取DVH线上任意一点的坐标功能；</w:t>
            </w:r>
          </w:p>
        </w:tc>
      </w:tr>
      <w:tr w14:paraId="439C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A896CB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5E58CE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862" w:type="dxa"/>
            <w:noWrap w:val="0"/>
            <w:vAlign w:val="center"/>
          </w:tcPr>
          <w:p w14:paraId="32BBC7A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4.5.13</w:t>
            </w:r>
          </w:p>
        </w:tc>
        <w:tc>
          <w:tcPr>
            <w:tcW w:w="5938" w:type="dxa"/>
            <w:noWrap w:val="0"/>
            <w:vAlign w:val="center"/>
          </w:tcPr>
          <w:p w14:paraId="767FB767">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应提供等剂量线和剂量云等方式可视化剂量分布功能</w:t>
            </w:r>
          </w:p>
        </w:tc>
      </w:tr>
      <w:tr w14:paraId="4A855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7B22169">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6FFA72FE">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32FF8D75">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w:t>
            </w:r>
          </w:p>
        </w:tc>
        <w:tc>
          <w:tcPr>
            <w:tcW w:w="5938" w:type="dxa"/>
            <w:noWrap w:val="0"/>
            <w:vAlign w:val="center"/>
          </w:tcPr>
          <w:p w14:paraId="69ED54F4">
            <w:pPr>
              <w:widowControl/>
              <w:spacing w:line="500" w:lineRule="exact"/>
              <w:rPr>
                <w:rFonts w:hint="eastAsia" w:ascii="宋体" w:hAnsi="宋体" w:eastAsia="宋体" w:cs="宋体"/>
                <w:sz w:val="21"/>
                <w:szCs w:val="21"/>
              </w:rPr>
            </w:pPr>
            <w:r>
              <w:rPr>
                <w:rFonts w:hint="eastAsia" w:ascii="宋体" w:hAnsi="宋体" w:eastAsia="宋体" w:cs="宋体"/>
                <w:b/>
                <w:bCs/>
                <w:sz w:val="21"/>
                <w:szCs w:val="21"/>
              </w:rPr>
              <w:t>自动计划</w:t>
            </w:r>
          </w:p>
        </w:tc>
      </w:tr>
      <w:tr w14:paraId="2B26F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F8978AC">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43572962">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62E72036">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4.6.1</w:t>
            </w:r>
          </w:p>
        </w:tc>
        <w:tc>
          <w:tcPr>
            <w:tcW w:w="5938" w:type="dxa"/>
            <w:noWrap w:val="0"/>
            <w:vAlign w:val="center"/>
          </w:tcPr>
          <w:p w14:paraId="71DDCCC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▲应提供自动放疗计划设计，预置DVH预测模型，通过DVH预测自动生成相关优化目标 ，支持在DVH预估模型中定义多靶区剂量水平，支持多中心光子自动计划模型，支持模型的训练、分析和验证功能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02B2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08932AA">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16C15E23">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0E051F87">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4.6.2</w:t>
            </w:r>
          </w:p>
        </w:tc>
        <w:tc>
          <w:tcPr>
            <w:tcW w:w="5938" w:type="dxa"/>
            <w:noWrap w:val="0"/>
            <w:vAlign w:val="center"/>
          </w:tcPr>
          <w:p w14:paraId="52DA3634">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提供创建新的DVH预测模型功能</w:t>
            </w:r>
          </w:p>
        </w:tc>
      </w:tr>
      <w:tr w14:paraId="7671E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83D6830">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3DA60069">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5AD52580">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4.6.3</w:t>
            </w:r>
          </w:p>
        </w:tc>
        <w:tc>
          <w:tcPr>
            <w:tcW w:w="5938" w:type="dxa"/>
            <w:noWrap w:val="0"/>
            <w:vAlign w:val="center"/>
          </w:tcPr>
          <w:p w14:paraId="2F814F42">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提供模型导入、导出功能</w:t>
            </w:r>
          </w:p>
        </w:tc>
      </w:tr>
      <w:tr w14:paraId="500F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9A76532">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44A10A53">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723E4807">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4.6.4</w:t>
            </w:r>
          </w:p>
        </w:tc>
        <w:tc>
          <w:tcPr>
            <w:tcW w:w="5938" w:type="dxa"/>
            <w:noWrap w:val="0"/>
            <w:vAlign w:val="center"/>
          </w:tcPr>
          <w:p w14:paraId="5BC3E62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提供支持使用DVH Printout类型专业工具将DVH预估值与最终的DVH结果一起打印出来功能</w:t>
            </w:r>
          </w:p>
        </w:tc>
      </w:tr>
      <w:tr w14:paraId="02EF1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E7C700B">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68D360F4">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1993F980">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w:t>
            </w:r>
          </w:p>
        </w:tc>
        <w:tc>
          <w:tcPr>
            <w:tcW w:w="5938" w:type="dxa"/>
            <w:noWrap w:val="0"/>
            <w:vAlign w:val="center"/>
          </w:tcPr>
          <w:p w14:paraId="364407BC">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应用程序接口（API）</w:t>
            </w:r>
          </w:p>
        </w:tc>
      </w:tr>
      <w:tr w14:paraId="55B6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23F53F7">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436F383B">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3AF515CB">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4.7.1</w:t>
            </w:r>
          </w:p>
        </w:tc>
        <w:tc>
          <w:tcPr>
            <w:tcW w:w="5938" w:type="dxa"/>
            <w:noWrap w:val="0"/>
            <w:vAlign w:val="center"/>
          </w:tcPr>
          <w:p w14:paraId="0535103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应提供官方API程序编写文档</w:t>
            </w:r>
          </w:p>
        </w:tc>
      </w:tr>
      <w:tr w14:paraId="63DC0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528BD2C">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3BCA1C53">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576952E3">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4.7.2</w:t>
            </w:r>
          </w:p>
        </w:tc>
        <w:tc>
          <w:tcPr>
            <w:tcW w:w="5938" w:type="dxa"/>
            <w:noWrap w:val="0"/>
            <w:vAlign w:val="center"/>
          </w:tcPr>
          <w:p w14:paraId="54EFCE7E">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应用程序接口应支持计划、DVH、剂量、结构和图像数据的访问</w:t>
            </w:r>
          </w:p>
        </w:tc>
      </w:tr>
      <w:tr w14:paraId="7C40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AD8E070">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27612A4B">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3EE7E788">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4.7.3</w:t>
            </w:r>
          </w:p>
        </w:tc>
        <w:tc>
          <w:tcPr>
            <w:tcW w:w="5938" w:type="dxa"/>
            <w:noWrap w:val="0"/>
            <w:vAlign w:val="center"/>
          </w:tcPr>
          <w:p w14:paraId="304E311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应提供优化目标、参数和通量数据的访问功能</w:t>
            </w:r>
          </w:p>
        </w:tc>
      </w:tr>
      <w:tr w14:paraId="5A7F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35E90DF">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7A58DBFB">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862" w:type="dxa"/>
            <w:noWrap w:val="0"/>
            <w:vAlign w:val="center"/>
          </w:tcPr>
          <w:p w14:paraId="148FF779">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4.7.4</w:t>
            </w:r>
          </w:p>
        </w:tc>
        <w:tc>
          <w:tcPr>
            <w:tcW w:w="5938" w:type="dxa"/>
            <w:noWrap w:val="0"/>
            <w:vAlign w:val="center"/>
          </w:tcPr>
          <w:p w14:paraId="38CD1712">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应提供射野、附件参数的数据访问功能</w:t>
            </w:r>
          </w:p>
        </w:tc>
      </w:tr>
      <w:tr w14:paraId="41EE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15B3380">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1463B3D7">
            <w:pPr>
              <w:widowControl/>
              <w:spacing w:line="500" w:lineRule="exact"/>
              <w:jc w:val="center"/>
              <w:rPr>
                <w:rFonts w:hint="eastAsia" w:ascii="宋体" w:hAnsi="宋体" w:eastAsia="宋体" w:cs="宋体"/>
                <w:sz w:val="21"/>
                <w:szCs w:val="21"/>
              </w:rPr>
            </w:pPr>
          </w:p>
        </w:tc>
        <w:tc>
          <w:tcPr>
            <w:tcW w:w="1862" w:type="dxa"/>
            <w:noWrap w:val="0"/>
            <w:vAlign w:val="center"/>
          </w:tcPr>
          <w:p w14:paraId="3F32D6FA">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4.7.5▲</w:t>
            </w:r>
          </w:p>
        </w:tc>
        <w:tc>
          <w:tcPr>
            <w:tcW w:w="5938" w:type="dxa"/>
            <w:noWrap w:val="0"/>
            <w:vAlign w:val="center"/>
          </w:tcPr>
          <w:p w14:paraId="3DC67CEE">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应提供可视化编程功能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r>
      <w:tr w14:paraId="2CAF5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C365DF0">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4DACACE4">
            <w:pPr>
              <w:widowControl/>
              <w:spacing w:line="500" w:lineRule="exact"/>
              <w:jc w:val="center"/>
              <w:rPr>
                <w:rFonts w:hint="eastAsia" w:ascii="宋体" w:hAnsi="宋体" w:eastAsia="宋体" w:cs="宋体"/>
                <w:sz w:val="21"/>
                <w:szCs w:val="21"/>
              </w:rPr>
            </w:pPr>
          </w:p>
        </w:tc>
        <w:tc>
          <w:tcPr>
            <w:tcW w:w="1862" w:type="dxa"/>
            <w:noWrap w:val="0"/>
            <w:vAlign w:val="center"/>
          </w:tcPr>
          <w:p w14:paraId="3FD7819B">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4.7.6</w:t>
            </w:r>
          </w:p>
        </w:tc>
        <w:tc>
          <w:tcPr>
            <w:tcW w:w="5938" w:type="dxa"/>
            <w:noWrap w:val="0"/>
            <w:vAlign w:val="center"/>
          </w:tcPr>
          <w:p w14:paraId="7AE922C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应提供整个计划设计的自动化功能</w:t>
            </w:r>
          </w:p>
        </w:tc>
      </w:tr>
      <w:tr w14:paraId="4455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0D55597">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00B5CD30">
            <w:pPr>
              <w:widowControl/>
              <w:spacing w:line="500" w:lineRule="exact"/>
              <w:jc w:val="center"/>
              <w:rPr>
                <w:rFonts w:hint="eastAsia" w:ascii="宋体" w:hAnsi="宋体" w:eastAsia="宋体" w:cs="宋体"/>
                <w:sz w:val="21"/>
                <w:szCs w:val="21"/>
              </w:rPr>
            </w:pPr>
          </w:p>
        </w:tc>
        <w:tc>
          <w:tcPr>
            <w:tcW w:w="1862" w:type="dxa"/>
            <w:noWrap w:val="0"/>
            <w:vAlign w:val="center"/>
          </w:tcPr>
          <w:p w14:paraId="67093CCF">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4.7.7</w:t>
            </w:r>
          </w:p>
        </w:tc>
        <w:tc>
          <w:tcPr>
            <w:tcW w:w="5938" w:type="dxa"/>
            <w:noWrap w:val="0"/>
            <w:vAlign w:val="center"/>
          </w:tcPr>
          <w:p w14:paraId="4D76729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API应提供辅助结构处理程序</w:t>
            </w:r>
          </w:p>
        </w:tc>
      </w:tr>
      <w:tr w14:paraId="19176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DB11E39">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0717C120">
            <w:pPr>
              <w:widowControl/>
              <w:spacing w:line="500" w:lineRule="exact"/>
              <w:jc w:val="center"/>
              <w:rPr>
                <w:rFonts w:hint="eastAsia" w:ascii="宋体" w:hAnsi="宋体" w:eastAsia="宋体" w:cs="宋体"/>
                <w:sz w:val="21"/>
                <w:szCs w:val="21"/>
              </w:rPr>
            </w:pPr>
          </w:p>
        </w:tc>
        <w:tc>
          <w:tcPr>
            <w:tcW w:w="1862" w:type="dxa"/>
            <w:noWrap w:val="0"/>
            <w:vAlign w:val="center"/>
          </w:tcPr>
          <w:p w14:paraId="6123A69F">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4.7.8</w:t>
            </w:r>
          </w:p>
        </w:tc>
        <w:tc>
          <w:tcPr>
            <w:tcW w:w="5938" w:type="dxa"/>
            <w:noWrap w:val="0"/>
            <w:vAlign w:val="center"/>
          </w:tcPr>
          <w:p w14:paraId="358CC90C">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API应提供自动评估程序</w:t>
            </w:r>
          </w:p>
        </w:tc>
      </w:tr>
      <w:tr w14:paraId="20125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11E19CE">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5B50E343">
            <w:pPr>
              <w:widowControl/>
              <w:spacing w:line="500" w:lineRule="exact"/>
              <w:jc w:val="center"/>
              <w:rPr>
                <w:rFonts w:hint="eastAsia" w:ascii="宋体" w:hAnsi="宋体" w:eastAsia="宋体" w:cs="宋体"/>
                <w:sz w:val="21"/>
                <w:szCs w:val="21"/>
              </w:rPr>
            </w:pPr>
          </w:p>
        </w:tc>
        <w:tc>
          <w:tcPr>
            <w:tcW w:w="1862" w:type="dxa"/>
            <w:noWrap w:val="0"/>
            <w:vAlign w:val="center"/>
          </w:tcPr>
          <w:p w14:paraId="5624B6C6">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4.7.9</w:t>
            </w:r>
          </w:p>
        </w:tc>
        <w:tc>
          <w:tcPr>
            <w:tcW w:w="5938" w:type="dxa"/>
            <w:noWrap w:val="0"/>
            <w:vAlign w:val="center"/>
          </w:tcPr>
          <w:p w14:paraId="70616C9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API应提供靶区空间分割处理程序</w:t>
            </w:r>
          </w:p>
        </w:tc>
      </w:tr>
      <w:tr w14:paraId="36E86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367FD5D">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2DC8AF5B">
            <w:pPr>
              <w:widowControl/>
              <w:spacing w:line="500" w:lineRule="exact"/>
              <w:jc w:val="center"/>
              <w:rPr>
                <w:rFonts w:hint="eastAsia" w:ascii="宋体" w:hAnsi="宋体" w:eastAsia="宋体" w:cs="宋体"/>
                <w:sz w:val="21"/>
                <w:szCs w:val="21"/>
              </w:rPr>
            </w:pPr>
          </w:p>
        </w:tc>
        <w:tc>
          <w:tcPr>
            <w:tcW w:w="1862" w:type="dxa"/>
            <w:noWrap w:val="0"/>
            <w:vAlign w:val="center"/>
          </w:tcPr>
          <w:p w14:paraId="39D55B4C">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4.7.10</w:t>
            </w:r>
          </w:p>
        </w:tc>
        <w:tc>
          <w:tcPr>
            <w:tcW w:w="5938" w:type="dxa"/>
            <w:noWrap w:val="0"/>
            <w:vAlign w:val="center"/>
          </w:tcPr>
          <w:p w14:paraId="03CA401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API应提供C形加速器碰撞预测能力程序</w:t>
            </w:r>
          </w:p>
        </w:tc>
      </w:tr>
      <w:tr w14:paraId="6471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38" w:type="dxa"/>
            <w:vMerge w:val="continue"/>
            <w:noWrap w:val="0"/>
            <w:vAlign w:val="center"/>
          </w:tcPr>
          <w:p w14:paraId="07CE26ED">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428B6470">
            <w:pPr>
              <w:widowControl/>
              <w:spacing w:line="500" w:lineRule="exact"/>
              <w:jc w:val="center"/>
              <w:rPr>
                <w:rFonts w:hint="eastAsia" w:ascii="宋体" w:hAnsi="宋体" w:eastAsia="宋体" w:cs="宋体"/>
                <w:sz w:val="21"/>
                <w:szCs w:val="21"/>
              </w:rPr>
            </w:pPr>
          </w:p>
        </w:tc>
        <w:tc>
          <w:tcPr>
            <w:tcW w:w="1862" w:type="dxa"/>
            <w:noWrap w:val="0"/>
            <w:vAlign w:val="center"/>
          </w:tcPr>
          <w:p w14:paraId="7BF6B9F8">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4.7.11</w:t>
            </w:r>
          </w:p>
        </w:tc>
        <w:tc>
          <w:tcPr>
            <w:tcW w:w="5938" w:type="dxa"/>
            <w:noWrap w:val="0"/>
            <w:vAlign w:val="center"/>
          </w:tcPr>
          <w:p w14:paraId="386A2C42">
            <w:pPr>
              <w:widowControl/>
              <w:tabs>
                <w:tab w:val="left" w:pos="6720"/>
              </w:tabs>
              <w:spacing w:line="500" w:lineRule="exact"/>
              <w:ind w:right="-50" w:rightChars="-24"/>
              <w:rPr>
                <w:rFonts w:hint="eastAsia" w:ascii="宋体" w:hAnsi="宋体" w:eastAsia="宋体" w:cs="宋体"/>
                <w:sz w:val="21"/>
                <w:szCs w:val="21"/>
              </w:rPr>
            </w:pPr>
            <w:r>
              <w:rPr>
                <w:rFonts w:hint="eastAsia" w:ascii="宋体" w:hAnsi="宋体" w:eastAsia="宋体" w:cs="宋体"/>
                <w:sz w:val="21"/>
                <w:szCs w:val="21"/>
              </w:rPr>
              <w:t>支持</w:t>
            </w:r>
            <w:r>
              <w:rPr>
                <w:rFonts w:hint="eastAsia" w:ascii="宋体" w:hAnsi="宋体" w:cs="宋体"/>
                <w:sz w:val="21"/>
                <w:szCs w:val="21"/>
                <w:lang w:val="en-US" w:eastAsia="zh-CN"/>
              </w:rPr>
              <w:t>并可灵活添加</w:t>
            </w:r>
            <w:r>
              <w:rPr>
                <w:rFonts w:hint="eastAsia" w:ascii="宋体" w:hAnsi="宋体" w:eastAsia="宋体" w:cs="宋体"/>
                <w:sz w:val="21"/>
                <w:szCs w:val="21"/>
              </w:rPr>
              <w:t>采购人现</w:t>
            </w:r>
            <w:r>
              <w:rPr>
                <w:rFonts w:hint="eastAsia" w:ascii="宋体" w:hAnsi="宋体" w:cs="宋体"/>
                <w:sz w:val="21"/>
                <w:szCs w:val="21"/>
                <w:lang w:val="en-US" w:eastAsia="zh-CN"/>
              </w:rPr>
              <w:t>有在用</w:t>
            </w:r>
            <w:r>
              <w:rPr>
                <w:rFonts w:hint="eastAsia" w:ascii="宋体" w:hAnsi="宋体" w:eastAsia="宋体" w:cs="宋体"/>
                <w:sz w:val="21"/>
                <w:szCs w:val="21"/>
              </w:rPr>
              <w:t>品牌型号直线加速器</w:t>
            </w:r>
            <w:r>
              <w:rPr>
                <w:rFonts w:hint="eastAsia" w:ascii="宋体" w:hAnsi="宋体" w:cs="宋体"/>
                <w:sz w:val="21"/>
                <w:szCs w:val="21"/>
                <w:lang w:eastAsia="zh-CN"/>
              </w:rPr>
              <w:t>（</w:t>
            </w:r>
            <w:r>
              <w:rPr>
                <w:rFonts w:hint="eastAsia" w:ascii="宋体" w:hAnsi="宋体" w:cs="宋体"/>
                <w:sz w:val="21"/>
                <w:szCs w:val="21"/>
                <w:lang w:val="en-US" w:eastAsia="zh-CN"/>
              </w:rPr>
              <w:t>瓦里安vitalbeam及trilogy、医科达infinity、安科锐TomoH</w:t>
            </w:r>
            <w:r>
              <w:rPr>
                <w:rFonts w:hint="eastAsia" w:ascii="宋体" w:hAnsi="宋体" w:cs="宋体"/>
                <w:sz w:val="21"/>
                <w:szCs w:val="21"/>
                <w:lang w:eastAsia="zh-CN"/>
              </w:rPr>
              <w:t>）</w:t>
            </w:r>
            <w:r>
              <w:rPr>
                <w:rFonts w:hint="eastAsia" w:ascii="宋体" w:hAnsi="宋体" w:eastAsia="宋体" w:cs="宋体"/>
                <w:sz w:val="21"/>
                <w:szCs w:val="21"/>
              </w:rPr>
              <w:t>的设备参数配置与计划设计</w:t>
            </w:r>
          </w:p>
        </w:tc>
      </w:tr>
      <w:tr w14:paraId="3EB2A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952D095">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05BEBE0B">
            <w:pPr>
              <w:widowControl/>
              <w:spacing w:line="500" w:lineRule="exact"/>
              <w:jc w:val="center"/>
              <w:rPr>
                <w:rFonts w:hint="eastAsia" w:ascii="宋体" w:hAnsi="宋体" w:eastAsia="宋体" w:cs="宋体"/>
                <w:sz w:val="21"/>
                <w:szCs w:val="21"/>
              </w:rPr>
            </w:pPr>
          </w:p>
        </w:tc>
        <w:tc>
          <w:tcPr>
            <w:tcW w:w="1862" w:type="dxa"/>
            <w:noWrap w:val="0"/>
            <w:vAlign w:val="center"/>
          </w:tcPr>
          <w:p w14:paraId="58D59C5E">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4.7.12</w:t>
            </w:r>
          </w:p>
        </w:tc>
        <w:tc>
          <w:tcPr>
            <w:tcW w:w="5938" w:type="dxa"/>
            <w:noWrap w:val="0"/>
            <w:vAlign w:val="center"/>
          </w:tcPr>
          <w:p w14:paraId="65FE0F7C">
            <w:pPr>
              <w:widowControl/>
              <w:spacing w:line="500" w:lineRule="exact"/>
              <w:rPr>
                <w:rFonts w:hint="eastAsia" w:ascii="宋体" w:hAnsi="宋体" w:eastAsia="宋体" w:cs="宋体"/>
                <w:sz w:val="21"/>
                <w:szCs w:val="21"/>
              </w:rPr>
            </w:pPr>
            <w:r>
              <w:rPr>
                <w:rFonts w:hint="eastAsia" w:ascii="宋体" w:hAnsi="宋体" w:eastAsia="宋体" w:cs="宋体"/>
                <w:sz w:val="21"/>
                <w:szCs w:val="21"/>
                <w:lang w:eastAsia="zh-CN"/>
              </w:rPr>
              <w:t>提供DVH Metrics元素与PlanSum计划叠加合作使用</w:t>
            </w:r>
          </w:p>
        </w:tc>
      </w:tr>
      <w:tr w14:paraId="50AD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7A70100E">
            <w:pPr>
              <w:widowControl/>
              <w:spacing w:line="500" w:lineRule="exact"/>
              <w:jc w:val="center"/>
              <w:rPr>
                <w:rFonts w:hint="eastAsia" w:ascii="宋体" w:hAnsi="宋体" w:eastAsia="宋体" w:cs="宋体"/>
                <w:b/>
                <w:bCs/>
                <w:sz w:val="21"/>
                <w:szCs w:val="21"/>
                <w:highlight w:val="none"/>
              </w:rPr>
            </w:pPr>
          </w:p>
        </w:tc>
        <w:tc>
          <w:tcPr>
            <w:tcW w:w="698" w:type="dxa"/>
            <w:vMerge w:val="continue"/>
            <w:noWrap w:val="0"/>
            <w:vAlign w:val="top"/>
          </w:tcPr>
          <w:p w14:paraId="7AD2FE24">
            <w:pPr>
              <w:widowControl/>
              <w:spacing w:line="500" w:lineRule="exact"/>
              <w:jc w:val="center"/>
              <w:rPr>
                <w:rFonts w:hint="eastAsia" w:ascii="宋体" w:hAnsi="宋体" w:eastAsia="宋体" w:cs="宋体"/>
                <w:b/>
                <w:bCs/>
                <w:sz w:val="21"/>
                <w:szCs w:val="21"/>
                <w:highlight w:val="none"/>
              </w:rPr>
            </w:pPr>
          </w:p>
        </w:tc>
        <w:tc>
          <w:tcPr>
            <w:tcW w:w="1862" w:type="dxa"/>
            <w:noWrap w:val="0"/>
            <w:vAlign w:val="top"/>
          </w:tcPr>
          <w:p w14:paraId="2445F0F3">
            <w:pPr>
              <w:widowControl/>
              <w:spacing w:line="500" w:lineRule="exact"/>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w:t>
            </w:r>
          </w:p>
        </w:tc>
        <w:tc>
          <w:tcPr>
            <w:tcW w:w="5938" w:type="dxa"/>
            <w:noWrap w:val="0"/>
            <w:vAlign w:val="top"/>
          </w:tcPr>
          <w:p w14:paraId="4D131996">
            <w:pPr>
              <w:widowControl/>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放疗云平台</w:t>
            </w:r>
          </w:p>
        </w:tc>
      </w:tr>
      <w:tr w14:paraId="252B9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38" w:type="dxa"/>
            <w:vMerge w:val="continue"/>
            <w:noWrap w:val="0"/>
            <w:vAlign w:val="top"/>
          </w:tcPr>
          <w:p w14:paraId="701CC420">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2612970B">
            <w:pPr>
              <w:widowControl/>
              <w:spacing w:line="500" w:lineRule="exact"/>
              <w:jc w:val="center"/>
              <w:rPr>
                <w:rFonts w:hint="eastAsia" w:ascii="宋体" w:hAnsi="宋体" w:eastAsia="宋体" w:cs="宋体"/>
                <w:sz w:val="21"/>
                <w:szCs w:val="21"/>
              </w:rPr>
            </w:pPr>
          </w:p>
        </w:tc>
        <w:tc>
          <w:tcPr>
            <w:tcW w:w="1862" w:type="dxa"/>
            <w:noWrap w:val="0"/>
            <w:vAlign w:val="top"/>
          </w:tcPr>
          <w:p w14:paraId="6B9B190A">
            <w:pPr>
              <w:widowControl/>
              <w:spacing w:line="500" w:lineRule="exact"/>
              <w:jc w:val="center"/>
              <w:rPr>
                <w:rFonts w:hint="eastAsia" w:ascii="宋体" w:hAnsi="宋体" w:eastAsia="宋体" w:cs="宋体"/>
                <w:sz w:val="21"/>
                <w:szCs w:val="21"/>
                <w:lang w:eastAsia="zh-CN"/>
              </w:rPr>
            </w:pPr>
            <w:r>
              <w:rPr>
                <w:rFonts w:hint="eastAsia" w:ascii="宋体" w:hAnsi="宋体" w:eastAsia="宋体" w:cs="宋体"/>
                <w:sz w:val="21"/>
                <w:szCs w:val="21"/>
              </w:rPr>
              <w:t>5.</w:t>
            </w:r>
            <w:r>
              <w:rPr>
                <w:rFonts w:hint="eastAsia" w:ascii="宋体" w:hAnsi="宋体" w:eastAsia="宋体" w:cs="宋体"/>
                <w:sz w:val="21"/>
                <w:szCs w:val="21"/>
                <w:lang w:val="en-US" w:eastAsia="zh-CN"/>
              </w:rPr>
              <w:t>1</w:t>
            </w:r>
          </w:p>
        </w:tc>
        <w:tc>
          <w:tcPr>
            <w:tcW w:w="5938" w:type="dxa"/>
            <w:noWrap w:val="0"/>
            <w:vAlign w:val="center"/>
          </w:tcPr>
          <w:p w14:paraId="6B6BA4C4">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提供肿瘤放射治疗信息云平台，通过将服务器和应用程序虚拟化，实现在各种不同类型终端进行流程管理，靶区勾画，放疗计划，设备质控及多学科会诊工作</w:t>
            </w:r>
          </w:p>
        </w:tc>
      </w:tr>
      <w:tr w14:paraId="0406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38" w:type="dxa"/>
            <w:vMerge w:val="continue"/>
            <w:noWrap w:val="0"/>
            <w:vAlign w:val="top"/>
          </w:tcPr>
          <w:p w14:paraId="1D80FF83">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2BAFC595">
            <w:pPr>
              <w:widowControl/>
              <w:spacing w:line="500" w:lineRule="exact"/>
              <w:jc w:val="center"/>
              <w:rPr>
                <w:rFonts w:hint="eastAsia" w:ascii="宋体" w:hAnsi="宋体" w:eastAsia="宋体" w:cs="宋体"/>
                <w:sz w:val="21"/>
                <w:szCs w:val="21"/>
              </w:rPr>
            </w:pPr>
          </w:p>
        </w:tc>
        <w:tc>
          <w:tcPr>
            <w:tcW w:w="1862" w:type="dxa"/>
            <w:noWrap w:val="0"/>
            <w:vAlign w:val="top"/>
          </w:tcPr>
          <w:p w14:paraId="72C5CDA6">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1</w:t>
            </w:r>
            <w:r>
              <w:rPr>
                <w:rFonts w:hint="eastAsia" w:ascii="宋体" w:hAnsi="宋体" w:eastAsia="宋体" w:cs="宋体"/>
                <w:sz w:val="21"/>
                <w:szCs w:val="21"/>
              </w:rPr>
              <w:t>.1</w:t>
            </w:r>
          </w:p>
        </w:tc>
        <w:tc>
          <w:tcPr>
            <w:tcW w:w="5938" w:type="dxa"/>
            <w:noWrap w:val="0"/>
            <w:vAlign w:val="center"/>
          </w:tcPr>
          <w:p w14:paraId="5B790F72">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按照本品牌软件虚拟化，对于科室</w:t>
            </w:r>
            <w:r>
              <w:rPr>
                <w:rFonts w:hint="eastAsia" w:ascii="宋体" w:hAnsi="宋体" w:cs="宋体"/>
                <w:i w:val="0"/>
                <w:iCs w:val="0"/>
                <w:color w:val="auto"/>
                <w:kern w:val="0"/>
                <w:sz w:val="21"/>
                <w:szCs w:val="21"/>
                <w:u w:val="none"/>
                <w:lang w:val="en-US" w:eastAsia="zh-CN" w:bidi="ar"/>
              </w:rPr>
              <w:t>现有在用</w:t>
            </w:r>
            <w:r>
              <w:rPr>
                <w:rFonts w:hint="eastAsia" w:ascii="宋体" w:hAnsi="宋体" w:eastAsia="宋体" w:cs="宋体"/>
                <w:i w:val="0"/>
                <w:iCs w:val="0"/>
                <w:color w:val="auto"/>
                <w:kern w:val="0"/>
                <w:sz w:val="21"/>
                <w:szCs w:val="21"/>
                <w:u w:val="none"/>
                <w:lang w:val="en-US" w:eastAsia="zh-CN" w:bidi="ar"/>
              </w:rPr>
              <w:t>其他厂家提供的放疗软件，包括瓦里安、医科达、安科瑞、RaySearch等多品牌计划系统及放疗流程管理系统应用程序，需由对应厂家完成虚拟化所需的硬软件资源准备和虚拟化部署环境的兼容性测试，云平台厂家需配合医院将其他品牌整合至该云平台</w:t>
            </w:r>
          </w:p>
        </w:tc>
      </w:tr>
      <w:tr w14:paraId="7A13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638" w:type="dxa"/>
            <w:vMerge w:val="continue"/>
            <w:noWrap w:val="0"/>
            <w:vAlign w:val="top"/>
          </w:tcPr>
          <w:p w14:paraId="14DF56A2">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3F2F75A9">
            <w:pPr>
              <w:widowControl/>
              <w:spacing w:line="500" w:lineRule="exact"/>
              <w:jc w:val="center"/>
              <w:rPr>
                <w:rFonts w:hint="eastAsia" w:ascii="宋体" w:hAnsi="宋体" w:eastAsia="宋体" w:cs="宋体"/>
                <w:sz w:val="21"/>
                <w:szCs w:val="21"/>
              </w:rPr>
            </w:pPr>
          </w:p>
        </w:tc>
        <w:tc>
          <w:tcPr>
            <w:tcW w:w="1862" w:type="dxa"/>
            <w:noWrap w:val="0"/>
            <w:vAlign w:val="top"/>
          </w:tcPr>
          <w:p w14:paraId="7F337D9F">
            <w:pPr>
              <w:widowControl/>
              <w:spacing w:line="500" w:lineRule="exact"/>
              <w:jc w:val="center"/>
              <w:rPr>
                <w:rFonts w:hint="eastAsia" w:ascii="宋体" w:hAnsi="宋体" w:eastAsia="宋体" w:cs="宋体"/>
                <w:sz w:val="21"/>
                <w:szCs w:val="21"/>
                <w:lang w:eastAsia="zh-CN"/>
              </w:rPr>
            </w:pPr>
            <w:r>
              <w:rPr>
                <w:rFonts w:hint="eastAsia" w:ascii="宋体" w:hAnsi="宋体" w:eastAsia="宋体" w:cs="宋体"/>
                <w:sz w:val="21"/>
                <w:szCs w:val="21"/>
              </w:rPr>
              <w:t>5.</w:t>
            </w:r>
            <w:r>
              <w:rPr>
                <w:rFonts w:hint="eastAsia" w:ascii="宋体" w:hAnsi="宋体" w:eastAsia="宋体" w:cs="宋体"/>
                <w:sz w:val="21"/>
                <w:szCs w:val="21"/>
                <w:lang w:val="en-US" w:eastAsia="zh-CN"/>
              </w:rPr>
              <w:t>2</w:t>
            </w:r>
          </w:p>
        </w:tc>
        <w:tc>
          <w:tcPr>
            <w:tcW w:w="5938" w:type="dxa"/>
            <w:noWrap w:val="0"/>
            <w:vAlign w:val="center"/>
          </w:tcPr>
          <w:p w14:paraId="1716647F">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应提供远程放射治疗计划系统，实现远程肿瘤靶区勾画，远程放射治疗计划设计</w:t>
            </w:r>
          </w:p>
        </w:tc>
      </w:tr>
      <w:tr w14:paraId="2D62C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59838C90">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0DDD2568">
            <w:pPr>
              <w:widowControl/>
              <w:spacing w:line="500" w:lineRule="exact"/>
              <w:jc w:val="center"/>
              <w:rPr>
                <w:rFonts w:hint="eastAsia" w:ascii="宋体" w:hAnsi="宋体" w:eastAsia="宋体" w:cs="宋体"/>
                <w:sz w:val="21"/>
                <w:szCs w:val="21"/>
              </w:rPr>
            </w:pPr>
          </w:p>
        </w:tc>
        <w:tc>
          <w:tcPr>
            <w:tcW w:w="1862" w:type="dxa"/>
            <w:noWrap w:val="0"/>
            <w:vAlign w:val="top"/>
          </w:tcPr>
          <w:p w14:paraId="2BF6543B">
            <w:pPr>
              <w:widowControl/>
              <w:spacing w:line="500" w:lineRule="exact"/>
              <w:jc w:val="center"/>
              <w:rPr>
                <w:rFonts w:hint="eastAsia" w:ascii="宋体" w:hAnsi="宋体" w:eastAsia="宋体" w:cs="宋体"/>
                <w:sz w:val="21"/>
                <w:szCs w:val="21"/>
                <w:lang w:eastAsia="zh-CN"/>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p>
        </w:tc>
        <w:tc>
          <w:tcPr>
            <w:tcW w:w="5938" w:type="dxa"/>
            <w:noWrap w:val="0"/>
            <w:vAlign w:val="center"/>
          </w:tcPr>
          <w:p w14:paraId="2FCA7F6F">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应提供软件系统基本要求</w:t>
            </w:r>
          </w:p>
        </w:tc>
      </w:tr>
      <w:tr w14:paraId="3E84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7F83B091">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0F84FCF5">
            <w:pPr>
              <w:widowControl/>
              <w:spacing w:line="500" w:lineRule="exact"/>
              <w:jc w:val="center"/>
              <w:rPr>
                <w:rFonts w:hint="eastAsia" w:ascii="宋体" w:hAnsi="宋体" w:eastAsia="宋体" w:cs="宋体"/>
                <w:sz w:val="21"/>
                <w:szCs w:val="21"/>
              </w:rPr>
            </w:pPr>
          </w:p>
        </w:tc>
        <w:tc>
          <w:tcPr>
            <w:tcW w:w="1862" w:type="dxa"/>
            <w:noWrap w:val="0"/>
            <w:vAlign w:val="top"/>
          </w:tcPr>
          <w:p w14:paraId="38D4F3FC">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.1</w:t>
            </w:r>
          </w:p>
        </w:tc>
        <w:tc>
          <w:tcPr>
            <w:tcW w:w="5938" w:type="dxa"/>
            <w:noWrap w:val="0"/>
            <w:vAlign w:val="center"/>
          </w:tcPr>
          <w:p w14:paraId="5057EC59">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提供肿瘤放射治疗信息虚拟化平台</w:t>
            </w:r>
          </w:p>
        </w:tc>
      </w:tr>
      <w:tr w14:paraId="0AFC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8" w:type="dxa"/>
            <w:vMerge w:val="continue"/>
            <w:noWrap w:val="0"/>
            <w:vAlign w:val="top"/>
          </w:tcPr>
          <w:p w14:paraId="3F9EA52F">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44C7ED1C">
            <w:pPr>
              <w:widowControl/>
              <w:spacing w:line="500" w:lineRule="exact"/>
              <w:jc w:val="center"/>
              <w:rPr>
                <w:rFonts w:hint="eastAsia" w:ascii="宋体" w:hAnsi="宋体" w:eastAsia="宋体" w:cs="宋体"/>
                <w:sz w:val="21"/>
                <w:szCs w:val="21"/>
              </w:rPr>
            </w:pPr>
          </w:p>
        </w:tc>
        <w:tc>
          <w:tcPr>
            <w:tcW w:w="1862" w:type="dxa"/>
            <w:noWrap w:val="0"/>
            <w:vAlign w:val="top"/>
          </w:tcPr>
          <w:p w14:paraId="76B5FA9F">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.2</w:t>
            </w:r>
          </w:p>
        </w:tc>
        <w:tc>
          <w:tcPr>
            <w:tcW w:w="5938" w:type="dxa"/>
            <w:noWrap w:val="0"/>
            <w:vAlign w:val="center"/>
          </w:tcPr>
          <w:p w14:paraId="5A65298C">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应提供放疗云平台实现应用程序虚拟化，以虚拟机方式提供软件平台服务</w:t>
            </w:r>
          </w:p>
        </w:tc>
      </w:tr>
      <w:tr w14:paraId="3D401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38" w:type="dxa"/>
            <w:vMerge w:val="continue"/>
            <w:noWrap w:val="0"/>
            <w:vAlign w:val="top"/>
          </w:tcPr>
          <w:p w14:paraId="7835594D">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3767E6DF">
            <w:pPr>
              <w:widowControl/>
              <w:spacing w:line="500" w:lineRule="exact"/>
              <w:jc w:val="center"/>
              <w:rPr>
                <w:rFonts w:hint="eastAsia" w:ascii="宋体" w:hAnsi="宋体" w:eastAsia="宋体" w:cs="宋体"/>
                <w:sz w:val="21"/>
                <w:szCs w:val="21"/>
              </w:rPr>
            </w:pPr>
          </w:p>
        </w:tc>
        <w:tc>
          <w:tcPr>
            <w:tcW w:w="1862" w:type="dxa"/>
            <w:noWrap w:val="0"/>
            <w:vAlign w:val="top"/>
          </w:tcPr>
          <w:p w14:paraId="5143EAAB">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.3</w:t>
            </w:r>
          </w:p>
        </w:tc>
        <w:tc>
          <w:tcPr>
            <w:tcW w:w="5938" w:type="dxa"/>
            <w:noWrap w:val="0"/>
            <w:vAlign w:val="center"/>
          </w:tcPr>
          <w:p w14:paraId="040E37F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应提供放疗云平台实现软件虚拟化（以网页形式提供TPS软件的远程访问，非远程桌面或远程控制，不锁定或占用当前TPS工作站）（投标时提供能体现该技术参数要求且清晰可辨的技术白皮书扫描件或</w:t>
            </w:r>
            <w:r>
              <w:rPr>
                <w:rFonts w:hint="eastAsia" w:ascii="宋体" w:hAnsi="宋体" w:cs="宋体"/>
                <w:b/>
                <w:bCs/>
                <w:i w:val="0"/>
                <w:iCs w:val="0"/>
                <w:color w:val="FF0000"/>
                <w:kern w:val="0"/>
                <w:sz w:val="21"/>
                <w:szCs w:val="21"/>
                <w:u w:val="none"/>
                <w:lang w:val="en-US" w:eastAsia="zh-CN" w:bidi="ar"/>
              </w:rPr>
              <w:t>使用</w:t>
            </w:r>
            <w:r>
              <w:rPr>
                <w:rFonts w:hint="eastAsia" w:ascii="宋体" w:hAnsi="宋体" w:eastAsia="宋体" w:cs="宋体"/>
                <w:b/>
                <w:bCs/>
                <w:i w:val="0"/>
                <w:iCs w:val="0"/>
                <w:color w:val="FF0000"/>
                <w:kern w:val="0"/>
                <w:sz w:val="21"/>
                <w:szCs w:val="21"/>
                <w:u w:val="none"/>
                <w:lang w:val="en-US" w:eastAsia="zh-CN" w:bidi="ar"/>
              </w:rPr>
              <w:t>界面截图）</w:t>
            </w:r>
          </w:p>
        </w:tc>
      </w:tr>
      <w:tr w14:paraId="1C4A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5D3390BE">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3094C36F">
            <w:pPr>
              <w:widowControl/>
              <w:spacing w:line="500" w:lineRule="exact"/>
              <w:jc w:val="center"/>
              <w:rPr>
                <w:rFonts w:hint="eastAsia" w:ascii="宋体" w:hAnsi="宋体" w:eastAsia="宋体" w:cs="宋体"/>
                <w:sz w:val="21"/>
                <w:szCs w:val="21"/>
              </w:rPr>
            </w:pPr>
          </w:p>
        </w:tc>
        <w:tc>
          <w:tcPr>
            <w:tcW w:w="1862" w:type="dxa"/>
            <w:noWrap w:val="0"/>
            <w:vAlign w:val="top"/>
          </w:tcPr>
          <w:p w14:paraId="6CC18A91">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.4</w:t>
            </w:r>
          </w:p>
        </w:tc>
        <w:tc>
          <w:tcPr>
            <w:tcW w:w="5938" w:type="dxa"/>
            <w:noWrap w:val="0"/>
            <w:vAlign w:val="center"/>
          </w:tcPr>
          <w:p w14:paraId="16A1A3B2">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应提供放疗计算任务自动分配至云平台计算服务器</w:t>
            </w:r>
          </w:p>
        </w:tc>
      </w:tr>
      <w:tr w14:paraId="41D7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3004EA11">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73CAC6FC">
            <w:pPr>
              <w:widowControl/>
              <w:spacing w:line="500" w:lineRule="exact"/>
              <w:jc w:val="center"/>
              <w:rPr>
                <w:rFonts w:hint="eastAsia" w:ascii="宋体" w:hAnsi="宋体" w:eastAsia="宋体" w:cs="宋体"/>
                <w:sz w:val="21"/>
                <w:szCs w:val="21"/>
              </w:rPr>
            </w:pPr>
          </w:p>
        </w:tc>
        <w:tc>
          <w:tcPr>
            <w:tcW w:w="1862" w:type="dxa"/>
            <w:noWrap w:val="0"/>
            <w:vAlign w:val="top"/>
          </w:tcPr>
          <w:p w14:paraId="3243AFCE">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.5</w:t>
            </w:r>
          </w:p>
        </w:tc>
        <w:tc>
          <w:tcPr>
            <w:tcW w:w="5938" w:type="dxa"/>
            <w:noWrap w:val="0"/>
            <w:vAlign w:val="center"/>
          </w:tcPr>
          <w:p w14:paraId="362D61BC">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应提供单点登录和Windows集成认证，根据用户角色分配软件</w:t>
            </w:r>
          </w:p>
        </w:tc>
      </w:tr>
      <w:tr w14:paraId="390F2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362AD82B">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762C7D41">
            <w:pPr>
              <w:widowControl/>
              <w:spacing w:line="500" w:lineRule="exact"/>
              <w:jc w:val="center"/>
              <w:rPr>
                <w:rFonts w:hint="eastAsia" w:ascii="宋体" w:hAnsi="宋体" w:eastAsia="宋体" w:cs="宋体"/>
                <w:sz w:val="21"/>
                <w:szCs w:val="21"/>
              </w:rPr>
            </w:pPr>
          </w:p>
        </w:tc>
        <w:tc>
          <w:tcPr>
            <w:tcW w:w="1862" w:type="dxa"/>
            <w:noWrap w:val="0"/>
            <w:vAlign w:val="top"/>
          </w:tcPr>
          <w:p w14:paraId="322CD1ED">
            <w:pPr>
              <w:widowControl/>
              <w:spacing w:line="500" w:lineRule="exact"/>
              <w:jc w:val="center"/>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.6</w:t>
            </w:r>
          </w:p>
        </w:tc>
        <w:tc>
          <w:tcPr>
            <w:tcW w:w="5938" w:type="dxa"/>
            <w:noWrap w:val="0"/>
            <w:vAlign w:val="center"/>
          </w:tcPr>
          <w:p w14:paraId="60A3E85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应提供≥20个账户同时在线</w:t>
            </w:r>
          </w:p>
        </w:tc>
      </w:tr>
      <w:tr w14:paraId="0A2B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638" w:type="dxa"/>
            <w:vMerge w:val="continue"/>
            <w:noWrap w:val="0"/>
            <w:vAlign w:val="top"/>
          </w:tcPr>
          <w:p w14:paraId="3FBEAD42">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6728D9A7">
            <w:pPr>
              <w:widowControl/>
              <w:spacing w:line="500" w:lineRule="exact"/>
              <w:jc w:val="center"/>
              <w:rPr>
                <w:rFonts w:hint="eastAsia" w:ascii="宋体" w:hAnsi="宋体" w:eastAsia="宋体" w:cs="宋体"/>
                <w:sz w:val="21"/>
                <w:szCs w:val="21"/>
              </w:rPr>
            </w:pPr>
          </w:p>
        </w:tc>
        <w:tc>
          <w:tcPr>
            <w:tcW w:w="1862" w:type="dxa"/>
            <w:noWrap w:val="0"/>
            <w:vAlign w:val="top"/>
          </w:tcPr>
          <w:p w14:paraId="36C8CE05">
            <w:pPr>
              <w:widowControl/>
              <w:spacing w:line="500" w:lineRule="exact"/>
              <w:jc w:val="center"/>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w:t>
            </w:r>
          </w:p>
        </w:tc>
        <w:tc>
          <w:tcPr>
            <w:tcW w:w="5938" w:type="dxa"/>
            <w:noWrap w:val="0"/>
            <w:vAlign w:val="center"/>
          </w:tcPr>
          <w:p w14:paraId="4539358A">
            <w:pPr>
              <w:widowControl/>
              <w:spacing w:line="500" w:lineRule="exact"/>
              <w:rPr>
                <w:rFonts w:hint="eastAsia" w:ascii="宋体" w:hAnsi="宋体" w:eastAsia="宋体" w:cs="宋体"/>
                <w:sz w:val="21"/>
                <w:szCs w:val="21"/>
              </w:rPr>
            </w:pPr>
            <w:r>
              <w:rPr>
                <w:rFonts w:hint="eastAsia" w:ascii="宋体" w:hAnsi="宋体" w:eastAsia="宋体" w:cs="宋体"/>
                <w:sz w:val="21"/>
                <w:szCs w:val="21"/>
              </w:rPr>
              <w:t>配置清单</w:t>
            </w:r>
          </w:p>
          <w:tbl>
            <w:tblPr>
              <w:tblStyle w:val="2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6"/>
              <w:gridCol w:w="2264"/>
              <w:gridCol w:w="636"/>
              <w:gridCol w:w="636"/>
            </w:tblGrid>
            <w:tr w14:paraId="3F0C4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7C6AD2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7439DE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名称</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6BC8A0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1D292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r>
            <w:tr w14:paraId="69EAE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2428E7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756383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放疗计划系统</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D174F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4FD7C9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0B4A9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62CF5D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53F79F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GPU物理师工作站</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3712DE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586413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2986D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324C5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603E99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医生工作站</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4FCB00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2681BA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D06B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55EE39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2628A4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后装工作站（带GPU）</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481AB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4C2EF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54D8F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0BD8F3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36F9C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管理工作站</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644BBD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64810B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1BF52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4A935B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5EC25B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系统服务器</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07C0E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11DFF0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79EE9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14826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19F915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分布式计算服务器</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37D52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1F4B8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6BFEC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022734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63A2A4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影像配准模块</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244A7F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3130E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377A8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44A6DC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1D496C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结构勾画模块</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0C5E07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1720D6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447B2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432AF3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135969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自动勾画</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66A6FC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08915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76555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2C2AE1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2A46C7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计划设计模块</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22B871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06DC96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070F6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0E85C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354FD9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剂量计算模块</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10EAFF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47D9C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6F5EB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7EF304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21323D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计划评估模块</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093E15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E2B77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2A25F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735F56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5C0218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自动计划</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123C5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14BFC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1DF5E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7D4504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0D8F31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应用程序接口</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4D0957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67FA2C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00283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162D20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48FE72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软件虚拟化平台</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3C1282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13DC84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72E54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6" w:type="dxa"/>
                  <w:tcBorders>
                    <w:top w:val="single" w:color="000000" w:sz="4" w:space="0"/>
                    <w:left w:val="single" w:color="000000" w:sz="4" w:space="0"/>
                    <w:bottom w:val="single" w:color="000000" w:sz="4" w:space="0"/>
                    <w:right w:val="single" w:color="000000" w:sz="4" w:space="0"/>
                  </w:tcBorders>
                  <w:noWrap w:val="0"/>
                  <w:vAlign w:val="center"/>
                </w:tcPr>
                <w:p w14:paraId="335BEF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264" w:type="dxa"/>
                  <w:tcBorders>
                    <w:top w:val="single" w:color="000000" w:sz="4" w:space="0"/>
                    <w:left w:val="single" w:color="000000" w:sz="4" w:space="0"/>
                    <w:bottom w:val="single" w:color="000000" w:sz="4" w:space="0"/>
                    <w:right w:val="single" w:color="000000" w:sz="4" w:space="0"/>
                  </w:tcBorders>
                  <w:noWrap w:val="0"/>
                  <w:vAlign w:val="center"/>
                </w:tcPr>
                <w:p w14:paraId="39F28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虚拟化平台授权</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100858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B7A06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bl>
          <w:p w14:paraId="6D407995">
            <w:pPr>
              <w:widowControl/>
              <w:spacing w:line="500" w:lineRule="exact"/>
              <w:rPr>
                <w:rFonts w:hint="eastAsia" w:ascii="宋体" w:hAnsi="宋体" w:eastAsia="宋体" w:cs="宋体"/>
                <w:sz w:val="21"/>
                <w:szCs w:val="21"/>
              </w:rPr>
            </w:pPr>
          </w:p>
        </w:tc>
      </w:tr>
    </w:tbl>
    <w:p w14:paraId="22A7DC3D">
      <w:pPr>
        <w:spacing w:line="500" w:lineRule="exact"/>
        <w:rPr>
          <w:rFonts w:hint="eastAsia" w:ascii="宋体" w:hAnsi="宋体" w:cs="宋体"/>
          <w:sz w:val="24"/>
        </w:rPr>
      </w:pPr>
    </w:p>
    <w:p w14:paraId="487460A6">
      <w:pPr>
        <w:pStyle w:val="7"/>
        <w:spacing w:before="120" w:beforeLines="50" w:after="120" w:afterLines="50"/>
        <w:rPr>
          <w:rFonts w:hint="eastAsia"/>
          <w:sz w:val="28"/>
          <w:szCs w:val="28"/>
        </w:rPr>
      </w:pPr>
      <w:r>
        <w:rPr>
          <w:rFonts w:hint="eastAsia"/>
          <w:sz w:val="28"/>
          <w:szCs w:val="28"/>
        </w:rPr>
        <w:t>五、商务要求</w:t>
      </w:r>
    </w:p>
    <w:p w14:paraId="3DEBEC36">
      <w:pPr>
        <w:ind w:firstLine="422" w:firstLineChars="200"/>
        <w:rPr>
          <w:b/>
        </w:rPr>
      </w:pPr>
      <w:r>
        <w:rPr>
          <w:rFonts w:hint="eastAsia"/>
          <w:b/>
          <w:szCs w:val="21"/>
        </w:rPr>
        <w:t>说明：</w:t>
      </w:r>
      <w:r>
        <w:rPr>
          <w:b/>
        </w:rPr>
        <w:t>1</w:t>
      </w:r>
      <w:r>
        <w:rPr>
          <w:rFonts w:hint="eastAsia"/>
          <w:b/>
          <w:lang w:val="en-US" w:eastAsia="zh-CN"/>
        </w:rPr>
        <w:t>.</w:t>
      </w:r>
      <w:r>
        <w:rPr>
          <w:rFonts w:hint="eastAsia"/>
          <w:b/>
        </w:rPr>
        <w:t>评分时，如对一项招标商务要求（以划分框为准）中的内容存在两处（或以上）负偏离的，在评分时只作一项负偏离扣分。</w:t>
      </w:r>
    </w:p>
    <w:p w14:paraId="2A116E99">
      <w:pPr>
        <w:ind w:firstLine="422" w:firstLineChars="200"/>
        <w:rPr>
          <w:rFonts w:hint="eastAsia"/>
          <w:b/>
          <w:szCs w:val="21"/>
        </w:rPr>
      </w:pPr>
      <w:r>
        <w:rPr>
          <w:b/>
          <w:szCs w:val="21"/>
        </w:rPr>
        <w:t>2</w:t>
      </w:r>
      <w:r>
        <w:rPr>
          <w:rFonts w:hint="eastAsia"/>
          <w:b/>
          <w:szCs w:val="21"/>
          <w:lang w:val="en-US" w:eastAsia="zh-CN"/>
        </w:rPr>
        <w:t>.</w:t>
      </w:r>
      <w:r>
        <w:rPr>
          <w:rFonts w:hint="eastAsia"/>
          <w:b/>
          <w:szCs w:val="21"/>
        </w:rPr>
        <w:t>带★号条款为不可偏离条款，不作为评分准则中的评分内容，如未响应或出现负偏离的，将作投标无效处理；带“</w:t>
      </w:r>
      <w:r>
        <w:t>▲</w:t>
      </w:r>
      <w:r>
        <w:rPr>
          <w:rFonts w:hint="eastAsia"/>
          <w:b/>
          <w:szCs w:val="21"/>
        </w:rPr>
        <w:t>”指标项为重要参数，负偏离时依相关评分准则内容作重点扣分处理。</w:t>
      </w:r>
    </w:p>
    <w:p w14:paraId="1F120C8A">
      <w:pPr>
        <w:pStyle w:val="38"/>
        <w:ind w:firstLine="422" w:firstLineChars="200"/>
        <w:rPr>
          <w:rFonts w:hint="eastAsia" w:ascii="Times New Roman" w:hAnsi="Times New Roman" w:eastAsia="宋体" w:cs="Times New Roman"/>
          <w:b/>
          <w:kern w:val="2"/>
          <w:sz w:val="21"/>
          <w:szCs w:val="21"/>
          <w:lang w:val="en-US" w:eastAsia="zh-CN" w:bidi="ar-SA"/>
        </w:rPr>
      </w:pPr>
      <w:r>
        <w:rPr>
          <w:rFonts w:hint="eastAsia" w:ascii="Times New Roman" w:hAnsi="Times New Roman" w:eastAsia="宋体" w:cs="Times New Roman"/>
          <w:b/>
          <w:kern w:val="2"/>
          <w:sz w:val="21"/>
          <w:szCs w:val="21"/>
          <w:lang w:val="en-US" w:eastAsia="zh-CN" w:bidi="ar-SA"/>
        </w:rPr>
        <w:t>3.招标商务要求中，用</w:t>
      </w:r>
      <w:r>
        <w:rPr>
          <w:rFonts w:hint="eastAsia" w:ascii="Times New Roman" w:hAnsi="Times New Roman" w:eastAsia="宋体" w:cs="Times New Roman"/>
          <w:b/>
          <w:color w:val="FF0000"/>
          <w:kern w:val="2"/>
          <w:sz w:val="21"/>
          <w:szCs w:val="21"/>
          <w:lang w:val="en-US" w:eastAsia="zh-CN" w:bidi="ar-SA"/>
        </w:rPr>
        <w:t>红色加粗字体</w:t>
      </w:r>
      <w:r>
        <w:rPr>
          <w:rFonts w:hint="eastAsia" w:ascii="Times New Roman" w:hAnsi="Times New Roman" w:eastAsia="宋体" w:cs="Times New Roman"/>
          <w:b/>
          <w:kern w:val="2"/>
          <w:sz w:val="21"/>
          <w:szCs w:val="21"/>
          <w:lang w:val="en-US" w:eastAsia="zh-CN" w:bidi="ar-SA"/>
        </w:rPr>
        <w:t>标注的指标项均要求提供证明资料；其余指标项未要求提供证明资料，无需提供相关证明资料</w:t>
      </w:r>
    </w:p>
    <w:tbl>
      <w:tblPr>
        <w:tblStyle w:val="2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620"/>
        <w:gridCol w:w="5625"/>
      </w:tblGrid>
      <w:tr w14:paraId="4CAC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60" w:type="dxa"/>
            <w:noWrap w:val="0"/>
            <w:vAlign w:val="center"/>
          </w:tcPr>
          <w:p w14:paraId="5D788199">
            <w:pPr>
              <w:jc w:val="center"/>
              <w:rPr>
                <w:rFonts w:hint="eastAsia" w:ascii="宋体" w:hAnsi="宋体" w:eastAsia="宋体" w:cs="宋体"/>
                <w:b/>
              </w:rPr>
            </w:pPr>
            <w:r>
              <w:rPr>
                <w:rFonts w:hint="eastAsia" w:ascii="宋体" w:hAnsi="宋体" w:eastAsia="宋体" w:cs="宋体"/>
                <w:b/>
              </w:rPr>
              <w:t>序号</w:t>
            </w:r>
          </w:p>
        </w:tc>
        <w:tc>
          <w:tcPr>
            <w:tcW w:w="1620" w:type="dxa"/>
            <w:noWrap w:val="0"/>
            <w:vAlign w:val="center"/>
          </w:tcPr>
          <w:p w14:paraId="3F51686C">
            <w:pPr>
              <w:jc w:val="center"/>
              <w:rPr>
                <w:rFonts w:hint="eastAsia" w:ascii="宋体" w:hAnsi="宋体" w:eastAsia="宋体" w:cs="宋体"/>
                <w:b/>
              </w:rPr>
            </w:pPr>
            <w:r>
              <w:rPr>
                <w:rFonts w:hint="eastAsia" w:ascii="宋体" w:hAnsi="宋体" w:eastAsia="宋体" w:cs="宋体"/>
                <w:b/>
              </w:rPr>
              <w:t>目录</w:t>
            </w:r>
          </w:p>
        </w:tc>
        <w:tc>
          <w:tcPr>
            <w:tcW w:w="5625" w:type="dxa"/>
            <w:noWrap w:val="0"/>
            <w:vAlign w:val="center"/>
          </w:tcPr>
          <w:p w14:paraId="46CBF1DD">
            <w:pPr>
              <w:jc w:val="center"/>
              <w:rPr>
                <w:rFonts w:hint="eastAsia" w:ascii="宋体" w:hAnsi="宋体" w:eastAsia="宋体" w:cs="宋体"/>
                <w:b/>
              </w:rPr>
            </w:pPr>
            <w:r>
              <w:rPr>
                <w:rFonts w:hint="eastAsia" w:ascii="宋体" w:hAnsi="宋体" w:eastAsia="宋体" w:cs="宋体"/>
                <w:b/>
              </w:rPr>
              <w:t>商务需求</w:t>
            </w:r>
          </w:p>
        </w:tc>
      </w:tr>
      <w:tr w14:paraId="4934D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505" w:type="dxa"/>
            <w:gridSpan w:val="3"/>
            <w:noWrap w:val="0"/>
            <w:vAlign w:val="top"/>
          </w:tcPr>
          <w:p w14:paraId="75A50BF9">
            <w:pPr>
              <w:rPr>
                <w:rFonts w:hint="eastAsia" w:ascii="宋体" w:hAnsi="宋体" w:eastAsia="宋体" w:cs="宋体"/>
                <w:b/>
              </w:rPr>
            </w:pPr>
            <w:r>
              <w:rPr>
                <w:rFonts w:hint="eastAsia" w:ascii="宋体" w:hAnsi="宋体" w:eastAsia="宋体" w:cs="宋体"/>
                <w:b/>
              </w:rPr>
              <w:t>（一）免费保修期内售后服务要求</w:t>
            </w:r>
          </w:p>
        </w:tc>
      </w:tr>
      <w:tr w14:paraId="4832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1260" w:type="dxa"/>
            <w:vMerge w:val="restart"/>
            <w:noWrap w:val="0"/>
            <w:vAlign w:val="center"/>
          </w:tcPr>
          <w:p w14:paraId="6B47FE6A">
            <w:pPr>
              <w:spacing w:line="300" w:lineRule="exact"/>
              <w:jc w:val="center"/>
              <w:rPr>
                <w:rFonts w:hint="eastAsia" w:ascii="宋体" w:hAnsi="宋体" w:eastAsia="宋体" w:cs="宋体"/>
                <w:b/>
              </w:rPr>
            </w:pPr>
            <w:r>
              <w:rPr>
                <w:rFonts w:hint="eastAsia" w:ascii="宋体" w:hAnsi="宋体" w:eastAsia="宋体" w:cs="宋体"/>
                <w:b/>
              </w:rPr>
              <w:t>1</w:t>
            </w:r>
          </w:p>
        </w:tc>
        <w:tc>
          <w:tcPr>
            <w:tcW w:w="1620" w:type="dxa"/>
            <w:vMerge w:val="restart"/>
            <w:noWrap w:val="0"/>
            <w:vAlign w:val="center"/>
          </w:tcPr>
          <w:p w14:paraId="69F4233E">
            <w:pPr>
              <w:spacing w:line="300" w:lineRule="exact"/>
              <w:rPr>
                <w:rFonts w:hint="eastAsia" w:ascii="宋体" w:hAnsi="宋体" w:eastAsia="宋体" w:cs="宋体"/>
              </w:rPr>
            </w:pPr>
            <w:r>
              <w:rPr>
                <w:rFonts w:hint="eastAsia" w:ascii="宋体" w:hAnsi="宋体" w:eastAsia="宋体" w:cs="宋体"/>
                <w:b/>
                <w:kern w:val="0"/>
                <w:szCs w:val="21"/>
              </w:rPr>
              <w:t>维修及维护服务</w:t>
            </w:r>
          </w:p>
        </w:tc>
        <w:tc>
          <w:tcPr>
            <w:tcW w:w="5625" w:type="dxa"/>
            <w:noWrap w:val="0"/>
            <w:vAlign w:val="top"/>
          </w:tcPr>
          <w:p w14:paraId="1822AE38">
            <w:pPr>
              <w:spacing w:line="300" w:lineRule="exact"/>
              <w:rPr>
                <w:rFonts w:hint="eastAsia" w:ascii="宋体" w:hAnsi="宋体" w:eastAsia="宋体" w:cs="宋体"/>
                <w:b/>
                <w:highlight w:val="none"/>
              </w:rPr>
            </w:pPr>
            <w:r>
              <w:rPr>
                <w:rFonts w:hint="eastAsia" w:ascii="宋体" w:hAnsi="宋体" w:eastAsia="宋体" w:cs="宋体"/>
                <w:b w:val="0"/>
                <w:bCs w:val="0"/>
                <w:color w:val="auto"/>
                <w:kern w:val="0"/>
                <w:szCs w:val="21"/>
                <w:highlight w:val="none"/>
              </w:rPr>
              <w:t>★1.1各投标人应提供原厂或原厂授权机构整机（包括本项目所有软硬件标的）</w:t>
            </w:r>
            <w:r>
              <w:rPr>
                <w:rFonts w:hint="eastAsia" w:ascii="宋体" w:hAnsi="宋体" w:eastAsia="宋体" w:cs="宋体"/>
                <w:b w:val="0"/>
                <w:bCs w:val="0"/>
                <w:color w:val="auto"/>
                <w:kern w:val="0"/>
                <w:szCs w:val="21"/>
                <w:highlight w:val="none"/>
                <w:u w:val="single"/>
              </w:rPr>
              <w:t xml:space="preserve"> </w:t>
            </w:r>
            <w:r>
              <w:rPr>
                <w:rFonts w:hint="eastAsia" w:ascii="宋体" w:hAnsi="宋体" w:eastAsia="宋体" w:cs="宋体"/>
                <w:b w:val="0"/>
                <w:bCs w:val="0"/>
                <w:color w:val="auto"/>
                <w:kern w:val="0"/>
                <w:szCs w:val="21"/>
                <w:highlight w:val="none"/>
                <w:u w:val="single"/>
                <w:lang w:val="en-US" w:eastAsia="zh-CN"/>
              </w:rPr>
              <w:t xml:space="preserve"> </w:t>
            </w:r>
            <w:r>
              <w:rPr>
                <w:rFonts w:hint="eastAsia" w:ascii="宋体" w:hAnsi="宋体" w:eastAsia="宋体" w:cs="宋体"/>
                <w:b w:val="0"/>
                <w:bCs w:val="0"/>
                <w:color w:val="auto"/>
                <w:kern w:val="0"/>
                <w:sz w:val="24"/>
                <w:szCs w:val="24"/>
              </w:rPr>
              <w:t>≥</w:t>
            </w:r>
            <w:r>
              <w:rPr>
                <w:rFonts w:hint="eastAsia" w:ascii="宋体" w:hAnsi="宋体" w:eastAsia="宋体" w:cs="宋体"/>
                <w:b w:val="0"/>
                <w:bCs w:val="0"/>
                <w:color w:val="auto"/>
                <w:kern w:val="0"/>
                <w:szCs w:val="21"/>
                <w:highlight w:val="none"/>
                <w:u w:val="single"/>
              </w:rPr>
              <w:t xml:space="preserve">3  </w:t>
            </w:r>
            <w:r>
              <w:rPr>
                <w:rFonts w:hint="eastAsia" w:ascii="宋体" w:hAnsi="宋体" w:eastAsia="宋体" w:cs="宋体"/>
                <w:b w:val="0"/>
                <w:bCs w:val="0"/>
                <w:color w:val="auto"/>
                <w:kern w:val="0"/>
                <w:szCs w:val="21"/>
                <w:highlight w:val="none"/>
              </w:rPr>
              <w:t>年免费维保,终身维修。保修期内,年度定期预防性维护保养次数应不少于</w:t>
            </w:r>
            <w:r>
              <w:rPr>
                <w:rFonts w:hint="eastAsia" w:ascii="宋体" w:hAnsi="宋体" w:eastAsia="宋体" w:cs="宋体"/>
                <w:b w:val="0"/>
                <w:bCs w:val="0"/>
                <w:color w:val="auto"/>
                <w:kern w:val="0"/>
                <w:szCs w:val="21"/>
                <w:highlight w:val="none"/>
                <w:u w:val="single"/>
              </w:rPr>
              <w:t>4</w:t>
            </w:r>
            <w:r>
              <w:rPr>
                <w:rFonts w:hint="eastAsia" w:ascii="宋体" w:hAnsi="宋体" w:eastAsia="宋体" w:cs="宋体"/>
                <w:b w:val="0"/>
                <w:bCs w:val="0"/>
                <w:color w:val="auto"/>
                <w:kern w:val="0"/>
                <w:szCs w:val="21"/>
                <w:highlight w:val="none"/>
              </w:rPr>
              <w:t>次。保修期内免费更换零配件、免工时费。符合深圳市计量管理要求的仪器设备，在保修期内须免费提供仪器设备的计量检定服务。</w:t>
            </w:r>
          </w:p>
        </w:tc>
      </w:tr>
      <w:tr w14:paraId="7979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260" w:type="dxa"/>
            <w:vMerge w:val="continue"/>
            <w:noWrap w:val="0"/>
            <w:vAlign w:val="center"/>
          </w:tcPr>
          <w:p w14:paraId="1D5E6002">
            <w:pPr>
              <w:spacing w:line="300" w:lineRule="exact"/>
              <w:jc w:val="center"/>
              <w:rPr>
                <w:rFonts w:hint="eastAsia" w:ascii="宋体" w:hAnsi="宋体" w:eastAsia="宋体" w:cs="宋体"/>
                <w:b/>
              </w:rPr>
            </w:pPr>
          </w:p>
        </w:tc>
        <w:tc>
          <w:tcPr>
            <w:tcW w:w="1620" w:type="dxa"/>
            <w:vMerge w:val="continue"/>
            <w:noWrap w:val="0"/>
            <w:vAlign w:val="center"/>
          </w:tcPr>
          <w:p w14:paraId="4B2BCD29">
            <w:pPr>
              <w:spacing w:line="300" w:lineRule="exact"/>
              <w:rPr>
                <w:rFonts w:hint="eastAsia" w:ascii="宋体" w:hAnsi="宋体" w:eastAsia="宋体" w:cs="宋体"/>
                <w:b/>
                <w:kern w:val="0"/>
                <w:szCs w:val="21"/>
              </w:rPr>
            </w:pPr>
          </w:p>
        </w:tc>
        <w:tc>
          <w:tcPr>
            <w:tcW w:w="5625" w:type="dxa"/>
            <w:noWrap w:val="0"/>
            <w:vAlign w:val="top"/>
          </w:tcPr>
          <w:p w14:paraId="43B3A31F">
            <w:pPr>
              <w:spacing w:line="300" w:lineRule="exact"/>
              <w:rPr>
                <w:rFonts w:hint="eastAsia" w:ascii="宋体" w:hAnsi="宋体" w:eastAsia="宋体" w:cs="宋体"/>
                <w:bCs/>
                <w:szCs w:val="21"/>
              </w:rPr>
            </w:pPr>
            <w:r>
              <w:rPr>
                <w:rFonts w:hint="eastAsia" w:ascii="宋体" w:hAnsi="宋体" w:eastAsia="宋体" w:cs="宋体"/>
                <w:b w:val="0"/>
                <w:bCs/>
                <w:color w:val="auto"/>
                <w:sz w:val="21"/>
                <w:szCs w:val="21"/>
                <w:highlight w:val="none"/>
              </w:rPr>
              <w:t>★</w:t>
            </w:r>
            <w:r>
              <w:rPr>
                <w:rFonts w:hint="eastAsia" w:ascii="宋体" w:hAnsi="宋体" w:eastAsia="宋体" w:cs="宋体"/>
                <w:kern w:val="0"/>
                <w:szCs w:val="21"/>
              </w:rPr>
              <w:t>1.2由原厂或原厂授权机构提供售后服务，自接到故障通知时起，</w:t>
            </w:r>
            <w:r>
              <w:rPr>
                <w:rFonts w:hint="eastAsia" w:ascii="宋体" w:hAnsi="宋体" w:eastAsia="宋体" w:cs="宋体"/>
                <w:bCs/>
                <w:kern w:val="0"/>
                <w:szCs w:val="21"/>
                <w:u w:val="single"/>
              </w:rPr>
              <w:t>1</w:t>
            </w:r>
            <w:r>
              <w:rPr>
                <w:rFonts w:hint="eastAsia" w:ascii="宋体" w:hAnsi="宋体" w:eastAsia="宋体" w:cs="宋体"/>
                <w:kern w:val="0"/>
                <w:szCs w:val="21"/>
              </w:rPr>
              <w:t>小时内响应，</w:t>
            </w:r>
            <w:r>
              <w:rPr>
                <w:rFonts w:hint="eastAsia"/>
                <w:highlight w:val="none"/>
              </w:rPr>
              <w:t>≤</w:t>
            </w:r>
            <w:r>
              <w:rPr>
                <w:rFonts w:hint="eastAsia" w:ascii="宋体" w:hAnsi="宋体" w:eastAsia="宋体" w:cs="宋体"/>
                <w:kern w:val="0"/>
                <w:szCs w:val="21"/>
                <w:u w:val="single"/>
              </w:rPr>
              <w:t>24</w:t>
            </w:r>
            <w:r>
              <w:rPr>
                <w:rFonts w:hint="eastAsia" w:ascii="宋体" w:hAnsi="宋体" w:eastAsia="宋体" w:cs="宋体"/>
                <w:kern w:val="0"/>
                <w:szCs w:val="21"/>
              </w:rPr>
              <w:t>小时人员到位，</w:t>
            </w:r>
            <w:r>
              <w:rPr>
                <w:rFonts w:hint="eastAsia"/>
                <w:highlight w:val="none"/>
              </w:rPr>
              <w:t>≤</w:t>
            </w:r>
            <w:r>
              <w:rPr>
                <w:rFonts w:hint="eastAsia" w:ascii="宋体" w:hAnsi="宋体" w:eastAsia="宋体" w:cs="宋体"/>
                <w:bCs/>
                <w:kern w:val="0"/>
                <w:szCs w:val="21"/>
                <w:u w:val="single"/>
              </w:rPr>
              <w:t>48</w:t>
            </w:r>
            <w:r>
              <w:rPr>
                <w:rFonts w:hint="eastAsia" w:ascii="宋体" w:hAnsi="宋体" w:eastAsia="宋体" w:cs="宋体"/>
                <w:kern w:val="0"/>
                <w:szCs w:val="21"/>
              </w:rPr>
              <w:t>小时维修到位（不可抗力情况除外）,消耗品和零配件供应及时。保修期内免费更换零配件、免工时费。设备在保修期内需由原厂进行维修，出原厂维修报告。原厂售后全保包含维修人工及所有配件及零备件费用, 安装、调试、定期校准及保养服务全由原厂工程师（合资格）负责。</w:t>
            </w:r>
          </w:p>
        </w:tc>
      </w:tr>
      <w:tr w14:paraId="03A76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60" w:type="dxa"/>
            <w:vMerge w:val="continue"/>
            <w:noWrap w:val="0"/>
            <w:vAlign w:val="center"/>
          </w:tcPr>
          <w:p w14:paraId="758C2E4B">
            <w:pPr>
              <w:spacing w:line="300" w:lineRule="exact"/>
              <w:jc w:val="center"/>
              <w:rPr>
                <w:rFonts w:hint="eastAsia" w:ascii="宋体" w:hAnsi="宋体" w:eastAsia="宋体" w:cs="宋体"/>
                <w:b/>
              </w:rPr>
            </w:pPr>
          </w:p>
        </w:tc>
        <w:tc>
          <w:tcPr>
            <w:tcW w:w="1620" w:type="dxa"/>
            <w:vMerge w:val="continue"/>
            <w:noWrap w:val="0"/>
            <w:vAlign w:val="center"/>
          </w:tcPr>
          <w:p w14:paraId="661B704A">
            <w:pPr>
              <w:spacing w:line="300" w:lineRule="exact"/>
              <w:rPr>
                <w:rFonts w:hint="eastAsia" w:ascii="宋体" w:hAnsi="宋体" w:eastAsia="宋体" w:cs="宋体"/>
                <w:b/>
                <w:kern w:val="0"/>
                <w:szCs w:val="21"/>
              </w:rPr>
            </w:pPr>
          </w:p>
        </w:tc>
        <w:tc>
          <w:tcPr>
            <w:tcW w:w="5625" w:type="dxa"/>
            <w:noWrap w:val="0"/>
            <w:vAlign w:val="top"/>
          </w:tcPr>
          <w:p w14:paraId="71A428CF">
            <w:pPr>
              <w:pStyle w:val="40"/>
              <w:ind w:firstLine="0" w:firstLineChars="0"/>
              <w:rPr>
                <w:rFonts w:hint="eastAsia" w:ascii="宋体" w:hAnsi="宋体" w:eastAsia="宋体" w:cs="宋体"/>
                <w:b w:val="0"/>
                <w:bCs w:val="0"/>
                <w:color w:val="auto"/>
                <w:kern w:val="0"/>
              </w:rPr>
            </w:pPr>
            <w:r>
              <w:rPr>
                <w:rFonts w:hint="eastAsia" w:ascii="宋体" w:hAnsi="宋体" w:eastAsia="宋体" w:cs="宋体"/>
                <w:b w:val="0"/>
                <w:bCs w:val="0"/>
                <w:color w:val="auto"/>
                <w:kern w:val="0"/>
                <w:szCs w:val="21"/>
                <w:highlight w:val="none"/>
              </w:rPr>
              <w:t>★</w:t>
            </w:r>
            <w:r>
              <w:rPr>
                <w:rFonts w:hint="eastAsia" w:ascii="宋体" w:hAnsi="宋体" w:eastAsia="宋体" w:cs="宋体"/>
                <w:b w:val="0"/>
                <w:bCs w:val="0"/>
                <w:color w:val="auto"/>
                <w:kern w:val="0"/>
              </w:rPr>
              <w:t>1.3投标人须</w:t>
            </w:r>
            <w:r>
              <w:rPr>
                <w:rFonts w:hint="eastAsia" w:ascii="宋体" w:hAnsi="宋体" w:cs="宋体"/>
                <w:b w:val="0"/>
                <w:bCs w:val="0"/>
                <w:color w:val="auto"/>
                <w:kern w:val="0"/>
                <w:lang w:val="en-US" w:eastAsia="zh-CN"/>
              </w:rPr>
              <w:t>保证</w:t>
            </w:r>
            <w:r>
              <w:rPr>
                <w:rFonts w:hint="eastAsia" w:ascii="宋体" w:hAnsi="宋体" w:eastAsia="宋体" w:cs="宋体"/>
                <w:b w:val="0"/>
                <w:bCs w:val="0"/>
                <w:color w:val="auto"/>
                <w:kern w:val="0"/>
              </w:rPr>
              <w:t>，其所投设备制造商</w:t>
            </w:r>
            <w:r>
              <w:rPr>
                <w:rFonts w:hint="eastAsia" w:ascii="宋体" w:hAnsi="宋体" w:cs="宋体"/>
                <w:b w:val="0"/>
                <w:bCs w:val="0"/>
                <w:color w:val="auto"/>
                <w:kern w:val="0"/>
                <w:lang w:val="en-US" w:eastAsia="zh-CN"/>
              </w:rPr>
              <w:t>对</w:t>
            </w:r>
            <w:r>
              <w:rPr>
                <w:rFonts w:hint="eastAsia" w:ascii="宋体" w:hAnsi="宋体" w:eastAsia="宋体" w:cs="宋体"/>
                <w:b w:val="0"/>
                <w:bCs w:val="0"/>
                <w:color w:val="auto"/>
                <w:kern w:val="0"/>
              </w:rPr>
              <w:t>货物</w:t>
            </w:r>
            <w:r>
              <w:rPr>
                <w:rFonts w:hint="eastAsia" w:ascii="宋体" w:hAnsi="宋体" w:cs="宋体"/>
                <w:b w:val="0"/>
                <w:bCs w:val="0"/>
                <w:color w:val="auto"/>
                <w:kern w:val="0"/>
                <w:lang w:val="en-US" w:eastAsia="zh-CN"/>
              </w:rPr>
              <w:t>提供</w:t>
            </w:r>
            <w:r>
              <w:rPr>
                <w:rFonts w:hint="eastAsia" w:ascii="宋体" w:hAnsi="宋体" w:eastAsia="宋体" w:cs="宋体"/>
                <w:b w:val="0"/>
                <w:bCs w:val="0"/>
                <w:color w:val="auto"/>
                <w:kern w:val="0"/>
              </w:rPr>
              <w:t>终身维修</w:t>
            </w:r>
            <w:r>
              <w:rPr>
                <w:rFonts w:hint="eastAsia" w:ascii="宋体" w:hAnsi="宋体" w:cs="宋体"/>
                <w:b w:val="0"/>
                <w:bCs w:val="0"/>
                <w:color w:val="auto"/>
                <w:kern w:val="0"/>
                <w:lang w:val="en-US" w:eastAsia="zh-CN"/>
              </w:rPr>
              <w:t>服务</w:t>
            </w:r>
            <w:r>
              <w:rPr>
                <w:rFonts w:hint="eastAsia" w:ascii="宋体" w:hAnsi="宋体" w:eastAsia="宋体" w:cs="宋体"/>
                <w:b w:val="0"/>
                <w:bCs w:val="0"/>
                <w:color w:val="auto"/>
                <w:kern w:val="0"/>
              </w:rPr>
              <w:t>，保证</w:t>
            </w:r>
            <w:r>
              <w:rPr>
                <w:rFonts w:hint="eastAsia" w:ascii="宋体" w:hAnsi="宋体" w:eastAsia="宋体" w:cs="宋体"/>
                <w:b w:val="0"/>
                <w:bCs w:val="0"/>
                <w:color w:val="auto"/>
                <w:kern w:val="0"/>
                <w:u w:val="single"/>
              </w:rPr>
              <w:t>5</w:t>
            </w:r>
            <w:r>
              <w:rPr>
                <w:rFonts w:hint="eastAsia" w:ascii="宋体" w:hAnsi="宋体" w:eastAsia="宋体" w:cs="宋体"/>
                <w:b w:val="0"/>
                <w:bCs w:val="0"/>
                <w:color w:val="auto"/>
                <w:kern w:val="0"/>
              </w:rPr>
              <w:t>年以上供应维修配件，</w:t>
            </w:r>
            <w:r>
              <w:rPr>
                <w:rFonts w:hint="eastAsia" w:ascii="宋体" w:hAnsi="宋体" w:eastAsia="宋体" w:cs="宋体"/>
                <w:b w:val="0"/>
                <w:bCs w:val="0"/>
                <w:color w:val="auto"/>
                <w:kern w:val="0"/>
                <w:u w:val="single"/>
              </w:rPr>
              <w:t>终身</w:t>
            </w:r>
            <w:r>
              <w:rPr>
                <w:rFonts w:hint="eastAsia" w:ascii="宋体" w:hAnsi="宋体" w:eastAsia="宋体" w:cs="宋体"/>
                <w:b w:val="0"/>
                <w:bCs w:val="0"/>
                <w:color w:val="auto"/>
                <w:kern w:val="0"/>
              </w:rPr>
              <w:t>免费提供软件升级服务。</w:t>
            </w:r>
          </w:p>
          <w:p w14:paraId="6E72FA43">
            <w:pPr>
              <w:pStyle w:val="40"/>
              <w:ind w:firstLine="0" w:firstLineChars="0"/>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w:t>
            </w:r>
            <w:r>
              <w:rPr>
                <w:rFonts w:hint="eastAsia" w:ascii="宋体" w:hAnsi="宋体" w:eastAsia="宋体" w:cs="宋体"/>
                <w:b w:val="0"/>
                <w:bCs w:val="0"/>
                <w:color w:val="auto"/>
                <w:kern w:val="0"/>
                <w:szCs w:val="21"/>
                <w:highlight w:val="none"/>
                <w:lang w:val="en-US" w:eastAsia="zh-CN"/>
              </w:rPr>
              <w:t>1.4维保期内投标人应保证完成软硬件系统补丁定期更新、漏洞修复、应用数据备份、国密改造及可能进行的应用、数据迁移，备份恢复测试工作，保障系统软硬件安全稳定运行。</w:t>
            </w:r>
          </w:p>
          <w:p w14:paraId="33F3B758">
            <w:pPr>
              <w:pStyle w:val="40"/>
              <w:ind w:firstLine="0" w:firstLineChars="0"/>
              <w:rPr>
                <w:rFonts w:hint="default" w:ascii="宋体" w:hAnsi="宋体" w:eastAsia="宋体" w:cs="宋体"/>
                <w:b/>
                <w:bCs/>
                <w:color w:val="FF0000"/>
                <w:kern w:val="0"/>
                <w:szCs w:val="21"/>
                <w:highlight w:val="none"/>
                <w:lang w:val="en-US" w:eastAsia="zh-CN"/>
              </w:rPr>
            </w:pPr>
            <w:r>
              <w:rPr>
                <w:rFonts w:hint="eastAsia" w:ascii="宋体" w:hAnsi="宋体" w:eastAsia="宋体" w:cs="宋体"/>
                <w:b w:val="0"/>
                <w:bCs w:val="0"/>
                <w:color w:val="auto"/>
                <w:kern w:val="0"/>
                <w:szCs w:val="21"/>
                <w:highlight w:val="none"/>
              </w:rPr>
              <w:t>★</w:t>
            </w:r>
            <w:r>
              <w:rPr>
                <w:rFonts w:hint="eastAsia" w:ascii="宋体" w:hAnsi="宋体" w:eastAsia="宋体" w:cs="宋体"/>
                <w:b w:val="0"/>
                <w:bCs w:val="0"/>
                <w:color w:val="auto"/>
                <w:kern w:val="0"/>
                <w:szCs w:val="21"/>
                <w:highlight w:val="none"/>
                <w:lang w:val="en-US" w:eastAsia="zh-CN"/>
              </w:rPr>
              <w:t>1.5系统部署实施及维护需遵守院内网络、数据安全管理要求，签署信息安全保密承诺书及患者隐私协议，由于项目人员管理不当、实施维护事故、系统本身漏洞未及时处置等造成的网络数据安全事故由投标人承担全部责任。</w:t>
            </w:r>
          </w:p>
        </w:tc>
      </w:tr>
      <w:tr w14:paraId="127C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260" w:type="dxa"/>
            <w:noWrap w:val="0"/>
            <w:vAlign w:val="center"/>
          </w:tcPr>
          <w:p w14:paraId="5FECEC7F">
            <w:pPr>
              <w:spacing w:line="300" w:lineRule="exact"/>
              <w:jc w:val="center"/>
              <w:rPr>
                <w:rFonts w:hint="eastAsia" w:ascii="宋体" w:hAnsi="宋体" w:eastAsia="宋体" w:cs="宋体"/>
                <w:b/>
              </w:rPr>
            </w:pPr>
            <w:r>
              <w:rPr>
                <w:rFonts w:hint="eastAsia" w:ascii="宋体" w:hAnsi="宋体" w:eastAsia="宋体" w:cs="宋体"/>
                <w:b/>
              </w:rPr>
              <w:t>2</w:t>
            </w:r>
          </w:p>
        </w:tc>
        <w:tc>
          <w:tcPr>
            <w:tcW w:w="1620" w:type="dxa"/>
            <w:noWrap w:val="0"/>
            <w:vAlign w:val="center"/>
          </w:tcPr>
          <w:p w14:paraId="0F761935">
            <w:pPr>
              <w:spacing w:line="300" w:lineRule="exact"/>
              <w:jc w:val="center"/>
              <w:rPr>
                <w:rFonts w:hint="eastAsia" w:ascii="宋体" w:hAnsi="宋体" w:eastAsia="宋体" w:cs="宋体"/>
              </w:rPr>
            </w:pPr>
            <w:r>
              <w:rPr>
                <w:rFonts w:hint="eastAsia" w:ascii="宋体" w:hAnsi="宋体" w:eastAsia="宋体" w:cs="宋体"/>
                <w:b/>
                <w:kern w:val="0"/>
                <w:szCs w:val="21"/>
              </w:rPr>
              <w:t>质量保证</w:t>
            </w:r>
          </w:p>
        </w:tc>
        <w:tc>
          <w:tcPr>
            <w:tcW w:w="5625" w:type="dxa"/>
            <w:noWrap w:val="0"/>
            <w:vAlign w:val="top"/>
          </w:tcPr>
          <w:p w14:paraId="068075AD">
            <w:pPr>
              <w:spacing w:line="300" w:lineRule="exact"/>
              <w:rPr>
                <w:rFonts w:hint="eastAsia" w:ascii="宋体" w:hAnsi="宋体" w:eastAsia="宋体" w:cs="宋体"/>
                <w:color w:val="FF0000"/>
                <w:kern w:val="0"/>
                <w:szCs w:val="21"/>
              </w:rPr>
            </w:pPr>
            <w:r>
              <w:rPr>
                <w:rFonts w:hint="eastAsia" w:ascii="宋体" w:hAnsi="宋体" w:eastAsia="宋体" w:cs="宋体"/>
                <w:kern w:val="0"/>
                <w:szCs w:val="21"/>
                <w:highlight w:val="none"/>
              </w:rPr>
              <w:t>★</w:t>
            </w:r>
            <w:r>
              <w:rPr>
                <w:rFonts w:hint="eastAsia" w:ascii="宋体" w:hAnsi="宋体" w:eastAsia="宋体" w:cs="宋体"/>
                <w:color w:val="000000"/>
                <w:kern w:val="0"/>
                <w:szCs w:val="21"/>
              </w:rPr>
              <w:t>2.1在保修期内, 投标人应确保年开机率在95%</w:t>
            </w:r>
            <w:r>
              <w:rPr>
                <w:rFonts w:hint="eastAsia" w:ascii="宋体" w:hAnsi="宋体" w:eastAsia="宋体" w:cs="宋体"/>
              </w:rPr>
              <w:t>(含)</w:t>
            </w:r>
            <w:r>
              <w:rPr>
                <w:rFonts w:hint="eastAsia" w:ascii="宋体" w:hAnsi="宋体" w:eastAsia="宋体" w:cs="宋体"/>
                <w:color w:val="000000"/>
                <w:kern w:val="0"/>
                <w:szCs w:val="21"/>
              </w:rPr>
              <w:t>以上, 若不能达到此开机率，将作以下处理：a. 年开机率在90</w:t>
            </w:r>
            <w:r>
              <w:rPr>
                <w:rFonts w:hint="eastAsia" w:ascii="宋体" w:hAnsi="宋体" w:eastAsia="宋体" w:cs="宋体"/>
                <w:color w:val="000000"/>
                <w:kern w:val="0"/>
                <w:szCs w:val="21"/>
                <w:lang w:eastAsia="zh-CN"/>
              </w:rPr>
              <w:t>%（含）—</w:t>
            </w:r>
            <w:r>
              <w:rPr>
                <w:rFonts w:hint="eastAsia" w:ascii="宋体" w:hAnsi="宋体" w:eastAsia="宋体" w:cs="宋体"/>
                <w:color w:val="000000"/>
                <w:kern w:val="0"/>
                <w:szCs w:val="21"/>
              </w:rPr>
              <w:t>95%（不</w:t>
            </w:r>
            <w:r>
              <w:rPr>
                <w:rFonts w:hint="eastAsia" w:ascii="宋体" w:hAnsi="宋体" w:eastAsia="宋体" w:cs="宋体"/>
              </w:rPr>
              <w:t>含</w:t>
            </w:r>
            <w:r>
              <w:rPr>
                <w:rFonts w:hint="eastAsia" w:ascii="宋体" w:hAnsi="宋体" w:eastAsia="宋体" w:cs="宋体"/>
                <w:lang w:eastAsia="zh-CN"/>
              </w:rPr>
              <w:t>）</w:t>
            </w:r>
            <w:r>
              <w:rPr>
                <w:rFonts w:hint="eastAsia" w:ascii="宋体" w:hAnsi="宋体" w:eastAsia="宋体" w:cs="宋体"/>
                <w:color w:val="000000"/>
                <w:kern w:val="0"/>
                <w:szCs w:val="21"/>
              </w:rPr>
              <w:t>之间</w:t>
            </w:r>
            <w:r>
              <w:rPr>
                <w:rFonts w:hint="eastAsia" w:ascii="宋体" w:hAnsi="宋体" w:eastAsia="宋体" w:cs="宋体"/>
                <w:color w:val="000000"/>
                <w:kern w:val="0"/>
                <w:szCs w:val="21"/>
                <w:lang w:eastAsia="zh-CN"/>
              </w:rPr>
              <w:t>，按</w:t>
            </w:r>
            <w:r>
              <w:rPr>
                <w:rFonts w:hint="eastAsia" w:ascii="宋体" w:hAnsi="宋体" w:eastAsia="宋体" w:cs="宋体"/>
                <w:color w:val="000000"/>
                <w:kern w:val="0"/>
                <w:szCs w:val="21"/>
              </w:rPr>
              <w:t>一赔</w:t>
            </w:r>
            <w:r>
              <w:rPr>
                <w:rFonts w:hint="eastAsia" w:ascii="宋体" w:hAnsi="宋体" w:eastAsia="宋体" w:cs="宋体"/>
                <w:color w:val="000000"/>
                <w:kern w:val="0"/>
                <w:szCs w:val="21"/>
                <w:u w:val="single"/>
              </w:rPr>
              <w:t xml:space="preserve"> 二</w:t>
            </w:r>
            <w:r>
              <w:rPr>
                <w:rFonts w:hint="eastAsia" w:ascii="宋体" w:hAnsi="宋体" w:eastAsia="宋体" w:cs="宋体"/>
                <w:color w:val="000000"/>
                <w:kern w:val="0"/>
                <w:szCs w:val="21"/>
              </w:rPr>
              <w:t>延长保修期；b. 年开机率在85（含）-90%（不</w:t>
            </w:r>
            <w:r>
              <w:rPr>
                <w:rFonts w:hint="eastAsia" w:ascii="宋体" w:hAnsi="宋体" w:eastAsia="宋体" w:cs="宋体"/>
              </w:rPr>
              <w:t>含)</w:t>
            </w:r>
            <w:r>
              <w:rPr>
                <w:rFonts w:hint="eastAsia" w:ascii="宋体" w:hAnsi="宋体" w:eastAsia="宋体" w:cs="宋体"/>
                <w:color w:val="000000"/>
                <w:kern w:val="0"/>
                <w:szCs w:val="21"/>
              </w:rPr>
              <w:t>之间按一赔</w:t>
            </w:r>
            <w:r>
              <w:rPr>
                <w:rFonts w:hint="eastAsia" w:ascii="宋体" w:hAnsi="宋体" w:eastAsia="宋体" w:cs="宋体"/>
                <w:color w:val="000000"/>
                <w:kern w:val="0"/>
                <w:szCs w:val="21"/>
                <w:u w:val="single"/>
              </w:rPr>
              <w:t>五</w:t>
            </w:r>
            <w:r>
              <w:rPr>
                <w:rFonts w:hint="eastAsia" w:ascii="宋体" w:hAnsi="宋体" w:eastAsia="宋体" w:cs="宋体"/>
                <w:color w:val="000000"/>
                <w:kern w:val="0"/>
                <w:szCs w:val="21"/>
              </w:rPr>
              <w:t>延长保修期；c. 年开机率低于85%（不</w:t>
            </w:r>
            <w:r>
              <w:rPr>
                <w:rFonts w:hint="eastAsia" w:ascii="宋体" w:hAnsi="宋体" w:eastAsia="宋体" w:cs="宋体"/>
              </w:rPr>
              <w:t>含)</w:t>
            </w:r>
            <w:r>
              <w:rPr>
                <w:rFonts w:hint="eastAsia" w:ascii="宋体" w:hAnsi="宋体" w:eastAsia="宋体" w:cs="宋体"/>
                <w:color w:val="000000"/>
                <w:kern w:val="0"/>
                <w:szCs w:val="21"/>
              </w:rPr>
              <w:t>，投标人必须无条件更换新机，并重新计算保修期，以及赔偿用户的直接经济损失和间接经济损失。注：年开机率=（年实际开机天数/年应开机天数）*100%。</w:t>
            </w:r>
          </w:p>
        </w:tc>
      </w:tr>
      <w:tr w14:paraId="212B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505" w:type="dxa"/>
            <w:gridSpan w:val="3"/>
            <w:noWrap w:val="0"/>
            <w:vAlign w:val="top"/>
          </w:tcPr>
          <w:p w14:paraId="40EE2A98">
            <w:pPr>
              <w:spacing w:line="300" w:lineRule="exact"/>
              <w:rPr>
                <w:rFonts w:hint="eastAsia" w:ascii="宋体" w:hAnsi="宋体" w:eastAsia="宋体" w:cs="宋体"/>
                <w:b/>
              </w:rPr>
            </w:pPr>
            <w:r>
              <w:rPr>
                <w:rFonts w:hint="eastAsia" w:ascii="宋体" w:hAnsi="宋体" w:eastAsia="宋体" w:cs="宋体"/>
                <w:b/>
              </w:rPr>
              <w:t>（二）免费保修期外售后服务要求</w:t>
            </w:r>
          </w:p>
        </w:tc>
      </w:tr>
      <w:tr w14:paraId="59C4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260" w:type="dxa"/>
            <w:vMerge w:val="restart"/>
            <w:noWrap w:val="0"/>
            <w:vAlign w:val="center"/>
          </w:tcPr>
          <w:p w14:paraId="76B243F6">
            <w:pPr>
              <w:spacing w:line="300" w:lineRule="exact"/>
              <w:jc w:val="center"/>
              <w:rPr>
                <w:rFonts w:hint="eastAsia" w:ascii="宋体" w:hAnsi="宋体" w:eastAsia="宋体" w:cs="宋体"/>
                <w:b/>
              </w:rPr>
            </w:pPr>
            <w:r>
              <w:rPr>
                <w:rFonts w:hint="eastAsia" w:ascii="宋体" w:hAnsi="宋体" w:eastAsia="宋体" w:cs="宋体"/>
                <w:b/>
              </w:rPr>
              <w:t>1</w:t>
            </w:r>
          </w:p>
        </w:tc>
        <w:tc>
          <w:tcPr>
            <w:tcW w:w="1620" w:type="dxa"/>
            <w:vMerge w:val="restart"/>
            <w:noWrap w:val="0"/>
            <w:vAlign w:val="center"/>
          </w:tcPr>
          <w:p w14:paraId="7D105AB7">
            <w:pPr>
              <w:spacing w:line="300" w:lineRule="exact"/>
              <w:jc w:val="center"/>
              <w:rPr>
                <w:rFonts w:hint="eastAsia" w:ascii="宋体" w:hAnsi="宋体" w:eastAsia="宋体" w:cs="宋体"/>
                <w:b/>
              </w:rPr>
            </w:pPr>
            <w:r>
              <w:rPr>
                <w:rFonts w:hint="eastAsia" w:ascii="宋体" w:hAnsi="宋体" w:eastAsia="宋体" w:cs="宋体"/>
                <w:b/>
                <w:kern w:val="0"/>
                <w:szCs w:val="21"/>
              </w:rPr>
              <w:t>维修零配件、消耗品和延续保修合同的报价</w:t>
            </w:r>
          </w:p>
        </w:tc>
        <w:tc>
          <w:tcPr>
            <w:tcW w:w="5625" w:type="dxa"/>
            <w:noWrap w:val="0"/>
            <w:vAlign w:val="top"/>
          </w:tcPr>
          <w:p w14:paraId="22151B78">
            <w:pPr>
              <w:spacing w:line="300" w:lineRule="exact"/>
              <w:rPr>
                <w:rFonts w:hint="eastAsia" w:ascii="宋体" w:hAnsi="宋体" w:eastAsia="宋体" w:cs="宋体"/>
                <w:kern w:val="0"/>
                <w:szCs w:val="21"/>
              </w:rPr>
            </w:pPr>
            <w:r>
              <w:rPr>
                <w:rFonts w:hint="eastAsia" w:ascii="宋体" w:hAnsi="宋体" w:eastAsia="宋体" w:cs="宋体"/>
                <w:kern w:val="0"/>
                <w:szCs w:val="21"/>
                <w:highlight w:val="none"/>
              </w:rPr>
              <w:t>★</w:t>
            </w:r>
            <w:r>
              <w:rPr>
                <w:rFonts w:hint="eastAsia" w:ascii="宋体" w:hAnsi="宋体" w:eastAsia="宋体" w:cs="宋体"/>
                <w:kern w:val="0"/>
                <w:szCs w:val="21"/>
              </w:rPr>
              <w:t>1.1由设备制造商提供售后服务，</w:t>
            </w:r>
            <w:r>
              <w:rPr>
                <w:rFonts w:hint="eastAsia" w:ascii="宋体" w:hAnsi="宋体" w:eastAsia="宋体" w:cs="宋体"/>
                <w:bCs/>
                <w:kern w:val="0"/>
                <w:szCs w:val="21"/>
                <w:u w:val="single"/>
              </w:rPr>
              <w:t>1</w:t>
            </w:r>
            <w:r>
              <w:rPr>
                <w:rFonts w:hint="eastAsia" w:ascii="宋体" w:hAnsi="宋体" w:eastAsia="宋体" w:cs="宋体"/>
                <w:kern w:val="0"/>
                <w:szCs w:val="21"/>
              </w:rPr>
              <w:t>小时内响应，</w:t>
            </w:r>
            <w:r>
              <w:rPr>
                <w:rFonts w:hint="eastAsia" w:ascii="宋体" w:hAnsi="宋体" w:eastAsia="宋体" w:cs="宋体"/>
                <w:kern w:val="0"/>
                <w:szCs w:val="21"/>
                <w:u w:val="single"/>
              </w:rPr>
              <w:t>24</w:t>
            </w:r>
            <w:r>
              <w:rPr>
                <w:rFonts w:hint="eastAsia" w:ascii="宋体" w:hAnsi="宋体" w:eastAsia="宋体" w:cs="宋体"/>
                <w:kern w:val="0"/>
                <w:szCs w:val="21"/>
              </w:rPr>
              <w:t>小时人员到位，</w:t>
            </w:r>
            <w:r>
              <w:rPr>
                <w:rFonts w:hint="eastAsia" w:ascii="宋体" w:hAnsi="宋体" w:eastAsia="宋体" w:cs="宋体"/>
                <w:bCs/>
                <w:kern w:val="0"/>
                <w:szCs w:val="21"/>
                <w:u w:val="single"/>
              </w:rPr>
              <w:t>48</w:t>
            </w:r>
            <w:r>
              <w:rPr>
                <w:rFonts w:hint="eastAsia" w:ascii="宋体" w:hAnsi="宋体" w:eastAsia="宋体" w:cs="宋体"/>
                <w:kern w:val="0"/>
                <w:szCs w:val="21"/>
              </w:rPr>
              <w:t>小时维修到位（不可抗力情况除外）,</w:t>
            </w:r>
            <w:r>
              <w:rPr>
                <w:rFonts w:hint="eastAsia" w:ascii="宋体" w:hAnsi="宋体" w:eastAsia="宋体" w:cs="宋体"/>
              </w:rPr>
              <w:t xml:space="preserve"> </w:t>
            </w:r>
            <w:r>
              <w:rPr>
                <w:rFonts w:hint="eastAsia" w:ascii="宋体" w:hAnsi="宋体" w:eastAsia="宋体" w:cs="宋体"/>
                <w:kern w:val="0"/>
                <w:szCs w:val="21"/>
              </w:rPr>
              <w:t>消耗品和零配件供应及时。</w:t>
            </w:r>
          </w:p>
        </w:tc>
      </w:tr>
      <w:tr w14:paraId="2A7FD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1260" w:type="dxa"/>
            <w:vMerge w:val="continue"/>
            <w:noWrap w:val="0"/>
            <w:vAlign w:val="center"/>
          </w:tcPr>
          <w:p w14:paraId="51F227B9">
            <w:pPr>
              <w:spacing w:line="300" w:lineRule="exact"/>
              <w:jc w:val="center"/>
              <w:rPr>
                <w:rFonts w:hint="eastAsia" w:ascii="宋体" w:hAnsi="宋体" w:eastAsia="宋体" w:cs="宋体"/>
                <w:b/>
              </w:rPr>
            </w:pPr>
          </w:p>
        </w:tc>
        <w:tc>
          <w:tcPr>
            <w:tcW w:w="1620" w:type="dxa"/>
            <w:vMerge w:val="continue"/>
            <w:noWrap w:val="0"/>
            <w:vAlign w:val="center"/>
          </w:tcPr>
          <w:p w14:paraId="657300E5">
            <w:pPr>
              <w:spacing w:line="300" w:lineRule="exact"/>
              <w:jc w:val="center"/>
              <w:rPr>
                <w:rFonts w:hint="eastAsia" w:ascii="宋体" w:hAnsi="宋体" w:eastAsia="宋体" w:cs="宋体"/>
                <w:b/>
                <w:kern w:val="0"/>
                <w:szCs w:val="21"/>
              </w:rPr>
            </w:pPr>
          </w:p>
        </w:tc>
        <w:tc>
          <w:tcPr>
            <w:tcW w:w="5625" w:type="dxa"/>
            <w:noWrap w:val="0"/>
            <w:vAlign w:val="top"/>
          </w:tcPr>
          <w:p w14:paraId="66ECDB5F">
            <w:pPr>
              <w:spacing w:line="300" w:lineRule="exact"/>
              <w:rPr>
                <w:rFonts w:hint="eastAsia" w:ascii="宋体" w:hAnsi="宋体" w:eastAsia="宋体" w:cs="宋体"/>
                <w:kern w:val="0"/>
                <w:szCs w:val="21"/>
              </w:rPr>
            </w:pPr>
            <w:r>
              <w:rPr>
                <w:rFonts w:hint="eastAsia" w:ascii="宋体" w:hAnsi="宋体" w:eastAsia="宋体" w:cs="宋体"/>
                <w:kern w:val="0"/>
                <w:szCs w:val="21"/>
                <w:highlight w:val="none"/>
              </w:rPr>
              <w:t>★</w:t>
            </w:r>
            <w:r>
              <w:rPr>
                <w:rFonts w:hint="eastAsia" w:ascii="宋体" w:hAnsi="宋体" w:eastAsia="宋体" w:cs="宋体"/>
                <w:kern w:val="0"/>
                <w:szCs w:val="21"/>
              </w:rPr>
              <w:t>1.2</w:t>
            </w:r>
            <w:r>
              <w:rPr>
                <w:rFonts w:hint="eastAsia" w:ascii="宋体" w:hAnsi="宋体" w:eastAsia="宋体" w:cs="宋体"/>
                <w:b/>
                <w:bCs/>
                <w:color w:val="FF0000"/>
                <w:kern w:val="0"/>
                <w:szCs w:val="21"/>
              </w:rPr>
              <w:t>保修期满后，投标人应以优惠价供应维修零配件、消耗品和延续保修合同。投标设备必需的零配件、高值耗材、消耗品和延续保修合同的报价明细必须全部填写于《零配件、消耗品和延续保修合同报价</w:t>
            </w:r>
            <w:r>
              <w:rPr>
                <w:rFonts w:hint="eastAsia" w:ascii="宋体" w:hAnsi="宋体" w:eastAsia="宋体" w:cs="宋体"/>
                <w:b/>
                <w:bCs/>
                <w:color w:val="FF0000"/>
                <w:kern w:val="0"/>
                <w:szCs w:val="21"/>
                <w:lang w:eastAsia="zh-CN"/>
              </w:rPr>
              <w:t>明细单</w:t>
            </w:r>
            <w:r>
              <w:rPr>
                <w:rFonts w:hint="eastAsia" w:ascii="宋体" w:hAnsi="宋体" w:eastAsia="宋体" w:cs="宋体"/>
                <w:b/>
                <w:bCs/>
                <w:color w:val="FF0000"/>
                <w:kern w:val="0"/>
                <w:szCs w:val="21"/>
              </w:rPr>
              <w:t>》中</w:t>
            </w:r>
            <w:r>
              <w:rPr>
                <w:rFonts w:hint="eastAsia" w:ascii="宋体" w:hAnsi="宋体" w:cs="宋体"/>
                <w:b/>
                <w:bCs/>
                <w:color w:val="FF0000"/>
                <w:kern w:val="0"/>
                <w:szCs w:val="21"/>
                <w:lang w:eastAsia="zh-CN"/>
              </w:rPr>
              <w:t>，未列明的视为免费提供</w:t>
            </w:r>
            <w:r>
              <w:rPr>
                <w:rFonts w:hint="eastAsia" w:ascii="宋体" w:hAnsi="宋体" w:eastAsia="宋体" w:cs="宋体"/>
                <w:b/>
                <w:bCs/>
                <w:color w:val="FF0000"/>
                <w:kern w:val="0"/>
                <w:szCs w:val="21"/>
              </w:rPr>
              <w:t>。</w:t>
            </w:r>
            <w:r>
              <w:rPr>
                <w:rFonts w:hint="eastAsia" w:ascii="宋体" w:hAnsi="宋体" w:eastAsia="宋体" w:cs="宋体"/>
                <w:kern w:val="0"/>
                <w:szCs w:val="21"/>
              </w:rPr>
              <w:t>免费保修期满后负责货物的终身维修，以优惠价供应维修零配件、消耗品以及提供延续保修合同</w:t>
            </w:r>
            <w:r>
              <w:rPr>
                <w:rFonts w:hint="eastAsia" w:ascii="宋体" w:hAnsi="宋体" w:cs="宋体"/>
                <w:kern w:val="0"/>
                <w:szCs w:val="21"/>
                <w:lang w:eastAsia="zh-CN"/>
              </w:rPr>
              <w:t>，其中整机（含本项目所有软硬件标的）每年保修价格不高于合同价的10%</w:t>
            </w:r>
            <w:r>
              <w:rPr>
                <w:rFonts w:hint="eastAsia" w:ascii="宋体" w:hAnsi="宋体" w:eastAsia="宋体" w:cs="宋体"/>
                <w:kern w:val="0"/>
                <w:szCs w:val="21"/>
              </w:rPr>
              <w:t>。</w:t>
            </w:r>
          </w:p>
        </w:tc>
      </w:tr>
      <w:tr w14:paraId="3D26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260" w:type="dxa"/>
            <w:vMerge w:val="continue"/>
            <w:noWrap w:val="0"/>
            <w:vAlign w:val="center"/>
          </w:tcPr>
          <w:p w14:paraId="796C7688">
            <w:pPr>
              <w:jc w:val="center"/>
              <w:rPr>
                <w:rFonts w:hint="eastAsia" w:ascii="宋体" w:hAnsi="宋体" w:eastAsia="宋体" w:cs="宋体"/>
                <w:b/>
              </w:rPr>
            </w:pPr>
          </w:p>
        </w:tc>
        <w:tc>
          <w:tcPr>
            <w:tcW w:w="1620" w:type="dxa"/>
            <w:vMerge w:val="continue"/>
            <w:noWrap w:val="0"/>
            <w:vAlign w:val="top"/>
          </w:tcPr>
          <w:p w14:paraId="392CBBAA">
            <w:pPr>
              <w:rPr>
                <w:rFonts w:hint="eastAsia" w:ascii="宋体" w:hAnsi="宋体" w:eastAsia="宋体" w:cs="宋体"/>
                <w:b/>
              </w:rPr>
            </w:pPr>
          </w:p>
        </w:tc>
        <w:tc>
          <w:tcPr>
            <w:tcW w:w="5625" w:type="dxa"/>
            <w:noWrap w:val="0"/>
            <w:vAlign w:val="top"/>
          </w:tcPr>
          <w:p w14:paraId="4D942CEE">
            <w:pPr>
              <w:rPr>
                <w:rFonts w:hint="eastAsia" w:ascii="宋体" w:hAnsi="宋体" w:eastAsia="宋体" w:cs="宋体"/>
                <w:b/>
              </w:rPr>
            </w:pPr>
            <w:r>
              <w:rPr>
                <w:rFonts w:hint="eastAsia" w:ascii="宋体" w:hAnsi="宋体" w:eastAsia="宋体" w:cs="宋体"/>
                <w:kern w:val="0"/>
                <w:szCs w:val="21"/>
                <w:highlight w:val="none"/>
              </w:rPr>
              <w:t>★</w:t>
            </w:r>
            <w:r>
              <w:rPr>
                <w:rFonts w:hint="eastAsia" w:ascii="宋体" w:hAnsi="宋体" w:eastAsia="宋体" w:cs="宋体"/>
                <w:kern w:val="0"/>
                <w:szCs w:val="21"/>
              </w:rPr>
              <w:t>1.3设备制造商维修的货物经采购人验收合格，且设备制造商提供合法有效发票后，采购人支付维修费用。</w:t>
            </w:r>
          </w:p>
        </w:tc>
      </w:tr>
      <w:tr w14:paraId="5616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260" w:type="dxa"/>
            <w:vMerge w:val="continue"/>
            <w:noWrap w:val="0"/>
            <w:vAlign w:val="center"/>
          </w:tcPr>
          <w:p w14:paraId="1E3F0266">
            <w:pPr>
              <w:jc w:val="center"/>
              <w:rPr>
                <w:rFonts w:hint="eastAsia" w:ascii="宋体" w:hAnsi="宋体" w:eastAsia="宋体" w:cs="宋体"/>
                <w:b/>
              </w:rPr>
            </w:pPr>
          </w:p>
        </w:tc>
        <w:tc>
          <w:tcPr>
            <w:tcW w:w="1620" w:type="dxa"/>
            <w:vMerge w:val="continue"/>
            <w:noWrap w:val="0"/>
            <w:vAlign w:val="top"/>
          </w:tcPr>
          <w:p w14:paraId="083E32F4">
            <w:pPr>
              <w:rPr>
                <w:rFonts w:hint="eastAsia" w:ascii="宋体" w:hAnsi="宋体" w:eastAsia="宋体" w:cs="宋体"/>
                <w:b/>
              </w:rPr>
            </w:pPr>
          </w:p>
        </w:tc>
        <w:tc>
          <w:tcPr>
            <w:tcW w:w="5625" w:type="dxa"/>
            <w:noWrap w:val="0"/>
            <w:vAlign w:val="top"/>
          </w:tcPr>
          <w:p w14:paraId="4449CFE4">
            <w:pPr>
              <w:rPr>
                <w:rFonts w:hint="eastAsia" w:ascii="宋体" w:hAnsi="宋体" w:eastAsia="宋体" w:cs="宋体"/>
                <w:b/>
              </w:rPr>
            </w:pPr>
            <w:r>
              <w:rPr>
                <w:rFonts w:hint="eastAsia" w:ascii="宋体" w:hAnsi="宋体" w:eastAsia="宋体" w:cs="宋体"/>
                <w:kern w:val="0"/>
                <w:szCs w:val="21"/>
                <w:highlight w:val="none"/>
              </w:rPr>
              <w:t>★</w:t>
            </w:r>
            <w:r>
              <w:rPr>
                <w:rFonts w:hint="eastAsia" w:ascii="宋体" w:hAnsi="宋体" w:eastAsia="宋体" w:cs="宋体"/>
                <w:kern w:val="0"/>
                <w:szCs w:val="21"/>
              </w:rPr>
              <w:t>1.4投标人及设备制造商不得以任何理由不按时进行维修，不得要求采购人购买所谓“保修服务”（即：不论设备有无故障，是否已购买保修服务），不得在设备中嵌设任何不利于采购人使用与维修设备的障碍。</w:t>
            </w:r>
          </w:p>
        </w:tc>
      </w:tr>
      <w:tr w14:paraId="5E8C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505" w:type="dxa"/>
            <w:gridSpan w:val="3"/>
            <w:noWrap w:val="0"/>
            <w:vAlign w:val="top"/>
          </w:tcPr>
          <w:p w14:paraId="7444B781">
            <w:pPr>
              <w:rPr>
                <w:rFonts w:hint="eastAsia" w:ascii="宋体" w:hAnsi="宋体" w:eastAsia="宋体" w:cs="宋体"/>
                <w:b/>
              </w:rPr>
            </w:pPr>
            <w:r>
              <w:rPr>
                <w:rFonts w:hint="eastAsia" w:ascii="宋体" w:hAnsi="宋体" w:eastAsia="宋体" w:cs="宋体"/>
                <w:b/>
              </w:rPr>
              <w:t>（三）其他商务要求</w:t>
            </w:r>
          </w:p>
        </w:tc>
      </w:tr>
      <w:tr w14:paraId="36BB8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7" w:hRule="atLeast"/>
          <w:jc w:val="center"/>
        </w:trPr>
        <w:tc>
          <w:tcPr>
            <w:tcW w:w="1260" w:type="dxa"/>
            <w:vMerge w:val="restart"/>
            <w:noWrap w:val="0"/>
            <w:vAlign w:val="center"/>
          </w:tcPr>
          <w:p w14:paraId="553E60F0">
            <w:pPr>
              <w:jc w:val="center"/>
              <w:rPr>
                <w:rFonts w:hint="eastAsia" w:ascii="宋体" w:hAnsi="宋体" w:eastAsia="宋体" w:cs="宋体"/>
                <w:b/>
              </w:rPr>
            </w:pPr>
            <w:r>
              <w:rPr>
                <w:rFonts w:hint="eastAsia" w:ascii="宋体" w:hAnsi="宋体" w:eastAsia="宋体" w:cs="宋体"/>
                <w:b/>
              </w:rPr>
              <w:t>1</w:t>
            </w:r>
          </w:p>
        </w:tc>
        <w:tc>
          <w:tcPr>
            <w:tcW w:w="1620" w:type="dxa"/>
            <w:vMerge w:val="restart"/>
            <w:noWrap w:val="0"/>
            <w:vAlign w:val="center"/>
          </w:tcPr>
          <w:p w14:paraId="4CFBE50F">
            <w:pPr>
              <w:jc w:val="center"/>
              <w:rPr>
                <w:rFonts w:hint="eastAsia" w:ascii="宋体" w:hAnsi="宋体" w:eastAsia="宋体" w:cs="宋体"/>
              </w:rPr>
            </w:pPr>
            <w:r>
              <w:rPr>
                <w:rFonts w:hint="eastAsia" w:ascii="宋体" w:hAnsi="宋体" w:eastAsia="宋体" w:cs="宋体"/>
                <w:b/>
                <w:szCs w:val="21"/>
              </w:rPr>
              <w:t>交货要求</w:t>
            </w:r>
          </w:p>
        </w:tc>
        <w:tc>
          <w:tcPr>
            <w:tcW w:w="5625" w:type="dxa"/>
            <w:noWrap w:val="0"/>
            <w:vAlign w:val="top"/>
          </w:tcPr>
          <w:p w14:paraId="7B58D3DB">
            <w:pPr>
              <w:rPr>
                <w:rFonts w:hint="eastAsia" w:ascii="宋体" w:hAnsi="宋体" w:eastAsia="宋体" w:cs="宋体"/>
                <w:b w:val="0"/>
                <w:bCs w:val="0"/>
                <w:color w:val="auto"/>
                <w:kern w:val="0"/>
                <w:szCs w:val="21"/>
              </w:rPr>
            </w:pPr>
            <w:r>
              <w:rPr>
                <w:rFonts w:hint="eastAsia" w:ascii="宋体" w:hAnsi="宋体" w:eastAsia="宋体" w:cs="宋体"/>
                <w:b w:val="0"/>
                <w:bCs w:val="0"/>
                <w:color w:val="auto"/>
                <w:kern w:val="0"/>
                <w:szCs w:val="21"/>
              </w:rPr>
              <w:t>★</w:t>
            </w:r>
            <w:r>
              <w:rPr>
                <w:rFonts w:hint="eastAsia" w:ascii="宋体" w:hAnsi="宋体" w:eastAsia="宋体" w:cs="宋体"/>
                <w:b w:val="0"/>
                <w:bCs w:val="0"/>
                <w:color w:val="auto"/>
                <w:szCs w:val="21"/>
              </w:rPr>
              <w:t>1.1</w:t>
            </w:r>
            <w:r>
              <w:rPr>
                <w:rFonts w:hint="eastAsia" w:ascii="宋体" w:hAnsi="宋体" w:eastAsia="宋体" w:cs="宋体"/>
                <w:b w:val="0"/>
                <w:bCs w:val="0"/>
                <w:color w:val="auto"/>
                <w:kern w:val="0"/>
                <w:szCs w:val="21"/>
              </w:rPr>
              <w:t>投标人所投设备在签订合同之日起</w:t>
            </w:r>
            <w:r>
              <w:rPr>
                <w:rFonts w:hint="eastAsia" w:ascii="宋体" w:hAnsi="宋体" w:eastAsia="宋体" w:cs="宋体"/>
                <w:b w:val="0"/>
                <w:bCs w:val="0"/>
                <w:color w:val="auto"/>
                <w:kern w:val="0"/>
                <w:szCs w:val="21"/>
                <w:u w:val="single"/>
              </w:rPr>
              <w:t>60</w:t>
            </w:r>
            <w:r>
              <w:rPr>
                <w:rFonts w:hint="eastAsia" w:ascii="宋体" w:hAnsi="宋体" w:eastAsia="宋体" w:cs="宋体"/>
                <w:b w:val="0"/>
                <w:bCs w:val="0"/>
                <w:color w:val="auto"/>
                <w:kern w:val="0"/>
                <w:szCs w:val="21"/>
              </w:rPr>
              <w:t>个日历日内交货。交货地址：深圳市龙岗区宝荷路113号。</w:t>
            </w:r>
          </w:p>
          <w:p w14:paraId="7C6541DA">
            <w:pPr>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交货资料：</w:t>
            </w:r>
            <w:r>
              <w:rPr>
                <w:rFonts w:hint="eastAsia" w:ascii="宋体" w:hAnsi="宋体" w:eastAsia="宋体" w:cs="宋体"/>
                <w:b w:val="0"/>
                <w:bCs w:val="0"/>
                <w:color w:val="auto"/>
                <w:szCs w:val="21"/>
              </w:rPr>
              <w:t>投标人</w:t>
            </w:r>
            <w:r>
              <w:rPr>
                <w:rFonts w:hint="eastAsia" w:ascii="宋体" w:hAnsi="宋体" w:eastAsia="宋体" w:cs="宋体"/>
                <w:b w:val="0"/>
                <w:bCs w:val="0"/>
                <w:color w:val="auto"/>
                <w:kern w:val="0"/>
                <w:szCs w:val="21"/>
              </w:rPr>
              <w:t>应提供货物的技术文件，包括但不限于设备配置清单、医疗器械注册证/备案证及其附件（含产品技术要求、产品检验报告）、产品说明书、图纸（如有）、操作手册、维护手册（含维修密码及接口数据）、质量保证文件、服务指南</w:t>
            </w:r>
            <w:r>
              <w:rPr>
                <w:rFonts w:hint="eastAsia" w:ascii="宋体" w:hAnsi="宋体" w:eastAsia="宋体" w:cs="宋体"/>
                <w:b w:val="0"/>
                <w:bCs w:val="0"/>
                <w:color w:val="auto"/>
                <w:kern w:val="0"/>
                <w:szCs w:val="21"/>
                <w:lang w:val="en-US" w:eastAsia="zh-CN"/>
              </w:rPr>
              <w:t>、系统软硬件最大管理员账户及权限</w:t>
            </w:r>
            <w:r>
              <w:rPr>
                <w:rFonts w:hint="eastAsia" w:ascii="宋体" w:hAnsi="宋体" w:eastAsia="宋体" w:cs="宋体"/>
                <w:b w:val="0"/>
                <w:bCs w:val="0"/>
                <w:color w:val="auto"/>
                <w:kern w:val="0"/>
                <w:szCs w:val="21"/>
              </w:rPr>
              <w:t>等，所有外文资料须提供中文译本。文件应随货物一并交付至采购人指定地点。</w:t>
            </w:r>
          </w:p>
          <w:p w14:paraId="5C694D74">
            <w:pPr>
              <w:rPr>
                <w:rFonts w:hint="eastAsia" w:ascii="宋体" w:hAnsi="宋体" w:eastAsia="宋体" w:cs="宋体"/>
                <w:spacing w:val="-3"/>
                <w:szCs w:val="21"/>
              </w:rPr>
            </w:pPr>
            <w:r>
              <w:rPr>
                <w:rFonts w:hint="eastAsia" w:ascii="宋体" w:hAnsi="宋体" w:eastAsia="宋体" w:cs="宋体"/>
                <w:b w:val="0"/>
                <w:bCs w:val="0"/>
                <w:color w:val="auto"/>
                <w:spacing w:val="-3"/>
                <w:szCs w:val="21"/>
                <w:lang w:val="en-US" w:eastAsia="zh-CN"/>
              </w:rPr>
              <w:t>货物要求：</w:t>
            </w:r>
            <w:r>
              <w:rPr>
                <w:rFonts w:hint="eastAsia" w:ascii="宋体" w:hAnsi="宋体" w:eastAsia="宋体" w:cs="宋体"/>
                <w:b w:val="0"/>
                <w:bCs w:val="0"/>
                <w:color w:val="auto"/>
                <w:spacing w:val="-3"/>
                <w:szCs w:val="21"/>
              </w:rPr>
              <w:t>提供的货物必须为最新生产批次或生产日期为1年以内的、经检验合格的产品。产品如需要计量检定的应提供相关计量检定部门出具的合法检定报告。其中，进口设备必须具有</w:t>
            </w:r>
            <w:r>
              <w:rPr>
                <w:rFonts w:hint="eastAsia" w:ascii="宋体" w:hAnsi="宋体" w:eastAsia="宋体" w:cs="宋体"/>
                <w:b w:val="0"/>
                <w:bCs w:val="0"/>
                <w:color w:val="auto"/>
                <w:kern w:val="0"/>
                <w:szCs w:val="21"/>
              </w:rPr>
              <w:t>报关证明</w:t>
            </w:r>
            <w:r>
              <w:rPr>
                <w:rFonts w:hint="eastAsia" w:ascii="宋体" w:hAnsi="宋体" w:eastAsia="宋体" w:cs="宋体"/>
                <w:b w:val="0"/>
                <w:bCs w:val="0"/>
                <w:color w:val="auto"/>
                <w:spacing w:val="-3"/>
                <w:szCs w:val="21"/>
              </w:rPr>
              <w:t>文件、</w:t>
            </w:r>
            <w:r>
              <w:rPr>
                <w:rFonts w:hint="eastAsia" w:ascii="宋体" w:hAnsi="宋体" w:eastAsia="宋体" w:cs="宋体"/>
                <w:b w:val="0"/>
                <w:bCs w:val="0"/>
                <w:color w:val="auto"/>
                <w:kern w:val="0"/>
                <w:szCs w:val="21"/>
              </w:rPr>
              <w:t>完税证明和</w:t>
            </w:r>
            <w:r>
              <w:rPr>
                <w:rFonts w:hint="eastAsia" w:ascii="宋体" w:hAnsi="宋体" w:eastAsia="宋体" w:cs="宋体"/>
                <w:b w:val="0"/>
                <w:bCs w:val="0"/>
                <w:color w:val="auto"/>
                <w:spacing w:val="-3"/>
                <w:szCs w:val="21"/>
              </w:rPr>
              <w:t>商检合格证明文件。</w:t>
            </w:r>
          </w:p>
        </w:tc>
      </w:tr>
      <w:tr w14:paraId="744C1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continue"/>
            <w:noWrap w:val="0"/>
            <w:vAlign w:val="center"/>
          </w:tcPr>
          <w:p w14:paraId="060BACF5">
            <w:pPr>
              <w:jc w:val="center"/>
              <w:rPr>
                <w:rFonts w:hint="eastAsia" w:ascii="宋体" w:hAnsi="宋体" w:eastAsia="宋体" w:cs="宋体"/>
                <w:b/>
              </w:rPr>
            </w:pPr>
          </w:p>
        </w:tc>
        <w:tc>
          <w:tcPr>
            <w:tcW w:w="1620" w:type="dxa"/>
            <w:vMerge w:val="continue"/>
            <w:noWrap w:val="0"/>
            <w:vAlign w:val="center"/>
          </w:tcPr>
          <w:p w14:paraId="756ABF7E">
            <w:pPr>
              <w:jc w:val="center"/>
              <w:rPr>
                <w:rFonts w:hint="eastAsia" w:ascii="宋体" w:hAnsi="宋体" w:eastAsia="宋体" w:cs="宋体"/>
                <w:b/>
                <w:bCs/>
                <w:kern w:val="0"/>
                <w:szCs w:val="21"/>
              </w:rPr>
            </w:pPr>
          </w:p>
        </w:tc>
        <w:tc>
          <w:tcPr>
            <w:tcW w:w="5625" w:type="dxa"/>
            <w:noWrap w:val="0"/>
            <w:vAlign w:val="top"/>
          </w:tcPr>
          <w:p w14:paraId="3E0A21F2">
            <w:pPr>
              <w:spacing w:line="3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1.2所有项目实施文件，包括但不限于：项目需求调研、项目总体规划、项目概要设计、项目详细设计等。应包括但不限于：《项目需求说明书》、《项目详细设计说明书》、《数据库设计说明书》、《项目测试计划》、《项目测试报告》、《系统使用说明书》、《信息安全等级保护测评报告》等。</w:t>
            </w:r>
          </w:p>
          <w:p w14:paraId="6C95028C">
            <w:pPr>
              <w:spacing w:line="3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所有项目管理文件，包括但不限于：项目总体进度计划与实施人员安排、项目管理方案、交付计划与验收文档、安装调试计划、测试与系统试运行方案、系统交付清单、培训与质量保证计划等。应包括但不限于：《用户操作手册》、《系统安装维护手册》。如有新版本发布，按上述要求更新相关资料。</w:t>
            </w:r>
          </w:p>
        </w:tc>
      </w:tr>
      <w:tr w14:paraId="3447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continue"/>
            <w:noWrap w:val="0"/>
            <w:vAlign w:val="center"/>
          </w:tcPr>
          <w:p w14:paraId="057A866D">
            <w:pPr>
              <w:jc w:val="center"/>
              <w:rPr>
                <w:rFonts w:hint="eastAsia" w:ascii="宋体" w:hAnsi="宋体" w:eastAsia="宋体" w:cs="宋体"/>
                <w:b/>
              </w:rPr>
            </w:pPr>
          </w:p>
        </w:tc>
        <w:tc>
          <w:tcPr>
            <w:tcW w:w="1620" w:type="dxa"/>
            <w:vMerge w:val="continue"/>
            <w:noWrap w:val="0"/>
            <w:vAlign w:val="center"/>
          </w:tcPr>
          <w:p w14:paraId="7FEAC1B5">
            <w:pPr>
              <w:jc w:val="center"/>
              <w:rPr>
                <w:rFonts w:hint="eastAsia" w:ascii="宋体" w:hAnsi="宋体" w:eastAsia="宋体" w:cs="宋体"/>
                <w:b/>
                <w:bCs/>
                <w:kern w:val="0"/>
                <w:szCs w:val="21"/>
              </w:rPr>
            </w:pPr>
          </w:p>
        </w:tc>
        <w:tc>
          <w:tcPr>
            <w:tcW w:w="5625" w:type="dxa"/>
            <w:noWrap w:val="0"/>
            <w:vAlign w:val="top"/>
          </w:tcPr>
          <w:p w14:paraId="536F1FD8">
            <w:pPr>
              <w:spacing w:line="340" w:lineRule="exact"/>
              <w:rPr>
                <w:rFonts w:hint="eastAsia" w:ascii="宋体" w:hAnsi="宋体" w:eastAsia="宋体" w:cs="宋体"/>
                <w:color w:val="auto"/>
                <w:kern w:val="0"/>
                <w:szCs w:val="21"/>
                <w:highlight w:val="none"/>
              </w:rPr>
            </w:pPr>
            <w:r>
              <w:rPr>
                <w:rFonts w:hint="eastAsia" w:ascii="宋体" w:hAnsi="宋体" w:eastAsia="宋体" w:cs="宋体"/>
                <w:b w:val="0"/>
                <w:bCs w:val="0"/>
                <w:color w:val="auto"/>
                <w:kern w:val="0"/>
                <w:szCs w:val="21"/>
                <w:highlight w:val="none"/>
              </w:rPr>
              <w:t>★1.3投标人须</w:t>
            </w:r>
            <w:r>
              <w:rPr>
                <w:rFonts w:hint="eastAsia" w:ascii="宋体" w:hAnsi="宋体" w:cs="宋体"/>
                <w:b w:val="0"/>
                <w:bCs w:val="0"/>
                <w:color w:val="auto"/>
                <w:kern w:val="0"/>
                <w:szCs w:val="21"/>
                <w:highlight w:val="none"/>
                <w:lang w:val="en-US" w:eastAsia="zh-CN"/>
              </w:rPr>
              <w:t>保证</w:t>
            </w:r>
            <w:r>
              <w:rPr>
                <w:rFonts w:hint="eastAsia" w:ascii="宋体" w:hAnsi="宋体" w:eastAsia="宋体" w:cs="宋体"/>
                <w:b w:val="0"/>
                <w:bCs w:val="0"/>
                <w:color w:val="auto"/>
                <w:kern w:val="0"/>
                <w:szCs w:val="21"/>
                <w:highlight w:val="none"/>
              </w:rPr>
              <w:t>交付产品的硬件配置、软件功能及版本，不低于该产品宣传资料（含官网、白皮书、彩页等）载明的标准，且到货时所交付软件为已发布的最新、最全版本。</w:t>
            </w:r>
          </w:p>
        </w:tc>
      </w:tr>
      <w:tr w14:paraId="1A996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continue"/>
            <w:noWrap w:val="0"/>
            <w:vAlign w:val="center"/>
          </w:tcPr>
          <w:p w14:paraId="6186E6A0">
            <w:pPr>
              <w:jc w:val="center"/>
              <w:rPr>
                <w:rFonts w:hint="eastAsia" w:ascii="宋体" w:hAnsi="宋体" w:eastAsia="宋体" w:cs="宋体"/>
                <w:b/>
              </w:rPr>
            </w:pPr>
          </w:p>
        </w:tc>
        <w:tc>
          <w:tcPr>
            <w:tcW w:w="1620" w:type="dxa"/>
            <w:vMerge w:val="continue"/>
            <w:noWrap w:val="0"/>
            <w:vAlign w:val="center"/>
          </w:tcPr>
          <w:p w14:paraId="4CFDFACC">
            <w:pPr>
              <w:jc w:val="center"/>
              <w:rPr>
                <w:rFonts w:hint="eastAsia" w:ascii="宋体" w:hAnsi="宋体" w:eastAsia="宋体" w:cs="宋体"/>
                <w:b/>
                <w:bCs/>
                <w:kern w:val="0"/>
                <w:szCs w:val="21"/>
              </w:rPr>
            </w:pPr>
          </w:p>
        </w:tc>
        <w:tc>
          <w:tcPr>
            <w:tcW w:w="5625" w:type="dxa"/>
            <w:noWrap w:val="0"/>
            <w:vAlign w:val="top"/>
          </w:tcPr>
          <w:p w14:paraId="072EA671">
            <w:pPr>
              <w:spacing w:line="240" w:lineRule="auto"/>
              <w:rPr>
                <w:rFonts w:hint="eastAsia" w:ascii="宋体" w:hAnsi="宋体" w:eastAsia="宋体" w:cs="宋体"/>
                <w:b w:val="0"/>
                <w:bCs w:val="0"/>
                <w:color w:val="auto"/>
                <w:kern w:val="0"/>
                <w:szCs w:val="21"/>
                <w:highlight w:val="none"/>
                <w:lang w:eastAsia="zh-CN"/>
              </w:rPr>
            </w:pPr>
            <w:r>
              <w:rPr>
                <w:rFonts w:hint="eastAsia" w:ascii="宋体" w:hAnsi="宋体" w:eastAsia="宋体" w:cs="宋体"/>
                <w:b w:val="0"/>
                <w:bCs w:val="0"/>
                <w:color w:val="auto"/>
                <w:kern w:val="0"/>
                <w:szCs w:val="21"/>
                <w:highlight w:val="none"/>
              </w:rPr>
              <w:t>★1.</w:t>
            </w:r>
            <w:r>
              <w:rPr>
                <w:rFonts w:hint="eastAsia" w:ascii="宋体" w:hAnsi="宋体" w:cs="宋体"/>
                <w:b w:val="0"/>
                <w:bCs w:val="0"/>
                <w:color w:val="auto"/>
                <w:kern w:val="0"/>
                <w:szCs w:val="21"/>
                <w:highlight w:val="none"/>
                <w:lang w:val="en-US" w:eastAsia="zh-CN"/>
              </w:rPr>
              <w:t>4</w:t>
            </w:r>
            <w:r>
              <w:rPr>
                <w:rFonts w:hint="eastAsia" w:ascii="宋体" w:hAnsi="宋体" w:eastAsia="宋体" w:cs="宋体"/>
                <w:b w:val="0"/>
                <w:bCs w:val="0"/>
                <w:color w:val="auto"/>
                <w:spacing w:val="-3"/>
                <w:szCs w:val="21"/>
              </w:rPr>
              <w:t>对接要求：本项目涉及到与医院现有信息系统、放疗相关设备</w:t>
            </w:r>
            <w:r>
              <w:rPr>
                <w:rFonts w:hint="eastAsia" w:ascii="宋体" w:hAnsi="宋体" w:eastAsia="宋体" w:cs="宋体"/>
                <w:b w:val="0"/>
                <w:bCs w:val="0"/>
                <w:color w:val="auto"/>
                <w:spacing w:val="-3"/>
                <w:szCs w:val="21"/>
                <w:lang w:val="en-US" w:eastAsia="zh-CN"/>
              </w:rPr>
              <w:t>、上级要求接口对接</w:t>
            </w:r>
            <w:r>
              <w:rPr>
                <w:rFonts w:hint="eastAsia" w:ascii="宋体" w:hAnsi="宋体" w:eastAsia="宋体" w:cs="宋体"/>
                <w:b w:val="0"/>
                <w:bCs w:val="0"/>
                <w:color w:val="auto"/>
                <w:spacing w:val="-3"/>
                <w:szCs w:val="21"/>
              </w:rPr>
              <w:t>及</w:t>
            </w:r>
            <w:r>
              <w:rPr>
                <w:rFonts w:hint="eastAsia" w:ascii="宋体" w:hAnsi="宋体" w:eastAsia="宋体" w:cs="宋体"/>
                <w:b w:val="0"/>
                <w:bCs w:val="0"/>
                <w:color w:val="auto"/>
                <w:spacing w:val="-3"/>
                <w:szCs w:val="21"/>
                <w:lang w:val="en-US" w:eastAsia="zh-CN"/>
              </w:rPr>
              <w:t>其他</w:t>
            </w:r>
            <w:r>
              <w:rPr>
                <w:rFonts w:hint="eastAsia" w:ascii="宋体" w:hAnsi="宋体" w:eastAsia="宋体" w:cs="宋体"/>
                <w:b w:val="0"/>
                <w:bCs w:val="0"/>
                <w:color w:val="auto"/>
                <w:spacing w:val="-3"/>
                <w:szCs w:val="21"/>
              </w:rPr>
              <w:t>软件对接的情况，投标人须负责免费完成全部接口对接工作。投标人免费开放设备接口参数，无偿派人配合与医院信息系统的连接工作，直至该设备与医院信息系统可进行完整的数据交换；在设备保修期内，当医院信息系统及放疗相关设备存在升级需要与该设备连接时，投标人须无条件负责本项目相关软件对接及改造工作。</w:t>
            </w:r>
          </w:p>
        </w:tc>
      </w:tr>
      <w:tr w14:paraId="60E07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restart"/>
            <w:noWrap w:val="0"/>
            <w:vAlign w:val="center"/>
          </w:tcPr>
          <w:p w14:paraId="5B3D1EDC">
            <w:pPr>
              <w:jc w:val="center"/>
              <w:rPr>
                <w:rFonts w:hint="eastAsia" w:ascii="宋体" w:hAnsi="宋体" w:eastAsia="宋体" w:cs="宋体"/>
                <w:b/>
              </w:rPr>
            </w:pPr>
            <w:r>
              <w:rPr>
                <w:rFonts w:hint="eastAsia" w:ascii="宋体" w:hAnsi="宋体" w:eastAsia="宋体" w:cs="宋体"/>
                <w:b/>
              </w:rPr>
              <w:t>2</w:t>
            </w:r>
          </w:p>
        </w:tc>
        <w:tc>
          <w:tcPr>
            <w:tcW w:w="1620" w:type="dxa"/>
            <w:vMerge w:val="restart"/>
            <w:noWrap w:val="0"/>
            <w:vAlign w:val="center"/>
          </w:tcPr>
          <w:p w14:paraId="222F666A">
            <w:pPr>
              <w:jc w:val="center"/>
              <w:rPr>
                <w:rFonts w:hint="eastAsia" w:ascii="宋体" w:hAnsi="宋体" w:eastAsia="宋体" w:cs="宋体"/>
              </w:rPr>
            </w:pPr>
            <w:r>
              <w:rPr>
                <w:rFonts w:hint="eastAsia" w:ascii="宋体" w:hAnsi="宋体" w:eastAsia="宋体" w:cs="宋体"/>
                <w:b/>
                <w:bCs/>
                <w:kern w:val="0"/>
                <w:szCs w:val="21"/>
              </w:rPr>
              <w:t>运输、安装和验收</w:t>
            </w:r>
          </w:p>
        </w:tc>
        <w:tc>
          <w:tcPr>
            <w:tcW w:w="5625" w:type="dxa"/>
            <w:noWrap w:val="0"/>
            <w:vAlign w:val="top"/>
          </w:tcPr>
          <w:p w14:paraId="3DE1E636">
            <w:pPr>
              <w:spacing w:line="340" w:lineRule="exact"/>
              <w:rPr>
                <w:rFonts w:hint="eastAsia" w:ascii="宋体" w:hAnsi="宋体" w:eastAsia="宋体" w:cs="宋体"/>
                <w:bCs/>
                <w:szCs w:val="21"/>
              </w:rPr>
            </w:pPr>
            <w:r>
              <w:rPr>
                <w:rFonts w:hint="eastAsia" w:ascii="宋体" w:hAnsi="宋体" w:eastAsia="宋体" w:cs="宋体"/>
                <w:kern w:val="0"/>
                <w:szCs w:val="21"/>
                <w:highlight w:val="none"/>
              </w:rPr>
              <w:t>★</w:t>
            </w:r>
            <w:r>
              <w:rPr>
                <w:rFonts w:hint="eastAsia" w:ascii="宋体" w:hAnsi="宋体" w:eastAsia="宋体" w:cs="宋体"/>
                <w:bCs/>
                <w:szCs w:val="21"/>
              </w:rPr>
              <w:t>2.1投标人</w:t>
            </w:r>
            <w:r>
              <w:rPr>
                <w:rFonts w:hint="eastAsia" w:ascii="宋体" w:hAnsi="宋体" w:eastAsia="宋体" w:cs="宋体"/>
                <w:bCs/>
                <w:kern w:val="0"/>
                <w:szCs w:val="21"/>
              </w:rPr>
              <w:t>负责将</w:t>
            </w:r>
            <w:r>
              <w:rPr>
                <w:rFonts w:hint="eastAsia" w:ascii="宋体" w:hAnsi="宋体" w:eastAsia="宋体" w:cs="宋体"/>
                <w:kern w:val="0"/>
                <w:szCs w:val="21"/>
              </w:rPr>
              <w:t>货物</w:t>
            </w:r>
            <w:r>
              <w:rPr>
                <w:rFonts w:hint="eastAsia" w:ascii="宋体" w:hAnsi="宋体" w:eastAsia="宋体" w:cs="宋体"/>
                <w:bCs/>
                <w:kern w:val="0"/>
                <w:szCs w:val="21"/>
              </w:rPr>
              <w:t>安全无损运抵采购人指定地点,并承担设备的包装、运输、保险、装卸、安装调试、培训、商检及计量检测、关税、增值税和进口代理等与本项目有关的所有费用。</w:t>
            </w:r>
          </w:p>
        </w:tc>
      </w:tr>
      <w:tr w14:paraId="30935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continue"/>
            <w:noWrap w:val="0"/>
            <w:vAlign w:val="center"/>
          </w:tcPr>
          <w:p w14:paraId="3EC4E52F">
            <w:pPr>
              <w:jc w:val="center"/>
              <w:rPr>
                <w:rFonts w:hint="eastAsia" w:ascii="宋体" w:hAnsi="宋体" w:eastAsia="宋体" w:cs="宋体"/>
                <w:b/>
              </w:rPr>
            </w:pPr>
          </w:p>
        </w:tc>
        <w:tc>
          <w:tcPr>
            <w:tcW w:w="1620" w:type="dxa"/>
            <w:vMerge w:val="continue"/>
            <w:noWrap w:val="0"/>
            <w:vAlign w:val="top"/>
          </w:tcPr>
          <w:p w14:paraId="7E7EFC40">
            <w:pPr>
              <w:rPr>
                <w:rFonts w:hint="eastAsia" w:ascii="宋体" w:hAnsi="宋体" w:eastAsia="宋体" w:cs="宋体"/>
                <w:b/>
              </w:rPr>
            </w:pPr>
          </w:p>
        </w:tc>
        <w:tc>
          <w:tcPr>
            <w:tcW w:w="5625" w:type="dxa"/>
            <w:noWrap w:val="0"/>
            <w:vAlign w:val="top"/>
          </w:tcPr>
          <w:p w14:paraId="063E5DFA">
            <w:pPr>
              <w:tabs>
                <w:tab w:val="left" w:pos="1260"/>
              </w:tabs>
              <w:spacing w:line="340" w:lineRule="exact"/>
              <w:rPr>
                <w:rFonts w:hint="eastAsia" w:ascii="宋体" w:hAnsi="宋体" w:eastAsia="宋体" w:cs="宋体"/>
                <w:bCs/>
                <w:szCs w:val="21"/>
              </w:rPr>
            </w:pPr>
            <w:r>
              <w:rPr>
                <w:rFonts w:hint="eastAsia" w:ascii="宋体" w:hAnsi="宋体" w:eastAsia="宋体" w:cs="宋体"/>
                <w:kern w:val="0"/>
                <w:szCs w:val="21"/>
                <w:highlight w:val="none"/>
              </w:rPr>
              <w:t>★</w:t>
            </w:r>
            <w:r>
              <w:rPr>
                <w:rFonts w:hint="eastAsia" w:ascii="宋体" w:hAnsi="宋体" w:eastAsia="宋体" w:cs="宋体"/>
                <w:bCs/>
                <w:szCs w:val="21"/>
              </w:rPr>
              <w:t>2.2</w:t>
            </w:r>
            <w:r>
              <w:rPr>
                <w:rFonts w:hint="eastAsia" w:ascii="宋体" w:hAnsi="宋体" w:eastAsia="宋体" w:cs="宋体"/>
                <w:bCs/>
                <w:kern w:val="0"/>
                <w:szCs w:val="21"/>
              </w:rPr>
              <w:t>采购人有权检验或测试货物（不排除暴力测试），以确认货物是否符合合同规格的要求。如果发现所交货物与投标文件中所承诺的不符或存在质量、技术缺陷等,采购人可以拒绝接收该货物,投标人应按采购人要求采取补足、更换或退货等措施,以满足规格的要求，由此发生的一切损失和费用由投标人承担。</w:t>
            </w:r>
          </w:p>
        </w:tc>
      </w:tr>
      <w:tr w14:paraId="1823E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continue"/>
            <w:noWrap w:val="0"/>
            <w:vAlign w:val="center"/>
          </w:tcPr>
          <w:p w14:paraId="6318E745">
            <w:pPr>
              <w:jc w:val="center"/>
              <w:rPr>
                <w:rFonts w:hint="eastAsia" w:ascii="宋体" w:hAnsi="宋体" w:eastAsia="宋体" w:cs="宋体"/>
                <w:b/>
              </w:rPr>
            </w:pPr>
          </w:p>
        </w:tc>
        <w:tc>
          <w:tcPr>
            <w:tcW w:w="1620" w:type="dxa"/>
            <w:vMerge w:val="continue"/>
            <w:noWrap w:val="0"/>
            <w:vAlign w:val="top"/>
          </w:tcPr>
          <w:p w14:paraId="3286E14E">
            <w:pPr>
              <w:rPr>
                <w:rFonts w:hint="eastAsia" w:ascii="宋体" w:hAnsi="宋体" w:eastAsia="宋体" w:cs="宋体"/>
                <w:b/>
              </w:rPr>
            </w:pPr>
          </w:p>
        </w:tc>
        <w:tc>
          <w:tcPr>
            <w:tcW w:w="5625" w:type="dxa"/>
            <w:noWrap w:val="0"/>
            <w:vAlign w:val="top"/>
          </w:tcPr>
          <w:p w14:paraId="7EF51D34">
            <w:pPr>
              <w:tabs>
                <w:tab w:val="left" w:pos="1260"/>
              </w:tabs>
              <w:spacing w:line="340" w:lineRule="exact"/>
              <w:rPr>
                <w:rFonts w:hint="eastAsia" w:ascii="宋体" w:hAnsi="宋体" w:eastAsia="宋体" w:cs="宋体"/>
                <w:spacing w:val="-3"/>
                <w:szCs w:val="21"/>
              </w:rPr>
            </w:pPr>
            <w:r>
              <w:rPr>
                <w:rFonts w:hint="eastAsia" w:ascii="宋体" w:hAnsi="宋体" w:eastAsia="宋体" w:cs="宋体"/>
                <w:kern w:val="0"/>
                <w:szCs w:val="21"/>
                <w:highlight w:val="none"/>
              </w:rPr>
              <w:t>★</w:t>
            </w:r>
            <w:r>
              <w:rPr>
                <w:rFonts w:hint="eastAsia" w:ascii="宋体" w:hAnsi="宋体" w:eastAsia="宋体" w:cs="宋体"/>
                <w:spacing w:val="-3"/>
                <w:szCs w:val="21"/>
              </w:rPr>
              <w:t>2.3投标人负责货物的现场安装和调试,提供货物安装、调试和维修所需的专用工具和辅助材料。投标人应在货物运至指定地点后并满足安装条件下开始安装调试，90天内完成安装调试。</w:t>
            </w:r>
          </w:p>
          <w:p w14:paraId="48B9F207">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投标人应提供足够的场地所需的连接管线和备件，包括所有附属设施，线柜以及相关的通讯和IT连接配件。</w:t>
            </w:r>
          </w:p>
          <w:p w14:paraId="60A85D6F">
            <w:pPr>
              <w:tabs>
                <w:tab w:val="left" w:pos="1260"/>
              </w:tabs>
              <w:spacing w:line="340" w:lineRule="exact"/>
              <w:rPr>
                <w:rFonts w:hint="eastAsia" w:ascii="宋体" w:hAnsi="宋体" w:eastAsia="宋体" w:cs="宋体"/>
                <w:bCs/>
                <w:szCs w:val="21"/>
              </w:rPr>
            </w:pPr>
            <w:r>
              <w:rPr>
                <w:rFonts w:hint="eastAsia" w:ascii="宋体" w:hAnsi="宋体" w:eastAsia="宋体" w:cs="宋体"/>
                <w:spacing w:val="-3"/>
                <w:szCs w:val="21"/>
              </w:rPr>
              <w:t>设备安装过程中不得破坏已有设备、器具和装修，如有损坏，需无条件恢复原状。</w:t>
            </w:r>
          </w:p>
        </w:tc>
      </w:tr>
      <w:tr w14:paraId="22A2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continue"/>
            <w:noWrap w:val="0"/>
            <w:vAlign w:val="center"/>
          </w:tcPr>
          <w:p w14:paraId="214B871E">
            <w:pPr>
              <w:jc w:val="center"/>
              <w:rPr>
                <w:rFonts w:hint="eastAsia" w:ascii="宋体" w:hAnsi="宋体" w:eastAsia="宋体" w:cs="宋体"/>
                <w:b/>
              </w:rPr>
            </w:pPr>
          </w:p>
        </w:tc>
        <w:tc>
          <w:tcPr>
            <w:tcW w:w="1620" w:type="dxa"/>
            <w:vMerge w:val="continue"/>
            <w:noWrap w:val="0"/>
            <w:vAlign w:val="top"/>
          </w:tcPr>
          <w:p w14:paraId="05112411">
            <w:pPr>
              <w:rPr>
                <w:rFonts w:hint="eastAsia" w:ascii="宋体" w:hAnsi="宋体" w:eastAsia="宋体" w:cs="宋体"/>
                <w:b/>
              </w:rPr>
            </w:pPr>
          </w:p>
        </w:tc>
        <w:tc>
          <w:tcPr>
            <w:tcW w:w="5625" w:type="dxa"/>
            <w:noWrap w:val="0"/>
            <w:vAlign w:val="top"/>
          </w:tcPr>
          <w:p w14:paraId="347B3347">
            <w:pPr>
              <w:tabs>
                <w:tab w:val="left" w:pos="1260"/>
              </w:tabs>
              <w:spacing w:line="340" w:lineRule="exact"/>
              <w:rPr>
                <w:rFonts w:hint="eastAsia" w:ascii="宋体" w:hAnsi="宋体" w:eastAsia="宋体" w:cs="宋体"/>
                <w:spacing w:val="-3"/>
                <w:szCs w:val="21"/>
              </w:rPr>
            </w:pPr>
            <w:r>
              <w:rPr>
                <w:rFonts w:hint="eastAsia" w:ascii="宋体" w:hAnsi="宋体" w:eastAsia="宋体" w:cs="宋体"/>
                <w:kern w:val="0"/>
                <w:szCs w:val="21"/>
              </w:rPr>
              <w:t>★</w:t>
            </w:r>
            <w:r>
              <w:rPr>
                <w:rFonts w:hint="eastAsia" w:ascii="宋体" w:hAnsi="宋体" w:eastAsia="宋体" w:cs="宋体"/>
                <w:spacing w:val="-3"/>
                <w:szCs w:val="21"/>
              </w:rPr>
              <w:t>2.4由</w:t>
            </w:r>
            <w:r>
              <w:rPr>
                <w:rFonts w:hint="eastAsia" w:ascii="宋体" w:hAnsi="宋体" w:cs="宋体"/>
                <w:spacing w:val="-3"/>
                <w:szCs w:val="21"/>
                <w:lang w:val="en-US" w:eastAsia="zh-CN"/>
              </w:rPr>
              <w:t>中</w:t>
            </w:r>
            <w:r>
              <w:rPr>
                <w:rFonts w:hint="eastAsia" w:ascii="宋体" w:hAnsi="宋体" w:eastAsia="宋体" w:cs="宋体"/>
                <w:spacing w:val="-3"/>
                <w:szCs w:val="21"/>
              </w:rPr>
              <w:t>标人代表和采购人组成验收小组，在投标人提供符合招标要求的原厂保修承诺函/买保合同后对产品进行验收。验收标准按照招投标要求及国家规定标准执行。经检验设备正常运作后签署验收报告,产品保修期自性能验收合格之日起算。</w:t>
            </w:r>
          </w:p>
          <w:p w14:paraId="3647EC39">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关于验收：</w:t>
            </w:r>
          </w:p>
          <w:p w14:paraId="4B072EE2">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当满足以下条件时，采购人才向中标人签发货物验收报告：</w:t>
            </w:r>
          </w:p>
          <w:p w14:paraId="7822E881">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a、中标人已按照合同规定提供了全部产品及完整的技术资料。</w:t>
            </w:r>
          </w:p>
          <w:p w14:paraId="34F29274">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b、产品到货后并完成安装；产品功能测试均达到采购人要求或投标技术响应的参数，并实现正常运行。</w:t>
            </w:r>
          </w:p>
        </w:tc>
      </w:tr>
      <w:tr w14:paraId="3B28D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continue"/>
            <w:noWrap w:val="0"/>
            <w:vAlign w:val="center"/>
          </w:tcPr>
          <w:p w14:paraId="623032CC">
            <w:pPr>
              <w:jc w:val="center"/>
              <w:rPr>
                <w:rFonts w:hint="eastAsia" w:ascii="宋体" w:hAnsi="宋体" w:eastAsia="宋体" w:cs="宋体"/>
                <w:b/>
              </w:rPr>
            </w:pPr>
          </w:p>
        </w:tc>
        <w:tc>
          <w:tcPr>
            <w:tcW w:w="1620" w:type="dxa"/>
            <w:vMerge w:val="continue"/>
            <w:noWrap w:val="0"/>
            <w:vAlign w:val="top"/>
          </w:tcPr>
          <w:p w14:paraId="5DBB2F48">
            <w:pPr>
              <w:rPr>
                <w:rFonts w:hint="eastAsia" w:ascii="宋体" w:hAnsi="宋体" w:eastAsia="宋体" w:cs="宋体"/>
                <w:b/>
              </w:rPr>
            </w:pPr>
          </w:p>
        </w:tc>
        <w:tc>
          <w:tcPr>
            <w:tcW w:w="5625" w:type="dxa"/>
            <w:noWrap w:val="0"/>
            <w:vAlign w:val="top"/>
          </w:tcPr>
          <w:p w14:paraId="1F486217">
            <w:pPr>
              <w:tabs>
                <w:tab w:val="left" w:pos="1260"/>
              </w:tabs>
              <w:spacing w:line="340" w:lineRule="exact"/>
              <w:rPr>
                <w:rFonts w:hint="eastAsia" w:ascii="宋体" w:hAnsi="宋体" w:eastAsia="宋体" w:cs="宋体"/>
                <w:spacing w:val="-3"/>
                <w:szCs w:val="21"/>
              </w:rPr>
            </w:pPr>
            <w:r>
              <w:rPr>
                <w:rFonts w:hint="eastAsia" w:ascii="宋体" w:hAnsi="宋体" w:eastAsia="宋体" w:cs="宋体"/>
                <w:kern w:val="0"/>
                <w:szCs w:val="21"/>
              </w:rPr>
              <w:t>★</w:t>
            </w:r>
            <w:r>
              <w:rPr>
                <w:rFonts w:hint="eastAsia" w:ascii="宋体" w:hAnsi="宋体" w:eastAsia="宋体" w:cs="宋体"/>
                <w:spacing w:val="-3"/>
                <w:szCs w:val="21"/>
              </w:rPr>
              <w:t>2.5所有设备安装如涉及对安装现场外接电源、网络、给排水、排风、场地加固等必须对现有设施进行改造或增加管线、材料及人工费用等，均由投标人承担。</w:t>
            </w:r>
          </w:p>
        </w:tc>
      </w:tr>
      <w:tr w14:paraId="0DC4B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jc w:val="center"/>
        </w:trPr>
        <w:tc>
          <w:tcPr>
            <w:tcW w:w="1260" w:type="dxa"/>
            <w:vMerge w:val="restart"/>
            <w:noWrap w:val="0"/>
            <w:vAlign w:val="center"/>
          </w:tcPr>
          <w:p w14:paraId="17A5848E">
            <w:pPr>
              <w:jc w:val="center"/>
              <w:rPr>
                <w:rFonts w:hint="eastAsia" w:ascii="宋体" w:hAnsi="宋体" w:eastAsia="宋体" w:cs="宋体"/>
                <w:b/>
              </w:rPr>
            </w:pPr>
            <w:r>
              <w:rPr>
                <w:rFonts w:hint="eastAsia" w:ascii="宋体" w:hAnsi="宋体" w:eastAsia="宋体" w:cs="宋体"/>
                <w:b/>
              </w:rPr>
              <w:t>3</w:t>
            </w:r>
          </w:p>
        </w:tc>
        <w:tc>
          <w:tcPr>
            <w:tcW w:w="1620" w:type="dxa"/>
            <w:vMerge w:val="restart"/>
            <w:noWrap w:val="0"/>
            <w:vAlign w:val="center"/>
          </w:tcPr>
          <w:p w14:paraId="41A78740">
            <w:pPr>
              <w:jc w:val="center"/>
              <w:rPr>
                <w:rFonts w:hint="eastAsia" w:ascii="宋体" w:hAnsi="宋体" w:eastAsia="宋体" w:cs="宋体"/>
                <w:b/>
              </w:rPr>
            </w:pPr>
            <w:r>
              <w:rPr>
                <w:rFonts w:hint="eastAsia" w:ascii="宋体" w:hAnsi="宋体" w:eastAsia="宋体" w:cs="宋体"/>
                <w:b/>
                <w:kern w:val="0"/>
                <w:szCs w:val="21"/>
              </w:rPr>
              <w:t>培训</w:t>
            </w:r>
          </w:p>
        </w:tc>
        <w:tc>
          <w:tcPr>
            <w:tcW w:w="5625" w:type="dxa"/>
            <w:noWrap w:val="0"/>
            <w:vAlign w:val="top"/>
          </w:tcPr>
          <w:p w14:paraId="5FA0669B">
            <w:pPr>
              <w:rPr>
                <w:rFonts w:hint="eastAsia" w:ascii="宋体" w:hAnsi="宋体" w:eastAsia="宋体" w:cs="宋体"/>
                <w:bCs/>
                <w:kern w:val="0"/>
                <w:szCs w:val="21"/>
              </w:rPr>
            </w:pPr>
            <w:r>
              <w:rPr>
                <w:rFonts w:hint="eastAsia" w:ascii="宋体" w:hAnsi="宋体" w:eastAsia="宋体" w:cs="宋体"/>
                <w:kern w:val="0"/>
                <w:szCs w:val="21"/>
                <w:highlight w:val="none"/>
              </w:rPr>
              <w:t>★3.1投标人应针对系统特点、人员状况等，制订可行的培训计划和实施方案、提供全方位多层次的培训服务，在项目不同建设时期，针对不同种类的需求提供一系列行之有效的培训实施方案。通过培训使系统管理员和用户掌握相关的管理和技术技能，确保系统建设稳步推进，建成后安全、稳定、高效的运行。培训计划和实施方案包括培训对象、形式、内容、讲师安排等。</w:t>
            </w:r>
          </w:p>
        </w:tc>
      </w:tr>
      <w:tr w14:paraId="00B9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restart"/>
            <w:noWrap w:val="0"/>
            <w:vAlign w:val="center"/>
          </w:tcPr>
          <w:p w14:paraId="1E777FE6">
            <w:pPr>
              <w:jc w:val="center"/>
              <w:rPr>
                <w:rFonts w:hint="eastAsia" w:ascii="宋体" w:hAnsi="宋体" w:eastAsia="宋体" w:cs="宋体"/>
                <w:b/>
                <w:kern w:val="0"/>
                <w:szCs w:val="21"/>
              </w:rPr>
            </w:pPr>
            <w:r>
              <w:rPr>
                <w:rFonts w:hint="eastAsia" w:ascii="宋体" w:hAnsi="宋体" w:eastAsia="宋体" w:cs="宋体"/>
                <w:b/>
                <w:kern w:val="0"/>
                <w:szCs w:val="21"/>
              </w:rPr>
              <w:t>4</w:t>
            </w:r>
          </w:p>
        </w:tc>
        <w:tc>
          <w:tcPr>
            <w:tcW w:w="1620" w:type="dxa"/>
            <w:vMerge w:val="restart"/>
            <w:noWrap w:val="0"/>
            <w:vAlign w:val="center"/>
          </w:tcPr>
          <w:p w14:paraId="3C8315C1">
            <w:pPr>
              <w:tabs>
                <w:tab w:val="left" w:pos="1260"/>
              </w:tabs>
              <w:spacing w:line="340" w:lineRule="exact"/>
              <w:jc w:val="center"/>
              <w:rPr>
                <w:rFonts w:hint="eastAsia" w:ascii="宋体" w:hAnsi="宋体" w:eastAsia="宋体" w:cs="宋体"/>
                <w:b/>
                <w:kern w:val="0"/>
                <w:szCs w:val="21"/>
              </w:rPr>
            </w:pPr>
            <w:r>
              <w:rPr>
                <w:rFonts w:hint="eastAsia" w:ascii="宋体" w:hAnsi="宋体" w:eastAsia="宋体" w:cs="宋体"/>
                <w:b/>
                <w:kern w:val="0"/>
                <w:szCs w:val="21"/>
              </w:rPr>
              <w:t>知识产权</w:t>
            </w:r>
          </w:p>
        </w:tc>
        <w:tc>
          <w:tcPr>
            <w:tcW w:w="5625" w:type="dxa"/>
            <w:noWrap w:val="0"/>
            <w:vAlign w:val="top"/>
          </w:tcPr>
          <w:p w14:paraId="72BE1507">
            <w:pPr>
              <w:tabs>
                <w:tab w:val="left" w:pos="1260"/>
              </w:tabs>
              <w:spacing w:line="340" w:lineRule="exact"/>
              <w:rPr>
                <w:rFonts w:hint="eastAsia" w:ascii="宋体" w:hAnsi="宋体" w:eastAsia="宋体" w:cs="宋体"/>
                <w:kern w:val="0"/>
                <w:szCs w:val="21"/>
              </w:rPr>
            </w:pPr>
            <w:r>
              <w:rPr>
                <w:rFonts w:hint="eastAsia" w:ascii="宋体" w:hAnsi="宋体" w:eastAsia="宋体" w:cs="宋体"/>
                <w:kern w:val="0"/>
                <w:szCs w:val="21"/>
                <w:highlight w:val="none"/>
              </w:rPr>
              <w:t>★</w:t>
            </w:r>
            <w:r>
              <w:rPr>
                <w:rFonts w:hint="eastAsia" w:ascii="宋体" w:hAnsi="宋体" w:eastAsia="宋体" w:cs="宋体"/>
                <w:kern w:val="0"/>
                <w:szCs w:val="21"/>
              </w:rPr>
              <w:t>4.1投标人应保证采购人在使用该货物或其任何一部分时，免受第三方提出的侵犯其专利权、商标权、著作权或其它知识产权的起诉。投标人保证所提供软件的合法性，所发生的任何知识产权纠纷与采购人无关。若因为知识产权纠纷造成的一切损害赔偿及损失由投标人承担，包括但不限于实际损失、预期损失和对方要求赔偿损失及支出的律师费、交通费和差旅费等。</w:t>
            </w:r>
          </w:p>
        </w:tc>
      </w:tr>
      <w:tr w14:paraId="3EC62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60" w:type="dxa"/>
            <w:vMerge w:val="continue"/>
            <w:noWrap w:val="0"/>
            <w:vAlign w:val="center"/>
          </w:tcPr>
          <w:p w14:paraId="2EB5AFFF">
            <w:pPr>
              <w:jc w:val="center"/>
              <w:rPr>
                <w:rFonts w:hint="eastAsia" w:ascii="宋体" w:hAnsi="宋体" w:eastAsia="宋体" w:cs="宋体"/>
                <w:b/>
                <w:kern w:val="0"/>
                <w:szCs w:val="21"/>
              </w:rPr>
            </w:pPr>
          </w:p>
        </w:tc>
        <w:tc>
          <w:tcPr>
            <w:tcW w:w="1620" w:type="dxa"/>
            <w:vMerge w:val="continue"/>
            <w:noWrap w:val="0"/>
            <w:vAlign w:val="center"/>
          </w:tcPr>
          <w:p w14:paraId="1D1B8F20">
            <w:pPr>
              <w:jc w:val="center"/>
              <w:rPr>
                <w:rFonts w:hint="eastAsia" w:ascii="宋体" w:hAnsi="宋体" w:eastAsia="宋体" w:cs="宋体"/>
                <w:b/>
                <w:kern w:val="0"/>
                <w:szCs w:val="21"/>
              </w:rPr>
            </w:pPr>
          </w:p>
        </w:tc>
        <w:tc>
          <w:tcPr>
            <w:tcW w:w="5625" w:type="dxa"/>
            <w:noWrap w:val="0"/>
            <w:vAlign w:val="top"/>
          </w:tcPr>
          <w:p w14:paraId="14B6297C">
            <w:pPr>
              <w:rPr>
                <w:rFonts w:hint="eastAsia" w:ascii="宋体" w:hAnsi="宋体" w:eastAsia="宋体" w:cs="宋体"/>
                <w:kern w:val="0"/>
                <w:szCs w:val="21"/>
              </w:rPr>
            </w:pPr>
            <w:r>
              <w:rPr>
                <w:rFonts w:hint="eastAsia" w:ascii="宋体" w:hAnsi="宋体" w:eastAsia="宋体" w:cs="宋体"/>
                <w:kern w:val="0"/>
                <w:szCs w:val="21"/>
                <w:highlight w:val="none"/>
              </w:rPr>
              <w:t>★</w:t>
            </w:r>
            <w:r>
              <w:rPr>
                <w:rFonts w:hint="eastAsia" w:ascii="宋体" w:hAnsi="宋体" w:eastAsia="宋体" w:cs="宋体"/>
                <w:kern w:val="0"/>
                <w:szCs w:val="21"/>
              </w:rPr>
              <w:t>4.2采购人购买产品后，有权对该产品与其他设备进行配套、整合或适当改进，而免受侵犯专利权的起诉。若因为知识产权纠纷造成的一切损害赔偿及损失由投标人承担，包括但不限于实际损失、预期损失和对方要求赔偿损失及支出的律师费、交通费和差旅费等。</w:t>
            </w:r>
          </w:p>
        </w:tc>
      </w:tr>
      <w:tr w14:paraId="39CEE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jc w:val="center"/>
        </w:trPr>
        <w:tc>
          <w:tcPr>
            <w:tcW w:w="1260" w:type="dxa"/>
            <w:vMerge w:val="restart"/>
            <w:noWrap w:val="0"/>
            <w:vAlign w:val="center"/>
          </w:tcPr>
          <w:p w14:paraId="424E7B45">
            <w:pPr>
              <w:jc w:val="center"/>
              <w:rPr>
                <w:rFonts w:hint="eastAsia" w:ascii="宋体" w:hAnsi="宋体" w:eastAsia="宋体" w:cs="宋体"/>
                <w:b/>
              </w:rPr>
            </w:pPr>
            <w:r>
              <w:rPr>
                <w:rFonts w:hint="eastAsia" w:ascii="宋体" w:hAnsi="宋体" w:eastAsia="宋体" w:cs="宋体"/>
                <w:b/>
              </w:rPr>
              <w:t>5</w:t>
            </w:r>
          </w:p>
        </w:tc>
        <w:tc>
          <w:tcPr>
            <w:tcW w:w="1620" w:type="dxa"/>
            <w:vMerge w:val="restart"/>
            <w:noWrap w:val="0"/>
            <w:vAlign w:val="center"/>
          </w:tcPr>
          <w:p w14:paraId="2141734E">
            <w:pPr>
              <w:jc w:val="center"/>
              <w:rPr>
                <w:rFonts w:hint="eastAsia" w:ascii="宋体" w:hAnsi="宋体" w:eastAsia="宋体" w:cs="宋体"/>
                <w:b/>
                <w:bCs/>
                <w:kern w:val="0"/>
                <w:szCs w:val="21"/>
              </w:rPr>
            </w:pPr>
            <w:r>
              <w:rPr>
                <w:rFonts w:hint="eastAsia" w:ascii="宋体" w:hAnsi="宋体" w:eastAsia="宋体" w:cs="宋体"/>
                <w:b/>
                <w:bCs/>
                <w:kern w:val="0"/>
                <w:szCs w:val="21"/>
              </w:rPr>
              <w:t>付款方式</w:t>
            </w:r>
          </w:p>
        </w:tc>
        <w:tc>
          <w:tcPr>
            <w:tcW w:w="5625" w:type="dxa"/>
            <w:noWrap w:val="0"/>
            <w:vAlign w:val="top"/>
          </w:tcPr>
          <w:p w14:paraId="40ABC180">
            <w:pPr>
              <w:rPr>
                <w:rFonts w:hint="eastAsia" w:ascii="宋体" w:hAnsi="宋体" w:eastAsia="宋体" w:cs="宋体"/>
              </w:rPr>
            </w:pPr>
            <w:r>
              <w:rPr>
                <w:rFonts w:hint="eastAsia" w:ascii="宋体" w:hAnsi="宋体" w:eastAsia="宋体" w:cs="宋体"/>
              </w:rPr>
              <w:t>★5.1付款条件：</w:t>
            </w:r>
          </w:p>
          <w:p w14:paraId="152847E0">
            <w:pPr>
              <w:ind w:firstLine="420" w:firstLineChars="200"/>
              <w:rPr>
                <w:rFonts w:hint="eastAsia" w:ascii="宋体" w:hAnsi="宋体" w:eastAsia="宋体" w:cs="宋体"/>
              </w:rPr>
            </w:pPr>
            <w:r>
              <w:rPr>
                <w:rFonts w:hint="eastAsia" w:ascii="宋体" w:hAnsi="宋体" w:eastAsia="宋体" w:cs="宋体"/>
              </w:rPr>
              <w:t>付款条件：本项目采取分期付款方式。采购人收到合同总金额60%的国家规定正式发票后，向中标人支付合同总金额60%的预付款；货到指定地点安装调试完成，并经采购人验收合格，中标人向采购人提交剩余款项的国家规定正式发票后，采购人向中标人支付剩余款项。本项目使用财政资金（包括混合资金来源中的财政资金）付款时，采购人有权根据本项目当年财政资金拨款情况支付合同约定款项，如剩余财政资金不足以支付到期款项的，采购人有权迟延至新的财政资金下达后支付该到期款项，且无需因此向中标人承担违约责任。</w:t>
            </w:r>
          </w:p>
        </w:tc>
      </w:tr>
      <w:tr w14:paraId="04B53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4" w:hRule="atLeast"/>
          <w:jc w:val="center"/>
        </w:trPr>
        <w:tc>
          <w:tcPr>
            <w:tcW w:w="1260" w:type="dxa"/>
            <w:vMerge w:val="restart"/>
            <w:noWrap w:val="0"/>
            <w:vAlign w:val="center"/>
          </w:tcPr>
          <w:p w14:paraId="2A331FCC">
            <w:pPr>
              <w:rPr>
                <w:rFonts w:hint="eastAsia" w:ascii="宋体" w:hAnsi="宋体" w:eastAsia="宋体" w:cs="宋体"/>
                <w:b/>
              </w:rPr>
            </w:pPr>
            <w:r>
              <w:rPr>
                <w:rFonts w:hint="eastAsia" w:ascii="宋体" w:hAnsi="宋体" w:eastAsia="宋体" w:cs="宋体"/>
                <w:b/>
              </w:rPr>
              <w:t>6</w:t>
            </w:r>
          </w:p>
        </w:tc>
        <w:tc>
          <w:tcPr>
            <w:tcW w:w="1620" w:type="dxa"/>
            <w:vMerge w:val="restart"/>
            <w:noWrap w:val="0"/>
            <w:vAlign w:val="center"/>
          </w:tcPr>
          <w:p w14:paraId="155D1A30">
            <w:pPr>
              <w:jc w:val="center"/>
              <w:rPr>
                <w:rFonts w:hint="eastAsia" w:ascii="宋体" w:hAnsi="宋体" w:eastAsia="宋体" w:cs="宋体"/>
                <w:b/>
                <w:bCs/>
                <w:kern w:val="0"/>
                <w:szCs w:val="21"/>
              </w:rPr>
            </w:pPr>
            <w:r>
              <w:rPr>
                <w:rFonts w:hint="eastAsia" w:ascii="宋体" w:hAnsi="宋体" w:eastAsia="宋体" w:cs="宋体"/>
                <w:b/>
                <w:bCs/>
                <w:kern w:val="0"/>
                <w:szCs w:val="21"/>
              </w:rPr>
              <w:t>违约责任</w:t>
            </w:r>
          </w:p>
        </w:tc>
        <w:tc>
          <w:tcPr>
            <w:tcW w:w="5625" w:type="dxa"/>
            <w:noWrap w:val="0"/>
            <w:vAlign w:val="top"/>
          </w:tcPr>
          <w:p w14:paraId="74BD662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b/>
                <w:bCs/>
                <w:color w:val="auto"/>
                <w:kern w:val="0"/>
                <w:sz w:val="21"/>
                <w:szCs w:val="21"/>
                <w:highlight w:val="none"/>
              </w:rPr>
              <w:t>违约责任</w:t>
            </w:r>
          </w:p>
          <w:p w14:paraId="2952437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违约责任1：</w:t>
            </w:r>
            <w:r>
              <w:rPr>
                <w:rFonts w:hint="eastAsia" w:ascii="宋体" w:hAnsi="宋体" w:eastAsia="宋体" w:cs="宋体"/>
                <w:color w:val="auto"/>
                <w:sz w:val="21"/>
                <w:szCs w:val="21"/>
                <w:highlight w:val="none"/>
              </w:rPr>
              <w:t>如投标人未按照投标文件中承诺的时间交货或提供服务，投标人应承担延期交货和延期服务的违约责任，并赔偿采购人因此造成的实际经济损失。实际经济损失超出履约保证金额，采购人有权终止合同，并保留追究投标人法律责任的权利。</w:t>
            </w:r>
          </w:p>
          <w:p w14:paraId="343621E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违约责任2：</w:t>
            </w:r>
            <w:r>
              <w:rPr>
                <w:rFonts w:hint="eastAsia" w:ascii="宋体" w:hAnsi="宋体" w:eastAsia="宋体" w:cs="宋体"/>
                <w:color w:val="auto"/>
                <w:sz w:val="21"/>
                <w:szCs w:val="21"/>
                <w:highlight w:val="none"/>
              </w:rPr>
              <w:t>投标人不能交付设备的，投标人向采购人偿付项目中标金额2%的违约金；造成严重后果的，根据《深圳经济特区政府采购条例》第五十七条第（二）款规定，由主管部门对中标人进行处罚。</w:t>
            </w:r>
          </w:p>
          <w:p w14:paraId="0357EFE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违约责任3：</w:t>
            </w:r>
            <w:r>
              <w:rPr>
                <w:rFonts w:hint="eastAsia" w:ascii="宋体" w:hAnsi="宋体" w:eastAsia="宋体" w:cs="宋体"/>
                <w:color w:val="auto"/>
                <w:sz w:val="21"/>
                <w:szCs w:val="21"/>
                <w:highlight w:val="none"/>
              </w:rPr>
              <w:t>投标人所交设备的品种、型号、规格、质量、功能、技术参数等方面不能实质性满足招标文件要约的，采购人有权拒绝收货，投标人向采购人偿付项目中标金额2% 的违约金；造成严重后果的，根据《深圳经济特区政府采购条例》第五十七条第（二）款规定，由主管部门对中标人进行处罚。</w:t>
            </w:r>
          </w:p>
          <w:p w14:paraId="4E7479E1">
            <w:pPr>
              <w:keepNext w:val="0"/>
              <w:keepLines w:val="0"/>
              <w:suppressLineNumbers w:val="0"/>
              <w:spacing w:before="0" w:beforeAutospacing="0" w:after="0" w:afterAutospacing="0"/>
              <w:ind w:left="0" w:right="0"/>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lang w:val="en-US" w:eastAsia="zh-CN"/>
              </w:rPr>
              <w:t>违约责任4：</w:t>
            </w:r>
            <w:r>
              <w:rPr>
                <w:rFonts w:hint="eastAsia" w:ascii="宋体" w:hAnsi="宋体" w:eastAsia="宋体" w:cs="宋体"/>
                <w:bCs/>
                <w:color w:val="auto"/>
                <w:kern w:val="0"/>
                <w:sz w:val="21"/>
                <w:szCs w:val="21"/>
                <w:highlight w:val="none"/>
              </w:rPr>
              <w:t>因投标人原因出现逾期情况，投标人应以如下方式向买方支付逾期违约金：</w:t>
            </w:r>
          </w:p>
          <w:p w14:paraId="71F43C08">
            <w:pPr>
              <w:keepNext w:val="0"/>
              <w:keepLines w:val="0"/>
              <w:numPr>
                <w:ilvl w:val="0"/>
                <w:numId w:val="0"/>
              </w:numPr>
              <w:suppressLineNumbers w:val="0"/>
              <w:spacing w:before="0" w:beforeAutospacing="0" w:after="0" w:afterAutospacing="0"/>
              <w:ind w:left="0" w:right="0" w:firstLine="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bidi="ar-SA"/>
              </w:rPr>
              <w:t>A.</w:t>
            </w:r>
            <w:r>
              <w:rPr>
                <w:rFonts w:hint="eastAsia" w:ascii="宋体" w:hAnsi="宋体" w:eastAsia="宋体" w:cs="宋体"/>
                <w:bCs/>
                <w:color w:val="auto"/>
                <w:kern w:val="0"/>
                <w:sz w:val="21"/>
                <w:szCs w:val="21"/>
                <w:highlight w:val="none"/>
              </w:rPr>
              <w:t>每逾期交货／逾期安装调试／逾期验收合格／一天，按合同总金额万分之五计算违约金；不满一天按一天计算；</w:t>
            </w:r>
          </w:p>
          <w:p w14:paraId="1F3AFA87">
            <w:pPr>
              <w:keepNext w:val="0"/>
              <w:keepLines w:val="0"/>
              <w:numPr>
                <w:ilvl w:val="0"/>
                <w:numId w:val="0"/>
              </w:numPr>
              <w:suppressLineNumbers w:val="0"/>
              <w:spacing w:before="0" w:beforeAutospacing="0" w:after="0" w:afterAutospacing="0"/>
              <w:ind w:left="0" w:right="0" w:firstLine="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bidi="ar-SA"/>
              </w:rPr>
              <w:t>B.</w:t>
            </w:r>
            <w:r>
              <w:rPr>
                <w:rFonts w:hint="eastAsia" w:ascii="宋体" w:hAnsi="宋体" w:eastAsia="宋体" w:cs="宋体"/>
                <w:bCs/>
                <w:color w:val="auto"/>
                <w:kern w:val="0"/>
                <w:sz w:val="21"/>
                <w:szCs w:val="21"/>
                <w:highlight w:val="none"/>
              </w:rPr>
              <w:t>上述逾期违约金的支付不影响投标人交货义务的履行；</w:t>
            </w:r>
          </w:p>
          <w:p w14:paraId="63507124">
            <w:pPr>
              <w:numPr>
                <w:ilvl w:val="0"/>
                <w:numId w:val="0"/>
              </w:numPr>
              <w:ind w:left="0" w:firstLine="0"/>
              <w:rPr>
                <w:rFonts w:hint="eastAsia" w:ascii="宋体" w:hAnsi="宋体" w:eastAsia="宋体" w:cs="宋体"/>
                <w:bCs/>
                <w:kern w:val="0"/>
                <w:szCs w:val="21"/>
              </w:rPr>
            </w:pPr>
            <w:r>
              <w:rPr>
                <w:rFonts w:hint="eastAsia" w:ascii="宋体" w:hAnsi="宋体" w:eastAsia="宋体" w:cs="宋体"/>
                <w:bCs/>
                <w:color w:val="auto"/>
                <w:kern w:val="0"/>
                <w:sz w:val="21"/>
                <w:szCs w:val="21"/>
                <w:highlight w:val="none"/>
                <w:lang w:val="en-US" w:eastAsia="zh-CN" w:bidi="ar-SA"/>
              </w:rPr>
              <w:t>C.</w:t>
            </w:r>
            <w:r>
              <w:rPr>
                <w:rFonts w:hint="eastAsia" w:ascii="宋体" w:hAnsi="宋体" w:eastAsia="宋体" w:cs="宋体"/>
                <w:bCs/>
                <w:color w:val="auto"/>
                <w:kern w:val="0"/>
                <w:sz w:val="21"/>
                <w:szCs w:val="21"/>
                <w:highlight w:val="none"/>
              </w:rPr>
              <w:t>逾期交货超过15天的，采购人有权单方解除本合同，并保留追究投标人法律责任的权利。</w:t>
            </w:r>
          </w:p>
        </w:tc>
      </w:tr>
      <w:tr w14:paraId="2FF05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260" w:type="dxa"/>
            <w:vMerge w:val="restart"/>
            <w:noWrap w:val="0"/>
            <w:vAlign w:val="center"/>
          </w:tcPr>
          <w:p w14:paraId="570E2028">
            <w:pPr>
              <w:jc w:val="center"/>
              <w:rPr>
                <w:rFonts w:hint="eastAsia" w:ascii="宋体" w:hAnsi="宋体" w:eastAsia="宋体" w:cs="宋体"/>
                <w:b/>
              </w:rPr>
            </w:pPr>
            <w:r>
              <w:rPr>
                <w:rFonts w:hint="eastAsia" w:ascii="宋体" w:hAnsi="宋体" w:eastAsia="宋体" w:cs="宋体"/>
                <w:b/>
              </w:rPr>
              <w:t>7</w:t>
            </w:r>
          </w:p>
        </w:tc>
        <w:tc>
          <w:tcPr>
            <w:tcW w:w="1620" w:type="dxa"/>
            <w:vMerge w:val="restart"/>
            <w:noWrap w:val="0"/>
            <w:vAlign w:val="center"/>
          </w:tcPr>
          <w:p w14:paraId="3A036723">
            <w:pPr>
              <w:jc w:val="center"/>
              <w:rPr>
                <w:rFonts w:hint="eastAsia" w:ascii="宋体" w:hAnsi="宋体" w:eastAsia="宋体" w:cs="宋体"/>
                <w:b/>
                <w:kern w:val="0"/>
                <w:szCs w:val="21"/>
              </w:rPr>
            </w:pPr>
            <w:r>
              <w:rPr>
                <w:rFonts w:hint="eastAsia" w:ascii="宋体" w:hAnsi="宋体" w:eastAsia="宋体" w:cs="宋体"/>
                <w:b/>
                <w:kern w:val="0"/>
                <w:szCs w:val="21"/>
              </w:rPr>
              <w:t>其他</w:t>
            </w:r>
          </w:p>
        </w:tc>
        <w:tc>
          <w:tcPr>
            <w:tcW w:w="5625" w:type="dxa"/>
            <w:noWrap w:val="0"/>
            <w:vAlign w:val="center"/>
          </w:tcPr>
          <w:p w14:paraId="1AE12D1D">
            <w:pPr>
              <w:rPr>
                <w:rFonts w:hint="eastAsia" w:ascii="宋体" w:hAnsi="宋体" w:eastAsia="宋体" w:cs="宋体"/>
                <w:b/>
              </w:rPr>
            </w:pPr>
            <w:r>
              <w:rPr>
                <w:rFonts w:hint="eastAsia" w:ascii="宋体" w:hAnsi="宋体" w:eastAsia="宋体" w:cs="宋体"/>
                <w:kern w:val="0"/>
                <w:szCs w:val="21"/>
                <w:highlight w:val="none"/>
              </w:rPr>
              <w:t>★</w:t>
            </w:r>
            <w:r>
              <w:rPr>
                <w:rFonts w:hint="eastAsia" w:ascii="宋体" w:hAnsi="宋体" w:eastAsia="宋体" w:cs="宋体"/>
                <w:bCs/>
                <w:szCs w:val="21"/>
              </w:rPr>
              <w:t>7.1投标人应按其投标文件中的承诺，进行其他售后服务工作。</w:t>
            </w:r>
          </w:p>
        </w:tc>
      </w:tr>
      <w:tr w14:paraId="7F789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60" w:type="dxa"/>
            <w:vMerge w:val="continue"/>
            <w:noWrap w:val="0"/>
            <w:vAlign w:val="center"/>
          </w:tcPr>
          <w:p w14:paraId="19CC0F35">
            <w:pPr>
              <w:jc w:val="center"/>
              <w:rPr>
                <w:rFonts w:hint="eastAsia" w:ascii="宋体" w:hAnsi="宋体" w:eastAsia="宋体" w:cs="宋体"/>
                <w:b/>
              </w:rPr>
            </w:pPr>
          </w:p>
        </w:tc>
        <w:tc>
          <w:tcPr>
            <w:tcW w:w="1620" w:type="dxa"/>
            <w:vMerge w:val="continue"/>
            <w:noWrap w:val="0"/>
            <w:vAlign w:val="center"/>
          </w:tcPr>
          <w:p w14:paraId="136D85C6">
            <w:pPr>
              <w:jc w:val="center"/>
              <w:rPr>
                <w:rFonts w:hint="eastAsia" w:ascii="宋体" w:hAnsi="宋体" w:eastAsia="宋体" w:cs="宋体"/>
                <w:b/>
                <w:kern w:val="0"/>
                <w:szCs w:val="21"/>
              </w:rPr>
            </w:pPr>
          </w:p>
        </w:tc>
        <w:tc>
          <w:tcPr>
            <w:tcW w:w="5625" w:type="dxa"/>
            <w:noWrap w:val="0"/>
            <w:vAlign w:val="center"/>
          </w:tcPr>
          <w:p w14:paraId="4DEBB3C4">
            <w:pPr>
              <w:rPr>
                <w:rFonts w:hint="eastAsia" w:ascii="宋体" w:hAnsi="宋体" w:eastAsia="宋体" w:cs="宋体"/>
              </w:rPr>
            </w:pPr>
            <w:r>
              <w:rPr>
                <w:rFonts w:hint="eastAsia" w:ascii="宋体" w:hAnsi="宋体" w:eastAsia="宋体" w:cs="宋体"/>
                <w:b w:val="0"/>
                <w:bCs/>
                <w:color w:val="auto"/>
                <w:sz w:val="21"/>
                <w:szCs w:val="21"/>
                <w:highlight w:val="none"/>
              </w:rPr>
              <w:t>★</w:t>
            </w:r>
            <w:r>
              <w:rPr>
                <w:rFonts w:hint="eastAsia" w:ascii="宋体" w:hAnsi="宋体" w:eastAsia="宋体" w:cs="宋体"/>
                <w:bCs/>
                <w:color w:val="auto"/>
                <w:szCs w:val="21"/>
              </w:rPr>
              <w:t>7.</w:t>
            </w:r>
            <w:r>
              <w:rPr>
                <w:rFonts w:hint="eastAsia" w:ascii="宋体" w:hAnsi="宋体" w:eastAsia="宋体" w:cs="宋体"/>
                <w:bCs/>
                <w:color w:val="auto"/>
                <w:szCs w:val="21"/>
                <w:lang w:val="en-US" w:eastAsia="zh-CN"/>
              </w:rPr>
              <w:t>2</w:t>
            </w:r>
            <w:r>
              <w:rPr>
                <w:rFonts w:hint="eastAsia" w:ascii="宋体" w:hAnsi="宋体" w:eastAsia="宋体" w:cs="宋体"/>
                <w:bCs/>
                <w:szCs w:val="21"/>
              </w:rPr>
              <w:t>需支持有工程师支持科室完成模型训练工作，提供≥50个工作日驻场服务，总计1年技术支持服务</w:t>
            </w:r>
          </w:p>
        </w:tc>
      </w:tr>
      <w:tr w14:paraId="2380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60" w:type="dxa"/>
            <w:vMerge w:val="continue"/>
            <w:noWrap w:val="0"/>
            <w:vAlign w:val="center"/>
          </w:tcPr>
          <w:p w14:paraId="0A6C59CA">
            <w:pPr>
              <w:jc w:val="center"/>
              <w:rPr>
                <w:rFonts w:hint="eastAsia" w:ascii="宋体" w:hAnsi="宋体" w:eastAsia="宋体" w:cs="宋体"/>
                <w:b/>
              </w:rPr>
            </w:pPr>
          </w:p>
        </w:tc>
        <w:tc>
          <w:tcPr>
            <w:tcW w:w="1620" w:type="dxa"/>
            <w:vMerge w:val="continue"/>
            <w:noWrap w:val="0"/>
            <w:vAlign w:val="center"/>
          </w:tcPr>
          <w:p w14:paraId="659C9571">
            <w:pPr>
              <w:jc w:val="center"/>
              <w:rPr>
                <w:rFonts w:hint="eastAsia" w:ascii="宋体" w:hAnsi="宋体" w:eastAsia="宋体" w:cs="宋体"/>
                <w:b/>
                <w:kern w:val="0"/>
                <w:szCs w:val="21"/>
              </w:rPr>
            </w:pPr>
          </w:p>
        </w:tc>
        <w:tc>
          <w:tcPr>
            <w:tcW w:w="5625" w:type="dxa"/>
            <w:noWrap w:val="0"/>
            <w:vAlign w:val="center"/>
          </w:tcPr>
          <w:p w14:paraId="36AB3245">
            <w:pPr>
              <w:rPr>
                <w:rFonts w:hint="eastAsia" w:ascii="宋体" w:hAnsi="宋体" w:eastAsia="宋体" w:cs="宋体"/>
                <w:kern w:val="0"/>
                <w:szCs w:val="21"/>
                <w:highlight w:val="none"/>
              </w:rPr>
            </w:pPr>
            <w:r>
              <w:rPr>
                <w:rFonts w:hint="eastAsia" w:ascii="宋体" w:hAnsi="宋体" w:eastAsia="宋体" w:cs="宋体"/>
                <w:kern w:val="0"/>
                <w:szCs w:val="21"/>
                <w:highlight w:val="none"/>
              </w:rPr>
              <w:t>★7.3向医院信息管理部门提供本项目项下超级管理员账号，包含所有软件及硬件。</w:t>
            </w:r>
          </w:p>
        </w:tc>
      </w:tr>
      <w:tr w14:paraId="1CEE2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60" w:type="dxa"/>
            <w:vMerge w:val="continue"/>
            <w:noWrap w:val="0"/>
            <w:vAlign w:val="center"/>
          </w:tcPr>
          <w:p w14:paraId="14CFAA95">
            <w:pPr>
              <w:jc w:val="center"/>
              <w:rPr>
                <w:rFonts w:hint="eastAsia" w:ascii="宋体" w:hAnsi="宋体" w:eastAsia="宋体" w:cs="宋体"/>
                <w:b/>
              </w:rPr>
            </w:pPr>
          </w:p>
        </w:tc>
        <w:tc>
          <w:tcPr>
            <w:tcW w:w="1620" w:type="dxa"/>
            <w:vMerge w:val="continue"/>
            <w:noWrap w:val="0"/>
            <w:vAlign w:val="center"/>
          </w:tcPr>
          <w:p w14:paraId="4B47E73F">
            <w:pPr>
              <w:jc w:val="center"/>
              <w:rPr>
                <w:rFonts w:hint="eastAsia" w:ascii="宋体" w:hAnsi="宋体" w:eastAsia="宋体" w:cs="宋体"/>
                <w:b/>
                <w:kern w:val="0"/>
                <w:szCs w:val="21"/>
              </w:rPr>
            </w:pPr>
          </w:p>
        </w:tc>
        <w:tc>
          <w:tcPr>
            <w:tcW w:w="5625" w:type="dxa"/>
            <w:noWrap w:val="0"/>
            <w:vAlign w:val="center"/>
          </w:tcPr>
          <w:p w14:paraId="1F63FF6D">
            <w:pPr>
              <w:rPr>
                <w:rFonts w:hint="eastAsia" w:ascii="宋体" w:hAnsi="宋体" w:eastAsia="宋体" w:cs="宋体"/>
                <w:kern w:val="0"/>
                <w:szCs w:val="21"/>
                <w:highlight w:val="none"/>
              </w:rPr>
            </w:pPr>
            <w:r>
              <w:rPr>
                <w:rFonts w:hint="eastAsia" w:ascii="宋体" w:hAnsi="宋体" w:eastAsia="宋体" w:cs="宋体"/>
                <w:kern w:val="0"/>
                <w:szCs w:val="21"/>
                <w:highlight w:val="none"/>
              </w:rPr>
              <w:t>★7.4系统部署架构需满足院内信息安全要求，仅开放必要端口和服务，禁止默认方式部署，系统功能满足信息安全等级保护三级要求，对中高危漏洞3天内修复，紧急情况24小时内处置，中标后签订信息安全保密承诺书，严禁外泄医院数据及个人隐私，遵守院内信息安全管理制度。</w:t>
            </w:r>
          </w:p>
        </w:tc>
      </w:tr>
      <w:tr w14:paraId="65342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60" w:type="dxa"/>
            <w:noWrap w:val="0"/>
            <w:vAlign w:val="center"/>
          </w:tcPr>
          <w:p w14:paraId="6B94C115">
            <w:pPr>
              <w:widowControl/>
              <w:jc w:val="center"/>
              <w:rPr>
                <w:rFonts w:hint="eastAsia" w:ascii="宋体" w:hAnsi="宋体" w:eastAsia="宋体" w:cs="宋体"/>
                <w:b/>
                <w:sz w:val="21"/>
                <w:szCs w:val="21"/>
              </w:rPr>
            </w:pPr>
            <w:r>
              <w:rPr>
                <w:rFonts w:hint="eastAsia" w:ascii="宋体" w:hAnsi="宋体" w:eastAsia="宋体" w:cs="宋体"/>
                <w:b/>
                <w:sz w:val="21"/>
                <w:szCs w:val="21"/>
                <w:highlight w:val="none"/>
                <w:lang w:val="en-US" w:eastAsia="zh-CN"/>
              </w:rPr>
              <w:t>8</w:t>
            </w:r>
          </w:p>
        </w:tc>
        <w:tc>
          <w:tcPr>
            <w:tcW w:w="1620" w:type="dxa"/>
            <w:noWrap w:val="0"/>
            <w:vAlign w:val="center"/>
          </w:tcPr>
          <w:p w14:paraId="0FB6CC35">
            <w:pPr>
              <w:widowControl/>
              <w:jc w:val="center"/>
              <w:rPr>
                <w:rFonts w:hint="eastAsia" w:ascii="宋体" w:hAnsi="宋体" w:eastAsia="宋体" w:cs="宋体"/>
                <w:b/>
                <w:kern w:val="0"/>
                <w:sz w:val="21"/>
                <w:szCs w:val="21"/>
              </w:rPr>
            </w:pPr>
            <w:r>
              <w:rPr>
                <w:rFonts w:hint="eastAsia" w:ascii="宋体" w:hAnsi="宋体" w:eastAsia="宋体" w:cs="宋体"/>
                <w:b/>
                <w:sz w:val="21"/>
                <w:szCs w:val="21"/>
                <w:highlight w:val="none"/>
              </w:rPr>
              <w:t>项目（产品）要求</w:t>
            </w:r>
          </w:p>
        </w:tc>
        <w:tc>
          <w:tcPr>
            <w:tcW w:w="5625" w:type="dxa"/>
            <w:noWrap w:val="0"/>
            <w:vAlign w:val="top"/>
          </w:tcPr>
          <w:p w14:paraId="139FF5A4">
            <w:pPr>
              <w:rPr>
                <w:rFonts w:hint="eastAsia" w:ascii="宋体" w:hAnsi="宋体" w:eastAsia="宋体" w:cs="宋体"/>
                <w:b/>
                <w:bCs w:val="0"/>
                <w:color w:val="FF0000"/>
                <w:kern w:val="0"/>
                <w:sz w:val="21"/>
                <w:szCs w:val="21"/>
                <w:highlight w:val="none"/>
              </w:rPr>
            </w:pPr>
            <w:r>
              <w:rPr>
                <w:rFonts w:hint="eastAsia" w:ascii="宋体" w:hAnsi="宋体" w:eastAsia="宋体" w:cs="宋体"/>
                <w:b/>
                <w:bCs w:val="0"/>
                <w:color w:val="FF0000"/>
                <w:sz w:val="21"/>
                <w:szCs w:val="21"/>
                <w:highlight w:val="none"/>
              </w:rPr>
              <w:t>★</w:t>
            </w:r>
            <w:r>
              <w:rPr>
                <w:rFonts w:hint="eastAsia" w:ascii="宋体" w:hAnsi="宋体" w:eastAsia="宋体" w:cs="宋体"/>
                <w:b/>
                <w:bCs w:val="0"/>
                <w:color w:val="FF0000"/>
                <w:sz w:val="21"/>
                <w:szCs w:val="21"/>
                <w:highlight w:val="none"/>
                <w:lang w:val="en-US" w:eastAsia="zh-CN"/>
              </w:rPr>
              <w:t>8</w:t>
            </w:r>
            <w:r>
              <w:rPr>
                <w:rFonts w:hint="eastAsia" w:ascii="宋体" w:hAnsi="宋体" w:eastAsia="宋体" w:cs="宋体"/>
                <w:b/>
                <w:bCs w:val="0"/>
                <w:color w:val="FF0000"/>
                <w:sz w:val="21"/>
                <w:szCs w:val="21"/>
                <w:highlight w:val="none"/>
              </w:rPr>
              <w:t>.1</w:t>
            </w:r>
            <w:r>
              <w:rPr>
                <w:rFonts w:hint="eastAsia" w:ascii="宋体" w:hAnsi="宋体" w:eastAsia="宋体" w:cs="宋体"/>
                <w:b/>
                <w:bCs w:val="0"/>
                <w:color w:val="FF0000"/>
                <w:sz w:val="21"/>
                <w:szCs w:val="21"/>
                <w:highlight w:val="none"/>
                <w:lang w:eastAsia="zh-CN"/>
              </w:rPr>
              <w:t>投标人</w:t>
            </w:r>
            <w:r>
              <w:rPr>
                <w:rFonts w:hint="eastAsia" w:ascii="宋体" w:hAnsi="宋体" w:eastAsia="宋体" w:cs="宋体"/>
                <w:b/>
                <w:bCs w:val="0"/>
                <w:color w:val="FF0000"/>
                <w:sz w:val="21"/>
                <w:szCs w:val="21"/>
                <w:highlight w:val="none"/>
              </w:rPr>
              <w:t>所投产品</w:t>
            </w:r>
            <w:r>
              <w:rPr>
                <w:rFonts w:hint="eastAsia" w:ascii="宋体" w:hAnsi="宋体" w:eastAsia="宋体" w:cs="宋体"/>
                <w:b/>
                <w:bCs w:val="0"/>
                <w:color w:val="FF0000"/>
                <w:sz w:val="21"/>
                <w:szCs w:val="21"/>
                <w:highlight w:val="none"/>
                <w:lang w:eastAsia="zh-CN"/>
              </w:rPr>
              <w:t>（</w:t>
            </w:r>
            <w:r>
              <w:rPr>
                <w:rFonts w:hint="default" w:ascii="宋体" w:hAnsi="宋体" w:cs="宋体"/>
                <w:b/>
                <w:color w:val="FF0000"/>
                <w:szCs w:val="21"/>
              </w:rPr>
              <w:t>放疗计划设计工作站</w:t>
            </w:r>
            <w:r>
              <w:rPr>
                <w:rFonts w:hint="eastAsia" w:ascii="宋体" w:hAnsi="宋体" w:eastAsia="宋体" w:cs="宋体"/>
                <w:b/>
                <w:bCs w:val="0"/>
                <w:color w:val="FF0000"/>
                <w:sz w:val="21"/>
                <w:szCs w:val="21"/>
                <w:highlight w:val="none"/>
                <w:lang w:eastAsia="zh-CN"/>
              </w:rPr>
              <w:t>）</w:t>
            </w:r>
            <w:r>
              <w:rPr>
                <w:rFonts w:hint="eastAsia" w:ascii="宋体" w:hAnsi="宋体" w:eastAsia="宋体" w:cs="宋体"/>
                <w:b/>
                <w:bCs w:val="0"/>
                <w:color w:val="FF0000"/>
                <w:sz w:val="21"/>
                <w:szCs w:val="21"/>
                <w:highlight w:val="none"/>
              </w:rPr>
              <w:t>具备相关主管部门要求的认证资料：所投产品为第一类医疗器械的，提供监督管理部门签发的有效的《医疗器械备案凭证》扫描件；所投产品为第二、三类医疗器械的，提供监督管理部门签发的涵盖所投产品的《医疗器械注册证》(有效期内)扫描件。</w:t>
            </w:r>
          </w:p>
        </w:tc>
      </w:tr>
      <w:tr w14:paraId="370C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60" w:type="dxa"/>
            <w:noWrap w:val="0"/>
            <w:vAlign w:val="center"/>
          </w:tcPr>
          <w:p w14:paraId="7D0563A7">
            <w:pPr>
              <w:adjustRightInd w:val="0"/>
              <w:snapToGrid w:val="0"/>
              <w:jc w:val="center"/>
              <w:rPr>
                <w:rFonts w:hint="eastAsia" w:ascii="宋体" w:hAnsi="宋体" w:eastAsia="宋体" w:cs="宋体"/>
                <w:b/>
                <w:sz w:val="21"/>
                <w:szCs w:val="21"/>
              </w:rPr>
            </w:pPr>
            <w:r>
              <w:rPr>
                <w:rFonts w:hint="eastAsia" w:ascii="宋体" w:hAnsi="宋体" w:eastAsia="宋体" w:cs="宋体"/>
                <w:b/>
                <w:sz w:val="21"/>
                <w:szCs w:val="21"/>
                <w:highlight w:val="none"/>
                <w:lang w:val="en-US" w:eastAsia="zh-CN"/>
              </w:rPr>
              <w:t>9</w:t>
            </w:r>
          </w:p>
        </w:tc>
        <w:tc>
          <w:tcPr>
            <w:tcW w:w="1620" w:type="dxa"/>
            <w:noWrap w:val="0"/>
            <w:vAlign w:val="center"/>
          </w:tcPr>
          <w:p w14:paraId="17516301">
            <w:pPr>
              <w:adjustRightInd w:val="0"/>
              <w:snapToGrid w:val="0"/>
              <w:jc w:val="center"/>
              <w:rPr>
                <w:rFonts w:hint="eastAsia" w:ascii="宋体" w:hAnsi="宋体" w:eastAsia="宋体" w:cs="宋体"/>
                <w:b/>
                <w:kern w:val="0"/>
                <w:sz w:val="21"/>
                <w:szCs w:val="21"/>
              </w:rPr>
            </w:pPr>
            <w:r>
              <w:rPr>
                <w:rFonts w:hint="eastAsia" w:ascii="宋体" w:hAnsi="宋体" w:eastAsia="宋体" w:cs="宋体"/>
                <w:b/>
                <w:sz w:val="21"/>
                <w:szCs w:val="21"/>
                <w:highlight w:val="none"/>
              </w:rPr>
              <w:t>进口产品要求</w:t>
            </w:r>
          </w:p>
        </w:tc>
        <w:tc>
          <w:tcPr>
            <w:tcW w:w="5625" w:type="dxa"/>
            <w:noWrap w:val="0"/>
            <w:vAlign w:val="top"/>
          </w:tcPr>
          <w:p w14:paraId="052FDDE4">
            <w:pPr>
              <w:adjustRightInd w:val="0"/>
              <w:snapToGrid w:val="0"/>
              <w:spacing w:line="240" w:lineRule="auto"/>
              <w:ind w:firstLine="0" w:firstLineChars="0"/>
              <w:jc w:val="left"/>
              <w:rPr>
                <w:rFonts w:hint="eastAsia" w:ascii="宋体" w:hAnsi="宋体" w:eastAsia="宋体" w:cs="宋体"/>
                <w:b/>
                <w:bCs w:val="0"/>
                <w:color w:val="FF0000"/>
                <w:kern w:val="0"/>
                <w:sz w:val="21"/>
                <w:szCs w:val="21"/>
                <w:highlight w:val="none"/>
              </w:rPr>
            </w:pPr>
            <w:r>
              <w:rPr>
                <w:rFonts w:hint="eastAsia" w:ascii="宋体" w:hAnsi="宋体" w:eastAsia="宋体" w:cs="宋体"/>
                <w:b/>
                <w:bCs w:val="0"/>
                <w:color w:val="FF0000"/>
                <w:sz w:val="21"/>
                <w:szCs w:val="21"/>
                <w:highlight w:val="none"/>
              </w:rPr>
              <w:t>★</w:t>
            </w:r>
            <w:r>
              <w:rPr>
                <w:rFonts w:hint="eastAsia" w:ascii="宋体" w:hAnsi="宋体" w:eastAsia="宋体" w:cs="宋体"/>
                <w:b/>
                <w:bCs w:val="0"/>
                <w:color w:val="FF0000"/>
                <w:sz w:val="21"/>
                <w:szCs w:val="21"/>
              </w:rPr>
              <w:t>若所投产品为进口，则投标人需提供由设备制造商或授权的中国总代理签署的合法有效的保修、维修承诺函（免费保修期满足招标文件要求）扫描件；若所投产品为国产产品，则无需提供。</w:t>
            </w:r>
          </w:p>
        </w:tc>
      </w:tr>
    </w:tbl>
    <w:p w14:paraId="025A09CD"/>
    <w:p w14:paraId="192A447C">
      <w:pPr>
        <w:pStyle w:val="7"/>
        <w:rPr>
          <w:rFonts w:hint="eastAsia"/>
        </w:rPr>
      </w:pPr>
      <w:r>
        <w:rPr>
          <w:rFonts w:hint="eastAsia"/>
          <w:lang w:val="en-US" w:eastAsia="zh-CN"/>
        </w:rPr>
        <w:t>六</w:t>
      </w:r>
      <w:r>
        <w:rPr>
          <w:rFonts w:hint="eastAsia"/>
        </w:rPr>
        <w:t>、其他重要条款</w:t>
      </w:r>
    </w:p>
    <w:p w14:paraId="1684742A">
      <w:pPr>
        <w:ind w:firstLine="420" w:firstLineChars="200"/>
        <w:rPr>
          <w:bCs/>
          <w:szCs w:val="21"/>
        </w:rPr>
      </w:pPr>
      <w:r>
        <w:rPr>
          <w:rFonts w:hint="eastAsia"/>
          <w:bCs/>
          <w:szCs w:val="21"/>
        </w:rPr>
        <w:t>1、本项目投标</w:t>
      </w:r>
      <w:r>
        <w:rPr>
          <w:rFonts w:hint="default"/>
          <w:bCs/>
          <w:szCs w:val="21"/>
          <w:lang w:val="en-US"/>
        </w:rPr>
        <w:t>报价应</w:t>
      </w:r>
      <w:r>
        <w:rPr>
          <w:rFonts w:hint="eastAsia"/>
          <w:bCs/>
          <w:szCs w:val="21"/>
        </w:rPr>
        <w:t>包括成本、法定税费和相应的利润，应涵盖本项目招标范围和招标文件所列的各项内容中所述的全部。由投标人根据招标需求自行测算投标报价；</w:t>
      </w:r>
      <w:r>
        <w:rPr>
          <w:rFonts w:hint="eastAsia" w:ascii="宋体" w:hAnsi="宋体"/>
        </w:rPr>
        <w:t>本项目产品按实际交付数量据实结算，结算总价=中标单价*实际安装交付数量。</w:t>
      </w:r>
    </w:p>
    <w:p w14:paraId="3AF66843">
      <w:pPr>
        <w:pStyle w:val="8"/>
        <w:spacing w:before="60" w:beforeLines="25" w:after="60" w:afterLines="25"/>
        <w:ind w:firstLine="392" w:firstLineChars="187"/>
        <w:rPr>
          <w:rFonts w:hint="eastAsia" w:ascii="宋体" w:hAnsi="宋体"/>
          <w:szCs w:val="21"/>
        </w:rPr>
      </w:pPr>
      <w:r>
        <w:rPr>
          <w:bCs/>
          <w:szCs w:val="21"/>
        </w:rPr>
        <w:t>2</w:t>
      </w:r>
      <w:r>
        <w:rPr>
          <w:rFonts w:hint="eastAsia"/>
          <w:bCs/>
          <w:szCs w:val="21"/>
        </w:rPr>
        <w:t>、投标人应充分了解项目的位置、情况、道路及任何其它足以影响投标报价的情况，任何因忽视或误解项目情况而导致的索赔或服务期限延长申请将不获批准。</w:t>
      </w:r>
    </w:p>
    <w:p w14:paraId="623613CF">
      <w:pPr>
        <w:ind w:firstLine="420" w:firstLineChars="200"/>
        <w:rPr>
          <w:bCs/>
          <w:szCs w:val="21"/>
        </w:rPr>
      </w:pPr>
      <w:r>
        <w:rPr>
          <w:bCs/>
          <w:szCs w:val="21"/>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78DBBCC3">
      <w:pPr>
        <w:ind w:firstLine="420" w:firstLineChars="200"/>
        <w:rPr>
          <w:bCs/>
          <w:szCs w:val="21"/>
        </w:rPr>
      </w:pPr>
      <w:r>
        <w:rPr>
          <w:rFonts w:hint="eastAsia"/>
          <w:bCs/>
          <w:szCs w:val="21"/>
        </w:rPr>
        <w:t>4、除政府采购合同继续履行将损害国家利益和社会公共利益外，双方当事人不得擅自变更、中止或者终止合同。</w:t>
      </w:r>
    </w:p>
    <w:p w14:paraId="03F02398">
      <w:pPr>
        <w:ind w:firstLine="420" w:firstLineChars="200"/>
        <w:rPr>
          <w:bCs/>
          <w:szCs w:val="21"/>
        </w:rPr>
      </w:pPr>
      <w:r>
        <w:rPr>
          <w:rFonts w:hint="eastAsia"/>
          <w:bCs/>
          <w:szCs w:val="21"/>
        </w:rPr>
        <w:t>5、“信用中国”中“信用服务”栏的“重大税收违法失信主体”“失信被执行人”，“中国政府采购网”中的“政府采购严重违法失信行为记录名单”，“深圳市政府采购监管网”以及深圳市、区财政部门认可的“供应商诚信档案库”为供应商信用信息的查询渠道，相关信息以开标当日的查询结果为准。</w:t>
      </w:r>
    </w:p>
    <w:p w14:paraId="7491B19A">
      <w:pPr>
        <w:spacing w:line="360" w:lineRule="auto"/>
        <w:ind w:firstLine="420"/>
        <w:jc w:val="right"/>
        <w:rPr>
          <w:sz w:val="22"/>
          <w:szCs w:val="22"/>
        </w:rPr>
      </w:pPr>
    </w:p>
    <w:p w14:paraId="451B7497"/>
    <w:p w14:paraId="5AA8B73D">
      <w:pPr>
        <w:keepNext/>
        <w:keepLines/>
        <w:adjustRightInd w:val="0"/>
        <w:spacing w:before="120" w:beforeLines="50" w:after="120" w:afterLines="50"/>
        <w:jc w:val="center"/>
        <w:textAlignment w:val="baseline"/>
        <w:outlineLvl w:val="1"/>
        <w:rPr>
          <w:rFonts w:ascii="宋体" w:hAnsi="宋体"/>
          <w:b/>
          <w:bCs/>
          <w:kern w:val="0"/>
          <w:sz w:val="28"/>
          <w:szCs w:val="28"/>
        </w:rPr>
      </w:pPr>
      <w:r>
        <w:rPr>
          <w:rFonts w:hint="eastAsia"/>
        </w:rPr>
        <w:br w:type="page"/>
      </w:r>
      <w:r>
        <w:rPr>
          <w:rFonts w:hint="eastAsia" w:ascii="宋体" w:hAnsi="宋体"/>
          <w:b/>
          <w:bCs/>
          <w:kern w:val="0"/>
          <w:sz w:val="28"/>
          <w:szCs w:val="28"/>
          <w:lang w:val="en-US" w:eastAsia="zh-CN"/>
        </w:rPr>
        <w:t>七</w:t>
      </w:r>
      <w:r>
        <w:rPr>
          <w:rFonts w:hint="eastAsia" w:ascii="宋体" w:hAnsi="宋体"/>
          <w:b/>
          <w:bCs/>
          <w:kern w:val="0"/>
          <w:sz w:val="28"/>
          <w:szCs w:val="28"/>
        </w:rPr>
        <w:t>、演示要求</w:t>
      </w:r>
    </w:p>
    <w:p w14:paraId="53859FB1">
      <w:pPr>
        <w:ind w:firstLine="420" w:firstLineChars="200"/>
        <w:rPr>
          <w:rFonts w:ascii="宋体" w:hAnsi="宋体" w:cs="楷体_GB2312"/>
          <w:szCs w:val="21"/>
        </w:rPr>
      </w:pPr>
      <w:r>
        <w:rPr>
          <w:rFonts w:hint="eastAsia" w:ascii="宋体" w:hAnsi="宋体" w:cs="楷体_GB2312"/>
          <w:szCs w:val="21"/>
          <w:lang w:bidi="ar"/>
        </w:rPr>
        <w:t>（一）总体要求：</w:t>
      </w:r>
    </w:p>
    <w:p w14:paraId="7625C8CC">
      <w:pPr>
        <w:ind w:firstLine="480" w:firstLineChars="200"/>
        <w:rPr>
          <w:rFonts w:cs="仿宋_GB2312" w:asciiTheme="minorEastAsia" w:hAnsiTheme="minorEastAsia" w:eastAsiaTheme="minorEastAsia"/>
          <w:szCs w:val="21"/>
        </w:rPr>
      </w:pPr>
      <w:r>
        <w:rPr>
          <w:rFonts w:ascii="宋体" w:hAnsi="宋体" w:cs="宋体"/>
          <w:sz w:val="24"/>
        </w:rPr>
        <w:t>供应商授权委托人应在</w:t>
      </w:r>
      <w:r>
        <w:rPr>
          <w:rFonts w:ascii="宋体" w:hAnsi="宋体" w:cs="宋体"/>
          <w:b/>
          <w:bCs/>
          <w:color w:val="FF0000"/>
          <w:sz w:val="24"/>
        </w:rPr>
        <w:t>本项目开标当日</w:t>
      </w:r>
      <w:r>
        <w:rPr>
          <w:rFonts w:hint="eastAsia" w:ascii="宋体" w:hAnsi="宋体" w:cs="宋体"/>
          <w:b/>
          <w:bCs/>
          <w:color w:val="FF0000"/>
          <w:sz w:val="24"/>
        </w:rPr>
        <w:t>9:15:00-9:30:00（投标截止时间为上午时适用）,14:15-14:30</w:t>
      </w:r>
      <w:r>
        <w:rPr>
          <w:rFonts w:ascii="宋体" w:hAnsi="宋体" w:cs="宋体"/>
          <w:b/>
          <w:bCs/>
          <w:color w:val="FF0000"/>
          <w:sz w:val="24"/>
        </w:rPr>
        <w:t>（投标截止时间为下午时适用）到签到地点（</w:t>
      </w:r>
      <w:r>
        <w:rPr>
          <w:rFonts w:hint="eastAsia" w:ascii="宋体" w:hAnsi="宋体" w:cs="宋体"/>
          <w:b/>
          <w:bCs/>
          <w:color w:val="FF0000"/>
          <w:sz w:val="24"/>
        </w:rPr>
        <w:t>深圳市南山区西丽街道沙河西路3185号智谷产业园A座深圳交易集团总部大楼3楼</w:t>
      </w:r>
      <w:r>
        <w:rPr>
          <w:rFonts w:ascii="宋体" w:hAnsi="宋体" w:cs="宋体"/>
          <w:b/>
          <w:bCs/>
          <w:color w:val="FF0000"/>
          <w:sz w:val="24"/>
        </w:rPr>
        <w:t>）</w:t>
      </w:r>
      <w:r>
        <w:rPr>
          <w:rFonts w:hint="eastAsia" w:ascii="宋体" w:hAnsi="宋体" w:cs="宋体"/>
          <w:sz w:val="24"/>
        </w:rPr>
        <w:t>，</w:t>
      </w:r>
      <w:r>
        <w:rPr>
          <w:rFonts w:hint="eastAsia" w:cs="仿宋_GB2312" w:asciiTheme="minorEastAsia" w:hAnsiTheme="minorEastAsia" w:eastAsiaTheme="minorEastAsia"/>
          <w:bCs/>
          <w:szCs w:val="21"/>
        </w:rPr>
        <w:t>按现场工作人员指引</w:t>
      </w:r>
      <w:r>
        <w:rPr>
          <w:rFonts w:hint="eastAsia" w:cs="仿宋_GB2312" w:asciiTheme="minorEastAsia" w:hAnsiTheme="minorEastAsia" w:eastAsiaTheme="minorEastAsia"/>
          <w:szCs w:val="21"/>
        </w:rPr>
        <w:t>填写《演示签到表》。</w:t>
      </w:r>
    </w:p>
    <w:p w14:paraId="420939D4">
      <w:pPr>
        <w:ind w:firstLine="420" w:firstLineChars="200"/>
        <w:rPr>
          <w:rFonts w:cs="仿宋_GB2312" w:asciiTheme="minorEastAsia" w:hAnsiTheme="minorEastAsia" w:eastAsiaTheme="minorEastAsia"/>
          <w:szCs w:val="21"/>
        </w:rPr>
      </w:pPr>
      <w:r>
        <w:rPr>
          <w:rFonts w:hint="eastAsia" w:cs="仿宋_GB2312" w:asciiTheme="minorEastAsia" w:hAnsiTheme="minorEastAsia" w:eastAsiaTheme="minorEastAsia"/>
          <w:szCs w:val="21"/>
        </w:rPr>
        <w:t>现场演示地点提供</w:t>
      </w:r>
      <w:r>
        <w:rPr>
          <w:rFonts w:hint="eastAsia" w:cs="仿宋_GB2312" w:asciiTheme="minorEastAsia" w:hAnsiTheme="minorEastAsia" w:eastAsiaTheme="minorEastAsia"/>
          <w:bCs/>
          <w:szCs w:val="21"/>
        </w:rPr>
        <w:t>电源、带VGA接口的液晶显示器及宽带上网环境（无WIFI环境）</w:t>
      </w:r>
      <w:r>
        <w:rPr>
          <w:rFonts w:hint="eastAsia" w:cs="仿宋_GB2312" w:asciiTheme="minorEastAsia" w:hAnsiTheme="minorEastAsia" w:eastAsiaTheme="minorEastAsia"/>
          <w:szCs w:val="21"/>
        </w:rPr>
        <w:t>，由投标（谈判）供应商授权委托人自带</w:t>
      </w:r>
      <w:r>
        <w:rPr>
          <w:rFonts w:hint="eastAsia" w:cs="仿宋_GB2312" w:asciiTheme="minorEastAsia" w:hAnsiTheme="minorEastAsia" w:eastAsiaTheme="minorEastAsia"/>
          <w:bCs/>
          <w:szCs w:val="21"/>
        </w:rPr>
        <w:t>手提电脑、U盘等能完成方案讲解的便携设备（具体以自身实际需要为准）</w:t>
      </w:r>
      <w:r>
        <w:rPr>
          <w:rFonts w:hint="eastAsia" w:cs="仿宋_GB2312" w:asciiTheme="minorEastAsia" w:hAnsiTheme="minorEastAsia" w:eastAsiaTheme="minorEastAsia"/>
          <w:szCs w:val="21"/>
        </w:rPr>
        <w:t>进行现场演示。由于场地有限，建议不携带过大设备。</w:t>
      </w:r>
    </w:p>
    <w:p w14:paraId="0DC2D9E1">
      <w:pPr>
        <w:ind w:firstLine="420" w:firstLineChars="200"/>
        <w:rPr>
          <w:rFonts w:cs="仿宋_GB2312" w:asciiTheme="minorEastAsia" w:hAnsiTheme="minorEastAsia" w:eastAsiaTheme="minorEastAsia"/>
          <w:szCs w:val="21"/>
        </w:rPr>
      </w:pPr>
      <w:r>
        <w:rPr>
          <w:rFonts w:hint="eastAsia" w:cs="仿宋_GB2312" w:asciiTheme="minorEastAsia" w:hAnsiTheme="minorEastAsia" w:eastAsiaTheme="minorEastAsia"/>
          <w:szCs w:val="21"/>
        </w:rPr>
        <w:t>每个投标（谈判）供应商演示时间不超过</w:t>
      </w:r>
      <w:r>
        <w:rPr>
          <w:rFonts w:hint="eastAsia" w:cs="仿宋_GB2312" w:asciiTheme="minorEastAsia" w:hAnsiTheme="minorEastAsia" w:eastAsiaTheme="minorEastAsia"/>
          <w:bCs/>
          <w:szCs w:val="21"/>
        </w:rPr>
        <w:t>10</w:t>
      </w:r>
      <w:r>
        <w:rPr>
          <w:rFonts w:hint="eastAsia" w:cs="仿宋_GB2312" w:asciiTheme="minorEastAsia" w:hAnsiTheme="minorEastAsia" w:eastAsiaTheme="minorEastAsia"/>
          <w:szCs w:val="21"/>
        </w:rPr>
        <w:t>分钟（期间评委可能会进行提问，并有权酌情延长时间）。演示人员不得超过</w:t>
      </w:r>
      <w:r>
        <w:rPr>
          <w:rFonts w:hint="eastAsia" w:cs="仿宋_GB2312" w:asciiTheme="minorEastAsia" w:hAnsiTheme="minorEastAsia" w:eastAsiaTheme="minorEastAsia"/>
          <w:bCs/>
          <w:szCs w:val="21"/>
        </w:rPr>
        <w:t>2</w:t>
      </w:r>
      <w:r>
        <w:rPr>
          <w:rFonts w:hint="eastAsia" w:cs="仿宋_GB2312" w:asciiTheme="minorEastAsia" w:hAnsiTheme="minorEastAsia" w:eastAsiaTheme="minorEastAsia"/>
          <w:szCs w:val="21"/>
        </w:rPr>
        <w:t>人。</w:t>
      </w:r>
    </w:p>
    <w:p w14:paraId="094BCF0B">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（二）具体程序：</w:t>
      </w:r>
    </w:p>
    <w:p w14:paraId="6D91898A">
      <w:pPr>
        <w:ind w:firstLine="422" w:firstLineChars="200"/>
        <w:rPr>
          <w:rFonts w:cs="仿宋_GB2312" w:asciiTheme="minorEastAsia" w:hAnsiTheme="minorEastAsia" w:eastAsiaTheme="minorEastAsia"/>
          <w:bCs/>
          <w:szCs w:val="21"/>
        </w:rPr>
      </w:pPr>
      <w:r>
        <w:rPr>
          <w:rFonts w:hint="eastAsia" w:cs="仿宋_GB2312" w:asciiTheme="minorEastAsia" w:hAnsiTheme="minorEastAsia" w:eastAsiaTheme="minorEastAsia"/>
          <w:b/>
          <w:bCs/>
          <w:color w:val="FF0000"/>
          <w:szCs w:val="21"/>
        </w:rPr>
        <w:t>1、供应商授权委托人需在演示签到截止时间前，提供法定代表人（负责人）演示授权委托书（加盖公章）、身份证明材料原件和复印件</w:t>
      </w:r>
      <w:r>
        <w:rPr>
          <w:rFonts w:hint="eastAsia" w:cs="仿宋_GB2312" w:asciiTheme="minorEastAsia" w:hAnsiTheme="minorEastAsia" w:eastAsiaTheme="minorEastAsia"/>
          <w:bCs/>
          <w:szCs w:val="21"/>
        </w:rPr>
        <w:t>（中国国籍人员，请提供代理人身份证，港澳台居民可提供来往通行证；非中国国籍人员，可提供公安部门认可的身份证明材料），到</w:t>
      </w:r>
      <w:r>
        <w:rPr>
          <w:rFonts w:hint="eastAsia" w:cs="仿宋_GB2312" w:asciiTheme="minorEastAsia" w:hAnsiTheme="minorEastAsia" w:eastAsiaTheme="minorEastAsia"/>
          <w:szCs w:val="21"/>
        </w:rPr>
        <w:t>政府集中采购机构指定签到地点</w:t>
      </w:r>
      <w:r>
        <w:rPr>
          <w:rFonts w:hint="eastAsia" w:cs="仿宋_GB2312" w:asciiTheme="minorEastAsia" w:hAnsiTheme="minorEastAsia" w:eastAsiaTheme="minorEastAsia"/>
          <w:bCs/>
          <w:szCs w:val="21"/>
        </w:rPr>
        <w:t>按现场工作人员指引填写《演示签到表》。（演示授权委托书模板详见附件）</w:t>
      </w:r>
    </w:p>
    <w:p w14:paraId="429640E7">
      <w:pPr>
        <w:ind w:firstLine="422" w:firstLineChars="200"/>
        <w:rPr>
          <w:rFonts w:cs="仿宋_GB2312" w:asciiTheme="minorEastAsia" w:hAnsiTheme="minorEastAsia" w:eastAsiaTheme="minorEastAsia"/>
          <w:b/>
          <w:szCs w:val="21"/>
        </w:rPr>
      </w:pPr>
      <w:r>
        <w:rPr>
          <w:rFonts w:hint="eastAsia" w:cs="仿宋_GB2312" w:asciiTheme="minorEastAsia" w:hAnsiTheme="minorEastAsia" w:eastAsiaTheme="minorEastAsia"/>
          <w:b/>
          <w:szCs w:val="21"/>
        </w:rPr>
        <w:t>特别注意事项：（1）资料不符合要求，不予签到；（2）规定的截止时间后，不再受理签到；（3）未进行签到的人员，不能参与现场演示</w:t>
      </w:r>
    </w:p>
    <w:p w14:paraId="7642B02E">
      <w:pPr>
        <w:ind w:firstLine="420" w:firstLineChars="200"/>
        <w:rPr>
          <w:rFonts w:cs="仿宋_GB2312" w:asciiTheme="minorEastAsia" w:hAnsiTheme="minorEastAsia" w:eastAsiaTheme="minorEastAsia"/>
          <w:kern w:val="0"/>
          <w:szCs w:val="21"/>
        </w:rPr>
      </w:pPr>
      <w:r>
        <w:rPr>
          <w:rFonts w:hint="eastAsia" w:cs="仿宋_GB2312" w:asciiTheme="minorEastAsia" w:hAnsiTheme="minorEastAsia" w:eastAsiaTheme="minorEastAsia"/>
          <w:szCs w:val="21"/>
        </w:rPr>
        <w:t>2、</w:t>
      </w:r>
      <w:r>
        <w:t>初审合格的供应商应按评委要求进行</w:t>
      </w:r>
      <w:r>
        <w:rPr>
          <w:rFonts w:hint="eastAsia"/>
        </w:rPr>
        <w:t>演示</w:t>
      </w:r>
      <w:r>
        <w:rPr>
          <w:rFonts w:hint="eastAsia" w:cs="仿宋_GB2312" w:asciiTheme="minorEastAsia" w:hAnsiTheme="minorEastAsia" w:eastAsiaTheme="minorEastAsia"/>
          <w:kern w:val="0"/>
          <w:szCs w:val="21"/>
        </w:rPr>
        <w:t>。</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kern w:val="0"/>
          <w:szCs w:val="21"/>
        </w:rPr>
        <w:t>正式开始前将进行身份核对；核对内容为</w:t>
      </w:r>
      <w:r>
        <w:rPr>
          <w:rFonts w:hint="eastAsia" w:cs="仿宋_GB2312" w:asciiTheme="minorEastAsia" w:hAnsiTheme="minorEastAsia" w:eastAsiaTheme="minorEastAsia"/>
          <w:szCs w:val="21"/>
        </w:rPr>
        <w:t>演示人员提供的“法定代表人（负责人）授权委托书（加盖公章）、授权委托人身份证原件和复印件”</w:t>
      </w:r>
      <w:r>
        <w:rPr>
          <w:rFonts w:hint="eastAsia" w:cs="仿宋_GB2312" w:asciiTheme="minorEastAsia" w:hAnsiTheme="minorEastAsia" w:eastAsiaTheme="minorEastAsia"/>
          <w:kern w:val="0"/>
          <w:szCs w:val="21"/>
        </w:rPr>
        <w:t>。资料不齐全的，不得参与</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kern w:val="0"/>
          <w:szCs w:val="21"/>
        </w:rPr>
        <w:t>。</w:t>
      </w:r>
    </w:p>
    <w:p w14:paraId="22B58078">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（三）其它演示规则：</w:t>
      </w:r>
    </w:p>
    <w:p w14:paraId="6852AAD0">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A</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参加本次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的各投标（谈判）供应商，均认为本次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的程序和环境能够满足</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基本条件，并对本</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方案要求内的各项规定不做事后异议，且能够严格遵守相关规定。</w:t>
      </w:r>
    </w:p>
    <w:p w14:paraId="043CB48B">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B</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演示在评审环节进行。演示原则上</w:t>
      </w:r>
      <w:r>
        <w:rPr>
          <w:rFonts w:hint="eastAsia" w:cs="仿宋_GB2312" w:asciiTheme="minorEastAsia" w:hAnsiTheme="minorEastAsia" w:eastAsiaTheme="minorEastAsia"/>
          <w:bCs/>
          <w:szCs w:val="21"/>
        </w:rPr>
        <w:t>按签到顺序</w:t>
      </w:r>
      <w:r>
        <w:rPr>
          <w:rFonts w:hint="eastAsia" w:cs="仿宋_GB2312" w:asciiTheme="minorEastAsia" w:hAnsiTheme="minorEastAsia" w:eastAsiaTheme="minorEastAsia"/>
          <w:szCs w:val="21"/>
        </w:rPr>
        <w:t>依次进行（经评委同意，可以酌情进行调整）。一个供应商一次性</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完毕。一个供应商在进行</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时，其他供应商不得进入现场。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期间，评委可视情况对讲解人员进行提问。</w:t>
      </w:r>
    </w:p>
    <w:p w14:paraId="04B3FC7E">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C</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投标人对本次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条件的不确定性疑虑应在开始前做书面表达，若所有疑虑不能完全消除，并认为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结果仍会产生误判，则可以退出</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w:t>
      </w:r>
    </w:p>
    <w:p w14:paraId="09352448">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D</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由于</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时间有限，投标人同意承担其演示结果不确定性的风险，即同意专家以方案讲解情况的判定结论。</w:t>
      </w:r>
    </w:p>
    <w:p w14:paraId="3B7E83A1">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E</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本次</w:t>
      </w:r>
      <w:r>
        <w:rPr>
          <w:rFonts w:hint="eastAsia" w:cs="仿宋_GB2312" w:asciiTheme="minorEastAsia" w:hAnsiTheme="minorEastAsia" w:eastAsiaTheme="minorEastAsia"/>
          <w:bCs/>
          <w:szCs w:val="21"/>
        </w:rPr>
        <w:t>演示</w:t>
      </w:r>
      <w:r>
        <w:rPr>
          <w:rFonts w:hint="eastAsia" w:cs="仿宋_GB2312" w:asciiTheme="minorEastAsia" w:hAnsiTheme="minorEastAsia" w:eastAsiaTheme="minorEastAsia"/>
          <w:szCs w:val="21"/>
        </w:rPr>
        <w:t>的结果，仅对本项目评审委员会（谈判小组）负责，无义务向其余各方出具方案讲解结果。</w:t>
      </w:r>
    </w:p>
    <w:p w14:paraId="020B7512">
      <w:pPr>
        <w:ind w:firstLine="392" w:firstLineChars="187"/>
        <w:rPr>
          <w:rFonts w:cs="仿宋_GB2312" w:asciiTheme="minorEastAsia" w:hAnsiTheme="minorEastAsia" w:eastAsiaTheme="minorEastAsia"/>
          <w:szCs w:val="21"/>
        </w:rPr>
      </w:pPr>
      <w:r>
        <w:rPr>
          <w:rFonts w:hint="eastAsia" w:cs="仿宋_GB2312" w:asciiTheme="minorEastAsia" w:hAnsiTheme="minorEastAsia" w:eastAsiaTheme="minorEastAsia"/>
          <w:szCs w:val="21"/>
        </w:rPr>
        <w:t>F</w:t>
      </w:r>
      <w:r>
        <w:rPr>
          <w:rFonts w:cs="仿宋_GB2312" w:asciiTheme="minorEastAsia" w:hAnsiTheme="minorEastAsia" w:eastAsiaTheme="minorEastAsia"/>
          <w:szCs w:val="21"/>
        </w:rPr>
        <w:t>.</w:t>
      </w:r>
      <w:r>
        <w:rPr>
          <w:rFonts w:hint="eastAsia" w:cs="仿宋_GB2312" w:asciiTheme="minorEastAsia" w:hAnsiTheme="minorEastAsia" w:eastAsiaTheme="minorEastAsia"/>
          <w:szCs w:val="21"/>
        </w:rPr>
        <w:t>风险及费用说明：各项费用由供应商自理、风险自负。</w:t>
      </w:r>
    </w:p>
    <w:p w14:paraId="5435E2E2">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（四）演示内容及要求表：</w:t>
      </w:r>
    </w:p>
    <w:p w14:paraId="68548D77">
      <w:pPr>
        <w:ind w:firstLine="420" w:firstLineChars="200"/>
        <w:rPr>
          <w:rFonts w:hint="eastAsia" w:cs="仿宋_GB2312" w:asciiTheme="minorEastAsia" w:hAnsiTheme="minorEastAsia" w:eastAsiaTheme="minorEastAsia"/>
          <w:szCs w:val="21"/>
        </w:rPr>
      </w:pPr>
    </w:p>
    <w:tbl>
      <w:tblPr>
        <w:tblStyle w:val="21"/>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2150"/>
        <w:gridCol w:w="2812"/>
        <w:gridCol w:w="2949"/>
      </w:tblGrid>
      <w:tr w14:paraId="7C61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top"/>
          </w:tcPr>
          <w:p w14:paraId="4337CB55">
            <w:pPr>
              <w:jc w:val="center"/>
              <w:rPr>
                <w:rFonts w:ascii="宋体" w:hAnsi="宋体" w:eastAsia="宋体" w:cs="仿宋_GB2312"/>
                <w:b/>
                <w:szCs w:val="21"/>
              </w:rPr>
            </w:pPr>
            <w:r>
              <w:rPr>
                <w:rFonts w:hint="eastAsia" w:ascii="宋体" w:hAnsi="宋体" w:eastAsia="宋体" w:cs="仿宋_GB2312"/>
                <w:b/>
                <w:szCs w:val="21"/>
              </w:rPr>
              <w:t>序号</w:t>
            </w:r>
          </w:p>
        </w:tc>
        <w:tc>
          <w:tcPr>
            <w:tcW w:w="2150" w:type="dxa"/>
            <w:noWrap w:val="0"/>
            <w:vAlign w:val="top"/>
          </w:tcPr>
          <w:p w14:paraId="3114959E">
            <w:pPr>
              <w:rPr>
                <w:rFonts w:ascii="宋体" w:hAnsi="宋体" w:eastAsia="宋体" w:cs="仿宋_GB2312"/>
                <w:b/>
                <w:szCs w:val="21"/>
              </w:rPr>
            </w:pPr>
            <w:r>
              <w:rPr>
                <w:rFonts w:hint="eastAsia" w:ascii="宋体" w:hAnsi="宋体" w:eastAsia="宋体" w:cs="仿宋_GB2312"/>
                <w:b/>
                <w:szCs w:val="21"/>
              </w:rPr>
              <w:t>演示项目</w:t>
            </w:r>
          </w:p>
        </w:tc>
        <w:tc>
          <w:tcPr>
            <w:tcW w:w="2812" w:type="dxa"/>
            <w:noWrap w:val="0"/>
            <w:vAlign w:val="top"/>
          </w:tcPr>
          <w:p w14:paraId="5943E6DB">
            <w:pPr>
              <w:rPr>
                <w:rFonts w:ascii="宋体" w:hAnsi="宋体" w:eastAsia="宋体" w:cs="仿宋_GB2312"/>
                <w:b/>
                <w:szCs w:val="21"/>
              </w:rPr>
            </w:pPr>
            <w:r>
              <w:rPr>
                <w:rFonts w:hint="eastAsia" w:ascii="宋体" w:hAnsi="宋体" w:eastAsia="宋体" w:cs="仿宋_GB2312"/>
                <w:b/>
                <w:szCs w:val="21"/>
              </w:rPr>
              <w:t>演示形式要求</w:t>
            </w:r>
          </w:p>
        </w:tc>
        <w:tc>
          <w:tcPr>
            <w:tcW w:w="2949" w:type="dxa"/>
            <w:noWrap w:val="0"/>
            <w:vAlign w:val="top"/>
          </w:tcPr>
          <w:p w14:paraId="19EEDB93">
            <w:pPr>
              <w:jc w:val="center"/>
              <w:rPr>
                <w:rFonts w:ascii="宋体" w:hAnsi="宋体" w:eastAsia="宋体" w:cs="仿宋_GB2312"/>
                <w:b/>
                <w:szCs w:val="21"/>
              </w:rPr>
            </w:pPr>
            <w:r>
              <w:rPr>
                <w:rFonts w:hint="eastAsia" w:ascii="宋体" w:hAnsi="宋体" w:eastAsia="宋体" w:cs="仿宋_GB2312"/>
                <w:b/>
                <w:szCs w:val="21"/>
              </w:rPr>
              <w:t>演示具体内容要求</w:t>
            </w:r>
          </w:p>
        </w:tc>
      </w:tr>
      <w:tr w14:paraId="1A1A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7170537F">
            <w:pPr>
              <w:jc w:val="center"/>
              <w:rPr>
                <w:rFonts w:ascii="宋体" w:hAnsi="宋体" w:eastAsia="宋体" w:cs="仿宋_GB2312"/>
                <w:szCs w:val="21"/>
              </w:rPr>
            </w:pPr>
            <w:r>
              <w:rPr>
                <w:rFonts w:hint="eastAsia" w:ascii="宋体" w:hAnsi="宋体" w:eastAsia="宋体" w:cs="仿宋_GB2312"/>
                <w:szCs w:val="21"/>
              </w:rPr>
              <w:t>1</w:t>
            </w:r>
          </w:p>
        </w:tc>
        <w:tc>
          <w:tcPr>
            <w:tcW w:w="2150" w:type="dxa"/>
            <w:vMerge w:val="restart"/>
            <w:noWrap w:val="0"/>
            <w:vAlign w:val="center"/>
          </w:tcPr>
          <w:p w14:paraId="4AE7EFED">
            <w:pPr>
              <w:ind w:firstLine="105" w:firstLineChars="50"/>
              <w:jc w:val="center"/>
              <w:rPr>
                <w:rFonts w:hint="default" w:ascii="宋体" w:hAnsi="宋体" w:eastAsia="宋体" w:cs="仿宋_GB2312"/>
                <w:szCs w:val="21"/>
                <w:lang w:val="en-US" w:eastAsia="zh-CN"/>
              </w:rPr>
            </w:pPr>
            <w:r>
              <w:rPr>
                <w:rFonts w:hint="default" w:ascii="宋体" w:hAnsi="宋体" w:eastAsia="宋体" w:cs="仿宋_GB2312"/>
                <w:szCs w:val="21"/>
                <w:lang w:val="en-US" w:eastAsia="zh-CN"/>
              </w:rPr>
              <w:t>结构勾画</w:t>
            </w:r>
          </w:p>
        </w:tc>
        <w:tc>
          <w:tcPr>
            <w:tcW w:w="2812" w:type="dxa"/>
            <w:vMerge w:val="restart"/>
            <w:noWrap w:val="0"/>
            <w:vAlign w:val="center"/>
          </w:tcPr>
          <w:p w14:paraId="770A2965">
            <w:pPr>
              <w:jc w:val="center"/>
              <w:rPr>
                <w:rFonts w:ascii="宋体" w:hAnsi="宋体" w:cs="仿宋_GB2312"/>
                <w:i/>
                <w:color w:val="FF0000"/>
                <w:szCs w:val="21"/>
              </w:rPr>
            </w:pPr>
            <w:r>
              <w:rPr>
                <w:rFonts w:hint="eastAsia" w:ascii="宋体" w:hAnsi="宋体" w:cs="宋体"/>
                <w:szCs w:val="21"/>
              </w:rPr>
              <w:t>系统运行演示或原型演示（通过视频、PPT演示或其他形式演示不得分）</w:t>
            </w:r>
          </w:p>
        </w:tc>
        <w:tc>
          <w:tcPr>
            <w:tcW w:w="2949" w:type="dxa"/>
            <w:noWrap w:val="0"/>
            <w:vAlign w:val="center"/>
          </w:tcPr>
          <w:p w14:paraId="6209D85A">
            <w:pPr>
              <w:jc w:val="center"/>
              <w:rPr>
                <w:rFonts w:hint="eastAsia" w:ascii="宋体" w:hAnsi="宋体" w:eastAsia="宋体" w:cs="仿宋_GB2312"/>
                <w:szCs w:val="21"/>
              </w:rPr>
            </w:pPr>
            <w:r>
              <w:rPr>
                <w:rFonts w:hint="eastAsia" w:ascii="宋体" w:hAnsi="宋体" w:eastAsia="宋体" w:cs="仿宋_GB2312"/>
                <w:szCs w:val="21"/>
              </w:rPr>
              <w:t>系统</w:t>
            </w:r>
            <w:r>
              <w:rPr>
                <w:rFonts w:hint="eastAsia" w:ascii="宋体" w:hAnsi="宋体" w:eastAsia="宋体" w:cs="仿宋_GB2312"/>
                <w:szCs w:val="21"/>
                <w:lang w:val="en-US" w:eastAsia="zh-CN"/>
              </w:rPr>
              <w:t>可</w:t>
            </w:r>
            <w:r>
              <w:rPr>
                <w:rFonts w:hint="eastAsia" w:ascii="宋体" w:hAnsi="宋体" w:eastAsia="宋体" w:cs="仿宋_GB2312"/>
                <w:szCs w:val="21"/>
              </w:rPr>
              <w:t>展示基于人工智能或内置</w:t>
            </w:r>
            <w:r>
              <w:rPr>
                <w:rFonts w:hint="eastAsia" w:ascii="宋体" w:hAnsi="宋体" w:eastAsia="宋体" w:cs="仿宋_GB2312"/>
                <w:szCs w:val="21"/>
                <w:lang w:val="en-US" w:eastAsia="zh-CN"/>
              </w:rPr>
              <w:t>经验</w:t>
            </w:r>
            <w:r>
              <w:rPr>
                <w:rFonts w:hint="eastAsia" w:ascii="宋体" w:hAnsi="宋体" w:eastAsia="宋体" w:cs="仿宋_GB2312"/>
                <w:szCs w:val="21"/>
              </w:rPr>
              <w:t>知识库实现的对关键解剖结构的自动识别与轮廓勾画能力</w:t>
            </w:r>
          </w:p>
        </w:tc>
      </w:tr>
      <w:tr w14:paraId="2FB2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45FAF0D0">
            <w:pPr>
              <w:jc w:val="center"/>
              <w:rPr>
                <w:rFonts w:ascii="宋体" w:hAnsi="宋体" w:eastAsia="宋体" w:cs="仿宋_GB2312"/>
                <w:szCs w:val="21"/>
              </w:rPr>
            </w:pPr>
            <w:r>
              <w:rPr>
                <w:rFonts w:hint="eastAsia" w:ascii="宋体" w:hAnsi="宋体" w:eastAsia="宋体" w:cs="仿宋_GB2312"/>
                <w:szCs w:val="21"/>
              </w:rPr>
              <w:t>2</w:t>
            </w:r>
          </w:p>
        </w:tc>
        <w:tc>
          <w:tcPr>
            <w:tcW w:w="2150" w:type="dxa"/>
            <w:vMerge w:val="continue"/>
            <w:noWrap w:val="0"/>
            <w:vAlign w:val="center"/>
          </w:tcPr>
          <w:p w14:paraId="5A6015CD">
            <w:pPr>
              <w:ind w:firstLine="210" w:firstLineChars="100"/>
              <w:jc w:val="center"/>
              <w:rPr>
                <w:rFonts w:ascii="宋体" w:hAnsi="宋体" w:eastAsia="宋体" w:cs="仿宋_GB2312"/>
                <w:szCs w:val="21"/>
              </w:rPr>
            </w:pPr>
          </w:p>
        </w:tc>
        <w:tc>
          <w:tcPr>
            <w:tcW w:w="2812" w:type="dxa"/>
            <w:vMerge w:val="continue"/>
            <w:noWrap w:val="0"/>
            <w:vAlign w:val="center"/>
          </w:tcPr>
          <w:p w14:paraId="3C269412">
            <w:pPr>
              <w:jc w:val="center"/>
              <w:rPr>
                <w:rFonts w:ascii="宋体" w:hAnsi="宋体" w:eastAsia="宋体" w:cs="仿宋_GB2312"/>
                <w:i/>
                <w:color w:val="FF0000"/>
                <w:szCs w:val="21"/>
              </w:rPr>
            </w:pPr>
          </w:p>
        </w:tc>
        <w:tc>
          <w:tcPr>
            <w:tcW w:w="2949" w:type="dxa"/>
            <w:noWrap w:val="0"/>
            <w:vAlign w:val="center"/>
          </w:tcPr>
          <w:p w14:paraId="5937D2F8">
            <w:pPr>
              <w:jc w:val="center"/>
              <w:rPr>
                <w:rFonts w:hint="eastAsia" w:ascii="宋体" w:hAnsi="宋体" w:eastAsia="宋体" w:cs="仿宋_GB2312"/>
                <w:szCs w:val="21"/>
                <w:lang w:eastAsia="zh-CN"/>
              </w:rPr>
            </w:pPr>
            <w:r>
              <w:rPr>
                <w:rFonts w:hint="eastAsia" w:ascii="宋体" w:hAnsi="宋体" w:eastAsia="宋体" w:cs="仿宋_GB2312"/>
                <w:szCs w:val="21"/>
              </w:rPr>
              <w:t>具备对系统内置专家库中的病例数据进行编辑或更新的</w:t>
            </w:r>
            <w:r>
              <w:rPr>
                <w:rFonts w:hint="eastAsia" w:ascii="宋体" w:hAnsi="宋体" w:eastAsia="宋体" w:cs="仿宋_GB2312"/>
                <w:szCs w:val="21"/>
                <w:lang w:val="en-US" w:eastAsia="zh-CN"/>
              </w:rPr>
              <w:t>功能</w:t>
            </w:r>
          </w:p>
        </w:tc>
      </w:tr>
      <w:tr w14:paraId="094D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4AA8D817">
            <w:pPr>
              <w:jc w:val="center"/>
              <w:rPr>
                <w:rFonts w:ascii="宋体" w:hAnsi="宋体" w:eastAsia="宋体" w:cs="仿宋_GB2312"/>
                <w:szCs w:val="21"/>
              </w:rPr>
            </w:pPr>
            <w:r>
              <w:rPr>
                <w:rFonts w:hint="eastAsia" w:ascii="宋体" w:hAnsi="宋体" w:eastAsia="宋体" w:cs="仿宋_GB2312"/>
                <w:szCs w:val="21"/>
              </w:rPr>
              <w:t>3</w:t>
            </w:r>
          </w:p>
        </w:tc>
        <w:tc>
          <w:tcPr>
            <w:tcW w:w="2150" w:type="dxa"/>
            <w:vMerge w:val="continue"/>
            <w:noWrap w:val="0"/>
            <w:vAlign w:val="center"/>
          </w:tcPr>
          <w:p w14:paraId="3C0A3E84">
            <w:pPr>
              <w:jc w:val="center"/>
              <w:rPr>
                <w:rFonts w:ascii="宋体" w:hAnsi="宋体" w:eastAsia="宋体" w:cs="仿宋_GB2312"/>
                <w:szCs w:val="21"/>
              </w:rPr>
            </w:pPr>
          </w:p>
        </w:tc>
        <w:tc>
          <w:tcPr>
            <w:tcW w:w="2812" w:type="dxa"/>
            <w:vMerge w:val="continue"/>
            <w:noWrap w:val="0"/>
            <w:vAlign w:val="center"/>
          </w:tcPr>
          <w:p w14:paraId="383CFDA3">
            <w:pPr>
              <w:jc w:val="center"/>
              <w:rPr>
                <w:rFonts w:ascii="宋体" w:hAnsi="宋体" w:eastAsia="宋体" w:cs="仿宋_GB2312"/>
                <w:szCs w:val="21"/>
              </w:rPr>
            </w:pPr>
          </w:p>
        </w:tc>
        <w:tc>
          <w:tcPr>
            <w:tcW w:w="2949" w:type="dxa"/>
            <w:noWrap w:val="0"/>
            <w:vAlign w:val="center"/>
          </w:tcPr>
          <w:p w14:paraId="3E26C56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基于解剖模板或</w:t>
            </w:r>
            <w:r>
              <w:rPr>
                <w:rFonts w:hint="eastAsia" w:ascii="宋体" w:hAnsi="宋体" w:eastAsia="宋体" w:cs="宋体"/>
                <w:color w:val="000000"/>
                <w:sz w:val="21"/>
                <w:szCs w:val="21"/>
                <w:highlight w:val="none"/>
                <w:lang w:val="en-US" w:eastAsia="zh-CN"/>
              </w:rPr>
              <w:t>人工智能</w:t>
            </w:r>
            <w:r>
              <w:rPr>
                <w:rFonts w:hint="eastAsia" w:ascii="宋体" w:hAnsi="宋体" w:eastAsia="宋体" w:cs="宋体"/>
                <w:color w:val="000000"/>
                <w:sz w:val="21"/>
                <w:szCs w:val="21"/>
                <w:highlight w:val="none"/>
              </w:rPr>
              <w:t>模型执行勾画时，系统界面能同步显示所勾画结构的详细解剖信息</w:t>
            </w:r>
          </w:p>
        </w:tc>
      </w:tr>
      <w:tr w14:paraId="70BD6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01923D8E">
            <w:pPr>
              <w:jc w:val="center"/>
              <w:rPr>
                <w:rFonts w:ascii="宋体" w:hAnsi="宋体" w:eastAsia="宋体" w:cs="仿宋_GB2312"/>
                <w:szCs w:val="21"/>
              </w:rPr>
            </w:pPr>
            <w:r>
              <w:rPr>
                <w:rFonts w:hint="eastAsia" w:ascii="宋体" w:hAnsi="宋体" w:eastAsia="宋体" w:cs="仿宋_GB2312"/>
                <w:szCs w:val="21"/>
              </w:rPr>
              <w:t>4</w:t>
            </w:r>
          </w:p>
        </w:tc>
        <w:tc>
          <w:tcPr>
            <w:tcW w:w="2150" w:type="dxa"/>
            <w:vMerge w:val="restart"/>
            <w:noWrap w:val="0"/>
            <w:vAlign w:val="center"/>
          </w:tcPr>
          <w:p w14:paraId="5D63B87B">
            <w:pPr>
              <w:ind w:firstLine="0" w:firstLineChars="0"/>
              <w:jc w:val="center"/>
              <w:rPr>
                <w:rFonts w:ascii="宋体" w:hAnsi="宋体" w:eastAsia="宋体" w:cs="仿宋_GB2312"/>
                <w:szCs w:val="21"/>
              </w:rPr>
            </w:pPr>
            <w:r>
              <w:rPr>
                <w:rFonts w:hint="eastAsia" w:ascii="宋体" w:hAnsi="宋体" w:eastAsia="宋体" w:cs="仿宋_GB2312"/>
                <w:szCs w:val="21"/>
              </w:rPr>
              <w:t>计划设计</w:t>
            </w:r>
          </w:p>
        </w:tc>
        <w:tc>
          <w:tcPr>
            <w:tcW w:w="2812" w:type="dxa"/>
            <w:vMerge w:val="continue"/>
            <w:noWrap w:val="0"/>
            <w:vAlign w:val="center"/>
          </w:tcPr>
          <w:p w14:paraId="62FA1D42">
            <w:pPr>
              <w:jc w:val="center"/>
              <w:rPr>
                <w:rFonts w:ascii="宋体" w:hAnsi="宋体" w:eastAsia="宋体" w:cs="仿宋_GB2312"/>
                <w:szCs w:val="21"/>
              </w:rPr>
            </w:pPr>
          </w:p>
        </w:tc>
        <w:tc>
          <w:tcPr>
            <w:tcW w:w="2949" w:type="dxa"/>
            <w:noWrap w:val="0"/>
            <w:vAlign w:val="center"/>
          </w:tcPr>
          <w:p w14:paraId="216FDBF8">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在设置照射野参数时，系统具备自动检测并规避指定危及器官的功能</w:t>
            </w:r>
          </w:p>
        </w:tc>
      </w:tr>
      <w:tr w14:paraId="77E7F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12B49B3A">
            <w:pPr>
              <w:jc w:val="center"/>
              <w:rPr>
                <w:rFonts w:ascii="宋体" w:hAnsi="宋体" w:eastAsia="宋体" w:cs="仿宋_GB2312"/>
                <w:szCs w:val="21"/>
              </w:rPr>
            </w:pPr>
            <w:r>
              <w:rPr>
                <w:rFonts w:hint="eastAsia" w:ascii="宋体" w:hAnsi="宋体" w:eastAsia="宋体" w:cs="仿宋_GB2312"/>
                <w:szCs w:val="21"/>
              </w:rPr>
              <w:t>5</w:t>
            </w:r>
          </w:p>
        </w:tc>
        <w:tc>
          <w:tcPr>
            <w:tcW w:w="2150" w:type="dxa"/>
            <w:vMerge w:val="continue"/>
            <w:noWrap w:val="0"/>
            <w:vAlign w:val="center"/>
          </w:tcPr>
          <w:p w14:paraId="533AB8A1">
            <w:pPr>
              <w:ind w:firstLine="210" w:firstLineChars="100"/>
              <w:jc w:val="center"/>
              <w:rPr>
                <w:rFonts w:ascii="宋体" w:hAnsi="宋体" w:eastAsia="宋体" w:cs="仿宋_GB2312"/>
                <w:szCs w:val="21"/>
              </w:rPr>
            </w:pPr>
          </w:p>
        </w:tc>
        <w:tc>
          <w:tcPr>
            <w:tcW w:w="2812" w:type="dxa"/>
            <w:vMerge w:val="continue"/>
            <w:noWrap w:val="0"/>
            <w:vAlign w:val="center"/>
          </w:tcPr>
          <w:p w14:paraId="05B968C4">
            <w:pPr>
              <w:jc w:val="center"/>
              <w:rPr>
                <w:rFonts w:ascii="宋体" w:hAnsi="宋体" w:eastAsia="宋体" w:cs="仿宋_GB2312"/>
                <w:szCs w:val="21"/>
              </w:rPr>
            </w:pPr>
          </w:p>
        </w:tc>
        <w:tc>
          <w:tcPr>
            <w:tcW w:w="2949" w:type="dxa"/>
            <w:noWrap w:val="0"/>
            <w:vAlign w:val="center"/>
          </w:tcPr>
          <w:p w14:paraId="7841330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在计划优化界面中，目标函数至少三种不同形式进行实时显示与评估。</w:t>
            </w:r>
          </w:p>
        </w:tc>
      </w:tr>
      <w:tr w14:paraId="65FF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1E886553">
            <w:pPr>
              <w:jc w:val="center"/>
              <w:rPr>
                <w:rFonts w:ascii="宋体" w:hAnsi="宋体" w:eastAsia="宋体" w:cs="仿宋_GB2312"/>
                <w:szCs w:val="21"/>
              </w:rPr>
            </w:pPr>
            <w:r>
              <w:rPr>
                <w:rFonts w:hint="eastAsia" w:ascii="宋体" w:hAnsi="宋体" w:eastAsia="宋体" w:cs="仿宋_GB2312"/>
                <w:szCs w:val="21"/>
              </w:rPr>
              <w:t>6</w:t>
            </w:r>
          </w:p>
        </w:tc>
        <w:tc>
          <w:tcPr>
            <w:tcW w:w="2150" w:type="dxa"/>
            <w:vMerge w:val="continue"/>
            <w:noWrap w:val="0"/>
            <w:vAlign w:val="center"/>
          </w:tcPr>
          <w:p w14:paraId="6917CE1A">
            <w:pPr>
              <w:ind w:firstLine="210" w:firstLineChars="100"/>
              <w:jc w:val="center"/>
              <w:rPr>
                <w:rFonts w:ascii="宋体" w:hAnsi="宋体" w:eastAsia="宋体" w:cs="仿宋_GB2312"/>
                <w:szCs w:val="21"/>
              </w:rPr>
            </w:pPr>
          </w:p>
        </w:tc>
        <w:tc>
          <w:tcPr>
            <w:tcW w:w="2812" w:type="dxa"/>
            <w:vMerge w:val="continue"/>
            <w:noWrap w:val="0"/>
            <w:vAlign w:val="center"/>
          </w:tcPr>
          <w:p w14:paraId="3A8DCCA2">
            <w:pPr>
              <w:jc w:val="center"/>
              <w:rPr>
                <w:rFonts w:ascii="宋体" w:hAnsi="宋体" w:eastAsia="宋体" w:cs="仿宋_GB2312"/>
                <w:szCs w:val="21"/>
              </w:rPr>
            </w:pPr>
          </w:p>
        </w:tc>
        <w:tc>
          <w:tcPr>
            <w:tcW w:w="2949" w:type="dxa"/>
            <w:noWrap w:val="0"/>
            <w:vAlign w:val="center"/>
          </w:tcPr>
          <w:p w14:paraId="15EC31D3">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当建立多中心计划且相邻等中心点间距超过3cm时，系统可自动触发剂量平滑衔接功能</w:t>
            </w:r>
          </w:p>
        </w:tc>
      </w:tr>
      <w:tr w14:paraId="1F6D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525DDD61">
            <w:pPr>
              <w:jc w:val="center"/>
              <w:rPr>
                <w:rFonts w:ascii="宋体" w:hAnsi="宋体" w:eastAsia="宋体" w:cs="仿宋_GB2312"/>
                <w:szCs w:val="21"/>
              </w:rPr>
            </w:pPr>
            <w:r>
              <w:rPr>
                <w:rFonts w:hint="eastAsia" w:ascii="宋体" w:hAnsi="宋体" w:eastAsia="宋体" w:cs="仿宋_GB2312"/>
                <w:szCs w:val="21"/>
              </w:rPr>
              <w:t>7</w:t>
            </w:r>
          </w:p>
        </w:tc>
        <w:tc>
          <w:tcPr>
            <w:tcW w:w="2150" w:type="dxa"/>
            <w:vMerge w:val="continue"/>
            <w:noWrap w:val="0"/>
            <w:vAlign w:val="center"/>
          </w:tcPr>
          <w:p w14:paraId="47AADE72">
            <w:pPr>
              <w:ind w:firstLine="210" w:firstLineChars="100"/>
              <w:jc w:val="center"/>
              <w:rPr>
                <w:rFonts w:ascii="宋体" w:hAnsi="宋体" w:eastAsia="宋体" w:cs="仿宋_GB2312"/>
                <w:szCs w:val="21"/>
              </w:rPr>
            </w:pPr>
          </w:p>
        </w:tc>
        <w:tc>
          <w:tcPr>
            <w:tcW w:w="2812" w:type="dxa"/>
            <w:vMerge w:val="continue"/>
            <w:noWrap w:val="0"/>
            <w:vAlign w:val="center"/>
          </w:tcPr>
          <w:p w14:paraId="28DAF081">
            <w:pPr>
              <w:jc w:val="center"/>
              <w:rPr>
                <w:rFonts w:ascii="宋体" w:hAnsi="宋体" w:eastAsia="宋体" w:cs="仿宋_GB2312"/>
                <w:szCs w:val="21"/>
              </w:rPr>
            </w:pPr>
          </w:p>
        </w:tc>
        <w:tc>
          <w:tcPr>
            <w:tcW w:w="2949" w:type="dxa"/>
            <w:noWrap w:val="0"/>
            <w:vAlign w:val="center"/>
          </w:tcPr>
          <w:p w14:paraId="614A4BBB">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在VMAT计划开始优化运算前，验证系统能否对当前预设的射野角度与靶区结构的三维空间关系进行预分析并给出覆盖提示</w:t>
            </w:r>
          </w:p>
        </w:tc>
      </w:tr>
      <w:tr w14:paraId="530E6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7D550A3D">
            <w:pPr>
              <w:jc w:val="center"/>
              <w:rPr>
                <w:rFonts w:hint="eastAsia" w:ascii="宋体" w:hAnsi="宋体" w:eastAsia="宋体" w:cs="仿宋_GB2312"/>
                <w:szCs w:val="21"/>
                <w:lang w:val="en-US" w:eastAsia="zh-CN"/>
              </w:rPr>
            </w:pPr>
            <w:r>
              <w:rPr>
                <w:rFonts w:hint="eastAsia" w:ascii="宋体" w:hAnsi="宋体" w:eastAsia="宋体" w:cs="仿宋_GB2312"/>
                <w:szCs w:val="21"/>
                <w:lang w:val="en-US" w:eastAsia="zh-CN"/>
              </w:rPr>
              <w:t>8</w:t>
            </w:r>
          </w:p>
        </w:tc>
        <w:tc>
          <w:tcPr>
            <w:tcW w:w="2150" w:type="dxa"/>
            <w:vMerge w:val="continue"/>
            <w:noWrap w:val="0"/>
            <w:vAlign w:val="center"/>
          </w:tcPr>
          <w:p w14:paraId="29B0373D">
            <w:pPr>
              <w:ind w:firstLine="210" w:firstLineChars="100"/>
              <w:jc w:val="center"/>
              <w:rPr>
                <w:rFonts w:ascii="宋体" w:hAnsi="宋体" w:eastAsia="宋体" w:cs="仿宋_GB2312"/>
                <w:szCs w:val="21"/>
              </w:rPr>
            </w:pPr>
          </w:p>
        </w:tc>
        <w:tc>
          <w:tcPr>
            <w:tcW w:w="2812" w:type="dxa"/>
            <w:vMerge w:val="continue"/>
            <w:noWrap w:val="0"/>
            <w:vAlign w:val="center"/>
          </w:tcPr>
          <w:p w14:paraId="6D1105D9">
            <w:pPr>
              <w:jc w:val="center"/>
              <w:rPr>
                <w:rFonts w:ascii="宋体" w:hAnsi="宋体" w:eastAsia="宋体" w:cs="仿宋_GB2312"/>
                <w:szCs w:val="21"/>
              </w:rPr>
            </w:pPr>
          </w:p>
        </w:tc>
        <w:tc>
          <w:tcPr>
            <w:tcW w:w="2949" w:type="dxa"/>
            <w:noWrap w:val="0"/>
            <w:vAlign w:val="center"/>
          </w:tcPr>
          <w:p w14:paraId="6CA741B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确认系统能够通过量化的数字百分比形式，精确显示靶区覆盖程度。</w:t>
            </w:r>
          </w:p>
        </w:tc>
      </w:tr>
      <w:tr w14:paraId="4482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467B6C5D">
            <w:pPr>
              <w:jc w:val="center"/>
              <w:rPr>
                <w:rFonts w:hint="eastAsia" w:ascii="宋体" w:hAnsi="宋体" w:eastAsia="宋体" w:cs="仿宋_GB2312"/>
                <w:szCs w:val="21"/>
                <w:lang w:eastAsia="zh-CN"/>
              </w:rPr>
            </w:pPr>
            <w:r>
              <w:rPr>
                <w:rFonts w:hint="eastAsia" w:ascii="宋体" w:hAnsi="宋体" w:eastAsia="宋体" w:cs="仿宋_GB2312"/>
                <w:szCs w:val="21"/>
                <w:lang w:val="en-US" w:eastAsia="zh-CN"/>
              </w:rPr>
              <w:t>9</w:t>
            </w:r>
          </w:p>
        </w:tc>
        <w:tc>
          <w:tcPr>
            <w:tcW w:w="2150" w:type="dxa"/>
            <w:noWrap w:val="0"/>
            <w:vAlign w:val="center"/>
          </w:tcPr>
          <w:p w14:paraId="66A15337">
            <w:pPr>
              <w:jc w:val="center"/>
              <w:rPr>
                <w:rFonts w:ascii="宋体" w:hAnsi="宋体" w:eastAsia="宋体" w:cs="仿宋_GB2312"/>
                <w:szCs w:val="21"/>
              </w:rPr>
            </w:pPr>
            <w:r>
              <w:rPr>
                <w:rFonts w:hint="eastAsia" w:ascii="宋体" w:hAnsi="宋体" w:eastAsia="宋体" w:cs="仿宋_GB2312"/>
                <w:szCs w:val="21"/>
              </w:rPr>
              <w:t>计划评估</w:t>
            </w:r>
          </w:p>
        </w:tc>
        <w:tc>
          <w:tcPr>
            <w:tcW w:w="2812" w:type="dxa"/>
            <w:vMerge w:val="continue"/>
            <w:noWrap w:val="0"/>
            <w:vAlign w:val="center"/>
          </w:tcPr>
          <w:p w14:paraId="6B5FBEE5">
            <w:pPr>
              <w:jc w:val="center"/>
              <w:rPr>
                <w:rFonts w:ascii="宋体" w:hAnsi="宋体" w:eastAsia="宋体" w:cs="仿宋_GB2312"/>
                <w:szCs w:val="21"/>
              </w:rPr>
            </w:pPr>
          </w:p>
        </w:tc>
        <w:tc>
          <w:tcPr>
            <w:tcW w:w="2949" w:type="dxa"/>
            <w:noWrap w:val="0"/>
            <w:vAlign w:val="center"/>
          </w:tcPr>
          <w:p w14:paraId="4EBF02A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针对外照射计划，检验系统是否具备模拟不同摆位误差或射程不确定性条件下的剂量影响分析（鲁棒性分析）功能。</w:t>
            </w:r>
          </w:p>
        </w:tc>
      </w:tr>
      <w:tr w14:paraId="0D0C9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3D0AA5C1">
            <w:pPr>
              <w:jc w:val="center"/>
              <w:rPr>
                <w:rFonts w:hint="default" w:ascii="宋体" w:hAnsi="宋体" w:eastAsia="宋体" w:cs="仿宋_GB2312"/>
                <w:szCs w:val="21"/>
                <w:lang w:val="en-US" w:eastAsia="zh-CN"/>
              </w:rPr>
            </w:pPr>
            <w:r>
              <w:rPr>
                <w:rFonts w:hint="eastAsia" w:ascii="宋体" w:hAnsi="宋体" w:eastAsia="宋体" w:cs="仿宋_GB2312"/>
                <w:szCs w:val="21"/>
                <w:lang w:val="en-US" w:eastAsia="zh-CN"/>
              </w:rPr>
              <w:t>10</w:t>
            </w:r>
          </w:p>
        </w:tc>
        <w:tc>
          <w:tcPr>
            <w:tcW w:w="2150" w:type="dxa"/>
            <w:noWrap w:val="0"/>
            <w:vAlign w:val="center"/>
          </w:tcPr>
          <w:p w14:paraId="5B8C6ACD">
            <w:pPr>
              <w:jc w:val="center"/>
              <w:rPr>
                <w:rFonts w:ascii="宋体" w:hAnsi="宋体" w:eastAsia="宋体" w:cs="仿宋_GB2312"/>
                <w:szCs w:val="21"/>
              </w:rPr>
            </w:pPr>
            <w:r>
              <w:rPr>
                <w:rFonts w:hint="eastAsia" w:ascii="宋体" w:hAnsi="宋体" w:eastAsia="宋体" w:cs="仿宋_GB2312"/>
                <w:szCs w:val="21"/>
              </w:rPr>
              <w:t>自动计划</w:t>
            </w:r>
          </w:p>
        </w:tc>
        <w:tc>
          <w:tcPr>
            <w:tcW w:w="2812" w:type="dxa"/>
            <w:vMerge w:val="continue"/>
            <w:noWrap w:val="0"/>
            <w:vAlign w:val="center"/>
          </w:tcPr>
          <w:p w14:paraId="5DCC9777">
            <w:pPr>
              <w:jc w:val="center"/>
              <w:rPr>
                <w:rFonts w:ascii="宋体" w:hAnsi="宋体" w:eastAsia="宋体" w:cs="仿宋_GB2312"/>
                <w:szCs w:val="21"/>
              </w:rPr>
            </w:pPr>
          </w:p>
        </w:tc>
        <w:tc>
          <w:tcPr>
            <w:tcW w:w="2949" w:type="dxa"/>
            <w:noWrap w:val="0"/>
            <w:vAlign w:val="center"/>
          </w:tcPr>
          <w:p w14:paraId="00D17D1F">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验证系统是否支持建立多中心光子计划的知识库模型，并能调用该模型实现计划的自动设计与优化</w:t>
            </w:r>
          </w:p>
        </w:tc>
      </w:tr>
      <w:tr w14:paraId="167B1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873" w:type="dxa"/>
            <w:noWrap w:val="0"/>
            <w:vAlign w:val="center"/>
          </w:tcPr>
          <w:p w14:paraId="6275920B">
            <w:pPr>
              <w:jc w:val="center"/>
              <w:rPr>
                <w:rFonts w:hint="eastAsia" w:ascii="宋体" w:hAnsi="宋体" w:eastAsia="宋体" w:cs="仿宋_GB2312"/>
                <w:szCs w:val="21"/>
                <w:lang w:eastAsia="zh-CN"/>
              </w:rPr>
            </w:pPr>
            <w:r>
              <w:rPr>
                <w:rFonts w:hint="eastAsia" w:ascii="宋体" w:hAnsi="宋体" w:eastAsia="宋体" w:cs="仿宋_GB2312"/>
                <w:szCs w:val="21"/>
              </w:rPr>
              <w:t>1</w:t>
            </w:r>
            <w:r>
              <w:rPr>
                <w:rFonts w:hint="eastAsia" w:ascii="宋体" w:hAnsi="宋体" w:eastAsia="宋体" w:cs="仿宋_GB2312"/>
                <w:szCs w:val="21"/>
                <w:lang w:val="en-US" w:eastAsia="zh-CN"/>
              </w:rPr>
              <w:t>1</w:t>
            </w:r>
          </w:p>
        </w:tc>
        <w:tc>
          <w:tcPr>
            <w:tcW w:w="2150" w:type="dxa"/>
            <w:noWrap w:val="0"/>
            <w:vAlign w:val="center"/>
          </w:tcPr>
          <w:p w14:paraId="6E1C18BC">
            <w:pPr>
              <w:jc w:val="center"/>
              <w:rPr>
                <w:rFonts w:ascii="宋体" w:hAnsi="宋体" w:eastAsia="宋体" w:cs="仿宋_GB2312"/>
                <w:szCs w:val="21"/>
              </w:rPr>
            </w:pPr>
            <w:r>
              <w:rPr>
                <w:rFonts w:hint="eastAsia" w:ascii="宋体" w:hAnsi="宋体" w:eastAsia="宋体" w:cs="仿宋_GB2312"/>
                <w:szCs w:val="21"/>
              </w:rPr>
              <w:t>放疗云平台</w:t>
            </w:r>
          </w:p>
        </w:tc>
        <w:tc>
          <w:tcPr>
            <w:tcW w:w="2812" w:type="dxa"/>
            <w:vMerge w:val="continue"/>
            <w:noWrap w:val="0"/>
            <w:vAlign w:val="center"/>
          </w:tcPr>
          <w:p w14:paraId="7E6337A5">
            <w:pPr>
              <w:jc w:val="center"/>
              <w:rPr>
                <w:rFonts w:ascii="宋体" w:hAnsi="宋体" w:eastAsia="宋体" w:cs="仿宋_GB2312"/>
                <w:szCs w:val="21"/>
              </w:rPr>
            </w:pPr>
          </w:p>
        </w:tc>
        <w:tc>
          <w:tcPr>
            <w:tcW w:w="2949" w:type="dxa"/>
            <w:noWrap w:val="0"/>
            <w:vAlign w:val="center"/>
          </w:tcPr>
          <w:p w14:paraId="6765AFB4">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通过网页浏览器登录放疗云平台，测试是否能以虚拟化应用（非远程桌面镜像）方式独立访问TPS操作界面，且该操作不影响本地工作站的实际使用状态。</w:t>
            </w:r>
          </w:p>
        </w:tc>
      </w:tr>
    </w:tbl>
    <w:p w14:paraId="76E0C5B4">
      <w:pPr>
        <w:ind w:firstLine="420" w:firstLineChars="200"/>
        <w:rPr>
          <w:rFonts w:hint="eastAsia" w:cs="仿宋_GB2312" w:asciiTheme="minorEastAsia" w:hAnsiTheme="minorEastAsia" w:eastAsiaTheme="minorEastAsia"/>
          <w:szCs w:val="21"/>
        </w:rPr>
      </w:pPr>
    </w:p>
    <w:p w14:paraId="31BDEA12">
      <w:pPr>
        <w:ind w:firstLine="420" w:firstLineChars="200"/>
        <w:rPr>
          <w:rFonts w:hint="eastAsia" w:cs="仿宋_GB2312" w:asciiTheme="minorEastAsia" w:hAnsiTheme="minorEastAsia" w:eastAsiaTheme="minorEastAsia"/>
          <w:szCs w:val="21"/>
        </w:rPr>
      </w:pPr>
    </w:p>
    <w:p w14:paraId="3D7079CB">
      <w:pPr>
        <w:ind w:firstLine="420" w:firstLineChars="200"/>
        <w:rPr>
          <w:rFonts w:ascii="微软雅黑" w:hAnsi="微软雅黑" w:eastAsia="微软雅黑" w:cs="微软雅黑"/>
          <w:b/>
          <w:bCs/>
        </w:rPr>
      </w:pPr>
      <w:r>
        <w:rPr>
          <w:rFonts w:hint="eastAsia" w:cs="仿宋_GB2312" w:asciiTheme="minorEastAsia" w:hAnsiTheme="minorEastAsia" w:eastAsiaTheme="minorEastAsia"/>
          <w:szCs w:val="21"/>
        </w:rPr>
        <w:t>（五）附件：演示授权书</w:t>
      </w:r>
    </w:p>
    <w:p w14:paraId="119EDBCC">
      <w:pPr>
        <w:jc w:val="center"/>
        <w:rPr>
          <w:rFonts w:cs="微软雅黑" w:asciiTheme="minorEastAsia" w:hAnsiTheme="minorEastAsia"/>
          <w:sz w:val="32"/>
          <w:szCs w:val="40"/>
        </w:rPr>
      </w:pPr>
      <w:r>
        <w:rPr>
          <w:rFonts w:hint="eastAsia" w:cs="微软雅黑" w:asciiTheme="minorEastAsia" w:hAnsiTheme="minorEastAsia"/>
          <w:sz w:val="32"/>
          <w:szCs w:val="40"/>
        </w:rPr>
        <w:t>演示授权委托书</w:t>
      </w:r>
    </w:p>
    <w:p w14:paraId="6E04DABD">
      <w:pPr>
        <w:spacing w:line="360" w:lineRule="auto"/>
        <w:ind w:firstLine="440" w:firstLineChars="200"/>
        <w:rPr>
          <w:sz w:val="22"/>
          <w:szCs w:val="22"/>
        </w:rPr>
      </w:pPr>
      <w:r>
        <w:rPr>
          <w:rFonts w:hint="eastAsia"/>
          <w:sz w:val="22"/>
          <w:szCs w:val="22"/>
        </w:rPr>
        <w:t>本授权委托书声明：我</w:t>
      </w:r>
      <w:r>
        <w:rPr>
          <w:rFonts w:hint="eastAsia"/>
          <w:sz w:val="22"/>
          <w:szCs w:val="22"/>
          <w:u w:val="single"/>
        </w:rPr>
        <w:t xml:space="preserve">           </w:t>
      </w:r>
      <w:r>
        <w:rPr>
          <w:rFonts w:hint="eastAsia"/>
          <w:sz w:val="22"/>
          <w:szCs w:val="22"/>
        </w:rPr>
        <w:t>（姓名）系</w:t>
      </w:r>
      <w:r>
        <w:rPr>
          <w:rFonts w:hint="eastAsia"/>
          <w:sz w:val="22"/>
          <w:szCs w:val="22"/>
          <w:u w:val="single"/>
        </w:rPr>
        <w:t xml:space="preserve">             </w:t>
      </w:r>
      <w:r>
        <w:rPr>
          <w:rFonts w:hint="eastAsia"/>
          <w:sz w:val="22"/>
          <w:szCs w:val="22"/>
        </w:rPr>
        <w:t>（投标人名称）的法定代表人（负责人），现授权委托</w:t>
      </w:r>
      <w:r>
        <w:rPr>
          <w:rFonts w:hint="eastAsia"/>
          <w:sz w:val="22"/>
          <w:szCs w:val="22"/>
          <w:u w:val="single"/>
        </w:rPr>
        <w:t xml:space="preserve">            </w:t>
      </w:r>
      <w:r>
        <w:rPr>
          <w:rFonts w:hint="eastAsia"/>
          <w:sz w:val="22"/>
          <w:szCs w:val="22"/>
        </w:rPr>
        <w:t>（姓名）为我单位参与</w:t>
      </w:r>
      <w:r>
        <w:rPr>
          <w:rFonts w:hint="eastAsia"/>
          <w:sz w:val="22"/>
          <w:szCs w:val="22"/>
          <w:u w:val="single"/>
        </w:rPr>
        <w:t>（此处填写项目名称）</w:t>
      </w:r>
      <w:r>
        <w:rPr>
          <w:rFonts w:hint="eastAsia"/>
          <w:sz w:val="22"/>
          <w:szCs w:val="22"/>
        </w:rPr>
        <w:t>项目，项目编号：</w:t>
      </w:r>
      <w:r>
        <w:rPr>
          <w:sz w:val="22"/>
          <w:szCs w:val="22"/>
          <w:u w:val="single"/>
        </w:rPr>
        <w:t xml:space="preserve">   </w:t>
      </w:r>
      <w:r>
        <w:rPr>
          <w:rFonts w:hint="eastAsia"/>
          <w:sz w:val="22"/>
          <w:szCs w:val="22"/>
          <w:u w:val="single"/>
        </w:rPr>
        <w:t xml:space="preserve">      （此处填写项目编号）</w:t>
      </w:r>
      <w:r>
        <w:rPr>
          <w:rFonts w:hint="eastAsia"/>
          <w:sz w:val="22"/>
          <w:szCs w:val="22"/>
        </w:rPr>
        <w:t>演示工作的授权委托代理人，代理人全权代表我参与项目演示，演示的内容我均承认。</w:t>
      </w:r>
    </w:p>
    <w:p w14:paraId="51EE3F94">
      <w:pPr>
        <w:spacing w:line="360" w:lineRule="auto"/>
        <w:ind w:firstLine="420"/>
        <w:rPr>
          <w:sz w:val="22"/>
          <w:szCs w:val="22"/>
        </w:rPr>
      </w:pPr>
      <w:r>
        <w:rPr>
          <w:rFonts w:hint="eastAsia"/>
          <w:sz w:val="22"/>
          <w:szCs w:val="22"/>
        </w:rPr>
        <w:t>代理人无转委托权，特此委托。</w:t>
      </w:r>
    </w:p>
    <w:p w14:paraId="3F2CC972">
      <w:pPr>
        <w:spacing w:line="360" w:lineRule="auto"/>
        <w:ind w:firstLine="420"/>
        <w:rPr>
          <w:sz w:val="22"/>
          <w:szCs w:val="22"/>
        </w:rPr>
      </w:pPr>
    </w:p>
    <w:p w14:paraId="4B40141E">
      <w:pPr>
        <w:spacing w:line="360" w:lineRule="auto"/>
        <w:ind w:left="540" w:leftChars="257"/>
        <w:rPr>
          <w:sz w:val="22"/>
          <w:szCs w:val="22"/>
          <w:u w:val="single"/>
        </w:rPr>
      </w:pPr>
      <w:r>
        <w:rPr>
          <w:rFonts w:hint="eastAsia"/>
          <w:sz w:val="22"/>
          <w:szCs w:val="22"/>
        </w:rPr>
        <w:t>代理人：</w:t>
      </w:r>
      <w:r>
        <w:rPr>
          <w:rFonts w:hint="eastAsia"/>
          <w:sz w:val="22"/>
          <w:szCs w:val="22"/>
          <w:u w:val="single"/>
        </w:rPr>
        <w:t xml:space="preserve">            </w:t>
      </w:r>
      <w:r>
        <w:rPr>
          <w:rFonts w:hint="eastAsia"/>
          <w:sz w:val="22"/>
          <w:szCs w:val="22"/>
        </w:rPr>
        <w:t xml:space="preserve"> ；</w:t>
      </w:r>
    </w:p>
    <w:p w14:paraId="7F61B065">
      <w:pPr>
        <w:spacing w:line="360" w:lineRule="auto"/>
        <w:ind w:left="540" w:leftChars="257"/>
        <w:rPr>
          <w:sz w:val="22"/>
          <w:szCs w:val="22"/>
        </w:rPr>
      </w:pPr>
      <w:r>
        <w:rPr>
          <w:rFonts w:hint="eastAsia"/>
          <w:sz w:val="22"/>
          <w:szCs w:val="22"/>
        </w:rPr>
        <w:t>联系电话：</w:t>
      </w:r>
      <w:r>
        <w:rPr>
          <w:rFonts w:hint="eastAsia"/>
          <w:sz w:val="22"/>
          <w:szCs w:val="22"/>
          <w:u w:val="single"/>
        </w:rPr>
        <w:t xml:space="preserve">            </w:t>
      </w:r>
      <w:r>
        <w:rPr>
          <w:rFonts w:hint="eastAsia"/>
          <w:sz w:val="22"/>
          <w:szCs w:val="22"/>
        </w:rPr>
        <w:t xml:space="preserve"> ；  手机：</w:t>
      </w:r>
      <w:r>
        <w:rPr>
          <w:rFonts w:hint="eastAsia"/>
          <w:sz w:val="22"/>
          <w:szCs w:val="22"/>
          <w:u w:val="single"/>
        </w:rPr>
        <w:t xml:space="preserve">            </w:t>
      </w:r>
      <w:r>
        <w:rPr>
          <w:rFonts w:hint="eastAsia"/>
          <w:sz w:val="22"/>
          <w:szCs w:val="22"/>
        </w:rPr>
        <w:t xml:space="preserve"> ；</w:t>
      </w:r>
    </w:p>
    <w:p w14:paraId="28185A92">
      <w:pPr>
        <w:spacing w:line="360" w:lineRule="auto"/>
        <w:ind w:left="540" w:leftChars="257"/>
        <w:rPr>
          <w:sz w:val="22"/>
          <w:szCs w:val="22"/>
        </w:rPr>
      </w:pPr>
      <w:r>
        <w:rPr>
          <w:rFonts w:hint="eastAsia"/>
          <w:sz w:val="22"/>
          <w:szCs w:val="22"/>
        </w:rPr>
        <w:t>身份证号码：</w:t>
      </w:r>
      <w:r>
        <w:rPr>
          <w:rFonts w:hint="eastAsia"/>
          <w:sz w:val="22"/>
          <w:szCs w:val="22"/>
          <w:u w:val="single"/>
        </w:rPr>
        <w:t xml:space="preserve">                        </w:t>
      </w:r>
      <w:r>
        <w:rPr>
          <w:rFonts w:hint="eastAsia"/>
          <w:sz w:val="22"/>
          <w:szCs w:val="22"/>
        </w:rPr>
        <w:t>职务：</w:t>
      </w:r>
      <w:r>
        <w:rPr>
          <w:rFonts w:hint="eastAsia"/>
          <w:sz w:val="22"/>
          <w:szCs w:val="22"/>
          <w:u w:val="single"/>
        </w:rPr>
        <w:t xml:space="preserve">            </w:t>
      </w:r>
      <w:r>
        <w:rPr>
          <w:rFonts w:hint="eastAsia"/>
          <w:sz w:val="22"/>
          <w:szCs w:val="22"/>
        </w:rPr>
        <w:t xml:space="preserve"> ；</w:t>
      </w:r>
    </w:p>
    <w:p w14:paraId="4FB1E6C2">
      <w:pPr>
        <w:spacing w:line="360" w:lineRule="auto"/>
        <w:ind w:left="540" w:leftChars="257"/>
        <w:rPr>
          <w:sz w:val="22"/>
          <w:szCs w:val="22"/>
        </w:rPr>
      </w:pPr>
      <w:r>
        <w:rPr>
          <w:rFonts w:hint="eastAsia"/>
          <w:sz w:val="22"/>
          <w:szCs w:val="22"/>
        </w:rPr>
        <w:t>授权委托日期：</w:t>
      </w:r>
      <w:r>
        <w:rPr>
          <w:rFonts w:hint="eastAsia"/>
          <w:sz w:val="22"/>
          <w:szCs w:val="22"/>
          <w:u w:val="single"/>
        </w:rPr>
        <w:t xml:space="preserve">         </w:t>
      </w:r>
      <w:r>
        <w:rPr>
          <w:rFonts w:hint="eastAsia"/>
          <w:sz w:val="22"/>
          <w:szCs w:val="22"/>
        </w:rPr>
        <w:t>年</w:t>
      </w:r>
      <w:r>
        <w:rPr>
          <w:rFonts w:hint="eastAsia"/>
          <w:sz w:val="22"/>
          <w:szCs w:val="22"/>
          <w:u w:val="single"/>
        </w:rPr>
        <w:t xml:space="preserve">     </w:t>
      </w:r>
      <w:r>
        <w:rPr>
          <w:rFonts w:hint="eastAsia"/>
          <w:sz w:val="22"/>
          <w:szCs w:val="22"/>
        </w:rPr>
        <w:t xml:space="preserve">月 </w:t>
      </w:r>
      <w:r>
        <w:rPr>
          <w:rFonts w:hint="eastAsia"/>
          <w:sz w:val="22"/>
          <w:szCs w:val="22"/>
          <w:u w:val="single"/>
        </w:rPr>
        <w:t xml:space="preserve">      </w:t>
      </w:r>
      <w:r>
        <w:rPr>
          <w:rFonts w:hint="eastAsia"/>
          <w:sz w:val="22"/>
          <w:szCs w:val="22"/>
        </w:rPr>
        <w:t>日</w:t>
      </w:r>
    </w:p>
    <w:p w14:paraId="311E51A9">
      <w:pPr>
        <w:spacing w:line="360" w:lineRule="auto"/>
        <w:ind w:firstLine="442" w:firstLineChars="200"/>
        <w:rPr>
          <w:b/>
          <w:color w:val="FF0000"/>
          <w:sz w:val="22"/>
          <w:szCs w:val="22"/>
        </w:rPr>
      </w:pPr>
      <w:r>
        <w:rPr>
          <w:rFonts w:hint="eastAsia"/>
          <w:b/>
          <w:color w:val="FF0000"/>
          <w:sz w:val="22"/>
          <w:szCs w:val="22"/>
        </w:rPr>
        <w:t>附：中国国籍人员，请提供代理人身份证扫描件（正反两面），港澳台居民可提供来往通行证扫描件；非中国国籍人员，可提供公安部门认可的身份证明材料扫描件。要求投标供应商同时提供上述身份证明材料扫描件作为附件方为有效。</w:t>
      </w:r>
    </w:p>
    <w:p w14:paraId="19E5CB5A">
      <w:pPr>
        <w:spacing w:line="360" w:lineRule="auto"/>
        <w:ind w:firstLine="440" w:firstLineChars="200"/>
        <w:jc w:val="right"/>
        <w:rPr>
          <w:sz w:val="22"/>
          <w:szCs w:val="22"/>
        </w:rPr>
      </w:pPr>
      <w:r>
        <w:rPr>
          <w:rFonts w:hint="eastAsia"/>
          <w:sz w:val="22"/>
          <w:szCs w:val="22"/>
        </w:rPr>
        <w:t>（此处填写投标人名称）公司（加盖投标人公章）</w:t>
      </w:r>
    </w:p>
    <w:p w14:paraId="258ABDF8">
      <w:pPr>
        <w:jc w:val="right"/>
      </w:pPr>
      <w:r>
        <w:rPr>
          <w:rFonts w:hint="eastAsia"/>
          <w:sz w:val="22"/>
          <w:szCs w:val="22"/>
        </w:rPr>
        <w:t>XX年XX月XX日</w:t>
      </w:r>
    </w:p>
    <w:p w14:paraId="185E9FA9"/>
    <w:p w14:paraId="17B7B4A8">
      <w:pPr>
        <w:pStyle w:val="7"/>
        <w:rPr>
          <w:rFonts w:hint="eastAsia"/>
          <w:kern w:val="2"/>
        </w:rPr>
      </w:pPr>
      <w:r>
        <w:rPr>
          <w:rFonts w:hint="eastAsia"/>
          <w:kern w:val="2"/>
        </w:rPr>
        <w:t>第四章</w:t>
      </w:r>
      <w:r>
        <w:rPr>
          <w:kern w:val="2"/>
        </w:rPr>
        <w:t xml:space="preserve"> </w:t>
      </w:r>
      <w:r>
        <w:rPr>
          <w:rFonts w:hint="eastAsia"/>
          <w:kern w:val="2"/>
        </w:rPr>
        <w:t xml:space="preserve"> 投标文件组成要求及格式</w:t>
      </w:r>
    </w:p>
    <w:p w14:paraId="784AFD99">
      <w:pPr>
        <w:rPr>
          <w:rStyle w:val="43"/>
          <w:sz w:val="24"/>
        </w:rPr>
      </w:pPr>
      <w:r>
        <w:rPr>
          <w:rStyle w:val="43"/>
          <w:rFonts w:hint="eastAsia"/>
          <w:sz w:val="24"/>
        </w:rPr>
        <w:t>特别提醒：</w:t>
      </w:r>
    </w:p>
    <w:p w14:paraId="3E2C3D28">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4FF4908B">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160B6854">
      <w:pPr>
        <w:widowControl/>
        <w:jc w:val="left"/>
        <w:rPr>
          <w:rFonts w:hint="eastAsia" w:ascii="宋体" w:hAnsi="宋体" w:cs="宋体"/>
          <w:kern w:val="0"/>
          <w:sz w:val="24"/>
        </w:rPr>
      </w:pPr>
      <w:r>
        <w:drawing>
          <wp:inline distT="0" distB="0" distL="114300" distR="114300">
            <wp:extent cx="5162550" cy="4011295"/>
            <wp:effectExtent l="0" t="0" r="0" b="8255"/>
            <wp:docPr id="1"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66f322b8feee32c1a3f0d48f365c82"/>
                    <pic:cNvPicPr>
                      <a:picLocks noChangeAspect="1"/>
                    </pic:cNvPicPr>
                  </pic:nvPicPr>
                  <pic:blipFill>
                    <a:blip r:embed="rId11"/>
                    <a:stretch>
                      <a:fillRect/>
                    </a:stretch>
                  </pic:blipFill>
                  <pic:spPr>
                    <a:xfrm>
                      <a:off x="0" y="0"/>
                      <a:ext cx="5162550" cy="4011295"/>
                    </a:xfrm>
                    <a:prstGeom prst="rect">
                      <a:avLst/>
                    </a:prstGeom>
                  </pic:spPr>
                </pic:pic>
              </a:graphicData>
            </a:graphic>
          </wp:inline>
        </w:drawing>
      </w:r>
    </w:p>
    <w:p w14:paraId="16632FAC">
      <w:pPr>
        <w:ind w:firstLine="480" w:firstLineChars="200"/>
        <w:rPr>
          <w:rFonts w:ascii="仿宋_GB2312" w:eastAsia="仿宋_GB2312"/>
          <w:sz w:val="24"/>
        </w:rPr>
      </w:pPr>
      <w:bookmarkStart w:id="42" w:name="_Hlk72257167"/>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b/>
          <w:bCs/>
          <w:color w:val="FF0000"/>
          <w:sz w:val="24"/>
        </w:rPr>
        <w:t>如投标人将必须放于投标文件正文（信息公开部分）的内容放入投标文件附件（非信息公开部分），将作投标无效处理。</w:t>
      </w:r>
    </w:p>
    <w:bookmarkEnd w:id="42"/>
    <w:p w14:paraId="2ED9BF39">
      <w:pPr>
        <w:rPr>
          <w:rFonts w:ascii="仿宋_GB2312" w:eastAsia="仿宋_GB2312"/>
          <w:sz w:val="24"/>
        </w:rPr>
      </w:pPr>
      <w:r>
        <w:rPr>
          <w:rFonts w:ascii="仿宋_GB2312" w:eastAsia="仿宋_GB2312"/>
          <w:sz w:val="24"/>
        </w:rPr>
        <w:br w:type="page"/>
      </w:r>
    </w:p>
    <w:p w14:paraId="2A92A719">
      <w:pPr>
        <w:outlineLvl w:val="0"/>
        <w:rPr>
          <w:rStyle w:val="43"/>
          <w:sz w:val="28"/>
          <w:szCs w:val="28"/>
        </w:rPr>
      </w:pPr>
      <w:r>
        <w:rPr>
          <w:rStyle w:val="43"/>
          <w:rFonts w:hint="eastAsia"/>
          <w:sz w:val="28"/>
          <w:szCs w:val="28"/>
        </w:rPr>
        <w:t>投标文件组成：</w:t>
      </w:r>
    </w:p>
    <w:p w14:paraId="45153CDE">
      <w:pPr>
        <w:ind w:firstLine="1200" w:firstLineChars="500"/>
        <w:outlineLvl w:val="0"/>
        <w:rPr>
          <w:rFonts w:hint="eastAsia" w:ascii="宋体" w:hAnsi="宋体"/>
          <w:sz w:val="24"/>
        </w:rPr>
      </w:pPr>
      <w:bookmarkStart w:id="43" w:name="_Hlk72257253"/>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0D7BA961">
      <w:pPr>
        <w:ind w:left="718" w:leftChars="342" w:firstLine="1417" w:firstLineChars="675"/>
        <w:rPr>
          <w:szCs w:val="21"/>
        </w:rPr>
      </w:pPr>
      <w:r>
        <w:rPr>
          <w:rFonts w:hint="eastAsia"/>
          <w:szCs w:val="21"/>
        </w:rPr>
        <w:t>（1）</w:t>
      </w:r>
      <w:bookmarkStart w:id="44" w:name="_Hlk72070784"/>
      <w:r>
        <w:rPr>
          <w:rFonts w:hint="eastAsia"/>
          <w:szCs w:val="21"/>
        </w:rPr>
        <w:t>投标函</w:t>
      </w:r>
      <w:bookmarkEnd w:id="44"/>
    </w:p>
    <w:p w14:paraId="4EC846D3">
      <w:pPr>
        <w:ind w:left="718" w:leftChars="342" w:firstLine="1417" w:firstLineChars="675"/>
        <w:rPr>
          <w:szCs w:val="21"/>
        </w:rPr>
      </w:pPr>
      <w:r>
        <w:rPr>
          <w:rFonts w:hint="eastAsia"/>
          <w:szCs w:val="21"/>
        </w:rPr>
        <w:t>（2）</w:t>
      </w:r>
      <w:bookmarkStart w:id="45" w:name="_Hlk72062521"/>
      <w:r>
        <w:rPr>
          <w:rFonts w:hint="eastAsia"/>
          <w:szCs w:val="21"/>
        </w:rPr>
        <w:t>政府采购投标及履约承诺函</w:t>
      </w:r>
      <w:bookmarkEnd w:id="45"/>
    </w:p>
    <w:p w14:paraId="5B99AB83">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755E9E05">
      <w:pPr>
        <w:ind w:left="718" w:leftChars="342" w:firstLine="1417" w:firstLineChars="675"/>
        <w:rPr>
          <w:rFonts w:hint="eastAsia"/>
          <w:szCs w:val="21"/>
        </w:rPr>
      </w:pPr>
      <w:r>
        <w:rPr>
          <w:rFonts w:hint="eastAsia"/>
          <w:szCs w:val="21"/>
        </w:rPr>
        <w:t>（</w:t>
      </w:r>
      <w:r>
        <w:rPr>
          <w:rFonts w:hint="eastAsia"/>
          <w:szCs w:val="21"/>
          <w:lang w:val="en-US" w:eastAsia="zh-CN"/>
        </w:rPr>
        <w:t>4</w:t>
      </w:r>
      <w:r>
        <w:rPr>
          <w:rFonts w:hint="eastAsia"/>
          <w:szCs w:val="21"/>
        </w:rPr>
        <w:t>）分项报价表</w:t>
      </w:r>
    </w:p>
    <w:p w14:paraId="2E93518E">
      <w:pPr>
        <w:ind w:firstLine="1200" w:firstLineChars="500"/>
        <w:outlineLvl w:val="0"/>
        <w:rPr>
          <w:rFonts w:hint="eastAsia" w:ascii="宋体" w:hAnsi="宋体"/>
          <w:sz w:val="24"/>
          <w:lang w:eastAsia="zh-CN"/>
        </w:rPr>
      </w:pPr>
    </w:p>
    <w:p w14:paraId="2FF21EB5">
      <w:pPr>
        <w:ind w:firstLine="1200" w:firstLineChars="500"/>
        <w:outlineLvl w:val="0"/>
        <w:rPr>
          <w:rFonts w:hint="eastAsia"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1A937437">
      <w:pPr>
        <w:ind w:firstLine="2100" w:firstLineChars="1000"/>
        <w:rPr>
          <w:szCs w:val="21"/>
        </w:rPr>
      </w:pPr>
      <w:r>
        <w:rPr>
          <w:rFonts w:hint="eastAsia"/>
          <w:szCs w:val="21"/>
        </w:rPr>
        <w:t>（1）供应商基本情况表</w:t>
      </w:r>
    </w:p>
    <w:p w14:paraId="48229E5A">
      <w:pPr>
        <w:ind w:firstLine="2100" w:firstLineChars="1000"/>
        <w:rPr>
          <w:szCs w:val="21"/>
        </w:rPr>
      </w:pPr>
      <w:r>
        <w:rPr>
          <w:rFonts w:hint="eastAsia"/>
          <w:szCs w:val="21"/>
        </w:rPr>
        <w:t>（2）法定代表人（负责人）证明书</w:t>
      </w:r>
    </w:p>
    <w:p w14:paraId="3F826341">
      <w:pPr>
        <w:ind w:left="718" w:leftChars="342" w:firstLine="1417" w:firstLineChars="675"/>
        <w:rPr>
          <w:szCs w:val="21"/>
        </w:rPr>
      </w:pPr>
      <w:r>
        <w:rPr>
          <w:rFonts w:hint="eastAsia"/>
          <w:szCs w:val="21"/>
        </w:rPr>
        <w:t>（3）投标文件签署授权委托书</w:t>
      </w:r>
    </w:p>
    <w:p w14:paraId="367607ED">
      <w:pPr>
        <w:ind w:left="718" w:leftChars="342" w:firstLine="1417" w:firstLineChars="675"/>
        <w:rPr>
          <w:szCs w:val="21"/>
        </w:rPr>
      </w:pPr>
      <w:r>
        <w:rPr>
          <w:rFonts w:hint="eastAsia"/>
          <w:szCs w:val="21"/>
        </w:rPr>
        <w:t>（4）所投产品信息及其他报价清单</w:t>
      </w:r>
    </w:p>
    <w:p w14:paraId="794F0CA3">
      <w:pPr>
        <w:ind w:left="718" w:leftChars="342" w:firstLine="1417" w:firstLineChars="675"/>
        <w:rPr>
          <w:szCs w:val="21"/>
        </w:rPr>
      </w:pPr>
      <w:r>
        <w:rPr>
          <w:rFonts w:hint="eastAsia"/>
          <w:szCs w:val="21"/>
        </w:rPr>
        <w:t>（5）实质性条款响应情况表</w:t>
      </w:r>
    </w:p>
    <w:p w14:paraId="114473FC">
      <w:pPr>
        <w:ind w:left="718" w:leftChars="342" w:firstLine="1417" w:firstLineChars="675"/>
        <w:rPr>
          <w:szCs w:val="21"/>
        </w:rPr>
      </w:pPr>
      <w:r>
        <w:rPr>
          <w:rFonts w:hint="eastAsia"/>
          <w:szCs w:val="21"/>
        </w:rPr>
        <w:t>（6）技术要求偏离表</w:t>
      </w:r>
    </w:p>
    <w:p w14:paraId="737C31CB">
      <w:pPr>
        <w:ind w:left="718" w:leftChars="342" w:firstLine="1417" w:firstLineChars="675"/>
        <w:rPr>
          <w:szCs w:val="21"/>
        </w:rPr>
      </w:pPr>
      <w:r>
        <w:rPr>
          <w:rFonts w:hint="eastAsia"/>
          <w:szCs w:val="21"/>
        </w:rPr>
        <w:t>（7）商务要求偏离表</w:t>
      </w:r>
    </w:p>
    <w:p w14:paraId="0C95FFAB">
      <w:pPr>
        <w:ind w:left="718" w:leftChars="342" w:firstLine="1417" w:firstLineChars="675"/>
        <w:rPr>
          <w:szCs w:val="21"/>
        </w:rPr>
      </w:pPr>
      <w:r>
        <w:rPr>
          <w:rFonts w:hint="eastAsia"/>
          <w:szCs w:val="21"/>
          <w:lang w:eastAsia="zh-CN"/>
        </w:rPr>
        <w:t>（</w:t>
      </w:r>
      <w:r>
        <w:rPr>
          <w:rFonts w:hint="eastAsia"/>
          <w:szCs w:val="21"/>
          <w:lang w:val="en-US" w:eastAsia="zh-CN"/>
        </w:rPr>
        <w:t>8</w:t>
      </w:r>
      <w:r>
        <w:rPr>
          <w:rFonts w:hint="eastAsia"/>
          <w:szCs w:val="21"/>
          <w:lang w:eastAsia="zh-CN"/>
        </w:rPr>
        <w:t>）技术保障措施</w:t>
      </w:r>
      <w:r>
        <w:rPr>
          <w:rFonts w:hint="eastAsia"/>
          <w:szCs w:val="21"/>
        </w:rPr>
        <w:t>（格式自定）</w:t>
      </w:r>
    </w:p>
    <w:p w14:paraId="4B35F8CF">
      <w:pPr>
        <w:ind w:left="718" w:leftChars="342" w:firstLine="1417" w:firstLineChars="675"/>
        <w:rPr>
          <w:szCs w:val="21"/>
        </w:rPr>
      </w:pPr>
      <w:r>
        <w:rPr>
          <w:rFonts w:hint="eastAsia"/>
          <w:szCs w:val="21"/>
        </w:rPr>
        <w:t>（</w:t>
      </w:r>
      <w:r>
        <w:rPr>
          <w:rFonts w:hint="eastAsia"/>
          <w:szCs w:val="21"/>
          <w:lang w:val="en-US" w:eastAsia="zh-CN"/>
        </w:rPr>
        <w:t>9</w:t>
      </w:r>
      <w:r>
        <w:rPr>
          <w:rFonts w:hint="eastAsia"/>
          <w:szCs w:val="21"/>
        </w:rPr>
        <w:t>）投标人认为需要加以说明的其他内容（格式自定）</w:t>
      </w:r>
    </w:p>
    <w:bookmarkEnd w:id="43"/>
    <w:p w14:paraId="0CE700D1">
      <w:pPr>
        <w:ind w:left="718" w:leftChars="342" w:firstLine="1417" w:firstLineChars="675"/>
        <w:rPr>
          <w:szCs w:val="21"/>
        </w:rPr>
      </w:pPr>
    </w:p>
    <w:p w14:paraId="64CE6CF8">
      <w:pPr>
        <w:ind w:firstLine="426" w:firstLineChars="202"/>
        <w:rPr>
          <w:rFonts w:hint="eastAsia" w:ascii="宋体" w:hAnsi="宋体"/>
          <w:b/>
          <w:szCs w:val="21"/>
        </w:rPr>
      </w:pPr>
      <w:bookmarkStart w:id="46" w:name="_Hlk72257771"/>
      <w:r>
        <w:rPr>
          <w:rFonts w:hint="eastAsia" w:ascii="宋体" w:hAnsi="宋体"/>
          <w:b/>
          <w:szCs w:val="21"/>
        </w:rPr>
        <w:t>备注：</w:t>
      </w:r>
    </w:p>
    <w:p w14:paraId="0FDB733D">
      <w:pPr>
        <w:ind w:firstLine="426" w:firstLineChars="202"/>
        <w:rPr>
          <w:rFonts w:hint="eastAsia"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6C10F22F">
      <w:pPr>
        <w:ind w:firstLine="422" w:firstLineChars="200"/>
        <w:rPr>
          <w:rFonts w:hint="eastAsia" w:ascii="宋体" w:hAnsi="宋体"/>
          <w:color w:val="FF0000"/>
          <w:sz w:val="24"/>
        </w:rPr>
      </w:pPr>
      <w:bookmarkStart w:id="47" w:name="_Hlk72263559"/>
      <w:r>
        <w:rPr>
          <w:rFonts w:hint="eastAsia" w:ascii="宋体" w:hAnsi="宋体"/>
          <w:b/>
          <w:szCs w:val="21"/>
        </w:rPr>
        <w:t>2.关于填写“开标一览表”的说明：“开标一览表”中除“投标总价”外，其他信息不作评审依据。</w:t>
      </w:r>
      <w:bookmarkEnd w:id="46"/>
      <w:bookmarkEnd w:id="47"/>
    </w:p>
    <w:p w14:paraId="1224DEC7">
      <w:pPr>
        <w:rPr>
          <w:rFonts w:hint="eastAsia" w:ascii="宋体" w:hAnsi="宋体"/>
          <w:color w:val="FF0000"/>
          <w:sz w:val="24"/>
        </w:rPr>
      </w:pPr>
    </w:p>
    <w:p w14:paraId="3B224B11">
      <w:pPr>
        <w:rPr>
          <w:rFonts w:hint="eastAsia" w:ascii="宋体" w:hAnsi="宋体"/>
          <w:color w:val="FF0000"/>
          <w:sz w:val="24"/>
        </w:rPr>
        <w:sectPr>
          <w:pgSz w:w="11907" w:h="16840"/>
          <w:pgMar w:top="1440" w:right="1797" w:bottom="1440" w:left="1797" w:header="851" w:footer="992" w:gutter="0"/>
          <w:cols w:space="425" w:num="1"/>
          <w:titlePg/>
          <w:docGrid w:linePitch="462" w:charSpace="0"/>
        </w:sectPr>
      </w:pPr>
    </w:p>
    <w:p w14:paraId="34EFACE3">
      <w:pPr>
        <w:outlineLvl w:val="1"/>
        <w:rPr>
          <w:rFonts w:hint="eastAsia" w:ascii="宋体" w:hAnsi="宋体"/>
          <w:b/>
          <w:color w:val="FF0000"/>
          <w:sz w:val="28"/>
          <w:szCs w:val="28"/>
        </w:rPr>
      </w:pPr>
      <w:r>
        <w:rPr>
          <w:rFonts w:hint="eastAsia" w:ascii="宋体" w:hAnsi="宋体"/>
          <w:b/>
          <w:color w:val="FF0000"/>
          <w:sz w:val="28"/>
          <w:szCs w:val="28"/>
        </w:rPr>
        <w:t>投标文件正文（信息公开部分）</w:t>
      </w:r>
    </w:p>
    <w:p w14:paraId="504E1170">
      <w:pPr>
        <w:pStyle w:val="5"/>
        <w:jc w:val="center"/>
        <w:rPr>
          <w:rFonts w:hint="eastAsia" w:ascii="黑体"/>
          <w:sz w:val="24"/>
        </w:rPr>
      </w:pPr>
      <w:r>
        <w:rPr>
          <w:rFonts w:hint="eastAsia" w:ascii="黑体"/>
          <w:sz w:val="24"/>
        </w:rPr>
        <w:t>一、投标函</w:t>
      </w:r>
    </w:p>
    <w:p w14:paraId="5100D99B">
      <w:pPr>
        <w:spacing w:line="360" w:lineRule="auto"/>
        <w:rPr>
          <w:rFonts w:hint="eastAsia" w:ascii="宋体" w:hAnsi="宋体"/>
          <w:szCs w:val="21"/>
        </w:rPr>
      </w:pPr>
      <w:bookmarkStart w:id="48" w:name="_Hlk72257506"/>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AAB3E4C">
      <w:pPr>
        <w:ind w:firstLine="420" w:firstLineChars="200"/>
        <w:rPr>
          <w:rFonts w:hint="eastAsia" w:ascii="宋体" w:hAnsi="宋体"/>
          <w:szCs w:val="21"/>
        </w:rPr>
      </w:pPr>
      <w:bookmarkStart w:id="49"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Cs w:val="21"/>
        </w:rPr>
        <w:t>的</w:t>
      </w:r>
      <w:r>
        <w:rPr>
          <w:rFonts w:hint="eastAsia"/>
          <w:szCs w:val="21"/>
          <w:u w:val="thick"/>
        </w:rPr>
        <w:t xml:space="preserve">       （项目名称）          </w:t>
      </w:r>
      <w:r>
        <w:rPr>
          <w:rFonts w:hint="eastAsia"/>
          <w:szCs w:val="21"/>
        </w:rPr>
        <w:t>项目的招标文件，遵照《深圳经济特区政府采购条例》和《深圳网上政府采购管理暂行办法》等有关规定，我单位经研究上述招标文件的专用条款及通用条款后，</w:t>
      </w:r>
      <w:bookmarkStart w:id="50" w:name="_Hlk72263588"/>
      <w:r>
        <w:rPr>
          <w:rFonts w:hint="eastAsia"/>
          <w:szCs w:val="21"/>
        </w:rPr>
        <w:t>愿意按照招标文件要求承包上述项目并修补其任何缺陷。</w:t>
      </w:r>
      <w:bookmarkEnd w:id="50"/>
    </w:p>
    <w:p w14:paraId="1535BFD2">
      <w:pPr>
        <w:ind w:firstLine="420" w:firstLineChars="200"/>
        <w:rPr>
          <w:rFonts w:hint="eastAsia" w:ascii="宋体" w:hAnsi="宋体"/>
          <w:szCs w:val="21"/>
        </w:rPr>
      </w:pPr>
      <w:r>
        <w:rPr>
          <w:rFonts w:ascii="宋体" w:hAnsi="宋体"/>
          <w:szCs w:val="21"/>
        </w:rPr>
        <w:t>2</w:t>
      </w:r>
      <w:bookmarkStart w:id="51" w:name="_Hlk73819847"/>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w:t>
      </w:r>
      <w:bookmarkEnd w:id="51"/>
    </w:p>
    <w:p w14:paraId="31B5B59E">
      <w:pPr>
        <w:ind w:firstLine="420" w:firstLineChars="200"/>
        <w:rPr>
          <w:rFonts w:hint="eastAsia"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788DF773">
      <w:pPr>
        <w:ind w:firstLine="420" w:firstLineChars="200"/>
        <w:rPr>
          <w:rFonts w:hint="eastAsia"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4E2A40C9">
      <w:pPr>
        <w:ind w:firstLine="420" w:firstLineChars="200"/>
        <w:rPr>
          <w:rFonts w:hint="eastAsia"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08AA5203">
      <w:pPr>
        <w:ind w:left="420" w:leftChars="200"/>
        <w:rPr>
          <w:rFonts w:hint="eastAsia"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49"/>
    </w:p>
    <w:p w14:paraId="29E91D47">
      <w:pPr>
        <w:ind w:left="420" w:leftChars="200"/>
        <w:rPr>
          <w:rFonts w:hint="eastAsia"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41831580">
      <w:pPr>
        <w:ind w:left="420" w:leftChars="200" w:firstLine="210" w:firstLineChars="100"/>
        <w:rPr>
          <w:szCs w:val="21"/>
        </w:rPr>
      </w:pPr>
      <w:r>
        <w:rPr>
          <w:rFonts w:hint="eastAsia"/>
          <w:szCs w:val="21"/>
        </w:rPr>
        <w:t>投标人：</w:t>
      </w:r>
      <w:r>
        <w:rPr>
          <w:rFonts w:hint="eastAsia"/>
          <w:szCs w:val="21"/>
          <w:u w:val="thick"/>
        </w:rPr>
        <w:t xml:space="preserve">                   </w:t>
      </w:r>
      <w:r>
        <w:rPr>
          <w:rFonts w:hint="eastAsia"/>
          <w:szCs w:val="21"/>
        </w:rPr>
        <w:t xml:space="preserve">  ；  </w:t>
      </w:r>
    </w:p>
    <w:p w14:paraId="68D4898B">
      <w:pPr>
        <w:ind w:left="420" w:leftChars="200" w:firstLine="210" w:firstLineChars="100"/>
        <w:rPr>
          <w:szCs w:val="21"/>
        </w:rPr>
      </w:pPr>
      <w:r>
        <w:rPr>
          <w:rFonts w:hint="eastAsia"/>
          <w:szCs w:val="21"/>
        </w:rPr>
        <w:t>单位地址：</w:t>
      </w:r>
      <w:r>
        <w:rPr>
          <w:rFonts w:hint="eastAsia"/>
          <w:szCs w:val="21"/>
          <w:u w:val="thick"/>
        </w:rPr>
        <w:t xml:space="preserve">                                            </w:t>
      </w:r>
      <w:r>
        <w:rPr>
          <w:rFonts w:hint="eastAsia"/>
          <w:szCs w:val="21"/>
        </w:rPr>
        <w:t>；</w:t>
      </w:r>
    </w:p>
    <w:p w14:paraId="24F153E4">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49C101B0">
      <w:pPr>
        <w:ind w:left="420" w:leftChars="200" w:firstLine="210" w:firstLineChars="100"/>
        <w:rPr>
          <w:szCs w:val="21"/>
        </w:rPr>
      </w:pPr>
      <w:r>
        <w:rPr>
          <w:rFonts w:hint="eastAsia"/>
          <w:szCs w:val="21"/>
        </w:rPr>
        <w:t>电话：</w:t>
      </w:r>
      <w:r>
        <w:rPr>
          <w:rFonts w:hint="eastAsia"/>
          <w:szCs w:val="21"/>
          <w:u w:val="thick"/>
        </w:rPr>
        <w:t xml:space="preserve">           </w:t>
      </w:r>
      <w:r>
        <w:rPr>
          <w:rFonts w:hint="eastAsia"/>
          <w:szCs w:val="21"/>
        </w:rPr>
        <w:t xml:space="preserve">；     </w:t>
      </w:r>
    </w:p>
    <w:p w14:paraId="223C438A">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5B4CABEE">
      <w:pPr>
        <w:rPr>
          <w:rFonts w:hint="eastAsia" w:ascii="黑体" w:hAnsi="宋体" w:eastAsia="黑体"/>
        </w:rPr>
      </w:pPr>
    </w:p>
    <w:p w14:paraId="28ED6EE3">
      <w:pPr>
        <w:rPr>
          <w:rFonts w:hint="eastAsia" w:ascii="黑体" w:hAnsi="宋体" w:eastAsia="黑体"/>
        </w:rPr>
      </w:pPr>
    </w:p>
    <w:bookmarkEnd w:id="48"/>
    <w:p w14:paraId="3A17B03A">
      <w:pPr>
        <w:pStyle w:val="5"/>
        <w:jc w:val="center"/>
        <w:rPr>
          <w:rFonts w:hint="eastAsia" w:ascii="黑体"/>
          <w:sz w:val="24"/>
        </w:rPr>
      </w:pPr>
      <w:r>
        <w:rPr>
          <w:rFonts w:hint="eastAsia" w:ascii="黑体"/>
          <w:sz w:val="24"/>
        </w:rPr>
        <w:t>二、政府采购投标及履约承诺函</w:t>
      </w:r>
    </w:p>
    <w:p w14:paraId="447775B6">
      <w:pPr>
        <w:spacing w:line="250" w:lineRule="exact"/>
        <w:rPr>
          <w:rFonts w:hint="eastAsia" w:ascii="宋体" w:hAnsi="宋体"/>
          <w:color w:val="FF0000"/>
          <w:szCs w:val="21"/>
        </w:rPr>
      </w:pPr>
      <w:bookmarkStart w:id="52" w:name="_Hlk72257530"/>
      <w:r>
        <w:rPr>
          <w:rFonts w:hint="eastAsia" w:ascii="宋体" w:hAnsi="宋体"/>
          <w:color w:val="FF0000"/>
          <w:szCs w:val="21"/>
        </w:rPr>
        <w:t>致：</w:t>
      </w:r>
      <w:r>
        <w:rPr>
          <w:rFonts w:hint="eastAsia" w:ascii="宋体" w:hAnsi="宋体"/>
          <w:color w:val="FF0000"/>
          <w:szCs w:val="21"/>
          <w:u w:val="single"/>
        </w:rPr>
        <w:t>深圳公共资源交易中心</w:t>
      </w:r>
    </w:p>
    <w:p w14:paraId="370DB736">
      <w:pPr>
        <w:spacing w:line="250" w:lineRule="exact"/>
        <w:ind w:firstLine="420" w:firstLineChars="200"/>
        <w:rPr>
          <w:rFonts w:hint="eastAsia" w:ascii="宋体" w:hAnsi="宋体"/>
          <w:szCs w:val="21"/>
        </w:rPr>
      </w:pPr>
      <w:r>
        <w:rPr>
          <w:rFonts w:hint="eastAsia" w:ascii="宋体" w:hAnsi="宋体"/>
          <w:szCs w:val="21"/>
        </w:rPr>
        <w:t>我单位承诺：</w:t>
      </w:r>
    </w:p>
    <w:p w14:paraId="6C2A2056">
      <w:pPr>
        <w:spacing w:line="250" w:lineRule="exact"/>
        <w:ind w:firstLine="420" w:firstLineChars="200"/>
        <w:rPr>
          <w:rFonts w:hint="eastAsia" w:ascii="宋体" w:hAnsi="宋体"/>
          <w:bCs/>
          <w:szCs w:val="21"/>
        </w:rPr>
      </w:pPr>
      <w:r>
        <w:rPr>
          <w:rFonts w:hint="eastAsia" w:ascii="宋体" w:hAnsi="宋体"/>
          <w:bCs/>
          <w:szCs w:val="21"/>
        </w:rPr>
        <w:t>1.我单位参与本项目符合资格条件关于联合体、进口产品的要求</w:t>
      </w:r>
      <w:r>
        <w:rPr>
          <w:rFonts w:hint="eastAsia"/>
        </w:rPr>
        <w:t>。</w:t>
      </w:r>
    </w:p>
    <w:p w14:paraId="3AA27EA7">
      <w:pPr>
        <w:spacing w:line="250" w:lineRule="exact"/>
        <w:ind w:firstLine="420" w:firstLineChars="200"/>
        <w:rPr>
          <w:rFonts w:hint="eastAsia" w:ascii="宋体" w:hAnsi="宋体"/>
          <w:b/>
          <w:szCs w:val="21"/>
        </w:rPr>
      </w:pPr>
      <w:r>
        <w:rPr>
          <w:rFonts w:hint="eastAsia" w:ascii="宋体" w:hAnsi="宋体"/>
          <w:bCs/>
          <w:szCs w:val="21"/>
        </w:rPr>
        <w:t>2.我单位参与本项目所投标（响应）的货物、工程或服务，不存在侵犯知识产权的情况。</w:t>
      </w:r>
    </w:p>
    <w:p w14:paraId="019B4276">
      <w:pPr>
        <w:spacing w:line="250" w:lineRule="exact"/>
        <w:ind w:firstLine="420" w:firstLineChars="200"/>
      </w:pPr>
      <w:r>
        <w:rPr>
          <w:rFonts w:hint="eastAsia" w:ascii="宋体" w:hAnsi="宋体"/>
          <w:szCs w:val="21"/>
        </w:rPr>
        <w:t>3.我单位参与本项目</w:t>
      </w:r>
      <w:r>
        <w:rPr>
          <w:rFonts w:hint="eastAsia"/>
        </w:rPr>
        <w:t>政府采购活动时不存在被有关部门禁止参与政府采购活动且在有效期内的情况。</w:t>
      </w:r>
    </w:p>
    <w:p w14:paraId="481079FB">
      <w:pPr>
        <w:spacing w:line="250" w:lineRule="exact"/>
        <w:ind w:firstLine="420" w:firstLineChars="200"/>
        <w:rPr>
          <w:rFonts w:hint="eastAsia" w:ascii="宋体" w:hAnsi="宋体"/>
          <w:szCs w:val="21"/>
        </w:rPr>
      </w:pPr>
      <w:r>
        <w:rPr>
          <w:rFonts w:hint="eastAsia" w:ascii="宋体" w:hAnsi="宋体"/>
          <w:szCs w:val="21"/>
        </w:rPr>
        <w:t>4.我单位具备《中华人民共和国政府采购法》第二十二条第一款规定的六项条件。</w:t>
      </w:r>
    </w:p>
    <w:p w14:paraId="428163E7">
      <w:pPr>
        <w:spacing w:line="250" w:lineRule="exact"/>
        <w:ind w:firstLine="420" w:firstLineChars="200"/>
      </w:pPr>
      <w:r>
        <w:rPr>
          <w:rFonts w:hint="eastAsia" w:ascii="宋体" w:hAnsi="宋体"/>
          <w:szCs w:val="21"/>
        </w:rPr>
        <w:t>5.我单位</w:t>
      </w:r>
      <w:r>
        <w:rPr>
          <w:rFonts w:hint="eastAsia"/>
        </w:rPr>
        <w:t>未被列入失信被执行人、重大税收违法案件当事人名单、政府采购严重违法失信行为记录名单。</w:t>
      </w:r>
    </w:p>
    <w:p w14:paraId="3A8B1113">
      <w:pPr>
        <w:spacing w:line="250" w:lineRule="exact"/>
        <w:ind w:firstLine="420" w:firstLineChars="200"/>
        <w:rPr>
          <w:color w:val="FF0000"/>
        </w:rPr>
      </w:pPr>
      <w:r>
        <w:rPr>
          <w:rFonts w:hint="eastAsia"/>
          <w:color w:val="FF0000"/>
        </w:rPr>
        <w:t>6.我单位不存在《深圳市财政局政府采购供应商信用信息管理办法》（深财规〔2023〕3号）列明的严重违法失信行为。</w:t>
      </w:r>
    </w:p>
    <w:p w14:paraId="691E9D2C">
      <w:pPr>
        <w:spacing w:line="250" w:lineRule="exact"/>
        <w:ind w:firstLine="420" w:firstLineChars="200"/>
        <w:rPr>
          <w:rFonts w:hint="eastAsia" w:ascii="宋体" w:hAnsi="宋体"/>
          <w:szCs w:val="21"/>
        </w:rPr>
      </w:pPr>
      <w:r>
        <w:rPr>
          <w:rFonts w:hint="eastAsia" w:ascii="宋体" w:hAnsi="宋体"/>
          <w:szCs w:val="21"/>
        </w:rPr>
        <w:t>7.</w:t>
      </w:r>
      <w:bookmarkStart w:id="53" w:name="_Hlk72587269"/>
      <w:bookmarkStart w:id="54" w:name="_Hlk72587299"/>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53"/>
      <w:r>
        <w:rPr>
          <w:rFonts w:hint="eastAsia" w:ascii="宋体" w:hAnsi="宋体"/>
          <w:szCs w:val="21"/>
        </w:rPr>
        <w:t>。</w:t>
      </w:r>
    </w:p>
    <w:bookmarkEnd w:id="54"/>
    <w:p w14:paraId="507232C0">
      <w:pPr>
        <w:spacing w:line="250" w:lineRule="exact"/>
        <w:ind w:firstLine="420" w:firstLineChars="200"/>
        <w:rPr>
          <w:rFonts w:hint="eastAsia" w:ascii="宋体" w:hAnsi="宋体"/>
          <w:szCs w:val="21"/>
        </w:rPr>
      </w:pPr>
      <w:r>
        <w:rPr>
          <w:rFonts w:hint="eastAsia" w:ascii="宋体" w:hAnsi="宋体"/>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107B63F8">
      <w:pPr>
        <w:spacing w:line="250" w:lineRule="exact"/>
        <w:ind w:firstLine="420" w:firstLineChars="200"/>
        <w:rPr>
          <w:rFonts w:hint="eastAsia"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6FBB33AD">
      <w:pPr>
        <w:spacing w:line="250" w:lineRule="exact"/>
        <w:ind w:firstLine="420" w:firstLineChars="200"/>
        <w:rPr>
          <w:rFonts w:hint="eastAsia" w:ascii="宋体" w:hAnsi="宋体"/>
          <w:szCs w:val="21"/>
        </w:rPr>
      </w:pPr>
      <w:r>
        <w:rPr>
          <w:rFonts w:hint="eastAsia" w:ascii="宋体" w:hAnsi="宋体"/>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64E9810">
      <w:pPr>
        <w:spacing w:line="250" w:lineRule="exact"/>
        <w:ind w:firstLine="420" w:firstLineChars="200"/>
        <w:rPr>
          <w:rFonts w:hint="eastAsia" w:ascii="宋体" w:hAnsi="宋体"/>
          <w:szCs w:val="21"/>
        </w:rPr>
      </w:pPr>
      <w:r>
        <w:rPr>
          <w:rFonts w:hint="eastAsia" w:ascii="宋体" w:hAnsi="宋体"/>
          <w:szCs w:val="21"/>
        </w:rPr>
        <w:t>10.我单位承诺中标后项目不转包，未经采购人同意不进行分包。</w:t>
      </w:r>
    </w:p>
    <w:p w14:paraId="71171019">
      <w:pPr>
        <w:spacing w:line="250" w:lineRule="exact"/>
        <w:ind w:firstLine="420" w:firstLineChars="200"/>
        <w:rPr>
          <w:rFonts w:hint="eastAsia" w:ascii="宋体" w:hAnsi="宋体"/>
        </w:rPr>
      </w:pPr>
      <w:r>
        <w:rPr>
          <w:rFonts w:hint="eastAsia" w:ascii="宋体" w:hAnsi="宋体"/>
          <w:szCs w:val="21"/>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31354363">
      <w:pPr>
        <w:spacing w:line="250" w:lineRule="exact"/>
        <w:ind w:firstLine="420" w:firstLineChars="200"/>
        <w:rPr>
          <w:rFonts w:hint="eastAsia" w:ascii="宋体" w:hAnsi="宋体"/>
        </w:rPr>
      </w:pPr>
      <w:r>
        <w:rPr>
          <w:rFonts w:hint="eastAsia" w:ascii="宋体" w:hAnsi="宋体"/>
        </w:rPr>
        <w:t>12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14:paraId="71881E13">
      <w:pPr>
        <w:spacing w:line="250" w:lineRule="exact"/>
        <w:ind w:firstLine="420" w:firstLineChars="200"/>
        <w:rPr>
          <w:rFonts w:hint="eastAsia" w:ascii="宋体" w:hAnsi="宋体"/>
          <w:bCs/>
        </w:rPr>
      </w:pPr>
      <w:r>
        <w:rPr>
          <w:rFonts w:hint="eastAsia" w:ascii="宋体" w:hAnsi="宋体" w:cs="宋体"/>
          <w:bCs/>
          <w:kern w:val="0"/>
          <w:szCs w:val="21"/>
        </w:rPr>
        <w:t>13.</w:t>
      </w:r>
      <w:r>
        <w:rPr>
          <w:rFonts w:hint="eastAsia" w:ascii="宋体" w:hAnsi="宋体"/>
          <w:bCs/>
        </w:rPr>
        <w:t>我单位已知悉并同意中标（成交）结果信息公示（公开）的内容。</w:t>
      </w:r>
    </w:p>
    <w:p w14:paraId="763782A5">
      <w:pPr>
        <w:spacing w:line="250" w:lineRule="exact"/>
        <w:ind w:firstLine="420" w:firstLineChars="200"/>
        <w:rPr>
          <w:rFonts w:hint="eastAsia" w:ascii="宋体" w:hAnsi="宋体" w:cs="宋体"/>
          <w:b/>
          <w:color w:val="FF0000"/>
          <w:kern w:val="0"/>
          <w:szCs w:val="21"/>
        </w:rPr>
      </w:pPr>
      <w:r>
        <w:rPr>
          <w:rFonts w:hint="eastAsia" w:ascii="宋体" w:hAnsi="宋体"/>
          <w:bCs/>
        </w:rPr>
        <w:t>14</w:t>
      </w:r>
      <w:r>
        <w:rPr>
          <w:rFonts w:ascii="宋体" w:hAnsi="宋体"/>
          <w:bCs/>
        </w:rPr>
        <w:t>.我单位保证，符合《中华人民共和国政府采购法实施条例》第十八条规定，与其他投标供应商不存在单位负责人为同一人或者存在直接控股、管理关系；</w:t>
      </w:r>
      <w:r>
        <w:rPr>
          <w:rFonts w:hint="eastAsia" w:ascii="宋体" w:hAnsi="宋体"/>
          <w:bCs/>
        </w:rPr>
        <w:t>不存在为</w:t>
      </w:r>
      <w:r>
        <w:rPr>
          <w:rFonts w:ascii="宋体" w:hAnsi="宋体"/>
          <w:bCs/>
        </w:rPr>
        <w:t>本次采购项目提供整体设计、规范编制或者项目管理、监理、检测等服务的情形。</w:t>
      </w:r>
      <w:r>
        <w:rPr>
          <w:rFonts w:hint="eastAsia" w:ascii="宋体" w:hAnsi="宋体"/>
          <w:bCs/>
        </w:rPr>
        <w:t>若存在“不同供应商的董事、股东或其他高级管理人员为同一人的”情形的，我单位保证不存在串通投标、恶意串通或者视为串通投标的情形。</w:t>
      </w:r>
    </w:p>
    <w:p w14:paraId="264F1AA2">
      <w:pPr>
        <w:spacing w:line="250" w:lineRule="exact"/>
        <w:ind w:firstLine="422" w:firstLineChars="200"/>
        <w:rPr>
          <w:rFonts w:hint="eastAsia" w:ascii="宋体" w:hAnsi="宋体"/>
          <w:b/>
          <w:szCs w:val="21"/>
        </w:rPr>
      </w:pPr>
      <w:r>
        <w:rPr>
          <w:rFonts w:hint="eastAsia" w:ascii="宋体" w:hAnsi="宋体"/>
          <w:b/>
        </w:rPr>
        <w:t>15.我单位清楚，如存在违反投标承诺行为情节严重的，将根据《深圳市财政局关于印发&lt;深圳市财政局政府采购供应商信用信息管理办法&gt;的通知》，依法被列入失信信息。</w:t>
      </w:r>
    </w:p>
    <w:p w14:paraId="16CB9416">
      <w:pPr>
        <w:spacing w:line="250" w:lineRule="exact"/>
        <w:ind w:firstLine="420" w:firstLineChars="200"/>
      </w:pPr>
      <w:r>
        <w:rPr>
          <w:rFonts w:ascii="宋体" w:hAnsi="宋体"/>
          <w:bCs/>
        </w:rPr>
        <w:t>1</w:t>
      </w:r>
      <w:r>
        <w:rPr>
          <w:rFonts w:hint="eastAsia" w:ascii="宋体" w:hAnsi="宋体"/>
          <w:bCs/>
        </w:rPr>
        <w:t>6.</w:t>
      </w:r>
      <w:r>
        <w:rPr>
          <w:rFonts w:ascii="宋体" w:hAnsi="宋体"/>
          <w:bCs/>
        </w:rPr>
        <w:t>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5BE109A5">
      <w:pPr>
        <w:spacing w:line="250" w:lineRule="exact"/>
        <w:ind w:firstLine="420" w:firstLineChars="200"/>
        <w:rPr>
          <w:rFonts w:hint="eastAsia" w:ascii="宋体" w:hAnsi="宋体"/>
          <w:szCs w:val="21"/>
        </w:rPr>
      </w:pPr>
      <w:r>
        <w:rPr>
          <w:rFonts w:hint="eastAsia" w:ascii="宋体" w:hAnsi="宋体"/>
          <w:szCs w:val="21"/>
        </w:rPr>
        <w:t>以上承诺，如有违反，愿依照国家相关法律法规处理，并承担由此给采购人带来的损失。</w:t>
      </w:r>
    </w:p>
    <w:p w14:paraId="49CEC820">
      <w:pPr>
        <w:spacing w:before="60" w:beforeLines="25" w:after="60" w:afterLines="25"/>
        <w:ind w:firstLine="5460" w:firstLineChars="2600"/>
        <w:rPr>
          <w:rFonts w:hint="eastAsia" w:ascii="宋体" w:hAnsi="宋体"/>
          <w:szCs w:val="21"/>
        </w:rPr>
      </w:pPr>
      <w:r>
        <w:rPr>
          <w:rFonts w:hint="eastAsia" w:ascii="宋体" w:hAnsi="宋体"/>
          <w:szCs w:val="21"/>
        </w:rPr>
        <w:t xml:space="preserve">                                    </w:t>
      </w:r>
    </w:p>
    <w:bookmarkEnd w:id="52"/>
    <w:p w14:paraId="6836D5BB">
      <w:pPr>
        <w:spacing w:before="60" w:beforeLines="25" w:after="60" w:afterLines="25"/>
        <w:jc w:val="right"/>
        <w:rPr>
          <w:color w:val="FF0000"/>
        </w:rPr>
      </w:pPr>
      <w:r>
        <w:rPr>
          <w:rFonts w:hint="eastAsia"/>
          <w:color w:val="FF0000"/>
          <w:szCs w:val="21"/>
        </w:rPr>
        <w:t>投标人：</w:t>
      </w:r>
      <w:r>
        <w:rPr>
          <w:rFonts w:hint="eastAsia"/>
          <w:color w:val="FF0000"/>
          <w:szCs w:val="21"/>
          <w:u w:val="thick"/>
        </w:rPr>
        <w:t xml:space="preserve">                           </w:t>
      </w:r>
      <w:r>
        <w:rPr>
          <w:rFonts w:hint="eastAsia"/>
          <w:color w:val="FF0000"/>
          <w:szCs w:val="21"/>
        </w:rPr>
        <w:t>.</w:t>
      </w:r>
    </w:p>
    <w:p w14:paraId="5DA184FA">
      <w:pPr>
        <w:ind w:firstLine="645"/>
        <w:jc w:val="left"/>
        <w:rPr>
          <w:rFonts w:hint="eastAsia" w:ascii="宋体" w:hAnsi="宋体"/>
          <w:color w:val="FF0000"/>
          <w:szCs w:val="21"/>
        </w:rPr>
      </w:pPr>
      <w:r>
        <w:rPr>
          <w:rFonts w:hint="eastAsia" w:ascii="宋体" w:hAnsi="宋体"/>
          <w:color w:val="FF0000"/>
          <w:szCs w:val="21"/>
        </w:rPr>
        <w:t xml:space="preserve">                                       日期：</w:t>
      </w:r>
      <w:r>
        <w:rPr>
          <w:rFonts w:hint="eastAsia"/>
          <w:color w:val="FF0000"/>
          <w:szCs w:val="21"/>
          <w:u w:val="thick"/>
        </w:rPr>
        <w:t xml:space="preserve">        </w:t>
      </w:r>
      <w:r>
        <w:rPr>
          <w:rFonts w:hint="eastAsia" w:ascii="宋体" w:hAnsi="宋体"/>
          <w:color w:val="FF0000"/>
          <w:szCs w:val="21"/>
        </w:rPr>
        <w:t>年</w:t>
      </w:r>
      <w:r>
        <w:rPr>
          <w:rFonts w:hint="eastAsia"/>
          <w:color w:val="FF0000"/>
          <w:szCs w:val="21"/>
          <w:u w:val="thick"/>
        </w:rPr>
        <w:t xml:space="preserve">       </w:t>
      </w:r>
      <w:r>
        <w:rPr>
          <w:rFonts w:hint="eastAsia" w:ascii="宋体" w:hAnsi="宋体"/>
          <w:color w:val="FF0000"/>
          <w:szCs w:val="21"/>
        </w:rPr>
        <w:t>月</w:t>
      </w:r>
      <w:r>
        <w:rPr>
          <w:rFonts w:hint="eastAsia"/>
          <w:color w:val="FF0000"/>
          <w:szCs w:val="21"/>
          <w:u w:val="thick"/>
        </w:rPr>
        <w:t xml:space="preserve">       </w:t>
      </w:r>
      <w:r>
        <w:rPr>
          <w:rFonts w:hint="eastAsia" w:ascii="宋体" w:hAnsi="宋体"/>
          <w:color w:val="FF0000"/>
          <w:szCs w:val="21"/>
        </w:rPr>
        <w:t>日</w:t>
      </w:r>
    </w:p>
    <w:p w14:paraId="104AD8C9">
      <w:pPr>
        <w:ind w:firstLine="482" w:firstLineChars="200"/>
        <w:jc w:val="center"/>
        <w:rPr>
          <w:rFonts w:hint="eastAsia" w:hAnsi="宋体"/>
          <w:b/>
          <w:bCs/>
          <w:sz w:val="24"/>
        </w:rPr>
      </w:pPr>
    </w:p>
    <w:p w14:paraId="6281573A">
      <w:pPr>
        <w:pStyle w:val="5"/>
        <w:jc w:val="center"/>
        <w:rPr>
          <w:rFonts w:hint="eastAsia" w:ascii="黑体"/>
          <w:sz w:val="24"/>
          <w:szCs w:val="24"/>
        </w:rPr>
      </w:pPr>
      <w:r>
        <w:rPr>
          <w:rFonts w:hint="eastAsia" w:ascii="黑体"/>
          <w:sz w:val="24"/>
          <w:szCs w:val="24"/>
        </w:rPr>
        <w:t>三、投标人情况及资格证明文件</w:t>
      </w:r>
    </w:p>
    <w:p w14:paraId="12405828">
      <w:pPr>
        <w:ind w:firstLine="2640" w:firstLineChars="1100"/>
        <w:outlineLvl w:val="3"/>
        <w:rPr>
          <w:rFonts w:hint="eastAsia" w:ascii="黑体" w:hAnsi="宋体" w:eastAsia="黑体"/>
          <w:bCs/>
          <w:kern w:val="0"/>
          <w:sz w:val="24"/>
          <w:szCs w:val="32"/>
        </w:rPr>
      </w:pPr>
      <w:bookmarkStart w:id="55" w:name="_Hlk72257590"/>
      <w:bookmarkStart w:id="56" w:name="_Hlk72257908"/>
      <w:r>
        <w:rPr>
          <w:rFonts w:hint="eastAsia" w:ascii="黑体" w:hAnsi="宋体" w:eastAsia="黑体"/>
          <w:bCs/>
          <w:kern w:val="0"/>
          <w:sz w:val="24"/>
          <w:szCs w:val="32"/>
        </w:rPr>
        <w:t>（一）投标人资格证明文件</w:t>
      </w:r>
    </w:p>
    <w:p w14:paraId="1F88C017">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0AD45DB8">
      <w:pPr>
        <w:rPr>
          <w:b/>
          <w:bCs/>
          <w:sz w:val="24"/>
        </w:rPr>
      </w:pPr>
    </w:p>
    <w:p w14:paraId="74CA0147">
      <w:pPr>
        <w:ind w:firstLine="480" w:firstLineChars="200"/>
        <w:outlineLvl w:val="3"/>
        <w:rPr>
          <w:rFonts w:hint="eastAsia"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bookmarkEnd w:id="55"/>
    <w:p w14:paraId="4402A5EE">
      <w:pPr>
        <w:jc w:val="left"/>
        <w:outlineLvl w:val="3"/>
        <w:rPr>
          <w:rFonts w:hint="eastAsia" w:ascii="黑体" w:hAnsi="宋体" w:eastAsia="黑体"/>
          <w:bCs/>
          <w:kern w:val="0"/>
          <w:sz w:val="24"/>
          <w:szCs w:val="32"/>
        </w:rPr>
      </w:pPr>
    </w:p>
    <w:p w14:paraId="30A10BF6">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填写指引：</w:t>
      </w:r>
    </w:p>
    <w:p w14:paraId="19511841">
      <w:pPr>
        <w:ind w:firstLine="420" w:firstLineChars="200"/>
        <w:outlineLvl w:val="3"/>
        <w:rPr>
          <w:rFonts w:ascii="黑体" w:hAnsi="黑体" w:eastAsia="黑体"/>
          <w:color w:val="FF000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48D84E0E">
      <w:pPr>
        <w:ind w:firstLine="420" w:firstLineChars="200"/>
        <w:outlineLvl w:val="3"/>
        <w:rPr>
          <w:rFonts w:ascii="黑体" w:hAnsi="黑体" w:eastAsia="黑体"/>
          <w:color w:val="FF0000"/>
          <w:szCs w:val="21"/>
        </w:rPr>
      </w:pPr>
      <w:r>
        <w:rPr>
          <w:rFonts w:hint="eastAsia" w:ascii="黑体" w:hAnsi="黑体" w:eastAsia="黑体"/>
          <w:color w:val="FF0000"/>
          <w:szCs w:val="21"/>
        </w:rPr>
        <w:t>2</w:t>
      </w:r>
      <w:r>
        <w:rPr>
          <w:rFonts w:hint="eastAsia" w:ascii="黑体" w:hAnsi="黑体" w:eastAsia="黑体"/>
          <w:color w:val="FF0000"/>
          <w:szCs w:val="21"/>
          <w:lang w:val="en-US" w:eastAsia="zh-CN"/>
        </w:rPr>
        <w:t>.</w:t>
      </w:r>
      <w:r>
        <w:rPr>
          <w:rFonts w:hint="eastAsia" w:ascii="黑体" w:hAnsi="黑体" w:eastAsia="黑体"/>
          <w:color w:val="FF0000"/>
          <w:szCs w:val="21"/>
        </w:rPr>
        <w:t>该部分内容填写需要参考的相关文件：</w:t>
      </w:r>
    </w:p>
    <w:p w14:paraId="70E77164">
      <w:pPr>
        <w:ind w:firstLine="420" w:firstLineChars="200"/>
        <w:outlineLvl w:val="3"/>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28010502">
      <w:pPr>
        <w:ind w:firstLine="420" w:firstLineChars="200"/>
        <w:outlineLvl w:val="3"/>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p>
    <w:p w14:paraId="0300162A">
      <w:pPr>
        <w:ind w:firstLine="420" w:firstLineChars="200"/>
        <w:outlineLvl w:val="3"/>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6F2658C1">
      <w:pPr>
        <w:ind w:firstLine="420" w:firstLineChars="200"/>
        <w:outlineLvl w:val="3"/>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0388F89A">
      <w:pPr>
        <w:ind w:firstLine="420" w:firstLineChars="200"/>
        <w:outlineLvl w:val="3"/>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7AF0FF1A">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20EAB796">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3DF52368">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1B41DE38">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1E9AB456">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5115184A">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货物名称”一栏为准）；如果涉及多项货物（标的）为同一企业制造，“标的名称”下划线处可以如实填写多项货物；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1E570E6D">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第四处，在“采购文件中明确的所属行业”下划线处填写采购标的对应的中小企业划分标准所属行业（所属行业以招标文件第一册第三章用户需求书“货物</w:t>
      </w:r>
      <w:r>
        <w:rPr>
          <w:rFonts w:hint="eastAsia" w:ascii="黑体" w:hAnsi="宋体" w:eastAsia="黑体"/>
          <w:bCs/>
          <w:color w:val="FF0000"/>
          <w:kern w:val="0"/>
          <w:szCs w:val="21"/>
          <w:lang w:val="en-US" w:eastAsia="zh-CN"/>
        </w:rPr>
        <w:t>需求</w:t>
      </w:r>
      <w:r>
        <w:rPr>
          <w:rFonts w:hint="eastAsia" w:ascii="黑体" w:hAnsi="宋体" w:eastAsia="黑体"/>
          <w:bCs/>
          <w:color w:val="FF0000"/>
          <w:kern w:val="0"/>
          <w:szCs w:val="21"/>
        </w:rPr>
        <w:t>明细”的“标的所属行业”一栏为准），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分包部分采购标的涉及的货物制造商本身的所属行业保持一致；</w:t>
      </w:r>
    </w:p>
    <w:p w14:paraId="208E3959">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color w:val="FF0000"/>
          <w:kern w:val="0"/>
          <w:szCs w:val="21"/>
        </w:rPr>
        <w:t>货物制造商名称。</w:t>
      </w:r>
      <w:r>
        <w:rPr>
          <w:rFonts w:hint="eastAsia" w:ascii="黑体" w:hAnsi="宋体" w:eastAsia="黑体"/>
          <w:bCs/>
          <w:color w:val="FF0000"/>
          <w:kern w:val="0"/>
          <w:szCs w:val="21"/>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60AC64B7">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39DBC971">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货物制造商是否属于采购文件所属行业的中型企业/小型企业/微型企业。</w:t>
      </w:r>
    </w:p>
    <w:p w14:paraId="04F39F4D">
      <w:pPr>
        <w:pStyle w:val="38"/>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26847AE9">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（3）事业单位、社会组织等非企业主体不享受中小企业扶持政策，但事业单位、社会组织等非企业主体提供全部由中小企业制造的货物参加货物采购项目的除外。</w:t>
      </w:r>
    </w:p>
    <w:p w14:paraId="07081665">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3E55AA1B">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0F06A26E">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5B597309">
      <w:pPr>
        <w:pStyle w:val="38"/>
        <w:ind w:firstLine="420" w:firstLineChars="200"/>
        <w:rPr>
          <w:rFonts w:eastAsia="黑体"/>
        </w:rPr>
      </w:pPr>
      <w:r>
        <w:rPr>
          <w:rFonts w:hint="eastAsia" w:ascii="黑体" w:hAnsi="宋体" w:eastAsia="黑体"/>
          <w:bCs/>
          <w:color w:val="FF0000"/>
          <w:kern w:val="0"/>
          <w:szCs w:val="21"/>
        </w:rPr>
        <w:t>6</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49266C90">
      <w:pPr>
        <w:pStyle w:val="38"/>
        <w:ind w:firstLine="420" w:firstLineChars="200"/>
        <w:rPr>
          <w:rFonts w:hint="default"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7.根据</w:t>
      </w:r>
      <w:r>
        <w:rPr>
          <w:rFonts w:hint="eastAsia" w:ascii="黑体" w:hAnsi="黑体" w:eastAsia="黑体"/>
          <w:color w:val="FF0000"/>
          <w:szCs w:val="21"/>
        </w:rPr>
        <w:t>《政府采购促进中小企业发展管理办法》（财库〔2020〕46号）</w:t>
      </w:r>
      <w:r>
        <w:rPr>
          <w:rFonts w:hint="eastAsia" w:ascii="黑体" w:hAnsi="黑体" w:eastAsia="黑体"/>
          <w:color w:val="FF0000"/>
          <w:szCs w:val="21"/>
          <w:lang w:val="en-US" w:eastAsia="zh-CN"/>
        </w:rPr>
        <w:t>第四条规定，在货物采购项目中，由中小企业生产且使用该中小企业商号或者注册商标的中小企业制造商方可享受扶持政策。如货物属于委托代工生产情形的（即货物使用的商号或者注册商标的所属企业与实际生产企业不一致的），不享受中小企业扶持政策，不宜出具中小企业声明。</w:t>
      </w:r>
    </w:p>
    <w:p w14:paraId="03ED378A">
      <w:pPr>
        <w:ind w:firstLine="420" w:firstLineChars="200"/>
      </w:pPr>
    </w:p>
    <w:p w14:paraId="6771BDA9">
      <w:pPr>
        <w:ind w:firstLine="420" w:firstLineChars="200"/>
      </w:pPr>
    </w:p>
    <w:p w14:paraId="69757B61">
      <w:pPr>
        <w:numPr>
          <w:ilvl w:val="0"/>
          <w:numId w:val="0"/>
        </w:numPr>
        <w:jc w:val="center"/>
        <w:outlineLvl w:val="3"/>
        <w:rPr>
          <w:b/>
          <w:sz w:val="24"/>
        </w:rPr>
      </w:pPr>
      <w:r>
        <w:rPr>
          <w:rFonts w:ascii="Times New Roman" w:hAnsi="Times New Roman" w:eastAsia="宋体" w:cs="Times New Roman"/>
          <w:b/>
          <w:kern w:val="2"/>
          <w:sz w:val="24"/>
          <w:szCs w:val="24"/>
          <w:lang w:val="en-US" w:eastAsia="zh-CN" w:bidi="ar-SA"/>
        </w:rPr>
        <w:t>1</w:t>
      </w:r>
      <w:r>
        <w:rPr>
          <w:rFonts w:hint="eastAsia" w:cs="Times New Roman"/>
          <w:b/>
          <w:kern w:val="2"/>
          <w:sz w:val="24"/>
          <w:szCs w:val="24"/>
          <w:lang w:val="en-US" w:eastAsia="zh-CN" w:bidi="ar-SA"/>
        </w:rPr>
        <w:t>.</w:t>
      </w:r>
      <w:r>
        <w:rPr>
          <w:b/>
          <w:sz w:val="24"/>
        </w:rPr>
        <w:t>中小企业声明函（货物）</w:t>
      </w:r>
    </w:p>
    <w:p w14:paraId="765415F6">
      <w:pPr>
        <w:pStyle w:val="2"/>
      </w:pPr>
    </w:p>
    <w:p w14:paraId="1D322A4A">
      <w:pPr>
        <w:pStyle w:val="3"/>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rPr>
        <w:t xml:space="preserve">    （单位名称）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rPr>
        <w:t xml:space="preserve">    （项目名称）    </w:t>
      </w:r>
      <w:r>
        <w:rPr>
          <w:rFonts w:hint="eastAsia" w:asciiTheme="minorEastAsia" w:hAnsiTheme="minorEastAsia" w:eastAsiaTheme="minorEastAsia" w:cstheme="minorEastAsia"/>
          <w:sz w:val="21"/>
          <w:szCs w:val="21"/>
        </w:rPr>
        <w:t>采购活动，提供的货物全部由符合政策要求的中小企业制造。相关企业（含联合体中的中小企业、签订分包意向协议的中小企业）的具体情况如下：</w:t>
      </w:r>
    </w:p>
    <w:p w14:paraId="17C02FE4">
      <w:pPr>
        <w:pStyle w:val="3"/>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bCs/>
          <w:i/>
          <w:iCs/>
          <w:sz w:val="21"/>
          <w:szCs w:val="21"/>
          <w:u w:val="single"/>
        </w:rPr>
        <w:t xml:space="preserve">    （标的名称）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rPr>
        <w:t xml:space="preserve">    （采购文件中明确的所属行业）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rPr>
        <w:t xml:space="preserve">    （企业名称，要求制造商本身所属行业应当与招标文件要求的行业相一致）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rPr>
        <w:t xml:space="preserve">    （中型企业、小型企业、微型企业）    </w:t>
      </w:r>
      <w:r>
        <w:rPr>
          <w:rFonts w:hint="eastAsia" w:asciiTheme="minorEastAsia" w:hAnsiTheme="minorEastAsia" w:eastAsiaTheme="minorEastAsia" w:cstheme="minorEastAsia"/>
          <w:sz w:val="21"/>
          <w:szCs w:val="21"/>
        </w:rPr>
        <w:t>；</w:t>
      </w:r>
    </w:p>
    <w:p w14:paraId="5B533B0F">
      <w:pPr>
        <w:pStyle w:val="3"/>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b/>
          <w:bCs/>
          <w:i/>
          <w:iCs/>
          <w:sz w:val="21"/>
          <w:szCs w:val="21"/>
          <w:u w:val="single"/>
        </w:rPr>
        <w:t xml:space="preserve">    （标的名称）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rPr>
        <w:t xml:space="preserve">    （采购文件中明确的所属行业）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rPr>
        <w:t xml:space="preserve">    （企业名称，要求制造商本身所属行业应当与招标文件要求的行业相一致）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rPr>
        <w:t xml:space="preserve">    （中型企业、小型企业、微型企业）    </w:t>
      </w:r>
      <w:r>
        <w:rPr>
          <w:rFonts w:hint="eastAsia" w:asciiTheme="minorEastAsia" w:hAnsiTheme="minorEastAsia" w:eastAsiaTheme="minorEastAsia" w:cstheme="minorEastAsia"/>
          <w:sz w:val="21"/>
          <w:szCs w:val="21"/>
        </w:rPr>
        <w:t>；</w:t>
      </w:r>
    </w:p>
    <w:p w14:paraId="71F78D62">
      <w:pPr>
        <w:pStyle w:val="3"/>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14:paraId="0CF6654A">
      <w:pPr>
        <w:pStyle w:val="3"/>
        <w:ind w:firstLine="420" w:firstLineChars="200"/>
        <w:rPr>
          <w:rFonts w:hint="eastAsia" w:asciiTheme="minorEastAsia" w:hAnsiTheme="minorEastAsia" w:eastAsiaTheme="minorEastAsia" w:cstheme="minorEastAsia"/>
          <w:sz w:val="21"/>
          <w:szCs w:val="21"/>
        </w:rPr>
      </w:pPr>
    </w:p>
    <w:p w14:paraId="5FED2115">
      <w:pPr>
        <w:spacing w:line="360" w:lineRule="auto"/>
        <w:ind w:firstLine="420" w:firstLineChars="200"/>
        <w:outlineLvl w:val="3"/>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40FC394C">
      <w:pPr>
        <w:spacing w:line="360" w:lineRule="auto"/>
        <w:ind w:firstLine="420" w:firstLineChars="200"/>
        <w:rPr>
          <w:rFonts w:hint="eastAsia" w:asciiTheme="minorEastAsia" w:hAnsiTheme="minorEastAsia" w:eastAsiaTheme="minorEastAsia" w:cstheme="minorEastAsia"/>
          <w:szCs w:val="21"/>
        </w:rPr>
      </w:pPr>
      <w:bookmarkStart w:id="57" w:name="_Hlk73562203"/>
      <w:r>
        <w:rPr>
          <w:rFonts w:hint="eastAsia" w:asciiTheme="minorEastAsia" w:hAnsiTheme="minorEastAsia" w:eastAsiaTheme="minorEastAsia" w:cstheme="minorEastAsia"/>
          <w:szCs w:val="21"/>
        </w:rPr>
        <w:t>本投标人对上述声明内容的真实性负责。如有虚假，将依法承担相应责任。</w:t>
      </w:r>
    </w:p>
    <w:p w14:paraId="25EFEBCC">
      <w:pPr>
        <w:spacing w:line="360" w:lineRule="auto"/>
        <w:ind w:firstLine="420" w:firstLineChars="200"/>
        <w:rPr>
          <w:sz w:val="24"/>
        </w:rPr>
      </w:pPr>
      <w:r>
        <w:rPr>
          <w:rFonts w:hint="eastAsia" w:asciiTheme="minorEastAsia" w:hAnsiTheme="minorEastAsia" w:eastAsiaTheme="minorEastAsia" w:cstheme="minorEastAsia"/>
          <w:szCs w:val="21"/>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57"/>
    </w:p>
    <w:p w14:paraId="4510884B">
      <w:pPr>
        <w:ind w:firstLine="420" w:firstLineChars="200"/>
        <w:outlineLvl w:val="3"/>
        <w:rPr>
          <w:rFonts w:hint="eastAsia" w:ascii="宋体" w:hAnsi="宋体"/>
          <w:bCs/>
          <w:color w:val="FF0000"/>
          <w:kern w:val="0"/>
          <w:szCs w:val="21"/>
        </w:rPr>
      </w:pPr>
    </w:p>
    <w:p w14:paraId="2AD0FE1F"/>
    <w:p w14:paraId="16F189D2">
      <w:pPr>
        <w:ind w:firstLine="420" w:firstLineChars="200"/>
      </w:pPr>
    </w:p>
    <w:p w14:paraId="012055CA">
      <w:pPr>
        <w:jc w:val="center"/>
        <w:outlineLvl w:val="3"/>
        <w:rPr>
          <w:b/>
          <w:sz w:val="24"/>
        </w:rPr>
      </w:pPr>
      <w:r>
        <w:rPr>
          <w:rFonts w:hint="eastAsia"/>
          <w:b/>
          <w:sz w:val="24"/>
        </w:rPr>
        <w:t>2</w:t>
      </w:r>
      <w:r>
        <w:rPr>
          <w:rFonts w:hint="eastAsia"/>
          <w:b/>
          <w:sz w:val="24"/>
          <w:lang w:val="en-US" w:eastAsia="zh-CN"/>
        </w:rPr>
        <w:t>.</w:t>
      </w:r>
      <w:r>
        <w:rPr>
          <w:rFonts w:hint="eastAsia"/>
          <w:b/>
          <w:sz w:val="24"/>
        </w:rPr>
        <w:t>残疾人福利性单位声明函（货物类）</w:t>
      </w:r>
    </w:p>
    <w:p w14:paraId="6B0DF533">
      <w:pPr>
        <w:rPr>
          <w:b/>
          <w:bCs/>
        </w:rPr>
      </w:pPr>
    </w:p>
    <w:p w14:paraId="3A13B9A8">
      <w:pPr>
        <w:spacing w:line="360" w:lineRule="auto"/>
        <w:ind w:firstLine="420" w:firstLineChars="200"/>
        <w:rPr>
          <w:rFonts w:hint="eastAsia" w:asciiTheme="minorEastAsia" w:hAnsiTheme="minorEastAsia" w:eastAsiaTheme="minorEastAsia" w:cstheme="minorEastAsia"/>
          <w:szCs w:val="21"/>
        </w:rPr>
      </w:pPr>
      <w:bookmarkStart w:id="58" w:name="_Hlk73562331"/>
      <w:bookmarkStart w:id="59" w:name="_Hlk73562245"/>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项目采购活动提供本单位制造的货物（由本单位承担工程/提供服务），或者提供其他残疾人福利性单位制造的货物（不包括使用非残疾人福利性单位注册商标的货物）。</w:t>
      </w:r>
    </w:p>
    <w:p w14:paraId="24B6FBF9">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42EAF91D">
      <w:pPr>
        <w:spacing w:line="360" w:lineRule="auto"/>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bookmarkEnd w:id="58"/>
    </w:p>
    <w:bookmarkEnd w:id="59"/>
    <w:p w14:paraId="4AF78FC5">
      <w:pPr>
        <w:ind w:firstLine="420" w:firstLineChars="200"/>
        <w:rPr>
          <w:rFonts w:hint="eastAsia" w:ascii="宋体" w:hAnsi="宋体"/>
          <w:szCs w:val="21"/>
        </w:rPr>
      </w:pPr>
    </w:p>
    <w:p w14:paraId="34D6425C">
      <w:pPr>
        <w:ind w:firstLine="420" w:firstLineChars="200"/>
        <w:rPr>
          <w:rFonts w:hint="eastAsia" w:ascii="宋体" w:hAnsi="宋体"/>
          <w:szCs w:val="21"/>
        </w:rPr>
      </w:pPr>
    </w:p>
    <w:p w14:paraId="434F8969">
      <w:pPr>
        <w:jc w:val="center"/>
        <w:outlineLvl w:val="3"/>
        <w:rPr>
          <w:b/>
          <w:sz w:val="24"/>
        </w:rPr>
      </w:pPr>
      <w:r>
        <w:rPr>
          <w:rFonts w:hint="eastAsia"/>
          <w:b/>
          <w:sz w:val="24"/>
        </w:rPr>
        <w:t>3</w:t>
      </w:r>
      <w:r>
        <w:rPr>
          <w:rFonts w:hint="eastAsia"/>
          <w:b/>
          <w:sz w:val="24"/>
          <w:lang w:val="en-US" w:eastAsia="zh-CN"/>
        </w:rPr>
        <w:t>.</w:t>
      </w:r>
      <w:r>
        <w:rPr>
          <w:rFonts w:hint="eastAsia"/>
          <w:b/>
          <w:sz w:val="24"/>
        </w:rPr>
        <w:t>监狱企业声明函【货物类，提供监狱企业货物的供应商如需享受优惠政策，还须另行提供省级以上监狱管理局、戒毒管理局（含新疆生产建设兵团）出具的监狱企业证明文件】</w:t>
      </w:r>
    </w:p>
    <w:p w14:paraId="16A38926">
      <w:pPr>
        <w:spacing w:line="360" w:lineRule="auto"/>
        <w:ind w:firstLine="420" w:firstLineChars="200"/>
        <w:rPr>
          <w:rFonts w:hint="eastAsia"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i/>
          <w:iCs/>
          <w:szCs w:val="21"/>
          <w:u w:val="single"/>
        </w:rPr>
        <w:t>（</w:t>
      </w:r>
      <w:r>
        <w:rPr>
          <w:rFonts w:hint="eastAsia" w:ascii="宋体" w:hAnsi="宋体"/>
          <w:b/>
          <w:bCs/>
          <w:i/>
          <w:iCs/>
          <w:szCs w:val="21"/>
          <w:u w:val="single"/>
        </w:rPr>
        <w:t>采购人</w:t>
      </w:r>
      <w:r>
        <w:rPr>
          <w:rFonts w:ascii="宋体" w:hAnsi="宋体"/>
          <w:b/>
          <w:bCs/>
          <w:i/>
          <w:iCs/>
          <w:szCs w:val="21"/>
          <w:u w:val="single"/>
        </w:rPr>
        <w:t>名称）</w:t>
      </w:r>
      <w:r>
        <w:rPr>
          <w:rFonts w:ascii="宋体" w:hAnsi="宋体"/>
          <w:szCs w:val="21"/>
        </w:rPr>
        <w:t>的</w:t>
      </w:r>
      <w:r>
        <w:rPr>
          <w:rFonts w:ascii="宋体" w:hAnsi="宋体"/>
          <w:b/>
          <w:bCs/>
          <w:i/>
          <w:iCs/>
          <w:szCs w:val="21"/>
          <w:u w:val="single"/>
        </w:rPr>
        <w:t>（项目名称）</w:t>
      </w:r>
      <w:r>
        <w:rPr>
          <w:rFonts w:ascii="宋体" w:hAnsi="宋体"/>
          <w:szCs w:val="21"/>
        </w:rPr>
        <w:t>采购活动，提供的货物全部由符合政策要求的</w:t>
      </w:r>
      <w:r>
        <w:rPr>
          <w:rFonts w:hint="eastAsia" w:ascii="宋体" w:hAnsi="宋体"/>
          <w:szCs w:val="21"/>
        </w:rPr>
        <w:t>监狱企业</w:t>
      </w:r>
      <w:r>
        <w:rPr>
          <w:rFonts w:ascii="宋体" w:hAnsi="宋体"/>
          <w:szCs w:val="21"/>
        </w:rPr>
        <w:t>制造。相关</w:t>
      </w:r>
      <w:r>
        <w:rPr>
          <w:rFonts w:hint="eastAsia" w:ascii="宋体" w:hAnsi="宋体"/>
          <w:szCs w:val="21"/>
        </w:rPr>
        <w:t>监狱企业</w:t>
      </w:r>
      <w:r>
        <w:rPr>
          <w:rFonts w:ascii="宋体" w:hAnsi="宋体"/>
          <w:szCs w:val="21"/>
        </w:rPr>
        <w:t>的具体情况如下：</w:t>
      </w:r>
    </w:p>
    <w:p w14:paraId="0096C0C9">
      <w:pPr>
        <w:spacing w:line="360" w:lineRule="auto"/>
        <w:ind w:firstLine="420" w:firstLineChars="200"/>
        <w:rPr>
          <w:rFonts w:hint="eastAsia" w:ascii="宋体" w:hAnsi="宋体"/>
          <w:szCs w:val="21"/>
        </w:rPr>
      </w:pPr>
      <w:r>
        <w:rPr>
          <w:rFonts w:ascii="宋体" w:hAnsi="宋体"/>
          <w:szCs w:val="21"/>
        </w:rPr>
        <w:t>1.</w:t>
      </w:r>
      <w:r>
        <w:rPr>
          <w:rFonts w:ascii="宋体" w:hAnsi="宋体"/>
          <w:b/>
          <w:bCs/>
          <w:i/>
          <w:iCs/>
          <w:szCs w:val="21"/>
          <w:u w:val="single"/>
        </w:rPr>
        <w:t xml:space="preserve"> </w:t>
      </w:r>
      <w:r>
        <w:rPr>
          <w:rFonts w:hint="eastAsia" w:ascii="宋体" w:hAnsi="宋体"/>
          <w:b/>
          <w:bCs/>
          <w:i/>
          <w:iCs/>
          <w:szCs w:val="21"/>
          <w:u w:val="single"/>
        </w:rPr>
        <w:t xml:space="preserve">   </w:t>
      </w:r>
      <w:r>
        <w:rPr>
          <w:rFonts w:ascii="宋体" w:hAnsi="宋体"/>
          <w:b/>
          <w:bCs/>
          <w:i/>
          <w:iCs/>
          <w:szCs w:val="21"/>
          <w:u w:val="single"/>
        </w:rPr>
        <w:t>（标的名称）</w:t>
      </w:r>
      <w:r>
        <w:rPr>
          <w:rFonts w:hint="eastAsia" w:ascii="宋体" w:hAnsi="宋体"/>
          <w:b/>
          <w:bCs/>
          <w:i/>
          <w:iCs/>
          <w:szCs w:val="21"/>
          <w:u w:val="single"/>
        </w:rPr>
        <w:t xml:space="preserve">    </w:t>
      </w:r>
      <w:r>
        <w:rPr>
          <w:rFonts w:hint="eastAsia" w:ascii="宋体" w:hAnsi="宋体"/>
          <w:szCs w:val="21"/>
        </w:rPr>
        <w:t>，</w:t>
      </w:r>
      <w:r>
        <w:rPr>
          <w:rFonts w:ascii="宋体" w:hAnsi="宋体"/>
          <w:szCs w:val="21"/>
        </w:rPr>
        <w:t>制造商为</w:t>
      </w:r>
      <w:r>
        <w:rPr>
          <w:rFonts w:hint="eastAsia" w:ascii="宋体" w:hAnsi="宋体"/>
          <w:szCs w:val="21"/>
          <w:u w:val="single"/>
        </w:rPr>
        <w:t xml:space="preserve">    </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hint="eastAsia" w:ascii="宋体" w:hAnsi="宋体"/>
          <w:b/>
          <w:bCs/>
          <w:i/>
          <w:iCs/>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b/>
          <w:bCs/>
          <w:szCs w:val="21"/>
          <w:u w:val="single"/>
        </w:rPr>
        <w:t xml:space="preserve">监狱企业  </w:t>
      </w:r>
      <w:r>
        <w:rPr>
          <w:rFonts w:ascii="宋体" w:hAnsi="宋体"/>
          <w:szCs w:val="21"/>
        </w:rPr>
        <w:t>；</w:t>
      </w:r>
    </w:p>
    <w:p w14:paraId="76E1F1A1">
      <w:pPr>
        <w:spacing w:line="360" w:lineRule="auto"/>
        <w:ind w:firstLine="420" w:firstLineChars="200"/>
        <w:rPr>
          <w:rFonts w:hint="eastAsia" w:ascii="宋体" w:hAnsi="宋体"/>
          <w:szCs w:val="21"/>
        </w:rPr>
      </w:pPr>
      <w:r>
        <w:rPr>
          <w:rFonts w:ascii="宋体" w:hAnsi="宋体"/>
          <w:szCs w:val="21"/>
        </w:rPr>
        <w:t>2.</w:t>
      </w:r>
      <w:r>
        <w:rPr>
          <w:rFonts w:ascii="宋体" w:hAnsi="宋体"/>
          <w:b/>
          <w:bCs/>
          <w:i/>
          <w:iCs/>
          <w:szCs w:val="21"/>
          <w:u w:val="single"/>
        </w:rPr>
        <w:t xml:space="preserve"> </w:t>
      </w:r>
      <w:r>
        <w:rPr>
          <w:rFonts w:hint="eastAsia" w:ascii="宋体" w:hAnsi="宋体"/>
          <w:b/>
          <w:bCs/>
          <w:i/>
          <w:iCs/>
          <w:szCs w:val="21"/>
          <w:u w:val="single"/>
        </w:rPr>
        <w:t xml:space="preserve">   </w:t>
      </w:r>
      <w:r>
        <w:rPr>
          <w:rFonts w:ascii="宋体" w:hAnsi="宋体"/>
          <w:b/>
          <w:bCs/>
          <w:i/>
          <w:iCs/>
          <w:szCs w:val="21"/>
          <w:u w:val="single"/>
        </w:rPr>
        <w:t>（标的名称）</w:t>
      </w:r>
      <w:r>
        <w:rPr>
          <w:rFonts w:hint="eastAsia" w:ascii="宋体" w:hAnsi="宋体"/>
          <w:b/>
          <w:bCs/>
          <w:i/>
          <w:iCs/>
          <w:szCs w:val="21"/>
          <w:u w:val="single"/>
        </w:rPr>
        <w:t xml:space="preserve">    </w:t>
      </w:r>
      <w:r>
        <w:rPr>
          <w:rFonts w:hint="eastAsia" w:ascii="宋体" w:hAnsi="宋体"/>
          <w:szCs w:val="21"/>
        </w:rPr>
        <w:t>，</w:t>
      </w:r>
      <w:r>
        <w:rPr>
          <w:rFonts w:ascii="宋体" w:hAnsi="宋体"/>
          <w:szCs w:val="21"/>
        </w:rPr>
        <w:t>制造商为</w:t>
      </w:r>
      <w:r>
        <w:rPr>
          <w:rFonts w:hint="eastAsia" w:ascii="宋体" w:hAnsi="宋体"/>
          <w:szCs w:val="21"/>
          <w:u w:val="single"/>
        </w:rPr>
        <w:t xml:space="preserve">    </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hint="eastAsia" w:ascii="宋体" w:hAnsi="宋体"/>
          <w:b/>
          <w:bCs/>
          <w:i/>
          <w:iCs/>
          <w:szCs w:val="21"/>
          <w:u w:val="single"/>
        </w:rPr>
        <w:t xml:space="preserve">    </w:t>
      </w:r>
      <w:r>
        <w:rPr>
          <w:rFonts w:ascii="宋体" w:hAnsi="宋体"/>
          <w:szCs w:val="21"/>
        </w:rPr>
        <w:t>，属于</w:t>
      </w:r>
      <w:r>
        <w:rPr>
          <w:rFonts w:hint="eastAsia" w:ascii="宋体" w:hAnsi="宋体"/>
          <w:szCs w:val="21"/>
          <w:u w:val="single"/>
        </w:rPr>
        <w:t xml:space="preserve">  </w:t>
      </w:r>
      <w:r>
        <w:rPr>
          <w:rFonts w:hint="eastAsia" w:ascii="宋体" w:hAnsi="宋体"/>
          <w:b/>
          <w:bCs/>
          <w:szCs w:val="21"/>
          <w:u w:val="single"/>
        </w:rPr>
        <w:t xml:space="preserve">监狱企业  </w:t>
      </w:r>
      <w:r>
        <w:rPr>
          <w:rFonts w:hint="eastAsia" w:ascii="宋体" w:hAnsi="宋体"/>
          <w:szCs w:val="21"/>
        </w:rPr>
        <w:t>。</w:t>
      </w:r>
    </w:p>
    <w:p w14:paraId="0D26A93E">
      <w:pPr>
        <w:spacing w:line="360" w:lineRule="auto"/>
        <w:ind w:firstLine="420" w:firstLineChars="200"/>
        <w:outlineLvl w:val="3"/>
        <w:rPr>
          <w:rFonts w:hint="eastAsia" w:ascii="宋体" w:hAnsi="宋体"/>
          <w:szCs w:val="21"/>
        </w:rPr>
      </w:pPr>
      <w:r>
        <w:rPr>
          <w:rFonts w:ascii="宋体" w:hAnsi="宋体"/>
          <w:szCs w:val="21"/>
        </w:rPr>
        <w:t xml:space="preserve">…… </w:t>
      </w:r>
    </w:p>
    <w:p w14:paraId="7491807F">
      <w:pPr>
        <w:spacing w:line="360" w:lineRule="auto"/>
        <w:ind w:firstLine="420" w:firstLineChars="200"/>
        <w:rPr>
          <w:rFonts w:hint="eastAsia"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678E37F3">
      <w:pPr>
        <w:spacing w:line="360" w:lineRule="auto"/>
        <w:ind w:firstLine="420" w:firstLineChars="200"/>
        <w:rPr>
          <w:b/>
          <w:bCs/>
          <w:color w:val="FF0000"/>
          <w:szCs w:val="21"/>
        </w:rPr>
      </w:pPr>
      <w:r>
        <w:rPr>
          <w:rFonts w:hint="eastAsia" w:ascii="宋体" w:hAnsi="宋体"/>
          <w:szCs w:val="21"/>
        </w:rPr>
        <w:t>附：省级以上监狱管理局、戒毒管理局（含新疆生产建设兵团）出具的监狱企业证明文件。</w:t>
      </w:r>
      <w:bookmarkEnd w:id="56"/>
    </w:p>
    <w:p w14:paraId="27C9DB38">
      <w:pPr>
        <w:pStyle w:val="6"/>
        <w:jc w:val="center"/>
        <w:rPr>
          <w:b w:val="0"/>
          <w:bCs w:val="0"/>
          <w:sz w:val="24"/>
          <w:szCs w:val="24"/>
        </w:rPr>
      </w:pPr>
      <w:bookmarkStart w:id="60" w:name="_Hlk72259976"/>
      <w:r>
        <w:rPr>
          <w:rFonts w:hint="eastAsia"/>
          <w:b w:val="0"/>
          <w:bCs w:val="0"/>
          <w:sz w:val="24"/>
          <w:szCs w:val="24"/>
        </w:rPr>
        <w:t>（三）本国产品声明函</w:t>
      </w:r>
    </w:p>
    <w:p w14:paraId="09E64067">
      <w:pPr>
        <w:ind w:firstLine="420" w:firstLineChars="200"/>
        <w:rPr>
          <w:rFonts w:hint="eastAsia" w:ascii="宋体" w:hAnsi="宋体"/>
          <w:color w:val="FF0000"/>
          <w:szCs w:val="21"/>
        </w:rPr>
      </w:pPr>
      <w:r>
        <w:rPr>
          <w:rFonts w:hint="eastAsia" w:ascii="宋体" w:hAnsi="宋体"/>
          <w:color w:val="FF0000"/>
          <w:szCs w:val="21"/>
        </w:rPr>
        <w:t>填写指引：</w:t>
      </w:r>
    </w:p>
    <w:p w14:paraId="46F87B18">
      <w:pPr>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14:paraId="3262E8B5">
      <w:pPr>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该部分内容填写需要参考的相关文件：</w:t>
      </w:r>
    </w:p>
    <w:p w14:paraId="12C3C39A">
      <w:pPr>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(1)《国务院办公厅关于在政府采购中实施本国产品标准及相关政策的通知》（国办发〔2025〕34号）</w:t>
      </w:r>
    </w:p>
    <w:p w14:paraId="7B433AA5">
      <w:pPr>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(2)《关于贯彻落实&lt;国务院办公厅关于在政府采购中实施本国产品标准及相关政策的通知&gt;的意见》（财库〔2025〕30号）</w:t>
      </w:r>
    </w:p>
    <w:p w14:paraId="2D9090F4">
      <w:pPr>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请依照提供的格式和内容填写声明函，不要随意变更格式；声明函可以不盖章或签字。</w:t>
      </w:r>
    </w:p>
    <w:p w14:paraId="7C14AA57">
      <w:pPr>
        <w:ind w:firstLine="420" w:firstLineChars="200"/>
        <w:rPr>
          <w:rFonts w:hint="eastAsia" w:ascii="宋体" w:hAnsi="宋体"/>
          <w:color w:val="FF0000"/>
          <w:szCs w:val="21"/>
        </w:rPr>
      </w:pPr>
      <w:r>
        <w:rPr>
          <w:rFonts w:hint="eastAsia" w:ascii="宋体" w:hAnsi="宋体"/>
          <w:color w:val="FF0000"/>
          <w:szCs w:val="21"/>
        </w:rPr>
        <w:t>4</w:t>
      </w:r>
      <w:r>
        <w:rPr>
          <w:rFonts w:hint="eastAsia" w:ascii="宋体" w:hAnsi="宋体"/>
          <w:color w:val="FF0000"/>
          <w:szCs w:val="21"/>
          <w:lang w:val="en-US" w:eastAsia="zh-CN"/>
        </w:rPr>
        <w:t>.</w:t>
      </w:r>
      <w:r>
        <w:rPr>
          <w:rFonts w:hint="eastAsia" w:ascii="宋体" w:hAnsi="宋体"/>
          <w:color w:val="FF0000"/>
          <w:szCs w:val="21"/>
        </w:rPr>
        <w:t>声明函具体填写要求：</w:t>
      </w:r>
    </w:p>
    <w:p w14:paraId="3CC56EF4">
      <w:pPr>
        <w:ind w:firstLine="420" w:firstLineChars="200"/>
        <w:rPr>
          <w:rFonts w:hint="eastAsia" w:ascii="宋体" w:hAnsi="宋体"/>
          <w:color w:val="FF0000"/>
          <w:szCs w:val="21"/>
        </w:rPr>
      </w:pPr>
      <w:r>
        <w:rPr>
          <w:rFonts w:hint="eastAsia" w:ascii="宋体" w:hAnsi="宋体"/>
          <w:color w:val="FF0000"/>
          <w:szCs w:val="21"/>
        </w:rPr>
        <w:t>（1）产品如有型号，请在“产品名称”栏一并填写。</w:t>
      </w:r>
    </w:p>
    <w:p w14:paraId="799A5FA9">
      <w:pPr>
        <w:ind w:firstLine="420" w:firstLineChars="200"/>
        <w:rPr>
          <w:rFonts w:hint="eastAsia" w:ascii="宋体" w:hAnsi="宋体"/>
          <w:color w:val="FF0000"/>
          <w:szCs w:val="21"/>
        </w:rPr>
      </w:pPr>
      <w:r>
        <w:rPr>
          <w:rFonts w:hint="eastAsia" w:ascii="宋体" w:hAnsi="宋体"/>
          <w:color w:val="FF0000"/>
          <w:szCs w:val="21"/>
        </w:rPr>
        <w:t>（2）生产厂名与厂址应与生产厂营业执照载明的相关信息保持一致。</w:t>
      </w:r>
    </w:p>
    <w:p w14:paraId="6EEF6A5B">
      <w:pPr>
        <w:ind w:firstLine="420" w:firstLineChars="200"/>
        <w:rPr>
          <w:rFonts w:hint="eastAsia" w:ascii="宋体" w:hAnsi="宋体"/>
          <w:color w:val="FF0000"/>
          <w:szCs w:val="21"/>
        </w:rPr>
      </w:pPr>
      <w:r>
        <w:rPr>
          <w:rFonts w:hint="eastAsia" w:ascii="宋体" w:hAnsi="宋体"/>
          <w:color w:val="FF0000"/>
          <w:szCs w:val="21"/>
        </w:rPr>
        <w:t>（3）该产品的中国境内生产的组件成本占比相关要求实施前，“规定比例”栏可不填，下同。</w:t>
      </w:r>
    </w:p>
    <w:p w14:paraId="74A67C66">
      <w:pPr>
        <w:ind w:firstLine="420" w:firstLineChars="200"/>
        <w:rPr>
          <w:rFonts w:hint="eastAsia" w:ascii="宋体" w:hAnsi="宋体"/>
          <w:color w:val="FF0000"/>
          <w:szCs w:val="21"/>
        </w:rPr>
      </w:pPr>
      <w:r>
        <w:rPr>
          <w:rFonts w:hint="eastAsia" w:ascii="宋体" w:hAnsi="宋体"/>
          <w:color w:val="FF0000"/>
          <w:szCs w:val="21"/>
        </w:rPr>
        <w:t>（4）该产品的关键组件要求实施前，“关键组件”栏可不填，下同。</w:t>
      </w:r>
    </w:p>
    <w:p w14:paraId="4A38676B">
      <w:pPr>
        <w:ind w:firstLine="420" w:firstLineChars="200"/>
        <w:rPr>
          <w:rFonts w:hint="eastAsia" w:ascii="宋体" w:hAnsi="宋体"/>
          <w:color w:val="FF0000"/>
          <w:szCs w:val="21"/>
        </w:rPr>
      </w:pPr>
      <w:r>
        <w:rPr>
          <w:rFonts w:hint="eastAsia" w:ascii="宋体" w:hAnsi="宋体"/>
          <w:color w:val="FF0000"/>
          <w:szCs w:val="21"/>
        </w:rPr>
        <w:t>（5）该产品的关键工序要求实施前，“关键工序”栏可不填，下同。</w:t>
      </w:r>
    </w:p>
    <w:p w14:paraId="200A8EA7">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color w:val="FF0000"/>
        </w:rPr>
      </w:pPr>
      <w:r>
        <w:rPr>
          <w:rFonts w:hint="eastAsia" w:ascii="宋体" w:hAnsi="宋体"/>
          <w:color w:val="FF0000"/>
          <w:sz w:val="21"/>
          <w:szCs w:val="21"/>
          <w:lang w:val="en-US" w:eastAsia="zh-CN"/>
        </w:rPr>
        <w:t>（6）</w:t>
      </w:r>
      <w:r>
        <w:rPr>
          <w:rFonts w:hint="eastAsia" w:ascii="宋体" w:hAnsi="宋体"/>
          <w:b/>
          <w:bCs/>
          <w:color w:val="FF0000"/>
          <w:sz w:val="21"/>
          <w:szCs w:val="21"/>
          <w:lang w:val="en-US" w:eastAsia="zh-CN"/>
        </w:rPr>
        <w:t>必须在“具体比例”栏如实填写提供所有符合本国产品标准的产品成本之和占提供的全部产品成本之和的具体比例。</w:t>
      </w:r>
      <w:r>
        <w:rPr>
          <w:rFonts w:hint="eastAsia" w:ascii="宋体" w:hAnsi="宋体"/>
          <w:color w:val="FF0000"/>
          <w:sz w:val="21"/>
          <w:szCs w:val="21"/>
          <w:lang w:val="en-US" w:eastAsia="zh-CN"/>
        </w:rPr>
        <w:t>根据《国务院办公厅关于在政府采购中实施本国产品标准及相关政策的通知》（国办发〔2025〕34号）的</w:t>
      </w:r>
      <w:r>
        <w:rPr>
          <w:rFonts w:hint="eastAsia"/>
          <w:color w:val="FF0000"/>
          <w:lang w:val="en-US" w:eastAsia="zh-CN"/>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lang w:val="en-US" w:eastAsia="zh-CN"/>
        </w:rPr>
        <w:t>80%以上</w:t>
      </w:r>
      <w:r>
        <w:rPr>
          <w:rFonts w:hint="eastAsia"/>
          <w:color w:val="FF0000"/>
          <w:lang w:val="en-US" w:eastAsia="zh-CN"/>
        </w:rPr>
        <w:t>时，依法对该供应商提供的全部产品给予20%价格评审优惠。</w:t>
      </w:r>
    </w:p>
    <w:p w14:paraId="016AADA4">
      <w:pPr>
        <w:pStyle w:val="38"/>
        <w:ind w:firstLine="420" w:firstLineChars="200"/>
        <w:rPr>
          <w:color w:val="000000" w:themeColor="text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5</w:t>
      </w:r>
      <w:r>
        <w:rPr>
          <w:rFonts w:hint="eastAsia" w:ascii="宋体" w:hAnsi="宋体" w:cs="宋体"/>
          <w:color w:val="000000" w:themeColor="text1"/>
          <w:szCs w:val="21"/>
          <w:shd w:val="clear" w:color="auto" w:fill="FFFFFF"/>
          <w:lang w:val="en-US" w:eastAsia="zh-CN"/>
          <w14:textFill>
            <w14:solidFill>
              <w14:schemeClr w14:val="tx1"/>
            </w14:solidFill>
          </w14:textFill>
        </w:rPr>
        <w:t>.</w:t>
      </w:r>
      <w:r>
        <w:rPr>
          <w:rFonts w:hint="eastAsia"/>
          <w:color w:val="000000" w:themeColor="text1"/>
          <w14:textFill>
            <w14:solidFill>
              <w14:schemeClr w14:val="tx1"/>
            </w14:solidFill>
          </w14:textFill>
        </w:rPr>
        <w:t>争议处理：</w:t>
      </w:r>
    </w:p>
    <w:p w14:paraId="3DAAB9CE">
      <w:pPr>
        <w:pStyle w:val="38"/>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7E04F870">
      <w:pPr>
        <w:pStyle w:val="38"/>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607982A5">
      <w:pPr>
        <w:pStyle w:val="38"/>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2DFEBFA3">
      <w:pPr>
        <w:pStyle w:val="38"/>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39815895">
      <w:pPr>
        <w:pStyle w:val="38"/>
        <w:ind w:firstLine="420" w:firstLineChars="200"/>
        <w:rPr>
          <w:color w:val="000000" w:themeColor="text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6</w:t>
      </w:r>
      <w:r>
        <w:rPr>
          <w:rFonts w:hint="eastAsia"/>
          <w:color w:val="000000" w:themeColor="text1"/>
          <w:lang w:val="en-US" w:eastAsia="zh-CN"/>
          <w14:textFill>
            <w14:solidFill>
              <w14:schemeClr w14:val="tx1"/>
            </w14:solidFill>
          </w14:textFill>
        </w:rPr>
        <w:t>.</w:t>
      </w:r>
      <w:r>
        <w:rPr>
          <w:rFonts w:hint="eastAsia"/>
          <w:color w:val="000000" w:themeColor="text1"/>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3A89D6A7">
      <w:pPr>
        <w:pStyle w:val="38"/>
      </w:pPr>
    </w:p>
    <w:p w14:paraId="0ED027BA">
      <w:pPr>
        <w:pStyle w:val="38"/>
      </w:pPr>
    </w:p>
    <w:p w14:paraId="4E2A397D">
      <w:pPr>
        <w:pStyle w:val="38"/>
        <w:jc w:val="center"/>
        <w:rPr>
          <w:rFonts w:ascii="Times New Roman" w:hAnsi="Times New Roman"/>
          <w:b/>
          <w:sz w:val="24"/>
          <w:szCs w:val="24"/>
        </w:rPr>
      </w:pPr>
      <w:r>
        <w:rPr>
          <w:rFonts w:hint="eastAsia" w:ascii="Times New Roman" w:hAnsi="Times New Roman"/>
          <w:b/>
          <w:sz w:val="24"/>
          <w:szCs w:val="24"/>
        </w:rPr>
        <w:t>关于符合本国产品标准的声明函</w:t>
      </w:r>
    </w:p>
    <w:p w14:paraId="18476BA7">
      <w:pPr>
        <w:pStyle w:val="38"/>
      </w:pPr>
    </w:p>
    <w:p w14:paraId="5990DE21">
      <w:pPr>
        <w:pStyle w:val="16"/>
        <w:widowControl/>
        <w:shd w:val="clear" w:color="auto" w:fill="FFFFFF"/>
        <w:ind w:firstLine="420" w:firstLineChars="200"/>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本公司（单位）郑重声明，根据《国务院办公厅关于在政府采购中实施本国产品标准及相关政策的通知》（国办发〔</w:t>
      </w:r>
      <w:r>
        <w:rPr>
          <w:rFonts w:ascii="Calibri" w:hAnsi="Calibri" w:cs="Calibri"/>
          <w:color w:val="000000"/>
          <w:sz w:val="21"/>
          <w:szCs w:val="21"/>
          <w:shd w:val="clear" w:color="auto" w:fill="FFFFFF"/>
        </w:rPr>
        <w:t>2025</w:t>
      </w:r>
      <w:r>
        <w:rPr>
          <w:rFonts w:hint="eastAsia" w:ascii="宋体" w:hAnsi="宋体" w:cs="宋体"/>
          <w:color w:val="000000"/>
          <w:sz w:val="21"/>
          <w:szCs w:val="21"/>
          <w:shd w:val="clear" w:color="auto" w:fill="FFFFFF"/>
        </w:rPr>
        <w:t>〕</w:t>
      </w:r>
      <w:r>
        <w:rPr>
          <w:rFonts w:ascii="Calibri" w:hAnsi="Calibri" w:cs="Calibri"/>
          <w:color w:val="000000"/>
          <w:sz w:val="21"/>
          <w:szCs w:val="21"/>
          <w:shd w:val="clear" w:color="auto" w:fill="FFFFFF"/>
        </w:rPr>
        <w:t>34</w:t>
      </w:r>
      <w:r>
        <w:rPr>
          <w:rFonts w:hint="eastAsia" w:ascii="宋体" w:hAnsi="宋体" w:cs="宋体"/>
          <w:color w:val="000000"/>
          <w:sz w:val="21"/>
          <w:szCs w:val="21"/>
          <w:shd w:val="clear" w:color="auto" w:fill="FFFFFF"/>
        </w:rPr>
        <w:t>号）的规定，本公司（单位）提供的以下产品属于本国产品。具体情况如下：</w:t>
      </w:r>
    </w:p>
    <w:p w14:paraId="13C5CAC6">
      <w:pPr>
        <w:pStyle w:val="16"/>
        <w:widowControl/>
        <w:shd w:val="clear" w:color="auto" w:fill="FFFFFF"/>
        <w:ind w:firstLine="420" w:firstLineChars="200"/>
        <w:rPr>
          <w:rFonts w:hint="eastAsia" w:ascii="宋体" w:hAnsi="宋体" w:cs="宋体"/>
          <w:color w:val="000000"/>
          <w:sz w:val="21"/>
          <w:szCs w:val="21"/>
        </w:rPr>
      </w:pPr>
      <w:r>
        <w:rPr>
          <w:rFonts w:ascii="Calibri" w:hAnsi="Calibri" w:cs="Calibri"/>
          <w:color w:val="000000"/>
          <w:sz w:val="21"/>
          <w:szCs w:val="21"/>
          <w:shd w:val="clear" w:color="auto" w:fill="FFFFFF"/>
        </w:rPr>
        <w:t>1.</w:t>
      </w:r>
      <w:r>
        <w:rPr>
          <w:rFonts w:hint="eastAsia" w:ascii="宋体" w:hAnsi="宋体"/>
          <w:b/>
          <w:bCs/>
          <w:i/>
          <w:iCs/>
          <w:kern w:val="2"/>
          <w:sz w:val="21"/>
          <w:szCs w:val="21"/>
          <w:u w:val="single"/>
        </w:rPr>
        <w:t>（产品名称</w:t>
      </w:r>
      <w:r>
        <w:rPr>
          <w:rFonts w:ascii="宋体" w:hAnsi="宋体"/>
          <w:b/>
          <w:bCs/>
          <w:i/>
          <w:iCs/>
          <w:kern w:val="2"/>
          <w:sz w:val="21"/>
          <w:szCs w:val="21"/>
          <w:u w:val="single"/>
        </w:rPr>
        <w:t>1</w:t>
      </w:r>
      <w:r>
        <w:rPr>
          <w:rFonts w:hint="eastAsia" w:ascii="宋体" w:hAnsi="宋体"/>
          <w:b/>
          <w:bCs/>
          <w:i/>
          <w:iCs/>
          <w:kern w:val="2"/>
          <w:sz w:val="21"/>
          <w:szCs w:val="21"/>
          <w:u w:val="single"/>
        </w:rPr>
        <w:t>）</w:t>
      </w:r>
      <w:r>
        <w:rPr>
          <w:rFonts w:ascii="Calibri" w:hAnsi="Calibri" w:cs="Calibri"/>
          <w:color w:val="FF0000"/>
          <w:sz w:val="21"/>
          <w:szCs w:val="21"/>
          <w:shd w:val="clear" w:color="auto" w:fill="FFFFFF"/>
        </w:rPr>
        <w:t>1</w:t>
      </w:r>
      <w:r>
        <w:rPr>
          <w:rFonts w:hint="eastAsia" w:ascii="宋体" w:hAnsi="宋体" w:cs="宋体"/>
          <w:color w:val="000000"/>
          <w:sz w:val="21"/>
          <w:szCs w:val="21"/>
          <w:shd w:val="clear" w:color="auto" w:fill="FFFFFF"/>
        </w:rPr>
        <w:t>，生产厂为</w:t>
      </w:r>
      <w:r>
        <w:rPr>
          <w:rFonts w:hint="eastAsia" w:ascii="宋体" w:hAnsi="宋体"/>
          <w:b/>
          <w:bCs/>
          <w:i/>
          <w:iCs/>
          <w:kern w:val="2"/>
          <w:sz w:val="21"/>
          <w:szCs w:val="21"/>
          <w:u w:val="single"/>
        </w:rPr>
        <w:t>（厂名）</w:t>
      </w:r>
      <w:r>
        <w:rPr>
          <w:rFonts w:ascii="Calibri" w:hAnsi="Calibri" w:cs="Calibri"/>
          <w:color w:val="FF0000"/>
          <w:sz w:val="21"/>
          <w:szCs w:val="21"/>
          <w:shd w:val="clear" w:color="auto" w:fill="FFFFFF"/>
        </w:rPr>
        <w:t>2</w:t>
      </w:r>
      <w:r>
        <w:rPr>
          <w:rFonts w:hint="eastAsia" w:ascii="宋体" w:hAnsi="宋体" w:cs="宋体"/>
          <w:color w:val="000000"/>
          <w:sz w:val="21"/>
          <w:szCs w:val="21"/>
          <w:shd w:val="clear" w:color="auto" w:fill="FFFFFF"/>
        </w:rPr>
        <w:t>，厂址为</w:t>
      </w:r>
      <w:r>
        <w:rPr>
          <w:rFonts w:hint="eastAsia" w:ascii="宋体" w:hAnsi="宋体"/>
          <w:b/>
          <w:bCs/>
          <w:i/>
          <w:iCs/>
          <w:kern w:val="2"/>
          <w:sz w:val="21"/>
          <w:szCs w:val="21"/>
          <w:u w:val="single"/>
        </w:rPr>
        <w:t>（生产厂址）</w:t>
      </w:r>
      <w:r>
        <w:rPr>
          <w:rFonts w:hint="eastAsia" w:ascii="Calibri" w:hAnsi="Calibri" w:cs="Calibri"/>
          <w:color w:val="000000"/>
          <w:sz w:val="21"/>
          <w:szCs w:val="21"/>
          <w:shd w:val="clear" w:color="auto" w:fill="FFFFFF"/>
        </w:rPr>
        <w:t>。</w:t>
      </w:r>
      <w:r>
        <w:rPr>
          <w:rFonts w:hint="eastAsia" w:ascii="宋体" w:hAnsi="宋体"/>
          <w:b/>
          <w:bCs/>
          <w:i/>
          <w:iCs/>
          <w:kern w:val="2"/>
          <w:sz w:val="21"/>
          <w:szCs w:val="21"/>
          <w:u w:val="single"/>
        </w:rPr>
        <w:t>（产品名称</w:t>
      </w:r>
      <w:r>
        <w:rPr>
          <w:rFonts w:ascii="宋体" w:hAnsi="宋体"/>
          <w:b/>
          <w:bCs/>
          <w:i/>
          <w:iCs/>
          <w:kern w:val="2"/>
          <w:sz w:val="21"/>
          <w:szCs w:val="21"/>
          <w:u w:val="single"/>
        </w:rPr>
        <w:t>1</w:t>
      </w:r>
      <w:r>
        <w:rPr>
          <w:rFonts w:hint="eastAsia" w:ascii="宋体" w:hAnsi="宋体"/>
          <w:b/>
          <w:bCs/>
          <w:i/>
          <w:iCs/>
          <w:kern w:val="2"/>
          <w:sz w:val="21"/>
          <w:szCs w:val="21"/>
          <w:u w:val="single"/>
        </w:rPr>
        <w:t>）</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kern w:val="2"/>
          <w:sz w:val="21"/>
          <w:szCs w:val="21"/>
          <w:u w:val="single"/>
        </w:rPr>
        <w:t>（规定比例）</w:t>
      </w:r>
      <w:r>
        <w:rPr>
          <w:rFonts w:ascii="Calibri" w:hAnsi="Calibri" w:cs="Calibri"/>
          <w:color w:val="FF0000"/>
          <w:sz w:val="21"/>
          <w:szCs w:val="21"/>
          <w:shd w:val="clear" w:color="auto" w:fill="FFFFFF"/>
        </w:rPr>
        <w:t>3</w:t>
      </w:r>
      <w:r>
        <w:rPr>
          <w:rFonts w:hint="eastAsia" w:ascii="宋体" w:hAnsi="宋体" w:cs="宋体"/>
          <w:color w:val="000000"/>
          <w:sz w:val="21"/>
          <w:szCs w:val="21"/>
          <w:shd w:val="clear" w:color="auto" w:fill="FFFFFF"/>
        </w:rPr>
        <w:t>。</w:t>
      </w:r>
      <w:r>
        <w:rPr>
          <w:rFonts w:hint="eastAsia" w:ascii="宋体" w:hAnsi="宋体"/>
          <w:b/>
          <w:bCs/>
          <w:i/>
          <w:iCs/>
          <w:kern w:val="2"/>
          <w:sz w:val="21"/>
          <w:szCs w:val="21"/>
          <w:u w:val="single"/>
        </w:rPr>
        <w:t>（产品名称</w:t>
      </w:r>
      <w:r>
        <w:rPr>
          <w:rFonts w:ascii="宋体" w:hAnsi="宋体"/>
          <w:b/>
          <w:bCs/>
          <w:i/>
          <w:iCs/>
          <w:kern w:val="2"/>
          <w:sz w:val="21"/>
          <w:szCs w:val="21"/>
          <w:u w:val="single"/>
        </w:rPr>
        <w:t>1</w:t>
      </w:r>
      <w:r>
        <w:rPr>
          <w:rFonts w:hint="eastAsia" w:ascii="宋体" w:hAnsi="宋体"/>
          <w:b/>
          <w:bCs/>
          <w:i/>
          <w:iCs/>
          <w:kern w:val="2"/>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kern w:val="2"/>
          <w:sz w:val="21"/>
          <w:szCs w:val="21"/>
          <w:u w:val="single"/>
        </w:rPr>
        <w:t>（关键组件）</w:t>
      </w:r>
      <w:r>
        <w:rPr>
          <w:rFonts w:ascii="Calibri" w:hAnsi="Calibri" w:cs="Calibri"/>
          <w:color w:val="FF0000"/>
          <w:sz w:val="21"/>
          <w:szCs w:val="21"/>
          <w:shd w:val="clear" w:color="auto" w:fill="FFFFFF"/>
        </w:rPr>
        <w:t>4</w:t>
      </w:r>
      <w:r>
        <w:rPr>
          <w:rFonts w:hint="eastAsia" w:ascii="宋体" w:hAnsi="宋体" w:cs="宋体"/>
          <w:color w:val="000000"/>
          <w:sz w:val="21"/>
          <w:szCs w:val="21"/>
          <w:shd w:val="clear" w:color="auto" w:fill="FFFFFF"/>
        </w:rPr>
        <w:t>在中国境内生产。</w:t>
      </w:r>
      <w:r>
        <w:rPr>
          <w:rFonts w:hint="eastAsia" w:ascii="宋体" w:hAnsi="宋体"/>
          <w:b/>
          <w:bCs/>
          <w:i/>
          <w:iCs/>
          <w:kern w:val="2"/>
          <w:sz w:val="21"/>
          <w:szCs w:val="21"/>
          <w:u w:val="single"/>
        </w:rPr>
        <w:t>（产品名称</w:t>
      </w:r>
      <w:r>
        <w:rPr>
          <w:rFonts w:ascii="宋体" w:hAnsi="宋体"/>
          <w:b/>
          <w:bCs/>
          <w:i/>
          <w:iCs/>
          <w:kern w:val="2"/>
          <w:sz w:val="21"/>
          <w:szCs w:val="21"/>
          <w:u w:val="single"/>
        </w:rPr>
        <w:t>1</w:t>
      </w:r>
      <w:r>
        <w:rPr>
          <w:rFonts w:hint="eastAsia" w:ascii="宋体" w:hAnsi="宋体"/>
          <w:b/>
          <w:bCs/>
          <w:i/>
          <w:iCs/>
          <w:kern w:val="2"/>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kern w:val="2"/>
          <w:sz w:val="21"/>
          <w:szCs w:val="21"/>
          <w:u w:val="single"/>
        </w:rPr>
        <w:t>（关键工序）</w:t>
      </w:r>
      <w:r>
        <w:rPr>
          <w:rFonts w:ascii="Calibri" w:hAnsi="Calibri" w:cs="Calibri"/>
          <w:color w:val="FF0000"/>
          <w:sz w:val="21"/>
          <w:szCs w:val="21"/>
          <w:shd w:val="clear" w:color="auto" w:fill="FFFFFF"/>
        </w:rPr>
        <w:t>5</w:t>
      </w:r>
      <w:r>
        <w:rPr>
          <w:rFonts w:hint="eastAsia" w:ascii="宋体" w:hAnsi="宋体" w:cs="宋体"/>
          <w:color w:val="000000"/>
          <w:sz w:val="21"/>
          <w:szCs w:val="21"/>
          <w:shd w:val="clear" w:color="auto" w:fill="FFFFFF"/>
        </w:rPr>
        <w:t>在中国境内完成。</w:t>
      </w:r>
    </w:p>
    <w:p w14:paraId="755CC2CD">
      <w:pPr>
        <w:pStyle w:val="16"/>
        <w:widowControl/>
        <w:shd w:val="clear" w:color="auto" w:fill="FFFFFF"/>
        <w:ind w:firstLine="420" w:firstLineChars="200"/>
        <w:rPr>
          <w:rFonts w:hint="eastAsia" w:ascii="宋体" w:hAnsi="宋体" w:cs="宋体"/>
          <w:color w:val="000000"/>
          <w:sz w:val="21"/>
          <w:szCs w:val="21"/>
        </w:rPr>
      </w:pPr>
      <w:r>
        <w:rPr>
          <w:rFonts w:hint="eastAsia" w:ascii="Calibri" w:hAnsi="Calibri" w:cs="Calibri"/>
          <w:color w:val="000000"/>
          <w:sz w:val="21"/>
          <w:szCs w:val="21"/>
          <w:shd w:val="clear" w:color="auto" w:fill="FFFFFF"/>
        </w:rPr>
        <w:t>2</w:t>
      </w:r>
      <w:r>
        <w:rPr>
          <w:rFonts w:ascii="Calibri" w:hAnsi="Calibri" w:cs="Calibri"/>
          <w:color w:val="000000"/>
          <w:sz w:val="21"/>
          <w:szCs w:val="21"/>
          <w:shd w:val="clear" w:color="auto" w:fill="FFFFFF"/>
        </w:rPr>
        <w:t>.</w:t>
      </w:r>
      <w:r>
        <w:rPr>
          <w:rFonts w:hint="eastAsia" w:ascii="宋体" w:hAnsi="宋体"/>
          <w:b/>
          <w:bCs/>
          <w:i/>
          <w:iCs/>
          <w:kern w:val="2"/>
          <w:sz w:val="21"/>
          <w:szCs w:val="21"/>
          <w:u w:val="single"/>
        </w:rPr>
        <w:t>（产品名称2）</w:t>
      </w:r>
      <w:r>
        <w:rPr>
          <w:rFonts w:hint="eastAsia" w:ascii="宋体" w:hAnsi="宋体" w:cs="宋体"/>
          <w:color w:val="000000"/>
          <w:sz w:val="21"/>
          <w:szCs w:val="21"/>
          <w:shd w:val="clear" w:color="auto" w:fill="FFFFFF"/>
        </w:rPr>
        <w:t>，生产厂为</w:t>
      </w:r>
      <w:r>
        <w:rPr>
          <w:rFonts w:hint="eastAsia" w:ascii="宋体" w:hAnsi="宋体"/>
          <w:b/>
          <w:bCs/>
          <w:i/>
          <w:iCs/>
          <w:kern w:val="2"/>
          <w:sz w:val="21"/>
          <w:szCs w:val="21"/>
          <w:u w:val="single"/>
        </w:rPr>
        <w:t>（厂名）</w:t>
      </w:r>
      <w:r>
        <w:rPr>
          <w:rFonts w:hint="eastAsia" w:ascii="宋体" w:hAnsi="宋体" w:cs="宋体"/>
          <w:color w:val="000000"/>
          <w:sz w:val="21"/>
          <w:szCs w:val="21"/>
          <w:shd w:val="clear" w:color="auto" w:fill="FFFFFF"/>
        </w:rPr>
        <w:t>，厂址为</w:t>
      </w:r>
      <w:r>
        <w:rPr>
          <w:rFonts w:hint="eastAsia" w:ascii="宋体" w:hAnsi="宋体"/>
          <w:b/>
          <w:bCs/>
          <w:i/>
          <w:iCs/>
          <w:kern w:val="2"/>
          <w:sz w:val="21"/>
          <w:szCs w:val="21"/>
          <w:u w:val="single"/>
        </w:rPr>
        <w:t>（生产厂址）</w:t>
      </w:r>
      <w:r>
        <w:rPr>
          <w:rFonts w:hint="eastAsia" w:ascii="宋体" w:hAnsi="宋体" w:cs="宋体"/>
          <w:color w:val="000000"/>
          <w:sz w:val="21"/>
          <w:szCs w:val="21"/>
          <w:shd w:val="clear" w:color="auto" w:fill="FFFFFF"/>
        </w:rPr>
        <w:t>。</w:t>
      </w:r>
      <w:r>
        <w:rPr>
          <w:rFonts w:hint="eastAsia" w:ascii="宋体" w:hAnsi="宋体"/>
          <w:b/>
          <w:bCs/>
          <w:i/>
          <w:iCs/>
          <w:kern w:val="2"/>
          <w:sz w:val="21"/>
          <w:szCs w:val="21"/>
          <w:u w:val="single"/>
        </w:rPr>
        <w:t>（产品名称2）</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kern w:val="2"/>
          <w:sz w:val="21"/>
          <w:szCs w:val="21"/>
          <w:u w:val="single"/>
        </w:rPr>
        <w:t>（规定比例）</w:t>
      </w:r>
      <w:r>
        <w:rPr>
          <w:rFonts w:hint="eastAsia" w:ascii="宋体" w:hAnsi="宋体" w:cs="宋体"/>
          <w:color w:val="000000"/>
          <w:sz w:val="21"/>
          <w:szCs w:val="21"/>
          <w:shd w:val="clear" w:color="auto" w:fill="FFFFFF"/>
        </w:rPr>
        <w:t>。</w:t>
      </w:r>
      <w:r>
        <w:rPr>
          <w:rFonts w:hint="eastAsia" w:ascii="宋体" w:hAnsi="宋体"/>
          <w:b/>
          <w:bCs/>
          <w:i/>
          <w:iCs/>
          <w:kern w:val="2"/>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kern w:val="2"/>
          <w:sz w:val="21"/>
          <w:szCs w:val="21"/>
          <w:u w:val="single"/>
        </w:rPr>
        <w:t>（关键组件）</w:t>
      </w:r>
      <w:r>
        <w:rPr>
          <w:rFonts w:hint="eastAsia" w:ascii="宋体" w:hAnsi="宋体" w:cs="宋体"/>
          <w:color w:val="000000"/>
          <w:sz w:val="21"/>
          <w:szCs w:val="21"/>
          <w:shd w:val="clear" w:color="auto" w:fill="FFFFFF"/>
        </w:rPr>
        <w:t>在中国境内生产。</w:t>
      </w:r>
      <w:r>
        <w:rPr>
          <w:rFonts w:hint="eastAsia" w:ascii="宋体" w:hAnsi="宋体"/>
          <w:b/>
          <w:bCs/>
          <w:i/>
          <w:iCs/>
          <w:kern w:val="2"/>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kern w:val="2"/>
          <w:sz w:val="21"/>
          <w:szCs w:val="21"/>
          <w:u w:val="single"/>
        </w:rPr>
        <w:t>（关键工序）</w:t>
      </w:r>
      <w:r>
        <w:rPr>
          <w:rFonts w:hint="eastAsia" w:ascii="宋体" w:hAnsi="宋体" w:cs="宋体"/>
          <w:color w:val="000000"/>
          <w:sz w:val="21"/>
          <w:szCs w:val="21"/>
          <w:shd w:val="clear" w:color="auto" w:fill="FFFFFF"/>
        </w:rPr>
        <w:t>在中国境内完成。</w:t>
      </w:r>
    </w:p>
    <w:p w14:paraId="03857D87">
      <w:pPr>
        <w:pStyle w:val="16"/>
        <w:widowControl/>
        <w:shd w:val="clear" w:color="auto" w:fill="FFFFFF"/>
        <w:ind w:firstLine="420" w:firstLineChars="200"/>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w:t>
      </w:r>
    </w:p>
    <w:p w14:paraId="18983EBE">
      <w:pPr>
        <w:pStyle w:val="16"/>
        <w:widowControl/>
        <w:shd w:val="clear" w:color="auto" w:fill="FFFFFF"/>
        <w:ind w:firstLine="422" w:firstLineChars="200"/>
        <w:rPr>
          <w:rFonts w:hint="eastAsia" w:ascii="宋体" w:hAnsi="宋体" w:cs="宋体"/>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本公司（单位）提供上述符合本国产品标准的产品成本之和占本公司（单位）提供的全部产品成本之和的比例达到</w:t>
      </w:r>
      <w:r>
        <w:rPr>
          <w:rFonts w:hint="eastAsia" w:ascii="宋体" w:hAnsi="宋体"/>
          <w:b/>
          <w:bCs/>
          <w:i/>
          <w:iCs/>
          <w:color w:val="000000" w:themeColor="text1"/>
          <w:kern w:val="2"/>
          <w:sz w:val="21"/>
          <w:szCs w:val="21"/>
          <w:u w:val="single"/>
          <w14:textFill>
            <w14:solidFill>
              <w14:schemeClr w14:val="tx1"/>
            </w14:solidFill>
          </w14:textFill>
        </w:rPr>
        <w:t>（具体比例）</w:t>
      </w:r>
      <w:r>
        <w:rPr>
          <w:rFonts w:hint="eastAsia" w:ascii="宋体" w:hAnsi="宋体" w:cs="宋体"/>
          <w:b/>
          <w:bCs/>
          <w:color w:val="FF0000"/>
          <w:sz w:val="21"/>
          <w:szCs w:val="21"/>
          <w:shd w:val="clear" w:color="auto" w:fill="FFFFFF"/>
        </w:rPr>
        <w:t>6</w:t>
      </w:r>
      <w:r>
        <w:rPr>
          <w:rFonts w:hint="eastAsia" w:ascii="宋体" w:hAnsi="宋体" w:cs="宋体"/>
          <w:b/>
          <w:bCs/>
          <w:color w:val="000000" w:themeColor="text1"/>
          <w:sz w:val="21"/>
          <w:szCs w:val="21"/>
          <w:shd w:val="clear" w:color="auto" w:fill="FFFFFF"/>
          <w14:textFill>
            <w14:solidFill>
              <w14:schemeClr w14:val="tx1"/>
            </w14:solidFill>
          </w14:textFill>
        </w:rPr>
        <w:t>。</w:t>
      </w:r>
    </w:p>
    <w:p w14:paraId="25DF9D5F">
      <w:pPr>
        <w:pStyle w:val="16"/>
        <w:widowControl/>
        <w:shd w:val="clear" w:color="auto" w:fill="FFFFFF"/>
        <w:ind w:firstLine="420" w:firstLineChars="200"/>
        <w:rPr>
          <w:rFonts w:hint="eastAsia" w:ascii="宋体" w:hAnsi="宋体" w:cs="宋体"/>
          <w:color w:val="000000"/>
          <w:sz w:val="21"/>
          <w:szCs w:val="21"/>
        </w:rPr>
      </w:pPr>
      <w:r>
        <w:rPr>
          <w:rFonts w:hint="eastAsia" w:ascii="宋体" w:hAnsi="宋体" w:cs="宋体"/>
          <w:color w:val="000000"/>
          <w:sz w:val="21"/>
          <w:szCs w:val="21"/>
          <w:shd w:val="clear" w:color="auto" w:fill="FFFFFF"/>
        </w:rPr>
        <w:t>本公司（单位）对上述声明内容的真实性负责。如有虚假，愿承担相应法律责任。</w:t>
      </w:r>
    </w:p>
    <w:p w14:paraId="72DB180C">
      <w:pPr>
        <w:pStyle w:val="16"/>
        <w:widowControl/>
        <w:shd w:val="clear" w:color="auto" w:fill="FFFFFF"/>
        <w:ind w:right="840" w:rightChars="400"/>
        <w:jc w:val="right"/>
        <w:rPr>
          <w:rFonts w:hint="eastAsia" w:ascii="宋体" w:hAnsi="宋体" w:cs="宋体"/>
          <w:color w:val="000000"/>
          <w:sz w:val="21"/>
          <w:szCs w:val="21"/>
        </w:rPr>
      </w:pPr>
      <w:r>
        <w:rPr>
          <w:rFonts w:hint="eastAsia" w:ascii="宋体" w:hAnsi="宋体" w:cs="宋体"/>
          <w:color w:val="000000"/>
          <w:sz w:val="21"/>
          <w:szCs w:val="21"/>
          <w:shd w:val="clear" w:color="auto" w:fill="FFFFFF"/>
        </w:rPr>
        <w:t>公司（单位）名称：</w:t>
      </w:r>
    </w:p>
    <w:p w14:paraId="1B9D3258">
      <w:pPr>
        <w:pStyle w:val="16"/>
        <w:widowControl/>
        <w:shd w:val="clear" w:color="auto" w:fill="FFFFFF"/>
        <w:ind w:right="840" w:rightChars="400"/>
        <w:jc w:val="right"/>
        <w:rPr>
          <w:rFonts w:hint="eastAsia" w:ascii="宋体" w:hAnsi="宋体" w:cs="宋体"/>
          <w:color w:val="000000"/>
          <w:sz w:val="21"/>
          <w:szCs w:val="21"/>
        </w:rPr>
      </w:pPr>
      <w:r>
        <w:rPr>
          <w:rFonts w:hint="eastAsia" w:ascii="宋体" w:hAnsi="宋体" w:cs="宋体"/>
          <w:color w:val="000000"/>
          <w:sz w:val="21"/>
          <w:szCs w:val="21"/>
          <w:shd w:val="clear" w:color="auto" w:fill="FFFFFF"/>
        </w:rPr>
        <w:t>日期：    年  月  日</w:t>
      </w:r>
    </w:p>
    <w:p w14:paraId="68F62A2C">
      <w:pPr>
        <w:pStyle w:val="5"/>
        <w:jc w:val="center"/>
        <w:rPr>
          <w:rFonts w:hint="eastAsia" w:ascii="黑体" w:eastAsia="黑体"/>
          <w:b w:val="0"/>
          <w:sz w:val="24"/>
          <w:szCs w:val="24"/>
          <w:lang w:val="en-US" w:eastAsia="zh-CN"/>
        </w:rPr>
      </w:pPr>
      <w:r>
        <w:rPr>
          <w:rFonts w:hint="eastAsia" w:ascii="黑体" w:eastAsia="黑体"/>
          <w:b w:val="0"/>
          <w:sz w:val="24"/>
          <w:szCs w:val="24"/>
          <w:lang w:val="en-US" w:eastAsia="zh-CN"/>
        </w:rPr>
        <w:t>四、分项报价表</w:t>
      </w:r>
    </w:p>
    <w:tbl>
      <w:tblPr>
        <w:tblStyle w:val="21"/>
        <w:tblW w:w="64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6"/>
        <w:gridCol w:w="1194"/>
        <w:gridCol w:w="1499"/>
        <w:gridCol w:w="1160"/>
        <w:gridCol w:w="973"/>
        <w:gridCol w:w="939"/>
        <w:gridCol w:w="704"/>
        <w:gridCol w:w="1243"/>
        <w:gridCol w:w="1195"/>
        <w:gridCol w:w="1161"/>
      </w:tblGrid>
      <w:tr w14:paraId="01FB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3" w:type="pct"/>
            <w:vAlign w:val="center"/>
          </w:tcPr>
          <w:p w14:paraId="6DE58DD1">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559" w:type="pct"/>
            <w:vAlign w:val="center"/>
          </w:tcPr>
          <w:p w14:paraId="1858759C">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采购计划编号</w:t>
            </w:r>
          </w:p>
        </w:tc>
        <w:tc>
          <w:tcPr>
            <w:tcW w:w="702" w:type="pct"/>
            <w:vAlign w:val="center"/>
          </w:tcPr>
          <w:p w14:paraId="0CB76F28">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货物名称</w:t>
            </w:r>
          </w:p>
        </w:tc>
        <w:tc>
          <w:tcPr>
            <w:tcW w:w="543" w:type="pct"/>
            <w:vAlign w:val="center"/>
          </w:tcPr>
          <w:p w14:paraId="6AC0E53B">
            <w:pPr>
              <w:jc w:val="center"/>
              <w:rPr>
                <w:rFonts w:hint="eastAsia" w:ascii="Times New Roman" w:hAnsi="Times New Roman" w:eastAsia="宋体" w:cs="Times New Roman"/>
                <w:bCs/>
                <w:szCs w:val="21"/>
                <w:highlight w:val="none"/>
              </w:rPr>
            </w:pPr>
            <w:r>
              <w:rPr>
                <w:rFonts w:hint="eastAsia" w:ascii="Times New Roman" w:hAnsi="Times New Roman" w:eastAsia="宋体" w:cs="Times New Roman"/>
                <w:szCs w:val="21"/>
                <w:highlight w:val="none"/>
              </w:rPr>
              <w:t>品牌</w:t>
            </w:r>
          </w:p>
        </w:tc>
        <w:tc>
          <w:tcPr>
            <w:tcW w:w="455" w:type="pct"/>
            <w:vAlign w:val="center"/>
          </w:tcPr>
          <w:p w14:paraId="449D06A1">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规格/型号</w:t>
            </w:r>
          </w:p>
        </w:tc>
        <w:tc>
          <w:tcPr>
            <w:tcW w:w="439" w:type="pct"/>
            <w:vAlign w:val="center"/>
          </w:tcPr>
          <w:p w14:paraId="6176B384">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数量</w:t>
            </w:r>
          </w:p>
        </w:tc>
        <w:tc>
          <w:tcPr>
            <w:tcW w:w="329" w:type="pct"/>
            <w:vAlign w:val="center"/>
          </w:tcPr>
          <w:p w14:paraId="3EF59F52">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单位</w:t>
            </w:r>
          </w:p>
        </w:tc>
        <w:tc>
          <w:tcPr>
            <w:tcW w:w="582" w:type="pct"/>
            <w:vAlign w:val="center"/>
          </w:tcPr>
          <w:p w14:paraId="5C193230">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单价(元)</w:t>
            </w:r>
          </w:p>
        </w:tc>
        <w:tc>
          <w:tcPr>
            <w:tcW w:w="559" w:type="pct"/>
            <w:vAlign w:val="center"/>
          </w:tcPr>
          <w:p w14:paraId="723C00E7">
            <w:pPr>
              <w:jc w:val="center"/>
              <w:rPr>
                <w:rFonts w:ascii="Times New Roman" w:hAnsi="Times New Roman" w:eastAsia="宋体" w:cs="Times New Roman"/>
                <w:bCs/>
                <w:szCs w:val="21"/>
                <w:highlight w:val="none"/>
              </w:rPr>
            </w:pPr>
            <w:r>
              <w:rPr>
                <w:rFonts w:hint="eastAsia" w:ascii="Times New Roman" w:hAnsi="Times New Roman" w:eastAsia="宋体" w:cs="Times New Roman"/>
                <w:szCs w:val="21"/>
                <w:highlight w:val="none"/>
              </w:rPr>
              <w:t>合价(元)</w:t>
            </w:r>
          </w:p>
        </w:tc>
        <w:tc>
          <w:tcPr>
            <w:tcW w:w="543" w:type="pct"/>
            <w:vAlign w:val="center"/>
          </w:tcPr>
          <w:p w14:paraId="2B3FA795">
            <w:pPr>
              <w:keepNext w:val="0"/>
              <w:keepLines w:val="0"/>
              <w:suppressLineNumbers w:val="0"/>
              <w:spacing w:before="0" w:beforeAutospacing="0" w:after="0" w:afterAutospacing="0"/>
              <w:ind w:left="0" w:leftChars="0" w:right="0" w:rightChars="0"/>
              <w:jc w:val="center"/>
              <w:rPr>
                <w:rFonts w:ascii="Times New Roman" w:hAnsi="Times New Roman" w:eastAsia="宋体" w:cs="Times New Roman"/>
                <w:szCs w:val="21"/>
                <w:highlight w:val="none"/>
              </w:rPr>
            </w:pPr>
            <w:r>
              <w:rPr>
                <w:rFonts w:hint="eastAsia"/>
                <w:b/>
                <w:szCs w:val="21"/>
                <w:lang w:val="en-US" w:eastAsia="zh-CN"/>
              </w:rPr>
              <w:t>最高限价（元）</w:t>
            </w:r>
          </w:p>
        </w:tc>
      </w:tr>
      <w:tr w14:paraId="716B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3" w:type="pct"/>
            <w:vAlign w:val="center"/>
          </w:tcPr>
          <w:p w14:paraId="07D667ED">
            <w:pPr>
              <w:keepNext w:val="0"/>
              <w:keepLines w:val="0"/>
              <w:widowControl/>
              <w:suppressLineNumbers w:val="0"/>
              <w:spacing w:before="0" w:beforeAutospacing="0" w:after="0" w:afterAutospacing="0"/>
              <w:ind w:left="0" w:leftChars="0" w:right="0" w:rightChars="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559" w:type="pct"/>
            <w:vAlign w:val="center"/>
          </w:tcPr>
          <w:p w14:paraId="272A0D4C">
            <w:pPr>
              <w:keepNext w:val="0"/>
              <w:keepLines w:val="0"/>
              <w:suppressLineNumbers w:val="0"/>
              <w:spacing w:before="0" w:beforeAutospacing="0" w:after="0" w:afterAutospacing="0"/>
              <w:ind w:left="0" w:leftChars="0" w:right="0" w:rightChars="0"/>
              <w:jc w:val="center"/>
              <w:rPr>
                <w:rFonts w:ascii="Times New Roman" w:hAnsi="Times New Roman" w:eastAsia="宋体" w:cs="Times New Roman"/>
                <w:bCs/>
                <w:szCs w:val="21"/>
                <w:highlight w:val="none"/>
              </w:rPr>
            </w:pPr>
            <w:r>
              <w:rPr>
                <w:rFonts w:hint="default" w:ascii="宋体" w:hAnsi="宋体" w:cs="宋体"/>
                <w:color w:val="000000"/>
                <w:kern w:val="0"/>
                <w:szCs w:val="21"/>
              </w:rPr>
              <w:t xml:space="preserve">PLAN-2025-440300000-118028-12683 </w:t>
            </w:r>
          </w:p>
        </w:tc>
        <w:tc>
          <w:tcPr>
            <w:tcW w:w="702" w:type="pct"/>
            <w:vAlign w:val="center"/>
          </w:tcPr>
          <w:p w14:paraId="12459B0F">
            <w:pPr>
              <w:keepNext w:val="0"/>
              <w:keepLines w:val="0"/>
              <w:widowControl/>
              <w:suppressLineNumbers w:val="0"/>
              <w:spacing w:before="0" w:beforeAutospacing="0" w:after="0" w:afterAutospacing="0"/>
              <w:ind w:left="0" w:leftChars="0" w:right="0" w:rightChars="0"/>
              <w:jc w:val="center"/>
              <w:rPr>
                <w:rFonts w:ascii="Times New Roman" w:hAnsi="Times New Roman" w:eastAsia="宋体" w:cs="Times New Roman"/>
                <w:bCs/>
                <w:szCs w:val="21"/>
                <w:highlight w:val="none"/>
              </w:rPr>
            </w:pPr>
            <w:r>
              <w:rPr>
                <w:rFonts w:hint="default" w:ascii="宋体" w:hAnsi="宋体" w:cs="宋体"/>
                <w:szCs w:val="21"/>
              </w:rPr>
              <w:t>放疗计划设计工作站</w:t>
            </w:r>
          </w:p>
        </w:tc>
        <w:tc>
          <w:tcPr>
            <w:tcW w:w="543" w:type="pct"/>
            <w:vAlign w:val="center"/>
          </w:tcPr>
          <w:p w14:paraId="6CE31603">
            <w:pPr>
              <w:jc w:val="center"/>
              <w:rPr>
                <w:rFonts w:hint="eastAsia" w:ascii="Times New Roman" w:hAnsi="Times New Roman" w:eastAsia="宋体" w:cs="Times New Roman"/>
                <w:bCs/>
                <w:szCs w:val="21"/>
                <w:highlight w:val="none"/>
              </w:rPr>
            </w:pPr>
          </w:p>
        </w:tc>
        <w:tc>
          <w:tcPr>
            <w:tcW w:w="455" w:type="pct"/>
            <w:vAlign w:val="center"/>
          </w:tcPr>
          <w:p w14:paraId="6AB3C69C">
            <w:pPr>
              <w:jc w:val="center"/>
              <w:rPr>
                <w:rFonts w:ascii="Times New Roman" w:hAnsi="Times New Roman" w:eastAsia="宋体" w:cs="Times New Roman"/>
                <w:bCs/>
                <w:szCs w:val="21"/>
                <w:highlight w:val="none"/>
              </w:rPr>
            </w:pPr>
          </w:p>
        </w:tc>
        <w:tc>
          <w:tcPr>
            <w:tcW w:w="439" w:type="pct"/>
            <w:vAlign w:val="center"/>
          </w:tcPr>
          <w:p w14:paraId="08E6B5B8">
            <w:pPr>
              <w:keepNext w:val="0"/>
              <w:keepLines w:val="0"/>
              <w:widowControl/>
              <w:suppressLineNumbers w:val="0"/>
              <w:spacing w:before="0" w:beforeAutospacing="0" w:after="0" w:afterAutospacing="0"/>
              <w:ind w:left="0" w:leftChars="0" w:right="0" w:rightChars="0"/>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Cs w:val="21"/>
                <w:lang w:val="en-US" w:eastAsia="zh-CN"/>
              </w:rPr>
              <w:t>1</w:t>
            </w:r>
          </w:p>
        </w:tc>
        <w:tc>
          <w:tcPr>
            <w:tcW w:w="329" w:type="pct"/>
            <w:vAlign w:val="center"/>
          </w:tcPr>
          <w:p w14:paraId="3562AEB4">
            <w:pPr>
              <w:keepNext w:val="0"/>
              <w:keepLines w:val="0"/>
              <w:widowControl/>
              <w:suppressLineNumbers w:val="0"/>
              <w:spacing w:before="0" w:beforeAutospacing="0" w:after="0" w:afterAutospacing="0"/>
              <w:ind w:left="0" w:leftChars="0" w:right="0" w:rightChars="0"/>
              <w:jc w:val="center"/>
              <w:textAlignment w:val="center"/>
              <w:rPr>
                <w:rFonts w:ascii="Times New Roman" w:hAnsi="Times New Roman" w:eastAsia="宋体" w:cs="Times New Roman"/>
                <w:bCs/>
                <w:szCs w:val="21"/>
                <w:highlight w:val="none"/>
              </w:rPr>
            </w:pPr>
            <w:r>
              <w:rPr>
                <w:rFonts w:hint="eastAsia" w:ascii="宋体" w:hAnsi="宋体" w:cs="宋体"/>
                <w:color w:val="000000"/>
                <w:kern w:val="0"/>
                <w:szCs w:val="21"/>
                <w:lang w:val="en-US" w:eastAsia="zh-CN"/>
              </w:rPr>
              <w:t>套</w:t>
            </w:r>
          </w:p>
        </w:tc>
        <w:tc>
          <w:tcPr>
            <w:tcW w:w="582" w:type="pct"/>
            <w:vAlign w:val="center"/>
          </w:tcPr>
          <w:p w14:paraId="41985873">
            <w:pPr>
              <w:jc w:val="center"/>
              <w:rPr>
                <w:rFonts w:ascii="Times New Roman" w:hAnsi="Times New Roman" w:eastAsia="宋体" w:cs="Times New Roman"/>
                <w:bCs/>
                <w:szCs w:val="21"/>
                <w:highlight w:val="none"/>
              </w:rPr>
            </w:pPr>
          </w:p>
        </w:tc>
        <w:tc>
          <w:tcPr>
            <w:tcW w:w="559" w:type="pct"/>
            <w:vAlign w:val="center"/>
          </w:tcPr>
          <w:p w14:paraId="2EA76183">
            <w:pPr>
              <w:jc w:val="center"/>
              <w:rPr>
                <w:rFonts w:ascii="Times New Roman" w:hAnsi="Times New Roman" w:eastAsia="宋体" w:cs="Times New Roman"/>
                <w:bCs/>
                <w:szCs w:val="21"/>
                <w:highlight w:val="none"/>
              </w:rPr>
            </w:pPr>
          </w:p>
        </w:tc>
        <w:tc>
          <w:tcPr>
            <w:tcW w:w="543" w:type="pct"/>
            <w:vAlign w:val="center"/>
          </w:tcPr>
          <w:p w14:paraId="34EF40E8">
            <w:pPr>
              <w:keepNext w:val="0"/>
              <w:keepLines w:val="0"/>
              <w:suppressLineNumbers w:val="0"/>
              <w:spacing w:before="0" w:beforeAutospacing="0" w:after="0" w:afterAutospacing="0"/>
              <w:ind w:left="0" w:leftChars="0" w:right="0" w:rightChars="0"/>
              <w:jc w:val="center"/>
              <w:rPr>
                <w:rFonts w:ascii="Times New Roman" w:hAnsi="Times New Roman" w:eastAsia="宋体" w:cs="Times New Roman"/>
                <w:b/>
                <w:bCs/>
                <w:szCs w:val="21"/>
                <w:highlight w:val="none"/>
              </w:rPr>
            </w:pPr>
            <w:r>
              <w:rPr>
                <w:rFonts w:hint="eastAsia"/>
                <w:bCs/>
                <w:szCs w:val="21"/>
              </w:rPr>
              <w:t xml:space="preserve">10000000.00元 </w:t>
            </w:r>
          </w:p>
        </w:tc>
      </w:tr>
      <w:tr w14:paraId="161E5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10"/>
            <w:vAlign w:val="center"/>
          </w:tcPr>
          <w:p w14:paraId="762BAF4B">
            <w:pPr>
              <w:jc w:val="left"/>
              <w:rPr>
                <w:rFonts w:ascii="Times New Roman" w:hAnsi="Times New Roman" w:eastAsia="宋体" w:cs="Times New Roman"/>
                <w:b/>
                <w:bCs/>
                <w:color w:val="FF0000"/>
                <w:szCs w:val="21"/>
                <w:highlight w:val="none"/>
              </w:rPr>
            </w:pPr>
            <w:r>
              <w:rPr>
                <w:rFonts w:hint="eastAsia" w:ascii="Times New Roman" w:hAnsi="Times New Roman" w:eastAsia="宋体" w:cs="Times New Roman"/>
                <w:bCs/>
                <w:szCs w:val="21"/>
                <w:highlight w:val="none"/>
              </w:rPr>
              <w:t>合计（即投标总价；币种：人民币；单位：元） 小写：            大写：</w:t>
            </w:r>
          </w:p>
        </w:tc>
      </w:tr>
    </w:tbl>
    <w:p w14:paraId="3F96667B">
      <w:pPr>
        <w:ind w:firstLine="482" w:firstLineChars="200"/>
        <w:rPr>
          <w:rFonts w:ascii="宋体" w:hAnsi="宋体"/>
          <w:b/>
          <w:sz w:val="24"/>
          <w:highlight w:val="none"/>
        </w:rPr>
      </w:pPr>
      <w:r>
        <w:rPr>
          <w:rFonts w:hint="eastAsia" w:ascii="宋体" w:hAnsi="宋体"/>
          <w:b/>
          <w:sz w:val="24"/>
          <w:highlight w:val="none"/>
        </w:rPr>
        <w:t>注：1.本表可按同样格式扩展。</w:t>
      </w:r>
    </w:p>
    <w:p w14:paraId="3476E15F">
      <w:pPr>
        <w:ind w:firstLine="472" w:firstLineChars="196"/>
        <w:rPr>
          <w:rFonts w:hint="default" w:ascii="宋体" w:hAnsi="宋体" w:eastAsia="宋体"/>
          <w:b/>
          <w:sz w:val="24"/>
          <w:highlight w:val="none"/>
          <w:lang w:val="en-US" w:eastAsia="zh-CN"/>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eastAsia="zh-CN"/>
        </w:rPr>
        <w:t>“</w:t>
      </w:r>
      <w:r>
        <w:rPr>
          <w:rFonts w:hint="eastAsia" w:ascii="宋体" w:hAnsi="宋体"/>
          <w:b/>
          <w:sz w:val="24"/>
          <w:highlight w:val="none"/>
          <w:lang w:val="en-US" w:eastAsia="zh-CN"/>
        </w:rPr>
        <w:t>品牌</w:t>
      </w:r>
      <w:r>
        <w:rPr>
          <w:rFonts w:hint="eastAsia" w:ascii="宋体" w:hAnsi="宋体"/>
          <w:b/>
          <w:sz w:val="24"/>
          <w:highlight w:val="none"/>
          <w:lang w:eastAsia="zh-CN"/>
        </w:rPr>
        <w:t>”</w:t>
      </w:r>
      <w:r>
        <w:rPr>
          <w:rFonts w:hint="eastAsia" w:ascii="宋体" w:hAnsi="宋体"/>
          <w:b/>
          <w:sz w:val="24"/>
          <w:highlight w:val="none"/>
          <w:lang w:val="en-US" w:eastAsia="zh-CN"/>
        </w:rPr>
        <w:t>可以与商标一致，也可以填写便于区分其他公司商品的制造商简称或者制造商认可的品牌名称</w:t>
      </w:r>
      <w:r>
        <w:rPr>
          <w:rFonts w:hint="eastAsia" w:ascii="宋体" w:hAnsi="宋体"/>
          <w:b/>
          <w:sz w:val="24"/>
          <w:highlight w:val="none"/>
        </w:rPr>
        <w:t>。此类填写错误或缺漏的不利后果由供应商承担。经评审委员会认定，在使用综合评分法的项目中一项此类填写错误或缺漏将按照一项普通招标技术要求（一般参数/普通参数）负偏离扣分处理。</w:t>
      </w:r>
    </w:p>
    <w:p w14:paraId="4189EA48">
      <w:pPr>
        <w:ind w:firstLine="472" w:firstLineChars="196"/>
        <w:rPr>
          <w:rFonts w:hint="eastAsia"/>
          <w:b/>
          <w:sz w:val="24"/>
          <w:highlight w:val="none"/>
        </w:rPr>
      </w:pPr>
      <w:r>
        <w:rPr>
          <w:rFonts w:hint="eastAsia" w:ascii="宋体" w:hAnsi="宋体"/>
          <w:b/>
          <w:sz w:val="24"/>
          <w:highlight w:val="none"/>
          <w:lang w:val="en-US" w:eastAsia="zh-CN"/>
        </w:rPr>
        <w:t>3.</w:t>
      </w:r>
      <w:r>
        <w:rPr>
          <w:rFonts w:hint="eastAsia" w:ascii="宋体" w:hAnsi="宋体"/>
          <w:b/>
          <w:sz w:val="24"/>
          <w:highlight w:val="none"/>
        </w:rPr>
        <w:t>如所投货物属于定制类的非量产货物或无具体型号的货物，可以在“规格/型号”</w:t>
      </w:r>
      <w:r>
        <w:rPr>
          <w:rFonts w:hint="eastAsia" w:ascii="宋体" w:hAnsi="宋体"/>
          <w:b/>
          <w:sz w:val="24"/>
          <w:highlight w:val="none"/>
          <w:lang w:val="en-US" w:eastAsia="zh-CN"/>
        </w:rPr>
        <w:t>栏目</w:t>
      </w:r>
      <w:r>
        <w:rPr>
          <w:rFonts w:hint="eastAsia" w:ascii="宋体" w:hAnsi="宋体"/>
          <w:b/>
          <w:sz w:val="24"/>
          <w:highlight w:val="none"/>
        </w:rPr>
        <w:t>仅填写规格信息而不填型号信息（型号信息用“定制”描述即可）；此类填写错误</w:t>
      </w:r>
      <w:r>
        <w:rPr>
          <w:rFonts w:hint="eastAsia" w:ascii="宋体" w:hAnsi="宋体"/>
          <w:b/>
          <w:sz w:val="24"/>
          <w:highlight w:val="none"/>
          <w:lang w:val="en-US" w:eastAsia="zh-CN"/>
        </w:rPr>
        <w:t>或缺漏</w:t>
      </w:r>
      <w:r>
        <w:rPr>
          <w:rFonts w:hint="eastAsia" w:ascii="宋体" w:hAnsi="宋体"/>
          <w:b/>
          <w:sz w:val="24"/>
          <w:highlight w:val="none"/>
        </w:rPr>
        <w:t>（所投货物为定制类的非量产货物但供应商却错误填报了型号）的不利后果</w:t>
      </w:r>
      <w:r>
        <w:rPr>
          <w:rFonts w:hint="eastAsia"/>
          <w:b/>
          <w:sz w:val="24"/>
          <w:highlight w:val="none"/>
        </w:rPr>
        <w:t>由供应商承担</w:t>
      </w:r>
      <w:r>
        <w:rPr>
          <w:rFonts w:hint="eastAsia" w:eastAsia="宋体"/>
          <w:b/>
          <w:sz w:val="24"/>
          <w:highlight w:val="none"/>
          <w:lang w:eastAsia="zh-CN"/>
        </w:rPr>
        <w:t>。</w:t>
      </w:r>
      <w:r>
        <w:rPr>
          <w:rFonts w:hint="eastAsia"/>
          <w:b/>
          <w:sz w:val="24"/>
          <w:highlight w:val="none"/>
        </w:rPr>
        <w:t>经评审委员会认定，在使用综合评分法的项目中一项此类填写错误</w:t>
      </w:r>
      <w:r>
        <w:rPr>
          <w:rFonts w:hint="eastAsia" w:ascii="Times New Roman" w:eastAsia="宋体"/>
          <w:b/>
          <w:sz w:val="24"/>
          <w:highlight w:val="none"/>
          <w:lang w:val="en-US" w:eastAsia="zh-CN"/>
        </w:rPr>
        <w:t>或缺漏</w:t>
      </w:r>
      <w:r>
        <w:rPr>
          <w:rFonts w:hint="eastAsia"/>
          <w:b/>
          <w:sz w:val="24"/>
          <w:highlight w:val="none"/>
        </w:rPr>
        <w:t>将按照一项</w:t>
      </w:r>
      <w:r>
        <w:rPr>
          <w:rFonts w:hint="eastAsia" w:ascii="Times New Roman" w:eastAsia="宋体"/>
          <w:b/>
          <w:sz w:val="24"/>
          <w:highlight w:val="none"/>
          <w:lang w:val="en-US" w:eastAsia="zh-CN"/>
        </w:rPr>
        <w:t>普通招标技术要求（一般参数/普通参数）</w:t>
      </w:r>
      <w:r>
        <w:rPr>
          <w:rFonts w:hint="eastAsia"/>
          <w:b/>
          <w:sz w:val="24"/>
          <w:highlight w:val="none"/>
        </w:rPr>
        <w:t>负偏离扣分处理。</w:t>
      </w:r>
    </w:p>
    <w:p w14:paraId="7050CD39">
      <w:pPr>
        <w:ind w:firstLine="482" w:firstLineChars="200"/>
        <w:rPr>
          <w:rFonts w:ascii="宋体" w:hAnsi="宋体"/>
          <w:b/>
          <w:sz w:val="24"/>
          <w:highlight w:val="none"/>
        </w:rPr>
      </w:pPr>
      <w:r>
        <w:rPr>
          <w:rFonts w:hint="eastAsia" w:ascii="宋体" w:hAnsi="宋体"/>
          <w:b/>
          <w:sz w:val="24"/>
          <w:highlight w:val="none"/>
          <w:lang w:val="en-US" w:eastAsia="zh-CN"/>
        </w:rPr>
        <w:t>4</w:t>
      </w:r>
      <w:r>
        <w:rPr>
          <w:rFonts w:hint="eastAsia" w:ascii="宋体" w:hAnsi="宋体"/>
          <w:b/>
          <w:sz w:val="24"/>
          <w:highlight w:val="none"/>
        </w:rPr>
        <w:t>.以上分项报价表的投标总价应当与开标一览表的投标总价一致。</w:t>
      </w:r>
    </w:p>
    <w:p w14:paraId="0031CFFB">
      <w:pPr>
        <w:ind w:firstLine="482" w:firstLineChars="200"/>
        <w:rPr>
          <w:rFonts w:ascii="宋体" w:hAnsi="宋体"/>
          <w:b/>
          <w:sz w:val="24"/>
          <w:highlight w:val="none"/>
        </w:rPr>
      </w:pPr>
      <w:r>
        <w:rPr>
          <w:rFonts w:hint="eastAsia" w:ascii="宋体" w:hAnsi="宋体"/>
          <w:b/>
          <w:sz w:val="24"/>
          <w:highlight w:val="none"/>
          <w:lang w:val="en-US" w:eastAsia="zh-CN"/>
        </w:rPr>
        <w:t>5</w:t>
      </w:r>
      <w:r>
        <w:rPr>
          <w:rFonts w:hint="eastAsia" w:ascii="宋体" w:hAnsi="宋体"/>
          <w:b/>
          <w:sz w:val="24"/>
          <w:highlight w:val="none"/>
        </w:rPr>
        <w:t>.单价、合价和投标总价为包干价，即三者均应包含货物的价款、包装、运输、装卸、安装、调试、技术指导、培训、咨询、服务、保险、税费、检测、验收合格交付使用之前以及技术和售后服务等其他各项有关费用。</w:t>
      </w:r>
    </w:p>
    <w:p w14:paraId="593131B4">
      <w:pPr>
        <w:ind w:firstLine="482" w:firstLineChars="200"/>
        <w:rPr>
          <w:rFonts w:hint="eastAsia" w:ascii="宋体" w:hAnsi="宋体"/>
          <w:b/>
          <w:sz w:val="24"/>
          <w:highlight w:val="none"/>
        </w:rPr>
      </w:pPr>
      <w:r>
        <w:rPr>
          <w:rFonts w:hint="eastAsia" w:ascii="宋体" w:hAnsi="宋体"/>
          <w:b/>
          <w:sz w:val="24"/>
          <w:highlight w:val="none"/>
          <w:lang w:val="en-US" w:eastAsia="zh-CN"/>
        </w:rPr>
        <w:t>6</w:t>
      </w:r>
      <w:r>
        <w:rPr>
          <w:rFonts w:hint="eastAsia" w:ascii="宋体" w:hAnsi="宋体"/>
          <w:b/>
          <w:sz w:val="24"/>
          <w:highlight w:val="none"/>
        </w:rPr>
        <w:t>.所有价格应按“招标文件”中规定的货币单位填写；投标总价应为以上各分项价格之和；投标总价和项目报价表中单个采购预算条目报价均不得超过对应的财政预算限额，否则将导致投标无效。</w:t>
      </w:r>
    </w:p>
    <w:p w14:paraId="6A3BEC92">
      <w:pPr>
        <w:pStyle w:val="38"/>
      </w:pPr>
    </w:p>
    <w:p w14:paraId="2C12829F">
      <w:pPr>
        <w:ind w:firstLine="723" w:firstLineChars="300"/>
        <w:rPr>
          <w:b/>
          <w:color w:val="FF0000"/>
          <w:sz w:val="24"/>
        </w:rPr>
      </w:pPr>
    </w:p>
    <w:p w14:paraId="35C769BB">
      <w:pPr>
        <w:ind w:firstLine="723" w:firstLineChars="300"/>
        <w:rPr>
          <w:b/>
          <w:color w:val="FF0000"/>
          <w:sz w:val="24"/>
        </w:rPr>
      </w:pPr>
      <w:r>
        <w:rPr>
          <w:rFonts w:hint="eastAsia"/>
          <w:b/>
          <w:color w:val="FF0000"/>
          <w:sz w:val="24"/>
        </w:rPr>
        <w:t>（信息公开部分的内容到此为止！以下为信息不公开部分。）</w:t>
      </w:r>
    </w:p>
    <w:bookmarkEnd w:id="60"/>
    <w:p w14:paraId="2FEEB57B">
      <w:r>
        <w:br w:type="page"/>
      </w:r>
    </w:p>
    <w:p w14:paraId="0E952DEC">
      <w:pPr>
        <w:outlineLvl w:val="1"/>
        <w:rPr>
          <w:rFonts w:hint="eastAsia" w:ascii="宋体" w:hAnsi="宋体"/>
          <w:b/>
          <w:color w:val="FF0000"/>
          <w:sz w:val="28"/>
          <w:szCs w:val="28"/>
        </w:rPr>
      </w:pPr>
      <w:bookmarkStart w:id="61" w:name="_Hlk72260530"/>
      <w:r>
        <w:rPr>
          <w:rFonts w:hint="eastAsia" w:ascii="宋体" w:hAnsi="宋体"/>
          <w:b/>
          <w:color w:val="FF0000"/>
          <w:sz w:val="28"/>
          <w:szCs w:val="28"/>
        </w:rPr>
        <w:t>投标文件附件（信息不公开部分）</w:t>
      </w:r>
    </w:p>
    <w:p w14:paraId="2BE0C49E">
      <w:pPr>
        <w:snapToGrid w:val="0"/>
        <w:jc w:val="center"/>
        <w:outlineLvl w:val="0"/>
        <w:rPr>
          <w:rFonts w:hint="eastAsia" w:ascii="黑体" w:hAnsi="宋体" w:eastAsia="黑体"/>
          <w:bCs/>
          <w:sz w:val="24"/>
          <w:szCs w:val="32"/>
        </w:rPr>
      </w:pPr>
    </w:p>
    <w:p w14:paraId="5DFD9C9D">
      <w:pPr>
        <w:snapToGrid w:val="0"/>
        <w:jc w:val="center"/>
        <w:outlineLvl w:val="0"/>
        <w:rPr>
          <w:rFonts w:hint="eastAsia" w:ascii="黑体" w:hAnsi="宋体" w:eastAsia="黑体"/>
          <w:bCs/>
          <w:sz w:val="24"/>
          <w:szCs w:val="32"/>
        </w:rPr>
      </w:pPr>
      <w:r>
        <w:rPr>
          <w:rFonts w:hint="eastAsia" w:ascii="黑体" w:hAnsi="宋体" w:eastAsia="黑体"/>
          <w:bCs/>
          <w:sz w:val="24"/>
          <w:szCs w:val="32"/>
        </w:rPr>
        <w:t>一、供应商基本情况表</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627"/>
        <w:gridCol w:w="1489"/>
        <w:gridCol w:w="880"/>
        <w:gridCol w:w="732"/>
        <w:gridCol w:w="1116"/>
        <w:gridCol w:w="1391"/>
        <w:gridCol w:w="1383"/>
      </w:tblGrid>
      <w:tr w14:paraId="22E5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vAlign w:val="center"/>
          </w:tcPr>
          <w:p w14:paraId="540B2568">
            <w:pPr>
              <w:rPr>
                <w:rFonts w:hint="eastAsia" w:ascii="宋体" w:hAnsi="宋体" w:cs="宋体"/>
                <w:szCs w:val="21"/>
              </w:rPr>
            </w:pPr>
            <w:r>
              <w:rPr>
                <w:rFonts w:hint="eastAsia" w:ascii="宋体" w:hAnsi="宋体" w:cs="宋体"/>
                <w:szCs w:val="21"/>
              </w:rPr>
              <w:t>投标（响应）供应商</w:t>
            </w:r>
          </w:p>
        </w:tc>
        <w:tc>
          <w:tcPr>
            <w:tcW w:w="1427" w:type="pct"/>
            <w:gridSpan w:val="2"/>
            <w:vAlign w:val="center"/>
          </w:tcPr>
          <w:p w14:paraId="5416D074">
            <w:pPr>
              <w:jc w:val="center"/>
              <w:rPr>
                <w:rFonts w:hint="eastAsia" w:ascii="宋体" w:hAnsi="宋体" w:cs="宋体"/>
                <w:szCs w:val="21"/>
              </w:rPr>
            </w:pPr>
          </w:p>
        </w:tc>
        <w:tc>
          <w:tcPr>
            <w:tcW w:w="1113" w:type="pct"/>
            <w:gridSpan w:val="2"/>
            <w:vAlign w:val="center"/>
          </w:tcPr>
          <w:p w14:paraId="480D30A4">
            <w:pPr>
              <w:jc w:val="center"/>
              <w:rPr>
                <w:rFonts w:hint="eastAsia" w:ascii="宋体" w:hAnsi="宋体" w:cs="宋体"/>
                <w:szCs w:val="21"/>
              </w:rPr>
            </w:pPr>
            <w:r>
              <w:rPr>
                <w:rFonts w:hint="eastAsia" w:ascii="宋体" w:hAnsi="宋体" w:cs="宋体"/>
                <w:szCs w:val="21"/>
              </w:rPr>
              <w:t>项目名称及编号</w:t>
            </w:r>
          </w:p>
        </w:tc>
        <w:tc>
          <w:tcPr>
            <w:tcW w:w="1669" w:type="pct"/>
            <w:gridSpan w:val="2"/>
            <w:vAlign w:val="center"/>
          </w:tcPr>
          <w:p w14:paraId="24EFAA72">
            <w:pPr>
              <w:jc w:val="center"/>
              <w:rPr>
                <w:rFonts w:hint="eastAsia" w:ascii="宋体" w:hAnsi="宋体" w:cs="宋体"/>
                <w:szCs w:val="21"/>
              </w:rPr>
            </w:pPr>
          </w:p>
        </w:tc>
      </w:tr>
      <w:tr w14:paraId="4F08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14414990">
            <w:pPr>
              <w:jc w:val="center"/>
              <w:rPr>
                <w:rFonts w:hint="eastAsia" w:ascii="宋体" w:hAnsi="宋体" w:cs="宋体"/>
                <w:szCs w:val="21"/>
              </w:rPr>
            </w:pPr>
            <w:r>
              <w:rPr>
                <w:rFonts w:hint="eastAsia" w:ascii="宋体" w:hAnsi="宋体" w:cs="宋体"/>
                <w:b/>
                <w:bCs/>
                <w:szCs w:val="21"/>
              </w:rPr>
              <w:t>投标（响应）供应商相关人员情况</w:t>
            </w:r>
          </w:p>
        </w:tc>
      </w:tr>
      <w:tr w14:paraId="57FE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392EA827">
            <w:pPr>
              <w:snapToGrid w:val="0"/>
              <w:jc w:val="center"/>
              <w:rPr>
                <w:rFonts w:hint="eastAsia" w:ascii="宋体" w:hAnsi="宋体" w:cs="宋体"/>
                <w:szCs w:val="21"/>
              </w:rPr>
            </w:pPr>
            <w:r>
              <w:rPr>
                <w:rFonts w:hint="eastAsia" w:ascii="宋体" w:hAnsi="宋体" w:cs="宋体"/>
                <w:szCs w:val="21"/>
              </w:rPr>
              <w:t>序号</w:t>
            </w:r>
          </w:p>
        </w:tc>
        <w:tc>
          <w:tcPr>
            <w:tcW w:w="1275" w:type="pct"/>
            <w:gridSpan w:val="2"/>
            <w:tcBorders>
              <w:bottom w:val="single" w:color="auto" w:sz="4" w:space="0"/>
            </w:tcBorders>
            <w:vAlign w:val="center"/>
          </w:tcPr>
          <w:p w14:paraId="60565476">
            <w:pPr>
              <w:jc w:val="center"/>
              <w:rPr>
                <w:rFonts w:hint="eastAsia" w:ascii="宋体" w:hAnsi="宋体" w:cs="宋体"/>
                <w:szCs w:val="21"/>
              </w:rPr>
            </w:pPr>
            <w:r>
              <w:rPr>
                <w:rFonts w:hint="eastAsia" w:ascii="宋体" w:hAnsi="宋体" w:cs="宋体"/>
                <w:szCs w:val="21"/>
              </w:rPr>
              <w:t>职务</w:t>
            </w:r>
          </w:p>
        </w:tc>
        <w:tc>
          <w:tcPr>
            <w:tcW w:w="529" w:type="pct"/>
            <w:tcBorders>
              <w:bottom w:val="single" w:color="auto" w:sz="4" w:space="0"/>
            </w:tcBorders>
            <w:vAlign w:val="center"/>
          </w:tcPr>
          <w:p w14:paraId="6F31991E">
            <w:pPr>
              <w:jc w:val="center"/>
              <w:rPr>
                <w:rFonts w:hint="eastAsia"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19672578">
            <w:pPr>
              <w:jc w:val="center"/>
              <w:rPr>
                <w:rFonts w:hint="eastAsia"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7FA10189">
            <w:pPr>
              <w:snapToGrid w:val="0"/>
              <w:jc w:val="center"/>
              <w:rPr>
                <w:rFonts w:hint="eastAsia" w:ascii="宋体" w:hAnsi="宋体" w:cs="宋体"/>
                <w:szCs w:val="21"/>
              </w:rPr>
            </w:pPr>
            <w:r>
              <w:rPr>
                <w:rFonts w:hint="eastAsia" w:ascii="宋体" w:hAnsi="宋体" w:cs="宋体"/>
                <w:szCs w:val="21"/>
              </w:rPr>
              <w:t>劳动合同</w:t>
            </w:r>
          </w:p>
          <w:p w14:paraId="03D49123">
            <w:pPr>
              <w:snapToGrid w:val="0"/>
              <w:jc w:val="center"/>
              <w:rPr>
                <w:rFonts w:hint="eastAsia" w:ascii="宋体" w:hAnsi="宋体" w:cs="宋体"/>
                <w:szCs w:val="21"/>
              </w:rPr>
            </w:pPr>
            <w:r>
              <w:rPr>
                <w:rFonts w:hint="eastAsia" w:ascii="宋体" w:hAnsi="宋体" w:cs="宋体"/>
                <w:szCs w:val="21"/>
              </w:rPr>
              <w:t>关系单位</w:t>
            </w:r>
          </w:p>
        </w:tc>
        <w:tc>
          <w:tcPr>
            <w:tcW w:w="830" w:type="pct"/>
            <w:tcBorders>
              <w:bottom w:val="single" w:color="auto" w:sz="4" w:space="0"/>
            </w:tcBorders>
            <w:vAlign w:val="center"/>
          </w:tcPr>
          <w:p w14:paraId="74D4B637">
            <w:pPr>
              <w:snapToGrid w:val="0"/>
              <w:jc w:val="center"/>
              <w:rPr>
                <w:rFonts w:hint="eastAsia" w:ascii="宋体" w:hAnsi="宋体" w:cs="宋体"/>
                <w:szCs w:val="21"/>
              </w:rPr>
            </w:pPr>
            <w:r>
              <w:rPr>
                <w:rFonts w:hint="eastAsia" w:ascii="宋体" w:hAnsi="宋体" w:cs="宋体"/>
                <w:szCs w:val="21"/>
              </w:rPr>
              <w:t>缴纳社会</w:t>
            </w:r>
          </w:p>
          <w:p w14:paraId="12F8901D">
            <w:pPr>
              <w:snapToGrid w:val="0"/>
              <w:jc w:val="center"/>
              <w:rPr>
                <w:rFonts w:hint="eastAsia" w:ascii="宋体" w:hAnsi="宋体" w:cs="宋体"/>
                <w:szCs w:val="21"/>
              </w:rPr>
            </w:pPr>
            <w:r>
              <w:rPr>
                <w:rFonts w:hint="eastAsia" w:ascii="宋体" w:hAnsi="宋体" w:cs="宋体"/>
                <w:szCs w:val="21"/>
              </w:rPr>
              <w:t>保险单位</w:t>
            </w:r>
          </w:p>
        </w:tc>
      </w:tr>
      <w:tr w14:paraId="272C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6DEB99FA">
            <w:pPr>
              <w:jc w:val="center"/>
              <w:rPr>
                <w:rFonts w:hint="eastAsia"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13577207">
            <w:pPr>
              <w:spacing w:line="460" w:lineRule="exact"/>
              <w:jc w:val="center"/>
              <w:rPr>
                <w:rFonts w:hint="eastAsia" w:ascii="宋体" w:hAnsi="宋体" w:cs="宋体"/>
                <w:szCs w:val="21"/>
              </w:rPr>
            </w:pPr>
            <w:r>
              <w:rPr>
                <w:rFonts w:hint="eastAsia" w:ascii="宋体" w:hAnsi="宋体" w:cs="宋体"/>
                <w:szCs w:val="21"/>
              </w:rPr>
              <w:t>法定代表人/单位负责人/主要经营负责人</w:t>
            </w:r>
          </w:p>
        </w:tc>
        <w:tc>
          <w:tcPr>
            <w:tcW w:w="529" w:type="pct"/>
            <w:tcBorders>
              <w:top w:val="single" w:color="auto" w:sz="4" w:space="0"/>
              <w:left w:val="single" w:color="auto" w:sz="4" w:space="0"/>
              <w:bottom w:val="single" w:color="auto" w:sz="4" w:space="0"/>
              <w:right w:val="single" w:color="auto" w:sz="4" w:space="0"/>
            </w:tcBorders>
            <w:vAlign w:val="center"/>
          </w:tcPr>
          <w:p w14:paraId="1AC556A8">
            <w:pPr>
              <w:jc w:val="center"/>
              <w:rPr>
                <w:rFonts w:hint="eastAsia"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7EA85013">
            <w:pPr>
              <w:jc w:val="center"/>
              <w:rPr>
                <w:rFonts w:hint="eastAsia"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48AB19D2">
            <w:pPr>
              <w:jc w:val="center"/>
              <w:rPr>
                <w:rFonts w:hint="eastAsia"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511F468A">
            <w:pPr>
              <w:jc w:val="center"/>
              <w:rPr>
                <w:rFonts w:hint="eastAsia" w:ascii="宋体" w:hAnsi="宋体" w:cs="宋体"/>
                <w:szCs w:val="21"/>
              </w:rPr>
            </w:pPr>
          </w:p>
        </w:tc>
      </w:tr>
      <w:tr w14:paraId="3379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3367AD18">
            <w:pPr>
              <w:jc w:val="center"/>
              <w:rPr>
                <w:rFonts w:hint="eastAsia"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3B8B46C4">
            <w:pPr>
              <w:jc w:val="center"/>
              <w:rPr>
                <w:rFonts w:hint="eastAsia" w:ascii="宋体" w:hAnsi="宋体" w:cs="宋体"/>
                <w:szCs w:val="21"/>
              </w:rPr>
            </w:pPr>
            <w:r>
              <w:rPr>
                <w:rFonts w:hint="eastAsia" w:ascii="宋体" w:hAnsi="宋体" w:cs="宋体"/>
                <w:szCs w:val="21"/>
              </w:rPr>
              <w:t>项目投标授权代表人</w:t>
            </w:r>
          </w:p>
        </w:tc>
        <w:tc>
          <w:tcPr>
            <w:tcW w:w="529" w:type="pct"/>
            <w:tcBorders>
              <w:top w:val="single" w:color="auto" w:sz="4" w:space="0"/>
              <w:left w:val="single" w:color="auto" w:sz="4" w:space="0"/>
              <w:bottom w:val="single" w:color="auto" w:sz="4" w:space="0"/>
              <w:right w:val="single" w:color="auto" w:sz="4" w:space="0"/>
            </w:tcBorders>
            <w:vAlign w:val="center"/>
          </w:tcPr>
          <w:p w14:paraId="47DC53F7">
            <w:pPr>
              <w:jc w:val="center"/>
              <w:rPr>
                <w:rFonts w:hint="eastAsia"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28512BAE">
            <w:pPr>
              <w:jc w:val="center"/>
              <w:rPr>
                <w:rFonts w:hint="eastAsia"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69EEF8D7">
            <w:pPr>
              <w:jc w:val="center"/>
              <w:rPr>
                <w:rFonts w:hint="eastAsia"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0093ABBF">
            <w:pPr>
              <w:jc w:val="center"/>
              <w:rPr>
                <w:rFonts w:hint="eastAsia" w:ascii="宋体" w:hAnsi="宋体" w:cs="宋体"/>
                <w:szCs w:val="21"/>
              </w:rPr>
            </w:pPr>
          </w:p>
        </w:tc>
      </w:tr>
      <w:tr w14:paraId="148FD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vAlign w:val="center"/>
          </w:tcPr>
          <w:p w14:paraId="53D632CD">
            <w:pPr>
              <w:jc w:val="center"/>
              <w:rPr>
                <w:rFonts w:hint="eastAsia" w:ascii="宋体" w:hAnsi="宋体" w:cs="宋体"/>
                <w:szCs w:val="21"/>
              </w:rPr>
            </w:pPr>
            <w:r>
              <w:rPr>
                <w:rFonts w:hint="eastAsia" w:ascii="宋体" w:hAnsi="宋体" w:cs="宋体"/>
                <w:szCs w:val="21"/>
              </w:rPr>
              <w:t>3</w:t>
            </w:r>
          </w:p>
        </w:tc>
        <w:tc>
          <w:tcPr>
            <w:tcW w:w="1275" w:type="pct"/>
            <w:gridSpan w:val="2"/>
            <w:tcBorders>
              <w:top w:val="single" w:color="auto" w:sz="4" w:space="0"/>
            </w:tcBorders>
            <w:vAlign w:val="center"/>
          </w:tcPr>
          <w:p w14:paraId="2C5D70CD">
            <w:pPr>
              <w:jc w:val="center"/>
              <w:rPr>
                <w:rFonts w:hint="eastAsia" w:ascii="宋体" w:hAnsi="宋体" w:cs="宋体"/>
                <w:szCs w:val="21"/>
              </w:rPr>
            </w:pPr>
            <w:r>
              <w:rPr>
                <w:rFonts w:hint="eastAsia" w:ascii="宋体" w:hAnsi="宋体" w:cs="宋体"/>
                <w:szCs w:val="21"/>
              </w:rPr>
              <w:t>项目负责人</w:t>
            </w:r>
          </w:p>
        </w:tc>
        <w:tc>
          <w:tcPr>
            <w:tcW w:w="529" w:type="pct"/>
            <w:tcBorders>
              <w:top w:val="single" w:color="auto" w:sz="4" w:space="0"/>
            </w:tcBorders>
            <w:vAlign w:val="center"/>
          </w:tcPr>
          <w:p w14:paraId="4A35A01B">
            <w:pPr>
              <w:jc w:val="center"/>
              <w:rPr>
                <w:rFonts w:hint="eastAsia" w:ascii="宋体" w:hAnsi="宋体" w:cs="宋体"/>
                <w:szCs w:val="21"/>
              </w:rPr>
            </w:pPr>
          </w:p>
        </w:tc>
        <w:tc>
          <w:tcPr>
            <w:tcW w:w="1113" w:type="pct"/>
            <w:gridSpan w:val="2"/>
            <w:tcBorders>
              <w:top w:val="single" w:color="auto" w:sz="4" w:space="0"/>
            </w:tcBorders>
            <w:vAlign w:val="center"/>
          </w:tcPr>
          <w:p w14:paraId="46520EAF">
            <w:pPr>
              <w:jc w:val="center"/>
              <w:rPr>
                <w:rFonts w:hint="eastAsia" w:ascii="宋体" w:hAnsi="宋体" w:cs="宋体"/>
                <w:szCs w:val="21"/>
              </w:rPr>
            </w:pPr>
          </w:p>
        </w:tc>
        <w:tc>
          <w:tcPr>
            <w:tcW w:w="838" w:type="pct"/>
            <w:tcBorders>
              <w:top w:val="single" w:color="auto" w:sz="4" w:space="0"/>
            </w:tcBorders>
            <w:vAlign w:val="center"/>
          </w:tcPr>
          <w:p w14:paraId="09E1CA8A">
            <w:pPr>
              <w:jc w:val="center"/>
              <w:rPr>
                <w:rFonts w:hint="eastAsia" w:ascii="宋体" w:hAnsi="宋体" w:cs="宋体"/>
                <w:szCs w:val="21"/>
              </w:rPr>
            </w:pPr>
          </w:p>
        </w:tc>
        <w:tc>
          <w:tcPr>
            <w:tcW w:w="830" w:type="pct"/>
            <w:tcBorders>
              <w:top w:val="single" w:color="auto" w:sz="4" w:space="0"/>
            </w:tcBorders>
            <w:vAlign w:val="center"/>
          </w:tcPr>
          <w:p w14:paraId="4EC815B7">
            <w:pPr>
              <w:jc w:val="center"/>
              <w:rPr>
                <w:rFonts w:hint="eastAsia" w:ascii="宋体" w:hAnsi="宋体" w:cs="宋体"/>
                <w:szCs w:val="21"/>
              </w:rPr>
            </w:pPr>
          </w:p>
        </w:tc>
      </w:tr>
      <w:tr w14:paraId="71374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15DD6435">
            <w:pPr>
              <w:jc w:val="center"/>
              <w:rPr>
                <w:rFonts w:hint="eastAsia" w:ascii="宋体" w:hAnsi="宋体" w:cs="宋体"/>
                <w:szCs w:val="21"/>
              </w:rPr>
            </w:pPr>
            <w:r>
              <w:rPr>
                <w:rFonts w:hint="eastAsia" w:ascii="宋体" w:hAnsi="宋体" w:cs="宋体"/>
                <w:szCs w:val="21"/>
              </w:rPr>
              <w:t>4</w:t>
            </w:r>
          </w:p>
        </w:tc>
        <w:tc>
          <w:tcPr>
            <w:tcW w:w="1275" w:type="pct"/>
            <w:gridSpan w:val="2"/>
            <w:vAlign w:val="center"/>
          </w:tcPr>
          <w:p w14:paraId="1CA501E5">
            <w:pPr>
              <w:jc w:val="center"/>
              <w:rPr>
                <w:rFonts w:hint="eastAsia" w:ascii="宋体" w:hAnsi="宋体" w:cs="宋体"/>
                <w:szCs w:val="21"/>
              </w:rPr>
            </w:pPr>
            <w:r>
              <w:rPr>
                <w:rFonts w:hint="eastAsia" w:ascii="宋体" w:hAnsi="宋体" w:cs="宋体"/>
                <w:szCs w:val="21"/>
              </w:rPr>
              <w:t>主要技术人员</w:t>
            </w:r>
          </w:p>
        </w:tc>
        <w:tc>
          <w:tcPr>
            <w:tcW w:w="529" w:type="pct"/>
            <w:vAlign w:val="center"/>
          </w:tcPr>
          <w:p w14:paraId="65BFA752">
            <w:pPr>
              <w:jc w:val="center"/>
              <w:rPr>
                <w:rFonts w:hint="eastAsia" w:ascii="宋体" w:hAnsi="宋体" w:cs="宋体"/>
                <w:szCs w:val="21"/>
              </w:rPr>
            </w:pPr>
          </w:p>
        </w:tc>
        <w:tc>
          <w:tcPr>
            <w:tcW w:w="1113" w:type="pct"/>
            <w:gridSpan w:val="2"/>
            <w:vAlign w:val="center"/>
          </w:tcPr>
          <w:p w14:paraId="4BB765CB">
            <w:pPr>
              <w:jc w:val="center"/>
              <w:rPr>
                <w:rFonts w:hint="eastAsia" w:ascii="宋体" w:hAnsi="宋体" w:cs="宋体"/>
                <w:szCs w:val="21"/>
              </w:rPr>
            </w:pPr>
          </w:p>
        </w:tc>
        <w:tc>
          <w:tcPr>
            <w:tcW w:w="838" w:type="pct"/>
            <w:vAlign w:val="center"/>
          </w:tcPr>
          <w:p w14:paraId="11935141">
            <w:pPr>
              <w:jc w:val="center"/>
              <w:rPr>
                <w:rFonts w:hint="eastAsia" w:ascii="宋体" w:hAnsi="宋体" w:cs="宋体"/>
                <w:szCs w:val="21"/>
              </w:rPr>
            </w:pPr>
          </w:p>
        </w:tc>
        <w:tc>
          <w:tcPr>
            <w:tcW w:w="830" w:type="pct"/>
            <w:vAlign w:val="center"/>
          </w:tcPr>
          <w:p w14:paraId="66323F69">
            <w:pPr>
              <w:jc w:val="center"/>
              <w:rPr>
                <w:rFonts w:hint="eastAsia" w:ascii="宋体" w:hAnsi="宋体" w:cs="宋体"/>
                <w:szCs w:val="21"/>
              </w:rPr>
            </w:pPr>
          </w:p>
        </w:tc>
      </w:tr>
      <w:tr w14:paraId="2A10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32F54135">
            <w:pPr>
              <w:jc w:val="center"/>
              <w:rPr>
                <w:rFonts w:hint="eastAsia" w:ascii="宋体" w:hAnsi="宋体" w:cs="宋体"/>
                <w:szCs w:val="21"/>
              </w:rPr>
            </w:pPr>
            <w:r>
              <w:rPr>
                <w:rFonts w:hint="eastAsia" w:ascii="宋体" w:hAnsi="宋体" w:cs="宋体"/>
                <w:szCs w:val="21"/>
              </w:rPr>
              <w:t>5</w:t>
            </w:r>
          </w:p>
        </w:tc>
        <w:tc>
          <w:tcPr>
            <w:tcW w:w="1275" w:type="pct"/>
            <w:gridSpan w:val="2"/>
            <w:vAlign w:val="center"/>
          </w:tcPr>
          <w:p w14:paraId="78BF6718">
            <w:pPr>
              <w:snapToGrid w:val="0"/>
              <w:jc w:val="center"/>
              <w:rPr>
                <w:rFonts w:hint="eastAsia" w:ascii="宋体" w:hAnsi="宋体" w:cs="宋体"/>
                <w:szCs w:val="21"/>
              </w:rPr>
            </w:pPr>
            <w:r>
              <w:rPr>
                <w:rFonts w:hint="eastAsia" w:ascii="宋体" w:hAnsi="宋体" w:cs="宋体"/>
                <w:szCs w:val="21"/>
              </w:rPr>
              <w:t>投标文件编制人员</w:t>
            </w:r>
          </w:p>
        </w:tc>
        <w:tc>
          <w:tcPr>
            <w:tcW w:w="529" w:type="pct"/>
            <w:vAlign w:val="center"/>
          </w:tcPr>
          <w:p w14:paraId="6FB49F48">
            <w:pPr>
              <w:jc w:val="center"/>
              <w:rPr>
                <w:rFonts w:hint="eastAsia" w:ascii="宋体" w:hAnsi="宋体" w:cs="宋体"/>
                <w:szCs w:val="21"/>
              </w:rPr>
            </w:pPr>
          </w:p>
        </w:tc>
        <w:tc>
          <w:tcPr>
            <w:tcW w:w="1113" w:type="pct"/>
            <w:gridSpan w:val="2"/>
            <w:vAlign w:val="center"/>
          </w:tcPr>
          <w:p w14:paraId="4F83E9BE">
            <w:pPr>
              <w:jc w:val="center"/>
              <w:rPr>
                <w:rFonts w:hint="eastAsia" w:ascii="宋体" w:hAnsi="宋体" w:cs="宋体"/>
                <w:szCs w:val="21"/>
              </w:rPr>
            </w:pPr>
          </w:p>
        </w:tc>
        <w:tc>
          <w:tcPr>
            <w:tcW w:w="838" w:type="pct"/>
            <w:vAlign w:val="center"/>
          </w:tcPr>
          <w:p w14:paraId="78E4A162">
            <w:pPr>
              <w:jc w:val="center"/>
              <w:rPr>
                <w:rFonts w:hint="eastAsia" w:ascii="宋体" w:hAnsi="宋体" w:cs="宋体"/>
                <w:szCs w:val="21"/>
              </w:rPr>
            </w:pPr>
          </w:p>
        </w:tc>
        <w:tc>
          <w:tcPr>
            <w:tcW w:w="830" w:type="pct"/>
            <w:vAlign w:val="center"/>
          </w:tcPr>
          <w:p w14:paraId="754EC805">
            <w:pPr>
              <w:jc w:val="center"/>
              <w:rPr>
                <w:rFonts w:hint="eastAsia" w:ascii="宋体" w:hAnsi="宋体" w:cs="宋体"/>
                <w:szCs w:val="21"/>
              </w:rPr>
            </w:pPr>
          </w:p>
        </w:tc>
      </w:tr>
      <w:tr w14:paraId="25E8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42128EC3">
            <w:pPr>
              <w:rPr>
                <w:rFonts w:hint="eastAsia" w:ascii="宋体" w:hAnsi="宋体" w:cs="宋体"/>
                <w:szCs w:val="21"/>
              </w:rPr>
            </w:pPr>
            <w:r>
              <w:rPr>
                <w:rFonts w:hint="eastAsia" w:ascii="宋体" w:hAnsi="宋体" w:cs="宋体"/>
                <w:b/>
                <w:bCs/>
                <w:szCs w:val="21"/>
              </w:rPr>
              <w:t>说明：同一职务有多人担任（如主要技术人员），应分行填写。</w:t>
            </w:r>
          </w:p>
        </w:tc>
      </w:tr>
      <w:tr w14:paraId="66C78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0C8BAE4A">
            <w:pPr>
              <w:jc w:val="center"/>
              <w:rPr>
                <w:rFonts w:hint="eastAsia" w:ascii="宋体" w:hAnsi="宋体" w:cs="宋体"/>
                <w:b/>
                <w:bCs/>
                <w:szCs w:val="21"/>
              </w:rPr>
            </w:pPr>
            <w:r>
              <w:rPr>
                <w:rFonts w:hint="eastAsia" w:ascii="宋体" w:hAnsi="宋体" w:cs="宋体"/>
                <w:b/>
                <w:bCs/>
                <w:szCs w:val="21"/>
              </w:rPr>
              <w:t>投标（响应）供应商关联关系情况</w:t>
            </w:r>
          </w:p>
        </w:tc>
      </w:tr>
      <w:tr w14:paraId="45D3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744A624A">
            <w:pPr>
              <w:jc w:val="center"/>
              <w:rPr>
                <w:rFonts w:hint="eastAsia" w:ascii="宋体" w:hAnsi="宋体" w:cs="宋体"/>
                <w:szCs w:val="21"/>
              </w:rPr>
            </w:pPr>
            <w:r>
              <w:rPr>
                <w:rFonts w:hint="eastAsia" w:ascii="宋体" w:hAnsi="宋体" w:cs="宋体"/>
                <w:szCs w:val="21"/>
              </w:rPr>
              <w:t>序号</w:t>
            </w:r>
          </w:p>
        </w:tc>
        <w:tc>
          <w:tcPr>
            <w:tcW w:w="1275" w:type="pct"/>
            <w:gridSpan w:val="2"/>
            <w:tcBorders>
              <w:bottom w:val="single" w:color="auto" w:sz="4" w:space="0"/>
            </w:tcBorders>
            <w:vAlign w:val="center"/>
          </w:tcPr>
          <w:p w14:paraId="1199CD1B">
            <w:pPr>
              <w:jc w:val="center"/>
              <w:rPr>
                <w:rFonts w:hint="eastAsia" w:ascii="宋体" w:hAnsi="宋体" w:cs="宋体"/>
                <w:szCs w:val="21"/>
              </w:rPr>
            </w:pPr>
            <w:r>
              <w:rPr>
                <w:rFonts w:hint="eastAsia" w:ascii="宋体" w:hAnsi="宋体" w:cs="宋体"/>
                <w:szCs w:val="21"/>
              </w:rPr>
              <w:t>关联关系类型</w:t>
            </w:r>
          </w:p>
        </w:tc>
        <w:tc>
          <w:tcPr>
            <w:tcW w:w="971" w:type="pct"/>
            <w:gridSpan w:val="2"/>
            <w:tcBorders>
              <w:bottom w:val="single" w:color="auto" w:sz="4" w:space="0"/>
            </w:tcBorders>
            <w:vAlign w:val="center"/>
          </w:tcPr>
          <w:p w14:paraId="50375779">
            <w:pPr>
              <w:jc w:val="center"/>
              <w:rPr>
                <w:rFonts w:hint="eastAsia" w:ascii="宋体" w:hAnsi="宋体" w:cs="宋体"/>
                <w:szCs w:val="21"/>
              </w:rPr>
            </w:pPr>
            <w:r>
              <w:rPr>
                <w:rFonts w:hint="eastAsia" w:ascii="宋体" w:hAnsi="宋体" w:cs="宋体"/>
                <w:szCs w:val="21"/>
              </w:rPr>
              <w:t>关联主体名称</w:t>
            </w:r>
          </w:p>
        </w:tc>
        <w:tc>
          <w:tcPr>
            <w:tcW w:w="2340" w:type="pct"/>
            <w:gridSpan w:val="3"/>
            <w:tcBorders>
              <w:bottom w:val="single" w:color="auto" w:sz="4" w:space="0"/>
            </w:tcBorders>
            <w:vAlign w:val="center"/>
          </w:tcPr>
          <w:p w14:paraId="4E25A61D">
            <w:pPr>
              <w:jc w:val="center"/>
              <w:rPr>
                <w:rFonts w:hint="eastAsia" w:ascii="宋体" w:hAnsi="宋体" w:cs="宋体"/>
                <w:szCs w:val="21"/>
              </w:rPr>
            </w:pPr>
            <w:r>
              <w:rPr>
                <w:rFonts w:hint="eastAsia" w:ascii="宋体" w:hAnsi="宋体" w:cs="宋体"/>
                <w:szCs w:val="21"/>
              </w:rPr>
              <w:t>备注</w:t>
            </w:r>
          </w:p>
        </w:tc>
      </w:tr>
      <w:tr w14:paraId="0EA19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75F08095">
            <w:pPr>
              <w:jc w:val="center"/>
              <w:rPr>
                <w:rFonts w:hint="eastAsia"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14786902">
            <w:pPr>
              <w:jc w:val="center"/>
              <w:rPr>
                <w:rFonts w:hint="eastAsia" w:ascii="宋体" w:hAnsi="宋体" w:cs="宋体"/>
                <w:szCs w:val="21"/>
              </w:rPr>
            </w:pPr>
            <w:r>
              <w:rPr>
                <w:rFonts w:hint="eastAsia" w:ascii="宋体" w:hAnsi="宋体" w:cs="宋体"/>
                <w:szCs w:val="21"/>
              </w:rPr>
              <w:t>控股股东</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1352CDB5">
            <w:pPr>
              <w:jc w:val="center"/>
              <w:rPr>
                <w:rFonts w:hint="eastAsia"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4B2359EB">
            <w:pPr>
              <w:snapToGrid w:val="0"/>
              <w:rPr>
                <w:rFonts w:hint="eastAsia"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2E6A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2F80719A">
            <w:pPr>
              <w:jc w:val="center"/>
              <w:rPr>
                <w:rFonts w:hint="eastAsia"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5FF7CADA">
            <w:pPr>
              <w:jc w:val="center"/>
              <w:rPr>
                <w:rFonts w:hint="eastAsia" w:ascii="宋体" w:hAnsi="宋体" w:cs="宋体"/>
                <w:szCs w:val="21"/>
              </w:rPr>
            </w:pPr>
            <w:r>
              <w:rPr>
                <w:rFonts w:hint="eastAsia" w:ascii="宋体" w:hAnsi="宋体" w:cs="宋体"/>
                <w:szCs w:val="21"/>
              </w:rPr>
              <w:t>管理关系</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5558A5D7">
            <w:pPr>
              <w:jc w:val="center"/>
              <w:rPr>
                <w:rFonts w:hint="eastAsia"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6D313185">
            <w:pPr>
              <w:snapToGrid w:val="0"/>
              <w:rPr>
                <w:rFonts w:hint="eastAsia" w:ascii="宋体" w:hAnsi="宋体" w:cs="宋体"/>
                <w:szCs w:val="21"/>
              </w:rPr>
            </w:pPr>
            <w:r>
              <w:rPr>
                <w:rFonts w:hint="eastAsia" w:ascii="宋体" w:hAnsi="宋体" w:cs="宋体"/>
                <w:szCs w:val="21"/>
              </w:rPr>
              <w:t>指对投标（响应）供应商不具有出资持股关系，但对其存在管理关系的主体。</w:t>
            </w:r>
          </w:p>
        </w:tc>
      </w:tr>
      <w:tr w14:paraId="541E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07E4106E">
            <w:pPr>
              <w:snapToGrid w:val="0"/>
              <w:rPr>
                <w:rFonts w:hint="eastAsia" w:ascii="宋体" w:hAnsi="宋体" w:cs="宋体"/>
                <w:szCs w:val="21"/>
              </w:rPr>
            </w:pPr>
            <w:r>
              <w:rPr>
                <w:rFonts w:hint="eastAsia" w:ascii="宋体" w:hAnsi="宋体" w:cs="宋体"/>
                <w:b/>
                <w:bCs/>
                <w:szCs w:val="21"/>
              </w:rPr>
              <w:t>说明：同一关联关系类型有多个主体的，应分行填写。</w:t>
            </w:r>
          </w:p>
        </w:tc>
      </w:tr>
    </w:tbl>
    <w:p w14:paraId="50C5789C">
      <w:pPr>
        <w:pStyle w:val="38"/>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2DD06B1C">
      <w:pPr>
        <w:pStyle w:val="5"/>
        <w:jc w:val="center"/>
        <w:rPr>
          <w:rFonts w:hint="eastAsia" w:ascii="黑体"/>
          <w:sz w:val="24"/>
        </w:rPr>
      </w:pPr>
    </w:p>
    <w:p w14:paraId="39ABEC78">
      <w:pPr>
        <w:pStyle w:val="5"/>
        <w:jc w:val="center"/>
        <w:rPr>
          <w:rFonts w:hint="eastAsia" w:ascii="黑体"/>
          <w:sz w:val="24"/>
        </w:rPr>
      </w:pPr>
      <w:r>
        <w:rPr>
          <w:rFonts w:hint="eastAsia" w:ascii="黑体"/>
          <w:sz w:val="24"/>
        </w:rPr>
        <w:t>二、</w:t>
      </w:r>
      <w:bookmarkStart w:id="62" w:name="_Hlk72092499"/>
      <w:r>
        <w:rPr>
          <w:rFonts w:hint="eastAsia" w:ascii="黑体"/>
          <w:sz w:val="24"/>
        </w:rPr>
        <w:t>法定代表人（负责人）证明书</w:t>
      </w:r>
      <w:bookmarkEnd w:id="62"/>
    </w:p>
    <w:p w14:paraId="5476F2D2">
      <w:pPr>
        <w:rPr>
          <w:sz w:val="24"/>
        </w:rPr>
      </w:pPr>
    </w:p>
    <w:p w14:paraId="2EDF19A3">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47ED7F91">
      <w:pPr>
        <w:spacing w:line="360" w:lineRule="auto"/>
        <w:ind w:firstLine="420" w:firstLineChars="200"/>
        <w:rPr>
          <w:szCs w:val="21"/>
        </w:rPr>
      </w:pPr>
      <w:r>
        <w:rPr>
          <w:rFonts w:hint="eastAsia"/>
          <w:szCs w:val="21"/>
        </w:rPr>
        <w:t>特此证明。</w:t>
      </w:r>
    </w:p>
    <w:p w14:paraId="0073DB60">
      <w:pPr>
        <w:spacing w:line="360" w:lineRule="auto"/>
        <w:ind w:firstLine="420" w:firstLineChars="200"/>
        <w:rPr>
          <w:szCs w:val="21"/>
        </w:rPr>
      </w:pPr>
      <w:r>
        <w:rPr>
          <w:rFonts w:hint="eastAsia"/>
          <w:szCs w:val="21"/>
        </w:rPr>
        <w:t>说明：1</w:t>
      </w:r>
      <w:r>
        <w:rPr>
          <w:rFonts w:hint="eastAsia"/>
          <w:szCs w:val="21"/>
          <w:lang w:val="en-US" w:eastAsia="zh-CN"/>
        </w:rPr>
        <w:t>.</w:t>
      </w:r>
      <w:r>
        <w:rPr>
          <w:rFonts w:hint="eastAsia"/>
          <w:szCs w:val="21"/>
        </w:rPr>
        <w:t>法定代表人为投标人（企业事业单位、国家机关、社会团体）的主要行政负责人。</w:t>
      </w:r>
    </w:p>
    <w:p w14:paraId="46E6AA56">
      <w:pPr>
        <w:numPr>
          <w:ilvl w:val="0"/>
          <w:numId w:val="0"/>
        </w:numPr>
        <w:spacing w:line="360" w:lineRule="auto"/>
        <w:ind w:firstLine="420" w:firstLineChars="200"/>
        <w:rPr>
          <w:szCs w:val="21"/>
        </w:rPr>
      </w:pPr>
      <w:r>
        <w:rPr>
          <w:rFonts w:ascii="Times New Roman" w:hAnsi="Times New Roman" w:eastAsia="宋体" w:cs="Times New Roman"/>
          <w:kern w:val="2"/>
          <w:sz w:val="21"/>
          <w:szCs w:val="21"/>
          <w:lang w:val="en-US" w:eastAsia="zh-CN" w:bidi="ar-SA"/>
        </w:rPr>
        <w:t>2</w:t>
      </w:r>
      <w:r>
        <w:rPr>
          <w:rFonts w:hint="eastAsia" w:cs="Times New Roman"/>
          <w:kern w:val="2"/>
          <w:sz w:val="21"/>
          <w:szCs w:val="21"/>
          <w:lang w:val="en-US" w:eastAsia="zh-CN" w:bidi="ar-SA"/>
        </w:rPr>
        <w:t>.</w:t>
      </w:r>
      <w:r>
        <w:rPr>
          <w:rFonts w:hint="eastAsia"/>
          <w:szCs w:val="21"/>
        </w:rPr>
        <w:t>本证明书需提供法定代表人（负责人）相关身份证明文件：身份证扫描件（正反两面）；港澳台居民可提供来往通行证扫描件；非中国国籍管辖范围人员，可提供公安部门认可的身份证明材料扫描件。</w:t>
      </w:r>
    </w:p>
    <w:p w14:paraId="6BC5B8BD">
      <w:pPr>
        <w:numPr>
          <w:ilvl w:val="0"/>
          <w:numId w:val="0"/>
        </w:numPr>
        <w:spacing w:line="360" w:lineRule="auto"/>
        <w:ind w:firstLine="420" w:firstLineChars="200"/>
        <w:rPr>
          <w:szCs w:val="21"/>
        </w:rPr>
      </w:pPr>
      <w:r>
        <w:rPr>
          <w:rFonts w:ascii="Times New Roman" w:hAnsi="Times New Roman" w:eastAsia="宋体" w:cs="Times New Roman"/>
          <w:kern w:val="2"/>
          <w:sz w:val="21"/>
          <w:szCs w:val="21"/>
          <w:lang w:val="en-US" w:eastAsia="zh-CN" w:bidi="ar-SA"/>
        </w:rPr>
        <w:t>3</w:t>
      </w:r>
      <w:r>
        <w:rPr>
          <w:rFonts w:hint="eastAsia" w:cs="Times New Roman"/>
          <w:kern w:val="2"/>
          <w:sz w:val="21"/>
          <w:szCs w:val="21"/>
          <w:lang w:val="en-US" w:eastAsia="zh-CN" w:bidi="ar-SA"/>
        </w:rPr>
        <w:t>.</w:t>
      </w:r>
      <w:r>
        <w:rPr>
          <w:rFonts w:hint="eastAsia"/>
          <w:szCs w:val="21"/>
        </w:rPr>
        <w:t>本项目投标授权代表为法定代表人（负责人）的，无需提供《投标文件签署授权委托书》。</w:t>
      </w:r>
    </w:p>
    <w:p w14:paraId="7EA28D5F">
      <w:pPr>
        <w:numPr>
          <w:ilvl w:val="0"/>
          <w:numId w:val="0"/>
        </w:numPr>
        <w:spacing w:line="360" w:lineRule="auto"/>
        <w:ind w:firstLine="420" w:firstLineChars="200"/>
        <w:rPr>
          <w:szCs w:val="21"/>
        </w:rPr>
      </w:pPr>
      <w:r>
        <w:rPr>
          <w:rFonts w:ascii="Times New Roman" w:hAnsi="Times New Roman" w:eastAsia="宋体" w:cs="Times New Roman"/>
          <w:kern w:val="2"/>
          <w:sz w:val="21"/>
          <w:szCs w:val="21"/>
          <w:lang w:val="en-US" w:eastAsia="zh-CN" w:bidi="ar-SA"/>
        </w:rPr>
        <w:t>4</w:t>
      </w:r>
      <w:r>
        <w:rPr>
          <w:rFonts w:hint="eastAsia" w:cs="Times New Roman"/>
          <w:kern w:val="2"/>
          <w:sz w:val="21"/>
          <w:szCs w:val="21"/>
          <w:lang w:val="en-US" w:eastAsia="zh-CN" w:bidi="ar-SA"/>
        </w:rPr>
        <w:t>.</w:t>
      </w:r>
      <w:r>
        <w:rPr>
          <w:rFonts w:hint="eastAsia"/>
          <w:szCs w:val="21"/>
        </w:rPr>
        <w:t>内容必须填写真实、清楚，涂改无效，不得转让、买卖。</w:t>
      </w:r>
    </w:p>
    <w:tbl>
      <w:tblPr>
        <w:tblStyle w:val="2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3A0F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75772891">
            <w:pPr>
              <w:jc w:val="center"/>
            </w:pPr>
            <w:r>
              <w:rPr>
                <w:rFonts w:hint="eastAsia"/>
              </w:rPr>
              <w:t>证件扫描件正面</w:t>
            </w:r>
          </w:p>
          <w:p w14:paraId="473B2D33">
            <w:pPr>
              <w:pStyle w:val="2"/>
              <w:jc w:val="center"/>
            </w:pPr>
          </w:p>
          <w:p w14:paraId="43D64F63">
            <w:pPr>
              <w:pStyle w:val="3"/>
              <w:jc w:val="center"/>
            </w:pPr>
          </w:p>
        </w:tc>
        <w:tc>
          <w:tcPr>
            <w:tcW w:w="4265" w:type="dxa"/>
          </w:tcPr>
          <w:p w14:paraId="5B5FF491">
            <w:pPr>
              <w:jc w:val="center"/>
            </w:pPr>
            <w:r>
              <w:rPr>
                <w:rFonts w:hint="eastAsia"/>
              </w:rPr>
              <w:t>证件扫描件反面</w:t>
            </w:r>
          </w:p>
          <w:p w14:paraId="1DF321BA">
            <w:pPr>
              <w:pStyle w:val="2"/>
              <w:jc w:val="center"/>
            </w:pPr>
          </w:p>
          <w:p w14:paraId="6BEACB84">
            <w:pPr>
              <w:pStyle w:val="3"/>
              <w:jc w:val="center"/>
            </w:pPr>
          </w:p>
        </w:tc>
      </w:tr>
    </w:tbl>
    <w:p w14:paraId="4CC2FD5E">
      <w:pPr>
        <w:pStyle w:val="38"/>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6B578A05">
      <w:pPr>
        <w:rPr>
          <w:sz w:val="24"/>
        </w:rPr>
      </w:pPr>
    </w:p>
    <w:p w14:paraId="15DA7959">
      <w:pPr>
        <w:pStyle w:val="5"/>
        <w:spacing w:before="120" w:after="120"/>
        <w:jc w:val="center"/>
        <w:rPr>
          <w:rFonts w:hint="eastAsia" w:ascii="黑体"/>
          <w:sz w:val="24"/>
        </w:rPr>
      </w:pPr>
      <w:r>
        <w:rPr>
          <w:rFonts w:hint="eastAsia" w:ascii="黑体"/>
          <w:sz w:val="24"/>
        </w:rPr>
        <w:t>三、投标文件签署授权委托书</w:t>
      </w:r>
    </w:p>
    <w:p w14:paraId="5CFEA8C3">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20EAD349">
      <w:pPr>
        <w:spacing w:line="360" w:lineRule="auto"/>
        <w:ind w:firstLine="420" w:firstLineChars="200"/>
        <w:rPr>
          <w:szCs w:val="21"/>
        </w:rPr>
      </w:pPr>
      <w:r>
        <w:rPr>
          <w:rFonts w:hint="eastAsia"/>
          <w:szCs w:val="21"/>
        </w:rPr>
        <w:t>代理人无转委托权，特此委托。</w:t>
      </w:r>
    </w:p>
    <w:p w14:paraId="3CB77E4D">
      <w:pPr>
        <w:spacing w:line="360" w:lineRule="auto"/>
        <w:ind w:firstLine="420" w:firstLineChars="200"/>
        <w:rPr>
          <w:szCs w:val="21"/>
        </w:rPr>
      </w:pPr>
    </w:p>
    <w:p w14:paraId="26796E54">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0D940D2C">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5AA03809">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3D6AA8A6">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5822E104">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2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24E7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4FDF872">
            <w:pPr>
              <w:jc w:val="center"/>
            </w:pPr>
            <w:r>
              <w:rPr>
                <w:rFonts w:hint="eastAsia"/>
              </w:rPr>
              <w:t>证件扫描件正面</w:t>
            </w:r>
          </w:p>
          <w:p w14:paraId="6B416053">
            <w:pPr>
              <w:pStyle w:val="2"/>
              <w:jc w:val="center"/>
            </w:pPr>
          </w:p>
          <w:p w14:paraId="22807ECD">
            <w:pPr>
              <w:pStyle w:val="3"/>
              <w:jc w:val="center"/>
            </w:pPr>
          </w:p>
        </w:tc>
        <w:tc>
          <w:tcPr>
            <w:tcW w:w="4265" w:type="dxa"/>
          </w:tcPr>
          <w:p w14:paraId="00905224">
            <w:pPr>
              <w:jc w:val="center"/>
            </w:pPr>
            <w:r>
              <w:rPr>
                <w:rFonts w:hint="eastAsia"/>
              </w:rPr>
              <w:t>证件扫描件反面</w:t>
            </w:r>
          </w:p>
          <w:p w14:paraId="57966E6B">
            <w:pPr>
              <w:pStyle w:val="2"/>
              <w:jc w:val="center"/>
            </w:pPr>
          </w:p>
          <w:p w14:paraId="752189D7">
            <w:pPr>
              <w:pStyle w:val="3"/>
              <w:jc w:val="center"/>
            </w:pPr>
          </w:p>
        </w:tc>
      </w:tr>
    </w:tbl>
    <w:p w14:paraId="5CC8C9DC">
      <w:pPr>
        <w:pStyle w:val="38"/>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3B830285">
      <w:pPr>
        <w:jc w:val="center"/>
        <w:rPr>
          <w:rFonts w:hint="default" w:ascii="黑体" w:eastAsia="黑体"/>
          <w:b w:val="0"/>
          <w:sz w:val="24"/>
          <w:szCs w:val="24"/>
          <w:lang w:val="en-US" w:eastAsia="zh-CN"/>
        </w:rPr>
      </w:pPr>
      <w:r>
        <w:rPr>
          <w:rFonts w:hint="eastAsia" w:ascii="黑体" w:eastAsia="黑体"/>
          <w:kern w:val="0"/>
          <w:sz w:val="24"/>
        </w:rPr>
        <w:br w:type="page"/>
      </w:r>
      <w:r>
        <w:rPr>
          <w:rFonts w:hint="eastAsia" w:ascii="黑体" w:eastAsia="黑体"/>
          <w:b w:val="0"/>
          <w:sz w:val="24"/>
          <w:szCs w:val="24"/>
        </w:rPr>
        <w:t>四、</w:t>
      </w:r>
      <w:r>
        <w:rPr>
          <w:rFonts w:hint="eastAsia" w:ascii="黑体" w:eastAsia="黑体"/>
          <w:b w:val="0"/>
          <w:sz w:val="24"/>
          <w:szCs w:val="24"/>
          <w:lang w:val="en-US" w:eastAsia="zh-CN"/>
        </w:rPr>
        <w:t>所投产品信息及其他报价清单</w:t>
      </w:r>
    </w:p>
    <w:p w14:paraId="395C3F5C">
      <w:pPr>
        <w:tabs>
          <w:tab w:val="left" w:pos="720"/>
        </w:tabs>
        <w:jc w:val="center"/>
        <w:rPr>
          <w:b/>
          <w:sz w:val="24"/>
        </w:rPr>
      </w:pPr>
      <w:r>
        <w:rPr>
          <w:rFonts w:hint="eastAsia"/>
          <w:b/>
          <w:sz w:val="24"/>
        </w:rPr>
        <w:t>（一）所投产品生产主体及产地信息</w:t>
      </w:r>
    </w:p>
    <w:tbl>
      <w:tblPr>
        <w:tblStyle w:val="21"/>
        <w:tblW w:w="48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2718"/>
        <w:gridCol w:w="1450"/>
        <w:gridCol w:w="1450"/>
        <w:gridCol w:w="1450"/>
      </w:tblGrid>
      <w:tr w14:paraId="52DC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625" w:type="pct"/>
            <w:vAlign w:val="center"/>
          </w:tcPr>
          <w:p w14:paraId="20E8BB21">
            <w:pPr>
              <w:jc w:val="center"/>
              <w:rPr>
                <w:rFonts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1681" w:type="pct"/>
            <w:vAlign w:val="center"/>
          </w:tcPr>
          <w:p w14:paraId="57C7F953">
            <w:pPr>
              <w:jc w:val="center"/>
              <w:rPr>
                <w:rFonts w:ascii="Times New Roman" w:hAnsi="Times New Roman" w:eastAsia="宋体" w:cs="Times New Roman"/>
                <w:bCs/>
                <w:szCs w:val="21"/>
                <w:highlight w:val="cyan"/>
              </w:rPr>
            </w:pPr>
            <w:r>
              <w:rPr>
                <w:rFonts w:hint="eastAsia" w:ascii="Times New Roman" w:hAnsi="Times New Roman" w:eastAsia="宋体" w:cs="Times New Roman"/>
                <w:bCs/>
                <w:szCs w:val="21"/>
                <w:highlight w:val="none"/>
              </w:rPr>
              <w:t>货物名称</w:t>
            </w:r>
          </w:p>
        </w:tc>
        <w:tc>
          <w:tcPr>
            <w:tcW w:w="897" w:type="pct"/>
            <w:vAlign w:val="center"/>
          </w:tcPr>
          <w:p w14:paraId="202809CB">
            <w:pPr>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制造商名称</w:t>
            </w:r>
          </w:p>
        </w:tc>
        <w:tc>
          <w:tcPr>
            <w:tcW w:w="897" w:type="pct"/>
            <w:vAlign w:val="center"/>
          </w:tcPr>
          <w:p w14:paraId="2201232B">
            <w:pPr>
              <w:jc w:val="center"/>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代工厂商</w:t>
            </w:r>
          </w:p>
        </w:tc>
        <w:tc>
          <w:tcPr>
            <w:tcW w:w="897" w:type="pct"/>
            <w:vAlign w:val="center"/>
          </w:tcPr>
          <w:p w14:paraId="78C3BF46">
            <w:pPr>
              <w:jc w:val="center"/>
              <w:rPr>
                <w:rFonts w:hint="eastAsia" w:ascii="Times New Roman" w:hAnsi="Times New Roman" w:eastAsia="宋体" w:cs="Times New Roman"/>
                <w:bCs/>
                <w:szCs w:val="21"/>
                <w:highlight w:val="none"/>
                <w:lang w:val="en-US" w:eastAsia="zh-CN"/>
              </w:rPr>
            </w:pPr>
            <w:r>
              <w:rPr>
                <w:rFonts w:hint="eastAsia" w:cs="Times New Roman"/>
                <w:b w:val="0"/>
                <w:bCs/>
                <w:color w:val="auto"/>
                <w:szCs w:val="21"/>
                <w:highlight w:val="none"/>
                <w:lang w:val="en-US" w:eastAsia="zh-CN"/>
              </w:rPr>
              <w:t>产地</w:t>
            </w:r>
          </w:p>
        </w:tc>
      </w:tr>
      <w:tr w14:paraId="12C5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5" w:type="pct"/>
            <w:vAlign w:val="center"/>
          </w:tcPr>
          <w:p w14:paraId="47B663E6">
            <w:pPr>
              <w:keepNext w:val="0"/>
              <w:keepLines w:val="0"/>
              <w:widowControl/>
              <w:suppressLineNumbers w:val="0"/>
              <w:spacing w:before="0" w:beforeAutospacing="0" w:after="0" w:afterAutospacing="0"/>
              <w:ind w:left="0" w:leftChars="0" w:right="0" w:rightChars="0"/>
              <w:jc w:val="center"/>
              <w:textAlignment w:val="center"/>
              <w:rPr>
                <w:rFonts w:ascii="Times New Roman" w:hAnsi="Times New Roman" w:eastAsia="宋体" w:cs="Times New Roman"/>
                <w:bCs/>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1681" w:type="pct"/>
            <w:vAlign w:val="center"/>
          </w:tcPr>
          <w:p w14:paraId="19A19C84">
            <w:pPr>
              <w:keepNext w:val="0"/>
              <w:keepLines w:val="0"/>
              <w:widowControl/>
              <w:suppressLineNumbers w:val="0"/>
              <w:spacing w:before="0" w:beforeAutospacing="0" w:after="0" w:afterAutospacing="0"/>
              <w:ind w:left="0" w:leftChars="0" w:right="0" w:rightChars="0"/>
              <w:jc w:val="center"/>
              <w:textAlignment w:val="center"/>
              <w:rPr>
                <w:rFonts w:ascii="Times New Roman" w:hAnsi="Times New Roman" w:eastAsia="宋体" w:cs="Times New Roman"/>
                <w:bCs/>
                <w:szCs w:val="21"/>
                <w:highlight w:val="none"/>
              </w:rPr>
            </w:pPr>
            <w:r>
              <w:rPr>
                <w:rFonts w:hint="default" w:ascii="宋体" w:hAnsi="宋体" w:cs="宋体"/>
                <w:szCs w:val="21"/>
              </w:rPr>
              <w:t>放疗计划设计工作站</w:t>
            </w:r>
          </w:p>
        </w:tc>
        <w:tc>
          <w:tcPr>
            <w:tcW w:w="897" w:type="pct"/>
            <w:vAlign w:val="center"/>
          </w:tcPr>
          <w:p w14:paraId="4D48D494">
            <w:pPr>
              <w:jc w:val="center"/>
              <w:rPr>
                <w:rFonts w:ascii="Times New Roman" w:hAnsi="Times New Roman" w:eastAsia="宋体" w:cs="Times New Roman"/>
                <w:bCs/>
                <w:szCs w:val="21"/>
                <w:highlight w:val="none"/>
              </w:rPr>
            </w:pPr>
          </w:p>
        </w:tc>
        <w:tc>
          <w:tcPr>
            <w:tcW w:w="897" w:type="pct"/>
            <w:vAlign w:val="center"/>
          </w:tcPr>
          <w:p w14:paraId="06D7D084">
            <w:pPr>
              <w:jc w:val="center"/>
              <w:rPr>
                <w:rFonts w:ascii="Times New Roman" w:hAnsi="Times New Roman" w:eastAsia="宋体" w:cs="Times New Roman"/>
                <w:bCs/>
                <w:szCs w:val="21"/>
                <w:highlight w:val="none"/>
              </w:rPr>
            </w:pPr>
          </w:p>
        </w:tc>
        <w:tc>
          <w:tcPr>
            <w:tcW w:w="897" w:type="pct"/>
            <w:vAlign w:val="center"/>
          </w:tcPr>
          <w:p w14:paraId="188E8A2F">
            <w:pPr>
              <w:jc w:val="center"/>
              <w:rPr>
                <w:rFonts w:ascii="Times New Roman" w:hAnsi="Times New Roman" w:eastAsia="宋体" w:cs="Times New Roman"/>
                <w:bCs/>
                <w:szCs w:val="21"/>
                <w:highlight w:val="none"/>
              </w:rPr>
            </w:pPr>
          </w:p>
        </w:tc>
      </w:tr>
    </w:tbl>
    <w:p w14:paraId="2381A2D0">
      <w:pPr>
        <w:ind w:firstLine="482" w:firstLineChars="200"/>
        <w:rPr>
          <w:rFonts w:hint="eastAsia" w:ascii="宋体" w:hAnsi="宋体"/>
          <w:b/>
          <w:sz w:val="24"/>
          <w:highlight w:val="none"/>
        </w:rPr>
      </w:pPr>
    </w:p>
    <w:p w14:paraId="27ABE919">
      <w:pPr>
        <w:ind w:firstLine="482" w:firstLineChars="200"/>
        <w:rPr>
          <w:rFonts w:ascii="宋体" w:hAnsi="宋体"/>
          <w:b/>
          <w:sz w:val="24"/>
          <w:highlight w:val="none"/>
        </w:rPr>
      </w:pPr>
      <w:r>
        <w:rPr>
          <w:rFonts w:hint="eastAsia" w:ascii="宋体" w:hAnsi="宋体"/>
          <w:b/>
          <w:sz w:val="24"/>
          <w:highlight w:val="none"/>
        </w:rPr>
        <w:t>注：1.本表可按同样格式扩展。</w:t>
      </w:r>
    </w:p>
    <w:p w14:paraId="1384284C">
      <w:pPr>
        <w:pStyle w:val="38"/>
        <w:ind w:firstLine="481"/>
        <w:rPr>
          <w:rFonts w:hint="eastAsia" w:ascii="宋体" w:hAnsi="宋体"/>
          <w:b/>
          <w:sz w:val="24"/>
          <w:highlight w:val="none"/>
        </w:rPr>
      </w:pPr>
      <w:r>
        <w:rPr>
          <w:rFonts w:hint="eastAsia" w:ascii="宋体" w:hAnsi="宋体"/>
          <w:b/>
          <w:sz w:val="24"/>
          <w:highlight w:val="none"/>
        </w:rPr>
        <w:t>2</w:t>
      </w:r>
      <w:r>
        <w:rPr>
          <w:rFonts w:ascii="宋体" w:hAnsi="宋体"/>
          <w:b/>
          <w:sz w:val="24"/>
          <w:highlight w:val="none"/>
        </w:rPr>
        <w:t>.</w:t>
      </w:r>
      <w:r>
        <w:rPr>
          <w:rFonts w:hint="eastAsia" w:ascii="宋体" w:hAnsi="宋体"/>
          <w:b/>
          <w:sz w:val="24"/>
          <w:highlight w:val="none"/>
          <w:lang w:val="en-US" w:eastAsia="zh-CN"/>
        </w:rPr>
        <w:t>“制造商”是指产品品牌厂商。此类</w:t>
      </w:r>
      <w:r>
        <w:rPr>
          <w:rFonts w:hint="eastAsia" w:ascii="宋体" w:hAnsi="宋体"/>
          <w:b/>
          <w:sz w:val="24"/>
          <w:highlight w:val="none"/>
        </w:rPr>
        <w:t>填写错误或缺漏的不利后果由供应商承担。经评审委员会认定，在使用综合评分法的项目中一项此类填写错误或缺漏将按照一项普通招标技术要求（一般参数/普通参数）负偏离扣分处理。</w:t>
      </w:r>
    </w:p>
    <w:p w14:paraId="5E3A86B3">
      <w:pPr>
        <w:ind w:firstLine="472" w:firstLineChars="196"/>
        <w:rPr>
          <w:rFonts w:hint="eastAsia" w:ascii="宋体" w:hAnsi="宋体"/>
          <w:b/>
          <w:sz w:val="24"/>
          <w:highlight w:val="none"/>
          <w:lang w:eastAsia="zh-CN"/>
        </w:rPr>
      </w:pPr>
      <w:r>
        <w:rPr>
          <w:rFonts w:hint="eastAsia" w:ascii="宋体" w:hAnsi="宋体"/>
          <w:b/>
          <w:sz w:val="24"/>
          <w:highlight w:val="none"/>
          <w:lang w:val="en-US" w:eastAsia="zh-CN"/>
        </w:rPr>
        <w:t>3.当不涉及委托代工生产情形时，在“代工厂商”列填“/”；当产品委托代工生产时，在“代工厂商”列按实际情况填写。此类填写错误或缺漏的不利后果由供应商承担。经评审委员会认定，在使用综合评分法的项目中一项此类填写错误或缺漏将按照一项普通招标技术要求（一般参数/普通参数）负偏离扣分处理。</w:t>
      </w:r>
    </w:p>
    <w:p w14:paraId="03AB53F2">
      <w:pPr>
        <w:ind w:firstLine="472" w:firstLineChars="196"/>
        <w:rPr>
          <w:rFonts w:hint="default" w:ascii="宋体" w:hAnsi="宋体"/>
          <w:b/>
          <w:sz w:val="24"/>
          <w:highlight w:val="none"/>
          <w:lang w:val="en-US" w:eastAsia="zh-CN"/>
        </w:rPr>
      </w:pPr>
      <w:r>
        <w:rPr>
          <w:rFonts w:hint="eastAsia" w:ascii="宋体" w:hAnsi="宋体"/>
          <w:b/>
          <w:sz w:val="24"/>
          <w:highlight w:val="none"/>
          <w:lang w:val="en-US" w:eastAsia="zh-CN"/>
        </w:rPr>
        <w:t>4.</w:t>
      </w:r>
      <w:r>
        <w:rPr>
          <w:rFonts w:hint="eastAsia" w:ascii="宋体" w:hAnsi="宋体"/>
          <w:b/>
          <w:sz w:val="24"/>
          <w:highlight w:val="none"/>
        </w:rPr>
        <w:t>“产地”是指货物的实际生产加工</w:t>
      </w:r>
      <w:r>
        <w:rPr>
          <w:rFonts w:hint="default" w:ascii="宋体" w:hAnsi="宋体"/>
          <w:b/>
          <w:sz w:val="24"/>
          <w:highlight w:val="none"/>
          <w:lang w:val="en-US"/>
        </w:rPr>
        <w:t>地</w:t>
      </w:r>
      <w:r>
        <w:rPr>
          <w:rFonts w:hint="eastAsia" w:ascii="宋体" w:hAnsi="宋体"/>
          <w:b/>
          <w:sz w:val="24"/>
          <w:highlight w:val="none"/>
        </w:rPr>
        <w:t>，非品牌所在地</w:t>
      </w:r>
      <w:r>
        <w:rPr>
          <w:rFonts w:hint="eastAsia" w:ascii="宋体" w:hAnsi="宋体"/>
          <w:b/>
          <w:sz w:val="24"/>
          <w:highlight w:val="none"/>
          <w:lang w:eastAsia="zh-CN"/>
        </w:rPr>
        <w:t>。“产地”应填写原产国家（地区）、行政区划或详细生产地址均可。示例包括：中国、中国香港、德国、广东省、深圳市、深圳市龙岗区XX路XX号等填写均视为符合填写要求。此类填写错误或缺漏的不利后果由供应商承担。经评审委员会认定，在使用综合评分法的项目中一项此类填写错误或缺漏将按照一项普通招标技术要求（一般参数/普通参数）负偏离扣分处理。</w:t>
      </w:r>
    </w:p>
    <w:p w14:paraId="717735D8">
      <w:pPr>
        <w:ind w:firstLine="482" w:firstLineChars="200"/>
        <w:rPr>
          <w:rFonts w:hint="eastAsia" w:ascii="宋体" w:hAnsi="宋体"/>
          <w:b/>
          <w:sz w:val="24"/>
          <w:highlight w:val="none"/>
          <w:lang w:val="en-US" w:eastAsia="zh-CN"/>
        </w:rPr>
      </w:pPr>
    </w:p>
    <w:p w14:paraId="7396649E">
      <w:pPr>
        <w:tabs>
          <w:tab w:val="left" w:pos="720"/>
        </w:tabs>
        <w:jc w:val="center"/>
        <w:rPr>
          <w:b/>
          <w:sz w:val="24"/>
        </w:rPr>
      </w:pPr>
      <w:r>
        <w:rPr>
          <w:rFonts w:hint="eastAsia"/>
          <w:b/>
          <w:sz w:val="24"/>
        </w:rPr>
        <w:t>（二）核心产品品牌</w:t>
      </w:r>
    </w:p>
    <w:p w14:paraId="56E35C43">
      <w:pPr>
        <w:ind w:firstLine="482" w:firstLineChars="200"/>
        <w:rPr>
          <w:rFonts w:ascii="宋体" w:hAnsi="宋体"/>
          <w:b/>
          <w:color w:val="FF0000"/>
          <w:sz w:val="24"/>
        </w:rPr>
      </w:pPr>
    </w:p>
    <w:p w14:paraId="55B8F663">
      <w:pPr>
        <w:ind w:firstLine="482" w:firstLineChars="200"/>
        <w:rPr>
          <w:rFonts w:ascii="宋体" w:hAnsi="宋体"/>
          <w:b/>
          <w:sz w:val="24"/>
        </w:rPr>
      </w:pPr>
      <w:r>
        <w:rPr>
          <w:rFonts w:hint="eastAsia"/>
          <w:b/>
          <w:sz w:val="24"/>
        </w:rPr>
        <w:t>我单位所投核心产品的品牌为：</w:t>
      </w:r>
      <w:r>
        <w:rPr>
          <w:rFonts w:hint="eastAsia"/>
          <w:b/>
          <w:sz w:val="24"/>
          <w:u w:val="single"/>
        </w:rPr>
        <w:t xml:space="preserve">               </w:t>
      </w:r>
      <w:r>
        <w:rPr>
          <w:rFonts w:hint="eastAsia"/>
          <w:b/>
          <w:sz w:val="24"/>
        </w:rPr>
        <w:t>。</w:t>
      </w:r>
    </w:p>
    <w:p w14:paraId="2737A633">
      <w:pPr>
        <w:ind w:firstLine="482" w:firstLineChars="200"/>
        <w:rPr>
          <w:rFonts w:ascii="宋体" w:hAnsi="宋体"/>
          <w:b/>
          <w:color w:val="FF0000"/>
          <w:sz w:val="24"/>
        </w:rPr>
      </w:pPr>
    </w:p>
    <w:p w14:paraId="2035D60B">
      <w:pPr>
        <w:ind w:firstLine="480" w:firstLineChars="200"/>
        <w:rPr>
          <w:rFonts w:hint="default" w:ascii="宋体" w:hAnsi="宋体" w:eastAsia="宋体"/>
          <w:sz w:val="24"/>
          <w:lang w:val="en-US" w:eastAsia="zh-CN"/>
        </w:rPr>
      </w:pPr>
      <w:r>
        <w:rPr>
          <w:rFonts w:hint="eastAsia" w:ascii="宋体" w:hAnsi="宋体"/>
          <w:sz w:val="24"/>
        </w:rPr>
        <w:t>备注：</w:t>
      </w:r>
      <w:r>
        <w:rPr>
          <w:rFonts w:hint="eastAsia" w:ascii="宋体" w:hAnsi="宋体"/>
          <w:sz w:val="24"/>
          <w:lang w:val="en-US" w:eastAsia="zh-CN"/>
        </w:rPr>
        <w:t>单一产品采购项目，核心产品即为该单一产品。</w:t>
      </w:r>
    </w:p>
    <w:p w14:paraId="14FAC17B">
      <w:pPr>
        <w:ind w:firstLine="482" w:firstLineChars="200"/>
        <w:rPr>
          <w:rFonts w:ascii="宋体" w:hAnsi="宋体"/>
          <w:b/>
          <w:color w:val="FF0000"/>
          <w:sz w:val="24"/>
        </w:rPr>
      </w:pPr>
    </w:p>
    <w:p w14:paraId="723BAACE">
      <w:pPr>
        <w:ind w:firstLine="482" w:firstLineChars="200"/>
        <w:rPr>
          <w:rFonts w:ascii="宋体" w:hAnsi="宋体"/>
          <w:b/>
          <w:color w:val="FF0000"/>
          <w:sz w:val="24"/>
        </w:rPr>
      </w:pPr>
    </w:p>
    <w:p w14:paraId="453A67CD">
      <w:pPr>
        <w:rPr>
          <w:b/>
          <w:sz w:val="24"/>
        </w:rPr>
      </w:pPr>
    </w:p>
    <w:p w14:paraId="23BE0841">
      <w:pPr>
        <w:tabs>
          <w:tab w:val="left" w:pos="720"/>
        </w:tabs>
        <w:ind w:firstLine="1928" w:firstLineChars="800"/>
        <w:rPr>
          <w:b/>
          <w:sz w:val="24"/>
        </w:rPr>
      </w:pPr>
      <w:r>
        <w:rPr>
          <w:rFonts w:hint="eastAsia"/>
          <w:b/>
          <w:sz w:val="24"/>
        </w:rPr>
        <w:t>（三）可选配件报价清单（不包括在总报价内）</w:t>
      </w:r>
    </w:p>
    <w:p w14:paraId="7E0727DF">
      <w:pPr>
        <w:ind w:firstLine="422" w:firstLineChars="200"/>
        <w:rPr>
          <w:rFonts w:hAnsi="宋体"/>
          <w:b/>
          <w:bCs/>
          <w:szCs w:val="21"/>
        </w:rPr>
      </w:pPr>
      <w:r>
        <w:rPr>
          <w:rFonts w:hint="eastAsia" w:hAnsi="宋体"/>
          <w:b/>
          <w:bCs/>
          <w:szCs w:val="21"/>
        </w:rPr>
        <w:t>注：格式可以参照《（一）分项报价表》表格，并提供相应的品牌/规格/型号、产地、制造商信息（没有品牌、型号的，用“定制”描述即可）、单价等详细信息</w:t>
      </w:r>
    </w:p>
    <w:p w14:paraId="19061AFC">
      <w:pPr>
        <w:ind w:firstLine="482" w:firstLineChars="200"/>
        <w:rPr>
          <w:rFonts w:hint="eastAsia" w:hAnsi="宋体"/>
          <w:b/>
          <w:bCs/>
          <w:sz w:val="24"/>
        </w:rPr>
      </w:pPr>
    </w:p>
    <w:p w14:paraId="6B1B81C6">
      <w:pPr>
        <w:ind w:firstLine="422" w:firstLineChars="200"/>
        <w:jc w:val="center"/>
        <w:rPr>
          <w:rFonts w:hAnsi="宋体"/>
          <w:b/>
          <w:bCs/>
          <w:sz w:val="24"/>
        </w:rPr>
      </w:pPr>
      <w:r>
        <w:rPr>
          <w:rFonts w:hint="eastAsia" w:ascii="宋体" w:hAnsi="宋体" w:eastAsia="宋体" w:cs="宋体"/>
          <w:b/>
          <w:bCs/>
          <w:color w:val="FF0000"/>
          <w:kern w:val="0"/>
          <w:szCs w:val="21"/>
        </w:rPr>
        <w:t>零配件、消耗品和延续保修合同报价</w:t>
      </w:r>
      <w:r>
        <w:rPr>
          <w:rFonts w:hint="eastAsia" w:ascii="宋体" w:hAnsi="宋体" w:eastAsia="宋体" w:cs="宋体"/>
          <w:b/>
          <w:bCs/>
          <w:color w:val="FF0000"/>
          <w:kern w:val="0"/>
          <w:szCs w:val="21"/>
          <w:lang w:eastAsia="zh-CN"/>
        </w:rPr>
        <w:t>明细单</w:t>
      </w:r>
    </w:p>
    <w:p w14:paraId="476E34E4">
      <w:pPr>
        <w:pStyle w:val="38"/>
        <w:rPr>
          <w:rFonts w:hAnsi="宋体"/>
          <w:b/>
          <w:bCs/>
          <w:sz w:val="24"/>
        </w:rPr>
      </w:pPr>
    </w:p>
    <w:tbl>
      <w:tblPr>
        <w:tblStyle w:val="21"/>
        <w:tblW w:w="7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228"/>
        <w:gridCol w:w="1694"/>
        <w:gridCol w:w="900"/>
        <w:gridCol w:w="1401"/>
        <w:gridCol w:w="709"/>
        <w:gridCol w:w="992"/>
      </w:tblGrid>
      <w:tr w14:paraId="396E6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Borders>
              <w:top w:val="single" w:color="auto" w:sz="4" w:space="0"/>
              <w:left w:val="single" w:color="auto" w:sz="4" w:space="0"/>
              <w:bottom w:val="single" w:color="auto" w:sz="4" w:space="0"/>
              <w:right w:val="single" w:color="auto" w:sz="4" w:space="0"/>
            </w:tcBorders>
          </w:tcPr>
          <w:p w14:paraId="50D24569">
            <w:pPr>
              <w:keepNext w:val="0"/>
              <w:keepLines w:val="0"/>
              <w:suppressLineNumbers w:val="0"/>
              <w:spacing w:before="0" w:beforeAutospacing="0" w:after="0" w:afterAutospacing="0"/>
              <w:ind w:left="0" w:right="-69" w:rightChars="-33"/>
              <w:jc w:val="center"/>
              <w:rPr>
                <w:rFonts w:hint="default"/>
                <w:highlight w:val="none"/>
              </w:rPr>
            </w:pPr>
            <w:r>
              <w:rPr>
                <w:rFonts w:hint="eastAsia"/>
                <w:highlight w:val="none"/>
              </w:rPr>
              <w:t>序号</w:t>
            </w:r>
          </w:p>
        </w:tc>
        <w:tc>
          <w:tcPr>
            <w:tcW w:w="1228" w:type="dxa"/>
            <w:tcBorders>
              <w:top w:val="single" w:color="auto" w:sz="4" w:space="0"/>
              <w:left w:val="nil"/>
              <w:bottom w:val="single" w:color="auto" w:sz="4" w:space="0"/>
              <w:right w:val="single" w:color="auto" w:sz="4" w:space="0"/>
            </w:tcBorders>
            <w:vAlign w:val="center"/>
          </w:tcPr>
          <w:p w14:paraId="360742BD">
            <w:pPr>
              <w:keepNext w:val="0"/>
              <w:keepLines w:val="0"/>
              <w:suppressLineNumbers w:val="0"/>
              <w:spacing w:before="0" w:beforeAutospacing="0" w:after="0" w:afterAutospacing="0"/>
              <w:ind w:left="0" w:right="0"/>
              <w:jc w:val="center"/>
              <w:rPr>
                <w:rFonts w:hint="default"/>
                <w:highlight w:val="none"/>
              </w:rPr>
            </w:pPr>
            <w:r>
              <w:rPr>
                <w:rFonts w:hint="eastAsia"/>
                <w:highlight w:val="none"/>
              </w:rPr>
              <w:t>货物名称</w:t>
            </w:r>
          </w:p>
        </w:tc>
        <w:tc>
          <w:tcPr>
            <w:tcW w:w="1694" w:type="dxa"/>
            <w:tcBorders>
              <w:top w:val="single" w:color="auto" w:sz="4" w:space="0"/>
              <w:left w:val="nil"/>
              <w:bottom w:val="single" w:color="auto" w:sz="4" w:space="0"/>
              <w:right w:val="single" w:color="auto" w:sz="4" w:space="0"/>
            </w:tcBorders>
            <w:vAlign w:val="center"/>
          </w:tcPr>
          <w:p w14:paraId="29D68525">
            <w:pPr>
              <w:keepNext w:val="0"/>
              <w:keepLines w:val="0"/>
              <w:suppressLineNumbers w:val="0"/>
              <w:spacing w:before="0" w:beforeAutospacing="0" w:after="0" w:afterAutospacing="0"/>
              <w:ind w:left="0" w:right="0"/>
              <w:jc w:val="center"/>
              <w:rPr>
                <w:rFonts w:hint="default"/>
                <w:highlight w:val="none"/>
              </w:rPr>
            </w:pPr>
            <w:r>
              <w:rPr>
                <w:rFonts w:hint="eastAsia"/>
                <w:highlight w:val="none"/>
              </w:rPr>
              <w:t>规格/</w:t>
            </w:r>
            <w:r>
              <w:rPr>
                <w:rFonts w:hint="eastAsia" w:ascii="宋体" w:hAnsi="宋体"/>
                <w:highlight w:val="none"/>
              </w:rPr>
              <w:t>型号</w:t>
            </w:r>
          </w:p>
        </w:tc>
        <w:tc>
          <w:tcPr>
            <w:tcW w:w="900" w:type="dxa"/>
            <w:tcBorders>
              <w:top w:val="single" w:color="auto" w:sz="4" w:space="0"/>
              <w:left w:val="nil"/>
              <w:bottom w:val="single" w:color="auto" w:sz="4" w:space="0"/>
              <w:right w:val="single" w:color="auto" w:sz="4" w:space="0"/>
            </w:tcBorders>
            <w:vAlign w:val="center"/>
          </w:tcPr>
          <w:p w14:paraId="57F0E9FC">
            <w:pPr>
              <w:keepNext w:val="0"/>
              <w:keepLines w:val="0"/>
              <w:suppressLineNumbers w:val="0"/>
              <w:spacing w:before="0" w:beforeAutospacing="0" w:after="0" w:afterAutospacing="0"/>
              <w:ind w:left="0" w:right="0"/>
              <w:jc w:val="center"/>
              <w:rPr>
                <w:rFonts w:hint="default"/>
                <w:highlight w:val="none"/>
              </w:rPr>
            </w:pPr>
            <w:r>
              <w:rPr>
                <w:rFonts w:hint="eastAsia"/>
                <w:highlight w:val="none"/>
              </w:rPr>
              <w:t>原产地</w:t>
            </w:r>
          </w:p>
        </w:tc>
        <w:tc>
          <w:tcPr>
            <w:tcW w:w="1401" w:type="dxa"/>
            <w:tcBorders>
              <w:top w:val="single" w:color="auto" w:sz="4" w:space="0"/>
              <w:left w:val="nil"/>
              <w:bottom w:val="single" w:color="auto" w:sz="4" w:space="0"/>
              <w:right w:val="single" w:color="auto" w:sz="4" w:space="0"/>
            </w:tcBorders>
            <w:vAlign w:val="center"/>
          </w:tcPr>
          <w:p w14:paraId="04875888">
            <w:pPr>
              <w:keepNext w:val="0"/>
              <w:keepLines w:val="0"/>
              <w:suppressLineNumbers w:val="0"/>
              <w:spacing w:before="0" w:beforeAutospacing="0" w:after="0" w:afterAutospacing="0"/>
              <w:ind w:left="0" w:right="0"/>
              <w:jc w:val="center"/>
              <w:rPr>
                <w:rFonts w:hint="default"/>
                <w:highlight w:val="none"/>
              </w:rPr>
            </w:pPr>
            <w:r>
              <w:rPr>
                <w:rFonts w:hint="eastAsia"/>
                <w:highlight w:val="none"/>
              </w:rPr>
              <w:t>制造商名称</w:t>
            </w:r>
          </w:p>
        </w:tc>
        <w:tc>
          <w:tcPr>
            <w:tcW w:w="709" w:type="dxa"/>
            <w:tcBorders>
              <w:top w:val="single" w:color="auto" w:sz="4" w:space="0"/>
              <w:left w:val="nil"/>
              <w:bottom w:val="single" w:color="auto" w:sz="4" w:space="0"/>
              <w:right w:val="single" w:color="auto" w:sz="4" w:space="0"/>
            </w:tcBorders>
            <w:vAlign w:val="center"/>
          </w:tcPr>
          <w:p w14:paraId="51F8A39A">
            <w:pPr>
              <w:keepNext w:val="0"/>
              <w:keepLines w:val="0"/>
              <w:suppressLineNumbers w:val="0"/>
              <w:spacing w:before="0" w:beforeAutospacing="0" w:after="0" w:afterAutospacing="0"/>
              <w:ind w:left="0" w:right="0"/>
              <w:jc w:val="center"/>
              <w:rPr>
                <w:rFonts w:hint="default"/>
                <w:highlight w:val="none"/>
              </w:rPr>
            </w:pPr>
            <w:r>
              <w:rPr>
                <w:rFonts w:hint="eastAsia"/>
                <w:highlight w:val="none"/>
              </w:rPr>
              <w:t>数量</w:t>
            </w:r>
          </w:p>
        </w:tc>
        <w:tc>
          <w:tcPr>
            <w:tcW w:w="992" w:type="dxa"/>
            <w:tcBorders>
              <w:top w:val="single" w:color="auto" w:sz="4" w:space="0"/>
              <w:left w:val="nil"/>
              <w:bottom w:val="single" w:color="auto" w:sz="4" w:space="0"/>
              <w:right w:val="single" w:color="auto" w:sz="4" w:space="0"/>
            </w:tcBorders>
            <w:vAlign w:val="center"/>
          </w:tcPr>
          <w:p w14:paraId="35D07207">
            <w:pPr>
              <w:keepNext w:val="0"/>
              <w:keepLines w:val="0"/>
              <w:suppressLineNumbers w:val="0"/>
              <w:spacing w:before="0" w:beforeAutospacing="0" w:after="0" w:afterAutospacing="0"/>
              <w:ind w:left="0" w:right="0"/>
              <w:jc w:val="center"/>
              <w:rPr>
                <w:rFonts w:hint="default"/>
                <w:highlight w:val="none"/>
              </w:rPr>
            </w:pPr>
            <w:r>
              <w:rPr>
                <w:rFonts w:hint="eastAsia"/>
                <w:highlight w:val="none"/>
              </w:rPr>
              <w:t>单价(</w:t>
            </w:r>
            <w:r>
              <w:rPr>
                <w:rFonts w:hint="eastAsia" w:ascii="宋体" w:hAnsi="宋体"/>
                <w:highlight w:val="none"/>
              </w:rPr>
              <w:t>元</w:t>
            </w:r>
            <w:r>
              <w:rPr>
                <w:rFonts w:hint="eastAsia"/>
                <w:highlight w:val="none"/>
              </w:rPr>
              <w:t>)</w:t>
            </w:r>
          </w:p>
        </w:tc>
      </w:tr>
      <w:tr w14:paraId="55E77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Borders>
              <w:top w:val="single" w:color="auto" w:sz="4" w:space="0"/>
              <w:left w:val="single" w:color="auto" w:sz="4" w:space="0"/>
              <w:bottom w:val="single" w:color="auto" w:sz="4" w:space="0"/>
              <w:right w:val="single" w:color="auto" w:sz="4" w:space="0"/>
            </w:tcBorders>
          </w:tcPr>
          <w:p w14:paraId="1429C364">
            <w:pPr>
              <w:keepNext w:val="0"/>
              <w:keepLines w:val="0"/>
              <w:suppressLineNumbers w:val="0"/>
              <w:spacing w:before="0" w:beforeAutospacing="0" w:after="0" w:afterAutospacing="0"/>
              <w:ind w:left="0" w:right="-69" w:rightChars="-33"/>
              <w:jc w:val="center"/>
              <w:rPr>
                <w:rFonts w:hint="default"/>
                <w:highlight w:val="none"/>
              </w:rPr>
            </w:pPr>
            <w:r>
              <w:rPr>
                <w:rFonts w:hint="eastAsia"/>
                <w:highlight w:val="none"/>
              </w:rPr>
              <w:t>1</w:t>
            </w:r>
          </w:p>
        </w:tc>
        <w:tc>
          <w:tcPr>
            <w:tcW w:w="1228" w:type="dxa"/>
            <w:tcBorders>
              <w:top w:val="single" w:color="auto" w:sz="4" w:space="0"/>
              <w:left w:val="nil"/>
              <w:bottom w:val="single" w:color="auto" w:sz="4" w:space="0"/>
              <w:right w:val="single" w:color="auto" w:sz="4" w:space="0"/>
            </w:tcBorders>
          </w:tcPr>
          <w:p w14:paraId="3636DDFE">
            <w:pPr>
              <w:keepNext w:val="0"/>
              <w:keepLines w:val="0"/>
              <w:suppressLineNumbers w:val="0"/>
              <w:spacing w:before="0" w:beforeAutospacing="0" w:after="0" w:afterAutospacing="0"/>
              <w:ind w:left="0" w:right="0"/>
              <w:rPr>
                <w:rFonts w:hint="default"/>
                <w:highlight w:val="none"/>
              </w:rPr>
            </w:pPr>
          </w:p>
        </w:tc>
        <w:tc>
          <w:tcPr>
            <w:tcW w:w="1694" w:type="dxa"/>
            <w:tcBorders>
              <w:top w:val="single" w:color="auto" w:sz="4" w:space="0"/>
              <w:left w:val="nil"/>
              <w:bottom w:val="single" w:color="auto" w:sz="4" w:space="0"/>
              <w:right w:val="single" w:color="auto" w:sz="4" w:space="0"/>
            </w:tcBorders>
          </w:tcPr>
          <w:p w14:paraId="48BE1151">
            <w:pPr>
              <w:keepNext w:val="0"/>
              <w:keepLines w:val="0"/>
              <w:suppressLineNumbers w:val="0"/>
              <w:spacing w:before="0" w:beforeAutospacing="0" w:after="0" w:afterAutospacing="0"/>
              <w:ind w:left="0" w:right="0"/>
              <w:rPr>
                <w:rFonts w:hint="default"/>
                <w:highlight w:val="none"/>
              </w:rPr>
            </w:pPr>
          </w:p>
        </w:tc>
        <w:tc>
          <w:tcPr>
            <w:tcW w:w="900" w:type="dxa"/>
            <w:tcBorders>
              <w:top w:val="single" w:color="auto" w:sz="4" w:space="0"/>
              <w:left w:val="nil"/>
              <w:bottom w:val="single" w:color="auto" w:sz="4" w:space="0"/>
              <w:right w:val="single" w:color="auto" w:sz="4" w:space="0"/>
            </w:tcBorders>
          </w:tcPr>
          <w:p w14:paraId="0DC643C9">
            <w:pPr>
              <w:keepNext w:val="0"/>
              <w:keepLines w:val="0"/>
              <w:suppressLineNumbers w:val="0"/>
              <w:spacing w:before="0" w:beforeAutospacing="0" w:after="0" w:afterAutospacing="0"/>
              <w:ind w:left="0" w:right="0"/>
              <w:rPr>
                <w:rFonts w:hint="default"/>
                <w:highlight w:val="none"/>
              </w:rPr>
            </w:pPr>
          </w:p>
        </w:tc>
        <w:tc>
          <w:tcPr>
            <w:tcW w:w="1401" w:type="dxa"/>
            <w:tcBorders>
              <w:top w:val="single" w:color="auto" w:sz="4" w:space="0"/>
              <w:left w:val="nil"/>
              <w:bottom w:val="single" w:color="auto" w:sz="4" w:space="0"/>
              <w:right w:val="single" w:color="auto" w:sz="4" w:space="0"/>
            </w:tcBorders>
          </w:tcPr>
          <w:p w14:paraId="1BB66C78">
            <w:pPr>
              <w:keepNext w:val="0"/>
              <w:keepLines w:val="0"/>
              <w:suppressLineNumbers w:val="0"/>
              <w:spacing w:before="0" w:beforeAutospacing="0" w:after="0" w:afterAutospacing="0"/>
              <w:ind w:left="0" w:right="0"/>
              <w:rPr>
                <w:rFonts w:hint="default"/>
                <w:highlight w:val="none"/>
              </w:rPr>
            </w:pPr>
          </w:p>
        </w:tc>
        <w:tc>
          <w:tcPr>
            <w:tcW w:w="709" w:type="dxa"/>
            <w:tcBorders>
              <w:top w:val="single" w:color="auto" w:sz="4" w:space="0"/>
              <w:left w:val="nil"/>
              <w:bottom w:val="single" w:color="auto" w:sz="4" w:space="0"/>
              <w:right w:val="single" w:color="auto" w:sz="4" w:space="0"/>
            </w:tcBorders>
          </w:tcPr>
          <w:p w14:paraId="799B54CB">
            <w:pPr>
              <w:keepNext w:val="0"/>
              <w:keepLines w:val="0"/>
              <w:suppressLineNumbers w:val="0"/>
              <w:spacing w:before="0" w:beforeAutospacing="0" w:after="0" w:afterAutospacing="0"/>
              <w:ind w:left="0" w:right="0"/>
              <w:rPr>
                <w:rFonts w:hint="default"/>
                <w:highlight w:val="none"/>
              </w:rPr>
            </w:pPr>
          </w:p>
        </w:tc>
        <w:tc>
          <w:tcPr>
            <w:tcW w:w="992" w:type="dxa"/>
            <w:tcBorders>
              <w:top w:val="single" w:color="auto" w:sz="4" w:space="0"/>
              <w:left w:val="nil"/>
              <w:bottom w:val="single" w:color="auto" w:sz="4" w:space="0"/>
              <w:right w:val="single" w:color="auto" w:sz="4" w:space="0"/>
            </w:tcBorders>
          </w:tcPr>
          <w:p w14:paraId="7A49CFED">
            <w:pPr>
              <w:keepNext w:val="0"/>
              <w:keepLines w:val="0"/>
              <w:suppressLineNumbers w:val="0"/>
              <w:spacing w:before="0" w:beforeAutospacing="0" w:after="0" w:afterAutospacing="0"/>
              <w:ind w:left="0" w:right="0"/>
              <w:rPr>
                <w:rFonts w:hint="default"/>
                <w:highlight w:val="none"/>
              </w:rPr>
            </w:pPr>
          </w:p>
        </w:tc>
      </w:tr>
      <w:tr w14:paraId="10BD7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Borders>
              <w:top w:val="single" w:color="auto" w:sz="4" w:space="0"/>
              <w:left w:val="single" w:color="auto" w:sz="4" w:space="0"/>
              <w:bottom w:val="single" w:color="auto" w:sz="4" w:space="0"/>
              <w:right w:val="single" w:color="auto" w:sz="4" w:space="0"/>
            </w:tcBorders>
          </w:tcPr>
          <w:p w14:paraId="16560AE3">
            <w:pPr>
              <w:keepNext w:val="0"/>
              <w:keepLines w:val="0"/>
              <w:suppressLineNumbers w:val="0"/>
              <w:spacing w:before="0" w:beforeAutospacing="0" w:after="0" w:afterAutospacing="0"/>
              <w:ind w:left="0" w:right="-69" w:rightChars="-33"/>
              <w:jc w:val="center"/>
              <w:rPr>
                <w:rFonts w:hint="default"/>
                <w:szCs w:val="21"/>
                <w:highlight w:val="none"/>
              </w:rPr>
            </w:pPr>
            <w:r>
              <w:rPr>
                <w:rFonts w:hint="eastAsia"/>
                <w:highlight w:val="none"/>
              </w:rPr>
              <w:t>2</w:t>
            </w:r>
          </w:p>
        </w:tc>
        <w:tc>
          <w:tcPr>
            <w:tcW w:w="1228" w:type="dxa"/>
            <w:tcBorders>
              <w:top w:val="single" w:color="auto" w:sz="4" w:space="0"/>
              <w:left w:val="nil"/>
              <w:bottom w:val="single" w:color="auto" w:sz="4" w:space="0"/>
              <w:right w:val="single" w:color="auto" w:sz="4" w:space="0"/>
            </w:tcBorders>
          </w:tcPr>
          <w:p w14:paraId="7D2A4782">
            <w:pPr>
              <w:keepNext w:val="0"/>
              <w:keepLines w:val="0"/>
              <w:suppressLineNumbers w:val="0"/>
              <w:spacing w:before="0" w:beforeAutospacing="0" w:after="0" w:afterAutospacing="0"/>
              <w:ind w:left="0" w:right="0"/>
              <w:rPr>
                <w:rFonts w:hint="default"/>
                <w:highlight w:val="none"/>
              </w:rPr>
            </w:pPr>
          </w:p>
        </w:tc>
        <w:tc>
          <w:tcPr>
            <w:tcW w:w="1694" w:type="dxa"/>
            <w:tcBorders>
              <w:top w:val="single" w:color="auto" w:sz="4" w:space="0"/>
              <w:left w:val="nil"/>
              <w:bottom w:val="single" w:color="auto" w:sz="4" w:space="0"/>
              <w:right w:val="single" w:color="auto" w:sz="4" w:space="0"/>
            </w:tcBorders>
          </w:tcPr>
          <w:p w14:paraId="75113ECA">
            <w:pPr>
              <w:keepNext w:val="0"/>
              <w:keepLines w:val="0"/>
              <w:suppressLineNumbers w:val="0"/>
              <w:spacing w:before="0" w:beforeAutospacing="0" w:after="0" w:afterAutospacing="0"/>
              <w:ind w:left="0" w:right="0"/>
              <w:rPr>
                <w:rFonts w:hint="default"/>
                <w:highlight w:val="none"/>
              </w:rPr>
            </w:pPr>
          </w:p>
        </w:tc>
        <w:tc>
          <w:tcPr>
            <w:tcW w:w="900" w:type="dxa"/>
            <w:tcBorders>
              <w:top w:val="single" w:color="auto" w:sz="4" w:space="0"/>
              <w:left w:val="nil"/>
              <w:bottom w:val="single" w:color="auto" w:sz="4" w:space="0"/>
              <w:right w:val="single" w:color="auto" w:sz="4" w:space="0"/>
            </w:tcBorders>
          </w:tcPr>
          <w:p w14:paraId="50334E86">
            <w:pPr>
              <w:keepNext w:val="0"/>
              <w:keepLines w:val="0"/>
              <w:suppressLineNumbers w:val="0"/>
              <w:spacing w:before="0" w:beforeAutospacing="0" w:after="0" w:afterAutospacing="0"/>
              <w:ind w:left="0" w:right="0"/>
              <w:rPr>
                <w:rFonts w:hint="default"/>
                <w:highlight w:val="none"/>
              </w:rPr>
            </w:pPr>
          </w:p>
        </w:tc>
        <w:tc>
          <w:tcPr>
            <w:tcW w:w="1401" w:type="dxa"/>
            <w:tcBorders>
              <w:top w:val="single" w:color="auto" w:sz="4" w:space="0"/>
              <w:left w:val="nil"/>
              <w:bottom w:val="single" w:color="auto" w:sz="4" w:space="0"/>
              <w:right w:val="single" w:color="auto" w:sz="4" w:space="0"/>
            </w:tcBorders>
          </w:tcPr>
          <w:p w14:paraId="28052BF6">
            <w:pPr>
              <w:keepNext w:val="0"/>
              <w:keepLines w:val="0"/>
              <w:suppressLineNumbers w:val="0"/>
              <w:spacing w:before="0" w:beforeAutospacing="0" w:after="0" w:afterAutospacing="0"/>
              <w:ind w:left="0" w:right="0"/>
              <w:rPr>
                <w:rFonts w:hint="default"/>
                <w:highlight w:val="none"/>
              </w:rPr>
            </w:pPr>
          </w:p>
        </w:tc>
        <w:tc>
          <w:tcPr>
            <w:tcW w:w="709" w:type="dxa"/>
            <w:tcBorders>
              <w:top w:val="single" w:color="auto" w:sz="4" w:space="0"/>
              <w:left w:val="nil"/>
              <w:bottom w:val="single" w:color="auto" w:sz="4" w:space="0"/>
              <w:right w:val="single" w:color="auto" w:sz="4" w:space="0"/>
            </w:tcBorders>
          </w:tcPr>
          <w:p w14:paraId="4E94A23B">
            <w:pPr>
              <w:keepNext w:val="0"/>
              <w:keepLines w:val="0"/>
              <w:suppressLineNumbers w:val="0"/>
              <w:spacing w:before="0" w:beforeAutospacing="0" w:after="0" w:afterAutospacing="0"/>
              <w:ind w:left="0" w:right="0"/>
              <w:rPr>
                <w:rFonts w:hint="default"/>
                <w:highlight w:val="none"/>
              </w:rPr>
            </w:pPr>
          </w:p>
        </w:tc>
        <w:tc>
          <w:tcPr>
            <w:tcW w:w="992" w:type="dxa"/>
            <w:tcBorders>
              <w:top w:val="single" w:color="auto" w:sz="4" w:space="0"/>
              <w:left w:val="nil"/>
              <w:bottom w:val="single" w:color="auto" w:sz="4" w:space="0"/>
              <w:right w:val="single" w:color="auto" w:sz="4" w:space="0"/>
            </w:tcBorders>
          </w:tcPr>
          <w:p w14:paraId="5F54600B">
            <w:pPr>
              <w:keepNext w:val="0"/>
              <w:keepLines w:val="0"/>
              <w:suppressLineNumbers w:val="0"/>
              <w:spacing w:before="0" w:beforeAutospacing="0" w:after="0" w:afterAutospacing="0"/>
              <w:ind w:left="0" w:right="0"/>
              <w:rPr>
                <w:rFonts w:hint="default"/>
                <w:highlight w:val="none"/>
              </w:rPr>
            </w:pPr>
          </w:p>
        </w:tc>
      </w:tr>
      <w:tr w14:paraId="050D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Borders>
              <w:top w:val="single" w:color="auto" w:sz="4" w:space="0"/>
              <w:left w:val="single" w:color="auto" w:sz="4" w:space="0"/>
              <w:bottom w:val="single" w:color="auto" w:sz="4" w:space="0"/>
              <w:right w:val="single" w:color="auto" w:sz="4" w:space="0"/>
            </w:tcBorders>
          </w:tcPr>
          <w:p w14:paraId="5CE56C0A">
            <w:pPr>
              <w:keepNext w:val="0"/>
              <w:keepLines w:val="0"/>
              <w:suppressLineNumbers w:val="0"/>
              <w:spacing w:before="0" w:beforeAutospacing="0" w:after="0" w:afterAutospacing="0"/>
              <w:ind w:left="0" w:right="-69" w:rightChars="-33"/>
              <w:jc w:val="center"/>
              <w:rPr>
                <w:rFonts w:hint="default"/>
                <w:szCs w:val="21"/>
                <w:highlight w:val="none"/>
              </w:rPr>
            </w:pPr>
          </w:p>
        </w:tc>
        <w:tc>
          <w:tcPr>
            <w:tcW w:w="1228" w:type="dxa"/>
            <w:tcBorders>
              <w:top w:val="single" w:color="auto" w:sz="4" w:space="0"/>
              <w:left w:val="nil"/>
              <w:bottom w:val="single" w:color="auto" w:sz="4" w:space="0"/>
              <w:right w:val="single" w:color="auto" w:sz="4" w:space="0"/>
            </w:tcBorders>
          </w:tcPr>
          <w:p w14:paraId="720F3391">
            <w:pPr>
              <w:keepNext w:val="0"/>
              <w:keepLines w:val="0"/>
              <w:suppressLineNumbers w:val="0"/>
              <w:spacing w:before="0" w:beforeAutospacing="0" w:after="0" w:afterAutospacing="0"/>
              <w:ind w:left="0" w:right="0"/>
              <w:rPr>
                <w:rFonts w:hint="default"/>
                <w:highlight w:val="none"/>
              </w:rPr>
            </w:pPr>
          </w:p>
        </w:tc>
        <w:tc>
          <w:tcPr>
            <w:tcW w:w="1694" w:type="dxa"/>
            <w:tcBorders>
              <w:top w:val="single" w:color="auto" w:sz="4" w:space="0"/>
              <w:left w:val="nil"/>
              <w:bottom w:val="single" w:color="auto" w:sz="4" w:space="0"/>
              <w:right w:val="single" w:color="auto" w:sz="4" w:space="0"/>
            </w:tcBorders>
          </w:tcPr>
          <w:p w14:paraId="24628653">
            <w:pPr>
              <w:keepNext w:val="0"/>
              <w:keepLines w:val="0"/>
              <w:suppressLineNumbers w:val="0"/>
              <w:spacing w:before="0" w:beforeAutospacing="0" w:after="0" w:afterAutospacing="0"/>
              <w:ind w:left="0" w:right="0"/>
              <w:rPr>
                <w:rFonts w:hint="default"/>
                <w:highlight w:val="none"/>
              </w:rPr>
            </w:pPr>
          </w:p>
        </w:tc>
        <w:tc>
          <w:tcPr>
            <w:tcW w:w="900" w:type="dxa"/>
            <w:tcBorders>
              <w:top w:val="single" w:color="auto" w:sz="4" w:space="0"/>
              <w:left w:val="nil"/>
              <w:bottom w:val="single" w:color="auto" w:sz="4" w:space="0"/>
              <w:right w:val="single" w:color="auto" w:sz="4" w:space="0"/>
            </w:tcBorders>
          </w:tcPr>
          <w:p w14:paraId="35837907">
            <w:pPr>
              <w:keepNext w:val="0"/>
              <w:keepLines w:val="0"/>
              <w:suppressLineNumbers w:val="0"/>
              <w:spacing w:before="0" w:beforeAutospacing="0" w:after="0" w:afterAutospacing="0"/>
              <w:ind w:left="0" w:right="0"/>
              <w:rPr>
                <w:rFonts w:hint="default"/>
                <w:highlight w:val="none"/>
              </w:rPr>
            </w:pPr>
          </w:p>
        </w:tc>
        <w:tc>
          <w:tcPr>
            <w:tcW w:w="1401" w:type="dxa"/>
            <w:tcBorders>
              <w:top w:val="single" w:color="auto" w:sz="4" w:space="0"/>
              <w:left w:val="nil"/>
              <w:bottom w:val="single" w:color="auto" w:sz="4" w:space="0"/>
              <w:right w:val="single" w:color="auto" w:sz="4" w:space="0"/>
            </w:tcBorders>
          </w:tcPr>
          <w:p w14:paraId="724F7952">
            <w:pPr>
              <w:keepNext w:val="0"/>
              <w:keepLines w:val="0"/>
              <w:suppressLineNumbers w:val="0"/>
              <w:spacing w:before="0" w:beforeAutospacing="0" w:after="0" w:afterAutospacing="0"/>
              <w:ind w:left="0" w:right="0"/>
              <w:rPr>
                <w:rFonts w:hint="default"/>
                <w:highlight w:val="none"/>
              </w:rPr>
            </w:pPr>
          </w:p>
        </w:tc>
        <w:tc>
          <w:tcPr>
            <w:tcW w:w="709" w:type="dxa"/>
            <w:tcBorders>
              <w:top w:val="single" w:color="auto" w:sz="4" w:space="0"/>
              <w:left w:val="nil"/>
              <w:bottom w:val="single" w:color="auto" w:sz="4" w:space="0"/>
              <w:right w:val="single" w:color="auto" w:sz="4" w:space="0"/>
            </w:tcBorders>
          </w:tcPr>
          <w:p w14:paraId="62E1D14C">
            <w:pPr>
              <w:keepNext w:val="0"/>
              <w:keepLines w:val="0"/>
              <w:suppressLineNumbers w:val="0"/>
              <w:spacing w:before="0" w:beforeAutospacing="0" w:after="0" w:afterAutospacing="0"/>
              <w:ind w:left="0" w:right="0"/>
              <w:rPr>
                <w:rFonts w:hint="default"/>
                <w:highlight w:val="none"/>
              </w:rPr>
            </w:pPr>
          </w:p>
        </w:tc>
        <w:tc>
          <w:tcPr>
            <w:tcW w:w="992" w:type="dxa"/>
            <w:tcBorders>
              <w:top w:val="single" w:color="auto" w:sz="4" w:space="0"/>
              <w:left w:val="nil"/>
              <w:bottom w:val="single" w:color="auto" w:sz="4" w:space="0"/>
              <w:right w:val="single" w:color="auto" w:sz="4" w:space="0"/>
            </w:tcBorders>
          </w:tcPr>
          <w:p w14:paraId="07085A9D">
            <w:pPr>
              <w:keepNext w:val="0"/>
              <w:keepLines w:val="0"/>
              <w:suppressLineNumbers w:val="0"/>
              <w:spacing w:before="0" w:beforeAutospacing="0" w:after="0" w:afterAutospacing="0"/>
              <w:ind w:left="0" w:right="0"/>
              <w:rPr>
                <w:rFonts w:hint="default"/>
                <w:highlight w:val="none"/>
              </w:rPr>
            </w:pPr>
          </w:p>
        </w:tc>
      </w:tr>
      <w:tr w14:paraId="642BB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Borders>
              <w:top w:val="single" w:color="auto" w:sz="4" w:space="0"/>
              <w:left w:val="single" w:color="auto" w:sz="4" w:space="0"/>
              <w:bottom w:val="single" w:color="auto" w:sz="4" w:space="0"/>
              <w:right w:val="single" w:color="auto" w:sz="4" w:space="0"/>
            </w:tcBorders>
          </w:tcPr>
          <w:p w14:paraId="45BBDE98">
            <w:pPr>
              <w:keepNext w:val="0"/>
              <w:keepLines w:val="0"/>
              <w:suppressLineNumbers w:val="0"/>
              <w:spacing w:before="0" w:beforeAutospacing="0" w:after="0" w:afterAutospacing="0"/>
              <w:ind w:left="0" w:right="-69" w:rightChars="-33"/>
              <w:jc w:val="center"/>
              <w:rPr>
                <w:rFonts w:hint="default"/>
                <w:szCs w:val="21"/>
                <w:highlight w:val="none"/>
              </w:rPr>
            </w:pPr>
          </w:p>
        </w:tc>
        <w:tc>
          <w:tcPr>
            <w:tcW w:w="1228" w:type="dxa"/>
            <w:tcBorders>
              <w:top w:val="single" w:color="auto" w:sz="4" w:space="0"/>
              <w:left w:val="nil"/>
              <w:bottom w:val="single" w:color="auto" w:sz="4" w:space="0"/>
              <w:right w:val="single" w:color="auto" w:sz="4" w:space="0"/>
            </w:tcBorders>
          </w:tcPr>
          <w:p w14:paraId="20250E9C">
            <w:pPr>
              <w:keepNext w:val="0"/>
              <w:keepLines w:val="0"/>
              <w:suppressLineNumbers w:val="0"/>
              <w:spacing w:before="0" w:beforeAutospacing="0" w:after="0" w:afterAutospacing="0"/>
              <w:ind w:left="0" w:right="0"/>
              <w:rPr>
                <w:rFonts w:hint="default"/>
                <w:highlight w:val="none"/>
              </w:rPr>
            </w:pPr>
          </w:p>
        </w:tc>
        <w:tc>
          <w:tcPr>
            <w:tcW w:w="1694" w:type="dxa"/>
            <w:tcBorders>
              <w:top w:val="single" w:color="auto" w:sz="4" w:space="0"/>
              <w:left w:val="nil"/>
              <w:bottom w:val="single" w:color="auto" w:sz="4" w:space="0"/>
              <w:right w:val="single" w:color="auto" w:sz="4" w:space="0"/>
            </w:tcBorders>
          </w:tcPr>
          <w:p w14:paraId="45E77517">
            <w:pPr>
              <w:keepNext w:val="0"/>
              <w:keepLines w:val="0"/>
              <w:suppressLineNumbers w:val="0"/>
              <w:spacing w:before="0" w:beforeAutospacing="0" w:after="0" w:afterAutospacing="0"/>
              <w:ind w:left="0" w:right="0"/>
              <w:rPr>
                <w:rFonts w:hint="default"/>
                <w:highlight w:val="none"/>
              </w:rPr>
            </w:pPr>
          </w:p>
        </w:tc>
        <w:tc>
          <w:tcPr>
            <w:tcW w:w="900" w:type="dxa"/>
            <w:tcBorders>
              <w:top w:val="single" w:color="auto" w:sz="4" w:space="0"/>
              <w:left w:val="nil"/>
              <w:bottom w:val="single" w:color="auto" w:sz="4" w:space="0"/>
              <w:right w:val="single" w:color="auto" w:sz="4" w:space="0"/>
            </w:tcBorders>
          </w:tcPr>
          <w:p w14:paraId="1CB78FCC">
            <w:pPr>
              <w:keepNext w:val="0"/>
              <w:keepLines w:val="0"/>
              <w:suppressLineNumbers w:val="0"/>
              <w:spacing w:before="0" w:beforeAutospacing="0" w:after="0" w:afterAutospacing="0"/>
              <w:ind w:left="0" w:right="0"/>
              <w:rPr>
                <w:rFonts w:hint="default"/>
                <w:highlight w:val="none"/>
              </w:rPr>
            </w:pPr>
          </w:p>
        </w:tc>
        <w:tc>
          <w:tcPr>
            <w:tcW w:w="1401" w:type="dxa"/>
            <w:tcBorders>
              <w:top w:val="single" w:color="auto" w:sz="4" w:space="0"/>
              <w:left w:val="nil"/>
              <w:bottom w:val="single" w:color="auto" w:sz="4" w:space="0"/>
              <w:right w:val="single" w:color="auto" w:sz="4" w:space="0"/>
            </w:tcBorders>
          </w:tcPr>
          <w:p w14:paraId="5D63FB7B">
            <w:pPr>
              <w:keepNext w:val="0"/>
              <w:keepLines w:val="0"/>
              <w:suppressLineNumbers w:val="0"/>
              <w:spacing w:before="0" w:beforeAutospacing="0" w:after="0" w:afterAutospacing="0"/>
              <w:ind w:left="0" w:right="0"/>
              <w:rPr>
                <w:rFonts w:hint="default"/>
                <w:highlight w:val="none"/>
              </w:rPr>
            </w:pPr>
          </w:p>
        </w:tc>
        <w:tc>
          <w:tcPr>
            <w:tcW w:w="709" w:type="dxa"/>
            <w:tcBorders>
              <w:top w:val="single" w:color="auto" w:sz="4" w:space="0"/>
              <w:left w:val="nil"/>
              <w:bottom w:val="single" w:color="auto" w:sz="4" w:space="0"/>
              <w:right w:val="single" w:color="auto" w:sz="4" w:space="0"/>
            </w:tcBorders>
          </w:tcPr>
          <w:p w14:paraId="59EA9B2F">
            <w:pPr>
              <w:keepNext w:val="0"/>
              <w:keepLines w:val="0"/>
              <w:suppressLineNumbers w:val="0"/>
              <w:spacing w:before="0" w:beforeAutospacing="0" w:after="0" w:afterAutospacing="0"/>
              <w:ind w:left="0" w:right="0"/>
              <w:rPr>
                <w:rFonts w:hint="default"/>
                <w:highlight w:val="none"/>
              </w:rPr>
            </w:pPr>
          </w:p>
        </w:tc>
        <w:tc>
          <w:tcPr>
            <w:tcW w:w="992" w:type="dxa"/>
            <w:tcBorders>
              <w:top w:val="single" w:color="auto" w:sz="4" w:space="0"/>
              <w:left w:val="nil"/>
              <w:bottom w:val="single" w:color="auto" w:sz="4" w:space="0"/>
              <w:right w:val="single" w:color="auto" w:sz="4" w:space="0"/>
            </w:tcBorders>
          </w:tcPr>
          <w:p w14:paraId="6ABC77A8">
            <w:pPr>
              <w:keepNext w:val="0"/>
              <w:keepLines w:val="0"/>
              <w:suppressLineNumbers w:val="0"/>
              <w:spacing w:before="0" w:beforeAutospacing="0" w:after="0" w:afterAutospacing="0"/>
              <w:ind w:left="0" w:right="0"/>
              <w:rPr>
                <w:rFonts w:hint="default"/>
                <w:highlight w:val="none"/>
              </w:rPr>
            </w:pPr>
          </w:p>
        </w:tc>
      </w:tr>
      <w:tr w14:paraId="4431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Borders>
              <w:top w:val="single" w:color="auto" w:sz="4" w:space="0"/>
              <w:left w:val="single" w:color="auto" w:sz="4" w:space="0"/>
              <w:bottom w:val="single" w:color="auto" w:sz="4" w:space="0"/>
              <w:right w:val="single" w:color="auto" w:sz="4" w:space="0"/>
            </w:tcBorders>
          </w:tcPr>
          <w:p w14:paraId="02443F78">
            <w:pPr>
              <w:keepNext w:val="0"/>
              <w:keepLines w:val="0"/>
              <w:suppressLineNumbers w:val="0"/>
              <w:spacing w:before="0" w:beforeAutospacing="0" w:after="0" w:afterAutospacing="0"/>
              <w:ind w:left="0" w:right="0"/>
              <w:rPr>
                <w:rFonts w:hint="default"/>
                <w:highlight w:val="none"/>
              </w:rPr>
            </w:pPr>
          </w:p>
        </w:tc>
        <w:tc>
          <w:tcPr>
            <w:tcW w:w="1228" w:type="dxa"/>
            <w:tcBorders>
              <w:top w:val="single" w:color="auto" w:sz="4" w:space="0"/>
              <w:left w:val="nil"/>
              <w:bottom w:val="single" w:color="auto" w:sz="4" w:space="0"/>
              <w:right w:val="single" w:color="auto" w:sz="4" w:space="0"/>
            </w:tcBorders>
          </w:tcPr>
          <w:p w14:paraId="1DE43696">
            <w:pPr>
              <w:keepNext w:val="0"/>
              <w:keepLines w:val="0"/>
              <w:suppressLineNumbers w:val="0"/>
              <w:spacing w:before="0" w:beforeAutospacing="0" w:after="0" w:afterAutospacing="0"/>
              <w:ind w:left="0" w:right="0"/>
              <w:rPr>
                <w:rFonts w:hint="default"/>
                <w:highlight w:val="none"/>
              </w:rPr>
            </w:pPr>
          </w:p>
        </w:tc>
        <w:tc>
          <w:tcPr>
            <w:tcW w:w="1694" w:type="dxa"/>
            <w:tcBorders>
              <w:top w:val="single" w:color="auto" w:sz="4" w:space="0"/>
              <w:left w:val="nil"/>
              <w:bottom w:val="single" w:color="auto" w:sz="4" w:space="0"/>
              <w:right w:val="single" w:color="auto" w:sz="4" w:space="0"/>
            </w:tcBorders>
          </w:tcPr>
          <w:p w14:paraId="4D743B94">
            <w:pPr>
              <w:keepNext w:val="0"/>
              <w:keepLines w:val="0"/>
              <w:suppressLineNumbers w:val="0"/>
              <w:spacing w:before="0" w:beforeAutospacing="0" w:after="0" w:afterAutospacing="0"/>
              <w:ind w:left="0" w:right="0"/>
              <w:rPr>
                <w:rFonts w:hint="default"/>
                <w:highlight w:val="none"/>
              </w:rPr>
            </w:pPr>
          </w:p>
        </w:tc>
        <w:tc>
          <w:tcPr>
            <w:tcW w:w="900" w:type="dxa"/>
            <w:tcBorders>
              <w:top w:val="single" w:color="auto" w:sz="4" w:space="0"/>
              <w:left w:val="nil"/>
              <w:bottom w:val="single" w:color="auto" w:sz="4" w:space="0"/>
              <w:right w:val="single" w:color="auto" w:sz="4" w:space="0"/>
            </w:tcBorders>
          </w:tcPr>
          <w:p w14:paraId="6D621B89">
            <w:pPr>
              <w:keepNext w:val="0"/>
              <w:keepLines w:val="0"/>
              <w:suppressLineNumbers w:val="0"/>
              <w:spacing w:before="0" w:beforeAutospacing="0" w:after="0" w:afterAutospacing="0"/>
              <w:ind w:left="0" w:right="0"/>
              <w:rPr>
                <w:rFonts w:hint="default"/>
                <w:highlight w:val="none"/>
              </w:rPr>
            </w:pPr>
          </w:p>
        </w:tc>
        <w:tc>
          <w:tcPr>
            <w:tcW w:w="1401" w:type="dxa"/>
            <w:tcBorders>
              <w:top w:val="single" w:color="auto" w:sz="4" w:space="0"/>
              <w:left w:val="nil"/>
              <w:bottom w:val="single" w:color="auto" w:sz="4" w:space="0"/>
              <w:right w:val="single" w:color="auto" w:sz="4" w:space="0"/>
            </w:tcBorders>
          </w:tcPr>
          <w:p w14:paraId="40F51D52">
            <w:pPr>
              <w:keepNext w:val="0"/>
              <w:keepLines w:val="0"/>
              <w:suppressLineNumbers w:val="0"/>
              <w:spacing w:before="0" w:beforeAutospacing="0" w:after="0" w:afterAutospacing="0"/>
              <w:ind w:left="0" w:right="0"/>
              <w:rPr>
                <w:rFonts w:hint="default"/>
                <w:highlight w:val="none"/>
              </w:rPr>
            </w:pPr>
          </w:p>
        </w:tc>
        <w:tc>
          <w:tcPr>
            <w:tcW w:w="709" w:type="dxa"/>
            <w:tcBorders>
              <w:top w:val="single" w:color="auto" w:sz="4" w:space="0"/>
              <w:left w:val="nil"/>
              <w:bottom w:val="single" w:color="auto" w:sz="4" w:space="0"/>
              <w:right w:val="single" w:color="auto" w:sz="4" w:space="0"/>
            </w:tcBorders>
          </w:tcPr>
          <w:p w14:paraId="7E8A531D">
            <w:pPr>
              <w:keepNext w:val="0"/>
              <w:keepLines w:val="0"/>
              <w:suppressLineNumbers w:val="0"/>
              <w:spacing w:before="0" w:beforeAutospacing="0" w:after="0" w:afterAutospacing="0"/>
              <w:ind w:left="0" w:right="0"/>
              <w:rPr>
                <w:rFonts w:hint="default"/>
                <w:highlight w:val="none"/>
              </w:rPr>
            </w:pPr>
          </w:p>
        </w:tc>
        <w:tc>
          <w:tcPr>
            <w:tcW w:w="992" w:type="dxa"/>
            <w:tcBorders>
              <w:top w:val="single" w:color="auto" w:sz="4" w:space="0"/>
              <w:left w:val="nil"/>
              <w:bottom w:val="single" w:color="auto" w:sz="4" w:space="0"/>
              <w:right w:val="single" w:color="auto" w:sz="4" w:space="0"/>
            </w:tcBorders>
          </w:tcPr>
          <w:p w14:paraId="7FDE4C4B">
            <w:pPr>
              <w:keepNext w:val="0"/>
              <w:keepLines w:val="0"/>
              <w:suppressLineNumbers w:val="0"/>
              <w:spacing w:before="0" w:beforeAutospacing="0" w:after="0" w:afterAutospacing="0"/>
              <w:ind w:left="0" w:right="0"/>
              <w:rPr>
                <w:rFonts w:hint="default"/>
                <w:highlight w:val="none"/>
              </w:rPr>
            </w:pPr>
          </w:p>
        </w:tc>
      </w:tr>
      <w:tr w14:paraId="5E7B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Borders>
              <w:top w:val="single" w:color="auto" w:sz="4" w:space="0"/>
              <w:left w:val="single" w:color="auto" w:sz="4" w:space="0"/>
              <w:bottom w:val="single" w:color="auto" w:sz="4" w:space="0"/>
              <w:right w:val="single" w:color="auto" w:sz="4" w:space="0"/>
            </w:tcBorders>
          </w:tcPr>
          <w:p w14:paraId="27CA83F8">
            <w:pPr>
              <w:keepNext w:val="0"/>
              <w:keepLines w:val="0"/>
              <w:suppressLineNumbers w:val="0"/>
              <w:spacing w:before="0" w:beforeAutospacing="0" w:after="0" w:afterAutospacing="0"/>
              <w:ind w:left="0" w:right="0"/>
              <w:rPr>
                <w:rFonts w:hint="default"/>
                <w:highlight w:val="none"/>
              </w:rPr>
            </w:pPr>
          </w:p>
        </w:tc>
        <w:tc>
          <w:tcPr>
            <w:tcW w:w="1228" w:type="dxa"/>
            <w:tcBorders>
              <w:top w:val="single" w:color="auto" w:sz="4" w:space="0"/>
              <w:left w:val="nil"/>
              <w:bottom w:val="single" w:color="auto" w:sz="4" w:space="0"/>
              <w:right w:val="single" w:color="auto" w:sz="4" w:space="0"/>
            </w:tcBorders>
          </w:tcPr>
          <w:p w14:paraId="04F49C0A">
            <w:pPr>
              <w:keepNext w:val="0"/>
              <w:keepLines w:val="0"/>
              <w:suppressLineNumbers w:val="0"/>
              <w:spacing w:before="0" w:beforeAutospacing="0" w:after="0" w:afterAutospacing="0"/>
              <w:ind w:left="0" w:right="0"/>
              <w:rPr>
                <w:rFonts w:hint="default"/>
                <w:highlight w:val="none"/>
              </w:rPr>
            </w:pPr>
          </w:p>
        </w:tc>
        <w:tc>
          <w:tcPr>
            <w:tcW w:w="1694" w:type="dxa"/>
            <w:tcBorders>
              <w:top w:val="single" w:color="auto" w:sz="4" w:space="0"/>
              <w:left w:val="nil"/>
              <w:bottom w:val="single" w:color="auto" w:sz="4" w:space="0"/>
              <w:right w:val="single" w:color="auto" w:sz="4" w:space="0"/>
            </w:tcBorders>
          </w:tcPr>
          <w:p w14:paraId="6D52C711">
            <w:pPr>
              <w:keepNext w:val="0"/>
              <w:keepLines w:val="0"/>
              <w:suppressLineNumbers w:val="0"/>
              <w:spacing w:before="0" w:beforeAutospacing="0" w:after="0" w:afterAutospacing="0"/>
              <w:ind w:left="0" w:right="0"/>
              <w:rPr>
                <w:rFonts w:hint="default"/>
                <w:highlight w:val="none"/>
              </w:rPr>
            </w:pPr>
          </w:p>
        </w:tc>
        <w:tc>
          <w:tcPr>
            <w:tcW w:w="900" w:type="dxa"/>
            <w:tcBorders>
              <w:top w:val="single" w:color="auto" w:sz="4" w:space="0"/>
              <w:left w:val="nil"/>
              <w:bottom w:val="single" w:color="auto" w:sz="4" w:space="0"/>
              <w:right w:val="single" w:color="auto" w:sz="4" w:space="0"/>
            </w:tcBorders>
          </w:tcPr>
          <w:p w14:paraId="677225A1">
            <w:pPr>
              <w:keepNext w:val="0"/>
              <w:keepLines w:val="0"/>
              <w:suppressLineNumbers w:val="0"/>
              <w:spacing w:before="0" w:beforeAutospacing="0" w:after="0" w:afterAutospacing="0"/>
              <w:ind w:left="0" w:right="0"/>
              <w:rPr>
                <w:rFonts w:hint="default"/>
                <w:highlight w:val="none"/>
              </w:rPr>
            </w:pPr>
          </w:p>
        </w:tc>
        <w:tc>
          <w:tcPr>
            <w:tcW w:w="1401" w:type="dxa"/>
            <w:tcBorders>
              <w:top w:val="single" w:color="auto" w:sz="4" w:space="0"/>
              <w:left w:val="nil"/>
              <w:bottom w:val="single" w:color="auto" w:sz="4" w:space="0"/>
              <w:right w:val="single" w:color="auto" w:sz="4" w:space="0"/>
            </w:tcBorders>
          </w:tcPr>
          <w:p w14:paraId="283A2AA9">
            <w:pPr>
              <w:keepNext w:val="0"/>
              <w:keepLines w:val="0"/>
              <w:suppressLineNumbers w:val="0"/>
              <w:spacing w:before="0" w:beforeAutospacing="0" w:after="0" w:afterAutospacing="0"/>
              <w:ind w:left="0" w:right="0"/>
              <w:rPr>
                <w:rFonts w:hint="default"/>
                <w:highlight w:val="none"/>
              </w:rPr>
            </w:pPr>
          </w:p>
        </w:tc>
        <w:tc>
          <w:tcPr>
            <w:tcW w:w="709" w:type="dxa"/>
            <w:tcBorders>
              <w:top w:val="single" w:color="auto" w:sz="4" w:space="0"/>
              <w:left w:val="nil"/>
              <w:bottom w:val="single" w:color="auto" w:sz="4" w:space="0"/>
              <w:right w:val="single" w:color="auto" w:sz="4" w:space="0"/>
            </w:tcBorders>
          </w:tcPr>
          <w:p w14:paraId="3F4D1373">
            <w:pPr>
              <w:keepNext w:val="0"/>
              <w:keepLines w:val="0"/>
              <w:suppressLineNumbers w:val="0"/>
              <w:spacing w:before="0" w:beforeAutospacing="0" w:after="0" w:afterAutospacing="0"/>
              <w:ind w:left="0" w:right="0"/>
              <w:rPr>
                <w:rFonts w:hint="default"/>
                <w:highlight w:val="none"/>
              </w:rPr>
            </w:pPr>
          </w:p>
        </w:tc>
        <w:tc>
          <w:tcPr>
            <w:tcW w:w="992" w:type="dxa"/>
            <w:tcBorders>
              <w:top w:val="single" w:color="auto" w:sz="4" w:space="0"/>
              <w:left w:val="nil"/>
              <w:bottom w:val="single" w:color="auto" w:sz="4" w:space="0"/>
              <w:right w:val="single" w:color="auto" w:sz="4" w:space="0"/>
            </w:tcBorders>
          </w:tcPr>
          <w:p w14:paraId="2AA58A03">
            <w:pPr>
              <w:keepNext w:val="0"/>
              <w:keepLines w:val="0"/>
              <w:suppressLineNumbers w:val="0"/>
              <w:spacing w:before="0" w:beforeAutospacing="0" w:after="0" w:afterAutospacing="0"/>
              <w:ind w:left="0" w:right="0"/>
              <w:rPr>
                <w:rFonts w:hint="default"/>
                <w:highlight w:val="none"/>
              </w:rPr>
            </w:pPr>
          </w:p>
        </w:tc>
      </w:tr>
    </w:tbl>
    <w:p w14:paraId="0F2D9E73">
      <w:pPr>
        <w:ind w:firstLine="422" w:firstLineChars="200"/>
        <w:rPr>
          <w:rFonts w:hAnsi="宋体"/>
          <w:b/>
          <w:bCs/>
          <w:highlight w:val="none"/>
        </w:rPr>
      </w:pPr>
    </w:p>
    <w:tbl>
      <w:tblPr>
        <w:tblStyle w:val="21"/>
        <w:tblW w:w="7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2262"/>
        <w:gridCol w:w="2604"/>
        <w:gridCol w:w="1705"/>
      </w:tblGrid>
      <w:tr w14:paraId="00F99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 w:type="dxa"/>
            <w:tcBorders>
              <w:top w:val="single" w:color="auto" w:sz="4" w:space="0"/>
              <w:left w:val="single" w:color="auto" w:sz="4" w:space="0"/>
              <w:bottom w:val="single" w:color="auto" w:sz="4" w:space="0"/>
              <w:right w:val="single" w:color="auto" w:sz="4" w:space="0"/>
            </w:tcBorders>
          </w:tcPr>
          <w:p w14:paraId="31B56845">
            <w:pPr>
              <w:keepNext w:val="0"/>
              <w:keepLines w:val="0"/>
              <w:suppressLineNumbers w:val="0"/>
              <w:spacing w:before="0" w:beforeAutospacing="0" w:after="0" w:afterAutospacing="0"/>
              <w:ind w:left="0" w:right="0"/>
              <w:jc w:val="center"/>
              <w:rPr>
                <w:rFonts w:hint="default"/>
                <w:szCs w:val="21"/>
                <w:highlight w:val="none"/>
              </w:rPr>
            </w:pPr>
            <w:r>
              <w:rPr>
                <w:rFonts w:hint="eastAsia"/>
                <w:highlight w:val="none"/>
              </w:rPr>
              <w:t>序号</w:t>
            </w:r>
          </w:p>
        </w:tc>
        <w:tc>
          <w:tcPr>
            <w:tcW w:w="2262" w:type="dxa"/>
            <w:tcBorders>
              <w:top w:val="single" w:color="auto" w:sz="4" w:space="0"/>
              <w:left w:val="nil"/>
              <w:bottom w:val="single" w:color="auto" w:sz="4" w:space="0"/>
              <w:right w:val="single" w:color="auto" w:sz="4" w:space="0"/>
            </w:tcBorders>
          </w:tcPr>
          <w:p w14:paraId="70D5A256">
            <w:pPr>
              <w:keepNext w:val="0"/>
              <w:keepLines w:val="0"/>
              <w:suppressLineNumbers w:val="0"/>
              <w:spacing w:before="0" w:beforeAutospacing="0" w:after="0" w:afterAutospacing="0"/>
              <w:ind w:left="0" w:right="0"/>
              <w:jc w:val="center"/>
              <w:rPr>
                <w:rFonts w:hint="default"/>
                <w:highlight w:val="none"/>
              </w:rPr>
            </w:pPr>
            <w:r>
              <w:rPr>
                <w:rFonts w:hint="eastAsia"/>
                <w:highlight w:val="none"/>
              </w:rPr>
              <w:t>服务名称</w:t>
            </w:r>
          </w:p>
        </w:tc>
        <w:tc>
          <w:tcPr>
            <w:tcW w:w="2604" w:type="dxa"/>
            <w:tcBorders>
              <w:top w:val="single" w:color="auto" w:sz="4" w:space="0"/>
              <w:left w:val="nil"/>
              <w:bottom w:val="single" w:color="auto" w:sz="4" w:space="0"/>
              <w:right w:val="single" w:color="auto" w:sz="4" w:space="0"/>
            </w:tcBorders>
          </w:tcPr>
          <w:p w14:paraId="52CC7075">
            <w:pPr>
              <w:keepNext w:val="0"/>
              <w:keepLines w:val="0"/>
              <w:suppressLineNumbers w:val="0"/>
              <w:spacing w:before="0" w:beforeAutospacing="0" w:after="0" w:afterAutospacing="0"/>
              <w:ind w:left="0" w:right="0"/>
              <w:jc w:val="center"/>
              <w:rPr>
                <w:rFonts w:hint="default"/>
                <w:highlight w:val="none"/>
              </w:rPr>
            </w:pPr>
            <w:r>
              <w:rPr>
                <w:rFonts w:hint="eastAsia"/>
                <w:highlight w:val="none"/>
              </w:rPr>
              <w:t>服务内容</w:t>
            </w:r>
          </w:p>
        </w:tc>
        <w:tc>
          <w:tcPr>
            <w:tcW w:w="1705" w:type="dxa"/>
            <w:tcBorders>
              <w:top w:val="single" w:color="auto" w:sz="4" w:space="0"/>
              <w:left w:val="nil"/>
              <w:bottom w:val="single" w:color="auto" w:sz="4" w:space="0"/>
              <w:right w:val="single" w:color="auto" w:sz="4" w:space="0"/>
            </w:tcBorders>
          </w:tcPr>
          <w:p w14:paraId="21427086">
            <w:pPr>
              <w:keepNext w:val="0"/>
              <w:keepLines w:val="0"/>
              <w:suppressLineNumbers w:val="0"/>
              <w:spacing w:before="0" w:beforeAutospacing="0" w:after="0" w:afterAutospacing="0"/>
              <w:ind w:left="0" w:right="0"/>
              <w:jc w:val="center"/>
              <w:rPr>
                <w:rFonts w:hint="default"/>
                <w:highlight w:val="none"/>
              </w:rPr>
            </w:pPr>
            <w:r>
              <w:rPr>
                <w:rFonts w:hint="eastAsia"/>
                <w:highlight w:val="none"/>
              </w:rPr>
              <w:t>价格（元）</w:t>
            </w:r>
          </w:p>
        </w:tc>
      </w:tr>
      <w:tr w14:paraId="78E5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tcPr>
          <w:p w14:paraId="7EF10BA5">
            <w:pPr>
              <w:keepNext w:val="0"/>
              <w:keepLines w:val="0"/>
              <w:suppressLineNumbers w:val="0"/>
              <w:spacing w:before="0" w:beforeAutospacing="0" w:after="0" w:afterAutospacing="0"/>
              <w:ind w:left="0" w:right="-69" w:rightChars="-33"/>
              <w:jc w:val="center"/>
              <w:rPr>
                <w:rFonts w:hint="default"/>
                <w:highlight w:val="none"/>
              </w:rPr>
            </w:pPr>
            <w:r>
              <w:rPr>
                <w:rFonts w:hint="eastAsia"/>
                <w:highlight w:val="none"/>
              </w:rPr>
              <w:t>1</w:t>
            </w:r>
          </w:p>
        </w:tc>
        <w:tc>
          <w:tcPr>
            <w:tcW w:w="2262" w:type="dxa"/>
            <w:tcBorders>
              <w:top w:val="single" w:color="auto" w:sz="4" w:space="0"/>
              <w:left w:val="nil"/>
              <w:bottom w:val="single" w:color="auto" w:sz="4" w:space="0"/>
              <w:right w:val="single" w:color="auto" w:sz="4" w:space="0"/>
            </w:tcBorders>
          </w:tcPr>
          <w:p w14:paraId="350025C8">
            <w:pPr>
              <w:keepNext w:val="0"/>
              <w:keepLines w:val="0"/>
              <w:suppressLineNumbers w:val="0"/>
              <w:spacing w:before="0" w:beforeAutospacing="0" w:after="0" w:afterAutospacing="0"/>
              <w:ind w:left="0" w:right="0"/>
              <w:jc w:val="center"/>
              <w:rPr>
                <w:rFonts w:hint="default"/>
                <w:highlight w:val="none"/>
              </w:rPr>
            </w:pPr>
            <w:r>
              <w:rPr>
                <w:rFonts w:hint="eastAsia"/>
                <w:highlight w:val="none"/>
              </w:rPr>
              <w:t>延续保修合同</w:t>
            </w:r>
          </w:p>
        </w:tc>
        <w:tc>
          <w:tcPr>
            <w:tcW w:w="2604" w:type="dxa"/>
            <w:tcBorders>
              <w:top w:val="single" w:color="auto" w:sz="4" w:space="0"/>
              <w:left w:val="nil"/>
              <w:bottom w:val="single" w:color="auto" w:sz="4" w:space="0"/>
              <w:right w:val="single" w:color="auto" w:sz="4" w:space="0"/>
            </w:tcBorders>
          </w:tcPr>
          <w:p w14:paraId="4AAFCE92">
            <w:pPr>
              <w:keepNext w:val="0"/>
              <w:keepLines w:val="0"/>
              <w:suppressLineNumbers w:val="0"/>
              <w:spacing w:before="0" w:beforeAutospacing="0" w:after="0" w:afterAutospacing="0"/>
              <w:ind w:left="0" w:right="0"/>
              <w:jc w:val="center"/>
              <w:rPr>
                <w:rFonts w:hint="default" w:hAnsi="宋体"/>
                <w:b/>
                <w:bCs/>
                <w:highlight w:val="none"/>
              </w:rPr>
            </w:pPr>
          </w:p>
        </w:tc>
        <w:tc>
          <w:tcPr>
            <w:tcW w:w="1705" w:type="dxa"/>
            <w:tcBorders>
              <w:top w:val="single" w:color="auto" w:sz="4" w:space="0"/>
              <w:left w:val="nil"/>
              <w:bottom w:val="single" w:color="auto" w:sz="4" w:space="0"/>
              <w:right w:val="single" w:color="auto" w:sz="4" w:space="0"/>
            </w:tcBorders>
          </w:tcPr>
          <w:p w14:paraId="5CF30324">
            <w:pPr>
              <w:keepNext w:val="0"/>
              <w:keepLines w:val="0"/>
              <w:suppressLineNumbers w:val="0"/>
              <w:spacing w:before="0" w:beforeAutospacing="0" w:after="0" w:afterAutospacing="0"/>
              <w:ind w:left="0" w:right="0"/>
              <w:jc w:val="center"/>
              <w:rPr>
                <w:rFonts w:hint="default" w:hAnsi="宋体"/>
                <w:b/>
                <w:bCs/>
                <w:highlight w:val="none"/>
              </w:rPr>
            </w:pPr>
          </w:p>
        </w:tc>
      </w:tr>
      <w:tr w14:paraId="4545C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tcPr>
          <w:p w14:paraId="723C1D38">
            <w:pPr>
              <w:keepNext w:val="0"/>
              <w:keepLines w:val="0"/>
              <w:suppressLineNumbers w:val="0"/>
              <w:spacing w:before="0" w:beforeAutospacing="0" w:after="0" w:afterAutospacing="0"/>
              <w:ind w:left="0" w:right="-69" w:rightChars="-33"/>
              <w:jc w:val="center"/>
              <w:rPr>
                <w:rFonts w:hint="default"/>
                <w:szCs w:val="21"/>
                <w:highlight w:val="none"/>
              </w:rPr>
            </w:pPr>
          </w:p>
        </w:tc>
        <w:tc>
          <w:tcPr>
            <w:tcW w:w="2262" w:type="dxa"/>
            <w:tcBorders>
              <w:top w:val="single" w:color="auto" w:sz="4" w:space="0"/>
              <w:left w:val="nil"/>
              <w:bottom w:val="single" w:color="auto" w:sz="4" w:space="0"/>
              <w:right w:val="single" w:color="auto" w:sz="4" w:space="0"/>
            </w:tcBorders>
          </w:tcPr>
          <w:p w14:paraId="194E9494">
            <w:pPr>
              <w:keepNext w:val="0"/>
              <w:keepLines w:val="0"/>
              <w:suppressLineNumbers w:val="0"/>
              <w:spacing w:before="0" w:beforeAutospacing="0" w:after="0" w:afterAutospacing="0"/>
              <w:ind w:left="0" w:right="0"/>
              <w:jc w:val="center"/>
              <w:rPr>
                <w:rFonts w:hint="default"/>
                <w:highlight w:val="none"/>
              </w:rPr>
            </w:pPr>
          </w:p>
        </w:tc>
        <w:tc>
          <w:tcPr>
            <w:tcW w:w="2604" w:type="dxa"/>
            <w:tcBorders>
              <w:top w:val="single" w:color="auto" w:sz="4" w:space="0"/>
              <w:left w:val="nil"/>
              <w:bottom w:val="single" w:color="auto" w:sz="4" w:space="0"/>
              <w:right w:val="single" w:color="auto" w:sz="4" w:space="0"/>
            </w:tcBorders>
          </w:tcPr>
          <w:p w14:paraId="5610FE9D">
            <w:pPr>
              <w:keepNext w:val="0"/>
              <w:keepLines w:val="0"/>
              <w:suppressLineNumbers w:val="0"/>
              <w:spacing w:before="0" w:beforeAutospacing="0" w:after="0" w:afterAutospacing="0"/>
              <w:ind w:left="0" w:right="0"/>
              <w:jc w:val="center"/>
              <w:rPr>
                <w:rFonts w:hint="default" w:hAnsi="宋体"/>
                <w:b/>
                <w:bCs/>
                <w:highlight w:val="none"/>
              </w:rPr>
            </w:pPr>
          </w:p>
        </w:tc>
        <w:tc>
          <w:tcPr>
            <w:tcW w:w="1705" w:type="dxa"/>
            <w:tcBorders>
              <w:top w:val="single" w:color="auto" w:sz="4" w:space="0"/>
              <w:left w:val="nil"/>
              <w:bottom w:val="single" w:color="auto" w:sz="4" w:space="0"/>
              <w:right w:val="single" w:color="auto" w:sz="4" w:space="0"/>
            </w:tcBorders>
          </w:tcPr>
          <w:p w14:paraId="124B6166">
            <w:pPr>
              <w:keepNext w:val="0"/>
              <w:keepLines w:val="0"/>
              <w:suppressLineNumbers w:val="0"/>
              <w:spacing w:before="0" w:beforeAutospacing="0" w:after="0" w:afterAutospacing="0"/>
              <w:ind w:left="0" w:right="0"/>
              <w:jc w:val="center"/>
              <w:rPr>
                <w:rFonts w:hint="default" w:hAnsi="宋体"/>
                <w:b/>
                <w:bCs/>
                <w:highlight w:val="none"/>
              </w:rPr>
            </w:pPr>
          </w:p>
        </w:tc>
      </w:tr>
    </w:tbl>
    <w:p w14:paraId="4FBCAFC8">
      <w:pPr>
        <w:pStyle w:val="38"/>
        <w:rPr>
          <w:rFonts w:hAnsi="宋体"/>
          <w:b/>
          <w:bCs/>
          <w:sz w:val="24"/>
        </w:rPr>
      </w:pPr>
    </w:p>
    <w:p w14:paraId="788BAD3A">
      <w:pPr>
        <w:pStyle w:val="38"/>
        <w:rPr>
          <w:rFonts w:hAnsi="宋体"/>
          <w:b/>
          <w:bCs/>
          <w:sz w:val="24"/>
        </w:rPr>
      </w:pPr>
    </w:p>
    <w:p w14:paraId="0E4E324C">
      <w:pPr>
        <w:pStyle w:val="38"/>
        <w:rPr>
          <w:rFonts w:hAnsi="宋体"/>
          <w:b/>
          <w:bCs/>
          <w:sz w:val="24"/>
        </w:rPr>
      </w:pPr>
    </w:p>
    <w:p w14:paraId="113F24F2">
      <w:pPr>
        <w:numPr>
          <w:ilvl w:val="0"/>
          <w:numId w:val="1"/>
        </w:numPr>
        <w:tabs>
          <w:tab w:val="left" w:pos="720"/>
        </w:tabs>
        <w:jc w:val="center"/>
        <w:rPr>
          <w:rFonts w:hint="eastAsia"/>
          <w:b/>
          <w:sz w:val="24"/>
        </w:rPr>
      </w:pPr>
      <w:r>
        <w:rPr>
          <w:rFonts w:hint="eastAsia"/>
          <w:b/>
          <w:sz w:val="24"/>
        </w:rPr>
        <w:t>投标人认为需要涉及的其他内容报价清单</w:t>
      </w:r>
    </w:p>
    <w:p w14:paraId="33952884">
      <w:pPr>
        <w:rPr>
          <w:highlight w:val="yellow"/>
        </w:rPr>
      </w:pPr>
    </w:p>
    <w:p w14:paraId="355A355B">
      <w:pPr>
        <w:pStyle w:val="5"/>
        <w:jc w:val="center"/>
        <w:rPr>
          <w:rFonts w:ascii="黑体" w:eastAsia="黑体"/>
          <w:b w:val="0"/>
          <w:kern w:val="0"/>
          <w:sz w:val="24"/>
          <w:szCs w:val="24"/>
        </w:rPr>
      </w:pPr>
      <w:r>
        <w:rPr>
          <w:rFonts w:hint="eastAsia" w:ascii="黑体" w:eastAsia="黑体"/>
          <w:b w:val="0"/>
          <w:kern w:val="0"/>
          <w:sz w:val="24"/>
          <w:szCs w:val="24"/>
        </w:rPr>
        <w:t>五、</w:t>
      </w:r>
      <w:bookmarkStart w:id="63" w:name="_Hlk72092634"/>
      <w:r>
        <w:rPr>
          <w:rFonts w:hint="eastAsia" w:ascii="黑体" w:eastAsia="黑体"/>
          <w:b w:val="0"/>
          <w:kern w:val="0"/>
          <w:sz w:val="24"/>
          <w:szCs w:val="24"/>
        </w:rPr>
        <w:t>实质性条款响应情况表</w:t>
      </w:r>
      <w:bookmarkEnd w:id="63"/>
    </w:p>
    <w:tbl>
      <w:tblPr>
        <w:tblStyle w:val="21"/>
        <w:tblW w:w="87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282"/>
        <w:gridCol w:w="2925"/>
        <w:gridCol w:w="1125"/>
        <w:gridCol w:w="731"/>
      </w:tblGrid>
      <w:tr w14:paraId="5C7B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13A2F7DA">
            <w:pPr>
              <w:adjustRightInd w:val="0"/>
              <w:snapToGrid w:val="0"/>
              <w:spacing w:line="360" w:lineRule="auto"/>
              <w:jc w:val="center"/>
              <w:rPr>
                <w:rFonts w:ascii="宋体" w:hAnsi="宋体"/>
                <w:kern w:val="0"/>
                <w:szCs w:val="21"/>
              </w:rPr>
            </w:pPr>
            <w:bookmarkStart w:id="64" w:name="_Hlk72092651"/>
            <w:r>
              <w:rPr>
                <w:rFonts w:hint="eastAsia" w:ascii="宋体" w:hAnsi="宋体"/>
                <w:kern w:val="0"/>
                <w:szCs w:val="21"/>
              </w:rPr>
              <w:t>序号</w:t>
            </w:r>
          </w:p>
        </w:tc>
        <w:tc>
          <w:tcPr>
            <w:tcW w:w="3282" w:type="dxa"/>
            <w:vAlign w:val="center"/>
          </w:tcPr>
          <w:p w14:paraId="250B0C2A">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2925" w:type="dxa"/>
            <w:vAlign w:val="center"/>
          </w:tcPr>
          <w:p w14:paraId="301D3065">
            <w:pPr>
              <w:adjustRightInd w:val="0"/>
              <w:snapToGrid w:val="0"/>
              <w:spacing w:line="360" w:lineRule="auto"/>
              <w:jc w:val="center"/>
              <w:rPr>
                <w:rFonts w:ascii="宋体" w:hAnsi="宋体"/>
                <w:kern w:val="0"/>
                <w:szCs w:val="21"/>
              </w:rPr>
            </w:pPr>
            <w:r>
              <w:rPr>
                <w:rFonts w:hint="eastAsia"/>
              </w:rPr>
              <w:t>投标响应</w:t>
            </w:r>
          </w:p>
        </w:tc>
        <w:tc>
          <w:tcPr>
            <w:tcW w:w="1125" w:type="dxa"/>
            <w:vAlign w:val="center"/>
          </w:tcPr>
          <w:p w14:paraId="4D3BA8C3">
            <w:pPr>
              <w:adjustRightInd w:val="0"/>
              <w:snapToGrid w:val="0"/>
              <w:spacing w:line="360" w:lineRule="auto"/>
              <w:jc w:val="center"/>
              <w:rPr>
                <w:rFonts w:ascii="宋体" w:hAnsi="宋体"/>
                <w:kern w:val="0"/>
                <w:szCs w:val="21"/>
              </w:rPr>
            </w:pPr>
            <w:r>
              <w:rPr>
                <w:rFonts w:hint="eastAsia"/>
              </w:rPr>
              <w:t>偏离情况</w:t>
            </w:r>
          </w:p>
        </w:tc>
        <w:tc>
          <w:tcPr>
            <w:tcW w:w="731" w:type="dxa"/>
            <w:vAlign w:val="center"/>
          </w:tcPr>
          <w:p w14:paraId="12A1E968">
            <w:pPr>
              <w:adjustRightInd w:val="0"/>
              <w:snapToGrid w:val="0"/>
              <w:spacing w:line="360" w:lineRule="auto"/>
              <w:jc w:val="center"/>
              <w:rPr>
                <w:rFonts w:ascii="宋体" w:hAnsi="宋体"/>
                <w:kern w:val="0"/>
                <w:szCs w:val="21"/>
              </w:rPr>
            </w:pPr>
            <w:r>
              <w:rPr>
                <w:rFonts w:hint="eastAsia"/>
              </w:rPr>
              <w:t>说明</w:t>
            </w:r>
          </w:p>
        </w:tc>
      </w:tr>
      <w:bookmarkEnd w:id="64"/>
      <w:tr w14:paraId="4267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6E2417A4">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282" w:type="dxa"/>
            <w:vAlign w:val="center"/>
          </w:tcPr>
          <w:p w14:paraId="0985577F">
            <w:pPr>
              <w:adjustRightInd w:val="0"/>
              <w:snapToGrid w:val="0"/>
              <w:spacing w:line="360" w:lineRule="auto"/>
              <w:jc w:val="left"/>
              <w:rPr>
                <w:rFonts w:hAnsi="宋体"/>
                <w:kern w:val="0"/>
                <w:szCs w:val="21"/>
              </w:rPr>
            </w:pPr>
            <w:r>
              <w:rPr>
                <w:rFonts w:hint="eastAsia"/>
              </w:rPr>
              <w:t>具体以采购文件第三章 用户需求书中带“★”的需求项为准。</w:t>
            </w:r>
          </w:p>
        </w:tc>
        <w:tc>
          <w:tcPr>
            <w:tcW w:w="2925" w:type="dxa"/>
          </w:tcPr>
          <w:p w14:paraId="22C0213D">
            <w:pPr>
              <w:adjustRightInd w:val="0"/>
              <w:snapToGrid w:val="0"/>
              <w:spacing w:line="360" w:lineRule="auto"/>
              <w:rPr>
                <w:rFonts w:ascii="宋体" w:hAnsi="宋体"/>
                <w:kern w:val="0"/>
                <w:szCs w:val="21"/>
              </w:rPr>
            </w:pPr>
          </w:p>
        </w:tc>
        <w:tc>
          <w:tcPr>
            <w:tcW w:w="1125" w:type="dxa"/>
          </w:tcPr>
          <w:p w14:paraId="034671B0">
            <w:pPr>
              <w:adjustRightInd w:val="0"/>
              <w:snapToGrid w:val="0"/>
              <w:spacing w:line="360" w:lineRule="auto"/>
              <w:rPr>
                <w:rFonts w:ascii="宋体" w:hAnsi="宋体"/>
                <w:kern w:val="0"/>
                <w:szCs w:val="21"/>
              </w:rPr>
            </w:pPr>
          </w:p>
        </w:tc>
        <w:tc>
          <w:tcPr>
            <w:tcW w:w="731" w:type="dxa"/>
          </w:tcPr>
          <w:p w14:paraId="1D292163">
            <w:pPr>
              <w:adjustRightInd w:val="0"/>
              <w:snapToGrid w:val="0"/>
              <w:spacing w:line="360" w:lineRule="auto"/>
              <w:rPr>
                <w:rFonts w:ascii="宋体" w:hAnsi="宋体"/>
                <w:kern w:val="0"/>
                <w:szCs w:val="21"/>
              </w:rPr>
            </w:pPr>
          </w:p>
        </w:tc>
      </w:tr>
    </w:tbl>
    <w:p w14:paraId="0B992C63">
      <w:pPr>
        <w:ind w:firstLine="482" w:firstLineChars="200"/>
        <w:rPr>
          <w:b/>
          <w:sz w:val="24"/>
          <w:szCs w:val="22"/>
        </w:rPr>
      </w:pPr>
      <w:r>
        <w:rPr>
          <w:rFonts w:hint="eastAsia"/>
          <w:b/>
          <w:sz w:val="24"/>
          <w:szCs w:val="22"/>
        </w:rPr>
        <w:t>注：1.上表所列各项均为不可负偏离条款。</w:t>
      </w:r>
    </w:p>
    <w:p w14:paraId="12BC0F96">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255639E1">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20B45B3F">
      <w:pPr>
        <w:ind w:firstLine="482" w:firstLineChars="200"/>
        <w:rPr>
          <w:b/>
          <w:sz w:val="24"/>
        </w:rPr>
      </w:pPr>
      <w:r>
        <w:rPr>
          <w:b/>
          <w:sz w:val="24"/>
        </w:rPr>
        <w:t>4.</w:t>
      </w:r>
      <w:r>
        <w:rPr>
          <w:rFonts w:hint="eastAsia"/>
          <w:b/>
          <w:sz w:val="24"/>
        </w:rPr>
        <w:t>评审委员会有权对投标响应情况作出判断（作出评审结论）。</w:t>
      </w:r>
    </w:p>
    <w:p w14:paraId="74274DC6">
      <w:pPr>
        <w:ind w:firstLine="482" w:firstLineChars="200"/>
        <w:rPr>
          <w:b/>
          <w:sz w:val="24"/>
          <w:szCs w:val="22"/>
        </w:rPr>
      </w:pPr>
      <w:r>
        <w:rPr>
          <w:rFonts w:hint="eastAsia"/>
          <w:b/>
          <w:sz w:val="24"/>
          <w:szCs w:val="22"/>
          <w:lang w:val="en-US" w:eastAsia="zh-CN"/>
        </w:rPr>
        <w:t>5</w:t>
      </w:r>
      <w:r>
        <w:rPr>
          <w:rFonts w:hint="eastAsia"/>
          <w:b/>
          <w:sz w:val="24"/>
          <w:szCs w:val="22"/>
        </w:rPr>
        <w:t>.要求提供证明资料，在“说明”一栏中列明证明资料的位置,以便评审；未要求提供证明材料的，投标人可以不提供。</w:t>
      </w:r>
    </w:p>
    <w:p w14:paraId="0D2579CB"/>
    <w:p w14:paraId="144C7292">
      <w:pPr>
        <w:rPr>
          <w:rFonts w:ascii="黑体" w:eastAsia="黑体"/>
          <w:sz w:val="24"/>
        </w:rPr>
      </w:pPr>
      <w:r>
        <w:rPr>
          <w:rFonts w:hint="eastAsia" w:ascii="黑体" w:eastAsia="黑体"/>
          <w:sz w:val="24"/>
        </w:rPr>
        <w:br w:type="page"/>
      </w:r>
    </w:p>
    <w:p w14:paraId="2E5635AA">
      <w:pPr>
        <w:pStyle w:val="5"/>
        <w:jc w:val="center"/>
        <w:rPr>
          <w:rFonts w:hint="eastAsia" w:ascii="黑体" w:eastAsia="黑体"/>
          <w:b w:val="0"/>
          <w:sz w:val="24"/>
          <w:szCs w:val="24"/>
        </w:rPr>
        <w:sectPr>
          <w:pgSz w:w="11907" w:h="16840"/>
          <w:pgMar w:top="1440" w:right="1797" w:bottom="1440" w:left="1797" w:header="851" w:footer="992" w:gutter="0"/>
          <w:cols w:space="425" w:num="1"/>
          <w:titlePg/>
          <w:docGrid w:linePitch="462" w:charSpace="0"/>
        </w:sectPr>
      </w:pPr>
    </w:p>
    <w:p w14:paraId="74FAEA09">
      <w:pPr>
        <w:pStyle w:val="5"/>
        <w:jc w:val="center"/>
        <w:rPr>
          <w:rFonts w:hint="eastAsia" w:ascii="黑体" w:eastAsia="黑体"/>
          <w:b w:val="0"/>
          <w:sz w:val="24"/>
          <w:szCs w:val="24"/>
        </w:rPr>
      </w:pPr>
      <w:r>
        <w:rPr>
          <w:rFonts w:hint="eastAsia" w:ascii="黑体" w:eastAsia="黑体"/>
          <w:b w:val="0"/>
          <w:sz w:val="24"/>
          <w:szCs w:val="24"/>
        </w:rPr>
        <w:t>六、技术要求偏离表</w:t>
      </w:r>
    </w:p>
    <w:tbl>
      <w:tblPr>
        <w:tblStyle w:val="21"/>
        <w:tblW w:w="8777" w:type="dxa"/>
        <w:tblInd w:w="-3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677"/>
        <w:gridCol w:w="1581"/>
        <w:gridCol w:w="2488"/>
        <w:gridCol w:w="1986"/>
        <w:gridCol w:w="712"/>
        <w:gridCol w:w="712"/>
      </w:tblGrid>
      <w:tr w14:paraId="3B64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38" w:type="dxa"/>
            <w:noWrap w:val="0"/>
            <w:vAlign w:val="center"/>
          </w:tcPr>
          <w:p w14:paraId="5B238440">
            <w:pPr>
              <w:widowControl/>
              <w:spacing w:line="500" w:lineRule="exact"/>
              <w:jc w:val="center"/>
              <w:rPr>
                <w:rFonts w:hint="default" w:ascii="宋体" w:hAnsi="宋体" w:cs="宋体"/>
                <w:b/>
                <w:sz w:val="21"/>
                <w:szCs w:val="21"/>
                <w:lang w:val="en-US" w:eastAsia="zh-CN"/>
              </w:rPr>
            </w:pPr>
            <w:bookmarkStart w:id="65" w:name="_Hlk72095977"/>
            <w:r>
              <w:rPr>
                <w:rFonts w:hint="eastAsia" w:ascii="宋体" w:hAnsi="宋体" w:cs="宋体"/>
                <w:b/>
                <w:sz w:val="21"/>
                <w:szCs w:val="21"/>
                <w:lang w:val="en-US" w:eastAsia="zh-CN"/>
              </w:rPr>
              <w:t>序号</w:t>
            </w:r>
          </w:p>
        </w:tc>
        <w:tc>
          <w:tcPr>
            <w:tcW w:w="698" w:type="dxa"/>
            <w:noWrap w:val="0"/>
            <w:vAlign w:val="center"/>
          </w:tcPr>
          <w:p w14:paraId="6F753433">
            <w:pPr>
              <w:widowControl/>
              <w:spacing w:line="500" w:lineRule="exact"/>
              <w:jc w:val="center"/>
              <w:rPr>
                <w:rFonts w:hint="default" w:ascii="宋体" w:hAnsi="宋体" w:eastAsia="宋体" w:cs="宋体"/>
                <w:b/>
                <w:sz w:val="21"/>
                <w:szCs w:val="21"/>
                <w:lang w:val="en-US" w:eastAsia="zh-CN"/>
              </w:rPr>
            </w:pPr>
            <w:r>
              <w:rPr>
                <w:rFonts w:hint="eastAsia" w:ascii="宋体" w:hAnsi="宋体" w:cs="宋体"/>
                <w:b/>
                <w:sz w:val="21"/>
                <w:szCs w:val="21"/>
                <w:lang w:val="en-US" w:eastAsia="zh-CN"/>
              </w:rPr>
              <w:t>货物名称</w:t>
            </w:r>
          </w:p>
        </w:tc>
        <w:tc>
          <w:tcPr>
            <w:tcW w:w="1351" w:type="dxa"/>
            <w:noWrap w:val="0"/>
            <w:vAlign w:val="center"/>
          </w:tcPr>
          <w:p w14:paraId="1C6D628A">
            <w:pPr>
              <w:widowControl/>
              <w:spacing w:line="500" w:lineRule="exact"/>
              <w:jc w:val="center"/>
              <w:rPr>
                <w:rFonts w:hint="eastAsia" w:ascii="宋体" w:hAnsi="宋体" w:eastAsia="宋体" w:cs="宋体"/>
                <w:b/>
                <w:sz w:val="21"/>
                <w:szCs w:val="21"/>
              </w:rPr>
            </w:pPr>
            <w:r>
              <w:rPr>
                <w:rFonts w:hint="eastAsia" w:ascii="宋体" w:hAnsi="宋体" w:eastAsia="宋体" w:cs="宋体"/>
                <w:b/>
                <w:sz w:val="21"/>
                <w:szCs w:val="21"/>
              </w:rPr>
              <w:t>编号</w:t>
            </w:r>
          </w:p>
        </w:tc>
        <w:tc>
          <w:tcPr>
            <w:tcW w:w="2501" w:type="dxa"/>
            <w:noWrap w:val="0"/>
            <w:vAlign w:val="center"/>
          </w:tcPr>
          <w:p w14:paraId="1E6A5C4C">
            <w:pPr>
              <w:widowControl/>
              <w:spacing w:line="500" w:lineRule="exact"/>
              <w:jc w:val="center"/>
              <w:rPr>
                <w:rFonts w:hint="eastAsia" w:ascii="宋体" w:hAnsi="宋体" w:eastAsia="宋体" w:cs="宋体"/>
                <w:b/>
                <w:sz w:val="21"/>
                <w:szCs w:val="21"/>
              </w:rPr>
            </w:pPr>
            <w:r>
              <w:rPr>
                <w:rFonts w:hint="eastAsia" w:ascii="宋体" w:hAnsi="宋体" w:eastAsia="宋体" w:cs="宋体"/>
                <w:b/>
                <w:bCs/>
                <w:color w:val="000000"/>
                <w:kern w:val="0"/>
                <w:sz w:val="21"/>
                <w:szCs w:val="21"/>
                <w:lang w:val="en-US" w:eastAsia="zh-CN"/>
              </w:rPr>
              <w:t>招标</w:t>
            </w:r>
            <w:r>
              <w:rPr>
                <w:rFonts w:hint="eastAsia" w:ascii="宋体" w:hAnsi="宋体" w:eastAsia="宋体" w:cs="宋体"/>
                <w:b/>
                <w:bCs/>
                <w:color w:val="000000"/>
                <w:kern w:val="0"/>
                <w:sz w:val="21"/>
                <w:szCs w:val="21"/>
              </w:rPr>
              <w:t>技术要求</w:t>
            </w:r>
          </w:p>
        </w:tc>
        <w:tc>
          <w:tcPr>
            <w:tcW w:w="2117" w:type="dxa"/>
            <w:noWrap w:val="0"/>
            <w:vAlign w:val="center"/>
          </w:tcPr>
          <w:p w14:paraId="586BA666">
            <w:pPr>
              <w:keepNext w:val="0"/>
              <w:keepLines w:val="0"/>
              <w:numPr>
                <w:ilvl w:val="0"/>
                <w:numId w:val="0"/>
              </w:numPr>
              <w:suppressLineNumbers w:val="0"/>
              <w:spacing w:before="0" w:beforeAutospacing="0" w:after="0" w:afterAutospacing="0"/>
              <w:ind w:left="0" w:leftChars="0" w:right="0" w:rightChars="0" w:firstLine="0" w:firstLineChars="0"/>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auto"/>
                <w:sz w:val="21"/>
                <w:szCs w:val="21"/>
                <w:lang w:val="en-US" w:eastAsia="zh-CN"/>
              </w:rPr>
              <w:t>投标技术响应</w:t>
            </w:r>
          </w:p>
        </w:tc>
        <w:tc>
          <w:tcPr>
            <w:tcW w:w="736" w:type="dxa"/>
            <w:noWrap w:val="0"/>
            <w:vAlign w:val="center"/>
          </w:tcPr>
          <w:p w14:paraId="201C231A">
            <w:pPr>
              <w:keepNext w:val="0"/>
              <w:keepLines w:val="0"/>
              <w:numPr>
                <w:ilvl w:val="0"/>
                <w:numId w:val="0"/>
              </w:numPr>
              <w:suppressLineNumbers w:val="0"/>
              <w:spacing w:before="0" w:beforeAutospacing="0" w:after="0" w:afterAutospacing="0"/>
              <w:ind w:left="0" w:leftChars="0" w:right="0" w:rightChars="0" w:firstLine="0" w:firstLineChars="0"/>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auto"/>
                <w:sz w:val="21"/>
                <w:szCs w:val="21"/>
                <w:lang w:val="en-US" w:eastAsia="zh-CN"/>
              </w:rPr>
              <w:t>偏离情况</w:t>
            </w:r>
          </w:p>
        </w:tc>
        <w:tc>
          <w:tcPr>
            <w:tcW w:w="736" w:type="dxa"/>
            <w:noWrap w:val="0"/>
            <w:vAlign w:val="center"/>
          </w:tcPr>
          <w:p w14:paraId="24388208">
            <w:pPr>
              <w:keepNext w:val="0"/>
              <w:keepLines w:val="0"/>
              <w:numPr>
                <w:ilvl w:val="0"/>
                <w:numId w:val="0"/>
              </w:numPr>
              <w:suppressLineNumbers w:val="0"/>
              <w:spacing w:before="0" w:beforeAutospacing="0" w:after="0" w:afterAutospacing="0"/>
              <w:ind w:left="0" w:leftChars="0" w:right="0" w:rightChars="0" w:firstLine="0" w:firstLineChars="0"/>
              <w:jc w:val="center"/>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auto"/>
                <w:sz w:val="21"/>
                <w:szCs w:val="21"/>
                <w:lang w:val="en-US" w:eastAsia="zh-CN"/>
              </w:rPr>
              <w:t>说明</w:t>
            </w:r>
          </w:p>
        </w:tc>
      </w:tr>
      <w:tr w14:paraId="4FE7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38" w:type="dxa"/>
            <w:vMerge w:val="restart"/>
            <w:noWrap w:val="0"/>
            <w:vAlign w:val="center"/>
          </w:tcPr>
          <w:p w14:paraId="01217F3A">
            <w:pPr>
              <w:widowControl/>
              <w:numPr>
                <w:ilvl w:val="0"/>
                <w:numId w:val="0"/>
              </w:numPr>
              <w:spacing w:after="0" w:line="500" w:lineRule="exact"/>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698" w:type="dxa"/>
            <w:vMerge w:val="restart"/>
            <w:noWrap w:val="0"/>
            <w:vAlign w:val="center"/>
          </w:tcPr>
          <w:p w14:paraId="77A27AD7">
            <w:pPr>
              <w:widowControl/>
              <w:numPr>
                <w:ilvl w:val="0"/>
                <w:numId w:val="0"/>
              </w:numPr>
              <w:spacing w:after="0" w:line="500" w:lineRule="exact"/>
              <w:jc w:val="both"/>
              <w:rPr>
                <w:rFonts w:hint="eastAsia" w:ascii="宋体" w:hAnsi="宋体" w:eastAsia="宋体" w:cs="宋体"/>
                <w:color w:val="auto"/>
                <w:kern w:val="2"/>
                <w:sz w:val="21"/>
                <w:szCs w:val="21"/>
                <w:lang w:val="en-US" w:eastAsia="zh-CN" w:bidi="ar-SA"/>
              </w:rPr>
            </w:pPr>
            <w:r>
              <w:rPr>
                <w:rFonts w:hint="eastAsia" w:ascii="宋体" w:hAnsi="宋体" w:cs="宋体"/>
                <w:szCs w:val="21"/>
                <w:lang w:val="en-US" w:eastAsia="zh-CN"/>
              </w:rPr>
              <w:t>放</w:t>
            </w:r>
            <w:r>
              <w:rPr>
                <w:rFonts w:hint="default" w:ascii="宋体" w:hAnsi="宋体" w:cs="宋体"/>
                <w:szCs w:val="21"/>
              </w:rPr>
              <w:t>疗计划设计工作站</w:t>
            </w:r>
          </w:p>
        </w:tc>
        <w:tc>
          <w:tcPr>
            <w:tcW w:w="1351" w:type="dxa"/>
            <w:noWrap w:val="0"/>
            <w:vAlign w:val="center"/>
          </w:tcPr>
          <w:p w14:paraId="0D3118BF">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w:t>
            </w:r>
          </w:p>
        </w:tc>
        <w:tc>
          <w:tcPr>
            <w:tcW w:w="2501" w:type="dxa"/>
            <w:noWrap w:val="0"/>
            <w:vAlign w:val="center"/>
          </w:tcPr>
          <w:p w14:paraId="0E289960">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设备要求概述</w:t>
            </w:r>
          </w:p>
        </w:tc>
        <w:tc>
          <w:tcPr>
            <w:tcW w:w="2117" w:type="dxa"/>
            <w:noWrap w:val="0"/>
            <w:vAlign w:val="center"/>
          </w:tcPr>
          <w:p w14:paraId="7A1685B4">
            <w:pPr>
              <w:keepNext/>
              <w:keepLines/>
              <w:widowControl/>
              <w:spacing w:before="40" w:after="0" w:line="500" w:lineRule="exact"/>
              <w:jc w:val="both"/>
              <w:outlineLvl w:val="1"/>
              <w:rPr>
                <w:rFonts w:hint="eastAsia" w:ascii="宋体" w:hAnsi="宋体" w:eastAsia="宋体" w:cs="宋体"/>
                <w:b/>
                <w:bCs/>
                <w:color w:val="auto"/>
                <w:kern w:val="2"/>
                <w:sz w:val="21"/>
                <w:szCs w:val="21"/>
                <w:lang w:val="en-US" w:eastAsia="zh-CN" w:bidi="ar-SA"/>
              </w:rPr>
            </w:pPr>
          </w:p>
        </w:tc>
        <w:tc>
          <w:tcPr>
            <w:tcW w:w="736" w:type="dxa"/>
            <w:noWrap w:val="0"/>
            <w:vAlign w:val="center"/>
          </w:tcPr>
          <w:p w14:paraId="3454EC0E">
            <w:pPr>
              <w:keepNext/>
              <w:keepLines/>
              <w:widowControl/>
              <w:spacing w:before="40" w:after="0" w:line="500" w:lineRule="exact"/>
              <w:jc w:val="both"/>
              <w:outlineLvl w:val="1"/>
              <w:rPr>
                <w:rFonts w:hint="eastAsia" w:ascii="宋体" w:hAnsi="宋体" w:eastAsia="宋体" w:cs="宋体"/>
                <w:b/>
                <w:bCs/>
                <w:color w:val="auto"/>
                <w:kern w:val="2"/>
                <w:sz w:val="21"/>
                <w:szCs w:val="21"/>
                <w:lang w:val="en-US" w:eastAsia="zh-CN" w:bidi="ar-SA"/>
              </w:rPr>
            </w:pPr>
          </w:p>
        </w:tc>
        <w:tc>
          <w:tcPr>
            <w:tcW w:w="736" w:type="dxa"/>
            <w:noWrap w:val="0"/>
            <w:vAlign w:val="center"/>
          </w:tcPr>
          <w:p w14:paraId="78675846">
            <w:pPr>
              <w:keepNext/>
              <w:keepLines/>
              <w:widowControl/>
              <w:spacing w:before="40" w:after="0" w:line="500" w:lineRule="exact"/>
              <w:jc w:val="both"/>
              <w:outlineLvl w:val="1"/>
              <w:rPr>
                <w:rFonts w:hint="eastAsia" w:ascii="宋体" w:hAnsi="宋体" w:eastAsia="宋体" w:cs="宋体"/>
                <w:b/>
                <w:bCs/>
                <w:color w:val="auto"/>
                <w:kern w:val="2"/>
                <w:sz w:val="21"/>
                <w:szCs w:val="21"/>
                <w:lang w:val="en-US" w:eastAsia="zh-CN" w:bidi="ar-SA"/>
              </w:rPr>
            </w:pPr>
          </w:p>
        </w:tc>
      </w:tr>
      <w:tr w14:paraId="324E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638" w:type="dxa"/>
            <w:vMerge w:val="continue"/>
            <w:noWrap w:val="0"/>
            <w:vAlign w:val="center"/>
          </w:tcPr>
          <w:p w14:paraId="59340806">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B58702A">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961D6EF">
            <w:pPr>
              <w:widowControl/>
              <w:numPr>
                <w:ilvl w:val="1"/>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1.1</w:t>
            </w:r>
          </w:p>
        </w:tc>
        <w:tc>
          <w:tcPr>
            <w:tcW w:w="2501" w:type="dxa"/>
            <w:noWrap w:val="0"/>
            <w:vAlign w:val="center"/>
          </w:tcPr>
          <w:p w14:paraId="5352DC18">
            <w:pPr>
              <w:keepNext w:val="0"/>
              <w:keepLines w:val="0"/>
              <w:widowControl/>
              <w:suppressLineNumbers w:val="0"/>
              <w:jc w:val="both"/>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u w:val="none"/>
                <w:lang w:val="en-US" w:eastAsia="zh-CN" w:bidi="ar"/>
              </w:rPr>
              <w:t>所投设备要求：本次招标为1套放疗计划设计工作站，包含≥8台物理师工作站（用于治疗计划设计与计算）、≥21台医生工作站（用于计划审核与靶区勾画设计）以及支持系统运行所必需的全部软硬件。</w:t>
            </w:r>
          </w:p>
        </w:tc>
        <w:tc>
          <w:tcPr>
            <w:tcW w:w="2117" w:type="dxa"/>
            <w:noWrap w:val="0"/>
            <w:vAlign w:val="center"/>
          </w:tcPr>
          <w:p w14:paraId="1E50856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01FF3B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D83156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28165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638" w:type="dxa"/>
            <w:vMerge w:val="continue"/>
            <w:noWrap w:val="0"/>
            <w:vAlign w:val="center"/>
          </w:tcPr>
          <w:p w14:paraId="318369B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8C00A4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1DBFD18">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1.2</w:t>
            </w:r>
            <w:r>
              <w:rPr>
                <w:rFonts w:hint="eastAsia"/>
                <w:lang w:val="en-US" w:eastAsia="zh-CN"/>
              </w:rPr>
              <w:t>▲</w:t>
            </w:r>
          </w:p>
        </w:tc>
        <w:tc>
          <w:tcPr>
            <w:tcW w:w="2501" w:type="dxa"/>
            <w:noWrap w:val="0"/>
            <w:vAlign w:val="center"/>
          </w:tcPr>
          <w:p w14:paraId="7BAEB8C5">
            <w:pPr>
              <w:keepNext w:val="0"/>
              <w:keepLines w:val="0"/>
              <w:widowControl/>
              <w:suppressLineNumbers w:val="0"/>
              <w:jc w:val="both"/>
              <w:textAlignment w:val="center"/>
              <w:rPr>
                <w:rFonts w:hint="eastAsia" w:ascii="宋体" w:hAnsi="宋体" w:eastAsia="宋体" w:cs="宋体"/>
                <w:bCs/>
                <w:color w:val="auto"/>
                <w:sz w:val="21"/>
                <w:szCs w:val="21"/>
              </w:rPr>
            </w:pPr>
            <w:r>
              <w:rPr>
                <w:rFonts w:hint="eastAsia" w:ascii="宋体" w:hAnsi="宋体" w:eastAsia="宋体" w:cs="宋体"/>
                <w:i w:val="0"/>
                <w:iCs w:val="0"/>
                <w:color w:val="auto"/>
                <w:kern w:val="0"/>
                <w:sz w:val="21"/>
                <w:szCs w:val="21"/>
                <w:u w:val="none"/>
                <w:lang w:val="en-US" w:eastAsia="zh-CN" w:bidi="ar"/>
              </w:rPr>
              <w:t>放疗计划设计工作站所生成的治疗计划数据，能安全推送至现有放射治疗设备执行，投标人</w:t>
            </w:r>
            <w:r>
              <w:rPr>
                <w:rFonts w:hint="eastAsia" w:ascii="宋体" w:hAnsi="宋体" w:cs="宋体"/>
                <w:i w:val="0"/>
                <w:iCs w:val="0"/>
                <w:color w:val="auto"/>
                <w:kern w:val="0"/>
                <w:sz w:val="21"/>
                <w:szCs w:val="21"/>
                <w:u w:val="none"/>
                <w:lang w:val="en-US" w:eastAsia="zh-CN" w:bidi="ar"/>
              </w:rPr>
              <w:t>应</w:t>
            </w:r>
            <w:r>
              <w:rPr>
                <w:rFonts w:hint="eastAsia" w:ascii="宋体" w:hAnsi="宋体" w:eastAsia="宋体" w:cs="宋体"/>
                <w:i w:val="0"/>
                <w:iCs w:val="0"/>
                <w:color w:val="auto"/>
                <w:kern w:val="0"/>
                <w:sz w:val="21"/>
                <w:szCs w:val="21"/>
                <w:u w:val="none"/>
                <w:lang w:val="en-US" w:eastAsia="zh-CN" w:bidi="ar"/>
              </w:rPr>
              <w:t>负责放疗计划设计工作站与医院现有放射治疗设备的兼容与联动安全。</w:t>
            </w:r>
          </w:p>
        </w:tc>
        <w:tc>
          <w:tcPr>
            <w:tcW w:w="2117" w:type="dxa"/>
            <w:noWrap w:val="0"/>
            <w:vAlign w:val="center"/>
          </w:tcPr>
          <w:p w14:paraId="35EF5E8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48CC354">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F2ECE7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0F9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638" w:type="dxa"/>
            <w:vMerge w:val="continue"/>
            <w:noWrap w:val="0"/>
            <w:vAlign w:val="center"/>
          </w:tcPr>
          <w:p w14:paraId="2C75D7E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F34F9D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02CFBB4">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w:t>
            </w:r>
          </w:p>
        </w:tc>
        <w:tc>
          <w:tcPr>
            <w:tcW w:w="2501" w:type="dxa"/>
            <w:noWrap w:val="0"/>
            <w:vAlign w:val="center"/>
          </w:tcPr>
          <w:p w14:paraId="05F5A551">
            <w:pPr>
              <w:keepNext/>
              <w:keepLines/>
              <w:widowControl/>
              <w:spacing w:before="40" w:after="0" w:line="500" w:lineRule="exact"/>
              <w:jc w:val="both"/>
              <w:outlineLvl w:val="1"/>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硬件平台</w:t>
            </w:r>
          </w:p>
        </w:tc>
        <w:tc>
          <w:tcPr>
            <w:tcW w:w="2117" w:type="dxa"/>
            <w:noWrap w:val="0"/>
            <w:vAlign w:val="center"/>
          </w:tcPr>
          <w:p w14:paraId="763539D8">
            <w:pPr>
              <w:keepNext/>
              <w:keepLines/>
              <w:widowControl/>
              <w:spacing w:before="40" w:after="0" w:line="500" w:lineRule="exact"/>
              <w:jc w:val="both"/>
              <w:outlineLvl w:val="1"/>
              <w:rPr>
                <w:rFonts w:hint="eastAsia" w:ascii="宋体" w:hAnsi="宋体" w:eastAsia="宋体" w:cs="宋体"/>
                <w:b/>
                <w:bCs/>
                <w:color w:val="auto"/>
                <w:kern w:val="2"/>
                <w:sz w:val="21"/>
                <w:szCs w:val="21"/>
                <w:lang w:val="en-US" w:eastAsia="zh-CN" w:bidi="ar-SA"/>
              </w:rPr>
            </w:pPr>
          </w:p>
        </w:tc>
        <w:tc>
          <w:tcPr>
            <w:tcW w:w="736" w:type="dxa"/>
            <w:noWrap w:val="0"/>
            <w:vAlign w:val="center"/>
          </w:tcPr>
          <w:p w14:paraId="40FE8D57">
            <w:pPr>
              <w:keepNext/>
              <w:keepLines/>
              <w:widowControl/>
              <w:spacing w:before="40" w:after="0" w:line="500" w:lineRule="exact"/>
              <w:jc w:val="both"/>
              <w:outlineLvl w:val="1"/>
              <w:rPr>
                <w:rFonts w:hint="eastAsia" w:ascii="宋体" w:hAnsi="宋体" w:eastAsia="宋体" w:cs="宋体"/>
                <w:b/>
                <w:bCs/>
                <w:color w:val="auto"/>
                <w:kern w:val="2"/>
                <w:sz w:val="21"/>
                <w:szCs w:val="21"/>
                <w:lang w:val="en-US" w:eastAsia="zh-CN" w:bidi="ar-SA"/>
              </w:rPr>
            </w:pPr>
          </w:p>
        </w:tc>
        <w:tc>
          <w:tcPr>
            <w:tcW w:w="736" w:type="dxa"/>
            <w:noWrap w:val="0"/>
            <w:vAlign w:val="center"/>
          </w:tcPr>
          <w:p w14:paraId="6079F75A">
            <w:pPr>
              <w:keepNext/>
              <w:keepLines/>
              <w:widowControl/>
              <w:spacing w:before="40" w:after="0" w:line="500" w:lineRule="exact"/>
              <w:jc w:val="both"/>
              <w:outlineLvl w:val="1"/>
              <w:rPr>
                <w:rFonts w:hint="eastAsia" w:ascii="宋体" w:hAnsi="宋体" w:eastAsia="宋体" w:cs="宋体"/>
                <w:b/>
                <w:bCs/>
                <w:color w:val="auto"/>
                <w:kern w:val="2"/>
                <w:sz w:val="21"/>
                <w:szCs w:val="21"/>
                <w:lang w:val="en-US" w:eastAsia="zh-CN" w:bidi="ar-SA"/>
              </w:rPr>
            </w:pPr>
          </w:p>
        </w:tc>
      </w:tr>
      <w:tr w14:paraId="02F2E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8A4C86A">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D75D147">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359E35D">
            <w:pPr>
              <w:widowControl/>
              <w:numPr>
                <w:ilvl w:val="1"/>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w:t>
            </w:r>
          </w:p>
        </w:tc>
        <w:tc>
          <w:tcPr>
            <w:tcW w:w="2501" w:type="dxa"/>
            <w:noWrap w:val="0"/>
            <w:vAlign w:val="center"/>
          </w:tcPr>
          <w:p w14:paraId="38ADBC5E">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物理师和后装工作站硬件（带GPU）</w:t>
            </w:r>
          </w:p>
        </w:tc>
        <w:tc>
          <w:tcPr>
            <w:tcW w:w="2117" w:type="dxa"/>
            <w:noWrap w:val="0"/>
            <w:vAlign w:val="center"/>
          </w:tcPr>
          <w:p w14:paraId="6E0E3159">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c>
          <w:tcPr>
            <w:tcW w:w="736" w:type="dxa"/>
            <w:noWrap w:val="0"/>
            <w:vAlign w:val="center"/>
          </w:tcPr>
          <w:p w14:paraId="1681494E">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c>
          <w:tcPr>
            <w:tcW w:w="736" w:type="dxa"/>
            <w:noWrap w:val="0"/>
            <w:vAlign w:val="center"/>
          </w:tcPr>
          <w:p w14:paraId="4F06146A">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r>
      <w:tr w14:paraId="6730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5A835C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753C8C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AFC2C8F">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2.1.1</w:t>
            </w:r>
          </w:p>
        </w:tc>
        <w:tc>
          <w:tcPr>
            <w:tcW w:w="2501" w:type="dxa"/>
            <w:noWrap w:val="0"/>
            <w:vAlign w:val="center"/>
          </w:tcPr>
          <w:p w14:paraId="206FD28B">
            <w:pPr>
              <w:keepNext w:val="0"/>
              <w:keepLines w:val="0"/>
              <w:widowControl/>
              <w:suppressLineNumbers w:val="0"/>
              <w:jc w:val="both"/>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中央处理器（Processor）：基准频率≥3.2GHz</w:t>
            </w:r>
          </w:p>
        </w:tc>
        <w:tc>
          <w:tcPr>
            <w:tcW w:w="2117" w:type="dxa"/>
            <w:noWrap w:val="0"/>
            <w:vAlign w:val="center"/>
          </w:tcPr>
          <w:p w14:paraId="075E401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4D7AF14">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B134E2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72CD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D36B3E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BAE699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BF89851">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2.1.2</w:t>
            </w:r>
          </w:p>
        </w:tc>
        <w:tc>
          <w:tcPr>
            <w:tcW w:w="2501" w:type="dxa"/>
            <w:noWrap w:val="0"/>
            <w:vAlign w:val="center"/>
          </w:tcPr>
          <w:p w14:paraId="04068005">
            <w:pPr>
              <w:keepNext w:val="0"/>
              <w:keepLines w:val="0"/>
              <w:widowControl/>
              <w:suppressLineNumbers w:val="0"/>
              <w:jc w:val="both"/>
              <w:textAlignment w:val="center"/>
              <w:rPr>
                <w:rFonts w:hint="eastAsia" w:ascii="宋体" w:hAnsi="宋体" w:eastAsia="宋体" w:cs="宋体"/>
                <w:color w:val="auto"/>
                <w:sz w:val="21"/>
                <w:szCs w:val="21"/>
                <w:lang w:eastAsia="zh-CN"/>
              </w:rPr>
            </w:pPr>
            <w:r>
              <w:rPr>
                <w:rFonts w:hint="eastAsia" w:ascii="宋体" w:hAnsi="宋体" w:eastAsia="宋体" w:cs="宋体"/>
                <w:i w:val="0"/>
                <w:iCs w:val="0"/>
                <w:color w:val="auto"/>
                <w:kern w:val="0"/>
                <w:sz w:val="21"/>
                <w:szCs w:val="21"/>
                <w:u w:val="none"/>
                <w:lang w:val="en-US" w:eastAsia="zh-CN" w:bidi="ar"/>
              </w:rPr>
              <w:t>随机存取存储器（RAM）：主机内存≥64 GB</w:t>
            </w:r>
          </w:p>
        </w:tc>
        <w:tc>
          <w:tcPr>
            <w:tcW w:w="2117" w:type="dxa"/>
            <w:noWrap w:val="0"/>
            <w:vAlign w:val="center"/>
          </w:tcPr>
          <w:p w14:paraId="24C9B04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0124234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AAAC72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7FD6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02079B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6166C5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8CC1804">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2.1.3</w:t>
            </w:r>
          </w:p>
        </w:tc>
        <w:tc>
          <w:tcPr>
            <w:tcW w:w="2501" w:type="dxa"/>
            <w:noWrap w:val="0"/>
            <w:vAlign w:val="center"/>
          </w:tcPr>
          <w:p w14:paraId="2F98FBF8">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显卡/适配器（Video Card/Adapter）：配备专用计算显卡，显存 ≥2GB</w:t>
            </w:r>
          </w:p>
        </w:tc>
        <w:tc>
          <w:tcPr>
            <w:tcW w:w="2117" w:type="dxa"/>
            <w:noWrap w:val="0"/>
            <w:vAlign w:val="center"/>
          </w:tcPr>
          <w:p w14:paraId="26D183E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801465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102C04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9D7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849964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4F8F58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419F58A">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2.1.4</w:t>
            </w:r>
          </w:p>
        </w:tc>
        <w:tc>
          <w:tcPr>
            <w:tcW w:w="2501" w:type="dxa"/>
            <w:noWrap w:val="0"/>
            <w:vAlign w:val="center"/>
          </w:tcPr>
          <w:p w14:paraId="2E2C43A9">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终端显示器：≥27英寸液晶显示器</w:t>
            </w:r>
          </w:p>
        </w:tc>
        <w:tc>
          <w:tcPr>
            <w:tcW w:w="2117" w:type="dxa"/>
            <w:noWrap w:val="0"/>
            <w:vAlign w:val="center"/>
          </w:tcPr>
          <w:p w14:paraId="40EB00C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55192D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1B6F73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57E0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BF578A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744CB9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385A3D9">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2.1.5</w:t>
            </w:r>
          </w:p>
        </w:tc>
        <w:tc>
          <w:tcPr>
            <w:tcW w:w="2501" w:type="dxa"/>
            <w:noWrap w:val="0"/>
            <w:vAlign w:val="center"/>
          </w:tcPr>
          <w:p w14:paraId="7D0202D9">
            <w:pPr>
              <w:keepNext w:val="0"/>
              <w:keepLines w:val="0"/>
              <w:widowControl/>
              <w:suppressLineNumbers w:val="0"/>
              <w:jc w:val="both"/>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每个物理师工作站需配置专业级图形处理附加卡（GPU卡）≥1个，显存≥24GB</w:t>
            </w:r>
          </w:p>
        </w:tc>
        <w:tc>
          <w:tcPr>
            <w:tcW w:w="2117" w:type="dxa"/>
            <w:noWrap w:val="0"/>
            <w:vAlign w:val="center"/>
          </w:tcPr>
          <w:p w14:paraId="48D9D71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828425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04ACAAB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27FD0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F70CF96">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F52110A">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92D905F">
            <w:pPr>
              <w:widowControl/>
              <w:numPr>
                <w:ilvl w:val="1"/>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w:t>
            </w:r>
          </w:p>
        </w:tc>
        <w:tc>
          <w:tcPr>
            <w:tcW w:w="2501" w:type="dxa"/>
            <w:noWrap w:val="0"/>
            <w:vAlign w:val="center"/>
          </w:tcPr>
          <w:p w14:paraId="6CDCE593">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医生工作站硬件</w:t>
            </w:r>
          </w:p>
        </w:tc>
        <w:tc>
          <w:tcPr>
            <w:tcW w:w="2117" w:type="dxa"/>
            <w:noWrap w:val="0"/>
            <w:vAlign w:val="center"/>
          </w:tcPr>
          <w:p w14:paraId="589C3970">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c>
          <w:tcPr>
            <w:tcW w:w="736" w:type="dxa"/>
            <w:noWrap w:val="0"/>
            <w:vAlign w:val="center"/>
          </w:tcPr>
          <w:p w14:paraId="19B37617">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c>
          <w:tcPr>
            <w:tcW w:w="736" w:type="dxa"/>
            <w:noWrap w:val="0"/>
            <w:vAlign w:val="center"/>
          </w:tcPr>
          <w:p w14:paraId="11989FBE">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r>
      <w:tr w14:paraId="2F86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18513E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5FE2B2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78EC75E">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2.2.1</w:t>
            </w:r>
          </w:p>
        </w:tc>
        <w:tc>
          <w:tcPr>
            <w:tcW w:w="2501" w:type="dxa"/>
            <w:noWrap w:val="0"/>
            <w:vAlign w:val="center"/>
          </w:tcPr>
          <w:p w14:paraId="786D8A37">
            <w:pPr>
              <w:keepNext w:val="0"/>
              <w:keepLines w:val="0"/>
              <w:widowControl/>
              <w:suppressLineNumbers w:val="0"/>
              <w:jc w:val="both"/>
              <w:textAlignment w:val="center"/>
              <w:rPr>
                <w:rFonts w:hint="eastAsia" w:ascii="宋体" w:hAnsi="宋体" w:eastAsia="宋体" w:cs="宋体"/>
                <w:color w:val="auto"/>
                <w:sz w:val="21"/>
                <w:szCs w:val="21"/>
                <w:lang w:eastAsia="zh-CN"/>
              </w:rPr>
            </w:pPr>
            <w:r>
              <w:rPr>
                <w:rFonts w:hint="eastAsia" w:ascii="宋体" w:hAnsi="宋体" w:eastAsia="宋体" w:cs="宋体"/>
                <w:i w:val="0"/>
                <w:iCs w:val="0"/>
                <w:color w:val="auto"/>
                <w:kern w:val="0"/>
                <w:sz w:val="21"/>
                <w:szCs w:val="21"/>
                <w:u w:val="none"/>
                <w:lang w:val="en-US" w:eastAsia="zh-CN" w:bidi="ar"/>
              </w:rPr>
              <w:t>中央处理器（Processor）：主频≥2.1GHz</w:t>
            </w:r>
          </w:p>
        </w:tc>
        <w:tc>
          <w:tcPr>
            <w:tcW w:w="2117" w:type="dxa"/>
            <w:noWrap w:val="0"/>
            <w:vAlign w:val="center"/>
          </w:tcPr>
          <w:p w14:paraId="48259E7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18EC9C6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5BE998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19B1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F5948B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0EF497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3D60A51">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2.2.2</w:t>
            </w:r>
          </w:p>
        </w:tc>
        <w:tc>
          <w:tcPr>
            <w:tcW w:w="2501" w:type="dxa"/>
            <w:noWrap w:val="0"/>
            <w:vAlign w:val="center"/>
          </w:tcPr>
          <w:p w14:paraId="23C3C79E">
            <w:pPr>
              <w:keepNext w:val="0"/>
              <w:keepLines w:val="0"/>
              <w:widowControl/>
              <w:suppressLineNumbers w:val="0"/>
              <w:jc w:val="both"/>
              <w:textAlignment w:val="center"/>
              <w:rPr>
                <w:rFonts w:hint="eastAsia" w:ascii="宋体" w:hAnsi="宋体" w:eastAsia="宋体" w:cs="宋体"/>
                <w:color w:val="auto"/>
                <w:sz w:val="21"/>
                <w:szCs w:val="21"/>
                <w:lang w:eastAsia="zh-CN"/>
              </w:rPr>
            </w:pPr>
            <w:r>
              <w:rPr>
                <w:rFonts w:hint="eastAsia" w:ascii="宋体" w:hAnsi="宋体" w:eastAsia="宋体" w:cs="宋体"/>
                <w:i w:val="0"/>
                <w:iCs w:val="0"/>
                <w:color w:val="auto"/>
                <w:kern w:val="0"/>
                <w:sz w:val="21"/>
                <w:szCs w:val="21"/>
                <w:u w:val="none"/>
                <w:lang w:val="en-US" w:eastAsia="zh-CN" w:bidi="ar"/>
              </w:rPr>
              <w:t>随机存取存储器(RAM)：主机内存≥16GB</w:t>
            </w:r>
          </w:p>
        </w:tc>
        <w:tc>
          <w:tcPr>
            <w:tcW w:w="2117" w:type="dxa"/>
            <w:noWrap w:val="0"/>
            <w:vAlign w:val="center"/>
          </w:tcPr>
          <w:p w14:paraId="4C068B4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F3815E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EEEF3F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8D8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3810D4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D05E8D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B6064A9">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2.2.3</w:t>
            </w:r>
          </w:p>
        </w:tc>
        <w:tc>
          <w:tcPr>
            <w:tcW w:w="2501" w:type="dxa"/>
            <w:noWrap w:val="0"/>
            <w:vAlign w:val="center"/>
          </w:tcPr>
          <w:p w14:paraId="7A959A2E">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显卡/适配器(Video Card/Adapter)：配备专用计算显卡，显存 ≥2GB，双显示端口和单VGA输出端口</w:t>
            </w:r>
          </w:p>
        </w:tc>
        <w:tc>
          <w:tcPr>
            <w:tcW w:w="2117" w:type="dxa"/>
            <w:noWrap w:val="0"/>
            <w:vAlign w:val="center"/>
          </w:tcPr>
          <w:p w14:paraId="38C61FE4">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047B8CE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475C3E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7364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A27ADE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E3AB5D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246EAC3">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2.2.4</w:t>
            </w:r>
          </w:p>
        </w:tc>
        <w:tc>
          <w:tcPr>
            <w:tcW w:w="2501" w:type="dxa"/>
            <w:noWrap w:val="0"/>
            <w:vAlign w:val="center"/>
          </w:tcPr>
          <w:p w14:paraId="4F815CDB">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终端显示器：尺寸≥27英寸液晶显示器</w:t>
            </w:r>
          </w:p>
        </w:tc>
        <w:tc>
          <w:tcPr>
            <w:tcW w:w="2117" w:type="dxa"/>
            <w:noWrap w:val="0"/>
            <w:vAlign w:val="center"/>
          </w:tcPr>
          <w:p w14:paraId="6F6B503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03FA40F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E73E11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9DD6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F07D33D">
            <w:pPr>
              <w:widowControl/>
              <w:numPr>
                <w:ilvl w:val="2"/>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D0A4746">
            <w:pPr>
              <w:widowControl/>
              <w:numPr>
                <w:ilvl w:val="2"/>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0C5C4B9">
            <w:pPr>
              <w:widowControl/>
              <w:numPr>
                <w:ilvl w:val="2"/>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w:t>
            </w:r>
          </w:p>
        </w:tc>
        <w:tc>
          <w:tcPr>
            <w:tcW w:w="2501" w:type="dxa"/>
            <w:noWrap w:val="0"/>
            <w:vAlign w:val="center"/>
          </w:tcPr>
          <w:p w14:paraId="3EF30386">
            <w:pPr>
              <w:widowControl/>
              <w:spacing w:line="5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分布式计算服务器硬件≥2套</w:t>
            </w:r>
          </w:p>
        </w:tc>
        <w:tc>
          <w:tcPr>
            <w:tcW w:w="2117" w:type="dxa"/>
            <w:noWrap w:val="0"/>
            <w:vAlign w:val="center"/>
          </w:tcPr>
          <w:p w14:paraId="2E540CDD">
            <w:pPr>
              <w:widowControl/>
              <w:spacing w:line="500" w:lineRule="exact"/>
              <w:rPr>
                <w:rFonts w:hint="eastAsia" w:ascii="宋体" w:hAnsi="宋体" w:eastAsia="宋体" w:cs="宋体"/>
                <w:color w:val="auto"/>
                <w:sz w:val="21"/>
                <w:szCs w:val="21"/>
              </w:rPr>
            </w:pPr>
          </w:p>
        </w:tc>
        <w:tc>
          <w:tcPr>
            <w:tcW w:w="736" w:type="dxa"/>
            <w:noWrap w:val="0"/>
            <w:vAlign w:val="center"/>
          </w:tcPr>
          <w:p w14:paraId="397CF7CE">
            <w:pPr>
              <w:widowControl/>
              <w:spacing w:line="500" w:lineRule="exact"/>
              <w:rPr>
                <w:rFonts w:hint="eastAsia" w:ascii="宋体" w:hAnsi="宋体" w:eastAsia="宋体" w:cs="宋体"/>
                <w:color w:val="auto"/>
                <w:sz w:val="21"/>
                <w:szCs w:val="21"/>
              </w:rPr>
            </w:pPr>
          </w:p>
        </w:tc>
        <w:tc>
          <w:tcPr>
            <w:tcW w:w="736" w:type="dxa"/>
            <w:noWrap w:val="0"/>
            <w:vAlign w:val="center"/>
          </w:tcPr>
          <w:p w14:paraId="720F369A">
            <w:pPr>
              <w:widowControl/>
              <w:spacing w:line="500" w:lineRule="exact"/>
              <w:rPr>
                <w:rFonts w:hint="eastAsia" w:ascii="宋体" w:hAnsi="宋体" w:eastAsia="宋体" w:cs="宋体"/>
                <w:color w:val="auto"/>
                <w:sz w:val="21"/>
                <w:szCs w:val="21"/>
              </w:rPr>
            </w:pPr>
          </w:p>
        </w:tc>
      </w:tr>
      <w:tr w14:paraId="5932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717605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highlight w:val="none"/>
                <w:lang w:val="en-US" w:eastAsia="zh-CN" w:bidi="ar-SA"/>
              </w:rPr>
            </w:pPr>
          </w:p>
        </w:tc>
        <w:tc>
          <w:tcPr>
            <w:tcW w:w="698" w:type="dxa"/>
            <w:vMerge w:val="continue"/>
            <w:noWrap w:val="0"/>
            <w:vAlign w:val="center"/>
          </w:tcPr>
          <w:p w14:paraId="32B1E86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highlight w:val="none"/>
                <w:lang w:val="en-US" w:eastAsia="zh-CN" w:bidi="ar-SA"/>
              </w:rPr>
            </w:pPr>
          </w:p>
        </w:tc>
        <w:tc>
          <w:tcPr>
            <w:tcW w:w="1351" w:type="dxa"/>
            <w:noWrap w:val="0"/>
            <w:vAlign w:val="center"/>
          </w:tcPr>
          <w:p w14:paraId="586F96C3">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2.3.1</w:t>
            </w:r>
          </w:p>
        </w:tc>
        <w:tc>
          <w:tcPr>
            <w:tcW w:w="2501" w:type="dxa"/>
            <w:noWrap w:val="0"/>
            <w:vAlign w:val="center"/>
          </w:tcPr>
          <w:p w14:paraId="2C16F2D8">
            <w:pPr>
              <w:keepNext w:val="0"/>
              <w:keepLines w:val="0"/>
              <w:widowControl/>
              <w:suppressLineNumbers w:val="0"/>
              <w:jc w:val="both"/>
              <w:textAlignment w:val="center"/>
              <w:rPr>
                <w:rFonts w:hint="eastAsia" w:ascii="宋体" w:hAnsi="宋体" w:eastAsia="宋体" w:cs="宋体"/>
                <w:b/>
                <w:color w:val="auto"/>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随机存取存储器(RAM)：主机内存≥128GB</w:t>
            </w:r>
          </w:p>
        </w:tc>
        <w:tc>
          <w:tcPr>
            <w:tcW w:w="2117" w:type="dxa"/>
            <w:noWrap w:val="0"/>
            <w:vAlign w:val="center"/>
          </w:tcPr>
          <w:p w14:paraId="786B9178">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36" w:type="dxa"/>
            <w:noWrap w:val="0"/>
            <w:vAlign w:val="center"/>
          </w:tcPr>
          <w:p w14:paraId="4FAA168D">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36" w:type="dxa"/>
            <w:noWrap w:val="0"/>
            <w:vAlign w:val="center"/>
          </w:tcPr>
          <w:p w14:paraId="7960EB82">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93E1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C729EE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4972A1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D362314">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2.3.2</w:t>
            </w:r>
          </w:p>
        </w:tc>
        <w:tc>
          <w:tcPr>
            <w:tcW w:w="2501" w:type="dxa"/>
            <w:noWrap w:val="0"/>
            <w:vAlign w:val="center"/>
          </w:tcPr>
          <w:p w14:paraId="71572B4B">
            <w:pPr>
              <w:keepNext w:val="0"/>
              <w:keepLines w:val="0"/>
              <w:widowControl/>
              <w:suppressLineNumbers w:val="0"/>
              <w:jc w:val="both"/>
              <w:textAlignment w:val="center"/>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磁盘存储器(Hard Drives)：RAID后容量≥960GB(RAID 1+1 HS)</w:t>
            </w:r>
          </w:p>
        </w:tc>
        <w:tc>
          <w:tcPr>
            <w:tcW w:w="2117" w:type="dxa"/>
            <w:noWrap w:val="0"/>
            <w:vAlign w:val="center"/>
          </w:tcPr>
          <w:p w14:paraId="23B923E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20C710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63FEEF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0180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67AD44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176E1C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830BC69">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2.3.3</w:t>
            </w:r>
          </w:p>
        </w:tc>
        <w:tc>
          <w:tcPr>
            <w:tcW w:w="2501" w:type="dxa"/>
            <w:noWrap w:val="0"/>
            <w:vAlign w:val="center"/>
          </w:tcPr>
          <w:p w14:paraId="5D7744EF">
            <w:pPr>
              <w:keepNext w:val="0"/>
              <w:keepLines w:val="0"/>
              <w:widowControl/>
              <w:suppressLineNumbers w:val="0"/>
              <w:jc w:val="both"/>
              <w:textAlignment w:val="center"/>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GPU：配置≥1张推理/计算卡，单卡显存≥24 GB GDDR6</w:t>
            </w:r>
          </w:p>
        </w:tc>
        <w:tc>
          <w:tcPr>
            <w:tcW w:w="2117" w:type="dxa"/>
            <w:noWrap w:val="0"/>
            <w:vAlign w:val="center"/>
          </w:tcPr>
          <w:p w14:paraId="69620F2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DEDA2D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519D93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6A31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C925FD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6198D1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2797319">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2.3.4</w:t>
            </w:r>
          </w:p>
        </w:tc>
        <w:tc>
          <w:tcPr>
            <w:tcW w:w="2501" w:type="dxa"/>
            <w:noWrap w:val="0"/>
            <w:vAlign w:val="center"/>
          </w:tcPr>
          <w:p w14:paraId="2216EB4D">
            <w:pPr>
              <w:keepNext w:val="0"/>
              <w:keepLines w:val="0"/>
              <w:widowControl/>
              <w:suppressLineNumbers w:val="0"/>
              <w:jc w:val="left"/>
              <w:textAlignment w:val="center"/>
              <w:rPr>
                <w:rFonts w:hint="eastAsia" w:ascii="宋体" w:hAnsi="宋体" w:eastAsia="宋体" w:cs="宋体"/>
                <w:b/>
                <w:color w:val="auto"/>
                <w:sz w:val="21"/>
                <w:szCs w:val="21"/>
              </w:rPr>
            </w:pPr>
            <w:r>
              <w:rPr>
                <w:rStyle w:val="62"/>
                <w:rFonts w:hint="eastAsia" w:ascii="宋体" w:hAnsi="宋体" w:eastAsia="宋体" w:cs="宋体"/>
                <w:color w:val="auto"/>
                <w:sz w:val="21"/>
                <w:szCs w:val="21"/>
                <w:lang w:val="en-US" w:eastAsia="zh-CN" w:bidi="ar"/>
              </w:rPr>
              <w:t>冗余（Redundancy）:配置冗余电源(2PSU)</w:t>
            </w:r>
          </w:p>
        </w:tc>
        <w:tc>
          <w:tcPr>
            <w:tcW w:w="2117" w:type="dxa"/>
            <w:noWrap w:val="0"/>
            <w:vAlign w:val="center"/>
          </w:tcPr>
          <w:p w14:paraId="6B0D917A">
            <w:pPr>
              <w:keepNext w:val="0"/>
              <w:keepLines w:val="0"/>
              <w:widowControl/>
              <w:suppressLineNumbers w:val="0"/>
              <w:jc w:val="left"/>
              <w:textAlignment w:val="center"/>
              <w:rPr>
                <w:rStyle w:val="62"/>
                <w:rFonts w:hint="eastAsia" w:ascii="宋体" w:hAnsi="宋体" w:eastAsia="宋体" w:cs="宋体"/>
                <w:color w:val="auto"/>
                <w:sz w:val="21"/>
                <w:szCs w:val="21"/>
                <w:lang w:val="en-US" w:eastAsia="zh-CN" w:bidi="ar"/>
              </w:rPr>
            </w:pPr>
          </w:p>
        </w:tc>
        <w:tc>
          <w:tcPr>
            <w:tcW w:w="736" w:type="dxa"/>
            <w:noWrap w:val="0"/>
            <w:vAlign w:val="center"/>
          </w:tcPr>
          <w:p w14:paraId="0A2ACA56">
            <w:pPr>
              <w:keepNext w:val="0"/>
              <w:keepLines w:val="0"/>
              <w:widowControl/>
              <w:suppressLineNumbers w:val="0"/>
              <w:jc w:val="left"/>
              <w:textAlignment w:val="center"/>
              <w:rPr>
                <w:rStyle w:val="62"/>
                <w:rFonts w:hint="eastAsia" w:ascii="宋体" w:hAnsi="宋体" w:eastAsia="宋体" w:cs="宋体"/>
                <w:color w:val="auto"/>
                <w:sz w:val="21"/>
                <w:szCs w:val="21"/>
                <w:lang w:val="en-US" w:eastAsia="zh-CN" w:bidi="ar"/>
              </w:rPr>
            </w:pPr>
          </w:p>
        </w:tc>
        <w:tc>
          <w:tcPr>
            <w:tcW w:w="736" w:type="dxa"/>
            <w:noWrap w:val="0"/>
            <w:vAlign w:val="center"/>
          </w:tcPr>
          <w:p w14:paraId="3D6353B9">
            <w:pPr>
              <w:keepNext w:val="0"/>
              <w:keepLines w:val="0"/>
              <w:widowControl/>
              <w:suppressLineNumbers w:val="0"/>
              <w:jc w:val="left"/>
              <w:textAlignment w:val="center"/>
              <w:rPr>
                <w:rStyle w:val="62"/>
                <w:rFonts w:hint="eastAsia" w:ascii="宋体" w:hAnsi="宋体" w:eastAsia="宋体" w:cs="宋体"/>
                <w:color w:val="auto"/>
                <w:sz w:val="21"/>
                <w:szCs w:val="21"/>
                <w:lang w:val="en-US" w:eastAsia="zh-CN" w:bidi="ar"/>
              </w:rPr>
            </w:pPr>
          </w:p>
        </w:tc>
      </w:tr>
      <w:tr w14:paraId="50CBC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6EBCDE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A3F08C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4F07745">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2.3.5</w:t>
            </w:r>
          </w:p>
        </w:tc>
        <w:tc>
          <w:tcPr>
            <w:tcW w:w="2501" w:type="dxa"/>
            <w:noWrap w:val="0"/>
            <w:vAlign w:val="center"/>
          </w:tcPr>
          <w:p w14:paraId="797F97AC">
            <w:pPr>
              <w:keepNext w:val="0"/>
              <w:keepLines w:val="0"/>
              <w:widowControl/>
              <w:suppressLineNumbers w:val="0"/>
              <w:jc w:val="both"/>
              <w:textAlignment w:val="center"/>
              <w:rPr>
                <w:rFonts w:hint="eastAsia" w:ascii="宋体" w:hAnsi="宋体" w:eastAsia="宋体" w:cs="宋体"/>
                <w:b/>
                <w:color w:val="auto"/>
                <w:sz w:val="21"/>
                <w:szCs w:val="21"/>
                <w:lang w:val="en-US"/>
              </w:rPr>
            </w:pPr>
            <w:r>
              <w:rPr>
                <w:rFonts w:hint="eastAsia" w:ascii="宋体" w:hAnsi="宋体" w:eastAsia="宋体" w:cs="宋体"/>
                <w:i w:val="0"/>
                <w:iCs w:val="0"/>
                <w:color w:val="auto"/>
                <w:kern w:val="0"/>
                <w:sz w:val="21"/>
                <w:szCs w:val="21"/>
                <w:u w:val="none"/>
                <w:lang w:val="en-US" w:eastAsia="zh-CN" w:bidi="ar"/>
              </w:rPr>
              <w:t>网络接口(Network Interface)：</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10GB网络接口卡</w:t>
            </w:r>
          </w:p>
        </w:tc>
        <w:tc>
          <w:tcPr>
            <w:tcW w:w="2117" w:type="dxa"/>
            <w:noWrap w:val="0"/>
            <w:vAlign w:val="center"/>
          </w:tcPr>
          <w:p w14:paraId="0FF31A8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C64E0F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4B90F5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A7D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047A4E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EBC8FC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F7E93D3">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w:t>
            </w:r>
          </w:p>
        </w:tc>
        <w:tc>
          <w:tcPr>
            <w:tcW w:w="2501" w:type="dxa"/>
            <w:noWrap w:val="0"/>
            <w:vAlign w:val="center"/>
          </w:tcPr>
          <w:p w14:paraId="460F487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系统服务器</w:t>
            </w:r>
          </w:p>
        </w:tc>
        <w:tc>
          <w:tcPr>
            <w:tcW w:w="2117" w:type="dxa"/>
            <w:noWrap w:val="0"/>
            <w:vAlign w:val="center"/>
          </w:tcPr>
          <w:p w14:paraId="3DF1F67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EA4758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E92561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4038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FEE56C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AAF7D7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AEDB37D">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2.4.1</w:t>
            </w:r>
          </w:p>
        </w:tc>
        <w:tc>
          <w:tcPr>
            <w:tcW w:w="2501" w:type="dxa"/>
            <w:noWrap w:val="0"/>
            <w:vAlign w:val="center"/>
          </w:tcPr>
          <w:p w14:paraId="6F39A74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CPU：总物理核心数≥12核</w:t>
            </w:r>
          </w:p>
        </w:tc>
        <w:tc>
          <w:tcPr>
            <w:tcW w:w="2117" w:type="dxa"/>
            <w:noWrap w:val="0"/>
            <w:vAlign w:val="center"/>
          </w:tcPr>
          <w:p w14:paraId="4B31377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1A75F5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6495FF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63F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05E373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ECB504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914AA3C">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2.4.2</w:t>
            </w:r>
          </w:p>
        </w:tc>
        <w:tc>
          <w:tcPr>
            <w:tcW w:w="2501" w:type="dxa"/>
            <w:noWrap w:val="0"/>
            <w:vAlign w:val="center"/>
          </w:tcPr>
          <w:p w14:paraId="02BBC68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硬盘：配置≥3块固态硬盘，单盘容量≥96GB SSD</w:t>
            </w:r>
          </w:p>
        </w:tc>
        <w:tc>
          <w:tcPr>
            <w:tcW w:w="2117" w:type="dxa"/>
            <w:noWrap w:val="0"/>
            <w:vAlign w:val="center"/>
          </w:tcPr>
          <w:p w14:paraId="1CF9A74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C58602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CBB48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B5FC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4D1115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4A343C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7825C09">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2.4.3</w:t>
            </w:r>
          </w:p>
        </w:tc>
        <w:tc>
          <w:tcPr>
            <w:tcW w:w="2501" w:type="dxa"/>
            <w:noWrap w:val="0"/>
            <w:vAlign w:val="center"/>
          </w:tcPr>
          <w:p w14:paraId="3DFF8B9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内存：配置≥128GB ECC RAM</w:t>
            </w:r>
          </w:p>
        </w:tc>
        <w:tc>
          <w:tcPr>
            <w:tcW w:w="2117" w:type="dxa"/>
            <w:noWrap w:val="0"/>
            <w:vAlign w:val="center"/>
          </w:tcPr>
          <w:p w14:paraId="2726B22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012BCC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2A368C2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7929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42F306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933EF5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C0D1925">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2.4.4</w:t>
            </w:r>
          </w:p>
        </w:tc>
        <w:tc>
          <w:tcPr>
            <w:tcW w:w="2501" w:type="dxa"/>
            <w:noWrap w:val="0"/>
            <w:vAlign w:val="center"/>
          </w:tcPr>
          <w:p w14:paraId="540CC23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电源：1+1冗余电源</w:t>
            </w:r>
          </w:p>
        </w:tc>
        <w:tc>
          <w:tcPr>
            <w:tcW w:w="2117" w:type="dxa"/>
            <w:noWrap w:val="0"/>
            <w:vAlign w:val="center"/>
          </w:tcPr>
          <w:p w14:paraId="58C672A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1D5672B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2480F6D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F4B3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3B64C2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F744DA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E0FE9AD">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w:t>
            </w:r>
          </w:p>
        </w:tc>
        <w:tc>
          <w:tcPr>
            <w:tcW w:w="2501" w:type="dxa"/>
            <w:noWrap w:val="0"/>
            <w:vAlign w:val="center"/>
          </w:tcPr>
          <w:p w14:paraId="5AB1A07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放疗云平台服务器硬件</w:t>
            </w:r>
          </w:p>
        </w:tc>
        <w:tc>
          <w:tcPr>
            <w:tcW w:w="2117" w:type="dxa"/>
            <w:noWrap w:val="0"/>
            <w:vAlign w:val="center"/>
          </w:tcPr>
          <w:p w14:paraId="3A03808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D38F4F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F0D5BF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6E6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DCD701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238FB4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6D7309D">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2.5.1</w:t>
            </w:r>
          </w:p>
        </w:tc>
        <w:tc>
          <w:tcPr>
            <w:tcW w:w="2501" w:type="dxa"/>
            <w:noWrap w:val="0"/>
            <w:vAlign w:val="center"/>
          </w:tcPr>
          <w:p w14:paraId="69CAAAE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CPU：配置≥1颗，总物理核心数≥16核</w:t>
            </w:r>
          </w:p>
        </w:tc>
        <w:tc>
          <w:tcPr>
            <w:tcW w:w="2117" w:type="dxa"/>
            <w:noWrap w:val="0"/>
            <w:vAlign w:val="center"/>
          </w:tcPr>
          <w:p w14:paraId="40B7228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25179304">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3FD0A6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67A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C457E3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195026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BA58FAB">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2.5.2</w:t>
            </w:r>
          </w:p>
        </w:tc>
        <w:tc>
          <w:tcPr>
            <w:tcW w:w="2501" w:type="dxa"/>
            <w:noWrap w:val="0"/>
            <w:vAlign w:val="center"/>
          </w:tcPr>
          <w:p w14:paraId="1B38F4B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硬盘：配置≥3块固态硬盘，单盘容量≥96GB SSD</w:t>
            </w:r>
          </w:p>
        </w:tc>
        <w:tc>
          <w:tcPr>
            <w:tcW w:w="2117" w:type="dxa"/>
            <w:noWrap w:val="0"/>
            <w:vAlign w:val="center"/>
          </w:tcPr>
          <w:p w14:paraId="176D3F1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C8D2DD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4D7BBB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747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D1BC57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695605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4A2DA4D">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2.5.3</w:t>
            </w:r>
          </w:p>
        </w:tc>
        <w:tc>
          <w:tcPr>
            <w:tcW w:w="2501" w:type="dxa"/>
            <w:noWrap w:val="0"/>
            <w:vAlign w:val="center"/>
          </w:tcPr>
          <w:p w14:paraId="5F7176D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内存：≥128GB ECC RAM</w:t>
            </w:r>
          </w:p>
        </w:tc>
        <w:tc>
          <w:tcPr>
            <w:tcW w:w="2117" w:type="dxa"/>
            <w:noWrap w:val="0"/>
            <w:vAlign w:val="center"/>
          </w:tcPr>
          <w:p w14:paraId="496011A4">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E64EA3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3EA781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95F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3EBA4D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D3CD5C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D643449">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2.5.4</w:t>
            </w:r>
          </w:p>
        </w:tc>
        <w:tc>
          <w:tcPr>
            <w:tcW w:w="2501" w:type="dxa"/>
            <w:noWrap w:val="0"/>
            <w:vAlign w:val="center"/>
          </w:tcPr>
          <w:p w14:paraId="052CC4A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电源：1+1冗余电源</w:t>
            </w:r>
          </w:p>
        </w:tc>
        <w:tc>
          <w:tcPr>
            <w:tcW w:w="2117" w:type="dxa"/>
            <w:noWrap w:val="0"/>
            <w:vAlign w:val="center"/>
          </w:tcPr>
          <w:p w14:paraId="0CF2B72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A50CEF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A9253C4">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F656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860F0B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BA06D3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AC6247D">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w:t>
            </w:r>
          </w:p>
        </w:tc>
        <w:tc>
          <w:tcPr>
            <w:tcW w:w="2501" w:type="dxa"/>
            <w:noWrap w:val="0"/>
            <w:vAlign w:val="center"/>
          </w:tcPr>
          <w:p w14:paraId="1B07A9F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管理工作站</w:t>
            </w:r>
          </w:p>
        </w:tc>
        <w:tc>
          <w:tcPr>
            <w:tcW w:w="2117" w:type="dxa"/>
            <w:noWrap w:val="0"/>
            <w:vAlign w:val="center"/>
          </w:tcPr>
          <w:p w14:paraId="53570A2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095E592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43D490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9A8A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97CC50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4B9F47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82F453F">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2.6.1</w:t>
            </w:r>
          </w:p>
        </w:tc>
        <w:tc>
          <w:tcPr>
            <w:tcW w:w="2501" w:type="dxa"/>
            <w:noWrap w:val="0"/>
            <w:vAlign w:val="center"/>
          </w:tcPr>
          <w:p w14:paraId="7BC63E2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CPU：总物理核心数≥12核</w:t>
            </w:r>
          </w:p>
        </w:tc>
        <w:tc>
          <w:tcPr>
            <w:tcW w:w="2117" w:type="dxa"/>
            <w:noWrap w:val="0"/>
            <w:vAlign w:val="center"/>
          </w:tcPr>
          <w:p w14:paraId="7D68B4D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660F28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301485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27BF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738CD4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86A6B1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F4F29C6">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2.6.2</w:t>
            </w:r>
          </w:p>
        </w:tc>
        <w:tc>
          <w:tcPr>
            <w:tcW w:w="2501" w:type="dxa"/>
            <w:noWrap w:val="0"/>
            <w:vAlign w:val="center"/>
          </w:tcPr>
          <w:p w14:paraId="0763F44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硬盘：≥512GB</w:t>
            </w:r>
          </w:p>
        </w:tc>
        <w:tc>
          <w:tcPr>
            <w:tcW w:w="2117" w:type="dxa"/>
            <w:noWrap w:val="0"/>
            <w:vAlign w:val="center"/>
          </w:tcPr>
          <w:p w14:paraId="60C4073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B082C1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1D0119E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2C0B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E6BAE7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77AAA7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365D397">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2.6.3</w:t>
            </w:r>
          </w:p>
        </w:tc>
        <w:tc>
          <w:tcPr>
            <w:tcW w:w="2501" w:type="dxa"/>
            <w:noWrap w:val="0"/>
            <w:vAlign w:val="center"/>
          </w:tcPr>
          <w:p w14:paraId="7E548FE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内存：≥8GB</w:t>
            </w:r>
          </w:p>
        </w:tc>
        <w:tc>
          <w:tcPr>
            <w:tcW w:w="2117" w:type="dxa"/>
            <w:noWrap w:val="0"/>
            <w:vAlign w:val="center"/>
          </w:tcPr>
          <w:p w14:paraId="2B1A63F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3C193E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D6FE93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F05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521124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DB796D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259204E">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c>
          <w:tcPr>
            <w:tcW w:w="2501" w:type="dxa"/>
            <w:noWrap w:val="0"/>
            <w:vAlign w:val="center"/>
          </w:tcPr>
          <w:p w14:paraId="3070BA55">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软件基本环境</w:t>
            </w:r>
          </w:p>
        </w:tc>
        <w:tc>
          <w:tcPr>
            <w:tcW w:w="2117" w:type="dxa"/>
            <w:noWrap w:val="0"/>
            <w:vAlign w:val="center"/>
          </w:tcPr>
          <w:p w14:paraId="735DE550">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c>
          <w:tcPr>
            <w:tcW w:w="736" w:type="dxa"/>
            <w:noWrap w:val="0"/>
            <w:vAlign w:val="center"/>
          </w:tcPr>
          <w:p w14:paraId="158F3858">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c>
          <w:tcPr>
            <w:tcW w:w="736" w:type="dxa"/>
            <w:noWrap w:val="0"/>
            <w:vAlign w:val="center"/>
          </w:tcPr>
          <w:p w14:paraId="43F9D138">
            <w:pPr>
              <w:keepNext/>
              <w:keepLines/>
              <w:widowControl/>
              <w:spacing w:before="40" w:after="0" w:line="500" w:lineRule="exact"/>
              <w:jc w:val="both"/>
              <w:outlineLvl w:val="1"/>
              <w:rPr>
                <w:rFonts w:hint="eastAsia" w:ascii="宋体" w:hAnsi="宋体" w:eastAsia="宋体" w:cs="宋体"/>
                <w:b/>
                <w:color w:val="auto"/>
                <w:kern w:val="2"/>
                <w:sz w:val="21"/>
                <w:szCs w:val="21"/>
                <w:lang w:val="en-US" w:eastAsia="zh-CN" w:bidi="ar-SA"/>
              </w:rPr>
            </w:pPr>
          </w:p>
        </w:tc>
      </w:tr>
      <w:tr w14:paraId="6B87E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2E91C4E">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ECBA67E">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25F180B">
            <w:pPr>
              <w:widowControl/>
              <w:numPr>
                <w:ilvl w:val="1"/>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3.1</w:t>
            </w:r>
            <w:r>
              <w:rPr>
                <w:rFonts w:hint="eastAsia" w:ascii="宋体" w:hAnsi="宋体" w:eastAsia="宋体" w:cs="宋体"/>
                <w:i w:val="0"/>
                <w:iCs w:val="0"/>
                <w:color w:val="auto"/>
                <w:kern w:val="0"/>
                <w:sz w:val="21"/>
                <w:szCs w:val="21"/>
                <w:u w:val="none"/>
                <w:lang w:val="en-US" w:eastAsia="zh-CN" w:bidi="ar"/>
              </w:rPr>
              <w:t>★</w:t>
            </w:r>
          </w:p>
        </w:tc>
        <w:tc>
          <w:tcPr>
            <w:tcW w:w="2501" w:type="dxa"/>
            <w:noWrap w:val="0"/>
            <w:vAlign w:val="center"/>
          </w:tcPr>
          <w:p w14:paraId="7873E4A1">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系统架构：采用C/S（客户端/服务器）架构</w:t>
            </w:r>
          </w:p>
        </w:tc>
        <w:tc>
          <w:tcPr>
            <w:tcW w:w="2117" w:type="dxa"/>
            <w:noWrap w:val="0"/>
            <w:vAlign w:val="center"/>
          </w:tcPr>
          <w:p w14:paraId="7CFAD4D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709C8B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50E4235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47C2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1D6DBDB">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5638A48">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AB7B360">
            <w:pPr>
              <w:widowControl/>
              <w:numPr>
                <w:ilvl w:val="1"/>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3.2</w:t>
            </w:r>
          </w:p>
        </w:tc>
        <w:tc>
          <w:tcPr>
            <w:tcW w:w="2501" w:type="dxa"/>
            <w:noWrap w:val="0"/>
            <w:vAlign w:val="center"/>
          </w:tcPr>
          <w:p w14:paraId="2BCE64F1">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临床与管理数据库：数据库应是关系型数据库管理系统，如SQL SERVER、Oracle, Sybase, Informix。应建立在符合ANSII规定标准的SQL语言上</w:t>
            </w:r>
          </w:p>
        </w:tc>
        <w:tc>
          <w:tcPr>
            <w:tcW w:w="2117" w:type="dxa"/>
            <w:noWrap w:val="0"/>
            <w:vAlign w:val="center"/>
          </w:tcPr>
          <w:p w14:paraId="01156EC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8440A1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672CF2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2D58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79A135F">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74A1419">
            <w:pPr>
              <w:widowControl/>
              <w:numPr>
                <w:ilvl w:val="1"/>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B937446">
            <w:pPr>
              <w:widowControl/>
              <w:numPr>
                <w:ilvl w:val="1"/>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3.3</w:t>
            </w:r>
          </w:p>
        </w:tc>
        <w:tc>
          <w:tcPr>
            <w:tcW w:w="2501" w:type="dxa"/>
            <w:noWrap w:val="0"/>
            <w:vAlign w:val="center"/>
          </w:tcPr>
          <w:p w14:paraId="0DC38311">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数据传输协议：支持HL-7接口协议</w:t>
            </w:r>
          </w:p>
        </w:tc>
        <w:tc>
          <w:tcPr>
            <w:tcW w:w="2117" w:type="dxa"/>
            <w:noWrap w:val="0"/>
            <w:vAlign w:val="center"/>
          </w:tcPr>
          <w:p w14:paraId="5E2945A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1C4913B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1CF115D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5C0A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F1DEF2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B70706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DB75864">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3.4</w:t>
            </w:r>
          </w:p>
        </w:tc>
        <w:tc>
          <w:tcPr>
            <w:tcW w:w="2501" w:type="dxa"/>
            <w:noWrap w:val="0"/>
            <w:vAlign w:val="center"/>
          </w:tcPr>
          <w:p w14:paraId="31F5E9C6">
            <w:pPr>
              <w:keepNext w:val="0"/>
              <w:keepLines w:val="0"/>
              <w:widowControl/>
              <w:suppressLineNumbers w:val="0"/>
              <w:jc w:val="both"/>
              <w:textAlignment w:val="center"/>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DICOM：系统应遵循DICOM3.0协议，以接收CT、CBCT、MRI、和PET等影像，实现医学影像共享</w:t>
            </w:r>
          </w:p>
        </w:tc>
        <w:tc>
          <w:tcPr>
            <w:tcW w:w="2117" w:type="dxa"/>
            <w:noWrap w:val="0"/>
            <w:vAlign w:val="center"/>
          </w:tcPr>
          <w:p w14:paraId="1B898AB4">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5B1A1F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180E142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24C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638" w:type="dxa"/>
            <w:vMerge w:val="continue"/>
            <w:noWrap w:val="0"/>
            <w:vAlign w:val="center"/>
          </w:tcPr>
          <w:p w14:paraId="35E822C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017C5B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9FE73A0">
            <w:pPr>
              <w:widowControl/>
              <w:numPr>
                <w:ilvl w:val="0"/>
                <w:numId w:val="0"/>
              </w:numPr>
              <w:spacing w:after="0" w:line="500" w:lineRule="exact"/>
              <w:ind w:firstLine="420" w:firstLineChars="200"/>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3.5</w:t>
            </w:r>
          </w:p>
        </w:tc>
        <w:tc>
          <w:tcPr>
            <w:tcW w:w="2501" w:type="dxa"/>
            <w:noWrap w:val="0"/>
            <w:vAlign w:val="center"/>
          </w:tcPr>
          <w:p w14:paraId="083685D5">
            <w:pPr>
              <w:keepNext w:val="0"/>
              <w:keepLines w:val="0"/>
              <w:widowControl/>
              <w:suppressLineNumbers w:val="0"/>
              <w:jc w:val="both"/>
              <w:textAlignment w:val="center"/>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放疗网络：系统提供与放射治疗网络系统连接的DICOM  RT接口，支持以DICOM RT方式输入/输出患者资料（包括影像、器官轮廓、计划及剂量）。</w:t>
            </w:r>
          </w:p>
        </w:tc>
        <w:tc>
          <w:tcPr>
            <w:tcW w:w="2117" w:type="dxa"/>
            <w:noWrap w:val="0"/>
            <w:vAlign w:val="center"/>
          </w:tcPr>
          <w:p w14:paraId="300202E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6EF4001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16B4178A">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8BF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E07C8B0">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4F97AA30">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53360969">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3.6</w:t>
            </w:r>
          </w:p>
        </w:tc>
        <w:tc>
          <w:tcPr>
            <w:tcW w:w="2501" w:type="dxa"/>
            <w:noWrap w:val="0"/>
            <w:vAlign w:val="center"/>
          </w:tcPr>
          <w:p w14:paraId="087D79E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放射治疗计划系统应该与医院现有放疗管理系统</w:t>
            </w:r>
            <w:r>
              <w:rPr>
                <w:rFonts w:hint="eastAsia"/>
              </w:rPr>
              <w:t>实现数据层面的无缝对接与互联互通，</w:t>
            </w:r>
            <w:r>
              <w:rPr>
                <w:rFonts w:hint="eastAsia"/>
                <w:lang w:val="en-US" w:eastAsia="zh-CN"/>
              </w:rPr>
              <w:t>实现</w:t>
            </w:r>
            <w:r>
              <w:rPr>
                <w:rFonts w:hint="eastAsia"/>
              </w:rPr>
              <w:t>数据一致性与流程闭环</w:t>
            </w:r>
          </w:p>
        </w:tc>
        <w:tc>
          <w:tcPr>
            <w:tcW w:w="2117" w:type="dxa"/>
            <w:noWrap w:val="0"/>
            <w:vAlign w:val="center"/>
          </w:tcPr>
          <w:p w14:paraId="2848A44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46FE33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0FAC3D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D7B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198539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68064110">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627459B7">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3.7</w:t>
            </w:r>
            <w:r>
              <w:rPr>
                <w:rFonts w:hint="eastAsia" w:ascii="宋体" w:hAnsi="宋体" w:eastAsia="宋体" w:cs="宋体"/>
                <w:i w:val="0"/>
                <w:iCs w:val="0"/>
                <w:color w:val="000000"/>
                <w:kern w:val="0"/>
                <w:sz w:val="21"/>
                <w:szCs w:val="21"/>
                <w:u w:val="none"/>
                <w:lang w:val="en-US" w:eastAsia="zh-CN" w:bidi="ar"/>
              </w:rPr>
              <w:t>▲</w:t>
            </w:r>
          </w:p>
        </w:tc>
        <w:tc>
          <w:tcPr>
            <w:tcW w:w="2501" w:type="dxa"/>
            <w:noWrap w:val="0"/>
            <w:vAlign w:val="center"/>
          </w:tcPr>
          <w:p w14:paraId="04AAB6C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放射治疗计划系统需要支持分布式计算技术框架（投标时提供能体现该技术参数要求且清晰可辨的技术白皮书或</w:t>
            </w:r>
            <w:r>
              <w:rPr>
                <w:rFonts w:hint="eastAsia" w:ascii="宋体" w:hAnsi="宋体" w:cs="宋体"/>
                <w:b/>
                <w:bCs/>
                <w:i w:val="0"/>
                <w:iCs w:val="0"/>
                <w:color w:val="FF0000"/>
                <w:kern w:val="0"/>
                <w:sz w:val="21"/>
                <w:szCs w:val="21"/>
                <w:u w:val="none"/>
                <w:lang w:val="en-US" w:eastAsia="zh-CN" w:bidi="ar"/>
              </w:rPr>
              <w:t>产品技术说明或产品彩页</w:t>
            </w:r>
            <w:r>
              <w:rPr>
                <w:rFonts w:hint="eastAsia" w:ascii="宋体" w:hAnsi="宋体" w:eastAsia="宋体" w:cs="宋体"/>
                <w:b/>
                <w:bCs/>
                <w:i w:val="0"/>
                <w:iCs w:val="0"/>
                <w:color w:val="FF0000"/>
                <w:kern w:val="0"/>
                <w:sz w:val="21"/>
                <w:szCs w:val="21"/>
                <w:u w:val="none"/>
                <w:lang w:val="en-US" w:eastAsia="zh-CN" w:bidi="ar"/>
              </w:rPr>
              <w:t>扫描件）</w:t>
            </w:r>
          </w:p>
        </w:tc>
        <w:tc>
          <w:tcPr>
            <w:tcW w:w="2117" w:type="dxa"/>
            <w:noWrap w:val="0"/>
            <w:vAlign w:val="center"/>
          </w:tcPr>
          <w:p w14:paraId="05C03079">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25DF9838">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1ACBB29C">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2985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D13B26D">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4CF49029">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6DC69B1C">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3.8</w:t>
            </w:r>
            <w:r>
              <w:rPr>
                <w:rFonts w:hint="eastAsia"/>
                <w:lang w:val="en-US" w:eastAsia="zh-CN"/>
              </w:rPr>
              <w:t>★</w:t>
            </w:r>
          </w:p>
        </w:tc>
        <w:tc>
          <w:tcPr>
            <w:tcW w:w="2501" w:type="dxa"/>
            <w:noWrap w:val="0"/>
            <w:vAlign w:val="center"/>
          </w:tcPr>
          <w:p w14:paraId="1242760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须提供</w:t>
            </w:r>
            <w:r>
              <w:rPr>
                <w:rFonts w:hint="eastAsia"/>
                <w:lang w:val="en-US" w:eastAsia="zh-CN"/>
              </w:rPr>
              <w:t>≥</w:t>
            </w:r>
            <w:r>
              <w:rPr>
                <w:rFonts w:hint="eastAsia" w:ascii="宋体" w:hAnsi="宋体" w:eastAsia="宋体" w:cs="宋体"/>
                <w:i w:val="0"/>
                <w:iCs w:val="0"/>
                <w:color w:val="000000"/>
                <w:kern w:val="0"/>
                <w:sz w:val="21"/>
                <w:szCs w:val="21"/>
                <w:u w:val="none"/>
                <w:lang w:val="en-US" w:eastAsia="zh-CN" w:bidi="ar"/>
              </w:rPr>
              <w:t>4台直线加速器建模</w:t>
            </w:r>
          </w:p>
        </w:tc>
        <w:tc>
          <w:tcPr>
            <w:tcW w:w="2117" w:type="dxa"/>
            <w:noWrap w:val="0"/>
            <w:vAlign w:val="center"/>
          </w:tcPr>
          <w:p w14:paraId="6324DA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2DB5A7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B2278A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FC7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784FC9E">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200C9555">
            <w:pPr>
              <w:widowControl/>
              <w:numPr>
                <w:ilvl w:val="0"/>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481256D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p>
        </w:tc>
        <w:tc>
          <w:tcPr>
            <w:tcW w:w="2501" w:type="dxa"/>
            <w:noWrap w:val="0"/>
            <w:vAlign w:val="center"/>
          </w:tcPr>
          <w:p w14:paraId="71BEE418">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软件功能要求</w:t>
            </w:r>
          </w:p>
        </w:tc>
        <w:tc>
          <w:tcPr>
            <w:tcW w:w="2117" w:type="dxa"/>
            <w:noWrap w:val="0"/>
            <w:vAlign w:val="center"/>
          </w:tcPr>
          <w:p w14:paraId="2B208E81">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290A4195">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18B78CB1">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r>
      <w:tr w14:paraId="2246D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884A0CE">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0DF63447">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1EADC4CF">
            <w:pPr>
              <w:widowControl/>
              <w:numPr>
                <w:ilvl w:val="1"/>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4.1</w:t>
            </w:r>
          </w:p>
        </w:tc>
        <w:tc>
          <w:tcPr>
            <w:tcW w:w="2501" w:type="dxa"/>
            <w:noWrap w:val="0"/>
            <w:vAlign w:val="center"/>
          </w:tcPr>
          <w:p w14:paraId="1529A4B7">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影像配准</w:t>
            </w:r>
          </w:p>
        </w:tc>
        <w:tc>
          <w:tcPr>
            <w:tcW w:w="2117" w:type="dxa"/>
            <w:noWrap w:val="0"/>
            <w:vAlign w:val="center"/>
          </w:tcPr>
          <w:p w14:paraId="22134ED3">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21CE803F">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5672BB56">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r>
      <w:tr w14:paraId="073B5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36F7A8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C7C598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C5C66CC">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4.1.1</w:t>
            </w:r>
          </w:p>
        </w:tc>
        <w:tc>
          <w:tcPr>
            <w:tcW w:w="2501" w:type="dxa"/>
            <w:noWrap w:val="0"/>
            <w:vAlign w:val="center"/>
          </w:tcPr>
          <w:p w14:paraId="6591BB96">
            <w:pPr>
              <w:widowControl/>
              <w:spacing w:line="500" w:lineRule="exact"/>
              <w:rPr>
                <w:rFonts w:hint="eastAsia" w:ascii="宋体" w:hAnsi="宋体" w:eastAsia="宋体" w:cs="宋体"/>
                <w:sz w:val="21"/>
                <w:szCs w:val="21"/>
              </w:rPr>
            </w:pPr>
            <w:r>
              <w:rPr>
                <w:rFonts w:hint="eastAsia" w:ascii="宋体" w:hAnsi="宋体" w:eastAsia="宋体" w:cs="宋体"/>
                <w:sz w:val="21"/>
                <w:szCs w:val="21"/>
              </w:rPr>
              <w:t>系统应</w:t>
            </w:r>
            <w:r>
              <w:rPr>
                <w:rFonts w:hint="eastAsia" w:ascii="宋体" w:hAnsi="宋体" w:eastAsia="宋体" w:cs="宋体"/>
                <w:sz w:val="21"/>
                <w:szCs w:val="21"/>
                <w:lang w:eastAsia="zh-CN"/>
              </w:rPr>
              <w:t>提供</w:t>
            </w:r>
            <w:r>
              <w:rPr>
                <w:rFonts w:hint="eastAsia" w:ascii="宋体" w:hAnsi="宋体" w:eastAsia="宋体" w:cs="宋体"/>
                <w:sz w:val="21"/>
                <w:szCs w:val="21"/>
              </w:rPr>
              <w:t>CT、MRI、CBCT、PET影像的配准</w:t>
            </w:r>
          </w:p>
        </w:tc>
        <w:tc>
          <w:tcPr>
            <w:tcW w:w="2117" w:type="dxa"/>
            <w:noWrap w:val="0"/>
            <w:vAlign w:val="center"/>
          </w:tcPr>
          <w:p w14:paraId="40CB89B1">
            <w:pPr>
              <w:widowControl/>
              <w:spacing w:line="500" w:lineRule="exact"/>
              <w:rPr>
                <w:rFonts w:hint="eastAsia" w:ascii="宋体" w:hAnsi="宋体" w:eastAsia="宋体" w:cs="宋体"/>
                <w:sz w:val="21"/>
                <w:szCs w:val="21"/>
              </w:rPr>
            </w:pPr>
          </w:p>
        </w:tc>
        <w:tc>
          <w:tcPr>
            <w:tcW w:w="736" w:type="dxa"/>
            <w:noWrap w:val="0"/>
            <w:vAlign w:val="center"/>
          </w:tcPr>
          <w:p w14:paraId="01D1F6CC">
            <w:pPr>
              <w:widowControl/>
              <w:spacing w:line="500" w:lineRule="exact"/>
              <w:rPr>
                <w:rFonts w:hint="eastAsia" w:ascii="宋体" w:hAnsi="宋体" w:eastAsia="宋体" w:cs="宋体"/>
                <w:sz w:val="21"/>
                <w:szCs w:val="21"/>
              </w:rPr>
            </w:pPr>
          </w:p>
        </w:tc>
        <w:tc>
          <w:tcPr>
            <w:tcW w:w="736" w:type="dxa"/>
            <w:noWrap w:val="0"/>
            <w:vAlign w:val="center"/>
          </w:tcPr>
          <w:p w14:paraId="41BFCA42">
            <w:pPr>
              <w:widowControl/>
              <w:spacing w:line="500" w:lineRule="exact"/>
              <w:rPr>
                <w:rFonts w:hint="eastAsia" w:ascii="宋体" w:hAnsi="宋体" w:eastAsia="宋体" w:cs="宋体"/>
                <w:sz w:val="21"/>
                <w:szCs w:val="21"/>
              </w:rPr>
            </w:pPr>
          </w:p>
        </w:tc>
      </w:tr>
      <w:tr w14:paraId="7773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9F6880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95C878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F131E35">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4.1.2</w:t>
            </w:r>
          </w:p>
        </w:tc>
        <w:tc>
          <w:tcPr>
            <w:tcW w:w="2501" w:type="dxa"/>
            <w:noWrap w:val="0"/>
            <w:vAlign w:val="center"/>
          </w:tcPr>
          <w:p w14:paraId="332662F0">
            <w:pPr>
              <w:widowControl/>
              <w:spacing w:line="500" w:lineRule="exact"/>
              <w:rPr>
                <w:rFonts w:hint="eastAsia" w:ascii="宋体" w:hAnsi="宋体" w:eastAsia="宋体" w:cs="宋体"/>
                <w:sz w:val="21"/>
                <w:szCs w:val="21"/>
              </w:rPr>
            </w:pPr>
            <w:r>
              <w:rPr>
                <w:rFonts w:hint="eastAsia" w:ascii="宋体" w:hAnsi="宋体" w:eastAsia="宋体" w:cs="宋体"/>
                <w:sz w:val="21"/>
                <w:szCs w:val="21"/>
              </w:rPr>
              <w:t>系统应</w:t>
            </w:r>
            <w:r>
              <w:rPr>
                <w:rFonts w:hint="eastAsia" w:ascii="宋体" w:hAnsi="宋体" w:eastAsia="宋体" w:cs="宋体"/>
                <w:sz w:val="21"/>
                <w:szCs w:val="21"/>
                <w:lang w:eastAsia="zh-CN"/>
              </w:rPr>
              <w:t>提供</w:t>
            </w:r>
            <w:r>
              <w:rPr>
                <w:rFonts w:hint="eastAsia" w:ascii="宋体" w:hAnsi="宋体" w:eastAsia="宋体" w:cs="宋体"/>
                <w:sz w:val="21"/>
                <w:szCs w:val="21"/>
              </w:rPr>
              <w:t>刚性配准功能，</w:t>
            </w:r>
            <w:r>
              <w:rPr>
                <w:rFonts w:hint="eastAsia" w:ascii="宋体" w:hAnsi="宋体" w:eastAsia="宋体" w:cs="宋体"/>
                <w:sz w:val="21"/>
                <w:szCs w:val="21"/>
                <w:lang w:eastAsia="zh-CN"/>
              </w:rPr>
              <w:t>提供</w:t>
            </w:r>
            <w:r>
              <w:rPr>
                <w:rFonts w:hint="eastAsia" w:ascii="宋体" w:hAnsi="宋体" w:eastAsia="宋体" w:cs="宋体"/>
                <w:sz w:val="21"/>
                <w:szCs w:val="21"/>
              </w:rPr>
              <w:t>影像的刚性配准</w:t>
            </w:r>
          </w:p>
        </w:tc>
        <w:tc>
          <w:tcPr>
            <w:tcW w:w="2117" w:type="dxa"/>
            <w:noWrap w:val="0"/>
            <w:vAlign w:val="center"/>
          </w:tcPr>
          <w:p w14:paraId="6DB941DB">
            <w:pPr>
              <w:widowControl/>
              <w:spacing w:line="500" w:lineRule="exact"/>
              <w:rPr>
                <w:rFonts w:hint="eastAsia" w:ascii="宋体" w:hAnsi="宋体" w:eastAsia="宋体" w:cs="宋体"/>
                <w:sz w:val="21"/>
                <w:szCs w:val="21"/>
              </w:rPr>
            </w:pPr>
          </w:p>
        </w:tc>
        <w:tc>
          <w:tcPr>
            <w:tcW w:w="736" w:type="dxa"/>
            <w:noWrap w:val="0"/>
            <w:vAlign w:val="center"/>
          </w:tcPr>
          <w:p w14:paraId="45692C3D">
            <w:pPr>
              <w:widowControl/>
              <w:spacing w:line="500" w:lineRule="exact"/>
              <w:rPr>
                <w:rFonts w:hint="eastAsia" w:ascii="宋体" w:hAnsi="宋体" w:eastAsia="宋体" w:cs="宋体"/>
                <w:sz w:val="21"/>
                <w:szCs w:val="21"/>
              </w:rPr>
            </w:pPr>
          </w:p>
        </w:tc>
        <w:tc>
          <w:tcPr>
            <w:tcW w:w="736" w:type="dxa"/>
            <w:noWrap w:val="0"/>
            <w:vAlign w:val="center"/>
          </w:tcPr>
          <w:p w14:paraId="5D5759F9">
            <w:pPr>
              <w:widowControl/>
              <w:spacing w:line="500" w:lineRule="exact"/>
              <w:rPr>
                <w:rFonts w:hint="eastAsia" w:ascii="宋体" w:hAnsi="宋体" w:eastAsia="宋体" w:cs="宋体"/>
                <w:sz w:val="21"/>
                <w:szCs w:val="21"/>
              </w:rPr>
            </w:pPr>
          </w:p>
        </w:tc>
      </w:tr>
      <w:tr w14:paraId="361F6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970224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49A735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E072CA7">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4.1.3</w:t>
            </w:r>
          </w:p>
        </w:tc>
        <w:tc>
          <w:tcPr>
            <w:tcW w:w="2501" w:type="dxa"/>
            <w:noWrap w:val="0"/>
            <w:vAlign w:val="center"/>
          </w:tcPr>
          <w:p w14:paraId="3F3CFE90">
            <w:pPr>
              <w:widowControl/>
              <w:spacing w:line="500" w:lineRule="exact"/>
              <w:rPr>
                <w:rFonts w:hint="eastAsia" w:ascii="宋体" w:hAnsi="宋体" w:eastAsia="宋体" w:cs="宋体"/>
                <w:sz w:val="21"/>
                <w:szCs w:val="21"/>
              </w:rPr>
            </w:pPr>
            <w:r>
              <w:rPr>
                <w:rFonts w:hint="eastAsia" w:ascii="宋体" w:hAnsi="宋体" w:eastAsia="宋体" w:cs="宋体"/>
                <w:sz w:val="21"/>
                <w:szCs w:val="21"/>
              </w:rPr>
              <w:t>系统应</w:t>
            </w:r>
            <w:r>
              <w:rPr>
                <w:rFonts w:hint="eastAsia" w:ascii="宋体" w:hAnsi="宋体" w:eastAsia="宋体" w:cs="宋体"/>
                <w:sz w:val="21"/>
                <w:szCs w:val="21"/>
                <w:lang w:eastAsia="zh-CN"/>
              </w:rPr>
              <w:t>提供</w:t>
            </w:r>
            <w:r>
              <w:rPr>
                <w:rFonts w:hint="eastAsia" w:ascii="宋体" w:hAnsi="宋体" w:eastAsia="宋体" w:cs="宋体"/>
                <w:sz w:val="21"/>
                <w:szCs w:val="21"/>
              </w:rPr>
              <w:t>影像的形变配准</w:t>
            </w:r>
          </w:p>
        </w:tc>
        <w:tc>
          <w:tcPr>
            <w:tcW w:w="2117" w:type="dxa"/>
            <w:noWrap w:val="0"/>
            <w:vAlign w:val="center"/>
          </w:tcPr>
          <w:p w14:paraId="7F637A0A">
            <w:pPr>
              <w:widowControl/>
              <w:spacing w:line="500" w:lineRule="exact"/>
              <w:rPr>
                <w:rFonts w:hint="eastAsia" w:ascii="宋体" w:hAnsi="宋体" w:eastAsia="宋体" w:cs="宋体"/>
                <w:sz w:val="21"/>
                <w:szCs w:val="21"/>
              </w:rPr>
            </w:pPr>
          </w:p>
        </w:tc>
        <w:tc>
          <w:tcPr>
            <w:tcW w:w="736" w:type="dxa"/>
            <w:noWrap w:val="0"/>
            <w:vAlign w:val="center"/>
          </w:tcPr>
          <w:p w14:paraId="0C9DE0AB">
            <w:pPr>
              <w:widowControl/>
              <w:spacing w:line="500" w:lineRule="exact"/>
              <w:rPr>
                <w:rFonts w:hint="eastAsia" w:ascii="宋体" w:hAnsi="宋体" w:eastAsia="宋体" w:cs="宋体"/>
                <w:sz w:val="21"/>
                <w:szCs w:val="21"/>
              </w:rPr>
            </w:pPr>
          </w:p>
        </w:tc>
        <w:tc>
          <w:tcPr>
            <w:tcW w:w="736" w:type="dxa"/>
            <w:noWrap w:val="0"/>
            <w:vAlign w:val="center"/>
          </w:tcPr>
          <w:p w14:paraId="43CDD18F">
            <w:pPr>
              <w:widowControl/>
              <w:spacing w:line="500" w:lineRule="exact"/>
              <w:rPr>
                <w:rFonts w:hint="eastAsia" w:ascii="宋体" w:hAnsi="宋体" w:eastAsia="宋体" w:cs="宋体"/>
                <w:sz w:val="21"/>
                <w:szCs w:val="21"/>
              </w:rPr>
            </w:pPr>
          </w:p>
        </w:tc>
      </w:tr>
      <w:tr w14:paraId="1F3A6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9726F1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B3E68A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2B336FB">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4.1.4</w:t>
            </w:r>
          </w:p>
        </w:tc>
        <w:tc>
          <w:tcPr>
            <w:tcW w:w="2501" w:type="dxa"/>
            <w:noWrap w:val="0"/>
            <w:vAlign w:val="center"/>
          </w:tcPr>
          <w:p w14:paraId="10DE0C42">
            <w:pPr>
              <w:widowControl/>
              <w:spacing w:line="500" w:lineRule="exact"/>
              <w:rPr>
                <w:rFonts w:hint="eastAsia" w:ascii="宋体" w:hAnsi="宋体" w:eastAsia="宋体" w:cs="宋体"/>
                <w:sz w:val="21"/>
                <w:szCs w:val="21"/>
              </w:rPr>
            </w:pPr>
            <w:r>
              <w:rPr>
                <w:rFonts w:hint="eastAsia" w:ascii="宋体" w:hAnsi="宋体" w:eastAsia="宋体" w:cs="宋体"/>
                <w:sz w:val="21"/>
                <w:szCs w:val="21"/>
              </w:rPr>
              <w:t>系统应</w:t>
            </w:r>
            <w:r>
              <w:rPr>
                <w:rFonts w:hint="eastAsia" w:ascii="宋体" w:hAnsi="宋体" w:eastAsia="宋体" w:cs="宋体"/>
                <w:sz w:val="21"/>
                <w:szCs w:val="21"/>
                <w:lang w:eastAsia="zh-CN"/>
              </w:rPr>
              <w:t>提供</w:t>
            </w:r>
            <w:r>
              <w:rPr>
                <w:rFonts w:hint="eastAsia" w:ascii="宋体" w:hAnsi="宋体" w:eastAsia="宋体" w:cs="宋体"/>
                <w:sz w:val="21"/>
                <w:szCs w:val="21"/>
              </w:rPr>
              <w:t>配准结果评估，提供自动评估工具</w:t>
            </w:r>
          </w:p>
        </w:tc>
        <w:tc>
          <w:tcPr>
            <w:tcW w:w="2117" w:type="dxa"/>
            <w:noWrap w:val="0"/>
            <w:vAlign w:val="center"/>
          </w:tcPr>
          <w:p w14:paraId="47B103B3">
            <w:pPr>
              <w:widowControl/>
              <w:spacing w:line="500" w:lineRule="exact"/>
              <w:rPr>
                <w:rFonts w:hint="eastAsia" w:ascii="宋体" w:hAnsi="宋体" w:eastAsia="宋体" w:cs="宋体"/>
                <w:sz w:val="21"/>
                <w:szCs w:val="21"/>
              </w:rPr>
            </w:pPr>
          </w:p>
        </w:tc>
        <w:tc>
          <w:tcPr>
            <w:tcW w:w="736" w:type="dxa"/>
            <w:noWrap w:val="0"/>
            <w:vAlign w:val="center"/>
          </w:tcPr>
          <w:p w14:paraId="5F1C60D5">
            <w:pPr>
              <w:widowControl/>
              <w:spacing w:line="500" w:lineRule="exact"/>
              <w:rPr>
                <w:rFonts w:hint="eastAsia" w:ascii="宋体" w:hAnsi="宋体" w:eastAsia="宋体" w:cs="宋体"/>
                <w:sz w:val="21"/>
                <w:szCs w:val="21"/>
              </w:rPr>
            </w:pPr>
          </w:p>
        </w:tc>
        <w:tc>
          <w:tcPr>
            <w:tcW w:w="736" w:type="dxa"/>
            <w:noWrap w:val="0"/>
            <w:vAlign w:val="center"/>
          </w:tcPr>
          <w:p w14:paraId="038DCD49">
            <w:pPr>
              <w:widowControl/>
              <w:spacing w:line="500" w:lineRule="exact"/>
              <w:rPr>
                <w:rFonts w:hint="eastAsia" w:ascii="宋体" w:hAnsi="宋体" w:eastAsia="宋体" w:cs="宋体"/>
                <w:sz w:val="21"/>
                <w:szCs w:val="21"/>
              </w:rPr>
            </w:pPr>
          </w:p>
        </w:tc>
      </w:tr>
      <w:tr w14:paraId="71CCF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8" w:type="dxa"/>
            <w:vMerge w:val="continue"/>
            <w:noWrap w:val="0"/>
            <w:vAlign w:val="center"/>
          </w:tcPr>
          <w:p w14:paraId="43484F1A">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3AE3EE0C">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36D2C4CE">
            <w:pPr>
              <w:widowControl/>
              <w:numPr>
                <w:ilvl w:val="1"/>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4.2</w:t>
            </w:r>
          </w:p>
        </w:tc>
        <w:tc>
          <w:tcPr>
            <w:tcW w:w="2501" w:type="dxa"/>
            <w:noWrap w:val="0"/>
            <w:vAlign w:val="center"/>
          </w:tcPr>
          <w:p w14:paraId="4A83E5CF">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结构勾画</w:t>
            </w:r>
          </w:p>
        </w:tc>
        <w:tc>
          <w:tcPr>
            <w:tcW w:w="2117" w:type="dxa"/>
            <w:noWrap w:val="0"/>
            <w:vAlign w:val="center"/>
          </w:tcPr>
          <w:p w14:paraId="38D033D2">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3A8C3DBA">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54A8CA6E">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r>
      <w:tr w14:paraId="30151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38" w:type="dxa"/>
            <w:vMerge w:val="continue"/>
            <w:noWrap w:val="0"/>
            <w:vAlign w:val="center"/>
          </w:tcPr>
          <w:p w14:paraId="2AE085D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A52CDB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A69A54F">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w:t>
            </w:r>
          </w:p>
        </w:tc>
        <w:tc>
          <w:tcPr>
            <w:tcW w:w="2501" w:type="dxa"/>
            <w:noWrap w:val="0"/>
            <w:vAlign w:val="center"/>
          </w:tcPr>
          <w:p w14:paraId="4458617B">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提供涂抹/勾勒的方式绘制或者调整勾画轮廓功能。</w:t>
            </w:r>
          </w:p>
        </w:tc>
        <w:tc>
          <w:tcPr>
            <w:tcW w:w="2117" w:type="dxa"/>
            <w:noWrap w:val="0"/>
            <w:vAlign w:val="center"/>
          </w:tcPr>
          <w:p w14:paraId="0CBCE31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D1F06F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DAB923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AC85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ACF91B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8448AA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5DEA909">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4.2.2</w:t>
            </w:r>
          </w:p>
        </w:tc>
        <w:tc>
          <w:tcPr>
            <w:tcW w:w="2501" w:type="dxa"/>
            <w:noWrap w:val="0"/>
            <w:vAlign w:val="center"/>
          </w:tcPr>
          <w:p w14:paraId="2EB04669">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提供方形/圆形的方式绘制或调整勾画轮廓功能。</w:t>
            </w:r>
          </w:p>
        </w:tc>
        <w:tc>
          <w:tcPr>
            <w:tcW w:w="2117" w:type="dxa"/>
            <w:noWrap w:val="0"/>
            <w:vAlign w:val="center"/>
          </w:tcPr>
          <w:p w14:paraId="75738E3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3D5489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2845C7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44B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2D806F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C78D3D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408F8DF">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4.2.3</w:t>
            </w:r>
          </w:p>
        </w:tc>
        <w:tc>
          <w:tcPr>
            <w:tcW w:w="2501" w:type="dxa"/>
            <w:noWrap w:val="0"/>
            <w:vAlign w:val="center"/>
          </w:tcPr>
          <w:p w14:paraId="74C8A7EA">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提供外扩/缩小已有的勾画轮廓功能。</w:t>
            </w:r>
          </w:p>
        </w:tc>
        <w:tc>
          <w:tcPr>
            <w:tcW w:w="2117" w:type="dxa"/>
            <w:noWrap w:val="0"/>
            <w:vAlign w:val="center"/>
          </w:tcPr>
          <w:p w14:paraId="6BD3EFF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C1D4BC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02349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3AC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04F094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C1C4C0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087F68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4.2.4</w:t>
            </w:r>
          </w:p>
        </w:tc>
        <w:tc>
          <w:tcPr>
            <w:tcW w:w="2501" w:type="dxa"/>
            <w:noWrap w:val="0"/>
            <w:vAlign w:val="center"/>
          </w:tcPr>
          <w:p w14:paraId="17739A8A">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提供对已有的勾画轮廓一键生成外扩环功能。</w:t>
            </w:r>
          </w:p>
        </w:tc>
        <w:tc>
          <w:tcPr>
            <w:tcW w:w="2117" w:type="dxa"/>
            <w:noWrap w:val="0"/>
            <w:vAlign w:val="center"/>
          </w:tcPr>
          <w:p w14:paraId="26ADF6F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E02558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1ED5EC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32E4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994C66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4D8EF3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51B40C5">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4.2.5</w:t>
            </w:r>
          </w:p>
        </w:tc>
        <w:tc>
          <w:tcPr>
            <w:tcW w:w="2501" w:type="dxa"/>
            <w:noWrap w:val="0"/>
            <w:vAlign w:val="center"/>
          </w:tcPr>
          <w:p w14:paraId="02DA3374">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提供对两个选定结构进行交集和差集的修剪功能。</w:t>
            </w:r>
          </w:p>
        </w:tc>
        <w:tc>
          <w:tcPr>
            <w:tcW w:w="2117" w:type="dxa"/>
            <w:noWrap w:val="0"/>
            <w:vAlign w:val="center"/>
          </w:tcPr>
          <w:p w14:paraId="55CC45F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574ADA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096413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5E7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7FF4DC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95BABC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B276208">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4.2.6</w:t>
            </w:r>
          </w:p>
        </w:tc>
        <w:tc>
          <w:tcPr>
            <w:tcW w:w="2501" w:type="dxa"/>
            <w:noWrap w:val="0"/>
            <w:vAlign w:val="center"/>
          </w:tcPr>
          <w:p w14:paraId="2D920304">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提供对现有结构进行并集、交集、差集、非集等布尔运算来创建新的勾画轮廓功能。</w:t>
            </w:r>
          </w:p>
        </w:tc>
        <w:tc>
          <w:tcPr>
            <w:tcW w:w="2117" w:type="dxa"/>
            <w:noWrap w:val="0"/>
            <w:vAlign w:val="center"/>
          </w:tcPr>
          <w:p w14:paraId="74D3857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303BE1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A2EEE3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0B45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814813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61DBA8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DFD59DE">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4.2.7</w:t>
            </w:r>
          </w:p>
        </w:tc>
        <w:tc>
          <w:tcPr>
            <w:tcW w:w="2501" w:type="dxa"/>
            <w:noWrap w:val="0"/>
            <w:vAlign w:val="center"/>
          </w:tcPr>
          <w:p w14:paraId="303CFA30">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可删除ROI的所有切片上面积小于指定面积阈值的所有轮廓。</w:t>
            </w:r>
          </w:p>
        </w:tc>
        <w:tc>
          <w:tcPr>
            <w:tcW w:w="2117" w:type="dxa"/>
            <w:noWrap w:val="0"/>
            <w:vAlign w:val="center"/>
          </w:tcPr>
          <w:p w14:paraId="0B4DD46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5E0A0D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A16915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C5A1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294A51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CFA638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7674A84">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w:t>
            </w:r>
          </w:p>
        </w:tc>
        <w:tc>
          <w:tcPr>
            <w:tcW w:w="2501" w:type="dxa"/>
            <w:noWrap w:val="0"/>
            <w:vAlign w:val="center"/>
          </w:tcPr>
          <w:p w14:paraId="27C59C1E">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应提供基于经验知识库的自动勾画功能</w:t>
            </w:r>
          </w:p>
        </w:tc>
        <w:tc>
          <w:tcPr>
            <w:tcW w:w="2117" w:type="dxa"/>
            <w:noWrap w:val="0"/>
            <w:vAlign w:val="center"/>
          </w:tcPr>
          <w:p w14:paraId="093F1F4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6493E7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C9C8C9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8CA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47B9CAB">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F0552B5">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EDB79EC">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4.2.8.1</w:t>
            </w:r>
          </w:p>
        </w:tc>
        <w:tc>
          <w:tcPr>
            <w:tcW w:w="2501" w:type="dxa"/>
            <w:noWrap w:val="0"/>
            <w:vAlign w:val="center"/>
          </w:tcPr>
          <w:p w14:paraId="0649063B">
            <w:pPr>
              <w:keepNext w:val="0"/>
              <w:keepLines w:val="0"/>
              <w:widowControl/>
              <w:suppressLineNumbers w:val="0"/>
              <w:jc w:val="both"/>
              <w:textAlignment w:val="center"/>
              <w:rPr>
                <w:rFonts w:hint="eastAsia" w:ascii="宋体" w:hAnsi="宋体" w:eastAsia="宋体" w:cs="宋体"/>
                <w:color w:val="000000"/>
                <w:sz w:val="21"/>
                <w:szCs w:val="21"/>
                <w:lang w:eastAsia="zh-CN"/>
              </w:rPr>
            </w:pPr>
            <w:r>
              <w:rPr>
                <w:rFonts w:hint="eastAsia" w:ascii="宋体" w:hAnsi="宋体" w:eastAsia="宋体" w:cs="宋体"/>
                <w:b/>
                <w:bCs/>
                <w:i w:val="0"/>
                <w:iCs w:val="0"/>
                <w:color w:val="FF0000"/>
                <w:kern w:val="0"/>
                <w:sz w:val="21"/>
                <w:szCs w:val="21"/>
                <w:u w:val="none"/>
                <w:lang w:val="en-US" w:eastAsia="zh-CN" w:bidi="ar"/>
              </w:rPr>
              <w:t>应提供≥1个预置专家图谱库</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6A0E9839">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5009B83">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575D5D16">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4546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7D68D30">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B42B584">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4F4CB17">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4.2.8.2</w:t>
            </w:r>
          </w:p>
        </w:tc>
        <w:tc>
          <w:tcPr>
            <w:tcW w:w="2501" w:type="dxa"/>
            <w:noWrap w:val="0"/>
            <w:vAlign w:val="center"/>
          </w:tcPr>
          <w:p w14:paraId="7FE8FB1B">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应提供可检索肿瘤部位和分期说明功能</w:t>
            </w:r>
          </w:p>
        </w:tc>
        <w:tc>
          <w:tcPr>
            <w:tcW w:w="2117" w:type="dxa"/>
            <w:noWrap w:val="0"/>
            <w:vAlign w:val="center"/>
          </w:tcPr>
          <w:p w14:paraId="5BFA1D3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C3F1F4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065F79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788A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FB3846B">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51114C0">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AC63271">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4.2.8.3</w:t>
            </w:r>
          </w:p>
        </w:tc>
        <w:tc>
          <w:tcPr>
            <w:tcW w:w="2501" w:type="dxa"/>
            <w:noWrap w:val="0"/>
            <w:vAlign w:val="center"/>
          </w:tcPr>
          <w:p w14:paraId="315724AB">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应提供根据临床需求创建自定义图谱库功能</w:t>
            </w:r>
          </w:p>
        </w:tc>
        <w:tc>
          <w:tcPr>
            <w:tcW w:w="2117" w:type="dxa"/>
            <w:noWrap w:val="0"/>
            <w:vAlign w:val="center"/>
          </w:tcPr>
          <w:p w14:paraId="32459B7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4FAB81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280341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AA49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9A44961">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9D58BD3">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185145B">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4.2.8.4</w:t>
            </w:r>
            <w:r>
              <w:rPr>
                <w:rFonts w:hint="eastAsia" w:ascii="宋体" w:hAnsi="宋体" w:eastAsia="宋体" w:cs="宋体"/>
                <w:color w:val="000000"/>
                <w:kern w:val="2"/>
                <w:sz w:val="21"/>
                <w:szCs w:val="21"/>
                <w:lang w:val="en-US" w:eastAsia="zh-CN" w:bidi="ar"/>
              </w:rPr>
              <w:t>▲</w:t>
            </w:r>
          </w:p>
        </w:tc>
        <w:tc>
          <w:tcPr>
            <w:tcW w:w="2501" w:type="dxa"/>
            <w:noWrap w:val="0"/>
            <w:vAlign w:val="center"/>
          </w:tcPr>
          <w:p w14:paraId="2E57EE0A">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应提供科室编辑现有治疗计划病例数据库中的病例功能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60D6BC82">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58E31051">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4CBBAA81">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131E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44F1F78">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E9B856C">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D5E7B4B">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4.2.8.5</w:t>
            </w:r>
            <w:r>
              <w:rPr>
                <w:rFonts w:hint="eastAsia" w:ascii="宋体" w:hAnsi="宋体" w:eastAsia="宋体" w:cs="宋体"/>
                <w:color w:val="000000"/>
                <w:kern w:val="2"/>
                <w:sz w:val="21"/>
                <w:szCs w:val="21"/>
                <w:lang w:val="en-US" w:eastAsia="zh-CN" w:bidi="ar"/>
              </w:rPr>
              <w:t>▲</w:t>
            </w:r>
          </w:p>
        </w:tc>
        <w:tc>
          <w:tcPr>
            <w:tcW w:w="2501" w:type="dxa"/>
            <w:noWrap w:val="0"/>
            <w:vAlign w:val="center"/>
          </w:tcPr>
          <w:p w14:paraId="63FF3198">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应提供解剖图谱功能，可描述各解剖结构详细信息</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2AF2C6A1">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536C3A0">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32AA2FAF">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351BB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26DE0DC">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9732DCE">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318D652">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4.2.8.6</w:t>
            </w:r>
          </w:p>
        </w:tc>
        <w:tc>
          <w:tcPr>
            <w:tcW w:w="2501" w:type="dxa"/>
            <w:noWrap w:val="0"/>
            <w:vAlign w:val="center"/>
          </w:tcPr>
          <w:p w14:paraId="5517B2FE">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应提供≥2个图谱的自动勾画功能</w:t>
            </w:r>
          </w:p>
        </w:tc>
        <w:tc>
          <w:tcPr>
            <w:tcW w:w="2117" w:type="dxa"/>
            <w:noWrap w:val="0"/>
            <w:vAlign w:val="center"/>
          </w:tcPr>
          <w:p w14:paraId="7F7F23D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628EAE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BA0D72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8FD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8B10AC5">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A5A9017">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C563C8B">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4.2.8.7</w:t>
            </w:r>
          </w:p>
        </w:tc>
        <w:tc>
          <w:tcPr>
            <w:tcW w:w="2501" w:type="dxa"/>
            <w:noWrap w:val="0"/>
            <w:vAlign w:val="center"/>
          </w:tcPr>
          <w:p w14:paraId="4994E54A">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应提供肺肿瘤自动勾画功能</w:t>
            </w:r>
          </w:p>
        </w:tc>
        <w:tc>
          <w:tcPr>
            <w:tcW w:w="2117" w:type="dxa"/>
            <w:noWrap w:val="0"/>
            <w:vAlign w:val="center"/>
          </w:tcPr>
          <w:p w14:paraId="6BBD5F2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015182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164E30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72F6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6CA110A">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0C35E07">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B477F00">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4.2.8.8</w:t>
            </w:r>
          </w:p>
        </w:tc>
        <w:tc>
          <w:tcPr>
            <w:tcW w:w="2501" w:type="dxa"/>
            <w:noWrap w:val="0"/>
            <w:vAlign w:val="center"/>
          </w:tcPr>
          <w:p w14:paraId="6AD84D10">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应提供PET阈值勾画功能</w:t>
            </w:r>
          </w:p>
        </w:tc>
        <w:tc>
          <w:tcPr>
            <w:tcW w:w="2117" w:type="dxa"/>
            <w:noWrap w:val="0"/>
            <w:vAlign w:val="center"/>
          </w:tcPr>
          <w:p w14:paraId="5190468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9223B1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66589B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DBA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EF2692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02384E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79D5406">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4.2.9</w:t>
            </w:r>
          </w:p>
        </w:tc>
        <w:tc>
          <w:tcPr>
            <w:tcW w:w="2501" w:type="dxa"/>
            <w:noWrap w:val="0"/>
            <w:vAlign w:val="center"/>
          </w:tcPr>
          <w:p w14:paraId="58803BE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应提供自动SUV勾画功能</w:t>
            </w:r>
          </w:p>
        </w:tc>
        <w:tc>
          <w:tcPr>
            <w:tcW w:w="2117" w:type="dxa"/>
            <w:noWrap w:val="0"/>
            <w:vAlign w:val="center"/>
          </w:tcPr>
          <w:p w14:paraId="173AD37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43EF7B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4D8C4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276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4E59B4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12CD99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FD89CA3">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4.2.10</w:t>
            </w:r>
          </w:p>
        </w:tc>
        <w:tc>
          <w:tcPr>
            <w:tcW w:w="2501" w:type="dxa"/>
            <w:noWrap w:val="0"/>
            <w:vAlign w:val="center"/>
          </w:tcPr>
          <w:p w14:paraId="2D046760">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应提供多模态影像勾画功能</w:t>
            </w:r>
          </w:p>
        </w:tc>
        <w:tc>
          <w:tcPr>
            <w:tcW w:w="2117" w:type="dxa"/>
            <w:noWrap w:val="0"/>
            <w:vAlign w:val="center"/>
          </w:tcPr>
          <w:p w14:paraId="70D9C16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FF5BCD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ECA1E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37BF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14C9F3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98DF16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484852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w:t>
            </w:r>
          </w:p>
        </w:tc>
        <w:tc>
          <w:tcPr>
            <w:tcW w:w="2501" w:type="dxa"/>
            <w:noWrap w:val="0"/>
            <w:vAlign w:val="center"/>
          </w:tcPr>
          <w:p w14:paraId="5A78AB9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应提供4D影像数据处理功能</w:t>
            </w:r>
          </w:p>
        </w:tc>
        <w:tc>
          <w:tcPr>
            <w:tcW w:w="2117" w:type="dxa"/>
            <w:noWrap w:val="0"/>
            <w:vAlign w:val="center"/>
          </w:tcPr>
          <w:p w14:paraId="6FE3BC5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B83ECD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C08A78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1B0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6F4FA03">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DF8C3DF">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5A44421">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4.2.11.1</w:t>
            </w:r>
          </w:p>
        </w:tc>
        <w:tc>
          <w:tcPr>
            <w:tcW w:w="2501" w:type="dxa"/>
            <w:noWrap w:val="0"/>
            <w:vAlign w:val="center"/>
          </w:tcPr>
          <w:p w14:paraId="08ED4BF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应提供生成MIP、AIP和MinIP图像功能</w:t>
            </w:r>
          </w:p>
        </w:tc>
        <w:tc>
          <w:tcPr>
            <w:tcW w:w="2117" w:type="dxa"/>
            <w:noWrap w:val="0"/>
            <w:vAlign w:val="center"/>
          </w:tcPr>
          <w:p w14:paraId="589E5B3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740642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1866C6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FEA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B6F884A">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1E9BE67">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E0FBAF1">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4.2.11.2</w:t>
            </w:r>
          </w:p>
        </w:tc>
        <w:tc>
          <w:tcPr>
            <w:tcW w:w="2501" w:type="dxa"/>
            <w:noWrap w:val="0"/>
            <w:vAlign w:val="center"/>
          </w:tcPr>
          <w:p w14:paraId="6FB09C2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应提供合成照射靶体积ITV功能</w:t>
            </w:r>
          </w:p>
        </w:tc>
        <w:tc>
          <w:tcPr>
            <w:tcW w:w="2117" w:type="dxa"/>
            <w:noWrap w:val="0"/>
            <w:vAlign w:val="center"/>
          </w:tcPr>
          <w:p w14:paraId="51A8DD0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AEE190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E7A02A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8DDD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D3A1744">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1519A61">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A77C7BE">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4.2.11.3</w:t>
            </w:r>
          </w:p>
        </w:tc>
        <w:tc>
          <w:tcPr>
            <w:tcW w:w="2501" w:type="dxa"/>
            <w:noWrap w:val="0"/>
            <w:vAlign w:val="center"/>
          </w:tcPr>
          <w:p w14:paraId="1954A6F9">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应提供刚性、形变的4D结构派生功能</w:t>
            </w:r>
          </w:p>
        </w:tc>
        <w:tc>
          <w:tcPr>
            <w:tcW w:w="2117" w:type="dxa"/>
            <w:noWrap w:val="0"/>
            <w:vAlign w:val="center"/>
          </w:tcPr>
          <w:p w14:paraId="764208F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AA46E9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585556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E5BD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12D3994">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AAFBE2F">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D601B8F">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4.2.11.4</w:t>
            </w:r>
          </w:p>
        </w:tc>
        <w:tc>
          <w:tcPr>
            <w:tcW w:w="2501" w:type="dxa"/>
            <w:noWrap w:val="0"/>
            <w:vAlign w:val="center"/>
          </w:tcPr>
          <w:p w14:paraId="15BFF2B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应提供浏览呼吸幅度曲线功能</w:t>
            </w:r>
          </w:p>
        </w:tc>
        <w:tc>
          <w:tcPr>
            <w:tcW w:w="2117" w:type="dxa"/>
            <w:noWrap w:val="0"/>
            <w:vAlign w:val="center"/>
          </w:tcPr>
          <w:p w14:paraId="389EF4F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46695C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2EED41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9E49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0CD1186">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8FB2025">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531778D">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4.2.11.5</w:t>
            </w:r>
          </w:p>
        </w:tc>
        <w:tc>
          <w:tcPr>
            <w:tcW w:w="2501" w:type="dxa"/>
            <w:noWrap w:val="0"/>
            <w:vAlign w:val="center"/>
          </w:tcPr>
          <w:p w14:paraId="6A0DBFC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应提供4D体积统计，评估质心和体积变化功能</w:t>
            </w:r>
          </w:p>
        </w:tc>
        <w:tc>
          <w:tcPr>
            <w:tcW w:w="2117" w:type="dxa"/>
            <w:noWrap w:val="0"/>
            <w:vAlign w:val="center"/>
          </w:tcPr>
          <w:p w14:paraId="64B488E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BBB88E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59EA7F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1370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FF03A68">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16F48CE">
            <w:pPr>
              <w:widowControl/>
              <w:numPr>
                <w:ilvl w:val="3"/>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AA1DE93">
            <w:pPr>
              <w:widowControl/>
              <w:numPr>
                <w:ilvl w:val="3"/>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4.2.11.6</w:t>
            </w:r>
          </w:p>
        </w:tc>
        <w:tc>
          <w:tcPr>
            <w:tcW w:w="2501" w:type="dxa"/>
            <w:noWrap w:val="0"/>
            <w:vAlign w:val="center"/>
          </w:tcPr>
          <w:p w14:paraId="53359AB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应提供勾画和计划射野上播放4D动态回放功能</w:t>
            </w:r>
          </w:p>
        </w:tc>
        <w:tc>
          <w:tcPr>
            <w:tcW w:w="2117" w:type="dxa"/>
            <w:noWrap w:val="0"/>
            <w:vAlign w:val="center"/>
          </w:tcPr>
          <w:p w14:paraId="018B09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8E62E7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81968C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8F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FCD10D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617C9A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FF474A7">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4.2.12</w:t>
            </w:r>
          </w:p>
        </w:tc>
        <w:tc>
          <w:tcPr>
            <w:tcW w:w="2501" w:type="dxa"/>
            <w:noWrap w:val="0"/>
            <w:vAlign w:val="center"/>
          </w:tcPr>
          <w:p w14:paraId="1051ED1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应支持临床协议模板</w:t>
            </w:r>
          </w:p>
        </w:tc>
        <w:tc>
          <w:tcPr>
            <w:tcW w:w="2117" w:type="dxa"/>
            <w:noWrap w:val="0"/>
            <w:vAlign w:val="center"/>
          </w:tcPr>
          <w:p w14:paraId="5C10161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53F45A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CAC3E1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C16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0663B89">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0A98FA52">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332D24C2">
            <w:pPr>
              <w:widowControl/>
              <w:numPr>
                <w:ilvl w:val="1"/>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4.3</w:t>
            </w:r>
          </w:p>
        </w:tc>
        <w:tc>
          <w:tcPr>
            <w:tcW w:w="2501" w:type="dxa"/>
            <w:noWrap w:val="0"/>
            <w:vAlign w:val="center"/>
          </w:tcPr>
          <w:p w14:paraId="10F666FB">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计划设计</w:t>
            </w:r>
          </w:p>
        </w:tc>
        <w:tc>
          <w:tcPr>
            <w:tcW w:w="2117" w:type="dxa"/>
            <w:noWrap w:val="0"/>
            <w:vAlign w:val="center"/>
          </w:tcPr>
          <w:p w14:paraId="3120C672">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112B8264">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5D2A6ABC">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r>
      <w:tr w14:paraId="01F2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D94810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34D431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DCED016">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w:t>
            </w:r>
          </w:p>
        </w:tc>
        <w:tc>
          <w:tcPr>
            <w:tcW w:w="2501" w:type="dxa"/>
            <w:noWrap w:val="0"/>
            <w:vAlign w:val="center"/>
          </w:tcPr>
          <w:p w14:paraId="2B400B4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应提供野中野技术</w:t>
            </w:r>
          </w:p>
        </w:tc>
        <w:tc>
          <w:tcPr>
            <w:tcW w:w="2117" w:type="dxa"/>
            <w:noWrap w:val="0"/>
            <w:vAlign w:val="center"/>
          </w:tcPr>
          <w:p w14:paraId="7006C31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4734FB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4EAA95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C520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1165D7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8CF5F2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F9DF1A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w:t>
            </w:r>
          </w:p>
        </w:tc>
        <w:tc>
          <w:tcPr>
            <w:tcW w:w="2501" w:type="dxa"/>
            <w:noWrap w:val="0"/>
            <w:vAlign w:val="center"/>
          </w:tcPr>
          <w:p w14:paraId="735F4696">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应提供补偿器计划设计</w:t>
            </w:r>
          </w:p>
        </w:tc>
        <w:tc>
          <w:tcPr>
            <w:tcW w:w="2117" w:type="dxa"/>
            <w:noWrap w:val="0"/>
            <w:vAlign w:val="center"/>
          </w:tcPr>
          <w:p w14:paraId="6464209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A4FA7E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B9C366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DE40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FF0312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81E911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796661C">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4.3.3</w:t>
            </w:r>
          </w:p>
        </w:tc>
        <w:tc>
          <w:tcPr>
            <w:tcW w:w="2501" w:type="dxa"/>
            <w:noWrap w:val="0"/>
            <w:vAlign w:val="center"/>
          </w:tcPr>
          <w:p w14:paraId="41F47B92">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应提供电子线放疗计划</w:t>
            </w:r>
          </w:p>
        </w:tc>
        <w:tc>
          <w:tcPr>
            <w:tcW w:w="2117" w:type="dxa"/>
            <w:noWrap w:val="0"/>
            <w:vAlign w:val="center"/>
          </w:tcPr>
          <w:p w14:paraId="2DA3B2A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D6B0B0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3159EB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2BD1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D2A89B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E7CA0B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B72E6B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4.3.4</w:t>
            </w:r>
            <w:r>
              <w:rPr>
                <w:rFonts w:hint="eastAsia" w:ascii="宋体" w:hAnsi="宋体" w:eastAsia="宋体" w:cs="宋体"/>
                <w:i w:val="0"/>
                <w:iCs w:val="0"/>
                <w:color w:val="000000"/>
                <w:kern w:val="0"/>
                <w:sz w:val="21"/>
                <w:szCs w:val="21"/>
                <w:u w:val="none"/>
                <w:lang w:val="en-US" w:eastAsia="zh-CN" w:bidi="ar"/>
              </w:rPr>
              <w:t>▲</w:t>
            </w:r>
          </w:p>
        </w:tc>
        <w:tc>
          <w:tcPr>
            <w:tcW w:w="2501" w:type="dxa"/>
            <w:noWrap w:val="0"/>
            <w:vAlign w:val="center"/>
          </w:tcPr>
          <w:p w14:paraId="006604B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应提供后装放疗计划</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34C6E1C1">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2092BD5B">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80CB1B9">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3DCD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C1B40B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4CE2DE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1B53BD9">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4.3.5</w:t>
            </w:r>
          </w:p>
        </w:tc>
        <w:tc>
          <w:tcPr>
            <w:tcW w:w="2501" w:type="dxa"/>
            <w:noWrap w:val="0"/>
            <w:vAlign w:val="center"/>
          </w:tcPr>
          <w:p w14:paraId="2A57C3D7">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应提供光子线放疗计划</w:t>
            </w:r>
          </w:p>
        </w:tc>
        <w:tc>
          <w:tcPr>
            <w:tcW w:w="2117" w:type="dxa"/>
            <w:noWrap w:val="0"/>
            <w:vAlign w:val="center"/>
          </w:tcPr>
          <w:p w14:paraId="0BB8C0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CF647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746E8A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EB9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2D0CCC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4A25D3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07A70EF6">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4.3.6</w:t>
            </w:r>
            <w:r>
              <w:rPr>
                <w:rFonts w:hint="eastAsia" w:ascii="宋体" w:hAnsi="宋体" w:eastAsia="宋体" w:cs="宋体"/>
                <w:b/>
                <w:kern w:val="2"/>
                <w:sz w:val="21"/>
                <w:szCs w:val="21"/>
                <w:lang w:val="en-US" w:eastAsia="zh-CN" w:bidi="ar-SA"/>
              </w:rPr>
              <w:t>▲</w:t>
            </w:r>
          </w:p>
        </w:tc>
        <w:tc>
          <w:tcPr>
            <w:tcW w:w="2501" w:type="dxa"/>
            <w:noWrap w:val="0"/>
            <w:vAlign w:val="center"/>
          </w:tcPr>
          <w:p w14:paraId="6639ADBA">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可拓展IBA质子设备放疗计划</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39CC6B06">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5773B35B">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3D0714B">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5C2B3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016818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847D38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CD5AE6E">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4.3.7</w:t>
            </w:r>
          </w:p>
        </w:tc>
        <w:tc>
          <w:tcPr>
            <w:tcW w:w="2501" w:type="dxa"/>
            <w:noWrap w:val="0"/>
            <w:vAlign w:val="center"/>
          </w:tcPr>
          <w:p w14:paraId="64E2025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应提供正向放疗计划设计</w:t>
            </w:r>
          </w:p>
        </w:tc>
        <w:tc>
          <w:tcPr>
            <w:tcW w:w="2117" w:type="dxa"/>
            <w:noWrap w:val="0"/>
            <w:vAlign w:val="center"/>
          </w:tcPr>
          <w:p w14:paraId="04C54AC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42DA08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0DE748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06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58E81F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464763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6D8BCD9">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4.3.8</w:t>
            </w:r>
          </w:p>
        </w:tc>
        <w:tc>
          <w:tcPr>
            <w:tcW w:w="2501" w:type="dxa"/>
            <w:noWrap w:val="0"/>
            <w:vAlign w:val="center"/>
          </w:tcPr>
          <w:p w14:paraId="2A3E1BA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应提供逆向调强放疗计划设计</w:t>
            </w:r>
          </w:p>
        </w:tc>
        <w:tc>
          <w:tcPr>
            <w:tcW w:w="2117" w:type="dxa"/>
            <w:noWrap w:val="0"/>
            <w:vAlign w:val="center"/>
          </w:tcPr>
          <w:p w14:paraId="5826E36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C88651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FD2ACF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860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F5D62A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674305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4FBBB23">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4.3.9</w:t>
            </w:r>
          </w:p>
        </w:tc>
        <w:tc>
          <w:tcPr>
            <w:tcW w:w="2501" w:type="dxa"/>
            <w:noWrap w:val="0"/>
            <w:vAlign w:val="center"/>
          </w:tcPr>
          <w:p w14:paraId="21D1965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应提供对固定野调强放疗计划（IMRT）的优化过程GPU加速</w:t>
            </w:r>
          </w:p>
        </w:tc>
        <w:tc>
          <w:tcPr>
            <w:tcW w:w="2117" w:type="dxa"/>
            <w:noWrap w:val="0"/>
            <w:vAlign w:val="center"/>
          </w:tcPr>
          <w:p w14:paraId="33AFF87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EC6000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4F8360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68A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8A95B3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5E2BC0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8B1C0AB">
            <w:pPr>
              <w:widowControl/>
              <w:numPr>
                <w:ilvl w:val="0"/>
                <w:numId w:val="0"/>
              </w:numPr>
              <w:spacing w:after="0" w:line="500" w:lineRule="exact"/>
              <w:ind w:firstLine="420" w:firstLineChars="20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kern w:val="2"/>
                <w:sz w:val="21"/>
                <w:szCs w:val="21"/>
                <w:lang w:val="en-US" w:eastAsia="zh-CN" w:bidi="ar-SA"/>
              </w:rPr>
              <w:t>4.3.10</w:t>
            </w:r>
          </w:p>
        </w:tc>
        <w:tc>
          <w:tcPr>
            <w:tcW w:w="2501" w:type="dxa"/>
            <w:noWrap w:val="0"/>
            <w:vAlign w:val="center"/>
          </w:tcPr>
          <w:p w14:paraId="6B56F548">
            <w:pPr>
              <w:keepNext w:val="0"/>
              <w:keepLines w:val="0"/>
              <w:widowControl/>
              <w:suppressLineNumbers w:val="0"/>
              <w:jc w:val="both"/>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应提供容积旋转调强放疗技术</w:t>
            </w:r>
          </w:p>
        </w:tc>
        <w:tc>
          <w:tcPr>
            <w:tcW w:w="2117" w:type="dxa"/>
            <w:noWrap w:val="0"/>
            <w:vAlign w:val="center"/>
          </w:tcPr>
          <w:p w14:paraId="12E08FC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7C75B9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F27C7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5F4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7C27C9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76E32D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A959E74">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4.3.11</w:t>
            </w:r>
          </w:p>
        </w:tc>
        <w:tc>
          <w:tcPr>
            <w:tcW w:w="2501" w:type="dxa"/>
            <w:noWrap w:val="0"/>
            <w:vAlign w:val="center"/>
          </w:tcPr>
          <w:p w14:paraId="72B7A953">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应提供对容积旋转调强放疗计划（VMAT）的优化过程GPU加速</w:t>
            </w:r>
          </w:p>
        </w:tc>
        <w:tc>
          <w:tcPr>
            <w:tcW w:w="2117" w:type="dxa"/>
            <w:noWrap w:val="0"/>
            <w:vAlign w:val="center"/>
          </w:tcPr>
          <w:p w14:paraId="650B508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516AFD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98A243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EFC9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4EEE16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7961B14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4456B1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4.3.12</w:t>
            </w:r>
            <w:r>
              <w:rPr>
                <w:rFonts w:hint="eastAsia" w:ascii="宋体" w:hAnsi="宋体" w:eastAsia="宋体" w:cs="宋体"/>
                <w:i w:val="0"/>
                <w:iCs w:val="0"/>
                <w:color w:val="000000"/>
                <w:kern w:val="0"/>
                <w:sz w:val="21"/>
                <w:szCs w:val="21"/>
                <w:u w:val="none"/>
                <w:lang w:val="en-US" w:eastAsia="zh-CN" w:bidi="ar"/>
              </w:rPr>
              <w:t>▲</w:t>
            </w:r>
          </w:p>
        </w:tc>
        <w:tc>
          <w:tcPr>
            <w:tcW w:w="2501" w:type="dxa"/>
            <w:noWrap w:val="0"/>
            <w:vAlign w:val="center"/>
          </w:tcPr>
          <w:p w14:paraId="01EA4909">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应提供采购人现</w:t>
            </w:r>
            <w:r>
              <w:rPr>
                <w:rFonts w:hint="eastAsia" w:ascii="宋体" w:hAnsi="宋体" w:cs="宋体"/>
                <w:b/>
                <w:bCs/>
                <w:i w:val="0"/>
                <w:iCs w:val="0"/>
                <w:color w:val="FF0000"/>
                <w:kern w:val="0"/>
                <w:sz w:val="21"/>
                <w:szCs w:val="21"/>
                <w:u w:val="none"/>
                <w:lang w:val="en-US" w:eastAsia="zh-CN" w:bidi="ar"/>
              </w:rPr>
              <w:t>有在用</w:t>
            </w:r>
            <w:r>
              <w:rPr>
                <w:rFonts w:hint="eastAsia" w:ascii="宋体" w:hAnsi="宋体" w:eastAsia="宋体" w:cs="宋体"/>
                <w:b/>
                <w:bCs/>
                <w:i w:val="0"/>
                <w:iCs w:val="0"/>
                <w:color w:val="FF0000"/>
                <w:kern w:val="0"/>
                <w:sz w:val="21"/>
                <w:szCs w:val="21"/>
                <w:u w:val="none"/>
                <w:lang w:val="en-US" w:eastAsia="zh-CN" w:bidi="ar"/>
              </w:rPr>
              <w:t>品牌（包括医科达、瓦里安）加速器容积旋转调强放疗计划（VMAT）</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4B0B25E7">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6FA1A678">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7E6C58D3">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0B0A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E0EDFD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F0C6B3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0360705">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4.3.13</w:t>
            </w:r>
          </w:p>
        </w:tc>
        <w:tc>
          <w:tcPr>
            <w:tcW w:w="2501" w:type="dxa"/>
            <w:noWrap w:val="0"/>
            <w:vAlign w:val="center"/>
          </w:tcPr>
          <w:p w14:paraId="733C1378">
            <w:pPr>
              <w:keepNext w:val="0"/>
              <w:keepLines w:val="0"/>
              <w:widowControl/>
              <w:suppressLineNumbers w:val="0"/>
              <w:jc w:val="both"/>
              <w:textAlignment w:val="center"/>
              <w:rPr>
                <w:rFonts w:hint="eastAsia" w:ascii="宋体" w:hAnsi="宋体" w:eastAsia="宋体" w:cs="宋体"/>
                <w:b/>
                <w:bCs/>
                <w:color w:val="FF0000"/>
                <w:sz w:val="21"/>
                <w:szCs w:val="21"/>
                <w:lang w:val="en-US" w:eastAsia="zh-CN"/>
              </w:rPr>
            </w:pPr>
            <w:r>
              <w:rPr>
                <w:rFonts w:hint="eastAsia" w:ascii="宋体" w:hAnsi="宋体" w:eastAsia="宋体" w:cs="宋体"/>
                <w:b/>
                <w:bCs/>
                <w:i w:val="0"/>
                <w:iCs w:val="0"/>
                <w:color w:val="FF0000"/>
                <w:kern w:val="0"/>
                <w:sz w:val="21"/>
                <w:szCs w:val="21"/>
                <w:u w:val="none"/>
                <w:lang w:val="en-US" w:eastAsia="zh-CN" w:bidi="ar"/>
              </w:rPr>
              <w:t>应提供射野自动避让选定的危及器官功能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17429D8A">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623E9C32">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746C0143">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7B62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BAC780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C55A54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25A5BCD">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4.3.14</w:t>
            </w:r>
          </w:p>
        </w:tc>
        <w:tc>
          <w:tcPr>
            <w:tcW w:w="2501" w:type="dxa"/>
            <w:noWrap w:val="0"/>
            <w:vAlign w:val="center"/>
          </w:tcPr>
          <w:p w14:paraId="5DAFE08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应提供适形弧计划设计</w:t>
            </w:r>
          </w:p>
        </w:tc>
        <w:tc>
          <w:tcPr>
            <w:tcW w:w="2117" w:type="dxa"/>
            <w:noWrap w:val="0"/>
            <w:vAlign w:val="center"/>
          </w:tcPr>
          <w:p w14:paraId="6314314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E8E5C9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1B90E6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5D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F1B328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011BFE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F30A99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4.3.15</w:t>
            </w:r>
          </w:p>
        </w:tc>
        <w:tc>
          <w:tcPr>
            <w:tcW w:w="2501" w:type="dxa"/>
            <w:noWrap w:val="0"/>
            <w:vAlign w:val="center"/>
          </w:tcPr>
          <w:p w14:paraId="33F7838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应提供自动优化射野衔接剂量分布功能</w:t>
            </w:r>
          </w:p>
        </w:tc>
        <w:tc>
          <w:tcPr>
            <w:tcW w:w="2117" w:type="dxa"/>
            <w:noWrap w:val="0"/>
            <w:vAlign w:val="center"/>
          </w:tcPr>
          <w:p w14:paraId="6367938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063896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E08933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DE6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1646B1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9A73AF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0266157">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4.3.16</w:t>
            </w:r>
          </w:p>
        </w:tc>
        <w:tc>
          <w:tcPr>
            <w:tcW w:w="2501" w:type="dxa"/>
            <w:noWrap w:val="0"/>
            <w:vAlign w:val="center"/>
          </w:tcPr>
          <w:p w14:paraId="61E287B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应提供加载计划模板</w:t>
            </w:r>
          </w:p>
        </w:tc>
        <w:tc>
          <w:tcPr>
            <w:tcW w:w="2117" w:type="dxa"/>
            <w:noWrap w:val="0"/>
            <w:vAlign w:val="center"/>
          </w:tcPr>
          <w:p w14:paraId="78C5894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DA7AC7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0838EC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222C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26EBF6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EEC753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9B87799">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4.3.17</w:t>
            </w:r>
          </w:p>
        </w:tc>
        <w:tc>
          <w:tcPr>
            <w:tcW w:w="2501" w:type="dxa"/>
            <w:noWrap w:val="0"/>
            <w:vAlign w:val="center"/>
          </w:tcPr>
          <w:p w14:paraId="2E96B6D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可设定射束在特定机架角度暂停出束（角度避让）</w:t>
            </w:r>
          </w:p>
        </w:tc>
        <w:tc>
          <w:tcPr>
            <w:tcW w:w="2117" w:type="dxa"/>
            <w:noWrap w:val="0"/>
            <w:vAlign w:val="center"/>
          </w:tcPr>
          <w:p w14:paraId="2AB6437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BE5683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13E889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E1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EF4B33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A5C897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2137840">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4.3.18</w:t>
            </w:r>
          </w:p>
        </w:tc>
        <w:tc>
          <w:tcPr>
            <w:tcW w:w="2501" w:type="dxa"/>
            <w:noWrap w:val="0"/>
            <w:vAlign w:val="center"/>
          </w:tcPr>
          <w:p w14:paraId="7667D489">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应提供优化目标模板</w:t>
            </w:r>
          </w:p>
        </w:tc>
        <w:tc>
          <w:tcPr>
            <w:tcW w:w="2117" w:type="dxa"/>
            <w:noWrap w:val="0"/>
            <w:vAlign w:val="center"/>
          </w:tcPr>
          <w:p w14:paraId="4702130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BB6153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CF4F0D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DEE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B2299E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7505B9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DF9B84E">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4.3.19</w:t>
            </w:r>
          </w:p>
        </w:tc>
        <w:tc>
          <w:tcPr>
            <w:tcW w:w="2501" w:type="dxa"/>
            <w:noWrap w:val="0"/>
            <w:vAlign w:val="center"/>
          </w:tcPr>
          <w:p w14:paraId="2DF9ADDA">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可在IMRT/VMAT计划优化过程中随时调整目标函数且无需停止优化</w:t>
            </w:r>
          </w:p>
        </w:tc>
        <w:tc>
          <w:tcPr>
            <w:tcW w:w="2117" w:type="dxa"/>
            <w:noWrap w:val="0"/>
            <w:vAlign w:val="center"/>
          </w:tcPr>
          <w:p w14:paraId="531A6AE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A99848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EC767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B4F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1218DC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DEC7B1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562B544">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4.3.20</w:t>
            </w:r>
            <w:r>
              <w:rPr>
                <w:rFonts w:hint="eastAsia" w:ascii="宋体" w:hAnsi="宋体" w:eastAsia="宋体" w:cs="宋体"/>
                <w:color w:val="000000"/>
                <w:kern w:val="2"/>
                <w:sz w:val="21"/>
                <w:szCs w:val="21"/>
                <w:lang w:val="en-US" w:eastAsia="zh-CN" w:bidi="ar"/>
              </w:rPr>
              <w:t>▲</w:t>
            </w:r>
          </w:p>
        </w:tc>
        <w:tc>
          <w:tcPr>
            <w:tcW w:w="2501" w:type="dxa"/>
            <w:noWrap w:val="0"/>
            <w:vAlign w:val="center"/>
          </w:tcPr>
          <w:p w14:paraId="6B94C8BA">
            <w:pPr>
              <w:keepNext w:val="0"/>
              <w:keepLines w:val="0"/>
              <w:widowControl/>
              <w:suppressLineNumbers w:val="0"/>
              <w:jc w:val="both"/>
              <w:textAlignment w:val="center"/>
              <w:rPr>
                <w:rFonts w:hint="eastAsia" w:ascii="宋体" w:hAnsi="宋体" w:eastAsia="宋体" w:cs="宋体"/>
                <w:sz w:val="21"/>
                <w:szCs w:val="21"/>
                <w:lang w:val="en-US" w:eastAsia="zh-CN"/>
              </w:rPr>
            </w:pPr>
            <w:r>
              <w:rPr>
                <w:rFonts w:hint="eastAsia" w:ascii="宋体" w:hAnsi="宋体" w:eastAsia="宋体" w:cs="宋体"/>
                <w:b/>
                <w:bCs/>
                <w:i w:val="0"/>
                <w:iCs w:val="0"/>
                <w:color w:val="FF0000"/>
                <w:kern w:val="0"/>
                <w:sz w:val="21"/>
                <w:szCs w:val="21"/>
                <w:u w:val="none"/>
                <w:lang w:val="en-US" w:eastAsia="zh-CN" w:bidi="ar"/>
              </w:rPr>
              <w:t>在计划优化界面提供至少3种方式显示成本函数罚分：包括但不限于气泡、条状、曲线</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32BF75EE">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A3CD20C">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2534462F">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41E83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EE738D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0743CC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4A7BCE0">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4.3.21</w:t>
            </w:r>
          </w:p>
        </w:tc>
        <w:tc>
          <w:tcPr>
            <w:tcW w:w="2501" w:type="dxa"/>
            <w:noWrap w:val="0"/>
            <w:vAlign w:val="center"/>
          </w:tcPr>
          <w:p w14:paraId="71E426F7">
            <w:pPr>
              <w:keepNext w:val="0"/>
              <w:keepLines w:val="0"/>
              <w:widowControl/>
              <w:suppressLineNumbers w:val="0"/>
              <w:jc w:val="both"/>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应提供单次优化过程的最大迭代次数，不需人工设定干预限制</w:t>
            </w:r>
          </w:p>
        </w:tc>
        <w:tc>
          <w:tcPr>
            <w:tcW w:w="2117" w:type="dxa"/>
            <w:noWrap w:val="0"/>
            <w:vAlign w:val="center"/>
          </w:tcPr>
          <w:p w14:paraId="20E510C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B80FE0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F5BB4A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D144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BDD95D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DA3FE9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5C5D72F">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4.3.22</w:t>
            </w:r>
          </w:p>
        </w:tc>
        <w:tc>
          <w:tcPr>
            <w:tcW w:w="2501" w:type="dxa"/>
            <w:noWrap w:val="0"/>
            <w:vAlign w:val="center"/>
          </w:tcPr>
          <w:p w14:paraId="11E6DB9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提供在优化过程中实时显示函数罚分曲线功能</w:t>
            </w:r>
          </w:p>
        </w:tc>
        <w:tc>
          <w:tcPr>
            <w:tcW w:w="2117" w:type="dxa"/>
            <w:noWrap w:val="0"/>
            <w:vAlign w:val="center"/>
          </w:tcPr>
          <w:p w14:paraId="7341EE8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A61304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16147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DF9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45E6EC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9541B5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E57DC9C">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4.3.23</w:t>
            </w:r>
          </w:p>
        </w:tc>
        <w:tc>
          <w:tcPr>
            <w:tcW w:w="2501" w:type="dxa"/>
            <w:noWrap w:val="0"/>
            <w:vAlign w:val="center"/>
          </w:tcPr>
          <w:p w14:paraId="1758C10F">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应提供在计划优化过程中可同时显示对比计划的DVH功能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6B17224E">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E19D8B3">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69652B58">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266D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832DA2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62CC3E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5AD5C78">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4.3.24</w:t>
            </w:r>
          </w:p>
        </w:tc>
        <w:tc>
          <w:tcPr>
            <w:tcW w:w="2501" w:type="dxa"/>
            <w:noWrap w:val="0"/>
            <w:vAlign w:val="center"/>
          </w:tcPr>
          <w:p w14:paraId="5FBBCC58">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应提供在单个计划中同时优化≥2个等中心的计划，并在射野重叠的地方创建平滑的剂量梯度功能</w:t>
            </w:r>
          </w:p>
        </w:tc>
        <w:tc>
          <w:tcPr>
            <w:tcW w:w="2117" w:type="dxa"/>
            <w:noWrap w:val="0"/>
            <w:vAlign w:val="center"/>
          </w:tcPr>
          <w:p w14:paraId="188D3BC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995E02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41EAC0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82E6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389B03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D63FEB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355E198">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4.3.25</w:t>
            </w:r>
          </w:p>
        </w:tc>
        <w:tc>
          <w:tcPr>
            <w:tcW w:w="2501" w:type="dxa"/>
            <w:noWrap w:val="0"/>
            <w:vAlign w:val="center"/>
          </w:tcPr>
          <w:p w14:paraId="5326F4D0">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应提供当两个相邻等中心距离大于3cm时，将自动开启多中心计划自动平滑功能。（投标时提供能体现该技术参数要求且清晰可辨的技术白皮书扫描件或使用界面截图）</w:t>
            </w:r>
          </w:p>
        </w:tc>
        <w:tc>
          <w:tcPr>
            <w:tcW w:w="2117" w:type="dxa"/>
            <w:noWrap w:val="0"/>
            <w:vAlign w:val="center"/>
          </w:tcPr>
          <w:p w14:paraId="6F7693E8">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50D0271D">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5C86A6C2">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29E36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F55159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E6AB20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A8B96E8">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4.3.26</w:t>
            </w:r>
          </w:p>
        </w:tc>
        <w:tc>
          <w:tcPr>
            <w:tcW w:w="2501" w:type="dxa"/>
            <w:noWrap w:val="0"/>
            <w:vAlign w:val="center"/>
          </w:tcPr>
          <w:p w14:paraId="5416C7CC">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应提供多中心计划自动平滑功能，提供手动打开和关闭此功能</w:t>
            </w:r>
          </w:p>
        </w:tc>
        <w:tc>
          <w:tcPr>
            <w:tcW w:w="2117" w:type="dxa"/>
            <w:noWrap w:val="0"/>
            <w:vAlign w:val="center"/>
          </w:tcPr>
          <w:p w14:paraId="18C936B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9A92FD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114C90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D06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47EAC5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5A0AEA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48B4062">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4.3.27</w:t>
            </w:r>
            <w:r>
              <w:rPr>
                <w:rFonts w:hint="eastAsia" w:ascii="宋体" w:hAnsi="宋体" w:eastAsia="宋体" w:cs="宋体"/>
                <w:color w:val="000000"/>
                <w:kern w:val="2"/>
                <w:sz w:val="21"/>
                <w:szCs w:val="21"/>
                <w:lang w:val="en-US" w:eastAsia="zh-CN" w:bidi="ar"/>
              </w:rPr>
              <w:t>▲</w:t>
            </w:r>
          </w:p>
        </w:tc>
        <w:tc>
          <w:tcPr>
            <w:tcW w:w="2501" w:type="dxa"/>
            <w:noWrap w:val="0"/>
            <w:vAlign w:val="center"/>
          </w:tcPr>
          <w:p w14:paraId="11CA6AC0">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应提供在VMAT计划优化开始前，检查旋转计划中的当前射野几何结构对靶区结构的覆盖程度功能（投标时提供能体现该技术参数要求且清晰可辨的技术白皮书扫描件或</w:t>
            </w:r>
            <w:r>
              <w:rPr>
                <w:rFonts w:hint="eastAsia" w:ascii="宋体" w:hAnsi="宋体" w:cs="宋体"/>
                <w:b/>
                <w:bCs/>
                <w:i w:val="0"/>
                <w:iCs w:val="0"/>
                <w:color w:val="FF0000"/>
                <w:kern w:val="0"/>
                <w:sz w:val="21"/>
                <w:szCs w:val="21"/>
                <w:u w:val="none"/>
                <w:lang w:val="en-US" w:eastAsia="zh-CN" w:bidi="ar"/>
              </w:rPr>
              <w:t>使用界面截图</w:t>
            </w:r>
            <w:r>
              <w:rPr>
                <w:rFonts w:hint="eastAsia" w:ascii="宋体" w:hAnsi="宋体" w:eastAsia="宋体" w:cs="宋体"/>
                <w:b/>
                <w:bCs/>
                <w:i w:val="0"/>
                <w:iCs w:val="0"/>
                <w:color w:val="FF0000"/>
                <w:kern w:val="0"/>
                <w:sz w:val="21"/>
                <w:szCs w:val="21"/>
                <w:u w:val="none"/>
                <w:lang w:val="en-US" w:eastAsia="zh-CN" w:bidi="ar"/>
              </w:rPr>
              <w:t>）</w:t>
            </w:r>
          </w:p>
        </w:tc>
        <w:tc>
          <w:tcPr>
            <w:tcW w:w="2117" w:type="dxa"/>
            <w:noWrap w:val="0"/>
            <w:vAlign w:val="center"/>
          </w:tcPr>
          <w:p w14:paraId="6B226A1E">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287F4EF5">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366B7F5D">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03FFD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CD1F10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3723EE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379A4C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4.3.28</w:t>
            </w:r>
            <w:r>
              <w:rPr>
                <w:rFonts w:hint="eastAsia" w:ascii="宋体" w:hAnsi="宋体" w:eastAsia="宋体" w:cs="宋体"/>
                <w:color w:val="000000"/>
                <w:kern w:val="2"/>
                <w:sz w:val="21"/>
                <w:szCs w:val="21"/>
                <w:lang w:val="en-US" w:eastAsia="zh-CN" w:bidi="ar"/>
              </w:rPr>
              <w:t>▲</w:t>
            </w:r>
          </w:p>
        </w:tc>
        <w:tc>
          <w:tcPr>
            <w:tcW w:w="2501" w:type="dxa"/>
            <w:noWrap w:val="0"/>
            <w:vAlign w:val="center"/>
          </w:tcPr>
          <w:p w14:paraId="27C74563">
            <w:pPr>
              <w:keepNext w:val="0"/>
              <w:keepLines w:val="0"/>
              <w:widowControl/>
              <w:suppressLineNumbers w:val="0"/>
              <w:jc w:val="both"/>
              <w:textAlignment w:val="center"/>
              <w:rPr>
                <w:rFonts w:hint="eastAsia" w:ascii="宋体" w:hAnsi="宋体" w:eastAsia="宋体" w:cs="宋体"/>
                <w:b/>
                <w:bCs/>
                <w:color w:val="FF0000"/>
                <w:sz w:val="21"/>
                <w:szCs w:val="21"/>
              </w:rPr>
            </w:pPr>
            <w:r>
              <w:rPr>
                <w:rFonts w:hint="eastAsia" w:ascii="宋体" w:hAnsi="宋体" w:eastAsia="宋体" w:cs="宋体"/>
                <w:b/>
                <w:bCs/>
                <w:i w:val="0"/>
                <w:iCs w:val="0"/>
                <w:color w:val="FF0000"/>
                <w:kern w:val="0"/>
                <w:sz w:val="21"/>
                <w:szCs w:val="21"/>
                <w:u w:val="none"/>
                <w:lang w:val="en-US" w:eastAsia="zh-CN" w:bidi="ar"/>
              </w:rPr>
              <w:t>应支持在VMAT计划优化开始前，以数字百分比的方式显示具体射野对靶区覆盖程度（投标时提供能体现该技术参数要求且清晰可辨的技术白皮书扫描件或</w:t>
            </w:r>
            <w:r>
              <w:rPr>
                <w:rFonts w:hint="eastAsia" w:ascii="宋体" w:hAnsi="宋体" w:cs="宋体"/>
                <w:b/>
                <w:bCs/>
                <w:i w:val="0"/>
                <w:iCs w:val="0"/>
                <w:color w:val="FF0000"/>
                <w:kern w:val="0"/>
                <w:sz w:val="21"/>
                <w:szCs w:val="21"/>
                <w:u w:val="none"/>
                <w:lang w:val="en-US" w:eastAsia="zh-CN" w:bidi="ar"/>
              </w:rPr>
              <w:t>使用界面截图</w:t>
            </w:r>
            <w:r>
              <w:rPr>
                <w:rFonts w:hint="eastAsia" w:ascii="宋体" w:hAnsi="宋体" w:eastAsia="宋体" w:cs="宋体"/>
                <w:b/>
                <w:bCs/>
                <w:i w:val="0"/>
                <w:iCs w:val="0"/>
                <w:color w:val="FF0000"/>
                <w:kern w:val="0"/>
                <w:sz w:val="21"/>
                <w:szCs w:val="21"/>
                <w:u w:val="none"/>
                <w:lang w:val="en-US" w:eastAsia="zh-CN" w:bidi="ar"/>
              </w:rPr>
              <w:t>）</w:t>
            </w:r>
          </w:p>
        </w:tc>
        <w:tc>
          <w:tcPr>
            <w:tcW w:w="2117" w:type="dxa"/>
            <w:noWrap w:val="0"/>
            <w:vAlign w:val="center"/>
          </w:tcPr>
          <w:p w14:paraId="22863A85">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2D0B69C3">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30731119">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40EA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E50E3B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176DE4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F52D110">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4.3.29</w:t>
            </w:r>
          </w:p>
        </w:tc>
        <w:tc>
          <w:tcPr>
            <w:tcW w:w="2501" w:type="dxa"/>
            <w:noWrap w:val="0"/>
            <w:vAlign w:val="center"/>
          </w:tcPr>
          <w:p w14:paraId="6CFB612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提供以颜色方式直观展示靶区覆盖程度功能</w:t>
            </w:r>
          </w:p>
        </w:tc>
        <w:tc>
          <w:tcPr>
            <w:tcW w:w="2117" w:type="dxa"/>
            <w:noWrap w:val="0"/>
            <w:vAlign w:val="center"/>
          </w:tcPr>
          <w:p w14:paraId="1EA904B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0D36C4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1A1DA7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4BC8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DF68DC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ADFB27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6EC740D3">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4.3.30</w:t>
            </w:r>
            <w:r>
              <w:rPr>
                <w:rFonts w:hint="eastAsia" w:ascii="宋体" w:hAnsi="宋体" w:eastAsia="宋体" w:cs="宋体"/>
                <w:i w:val="0"/>
                <w:iCs w:val="0"/>
                <w:color w:val="000000"/>
                <w:kern w:val="0"/>
                <w:sz w:val="21"/>
                <w:szCs w:val="21"/>
                <w:u w:val="none"/>
                <w:lang w:val="en-US" w:eastAsia="zh-CN" w:bidi="ar"/>
              </w:rPr>
              <w:t>▲</w:t>
            </w:r>
          </w:p>
        </w:tc>
        <w:tc>
          <w:tcPr>
            <w:tcW w:w="2501" w:type="dxa"/>
            <w:noWrap w:val="0"/>
            <w:vAlign w:val="center"/>
          </w:tcPr>
          <w:p w14:paraId="1F80F970">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应提供制定光子束外照射，包括三维适形、固定野调强（动态和静态调强）、容积调强（或旋转调强）、立体定向和电子束外照射以及近距离照射（铱192源）放射治疗计划。</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3B59A09C">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F4914BC">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963397F">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702A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CA097D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38D124F">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EB96228">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4.3.31</w:t>
            </w:r>
          </w:p>
        </w:tc>
        <w:tc>
          <w:tcPr>
            <w:tcW w:w="2501" w:type="dxa"/>
            <w:noWrap w:val="0"/>
            <w:vAlign w:val="center"/>
          </w:tcPr>
          <w:p w14:paraId="5CA9A55D">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应提供计划目标设定比较表：至少支持设定最大剂量（Dmax）、最小剂量(Dmin)、平均剂量(Dmean)、体积剂量、剂量体积、CI(适形指数)、梯度指数（或梯度测量）</w:t>
            </w:r>
          </w:p>
        </w:tc>
        <w:tc>
          <w:tcPr>
            <w:tcW w:w="2117" w:type="dxa"/>
            <w:noWrap w:val="0"/>
            <w:vAlign w:val="center"/>
          </w:tcPr>
          <w:p w14:paraId="184BEC1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2F45C7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8BF9DB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F2C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6CA58EE">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60790710">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26979A41">
            <w:pPr>
              <w:widowControl/>
              <w:numPr>
                <w:ilvl w:val="1"/>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4.4</w:t>
            </w:r>
          </w:p>
        </w:tc>
        <w:tc>
          <w:tcPr>
            <w:tcW w:w="2501" w:type="dxa"/>
            <w:noWrap w:val="0"/>
            <w:vAlign w:val="center"/>
          </w:tcPr>
          <w:p w14:paraId="0EA733B5">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剂量计算</w:t>
            </w:r>
          </w:p>
        </w:tc>
        <w:tc>
          <w:tcPr>
            <w:tcW w:w="2117" w:type="dxa"/>
            <w:noWrap w:val="0"/>
            <w:vAlign w:val="center"/>
          </w:tcPr>
          <w:p w14:paraId="20C91D82">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764D7358">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710375CE">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r>
      <w:tr w14:paraId="0D32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CD9133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126B97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C8BEB34">
            <w:pPr>
              <w:widowControl/>
              <w:numPr>
                <w:ilvl w:val="0"/>
                <w:numId w:val="0"/>
              </w:numPr>
              <w:spacing w:after="0" w:line="500" w:lineRule="exact"/>
              <w:ind w:firstLine="420" w:firstLineChars="200"/>
              <w:jc w:val="left"/>
              <w:rPr>
                <w:rFonts w:hint="eastAsia" w:ascii="宋体" w:hAnsi="宋体" w:eastAsia="宋体" w:cs="宋体"/>
                <w:color w:val="FF0000"/>
                <w:kern w:val="2"/>
                <w:sz w:val="21"/>
                <w:szCs w:val="21"/>
                <w:lang w:val="en-US" w:eastAsia="zh-CN" w:bidi="ar-SA"/>
              </w:rPr>
            </w:pPr>
            <w:r>
              <w:rPr>
                <w:rFonts w:hint="eastAsia" w:ascii="宋体" w:hAnsi="宋体" w:eastAsia="宋体" w:cs="宋体"/>
                <w:color w:val="auto"/>
                <w:kern w:val="2"/>
                <w:sz w:val="21"/>
                <w:szCs w:val="21"/>
                <w:lang w:val="en-US" w:eastAsia="zh-CN" w:bidi="ar-SA"/>
              </w:rPr>
              <w:t>4.4.1</w:t>
            </w:r>
          </w:p>
        </w:tc>
        <w:tc>
          <w:tcPr>
            <w:tcW w:w="2501" w:type="dxa"/>
            <w:noWrap w:val="0"/>
            <w:vAlign w:val="center"/>
          </w:tcPr>
          <w:p w14:paraId="067C3F08">
            <w:pPr>
              <w:widowControl/>
              <w:spacing w:line="500" w:lineRule="exact"/>
              <w:rPr>
                <w:rFonts w:hint="eastAsia" w:ascii="宋体" w:hAnsi="宋体" w:eastAsia="宋体" w:cs="宋体"/>
                <w:color w:val="FF0000"/>
                <w:sz w:val="21"/>
                <w:szCs w:val="21"/>
              </w:rPr>
            </w:pPr>
            <w:r>
              <w:rPr>
                <w:rFonts w:hint="eastAsia" w:ascii="宋体" w:hAnsi="宋体" w:eastAsia="宋体" w:cs="宋体"/>
                <w:sz w:val="21"/>
                <w:szCs w:val="21"/>
              </w:rPr>
              <w:t>应</w:t>
            </w:r>
            <w:r>
              <w:rPr>
                <w:rFonts w:hint="eastAsia" w:ascii="宋体" w:hAnsi="宋体" w:eastAsia="宋体" w:cs="宋体"/>
                <w:sz w:val="21"/>
                <w:szCs w:val="21"/>
                <w:lang w:eastAsia="zh-CN"/>
              </w:rPr>
              <w:t>提供</w:t>
            </w:r>
            <w:r>
              <w:rPr>
                <w:rFonts w:hint="eastAsia" w:ascii="宋体" w:hAnsi="宋体" w:eastAsia="宋体" w:cs="宋体"/>
                <w:sz w:val="21"/>
                <w:szCs w:val="21"/>
              </w:rPr>
              <w:t>蒙特卡洛精度的光子剂量计算算法</w:t>
            </w:r>
          </w:p>
        </w:tc>
        <w:tc>
          <w:tcPr>
            <w:tcW w:w="2117" w:type="dxa"/>
            <w:noWrap w:val="0"/>
            <w:vAlign w:val="center"/>
          </w:tcPr>
          <w:p w14:paraId="20C46B56">
            <w:pPr>
              <w:widowControl/>
              <w:spacing w:line="500" w:lineRule="exact"/>
              <w:rPr>
                <w:rFonts w:hint="eastAsia" w:ascii="宋体" w:hAnsi="宋体" w:eastAsia="宋体" w:cs="宋体"/>
                <w:sz w:val="21"/>
                <w:szCs w:val="21"/>
              </w:rPr>
            </w:pPr>
          </w:p>
        </w:tc>
        <w:tc>
          <w:tcPr>
            <w:tcW w:w="736" w:type="dxa"/>
            <w:noWrap w:val="0"/>
            <w:vAlign w:val="center"/>
          </w:tcPr>
          <w:p w14:paraId="1D367A33">
            <w:pPr>
              <w:widowControl/>
              <w:spacing w:line="500" w:lineRule="exact"/>
              <w:rPr>
                <w:rFonts w:hint="eastAsia" w:ascii="宋体" w:hAnsi="宋体" w:eastAsia="宋体" w:cs="宋体"/>
                <w:sz w:val="21"/>
                <w:szCs w:val="21"/>
              </w:rPr>
            </w:pPr>
          </w:p>
        </w:tc>
        <w:tc>
          <w:tcPr>
            <w:tcW w:w="736" w:type="dxa"/>
            <w:noWrap w:val="0"/>
            <w:vAlign w:val="center"/>
          </w:tcPr>
          <w:p w14:paraId="000DB0EE">
            <w:pPr>
              <w:widowControl/>
              <w:spacing w:line="500" w:lineRule="exact"/>
              <w:rPr>
                <w:rFonts w:hint="eastAsia" w:ascii="宋体" w:hAnsi="宋体" w:eastAsia="宋体" w:cs="宋体"/>
                <w:sz w:val="21"/>
                <w:szCs w:val="21"/>
              </w:rPr>
            </w:pPr>
          </w:p>
        </w:tc>
      </w:tr>
      <w:tr w14:paraId="7154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EE830D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1DC351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CE6FEE3">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4.4.2</w:t>
            </w:r>
            <w:r>
              <w:rPr>
                <w:rFonts w:hint="eastAsia" w:ascii="宋体" w:hAnsi="宋体" w:eastAsia="宋体" w:cs="宋体"/>
                <w:color w:val="000000"/>
                <w:kern w:val="2"/>
                <w:sz w:val="21"/>
                <w:szCs w:val="21"/>
                <w:lang w:val="en-US" w:eastAsia="zh-CN" w:bidi="ar"/>
              </w:rPr>
              <w:t>▲</w:t>
            </w:r>
          </w:p>
        </w:tc>
        <w:tc>
          <w:tcPr>
            <w:tcW w:w="2501" w:type="dxa"/>
            <w:noWrap w:val="0"/>
            <w:vAlign w:val="center"/>
          </w:tcPr>
          <w:p w14:paraId="213D8F18">
            <w:pPr>
              <w:widowControl/>
              <w:spacing w:line="500" w:lineRule="exact"/>
              <w:rPr>
                <w:rFonts w:hint="eastAsia" w:ascii="宋体" w:hAnsi="宋体" w:eastAsia="宋体" w:cs="宋体"/>
                <w:sz w:val="21"/>
                <w:szCs w:val="21"/>
              </w:rPr>
            </w:pPr>
            <w:r>
              <w:rPr>
                <w:rFonts w:hint="eastAsia" w:ascii="宋体" w:hAnsi="宋体" w:eastAsia="宋体" w:cs="宋体"/>
                <w:b/>
                <w:bCs/>
                <w:color w:val="FF0000"/>
                <w:sz w:val="21"/>
                <w:szCs w:val="21"/>
              </w:rPr>
              <w:t>应</w:t>
            </w:r>
            <w:r>
              <w:rPr>
                <w:rFonts w:hint="eastAsia" w:ascii="宋体" w:hAnsi="宋体" w:eastAsia="宋体" w:cs="宋体"/>
                <w:b/>
                <w:bCs/>
                <w:color w:val="FF0000"/>
                <w:sz w:val="21"/>
                <w:szCs w:val="21"/>
                <w:lang w:eastAsia="zh-CN"/>
              </w:rPr>
              <w:t>提供</w:t>
            </w:r>
            <w:r>
              <w:rPr>
                <w:rFonts w:hint="eastAsia" w:ascii="宋体" w:hAnsi="宋体" w:eastAsia="宋体" w:cs="宋体"/>
                <w:b/>
                <w:bCs/>
                <w:color w:val="FF0000"/>
                <w:sz w:val="21"/>
                <w:szCs w:val="21"/>
              </w:rPr>
              <w:t>电子线剂量计算应支持蒙特卡洛精度算法</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3AF8A9D4">
            <w:pPr>
              <w:widowControl/>
              <w:spacing w:line="500" w:lineRule="exact"/>
              <w:rPr>
                <w:rFonts w:hint="eastAsia" w:ascii="宋体" w:hAnsi="宋体" w:eastAsia="宋体" w:cs="宋体"/>
                <w:b/>
                <w:bCs/>
                <w:color w:val="FF0000"/>
                <w:sz w:val="21"/>
                <w:szCs w:val="21"/>
              </w:rPr>
            </w:pPr>
          </w:p>
        </w:tc>
        <w:tc>
          <w:tcPr>
            <w:tcW w:w="736" w:type="dxa"/>
            <w:noWrap w:val="0"/>
            <w:vAlign w:val="center"/>
          </w:tcPr>
          <w:p w14:paraId="29FAFE0B">
            <w:pPr>
              <w:widowControl/>
              <w:spacing w:line="500" w:lineRule="exact"/>
              <w:rPr>
                <w:rFonts w:hint="eastAsia" w:ascii="宋体" w:hAnsi="宋体" w:eastAsia="宋体" w:cs="宋体"/>
                <w:b/>
                <w:bCs/>
                <w:color w:val="FF0000"/>
                <w:sz w:val="21"/>
                <w:szCs w:val="21"/>
              </w:rPr>
            </w:pPr>
          </w:p>
        </w:tc>
        <w:tc>
          <w:tcPr>
            <w:tcW w:w="736" w:type="dxa"/>
            <w:noWrap w:val="0"/>
            <w:vAlign w:val="center"/>
          </w:tcPr>
          <w:p w14:paraId="1E74F443">
            <w:pPr>
              <w:widowControl/>
              <w:spacing w:line="500" w:lineRule="exact"/>
              <w:rPr>
                <w:rFonts w:hint="eastAsia" w:ascii="宋体" w:hAnsi="宋体" w:eastAsia="宋体" w:cs="宋体"/>
                <w:b/>
                <w:bCs/>
                <w:color w:val="FF0000"/>
                <w:sz w:val="21"/>
                <w:szCs w:val="21"/>
              </w:rPr>
            </w:pPr>
          </w:p>
        </w:tc>
      </w:tr>
      <w:tr w14:paraId="327C7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37BFD9A">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23C388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7601F8F">
            <w:pPr>
              <w:widowControl/>
              <w:numPr>
                <w:ilvl w:val="0"/>
                <w:numId w:val="0"/>
              </w:numPr>
              <w:spacing w:after="0" w:line="500" w:lineRule="exact"/>
              <w:ind w:firstLine="420" w:firstLineChars="200"/>
              <w:jc w:val="left"/>
              <w:rPr>
                <w:rFonts w:hint="eastAsia" w:ascii="宋体" w:hAnsi="宋体" w:eastAsia="宋体" w:cs="宋体"/>
                <w:color w:val="FF0000"/>
                <w:kern w:val="2"/>
                <w:sz w:val="21"/>
                <w:szCs w:val="21"/>
                <w:lang w:val="en-US" w:eastAsia="zh-CN" w:bidi="ar-SA"/>
              </w:rPr>
            </w:pPr>
            <w:r>
              <w:rPr>
                <w:rFonts w:hint="eastAsia" w:ascii="宋体" w:hAnsi="宋体" w:eastAsia="宋体" w:cs="宋体"/>
                <w:color w:val="auto"/>
                <w:kern w:val="2"/>
                <w:sz w:val="21"/>
                <w:szCs w:val="21"/>
                <w:lang w:val="en-US" w:eastAsia="zh-CN" w:bidi="ar-SA"/>
              </w:rPr>
              <w:t>4.4.3</w:t>
            </w:r>
          </w:p>
        </w:tc>
        <w:tc>
          <w:tcPr>
            <w:tcW w:w="2501" w:type="dxa"/>
            <w:noWrap w:val="0"/>
            <w:vAlign w:val="center"/>
          </w:tcPr>
          <w:p w14:paraId="4488E373">
            <w:pPr>
              <w:widowControl/>
              <w:spacing w:line="500" w:lineRule="exact"/>
              <w:rPr>
                <w:rFonts w:hint="eastAsia" w:ascii="宋体" w:hAnsi="宋体" w:eastAsia="宋体" w:cs="宋体"/>
                <w:color w:val="FF0000"/>
                <w:sz w:val="21"/>
                <w:szCs w:val="21"/>
                <w:lang w:val="en-US" w:eastAsia="zh-CN"/>
              </w:rPr>
            </w:pPr>
            <w:r>
              <w:rPr>
                <w:rFonts w:hint="eastAsia" w:ascii="宋体" w:hAnsi="宋体" w:eastAsia="宋体" w:cs="宋体"/>
                <w:sz w:val="21"/>
                <w:szCs w:val="21"/>
              </w:rPr>
              <w:t>应</w:t>
            </w:r>
            <w:r>
              <w:rPr>
                <w:rFonts w:hint="eastAsia" w:ascii="宋体" w:hAnsi="宋体" w:eastAsia="宋体" w:cs="宋体"/>
                <w:sz w:val="21"/>
                <w:szCs w:val="21"/>
                <w:lang w:eastAsia="zh-CN"/>
              </w:rPr>
              <w:t>提供</w:t>
            </w:r>
            <w:r>
              <w:rPr>
                <w:rFonts w:hint="eastAsia" w:ascii="宋体" w:hAnsi="宋体" w:eastAsia="宋体" w:cs="宋体"/>
                <w:sz w:val="21"/>
                <w:szCs w:val="21"/>
              </w:rPr>
              <w:t>GPU对IMRT和VAMT计划剂量计算加速</w:t>
            </w:r>
            <w:r>
              <w:rPr>
                <w:rFonts w:hint="eastAsia" w:ascii="宋体" w:hAnsi="宋体" w:eastAsia="宋体" w:cs="宋体"/>
                <w:sz w:val="21"/>
                <w:szCs w:val="21"/>
                <w:lang w:val="en-US" w:eastAsia="zh-CN"/>
              </w:rPr>
              <w:t>功能</w:t>
            </w:r>
          </w:p>
        </w:tc>
        <w:tc>
          <w:tcPr>
            <w:tcW w:w="2117" w:type="dxa"/>
            <w:noWrap w:val="0"/>
            <w:vAlign w:val="center"/>
          </w:tcPr>
          <w:p w14:paraId="76F72C51">
            <w:pPr>
              <w:widowControl/>
              <w:spacing w:line="500" w:lineRule="exact"/>
              <w:rPr>
                <w:rFonts w:hint="eastAsia" w:ascii="宋体" w:hAnsi="宋体" w:eastAsia="宋体" w:cs="宋体"/>
                <w:sz w:val="21"/>
                <w:szCs w:val="21"/>
              </w:rPr>
            </w:pPr>
          </w:p>
        </w:tc>
        <w:tc>
          <w:tcPr>
            <w:tcW w:w="736" w:type="dxa"/>
            <w:noWrap w:val="0"/>
            <w:vAlign w:val="center"/>
          </w:tcPr>
          <w:p w14:paraId="6194EDB9">
            <w:pPr>
              <w:widowControl/>
              <w:spacing w:line="500" w:lineRule="exact"/>
              <w:rPr>
                <w:rFonts w:hint="eastAsia" w:ascii="宋体" w:hAnsi="宋体" w:eastAsia="宋体" w:cs="宋体"/>
                <w:sz w:val="21"/>
                <w:szCs w:val="21"/>
              </w:rPr>
            </w:pPr>
          </w:p>
        </w:tc>
        <w:tc>
          <w:tcPr>
            <w:tcW w:w="736" w:type="dxa"/>
            <w:noWrap w:val="0"/>
            <w:vAlign w:val="center"/>
          </w:tcPr>
          <w:p w14:paraId="5D3FBC4F">
            <w:pPr>
              <w:widowControl/>
              <w:spacing w:line="500" w:lineRule="exact"/>
              <w:rPr>
                <w:rFonts w:hint="eastAsia" w:ascii="宋体" w:hAnsi="宋体" w:eastAsia="宋体" w:cs="宋体"/>
                <w:sz w:val="21"/>
                <w:szCs w:val="21"/>
              </w:rPr>
            </w:pPr>
          </w:p>
        </w:tc>
      </w:tr>
      <w:tr w14:paraId="58AF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B652B8C">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0DC0C043">
            <w:pPr>
              <w:widowControl/>
              <w:numPr>
                <w:ilvl w:val="1"/>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57AA4001">
            <w:pPr>
              <w:widowControl/>
              <w:numPr>
                <w:ilvl w:val="1"/>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4.5</w:t>
            </w:r>
          </w:p>
        </w:tc>
        <w:tc>
          <w:tcPr>
            <w:tcW w:w="2501" w:type="dxa"/>
            <w:noWrap w:val="0"/>
            <w:vAlign w:val="center"/>
          </w:tcPr>
          <w:p w14:paraId="3181C440">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计划评估</w:t>
            </w:r>
          </w:p>
        </w:tc>
        <w:tc>
          <w:tcPr>
            <w:tcW w:w="2117" w:type="dxa"/>
            <w:noWrap w:val="0"/>
            <w:vAlign w:val="center"/>
          </w:tcPr>
          <w:p w14:paraId="1A698FA1">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52FAF803">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0C574165">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r>
      <w:tr w14:paraId="4F6F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749EBCB">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EA02A4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E03A4FA">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w:t>
            </w:r>
          </w:p>
        </w:tc>
        <w:tc>
          <w:tcPr>
            <w:tcW w:w="2501" w:type="dxa"/>
            <w:noWrap w:val="0"/>
            <w:vAlign w:val="center"/>
          </w:tcPr>
          <w:p w14:paraId="03056E52">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应提供并排计划剂量分布比较功能</w:t>
            </w:r>
          </w:p>
        </w:tc>
        <w:tc>
          <w:tcPr>
            <w:tcW w:w="2117" w:type="dxa"/>
            <w:noWrap w:val="0"/>
            <w:vAlign w:val="center"/>
          </w:tcPr>
          <w:p w14:paraId="24609D5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71229A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5955D1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C132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E26468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2CBBB39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75CF7DA">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4.5.2</w:t>
            </w:r>
          </w:p>
        </w:tc>
        <w:tc>
          <w:tcPr>
            <w:tcW w:w="2501" w:type="dxa"/>
            <w:noWrap w:val="0"/>
            <w:vAlign w:val="center"/>
          </w:tcPr>
          <w:p w14:paraId="736DC6AE">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个结构、</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个计划的DVH比较功能</w:t>
            </w:r>
          </w:p>
        </w:tc>
        <w:tc>
          <w:tcPr>
            <w:tcW w:w="2117" w:type="dxa"/>
            <w:noWrap w:val="0"/>
            <w:vAlign w:val="center"/>
          </w:tcPr>
          <w:p w14:paraId="428C0EA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CF055B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6B9677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5EBB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96048E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228FB7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2C15903">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4.5.3</w:t>
            </w:r>
          </w:p>
        </w:tc>
        <w:tc>
          <w:tcPr>
            <w:tcW w:w="2501" w:type="dxa"/>
            <w:noWrap w:val="0"/>
            <w:vAlign w:val="center"/>
          </w:tcPr>
          <w:p w14:paraId="541D29E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应提供外照射计划的叠加和相减功能</w:t>
            </w:r>
          </w:p>
        </w:tc>
        <w:tc>
          <w:tcPr>
            <w:tcW w:w="2117" w:type="dxa"/>
            <w:noWrap w:val="0"/>
            <w:vAlign w:val="center"/>
          </w:tcPr>
          <w:p w14:paraId="5080ABC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D2A1B3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885BFA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378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E6CC1F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5C11A81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2BBF47CE">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4.5.4</w:t>
            </w:r>
          </w:p>
        </w:tc>
        <w:tc>
          <w:tcPr>
            <w:tcW w:w="2501" w:type="dxa"/>
            <w:noWrap w:val="0"/>
            <w:vAlign w:val="center"/>
          </w:tcPr>
          <w:p w14:paraId="79AC4BC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b w:val="0"/>
                <w:bCs w:val="0"/>
                <w:i w:val="0"/>
                <w:iCs w:val="0"/>
                <w:color w:val="000000"/>
                <w:kern w:val="0"/>
                <w:sz w:val="21"/>
                <w:szCs w:val="21"/>
                <w:u w:val="none"/>
                <w:lang w:val="en-US" w:eastAsia="zh-CN" w:bidi="ar"/>
              </w:rPr>
              <w:t>应提供近距离治疗计划的叠加和相减功能</w:t>
            </w:r>
          </w:p>
        </w:tc>
        <w:tc>
          <w:tcPr>
            <w:tcW w:w="2117" w:type="dxa"/>
            <w:noWrap w:val="0"/>
            <w:vAlign w:val="center"/>
          </w:tcPr>
          <w:p w14:paraId="64196A84">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736" w:type="dxa"/>
            <w:noWrap w:val="0"/>
            <w:vAlign w:val="center"/>
          </w:tcPr>
          <w:p w14:paraId="4335AEB6">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736" w:type="dxa"/>
            <w:noWrap w:val="0"/>
            <w:vAlign w:val="center"/>
          </w:tcPr>
          <w:p w14:paraId="50C62695">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r>
      <w:tr w14:paraId="6C6A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E1B6C66">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035054DC">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57F88456">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4.5.5</w:t>
            </w:r>
          </w:p>
        </w:tc>
        <w:tc>
          <w:tcPr>
            <w:tcW w:w="2501" w:type="dxa"/>
            <w:noWrap w:val="0"/>
            <w:vAlign w:val="center"/>
          </w:tcPr>
          <w:p w14:paraId="7BF70484">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应提供外照射计划的鲁棒性评估功能</w:t>
            </w:r>
            <w:r>
              <w:rPr>
                <w:rFonts w:hint="eastAsia" w:ascii="宋体" w:hAnsi="宋体" w:eastAsia="宋体" w:cs="宋体"/>
                <w:b/>
                <w:bCs/>
                <w:i w:val="0"/>
                <w:iCs w:val="0"/>
                <w:color w:val="FF0000"/>
                <w:kern w:val="2"/>
                <w:sz w:val="21"/>
                <w:szCs w:val="21"/>
                <w:u w:val="none"/>
                <w:lang w:val="en-US" w:eastAsia="zh-CN" w:bidi="ar"/>
              </w:rPr>
              <w:t>（</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r>
              <w:rPr>
                <w:rFonts w:hint="eastAsia" w:ascii="宋体" w:hAnsi="宋体" w:eastAsia="宋体" w:cs="宋体"/>
                <w:b/>
                <w:bCs/>
                <w:i w:val="0"/>
                <w:iCs w:val="0"/>
                <w:color w:val="FF0000"/>
                <w:kern w:val="2"/>
                <w:sz w:val="21"/>
                <w:szCs w:val="21"/>
                <w:u w:val="none"/>
                <w:lang w:val="en-US" w:eastAsia="zh-CN" w:bidi="ar"/>
              </w:rPr>
              <w:t>）</w:t>
            </w:r>
          </w:p>
        </w:tc>
        <w:tc>
          <w:tcPr>
            <w:tcW w:w="2117" w:type="dxa"/>
            <w:noWrap w:val="0"/>
            <w:vAlign w:val="center"/>
          </w:tcPr>
          <w:p w14:paraId="455279DB">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0D591C00">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4A6A5255">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795E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8" w:type="dxa"/>
            <w:vMerge w:val="continue"/>
            <w:noWrap w:val="0"/>
            <w:vAlign w:val="center"/>
          </w:tcPr>
          <w:p w14:paraId="7E317FB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38C4AC4">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0E14F41">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4.5.6</w:t>
            </w:r>
          </w:p>
        </w:tc>
        <w:tc>
          <w:tcPr>
            <w:tcW w:w="2501" w:type="dxa"/>
            <w:noWrap w:val="0"/>
            <w:vAlign w:val="center"/>
          </w:tcPr>
          <w:p w14:paraId="79E1AB27">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应提供电子计划批准功能</w:t>
            </w:r>
          </w:p>
        </w:tc>
        <w:tc>
          <w:tcPr>
            <w:tcW w:w="2117" w:type="dxa"/>
            <w:noWrap w:val="0"/>
            <w:vAlign w:val="center"/>
          </w:tcPr>
          <w:p w14:paraId="6BD8B73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7C2B50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8B011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437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155F462">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C2F43E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6AE8FEF">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4.5.7</w:t>
            </w:r>
            <w:r>
              <w:rPr>
                <w:rFonts w:hint="eastAsia" w:ascii="宋体" w:hAnsi="宋体" w:eastAsia="宋体" w:cs="宋体"/>
                <w:kern w:val="2"/>
                <w:sz w:val="21"/>
                <w:szCs w:val="21"/>
                <w:lang w:val="en-US" w:eastAsia="zh-CN" w:bidi="ar-SA"/>
              </w:rPr>
              <w:t>▲</w:t>
            </w:r>
          </w:p>
        </w:tc>
        <w:tc>
          <w:tcPr>
            <w:tcW w:w="2501" w:type="dxa"/>
            <w:noWrap w:val="0"/>
            <w:vAlign w:val="center"/>
          </w:tcPr>
          <w:p w14:paraId="44A99EFE">
            <w:pPr>
              <w:widowControl/>
              <w:spacing w:line="500" w:lineRule="exact"/>
              <w:ind w:right="-50" w:rightChars="-24"/>
              <w:rPr>
                <w:rFonts w:hint="eastAsia" w:ascii="宋体" w:hAnsi="宋体" w:eastAsia="宋体" w:cs="宋体"/>
                <w:sz w:val="21"/>
                <w:szCs w:val="21"/>
                <w:lang w:eastAsia="zh-CN"/>
              </w:rPr>
            </w:pPr>
            <w:r>
              <w:rPr>
                <w:rFonts w:hint="eastAsia" w:ascii="宋体" w:hAnsi="宋体" w:eastAsia="宋体" w:cs="宋体"/>
                <w:b/>
                <w:bCs/>
                <w:color w:val="FF0000"/>
                <w:sz w:val="21"/>
                <w:szCs w:val="21"/>
              </w:rPr>
              <w:t>应提供后装计划的剂量评估功能</w:t>
            </w:r>
            <w:r>
              <w:rPr>
                <w:rFonts w:hint="eastAsia" w:ascii="宋体" w:hAnsi="宋体" w:cs="宋体"/>
                <w:b/>
                <w:bCs/>
                <w:color w:val="FF0000"/>
                <w:sz w:val="21"/>
                <w:szCs w:val="21"/>
                <w:lang w:eastAsia="zh-CN"/>
              </w:rPr>
              <w:t>（投标时提供能体现该技术参数要求且清晰可辨的技术白皮书或产品技术说明或产品彩页扫描件）</w:t>
            </w:r>
          </w:p>
        </w:tc>
        <w:tc>
          <w:tcPr>
            <w:tcW w:w="2117" w:type="dxa"/>
            <w:noWrap w:val="0"/>
            <w:vAlign w:val="center"/>
          </w:tcPr>
          <w:p w14:paraId="5A39AAC2">
            <w:pPr>
              <w:widowControl/>
              <w:spacing w:line="500" w:lineRule="exact"/>
              <w:ind w:right="-50" w:rightChars="-24"/>
              <w:rPr>
                <w:rFonts w:hint="eastAsia" w:ascii="宋体" w:hAnsi="宋体" w:eastAsia="宋体" w:cs="宋体"/>
                <w:b/>
                <w:bCs/>
                <w:color w:val="FF0000"/>
                <w:sz w:val="21"/>
                <w:szCs w:val="21"/>
              </w:rPr>
            </w:pPr>
          </w:p>
        </w:tc>
        <w:tc>
          <w:tcPr>
            <w:tcW w:w="736" w:type="dxa"/>
            <w:noWrap w:val="0"/>
            <w:vAlign w:val="center"/>
          </w:tcPr>
          <w:p w14:paraId="152FE7E9">
            <w:pPr>
              <w:widowControl/>
              <w:spacing w:line="500" w:lineRule="exact"/>
              <w:ind w:right="-50" w:rightChars="-24"/>
              <w:rPr>
                <w:rFonts w:hint="eastAsia" w:ascii="宋体" w:hAnsi="宋体" w:eastAsia="宋体" w:cs="宋体"/>
                <w:b/>
                <w:bCs/>
                <w:color w:val="FF0000"/>
                <w:sz w:val="21"/>
                <w:szCs w:val="21"/>
              </w:rPr>
            </w:pPr>
          </w:p>
        </w:tc>
        <w:tc>
          <w:tcPr>
            <w:tcW w:w="736" w:type="dxa"/>
            <w:noWrap w:val="0"/>
            <w:vAlign w:val="center"/>
          </w:tcPr>
          <w:p w14:paraId="3605F064">
            <w:pPr>
              <w:widowControl/>
              <w:spacing w:line="500" w:lineRule="exact"/>
              <w:ind w:right="-50" w:rightChars="-24"/>
              <w:rPr>
                <w:rFonts w:hint="eastAsia" w:ascii="宋体" w:hAnsi="宋体" w:eastAsia="宋体" w:cs="宋体"/>
                <w:b/>
                <w:bCs/>
                <w:color w:val="FF0000"/>
                <w:sz w:val="21"/>
                <w:szCs w:val="21"/>
              </w:rPr>
            </w:pPr>
          </w:p>
        </w:tc>
      </w:tr>
      <w:tr w14:paraId="5480A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56F4BA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D17510E">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1D381AED">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4.5.8</w:t>
            </w:r>
          </w:p>
        </w:tc>
        <w:tc>
          <w:tcPr>
            <w:tcW w:w="2501" w:type="dxa"/>
            <w:noWrap w:val="0"/>
            <w:vAlign w:val="center"/>
          </w:tcPr>
          <w:p w14:paraId="19B81EC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应提供后装与光子计划的剂量叠加评估功能</w:t>
            </w:r>
          </w:p>
        </w:tc>
        <w:tc>
          <w:tcPr>
            <w:tcW w:w="2117" w:type="dxa"/>
            <w:noWrap w:val="0"/>
            <w:vAlign w:val="center"/>
          </w:tcPr>
          <w:p w14:paraId="081E5CF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D232F9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9C5CD5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F961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2513AF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11AA1F5">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2D8F29B">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4.5.9</w:t>
            </w:r>
          </w:p>
        </w:tc>
        <w:tc>
          <w:tcPr>
            <w:tcW w:w="2501" w:type="dxa"/>
            <w:noWrap w:val="0"/>
            <w:vAlign w:val="center"/>
          </w:tcPr>
          <w:p w14:paraId="2BCF8B2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应支持对单一计划进行评估功能；</w:t>
            </w:r>
          </w:p>
        </w:tc>
        <w:tc>
          <w:tcPr>
            <w:tcW w:w="2117" w:type="dxa"/>
            <w:noWrap w:val="0"/>
            <w:vAlign w:val="center"/>
          </w:tcPr>
          <w:p w14:paraId="06E943F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13A3A0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F6F45A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9C0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6E99E4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40BD8E60">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CEA6DFC">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4.5.10</w:t>
            </w:r>
          </w:p>
        </w:tc>
        <w:tc>
          <w:tcPr>
            <w:tcW w:w="2501" w:type="dxa"/>
            <w:noWrap w:val="0"/>
            <w:vAlign w:val="center"/>
          </w:tcPr>
          <w:p w14:paraId="7D4BEB68">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应提供对2个计划同时进行比较和评估功能；</w:t>
            </w:r>
          </w:p>
        </w:tc>
        <w:tc>
          <w:tcPr>
            <w:tcW w:w="2117" w:type="dxa"/>
            <w:noWrap w:val="0"/>
            <w:vAlign w:val="center"/>
          </w:tcPr>
          <w:p w14:paraId="60FF643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80A8D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F3B6E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6DE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ECE9748">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697043B3">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40C54725">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4.5.11</w:t>
            </w:r>
          </w:p>
        </w:tc>
        <w:tc>
          <w:tcPr>
            <w:tcW w:w="2501" w:type="dxa"/>
            <w:noWrap w:val="0"/>
            <w:vAlign w:val="center"/>
          </w:tcPr>
          <w:p w14:paraId="09040AF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应提供在同一张图表中可同时显示两组DVH功能；</w:t>
            </w:r>
          </w:p>
        </w:tc>
        <w:tc>
          <w:tcPr>
            <w:tcW w:w="2117" w:type="dxa"/>
            <w:noWrap w:val="0"/>
            <w:vAlign w:val="center"/>
          </w:tcPr>
          <w:p w14:paraId="25B853D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0FB5A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3050B7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67E1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49B71A9">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14B74E11">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3278A0CA">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4.5.12</w:t>
            </w:r>
          </w:p>
        </w:tc>
        <w:tc>
          <w:tcPr>
            <w:tcW w:w="2501" w:type="dxa"/>
            <w:noWrap w:val="0"/>
            <w:vAlign w:val="center"/>
          </w:tcPr>
          <w:p w14:paraId="48EDCAEE">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应提供获取DVH线上任意一点的坐标功能；</w:t>
            </w:r>
          </w:p>
        </w:tc>
        <w:tc>
          <w:tcPr>
            <w:tcW w:w="2117" w:type="dxa"/>
            <w:noWrap w:val="0"/>
            <w:vAlign w:val="center"/>
          </w:tcPr>
          <w:p w14:paraId="69053B8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3FB2FE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CD21F7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060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2770B0D">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698" w:type="dxa"/>
            <w:vMerge w:val="continue"/>
            <w:noWrap w:val="0"/>
            <w:vAlign w:val="center"/>
          </w:tcPr>
          <w:p w14:paraId="351DF497">
            <w:pPr>
              <w:widowControl/>
              <w:numPr>
                <w:ilvl w:val="0"/>
                <w:numId w:val="0"/>
              </w:numPr>
              <w:spacing w:after="0" w:line="500" w:lineRule="exact"/>
              <w:ind w:firstLine="420" w:firstLineChars="200"/>
              <w:jc w:val="center"/>
              <w:rPr>
                <w:rFonts w:hint="eastAsia" w:ascii="宋体" w:hAnsi="宋体" w:eastAsia="宋体" w:cs="宋体"/>
                <w:color w:val="auto"/>
                <w:kern w:val="2"/>
                <w:sz w:val="21"/>
                <w:szCs w:val="21"/>
                <w:lang w:val="en-US" w:eastAsia="zh-CN" w:bidi="ar-SA"/>
              </w:rPr>
            </w:pPr>
          </w:p>
        </w:tc>
        <w:tc>
          <w:tcPr>
            <w:tcW w:w="1351" w:type="dxa"/>
            <w:noWrap w:val="0"/>
            <w:vAlign w:val="center"/>
          </w:tcPr>
          <w:p w14:paraId="72172CE7">
            <w:pPr>
              <w:widowControl/>
              <w:numPr>
                <w:ilvl w:val="0"/>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4.5.13</w:t>
            </w:r>
          </w:p>
        </w:tc>
        <w:tc>
          <w:tcPr>
            <w:tcW w:w="2501" w:type="dxa"/>
            <w:noWrap w:val="0"/>
            <w:vAlign w:val="center"/>
          </w:tcPr>
          <w:p w14:paraId="5A4DD6AD">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应提供等剂量线和剂量云等方式可视化剂量分布功能</w:t>
            </w:r>
          </w:p>
        </w:tc>
        <w:tc>
          <w:tcPr>
            <w:tcW w:w="2117" w:type="dxa"/>
            <w:noWrap w:val="0"/>
            <w:vAlign w:val="center"/>
          </w:tcPr>
          <w:p w14:paraId="18EE2B2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FDA26B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2F3AA7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CE14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C51AC4B">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016E30F7">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1BEFABE8">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w:t>
            </w:r>
          </w:p>
        </w:tc>
        <w:tc>
          <w:tcPr>
            <w:tcW w:w="2501" w:type="dxa"/>
            <w:noWrap w:val="0"/>
            <w:vAlign w:val="center"/>
          </w:tcPr>
          <w:p w14:paraId="41D5A74C">
            <w:pPr>
              <w:widowControl/>
              <w:spacing w:line="500" w:lineRule="exact"/>
              <w:rPr>
                <w:rFonts w:hint="eastAsia" w:ascii="宋体" w:hAnsi="宋体" w:eastAsia="宋体" w:cs="宋体"/>
                <w:sz w:val="21"/>
                <w:szCs w:val="21"/>
              </w:rPr>
            </w:pPr>
            <w:r>
              <w:rPr>
                <w:rFonts w:hint="eastAsia" w:ascii="宋体" w:hAnsi="宋体" w:eastAsia="宋体" w:cs="宋体"/>
                <w:b/>
                <w:bCs/>
                <w:sz w:val="21"/>
                <w:szCs w:val="21"/>
              </w:rPr>
              <w:t>自动计划</w:t>
            </w:r>
          </w:p>
        </w:tc>
        <w:tc>
          <w:tcPr>
            <w:tcW w:w="2117" w:type="dxa"/>
            <w:noWrap w:val="0"/>
            <w:vAlign w:val="center"/>
          </w:tcPr>
          <w:p w14:paraId="09391690">
            <w:pPr>
              <w:widowControl/>
              <w:spacing w:line="500" w:lineRule="exact"/>
              <w:rPr>
                <w:rFonts w:hint="eastAsia" w:ascii="宋体" w:hAnsi="宋体" w:eastAsia="宋体" w:cs="宋体"/>
                <w:b/>
                <w:bCs/>
                <w:sz w:val="21"/>
                <w:szCs w:val="21"/>
              </w:rPr>
            </w:pPr>
          </w:p>
        </w:tc>
        <w:tc>
          <w:tcPr>
            <w:tcW w:w="736" w:type="dxa"/>
            <w:noWrap w:val="0"/>
            <w:vAlign w:val="center"/>
          </w:tcPr>
          <w:p w14:paraId="7F1A9E28">
            <w:pPr>
              <w:widowControl/>
              <w:spacing w:line="500" w:lineRule="exact"/>
              <w:rPr>
                <w:rFonts w:hint="eastAsia" w:ascii="宋体" w:hAnsi="宋体" w:eastAsia="宋体" w:cs="宋体"/>
                <w:b/>
                <w:bCs/>
                <w:sz w:val="21"/>
                <w:szCs w:val="21"/>
              </w:rPr>
            </w:pPr>
          </w:p>
        </w:tc>
        <w:tc>
          <w:tcPr>
            <w:tcW w:w="736" w:type="dxa"/>
            <w:noWrap w:val="0"/>
            <w:vAlign w:val="center"/>
          </w:tcPr>
          <w:p w14:paraId="714CDC03">
            <w:pPr>
              <w:widowControl/>
              <w:spacing w:line="500" w:lineRule="exact"/>
              <w:rPr>
                <w:rFonts w:hint="eastAsia" w:ascii="宋体" w:hAnsi="宋体" w:eastAsia="宋体" w:cs="宋体"/>
                <w:b/>
                <w:bCs/>
                <w:sz w:val="21"/>
                <w:szCs w:val="21"/>
              </w:rPr>
            </w:pPr>
          </w:p>
        </w:tc>
      </w:tr>
      <w:tr w14:paraId="458F6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9C398F9">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03BED1F1">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619FBEF4">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4.6.1</w:t>
            </w:r>
          </w:p>
        </w:tc>
        <w:tc>
          <w:tcPr>
            <w:tcW w:w="2501" w:type="dxa"/>
            <w:noWrap w:val="0"/>
            <w:vAlign w:val="center"/>
          </w:tcPr>
          <w:p w14:paraId="0C4D1794">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▲应提供自动放疗计划设计，预置DVH预测模型，通过DVH预测自动生成相关优化目标 ，支持在DVH预估模型中定义多靶区剂量水平，支持多中心光子自动计划模型，支持模型的训练、分析和验证功能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1889E68A">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714C284C">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4CB69512">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09EF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D308F30">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6C3BAF5D">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39B226FA">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4.6.2</w:t>
            </w:r>
          </w:p>
        </w:tc>
        <w:tc>
          <w:tcPr>
            <w:tcW w:w="2501" w:type="dxa"/>
            <w:noWrap w:val="0"/>
            <w:vAlign w:val="center"/>
          </w:tcPr>
          <w:p w14:paraId="6C214FEA">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提供创建新的DVH预测模型功能</w:t>
            </w:r>
          </w:p>
        </w:tc>
        <w:tc>
          <w:tcPr>
            <w:tcW w:w="2117" w:type="dxa"/>
            <w:noWrap w:val="0"/>
            <w:vAlign w:val="center"/>
          </w:tcPr>
          <w:p w14:paraId="62CED56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ECFE55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9C6FCC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9C5E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5184453A">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290C782A">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337B2889">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4.6.3</w:t>
            </w:r>
          </w:p>
        </w:tc>
        <w:tc>
          <w:tcPr>
            <w:tcW w:w="2501" w:type="dxa"/>
            <w:noWrap w:val="0"/>
            <w:vAlign w:val="center"/>
          </w:tcPr>
          <w:p w14:paraId="51B1BF71">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提供模型导入、导出功能</w:t>
            </w:r>
          </w:p>
        </w:tc>
        <w:tc>
          <w:tcPr>
            <w:tcW w:w="2117" w:type="dxa"/>
            <w:noWrap w:val="0"/>
            <w:vAlign w:val="center"/>
          </w:tcPr>
          <w:p w14:paraId="34FB6A6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7BB979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E3C46C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2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6FCF576">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3F24BE82">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1CB15EF6">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4.6.4</w:t>
            </w:r>
          </w:p>
        </w:tc>
        <w:tc>
          <w:tcPr>
            <w:tcW w:w="2501" w:type="dxa"/>
            <w:noWrap w:val="0"/>
            <w:vAlign w:val="center"/>
          </w:tcPr>
          <w:p w14:paraId="73DC19D0">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提供支持使用DVH Printout类型专业工具将DVH预估值与最终的DVH结果一起打印出来功能</w:t>
            </w:r>
          </w:p>
        </w:tc>
        <w:tc>
          <w:tcPr>
            <w:tcW w:w="2117" w:type="dxa"/>
            <w:noWrap w:val="0"/>
            <w:vAlign w:val="center"/>
          </w:tcPr>
          <w:p w14:paraId="6EE18A5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152F72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B31E6A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455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5A4C4EC">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5F507AAF">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60CBED7A">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w:t>
            </w:r>
          </w:p>
        </w:tc>
        <w:tc>
          <w:tcPr>
            <w:tcW w:w="2501" w:type="dxa"/>
            <w:noWrap w:val="0"/>
            <w:vAlign w:val="center"/>
          </w:tcPr>
          <w:p w14:paraId="6E3A08D5">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应用程序接口（API）</w:t>
            </w:r>
          </w:p>
        </w:tc>
        <w:tc>
          <w:tcPr>
            <w:tcW w:w="2117" w:type="dxa"/>
            <w:noWrap w:val="0"/>
            <w:vAlign w:val="center"/>
          </w:tcPr>
          <w:p w14:paraId="0CF4D8BE">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0BD201B9">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c>
          <w:tcPr>
            <w:tcW w:w="736" w:type="dxa"/>
            <w:noWrap w:val="0"/>
            <w:vAlign w:val="center"/>
          </w:tcPr>
          <w:p w14:paraId="62BBC47B">
            <w:pPr>
              <w:keepNext/>
              <w:keepLines/>
              <w:widowControl/>
              <w:spacing w:before="40" w:after="0" w:line="500" w:lineRule="exact"/>
              <w:jc w:val="both"/>
              <w:outlineLvl w:val="1"/>
              <w:rPr>
                <w:rFonts w:hint="eastAsia" w:ascii="宋体" w:hAnsi="宋体" w:eastAsia="宋体" w:cs="宋体"/>
                <w:b/>
                <w:kern w:val="2"/>
                <w:sz w:val="21"/>
                <w:szCs w:val="21"/>
                <w:lang w:val="en-US" w:eastAsia="zh-CN" w:bidi="ar-SA"/>
              </w:rPr>
            </w:pPr>
          </w:p>
        </w:tc>
      </w:tr>
      <w:tr w14:paraId="23AF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0C680CB9">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0E6CA5F9">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27787ABE">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4.7.1</w:t>
            </w:r>
          </w:p>
        </w:tc>
        <w:tc>
          <w:tcPr>
            <w:tcW w:w="2501" w:type="dxa"/>
            <w:noWrap w:val="0"/>
            <w:vAlign w:val="center"/>
          </w:tcPr>
          <w:p w14:paraId="4A47CB44">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应提供官方API程序编写文档</w:t>
            </w:r>
          </w:p>
        </w:tc>
        <w:tc>
          <w:tcPr>
            <w:tcW w:w="2117" w:type="dxa"/>
            <w:noWrap w:val="0"/>
            <w:vAlign w:val="center"/>
          </w:tcPr>
          <w:p w14:paraId="38579C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2F88D3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D90DA3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40DC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6773334">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5E913B3A">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3196869B">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4.7.2</w:t>
            </w:r>
          </w:p>
        </w:tc>
        <w:tc>
          <w:tcPr>
            <w:tcW w:w="2501" w:type="dxa"/>
            <w:noWrap w:val="0"/>
            <w:vAlign w:val="center"/>
          </w:tcPr>
          <w:p w14:paraId="12C19D02">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应用程序接口应支持计划、DVH、剂量、结构和图像数据的访问</w:t>
            </w:r>
          </w:p>
        </w:tc>
        <w:tc>
          <w:tcPr>
            <w:tcW w:w="2117" w:type="dxa"/>
            <w:noWrap w:val="0"/>
            <w:vAlign w:val="center"/>
          </w:tcPr>
          <w:p w14:paraId="4DFB841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354FAA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D108CD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A658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7471B88">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3D977168">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73507EA0">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4.7.3</w:t>
            </w:r>
          </w:p>
        </w:tc>
        <w:tc>
          <w:tcPr>
            <w:tcW w:w="2501" w:type="dxa"/>
            <w:noWrap w:val="0"/>
            <w:vAlign w:val="center"/>
          </w:tcPr>
          <w:p w14:paraId="2457C72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应提供优化目标、参数和通量数据的访问功能</w:t>
            </w:r>
          </w:p>
        </w:tc>
        <w:tc>
          <w:tcPr>
            <w:tcW w:w="2117" w:type="dxa"/>
            <w:noWrap w:val="0"/>
            <w:vAlign w:val="center"/>
          </w:tcPr>
          <w:p w14:paraId="212786E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7C844B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5261146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51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6524211A">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698" w:type="dxa"/>
            <w:vMerge w:val="continue"/>
            <w:noWrap w:val="0"/>
            <w:vAlign w:val="center"/>
          </w:tcPr>
          <w:p w14:paraId="52F4FF60">
            <w:pPr>
              <w:widowControl/>
              <w:numPr>
                <w:ilvl w:val="2"/>
                <w:numId w:val="0"/>
              </w:numPr>
              <w:spacing w:after="0" w:line="500" w:lineRule="exact"/>
              <w:ind w:firstLine="420" w:firstLineChars="200"/>
              <w:jc w:val="center"/>
              <w:rPr>
                <w:rFonts w:hint="eastAsia" w:ascii="宋体" w:hAnsi="宋体" w:eastAsia="宋体" w:cs="宋体"/>
                <w:kern w:val="2"/>
                <w:sz w:val="21"/>
                <w:szCs w:val="21"/>
                <w:lang w:val="en-US" w:eastAsia="zh-CN" w:bidi="ar-SA"/>
              </w:rPr>
            </w:pPr>
          </w:p>
        </w:tc>
        <w:tc>
          <w:tcPr>
            <w:tcW w:w="1351" w:type="dxa"/>
            <w:noWrap w:val="0"/>
            <w:vAlign w:val="center"/>
          </w:tcPr>
          <w:p w14:paraId="08FB4BD2">
            <w:pPr>
              <w:widowControl/>
              <w:numPr>
                <w:ilvl w:val="2"/>
                <w:numId w:val="0"/>
              </w:numPr>
              <w:spacing w:after="0" w:line="500" w:lineRule="exact"/>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4.7.4</w:t>
            </w:r>
          </w:p>
        </w:tc>
        <w:tc>
          <w:tcPr>
            <w:tcW w:w="2501" w:type="dxa"/>
            <w:noWrap w:val="0"/>
            <w:vAlign w:val="center"/>
          </w:tcPr>
          <w:p w14:paraId="7294BA35">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应提供射野、附件参数的数据访问功能</w:t>
            </w:r>
          </w:p>
        </w:tc>
        <w:tc>
          <w:tcPr>
            <w:tcW w:w="2117" w:type="dxa"/>
            <w:noWrap w:val="0"/>
            <w:vAlign w:val="center"/>
          </w:tcPr>
          <w:p w14:paraId="0BA7531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DD10B6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1AB3A7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EC2F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13C16D92">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3C10FB44">
            <w:pPr>
              <w:widowControl/>
              <w:spacing w:line="500" w:lineRule="exact"/>
              <w:jc w:val="center"/>
              <w:rPr>
                <w:rFonts w:hint="eastAsia" w:ascii="宋体" w:hAnsi="宋体" w:eastAsia="宋体" w:cs="宋体"/>
                <w:sz w:val="21"/>
                <w:szCs w:val="21"/>
              </w:rPr>
            </w:pPr>
          </w:p>
        </w:tc>
        <w:tc>
          <w:tcPr>
            <w:tcW w:w="1351" w:type="dxa"/>
            <w:noWrap w:val="0"/>
            <w:vAlign w:val="center"/>
          </w:tcPr>
          <w:p w14:paraId="4DA40399">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4.7.5▲</w:t>
            </w:r>
          </w:p>
        </w:tc>
        <w:tc>
          <w:tcPr>
            <w:tcW w:w="2501" w:type="dxa"/>
            <w:noWrap w:val="0"/>
            <w:vAlign w:val="center"/>
          </w:tcPr>
          <w:p w14:paraId="0B4D715E">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应提供可视化编程功能</w:t>
            </w:r>
            <w:r>
              <w:rPr>
                <w:rFonts w:hint="eastAsia" w:ascii="宋体" w:hAnsi="宋体" w:cs="宋体"/>
                <w:b/>
                <w:bCs/>
                <w:i w:val="0"/>
                <w:iCs w:val="0"/>
                <w:color w:val="FF0000"/>
                <w:kern w:val="0"/>
                <w:sz w:val="21"/>
                <w:szCs w:val="21"/>
                <w:u w:val="none"/>
                <w:lang w:val="en-US" w:eastAsia="zh-CN" w:bidi="ar"/>
              </w:rPr>
              <w:t>（投标时提供能体现该技术参数要求且清晰可辨的技术白皮书或产品技术说明或产品彩页扫描件）</w:t>
            </w:r>
          </w:p>
        </w:tc>
        <w:tc>
          <w:tcPr>
            <w:tcW w:w="2117" w:type="dxa"/>
            <w:noWrap w:val="0"/>
            <w:vAlign w:val="center"/>
          </w:tcPr>
          <w:p w14:paraId="0D860554">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506858ED">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31723388">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69827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F63E257">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63FB740C">
            <w:pPr>
              <w:widowControl/>
              <w:spacing w:line="500" w:lineRule="exact"/>
              <w:jc w:val="center"/>
              <w:rPr>
                <w:rFonts w:hint="eastAsia" w:ascii="宋体" w:hAnsi="宋体" w:eastAsia="宋体" w:cs="宋体"/>
                <w:sz w:val="21"/>
                <w:szCs w:val="21"/>
              </w:rPr>
            </w:pPr>
          </w:p>
        </w:tc>
        <w:tc>
          <w:tcPr>
            <w:tcW w:w="1351" w:type="dxa"/>
            <w:noWrap w:val="0"/>
            <w:vAlign w:val="center"/>
          </w:tcPr>
          <w:p w14:paraId="58FD77FB">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4.7.6</w:t>
            </w:r>
          </w:p>
        </w:tc>
        <w:tc>
          <w:tcPr>
            <w:tcW w:w="2501" w:type="dxa"/>
            <w:noWrap w:val="0"/>
            <w:vAlign w:val="center"/>
          </w:tcPr>
          <w:p w14:paraId="179092A9">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应提供整个计划设计的自动化功能</w:t>
            </w:r>
          </w:p>
        </w:tc>
        <w:tc>
          <w:tcPr>
            <w:tcW w:w="2117" w:type="dxa"/>
            <w:noWrap w:val="0"/>
            <w:vAlign w:val="center"/>
          </w:tcPr>
          <w:p w14:paraId="0DF05EC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5DED79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186F0EA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639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27BCF990">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22346C9C">
            <w:pPr>
              <w:widowControl/>
              <w:spacing w:line="500" w:lineRule="exact"/>
              <w:jc w:val="center"/>
              <w:rPr>
                <w:rFonts w:hint="eastAsia" w:ascii="宋体" w:hAnsi="宋体" w:eastAsia="宋体" w:cs="宋体"/>
                <w:sz w:val="21"/>
                <w:szCs w:val="21"/>
              </w:rPr>
            </w:pPr>
          </w:p>
        </w:tc>
        <w:tc>
          <w:tcPr>
            <w:tcW w:w="1351" w:type="dxa"/>
            <w:noWrap w:val="0"/>
            <w:vAlign w:val="center"/>
          </w:tcPr>
          <w:p w14:paraId="53E31631">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4.7.7</w:t>
            </w:r>
          </w:p>
        </w:tc>
        <w:tc>
          <w:tcPr>
            <w:tcW w:w="2501" w:type="dxa"/>
            <w:noWrap w:val="0"/>
            <w:vAlign w:val="center"/>
          </w:tcPr>
          <w:p w14:paraId="72765575">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API应提供辅助结构处理程序</w:t>
            </w:r>
          </w:p>
        </w:tc>
        <w:tc>
          <w:tcPr>
            <w:tcW w:w="2117" w:type="dxa"/>
            <w:noWrap w:val="0"/>
            <w:vAlign w:val="center"/>
          </w:tcPr>
          <w:p w14:paraId="421D2AD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208797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DC429F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C7FE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37BCA425">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253D9E6A">
            <w:pPr>
              <w:widowControl/>
              <w:spacing w:line="500" w:lineRule="exact"/>
              <w:jc w:val="center"/>
              <w:rPr>
                <w:rFonts w:hint="eastAsia" w:ascii="宋体" w:hAnsi="宋体" w:eastAsia="宋体" w:cs="宋体"/>
                <w:sz w:val="21"/>
                <w:szCs w:val="21"/>
              </w:rPr>
            </w:pPr>
          </w:p>
        </w:tc>
        <w:tc>
          <w:tcPr>
            <w:tcW w:w="1351" w:type="dxa"/>
            <w:noWrap w:val="0"/>
            <w:vAlign w:val="center"/>
          </w:tcPr>
          <w:p w14:paraId="39B76F62">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4.7.8</w:t>
            </w:r>
          </w:p>
        </w:tc>
        <w:tc>
          <w:tcPr>
            <w:tcW w:w="2501" w:type="dxa"/>
            <w:noWrap w:val="0"/>
            <w:vAlign w:val="center"/>
          </w:tcPr>
          <w:p w14:paraId="75E61AFB">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API应提供自动评估程序</w:t>
            </w:r>
          </w:p>
        </w:tc>
        <w:tc>
          <w:tcPr>
            <w:tcW w:w="2117" w:type="dxa"/>
            <w:noWrap w:val="0"/>
            <w:vAlign w:val="center"/>
          </w:tcPr>
          <w:p w14:paraId="7DB9398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709836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5AC8AD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FED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82AAAF8">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0F85E05F">
            <w:pPr>
              <w:widowControl/>
              <w:spacing w:line="500" w:lineRule="exact"/>
              <w:jc w:val="center"/>
              <w:rPr>
                <w:rFonts w:hint="eastAsia" w:ascii="宋体" w:hAnsi="宋体" w:eastAsia="宋体" w:cs="宋体"/>
                <w:sz w:val="21"/>
                <w:szCs w:val="21"/>
              </w:rPr>
            </w:pPr>
          </w:p>
        </w:tc>
        <w:tc>
          <w:tcPr>
            <w:tcW w:w="1351" w:type="dxa"/>
            <w:noWrap w:val="0"/>
            <w:vAlign w:val="center"/>
          </w:tcPr>
          <w:p w14:paraId="4D6CBD93">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4.7.9</w:t>
            </w:r>
          </w:p>
        </w:tc>
        <w:tc>
          <w:tcPr>
            <w:tcW w:w="2501" w:type="dxa"/>
            <w:noWrap w:val="0"/>
            <w:vAlign w:val="center"/>
          </w:tcPr>
          <w:p w14:paraId="384BFEDC">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API应提供靶区空间分割处理程序</w:t>
            </w:r>
          </w:p>
        </w:tc>
        <w:tc>
          <w:tcPr>
            <w:tcW w:w="2117" w:type="dxa"/>
            <w:noWrap w:val="0"/>
            <w:vAlign w:val="center"/>
          </w:tcPr>
          <w:p w14:paraId="1E61C41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507F3A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4B161DB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3E8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45F259C3">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49340DFD">
            <w:pPr>
              <w:widowControl/>
              <w:spacing w:line="500" w:lineRule="exact"/>
              <w:jc w:val="center"/>
              <w:rPr>
                <w:rFonts w:hint="eastAsia" w:ascii="宋体" w:hAnsi="宋体" w:eastAsia="宋体" w:cs="宋体"/>
                <w:sz w:val="21"/>
                <w:szCs w:val="21"/>
              </w:rPr>
            </w:pPr>
          </w:p>
        </w:tc>
        <w:tc>
          <w:tcPr>
            <w:tcW w:w="1351" w:type="dxa"/>
            <w:noWrap w:val="0"/>
            <w:vAlign w:val="center"/>
          </w:tcPr>
          <w:p w14:paraId="07D44085">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4.7.10</w:t>
            </w:r>
          </w:p>
        </w:tc>
        <w:tc>
          <w:tcPr>
            <w:tcW w:w="2501" w:type="dxa"/>
            <w:noWrap w:val="0"/>
            <w:vAlign w:val="center"/>
          </w:tcPr>
          <w:p w14:paraId="33629597">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API应提供C形加速器碰撞预测能力程序</w:t>
            </w:r>
          </w:p>
        </w:tc>
        <w:tc>
          <w:tcPr>
            <w:tcW w:w="2117" w:type="dxa"/>
            <w:noWrap w:val="0"/>
            <w:vAlign w:val="center"/>
          </w:tcPr>
          <w:p w14:paraId="2CE5669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39440C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0140F7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464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38" w:type="dxa"/>
            <w:vMerge w:val="continue"/>
            <w:noWrap w:val="0"/>
            <w:vAlign w:val="center"/>
          </w:tcPr>
          <w:p w14:paraId="6D59FDB2">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20892D41">
            <w:pPr>
              <w:widowControl/>
              <w:spacing w:line="500" w:lineRule="exact"/>
              <w:jc w:val="center"/>
              <w:rPr>
                <w:rFonts w:hint="eastAsia" w:ascii="宋体" w:hAnsi="宋体" w:eastAsia="宋体" w:cs="宋体"/>
                <w:sz w:val="21"/>
                <w:szCs w:val="21"/>
              </w:rPr>
            </w:pPr>
          </w:p>
        </w:tc>
        <w:tc>
          <w:tcPr>
            <w:tcW w:w="1351" w:type="dxa"/>
            <w:noWrap w:val="0"/>
            <w:vAlign w:val="center"/>
          </w:tcPr>
          <w:p w14:paraId="437DE05C">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4.7.11</w:t>
            </w:r>
          </w:p>
        </w:tc>
        <w:tc>
          <w:tcPr>
            <w:tcW w:w="2501" w:type="dxa"/>
            <w:noWrap w:val="0"/>
            <w:vAlign w:val="center"/>
          </w:tcPr>
          <w:p w14:paraId="3E2C0617">
            <w:pPr>
              <w:widowControl/>
              <w:tabs>
                <w:tab w:val="left" w:pos="6720"/>
              </w:tabs>
              <w:spacing w:line="500" w:lineRule="exact"/>
              <w:ind w:right="-50" w:rightChars="-24"/>
              <w:rPr>
                <w:rFonts w:hint="eastAsia" w:ascii="宋体" w:hAnsi="宋体" w:eastAsia="宋体" w:cs="宋体"/>
                <w:sz w:val="21"/>
                <w:szCs w:val="21"/>
              </w:rPr>
            </w:pPr>
            <w:r>
              <w:rPr>
                <w:rFonts w:hint="eastAsia" w:ascii="宋体" w:hAnsi="宋体" w:eastAsia="宋体" w:cs="宋体"/>
                <w:sz w:val="21"/>
                <w:szCs w:val="21"/>
              </w:rPr>
              <w:t>支持</w:t>
            </w:r>
            <w:r>
              <w:rPr>
                <w:rFonts w:hint="eastAsia" w:ascii="宋体" w:hAnsi="宋体" w:cs="宋体"/>
                <w:sz w:val="21"/>
                <w:szCs w:val="21"/>
                <w:lang w:val="en-US" w:eastAsia="zh-CN"/>
              </w:rPr>
              <w:t>并可灵活添加</w:t>
            </w:r>
            <w:r>
              <w:rPr>
                <w:rFonts w:hint="eastAsia" w:ascii="宋体" w:hAnsi="宋体" w:eastAsia="宋体" w:cs="宋体"/>
                <w:sz w:val="21"/>
                <w:szCs w:val="21"/>
              </w:rPr>
              <w:t>采购人现</w:t>
            </w:r>
            <w:r>
              <w:rPr>
                <w:rFonts w:hint="eastAsia" w:ascii="宋体" w:hAnsi="宋体" w:cs="宋体"/>
                <w:sz w:val="21"/>
                <w:szCs w:val="21"/>
                <w:lang w:val="en-US" w:eastAsia="zh-CN"/>
              </w:rPr>
              <w:t>有在用</w:t>
            </w:r>
            <w:r>
              <w:rPr>
                <w:rFonts w:hint="eastAsia" w:ascii="宋体" w:hAnsi="宋体" w:eastAsia="宋体" w:cs="宋体"/>
                <w:sz w:val="21"/>
                <w:szCs w:val="21"/>
              </w:rPr>
              <w:t>品牌型号直线加速器</w:t>
            </w:r>
            <w:r>
              <w:rPr>
                <w:rFonts w:hint="eastAsia" w:ascii="宋体" w:hAnsi="宋体" w:cs="宋体"/>
                <w:sz w:val="21"/>
                <w:szCs w:val="21"/>
                <w:lang w:eastAsia="zh-CN"/>
              </w:rPr>
              <w:t>（</w:t>
            </w:r>
            <w:r>
              <w:rPr>
                <w:rFonts w:hint="eastAsia" w:ascii="宋体" w:hAnsi="宋体" w:cs="宋体"/>
                <w:sz w:val="21"/>
                <w:szCs w:val="21"/>
                <w:lang w:val="en-US" w:eastAsia="zh-CN"/>
              </w:rPr>
              <w:t>瓦里安vitalbeam及trilogy、医科达infinity、安科锐TomoH</w:t>
            </w:r>
            <w:r>
              <w:rPr>
                <w:rFonts w:hint="eastAsia" w:ascii="宋体" w:hAnsi="宋体" w:cs="宋体"/>
                <w:sz w:val="21"/>
                <w:szCs w:val="21"/>
                <w:lang w:eastAsia="zh-CN"/>
              </w:rPr>
              <w:t>）</w:t>
            </w:r>
            <w:r>
              <w:rPr>
                <w:rFonts w:hint="eastAsia" w:ascii="宋体" w:hAnsi="宋体" w:eastAsia="宋体" w:cs="宋体"/>
                <w:sz w:val="21"/>
                <w:szCs w:val="21"/>
              </w:rPr>
              <w:t>的设备参数配置与计划设计</w:t>
            </w:r>
          </w:p>
        </w:tc>
        <w:tc>
          <w:tcPr>
            <w:tcW w:w="2117" w:type="dxa"/>
            <w:noWrap w:val="0"/>
            <w:vAlign w:val="center"/>
          </w:tcPr>
          <w:p w14:paraId="272728AF">
            <w:pPr>
              <w:widowControl/>
              <w:tabs>
                <w:tab w:val="left" w:pos="6720"/>
              </w:tabs>
              <w:spacing w:line="500" w:lineRule="exact"/>
              <w:ind w:right="-50" w:rightChars="-24"/>
              <w:rPr>
                <w:rFonts w:hint="eastAsia" w:ascii="宋体" w:hAnsi="宋体" w:eastAsia="宋体" w:cs="宋体"/>
                <w:sz w:val="21"/>
                <w:szCs w:val="21"/>
              </w:rPr>
            </w:pPr>
          </w:p>
        </w:tc>
        <w:tc>
          <w:tcPr>
            <w:tcW w:w="736" w:type="dxa"/>
            <w:noWrap w:val="0"/>
            <w:vAlign w:val="center"/>
          </w:tcPr>
          <w:p w14:paraId="5C967735">
            <w:pPr>
              <w:widowControl/>
              <w:tabs>
                <w:tab w:val="left" w:pos="6720"/>
              </w:tabs>
              <w:spacing w:line="500" w:lineRule="exact"/>
              <w:ind w:right="-50" w:rightChars="-24"/>
              <w:rPr>
                <w:rFonts w:hint="eastAsia" w:ascii="宋体" w:hAnsi="宋体" w:eastAsia="宋体" w:cs="宋体"/>
                <w:sz w:val="21"/>
                <w:szCs w:val="21"/>
              </w:rPr>
            </w:pPr>
          </w:p>
        </w:tc>
        <w:tc>
          <w:tcPr>
            <w:tcW w:w="736" w:type="dxa"/>
            <w:noWrap w:val="0"/>
            <w:vAlign w:val="center"/>
          </w:tcPr>
          <w:p w14:paraId="6287EC54">
            <w:pPr>
              <w:widowControl/>
              <w:tabs>
                <w:tab w:val="left" w:pos="6720"/>
              </w:tabs>
              <w:spacing w:line="500" w:lineRule="exact"/>
              <w:ind w:right="-50" w:rightChars="-24"/>
              <w:rPr>
                <w:rFonts w:hint="eastAsia" w:ascii="宋体" w:hAnsi="宋体" w:eastAsia="宋体" w:cs="宋体"/>
                <w:sz w:val="21"/>
                <w:szCs w:val="21"/>
              </w:rPr>
            </w:pPr>
          </w:p>
        </w:tc>
      </w:tr>
      <w:tr w14:paraId="5A66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8" w:type="dxa"/>
            <w:vMerge w:val="continue"/>
            <w:noWrap w:val="0"/>
            <w:vAlign w:val="center"/>
          </w:tcPr>
          <w:p w14:paraId="72B3A5AF">
            <w:pPr>
              <w:widowControl/>
              <w:spacing w:line="500" w:lineRule="exact"/>
              <w:jc w:val="center"/>
              <w:rPr>
                <w:rFonts w:hint="eastAsia" w:ascii="宋体" w:hAnsi="宋体" w:eastAsia="宋体" w:cs="宋体"/>
                <w:sz w:val="21"/>
                <w:szCs w:val="21"/>
              </w:rPr>
            </w:pPr>
          </w:p>
        </w:tc>
        <w:tc>
          <w:tcPr>
            <w:tcW w:w="698" w:type="dxa"/>
            <w:vMerge w:val="continue"/>
            <w:noWrap w:val="0"/>
            <w:vAlign w:val="center"/>
          </w:tcPr>
          <w:p w14:paraId="55A5C4D3">
            <w:pPr>
              <w:widowControl/>
              <w:spacing w:line="500" w:lineRule="exact"/>
              <w:jc w:val="center"/>
              <w:rPr>
                <w:rFonts w:hint="eastAsia" w:ascii="宋体" w:hAnsi="宋体" w:eastAsia="宋体" w:cs="宋体"/>
                <w:sz w:val="21"/>
                <w:szCs w:val="21"/>
              </w:rPr>
            </w:pPr>
          </w:p>
        </w:tc>
        <w:tc>
          <w:tcPr>
            <w:tcW w:w="1351" w:type="dxa"/>
            <w:noWrap w:val="0"/>
            <w:vAlign w:val="center"/>
          </w:tcPr>
          <w:p w14:paraId="41BB283F">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4.7.12</w:t>
            </w:r>
          </w:p>
        </w:tc>
        <w:tc>
          <w:tcPr>
            <w:tcW w:w="2501" w:type="dxa"/>
            <w:noWrap w:val="0"/>
            <w:vAlign w:val="center"/>
          </w:tcPr>
          <w:p w14:paraId="7065015A">
            <w:pPr>
              <w:widowControl/>
              <w:spacing w:line="500" w:lineRule="exact"/>
              <w:rPr>
                <w:rFonts w:hint="eastAsia" w:ascii="宋体" w:hAnsi="宋体" w:eastAsia="宋体" w:cs="宋体"/>
                <w:sz w:val="21"/>
                <w:szCs w:val="21"/>
              </w:rPr>
            </w:pPr>
            <w:r>
              <w:rPr>
                <w:rFonts w:hint="eastAsia" w:ascii="宋体" w:hAnsi="宋体" w:eastAsia="宋体" w:cs="宋体"/>
                <w:sz w:val="21"/>
                <w:szCs w:val="21"/>
                <w:lang w:eastAsia="zh-CN"/>
              </w:rPr>
              <w:t>提供DVH Metrics元素与PlanSum计划叠加合作使用</w:t>
            </w:r>
          </w:p>
        </w:tc>
        <w:tc>
          <w:tcPr>
            <w:tcW w:w="2117" w:type="dxa"/>
            <w:noWrap w:val="0"/>
            <w:vAlign w:val="center"/>
          </w:tcPr>
          <w:p w14:paraId="6A2391A2">
            <w:pPr>
              <w:widowControl/>
              <w:spacing w:line="500" w:lineRule="exact"/>
              <w:rPr>
                <w:rFonts w:hint="eastAsia" w:ascii="宋体" w:hAnsi="宋体" w:eastAsia="宋体" w:cs="宋体"/>
                <w:sz w:val="21"/>
                <w:szCs w:val="21"/>
                <w:lang w:eastAsia="zh-CN"/>
              </w:rPr>
            </w:pPr>
          </w:p>
        </w:tc>
        <w:tc>
          <w:tcPr>
            <w:tcW w:w="736" w:type="dxa"/>
            <w:noWrap w:val="0"/>
            <w:vAlign w:val="center"/>
          </w:tcPr>
          <w:p w14:paraId="29DFFE77">
            <w:pPr>
              <w:widowControl/>
              <w:spacing w:line="500" w:lineRule="exact"/>
              <w:rPr>
                <w:rFonts w:hint="eastAsia" w:ascii="宋体" w:hAnsi="宋体" w:eastAsia="宋体" w:cs="宋体"/>
                <w:sz w:val="21"/>
                <w:szCs w:val="21"/>
                <w:lang w:eastAsia="zh-CN"/>
              </w:rPr>
            </w:pPr>
          </w:p>
        </w:tc>
        <w:tc>
          <w:tcPr>
            <w:tcW w:w="736" w:type="dxa"/>
            <w:noWrap w:val="0"/>
            <w:vAlign w:val="center"/>
          </w:tcPr>
          <w:p w14:paraId="63997B4B">
            <w:pPr>
              <w:widowControl/>
              <w:spacing w:line="500" w:lineRule="exact"/>
              <w:rPr>
                <w:rFonts w:hint="eastAsia" w:ascii="宋体" w:hAnsi="宋体" w:eastAsia="宋体" w:cs="宋体"/>
                <w:sz w:val="21"/>
                <w:szCs w:val="21"/>
                <w:lang w:eastAsia="zh-CN"/>
              </w:rPr>
            </w:pPr>
          </w:p>
        </w:tc>
      </w:tr>
      <w:tr w14:paraId="57413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6ABEB1A2">
            <w:pPr>
              <w:widowControl/>
              <w:spacing w:line="500" w:lineRule="exact"/>
              <w:jc w:val="center"/>
              <w:rPr>
                <w:rFonts w:hint="eastAsia" w:ascii="宋体" w:hAnsi="宋体" w:eastAsia="宋体" w:cs="宋体"/>
                <w:b/>
                <w:bCs/>
                <w:sz w:val="21"/>
                <w:szCs w:val="21"/>
                <w:highlight w:val="none"/>
              </w:rPr>
            </w:pPr>
          </w:p>
        </w:tc>
        <w:tc>
          <w:tcPr>
            <w:tcW w:w="698" w:type="dxa"/>
            <w:vMerge w:val="continue"/>
            <w:noWrap w:val="0"/>
            <w:vAlign w:val="top"/>
          </w:tcPr>
          <w:p w14:paraId="180722BA">
            <w:pPr>
              <w:widowControl/>
              <w:spacing w:line="500" w:lineRule="exact"/>
              <w:jc w:val="center"/>
              <w:rPr>
                <w:rFonts w:hint="eastAsia" w:ascii="宋体" w:hAnsi="宋体" w:eastAsia="宋体" w:cs="宋体"/>
                <w:b/>
                <w:bCs/>
                <w:sz w:val="21"/>
                <w:szCs w:val="21"/>
                <w:highlight w:val="none"/>
              </w:rPr>
            </w:pPr>
          </w:p>
        </w:tc>
        <w:tc>
          <w:tcPr>
            <w:tcW w:w="1351" w:type="dxa"/>
            <w:noWrap w:val="0"/>
            <w:vAlign w:val="top"/>
          </w:tcPr>
          <w:p w14:paraId="4ED97EE9">
            <w:pPr>
              <w:widowControl/>
              <w:spacing w:line="500" w:lineRule="exact"/>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w:t>
            </w:r>
          </w:p>
        </w:tc>
        <w:tc>
          <w:tcPr>
            <w:tcW w:w="2501" w:type="dxa"/>
            <w:noWrap w:val="0"/>
            <w:vAlign w:val="top"/>
          </w:tcPr>
          <w:p w14:paraId="603620F1">
            <w:pPr>
              <w:widowControl/>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放疗云平台</w:t>
            </w:r>
          </w:p>
        </w:tc>
        <w:tc>
          <w:tcPr>
            <w:tcW w:w="2117" w:type="dxa"/>
            <w:noWrap w:val="0"/>
            <w:vAlign w:val="top"/>
          </w:tcPr>
          <w:p w14:paraId="1A3B1BF4">
            <w:pPr>
              <w:widowControl/>
              <w:spacing w:line="500" w:lineRule="exact"/>
              <w:rPr>
                <w:rFonts w:hint="eastAsia" w:ascii="宋体" w:hAnsi="宋体" w:eastAsia="宋体" w:cs="宋体"/>
                <w:b/>
                <w:bCs/>
                <w:sz w:val="21"/>
                <w:szCs w:val="21"/>
                <w:highlight w:val="none"/>
              </w:rPr>
            </w:pPr>
          </w:p>
        </w:tc>
        <w:tc>
          <w:tcPr>
            <w:tcW w:w="736" w:type="dxa"/>
            <w:noWrap w:val="0"/>
            <w:vAlign w:val="top"/>
          </w:tcPr>
          <w:p w14:paraId="65C01E20">
            <w:pPr>
              <w:widowControl/>
              <w:spacing w:line="500" w:lineRule="exact"/>
              <w:rPr>
                <w:rFonts w:hint="eastAsia" w:ascii="宋体" w:hAnsi="宋体" w:eastAsia="宋体" w:cs="宋体"/>
                <w:b/>
                <w:bCs/>
                <w:sz w:val="21"/>
                <w:szCs w:val="21"/>
                <w:highlight w:val="none"/>
              </w:rPr>
            </w:pPr>
          </w:p>
        </w:tc>
        <w:tc>
          <w:tcPr>
            <w:tcW w:w="736" w:type="dxa"/>
            <w:noWrap w:val="0"/>
            <w:vAlign w:val="top"/>
          </w:tcPr>
          <w:p w14:paraId="5707B9BF">
            <w:pPr>
              <w:widowControl/>
              <w:spacing w:line="500" w:lineRule="exact"/>
              <w:rPr>
                <w:rFonts w:hint="eastAsia" w:ascii="宋体" w:hAnsi="宋体" w:eastAsia="宋体" w:cs="宋体"/>
                <w:b/>
                <w:bCs/>
                <w:sz w:val="21"/>
                <w:szCs w:val="21"/>
                <w:highlight w:val="none"/>
              </w:rPr>
            </w:pPr>
          </w:p>
        </w:tc>
      </w:tr>
      <w:tr w14:paraId="18D38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38" w:type="dxa"/>
            <w:vMerge w:val="continue"/>
            <w:noWrap w:val="0"/>
            <w:vAlign w:val="top"/>
          </w:tcPr>
          <w:p w14:paraId="38BBD692">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6E36DE08">
            <w:pPr>
              <w:widowControl/>
              <w:spacing w:line="500" w:lineRule="exact"/>
              <w:jc w:val="center"/>
              <w:rPr>
                <w:rFonts w:hint="eastAsia" w:ascii="宋体" w:hAnsi="宋体" w:eastAsia="宋体" w:cs="宋体"/>
                <w:sz w:val="21"/>
                <w:szCs w:val="21"/>
              </w:rPr>
            </w:pPr>
          </w:p>
        </w:tc>
        <w:tc>
          <w:tcPr>
            <w:tcW w:w="1351" w:type="dxa"/>
            <w:noWrap w:val="0"/>
            <w:vAlign w:val="top"/>
          </w:tcPr>
          <w:p w14:paraId="21055A82">
            <w:pPr>
              <w:widowControl/>
              <w:spacing w:line="500" w:lineRule="exact"/>
              <w:jc w:val="left"/>
              <w:rPr>
                <w:rFonts w:hint="eastAsia" w:ascii="宋体" w:hAnsi="宋体" w:eastAsia="宋体" w:cs="宋体"/>
                <w:sz w:val="21"/>
                <w:szCs w:val="21"/>
                <w:lang w:eastAsia="zh-CN"/>
              </w:rPr>
            </w:pPr>
            <w:r>
              <w:rPr>
                <w:rFonts w:hint="eastAsia" w:ascii="宋体" w:hAnsi="宋体" w:eastAsia="宋体" w:cs="宋体"/>
                <w:sz w:val="21"/>
                <w:szCs w:val="21"/>
              </w:rPr>
              <w:t>5.</w:t>
            </w:r>
            <w:r>
              <w:rPr>
                <w:rFonts w:hint="eastAsia" w:ascii="宋体" w:hAnsi="宋体" w:eastAsia="宋体" w:cs="宋体"/>
                <w:sz w:val="21"/>
                <w:szCs w:val="21"/>
                <w:lang w:val="en-US" w:eastAsia="zh-CN"/>
              </w:rPr>
              <w:t>1</w:t>
            </w:r>
          </w:p>
        </w:tc>
        <w:tc>
          <w:tcPr>
            <w:tcW w:w="2501" w:type="dxa"/>
            <w:noWrap w:val="0"/>
            <w:vAlign w:val="center"/>
          </w:tcPr>
          <w:p w14:paraId="70D11CF4">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提供肿瘤放射治疗信息云平台，通过将服务器和应用程序虚拟化，实现在各种不同类型终端进行流程管理，靶区勾画，放疗计划，设备质控及多学科会诊工作</w:t>
            </w:r>
          </w:p>
        </w:tc>
        <w:tc>
          <w:tcPr>
            <w:tcW w:w="2117" w:type="dxa"/>
            <w:noWrap w:val="0"/>
            <w:vAlign w:val="center"/>
          </w:tcPr>
          <w:p w14:paraId="2778DC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87524D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0078B184">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1BF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38" w:type="dxa"/>
            <w:vMerge w:val="continue"/>
            <w:noWrap w:val="0"/>
            <w:vAlign w:val="top"/>
          </w:tcPr>
          <w:p w14:paraId="44C68A55">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60A15C5F">
            <w:pPr>
              <w:widowControl/>
              <w:spacing w:line="500" w:lineRule="exact"/>
              <w:jc w:val="center"/>
              <w:rPr>
                <w:rFonts w:hint="eastAsia" w:ascii="宋体" w:hAnsi="宋体" w:eastAsia="宋体" w:cs="宋体"/>
                <w:sz w:val="21"/>
                <w:szCs w:val="21"/>
              </w:rPr>
            </w:pPr>
          </w:p>
        </w:tc>
        <w:tc>
          <w:tcPr>
            <w:tcW w:w="1351" w:type="dxa"/>
            <w:noWrap w:val="0"/>
            <w:vAlign w:val="top"/>
          </w:tcPr>
          <w:p w14:paraId="6A4F5D2A">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1</w:t>
            </w:r>
            <w:r>
              <w:rPr>
                <w:rFonts w:hint="eastAsia" w:ascii="宋体" w:hAnsi="宋体" w:eastAsia="宋体" w:cs="宋体"/>
                <w:sz w:val="21"/>
                <w:szCs w:val="21"/>
              </w:rPr>
              <w:t>.1</w:t>
            </w:r>
          </w:p>
        </w:tc>
        <w:tc>
          <w:tcPr>
            <w:tcW w:w="2501" w:type="dxa"/>
            <w:noWrap w:val="0"/>
            <w:vAlign w:val="center"/>
          </w:tcPr>
          <w:p w14:paraId="504DE840">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按照本品牌软件虚拟化，对于科室</w:t>
            </w:r>
            <w:r>
              <w:rPr>
                <w:rFonts w:hint="eastAsia" w:ascii="宋体" w:hAnsi="宋体" w:cs="宋体"/>
                <w:i w:val="0"/>
                <w:iCs w:val="0"/>
                <w:color w:val="auto"/>
                <w:kern w:val="0"/>
                <w:sz w:val="21"/>
                <w:szCs w:val="21"/>
                <w:u w:val="none"/>
                <w:lang w:val="en-US" w:eastAsia="zh-CN" w:bidi="ar"/>
              </w:rPr>
              <w:t>现有在用</w:t>
            </w:r>
            <w:r>
              <w:rPr>
                <w:rFonts w:hint="eastAsia" w:ascii="宋体" w:hAnsi="宋体" w:eastAsia="宋体" w:cs="宋体"/>
                <w:i w:val="0"/>
                <w:iCs w:val="0"/>
                <w:color w:val="auto"/>
                <w:kern w:val="0"/>
                <w:sz w:val="21"/>
                <w:szCs w:val="21"/>
                <w:u w:val="none"/>
                <w:lang w:val="en-US" w:eastAsia="zh-CN" w:bidi="ar"/>
              </w:rPr>
              <w:t>其他厂家提供的放疗软件，包括瓦里安、医科达、安科瑞、RaySearch等多品牌计划系统及放疗流程管理系统应用程序，需由对应厂家完成虚拟化所需的硬软件资源准备和虚拟化部署环境的兼容性测试，云平台厂家需配合医院将其他品牌整合至该云平台</w:t>
            </w:r>
          </w:p>
        </w:tc>
        <w:tc>
          <w:tcPr>
            <w:tcW w:w="2117" w:type="dxa"/>
            <w:noWrap w:val="0"/>
            <w:vAlign w:val="center"/>
          </w:tcPr>
          <w:p w14:paraId="728EA06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76925F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ADFA9E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E103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638" w:type="dxa"/>
            <w:vMerge w:val="continue"/>
            <w:noWrap w:val="0"/>
            <w:vAlign w:val="top"/>
          </w:tcPr>
          <w:p w14:paraId="60823560">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1E785FD7">
            <w:pPr>
              <w:widowControl/>
              <w:spacing w:line="500" w:lineRule="exact"/>
              <w:jc w:val="center"/>
              <w:rPr>
                <w:rFonts w:hint="eastAsia" w:ascii="宋体" w:hAnsi="宋体" w:eastAsia="宋体" w:cs="宋体"/>
                <w:sz w:val="21"/>
                <w:szCs w:val="21"/>
              </w:rPr>
            </w:pPr>
          </w:p>
        </w:tc>
        <w:tc>
          <w:tcPr>
            <w:tcW w:w="1351" w:type="dxa"/>
            <w:noWrap w:val="0"/>
            <w:vAlign w:val="top"/>
          </w:tcPr>
          <w:p w14:paraId="7F37AF54">
            <w:pPr>
              <w:widowControl/>
              <w:spacing w:line="500" w:lineRule="exact"/>
              <w:jc w:val="left"/>
              <w:rPr>
                <w:rFonts w:hint="eastAsia" w:ascii="宋体" w:hAnsi="宋体" w:eastAsia="宋体" w:cs="宋体"/>
                <w:sz w:val="21"/>
                <w:szCs w:val="21"/>
                <w:lang w:eastAsia="zh-CN"/>
              </w:rPr>
            </w:pPr>
            <w:r>
              <w:rPr>
                <w:rFonts w:hint="eastAsia" w:ascii="宋体" w:hAnsi="宋体" w:eastAsia="宋体" w:cs="宋体"/>
                <w:sz w:val="21"/>
                <w:szCs w:val="21"/>
              </w:rPr>
              <w:t>5.</w:t>
            </w:r>
            <w:r>
              <w:rPr>
                <w:rFonts w:hint="eastAsia" w:ascii="宋体" w:hAnsi="宋体" w:eastAsia="宋体" w:cs="宋体"/>
                <w:sz w:val="21"/>
                <w:szCs w:val="21"/>
                <w:lang w:val="en-US" w:eastAsia="zh-CN"/>
              </w:rPr>
              <w:t>2</w:t>
            </w:r>
          </w:p>
        </w:tc>
        <w:tc>
          <w:tcPr>
            <w:tcW w:w="2501" w:type="dxa"/>
            <w:noWrap w:val="0"/>
            <w:vAlign w:val="center"/>
          </w:tcPr>
          <w:p w14:paraId="15676CD8">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应提供远程放射治疗计划系统，实现远程肿瘤靶区勾画，远程放射治疗计划设计</w:t>
            </w:r>
          </w:p>
        </w:tc>
        <w:tc>
          <w:tcPr>
            <w:tcW w:w="2117" w:type="dxa"/>
            <w:noWrap w:val="0"/>
            <w:vAlign w:val="center"/>
          </w:tcPr>
          <w:p w14:paraId="3D76A60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13E5F0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2193B2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938A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5EC5E650">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78478A2C">
            <w:pPr>
              <w:widowControl/>
              <w:spacing w:line="500" w:lineRule="exact"/>
              <w:jc w:val="center"/>
              <w:rPr>
                <w:rFonts w:hint="eastAsia" w:ascii="宋体" w:hAnsi="宋体" w:eastAsia="宋体" w:cs="宋体"/>
                <w:sz w:val="21"/>
                <w:szCs w:val="21"/>
              </w:rPr>
            </w:pPr>
          </w:p>
        </w:tc>
        <w:tc>
          <w:tcPr>
            <w:tcW w:w="1351" w:type="dxa"/>
            <w:noWrap w:val="0"/>
            <w:vAlign w:val="top"/>
          </w:tcPr>
          <w:p w14:paraId="16DC3288">
            <w:pPr>
              <w:widowControl/>
              <w:spacing w:line="500" w:lineRule="exact"/>
              <w:jc w:val="left"/>
              <w:rPr>
                <w:rFonts w:hint="eastAsia" w:ascii="宋体" w:hAnsi="宋体" w:eastAsia="宋体" w:cs="宋体"/>
                <w:sz w:val="21"/>
                <w:szCs w:val="21"/>
                <w:lang w:eastAsia="zh-CN"/>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p>
        </w:tc>
        <w:tc>
          <w:tcPr>
            <w:tcW w:w="2501" w:type="dxa"/>
            <w:noWrap w:val="0"/>
            <w:vAlign w:val="center"/>
          </w:tcPr>
          <w:p w14:paraId="0A008FF7">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应提供软件系统基本要求</w:t>
            </w:r>
          </w:p>
        </w:tc>
        <w:tc>
          <w:tcPr>
            <w:tcW w:w="2117" w:type="dxa"/>
            <w:noWrap w:val="0"/>
            <w:vAlign w:val="center"/>
          </w:tcPr>
          <w:p w14:paraId="084F26D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2A340A72">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414ED7F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3DF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412ED96C">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2D395BD7">
            <w:pPr>
              <w:widowControl/>
              <w:spacing w:line="500" w:lineRule="exact"/>
              <w:jc w:val="center"/>
              <w:rPr>
                <w:rFonts w:hint="eastAsia" w:ascii="宋体" w:hAnsi="宋体" w:eastAsia="宋体" w:cs="宋体"/>
                <w:sz w:val="21"/>
                <w:szCs w:val="21"/>
              </w:rPr>
            </w:pPr>
          </w:p>
        </w:tc>
        <w:tc>
          <w:tcPr>
            <w:tcW w:w="1351" w:type="dxa"/>
            <w:noWrap w:val="0"/>
            <w:vAlign w:val="top"/>
          </w:tcPr>
          <w:p w14:paraId="10D080E5">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.1</w:t>
            </w:r>
          </w:p>
        </w:tc>
        <w:tc>
          <w:tcPr>
            <w:tcW w:w="2501" w:type="dxa"/>
            <w:noWrap w:val="0"/>
            <w:vAlign w:val="center"/>
          </w:tcPr>
          <w:p w14:paraId="7D787FDD">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提供肿瘤放射治疗信息虚拟化平台</w:t>
            </w:r>
          </w:p>
        </w:tc>
        <w:tc>
          <w:tcPr>
            <w:tcW w:w="2117" w:type="dxa"/>
            <w:noWrap w:val="0"/>
            <w:vAlign w:val="center"/>
          </w:tcPr>
          <w:p w14:paraId="2C1DFFD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20009AF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BFF5F66">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DB2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638" w:type="dxa"/>
            <w:vMerge w:val="continue"/>
            <w:noWrap w:val="0"/>
            <w:vAlign w:val="top"/>
          </w:tcPr>
          <w:p w14:paraId="1A9CE492">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18D30643">
            <w:pPr>
              <w:widowControl/>
              <w:spacing w:line="500" w:lineRule="exact"/>
              <w:jc w:val="center"/>
              <w:rPr>
                <w:rFonts w:hint="eastAsia" w:ascii="宋体" w:hAnsi="宋体" w:eastAsia="宋体" w:cs="宋体"/>
                <w:sz w:val="21"/>
                <w:szCs w:val="21"/>
              </w:rPr>
            </w:pPr>
          </w:p>
        </w:tc>
        <w:tc>
          <w:tcPr>
            <w:tcW w:w="1351" w:type="dxa"/>
            <w:noWrap w:val="0"/>
            <w:vAlign w:val="top"/>
          </w:tcPr>
          <w:p w14:paraId="0ED7D232">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.2</w:t>
            </w:r>
          </w:p>
        </w:tc>
        <w:tc>
          <w:tcPr>
            <w:tcW w:w="2501" w:type="dxa"/>
            <w:noWrap w:val="0"/>
            <w:vAlign w:val="center"/>
          </w:tcPr>
          <w:p w14:paraId="205F6B06">
            <w:pPr>
              <w:keepNext w:val="0"/>
              <w:keepLines w:val="0"/>
              <w:widowControl/>
              <w:suppressLineNumbers w:val="0"/>
              <w:jc w:val="both"/>
              <w:textAlignment w:val="center"/>
              <w:rPr>
                <w:rFonts w:hint="eastAsia" w:ascii="宋体" w:hAnsi="宋体" w:eastAsia="宋体" w:cs="宋体"/>
                <w:color w:val="auto"/>
                <w:sz w:val="21"/>
                <w:szCs w:val="21"/>
              </w:rPr>
            </w:pPr>
            <w:r>
              <w:rPr>
                <w:rFonts w:hint="eastAsia" w:ascii="宋体" w:hAnsi="宋体" w:eastAsia="宋体" w:cs="宋体"/>
                <w:i w:val="0"/>
                <w:iCs w:val="0"/>
                <w:color w:val="auto"/>
                <w:kern w:val="0"/>
                <w:sz w:val="21"/>
                <w:szCs w:val="21"/>
                <w:u w:val="none"/>
                <w:lang w:val="en-US" w:eastAsia="zh-CN" w:bidi="ar"/>
              </w:rPr>
              <w:t>应提供放疗云平台实现应用程序虚拟化，以虚拟机方式提供软件平台服务</w:t>
            </w:r>
          </w:p>
        </w:tc>
        <w:tc>
          <w:tcPr>
            <w:tcW w:w="2117" w:type="dxa"/>
            <w:noWrap w:val="0"/>
            <w:vAlign w:val="center"/>
          </w:tcPr>
          <w:p w14:paraId="0008A86B">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7A3A691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736" w:type="dxa"/>
            <w:noWrap w:val="0"/>
            <w:vAlign w:val="center"/>
          </w:tcPr>
          <w:p w14:paraId="3339B3E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2EC30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38" w:type="dxa"/>
            <w:vMerge w:val="continue"/>
            <w:noWrap w:val="0"/>
            <w:vAlign w:val="top"/>
          </w:tcPr>
          <w:p w14:paraId="6103A62C">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2A7A0DB8">
            <w:pPr>
              <w:widowControl/>
              <w:spacing w:line="500" w:lineRule="exact"/>
              <w:jc w:val="center"/>
              <w:rPr>
                <w:rFonts w:hint="eastAsia" w:ascii="宋体" w:hAnsi="宋体" w:eastAsia="宋体" w:cs="宋体"/>
                <w:sz w:val="21"/>
                <w:szCs w:val="21"/>
              </w:rPr>
            </w:pPr>
          </w:p>
        </w:tc>
        <w:tc>
          <w:tcPr>
            <w:tcW w:w="1351" w:type="dxa"/>
            <w:noWrap w:val="0"/>
            <w:vAlign w:val="top"/>
          </w:tcPr>
          <w:p w14:paraId="67356B29">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.3</w:t>
            </w:r>
          </w:p>
        </w:tc>
        <w:tc>
          <w:tcPr>
            <w:tcW w:w="2501" w:type="dxa"/>
            <w:noWrap w:val="0"/>
            <w:vAlign w:val="center"/>
          </w:tcPr>
          <w:p w14:paraId="2F0A4B55">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b/>
                <w:bCs/>
                <w:i w:val="0"/>
                <w:iCs w:val="0"/>
                <w:color w:val="FF0000"/>
                <w:kern w:val="0"/>
                <w:sz w:val="21"/>
                <w:szCs w:val="21"/>
                <w:u w:val="none"/>
                <w:lang w:val="en-US" w:eastAsia="zh-CN" w:bidi="ar"/>
              </w:rPr>
              <w:t>应提供放疗云平台实现软件虚拟化（以网页形式提供TPS软件的远程访问，非远程桌面或远程控制，不锁定或占用当前TPS工作站）（投标时提供能体现该技术参数要求且清晰可辨的技术白皮书扫描件或</w:t>
            </w:r>
            <w:r>
              <w:rPr>
                <w:rFonts w:hint="eastAsia" w:ascii="宋体" w:hAnsi="宋体" w:cs="宋体"/>
                <w:b/>
                <w:bCs/>
                <w:i w:val="0"/>
                <w:iCs w:val="0"/>
                <w:color w:val="FF0000"/>
                <w:kern w:val="0"/>
                <w:sz w:val="21"/>
                <w:szCs w:val="21"/>
                <w:u w:val="none"/>
                <w:lang w:val="en-US" w:eastAsia="zh-CN" w:bidi="ar"/>
              </w:rPr>
              <w:t>使用</w:t>
            </w:r>
            <w:r>
              <w:rPr>
                <w:rFonts w:hint="eastAsia" w:ascii="宋体" w:hAnsi="宋体" w:eastAsia="宋体" w:cs="宋体"/>
                <w:b/>
                <w:bCs/>
                <w:i w:val="0"/>
                <w:iCs w:val="0"/>
                <w:color w:val="FF0000"/>
                <w:kern w:val="0"/>
                <w:sz w:val="21"/>
                <w:szCs w:val="21"/>
                <w:u w:val="none"/>
                <w:lang w:val="en-US" w:eastAsia="zh-CN" w:bidi="ar"/>
              </w:rPr>
              <w:t>界面截图）</w:t>
            </w:r>
          </w:p>
        </w:tc>
        <w:tc>
          <w:tcPr>
            <w:tcW w:w="2117" w:type="dxa"/>
            <w:noWrap w:val="0"/>
            <w:vAlign w:val="center"/>
          </w:tcPr>
          <w:p w14:paraId="6802C2F1">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5391A4F8">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c>
          <w:tcPr>
            <w:tcW w:w="736" w:type="dxa"/>
            <w:noWrap w:val="0"/>
            <w:vAlign w:val="center"/>
          </w:tcPr>
          <w:p w14:paraId="11F4E5F8">
            <w:pPr>
              <w:keepNext w:val="0"/>
              <w:keepLines w:val="0"/>
              <w:widowControl/>
              <w:suppressLineNumbers w:val="0"/>
              <w:jc w:val="both"/>
              <w:textAlignment w:val="center"/>
              <w:rPr>
                <w:rFonts w:hint="eastAsia" w:ascii="宋体" w:hAnsi="宋体" w:eastAsia="宋体" w:cs="宋体"/>
                <w:b/>
                <w:bCs/>
                <w:i w:val="0"/>
                <w:iCs w:val="0"/>
                <w:color w:val="FF0000"/>
                <w:kern w:val="0"/>
                <w:sz w:val="21"/>
                <w:szCs w:val="21"/>
                <w:u w:val="none"/>
                <w:lang w:val="en-US" w:eastAsia="zh-CN" w:bidi="ar"/>
              </w:rPr>
            </w:pPr>
          </w:p>
        </w:tc>
      </w:tr>
      <w:tr w14:paraId="168E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1FC6E0A3">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38BC3315">
            <w:pPr>
              <w:widowControl/>
              <w:spacing w:line="500" w:lineRule="exact"/>
              <w:jc w:val="center"/>
              <w:rPr>
                <w:rFonts w:hint="eastAsia" w:ascii="宋体" w:hAnsi="宋体" w:eastAsia="宋体" w:cs="宋体"/>
                <w:sz w:val="21"/>
                <w:szCs w:val="21"/>
              </w:rPr>
            </w:pPr>
          </w:p>
        </w:tc>
        <w:tc>
          <w:tcPr>
            <w:tcW w:w="1351" w:type="dxa"/>
            <w:noWrap w:val="0"/>
            <w:vAlign w:val="top"/>
          </w:tcPr>
          <w:p w14:paraId="56B2AE70">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.4</w:t>
            </w:r>
          </w:p>
        </w:tc>
        <w:tc>
          <w:tcPr>
            <w:tcW w:w="2501" w:type="dxa"/>
            <w:noWrap w:val="0"/>
            <w:vAlign w:val="center"/>
          </w:tcPr>
          <w:p w14:paraId="43986810">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应提供放疗计算任务自动分配至云平台计算服务器</w:t>
            </w:r>
          </w:p>
        </w:tc>
        <w:tc>
          <w:tcPr>
            <w:tcW w:w="2117" w:type="dxa"/>
            <w:noWrap w:val="0"/>
            <w:vAlign w:val="center"/>
          </w:tcPr>
          <w:p w14:paraId="657E894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6422730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97C797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22AE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48962559">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3D7415FE">
            <w:pPr>
              <w:widowControl/>
              <w:spacing w:line="500" w:lineRule="exact"/>
              <w:jc w:val="center"/>
              <w:rPr>
                <w:rFonts w:hint="eastAsia" w:ascii="宋体" w:hAnsi="宋体" w:eastAsia="宋体" w:cs="宋体"/>
                <w:sz w:val="21"/>
                <w:szCs w:val="21"/>
              </w:rPr>
            </w:pPr>
          </w:p>
        </w:tc>
        <w:tc>
          <w:tcPr>
            <w:tcW w:w="1351" w:type="dxa"/>
            <w:noWrap w:val="0"/>
            <w:vAlign w:val="top"/>
          </w:tcPr>
          <w:p w14:paraId="47179191">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.5</w:t>
            </w:r>
          </w:p>
        </w:tc>
        <w:tc>
          <w:tcPr>
            <w:tcW w:w="2501" w:type="dxa"/>
            <w:noWrap w:val="0"/>
            <w:vAlign w:val="center"/>
          </w:tcPr>
          <w:p w14:paraId="75869CE4">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应提供单点登录和Windows集成认证，根据用户角色分配软件</w:t>
            </w:r>
          </w:p>
        </w:tc>
        <w:tc>
          <w:tcPr>
            <w:tcW w:w="2117" w:type="dxa"/>
            <w:noWrap w:val="0"/>
            <w:vAlign w:val="center"/>
          </w:tcPr>
          <w:p w14:paraId="6DB59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02FF6D6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3560DE4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7A8F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8" w:type="dxa"/>
            <w:vMerge w:val="continue"/>
            <w:noWrap w:val="0"/>
            <w:vAlign w:val="top"/>
          </w:tcPr>
          <w:p w14:paraId="01CE3959">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630467AB">
            <w:pPr>
              <w:widowControl/>
              <w:spacing w:line="500" w:lineRule="exact"/>
              <w:jc w:val="center"/>
              <w:rPr>
                <w:rFonts w:hint="eastAsia" w:ascii="宋体" w:hAnsi="宋体" w:eastAsia="宋体" w:cs="宋体"/>
                <w:sz w:val="21"/>
                <w:szCs w:val="21"/>
              </w:rPr>
            </w:pPr>
          </w:p>
        </w:tc>
        <w:tc>
          <w:tcPr>
            <w:tcW w:w="1351" w:type="dxa"/>
            <w:noWrap w:val="0"/>
            <w:vAlign w:val="top"/>
          </w:tcPr>
          <w:p w14:paraId="5ED40C83">
            <w:pPr>
              <w:widowControl/>
              <w:spacing w:line="500" w:lineRule="exact"/>
              <w:jc w:val="left"/>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.6</w:t>
            </w:r>
          </w:p>
        </w:tc>
        <w:tc>
          <w:tcPr>
            <w:tcW w:w="2501" w:type="dxa"/>
            <w:noWrap w:val="0"/>
            <w:vAlign w:val="center"/>
          </w:tcPr>
          <w:p w14:paraId="35DEDDBA">
            <w:pPr>
              <w:keepNext w:val="0"/>
              <w:keepLines w:val="0"/>
              <w:widowControl/>
              <w:suppressLineNumbers w:val="0"/>
              <w:jc w:val="both"/>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应提供≥20个账户同时在线</w:t>
            </w:r>
          </w:p>
        </w:tc>
        <w:tc>
          <w:tcPr>
            <w:tcW w:w="2117" w:type="dxa"/>
            <w:noWrap w:val="0"/>
            <w:vAlign w:val="center"/>
          </w:tcPr>
          <w:p w14:paraId="3E9B622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78AA91B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736" w:type="dxa"/>
            <w:noWrap w:val="0"/>
            <w:vAlign w:val="center"/>
          </w:tcPr>
          <w:p w14:paraId="2BA300A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325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trPr>
        <w:tc>
          <w:tcPr>
            <w:tcW w:w="638" w:type="dxa"/>
            <w:vMerge w:val="continue"/>
            <w:noWrap w:val="0"/>
            <w:vAlign w:val="top"/>
          </w:tcPr>
          <w:p w14:paraId="76CCCBE9">
            <w:pPr>
              <w:widowControl/>
              <w:spacing w:line="500" w:lineRule="exact"/>
              <w:jc w:val="center"/>
              <w:rPr>
                <w:rFonts w:hint="eastAsia" w:ascii="宋体" w:hAnsi="宋体" w:eastAsia="宋体" w:cs="宋体"/>
                <w:sz w:val="21"/>
                <w:szCs w:val="21"/>
              </w:rPr>
            </w:pPr>
          </w:p>
        </w:tc>
        <w:tc>
          <w:tcPr>
            <w:tcW w:w="698" w:type="dxa"/>
            <w:vMerge w:val="continue"/>
            <w:noWrap w:val="0"/>
            <w:vAlign w:val="top"/>
          </w:tcPr>
          <w:p w14:paraId="5A85E827">
            <w:pPr>
              <w:widowControl/>
              <w:spacing w:line="500" w:lineRule="exact"/>
              <w:jc w:val="center"/>
              <w:rPr>
                <w:rFonts w:hint="eastAsia" w:ascii="宋体" w:hAnsi="宋体" w:eastAsia="宋体" w:cs="宋体"/>
                <w:sz w:val="21"/>
                <w:szCs w:val="21"/>
              </w:rPr>
            </w:pPr>
          </w:p>
        </w:tc>
        <w:tc>
          <w:tcPr>
            <w:tcW w:w="1351" w:type="dxa"/>
            <w:noWrap w:val="0"/>
            <w:vAlign w:val="top"/>
          </w:tcPr>
          <w:p w14:paraId="1CB83367">
            <w:pPr>
              <w:widowControl/>
              <w:spacing w:line="500" w:lineRule="exact"/>
              <w:jc w:val="left"/>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w:t>
            </w:r>
          </w:p>
        </w:tc>
        <w:tc>
          <w:tcPr>
            <w:tcW w:w="2501" w:type="dxa"/>
            <w:noWrap w:val="0"/>
            <w:vAlign w:val="center"/>
          </w:tcPr>
          <w:p w14:paraId="4F23C6C4">
            <w:pPr>
              <w:widowControl/>
              <w:spacing w:line="500" w:lineRule="exact"/>
              <w:rPr>
                <w:rFonts w:hint="eastAsia" w:ascii="宋体" w:hAnsi="宋体" w:eastAsia="宋体" w:cs="宋体"/>
                <w:sz w:val="21"/>
                <w:szCs w:val="21"/>
              </w:rPr>
            </w:pPr>
            <w:r>
              <w:rPr>
                <w:rFonts w:hint="eastAsia" w:ascii="宋体" w:hAnsi="宋体" w:eastAsia="宋体" w:cs="宋体"/>
                <w:sz w:val="21"/>
                <w:szCs w:val="21"/>
              </w:rPr>
              <w:t>配置清单</w:t>
            </w:r>
          </w:p>
          <w:tbl>
            <w:tblPr>
              <w:tblStyle w:val="2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1"/>
              <w:gridCol w:w="851"/>
              <w:gridCol w:w="441"/>
              <w:gridCol w:w="441"/>
            </w:tblGrid>
            <w:tr w14:paraId="0CFEE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D914E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1C58013">
                  <w:pPr>
                    <w:keepNext w:val="0"/>
                    <w:keepLines w:val="0"/>
                    <w:widowControl/>
                    <w:suppressLineNumbers w:val="0"/>
                    <w:tabs>
                      <w:tab w:val="left" w:pos="419"/>
                      <w:tab w:val="center" w:pos="1084"/>
                    </w:tabs>
                    <w:jc w:val="left"/>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ab/>
                  </w:r>
                  <w:r>
                    <w:rPr>
                      <w:rFonts w:hint="eastAsia" w:ascii="宋体" w:hAnsi="宋体" w:cs="宋体"/>
                      <w:i w:val="0"/>
                      <w:iCs w:val="0"/>
                      <w:color w:val="000000"/>
                      <w:kern w:val="0"/>
                      <w:sz w:val="21"/>
                      <w:szCs w:val="21"/>
                      <w:u w:val="none"/>
                      <w:lang w:val="en-US" w:eastAsia="zh-CN" w:bidi="ar"/>
                    </w:rPr>
                    <w:tab/>
                  </w:r>
                  <w:r>
                    <w:rPr>
                      <w:rFonts w:hint="eastAsia" w:ascii="宋体" w:hAnsi="宋体" w:eastAsia="宋体" w:cs="宋体"/>
                      <w:i w:val="0"/>
                      <w:iCs w:val="0"/>
                      <w:color w:val="000000"/>
                      <w:kern w:val="0"/>
                      <w:sz w:val="21"/>
                      <w:szCs w:val="21"/>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0F08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E52D5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r>
            <w:tr w14:paraId="25CC7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C3E8D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EF4E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放疗计划系统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C232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6C2B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6A116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B5700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DA92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GPU物理师工作站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DF5FF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4A0D0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6D3F2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D309E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65994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医生工作站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934ED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B55F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ED96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DBFE3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023C0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后装工作站（带GPU）</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C6C6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A392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23DA5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A2A54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8FF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管理工作站</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853C0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8DA6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45302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1E43A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1B9CC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系统服务器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ED704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5F897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712B4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2C857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459B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分布式计算服务器</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2C65C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CD22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6D318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E436A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8CF17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影像配准模块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357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9EA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503E5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228C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D07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结构勾画模块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BD53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7B478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32975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7869F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748A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自动勾画</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1A534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51A80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37D09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FB9DC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EC418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计划设计模块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B08A6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AB87F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3FA49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DDB28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4661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剂量计算模块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7A38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C1DB3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7EF8C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B96A4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E7734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计划评估模块</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649BA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59FE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00AC7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7B383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3785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自动计划</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D2F7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E025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1E1F4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9EAEA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F0DB0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应用程序接口</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4C963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A8D0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1D693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84E4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8F723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软件虚拟化平台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80F5F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75AF9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4B892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3807E3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FD0C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虚拟化平台授权</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E00D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AEC9F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bl>
          <w:p w14:paraId="456962E0">
            <w:pPr>
              <w:widowControl/>
              <w:spacing w:line="500" w:lineRule="exact"/>
              <w:rPr>
                <w:rFonts w:hint="eastAsia" w:ascii="宋体" w:hAnsi="宋体" w:eastAsia="宋体" w:cs="宋体"/>
                <w:sz w:val="21"/>
                <w:szCs w:val="21"/>
              </w:rPr>
            </w:pPr>
          </w:p>
        </w:tc>
        <w:tc>
          <w:tcPr>
            <w:tcW w:w="2117" w:type="dxa"/>
            <w:noWrap w:val="0"/>
            <w:vAlign w:val="center"/>
          </w:tcPr>
          <w:p w14:paraId="1A55D315">
            <w:pPr>
              <w:widowControl/>
              <w:spacing w:line="500" w:lineRule="exact"/>
              <w:rPr>
                <w:rFonts w:hint="eastAsia" w:ascii="宋体" w:hAnsi="宋体" w:eastAsia="宋体" w:cs="宋体"/>
                <w:sz w:val="21"/>
                <w:szCs w:val="21"/>
              </w:rPr>
            </w:pPr>
          </w:p>
        </w:tc>
        <w:tc>
          <w:tcPr>
            <w:tcW w:w="736" w:type="dxa"/>
            <w:noWrap w:val="0"/>
            <w:vAlign w:val="center"/>
          </w:tcPr>
          <w:p w14:paraId="25ABF4E1">
            <w:pPr>
              <w:widowControl/>
              <w:spacing w:line="500" w:lineRule="exact"/>
              <w:rPr>
                <w:rFonts w:hint="eastAsia" w:ascii="宋体" w:hAnsi="宋体" w:eastAsia="宋体" w:cs="宋体"/>
                <w:sz w:val="21"/>
                <w:szCs w:val="21"/>
              </w:rPr>
            </w:pPr>
          </w:p>
        </w:tc>
        <w:tc>
          <w:tcPr>
            <w:tcW w:w="736" w:type="dxa"/>
            <w:noWrap w:val="0"/>
            <w:vAlign w:val="center"/>
          </w:tcPr>
          <w:p w14:paraId="162AACE3">
            <w:pPr>
              <w:widowControl/>
              <w:spacing w:line="500" w:lineRule="exact"/>
              <w:rPr>
                <w:rFonts w:hint="eastAsia" w:ascii="宋体" w:hAnsi="宋体" w:eastAsia="宋体" w:cs="宋体"/>
                <w:sz w:val="21"/>
                <w:szCs w:val="21"/>
              </w:rPr>
            </w:pPr>
          </w:p>
        </w:tc>
      </w:tr>
    </w:tbl>
    <w:p w14:paraId="2F6170D2">
      <w:pPr>
        <w:ind w:firstLine="420" w:firstLineChars="200"/>
      </w:pPr>
      <w:r>
        <w:rPr>
          <w:rFonts w:hint="eastAsia"/>
        </w:rPr>
        <w:t>证明资料【如有的话，提供的证明资料应统一编号（排序），格式自定】</w:t>
      </w:r>
      <w:bookmarkEnd w:id="65"/>
      <w:r>
        <w:rPr>
          <w:rFonts w:hint="eastAsia"/>
        </w:rPr>
        <w:t>：</w:t>
      </w:r>
    </w:p>
    <w:p w14:paraId="6C182793">
      <w:pPr>
        <w:ind w:firstLine="420" w:firstLineChars="200"/>
      </w:pPr>
    </w:p>
    <w:p w14:paraId="07457B74">
      <w:pPr>
        <w:ind w:firstLine="420" w:firstLineChars="200"/>
      </w:pPr>
      <w:r>
        <w:rPr>
          <w:rFonts w:hint="eastAsia"/>
        </w:rPr>
        <w:t>《技术要求偏离表》编制指引：</w:t>
      </w:r>
    </w:p>
    <w:p w14:paraId="33D8621A">
      <w:pPr>
        <w:ind w:firstLine="420" w:firstLineChars="200"/>
      </w:pPr>
      <w:r>
        <w:rPr>
          <w:rFonts w:hint="eastAsia"/>
        </w:rPr>
        <w:t>1</w:t>
      </w:r>
      <w:r>
        <w:rPr>
          <w:rFonts w:hint="eastAsia"/>
          <w:lang w:val="en-US" w:eastAsia="zh-CN"/>
        </w:rPr>
        <w:t>.</w:t>
      </w:r>
      <w:r>
        <w:rPr>
          <w:rFonts w:hint="eastAsia"/>
        </w:rPr>
        <w:t>技术要求偏离表的序号、货物名称、招标技术要求等栏目</w:t>
      </w:r>
      <w:bookmarkStart w:id="66" w:name="_Hlk72094407"/>
      <w:r>
        <w:rPr>
          <w:rFonts w:hint="eastAsia"/>
        </w:rPr>
        <w:t>对应“用户需求书”中的“技术要求”章节</w:t>
      </w:r>
      <w:bookmarkEnd w:id="66"/>
      <w:r>
        <w:rPr>
          <w:rFonts w:hint="eastAsia"/>
        </w:rPr>
        <w:t>相关内容。</w:t>
      </w:r>
    </w:p>
    <w:p w14:paraId="03DB9A0E">
      <w:pPr>
        <w:ind w:firstLine="420" w:firstLineChars="200"/>
        <w:rPr>
          <w:color w:val="FF0000"/>
        </w:rPr>
      </w:pPr>
      <w:r>
        <w:t>2</w:t>
      </w:r>
      <w:r>
        <w:rPr>
          <w:rFonts w:hint="eastAsia"/>
          <w:lang w:val="en-US" w:eastAsia="zh-CN"/>
        </w:rPr>
        <w:t>.</w:t>
      </w:r>
      <w:r>
        <w:rPr>
          <w:rFonts w:hint="eastAsia"/>
        </w:rPr>
        <w:t>“投标技术响应”一栏必须一一对照“招标技术要求”，详细填写投标人自身投标货物的具体参数，而不能不合理照搬照抄招标文件的技术要求，以体现具体响应情况。</w:t>
      </w:r>
      <w:r>
        <w:rPr>
          <w:rFonts w:hint="eastAsia"/>
          <w:color w:val="FF0000"/>
        </w:rPr>
        <w:t>“投标技术响应”必须与所投产品客观实际保持一致，响应不实且情节严重的，经查实，将依法记入供应商诚信档案或受到行政处罚。</w:t>
      </w:r>
    </w:p>
    <w:p w14:paraId="673281BC">
      <w:pPr>
        <w:ind w:firstLine="420" w:firstLineChars="200"/>
        <w:rPr>
          <w:color w:val="FF0000"/>
        </w:rPr>
      </w:pPr>
      <w:r>
        <w:t>3</w:t>
      </w:r>
      <w:bookmarkStart w:id="67" w:name="_Hlk72158270"/>
      <w:r>
        <w:rPr>
          <w:rFonts w:hint="eastAsia"/>
          <w:lang w:val="en-US" w:eastAsia="zh-CN"/>
        </w:rPr>
        <w:t>.</w:t>
      </w:r>
      <w:r>
        <w:rPr>
          <w:rFonts w:hint="eastAsia"/>
        </w:rPr>
        <w:t>“偏离情况”</w:t>
      </w:r>
      <w:bookmarkEnd w:id="67"/>
      <w:r>
        <w:rPr>
          <w:rFonts w:hint="eastAsia"/>
        </w:rPr>
        <w:t>一栏填写如实填写“正偏离”、“负偏离”或“无偏离”，其中：</w:t>
      </w:r>
      <w:bookmarkStart w:id="68" w:name="_Hlk72093866"/>
      <w:r>
        <w:rPr>
          <w:rFonts w:hint="eastAsia"/>
        </w:rPr>
        <w:t>“正偏离”表示“投标响应优于招标技术要求”，“负偏离”表示“投标响应不满足招标技术要求”，“无偏离”表示“投标响应与招标技术要求一致”</w:t>
      </w:r>
      <w:bookmarkEnd w:id="68"/>
      <w:r>
        <w:rPr>
          <w:rFonts w:hint="eastAsia"/>
        </w:rPr>
        <w:t>。“投标技术响应”对比“招标技术要求”存在响应不全（包括未响应整项招标技术要求或者未响应一项招标技术要求的部分内容），均视为“负偏离”。带★号条款为不可负偏离条款，不作为评分准则中的评分内容，如未响应或出现负偏离的，将做投标无效处理。</w:t>
      </w:r>
      <w:r>
        <w:rPr>
          <w:rFonts w:hint="eastAsia"/>
          <w:color w:val="FF0000"/>
        </w:rPr>
        <w:t>“偏离情况”必须与所投产品客观实际保持一致，响应不实且情节严重的，经查实，将依法记入供应商诚信档案或受到行政处罚。</w:t>
      </w:r>
    </w:p>
    <w:p w14:paraId="4741546F">
      <w:pPr>
        <w:ind w:firstLine="420" w:firstLineChars="200"/>
      </w:pPr>
      <w:r>
        <w:t>4</w:t>
      </w:r>
      <w:r>
        <w:rPr>
          <w:rFonts w:hint="eastAsia"/>
          <w:lang w:val="en-US" w:eastAsia="zh-CN"/>
        </w:rPr>
        <w:t>.</w:t>
      </w:r>
      <w:r>
        <w:rPr>
          <w:rFonts w:hint="eastAsia"/>
        </w:rPr>
        <w:t>未要求提供证明资料的招标技术要求，可以不提供证明资料（如实响应即可）。</w:t>
      </w:r>
    </w:p>
    <w:p w14:paraId="3F4EB5D9">
      <w:pPr>
        <w:ind w:firstLine="420" w:firstLineChars="200"/>
      </w:pPr>
      <w:r>
        <w:rPr>
          <w:rFonts w:hint="eastAsia"/>
        </w:rPr>
        <w:t>5</w:t>
      </w:r>
      <w:bookmarkStart w:id="69" w:name="_Hlk72096106"/>
      <w:r>
        <w:rPr>
          <w:rFonts w:hint="eastAsia"/>
          <w:lang w:val="en-US" w:eastAsia="zh-CN"/>
        </w:rPr>
        <w:t>.</w:t>
      </w:r>
      <w:r>
        <w:rPr>
          <w:rFonts w:hint="eastAsia"/>
        </w:rPr>
        <w:t>证明资料条款响应要求</w:t>
      </w:r>
      <w:bookmarkEnd w:id="69"/>
      <w:r>
        <w:rPr>
          <w:rFonts w:hint="eastAsia"/>
        </w:rPr>
        <w:t>：要求提供证明资料（且已对证明资料的形式、内容作出明确要求）进行响应的条款，应当在“说明”一栏中列明是否提供了符合要求的证明资料，以及所提供证明资料在表后“证明资料”中的编号（位置）,以便评审；</w:t>
      </w:r>
      <w:bookmarkStart w:id="70" w:name="_Hlk73558782"/>
      <w:r>
        <w:rPr>
          <w:rFonts w:hint="eastAsia"/>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71" w:name="_Hlk73558164"/>
      <w:r>
        <w:rPr>
          <w:rFonts w:hint="eastAsia"/>
        </w:rPr>
        <w:t>且投标人在“偏离情况”一栏响应为“正偏离”或“无偏离”的，经评审委员会认定，将判定为负偏离。</w:t>
      </w:r>
      <w:bookmarkEnd w:id="70"/>
      <w:bookmarkEnd w:id="71"/>
    </w:p>
    <w:p w14:paraId="29FB440C">
      <w:pPr>
        <w:ind w:firstLine="420" w:firstLineChars="200"/>
      </w:pPr>
      <w:r>
        <w:rPr>
          <w:rFonts w:hint="eastAsia"/>
        </w:rPr>
        <w:t>6</w:t>
      </w:r>
      <w:bookmarkStart w:id="72" w:name="_Hlk72096137"/>
      <w:r>
        <w:rPr>
          <w:rFonts w:hint="eastAsia"/>
          <w:lang w:val="en-US" w:eastAsia="zh-CN"/>
        </w:rPr>
        <w:t>.</w:t>
      </w:r>
      <w:r>
        <w:rPr>
          <w:rFonts w:hint="eastAsia"/>
        </w:rPr>
        <w:t>表后“证明资料”部分内容的编制</w:t>
      </w:r>
      <w:bookmarkEnd w:id="72"/>
      <w:r>
        <w:rPr>
          <w:rFonts w:hint="eastAsia"/>
        </w:rPr>
        <w:t>：提供的所有证明资料应当统一编号（排序），且证明资料的编号（顺序）、数量和名称（形式）均应与“说明”一栏所填内容保持一致（一一对应），以便评审委员会查看。</w:t>
      </w:r>
      <w:bookmarkStart w:id="73" w:name="_Hlk73558180"/>
      <w:r>
        <w:rPr>
          <w:rFonts w:hint="eastAsia"/>
        </w:rPr>
        <w:t>未按照招标文件要求在表后放置证明材料的供应商将承担不利后果，经评审委员会认定，相关技术要求将判定为负偏离。</w:t>
      </w:r>
      <w:bookmarkEnd w:id="73"/>
    </w:p>
    <w:p w14:paraId="6C87D4CE">
      <w:pPr>
        <w:ind w:firstLine="420" w:firstLineChars="200"/>
      </w:pPr>
      <w:r>
        <w:rPr>
          <w:rFonts w:hint="eastAsia"/>
        </w:rPr>
        <w:t>7</w:t>
      </w:r>
      <w:bookmarkStart w:id="74" w:name="_Hlk72096176"/>
      <w:r>
        <w:rPr>
          <w:rFonts w:hint="eastAsia"/>
          <w:lang w:val="en-US" w:eastAsia="zh-CN"/>
        </w:rPr>
        <w:t>.</w:t>
      </w:r>
      <w:r>
        <w:rPr>
          <w:rFonts w:hint="eastAsia"/>
        </w:rPr>
        <w:t>证明资料的形式及其它具体要求</w:t>
      </w:r>
      <w:bookmarkEnd w:id="74"/>
      <w:r>
        <w:rPr>
          <w:rFonts w:hint="eastAsia"/>
        </w:rPr>
        <w:t>：</w:t>
      </w:r>
    </w:p>
    <w:p w14:paraId="70D2A461">
      <w:pPr>
        <w:ind w:firstLine="420" w:firstLineChars="200"/>
      </w:pPr>
      <w:r>
        <w:rPr>
          <w:rFonts w:hint="eastAsia"/>
        </w:rPr>
        <w:t>（1）除照片、图片（截图）及不需加盖公章的文字说明（技术说明）外，其它证明资料均要求为原件扫描件；</w:t>
      </w:r>
    </w:p>
    <w:p w14:paraId="3815A636">
      <w:pPr>
        <w:ind w:firstLine="420" w:firstLineChars="200"/>
      </w:pPr>
      <w:r>
        <w:rPr>
          <w:rFonts w:hint="eastAsia"/>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w:t>
      </w:r>
      <w:r>
        <w:rPr>
          <w:rFonts w:hint="eastAsia"/>
          <w:b w:val="0"/>
          <w:bCs/>
          <w:sz w:val="21"/>
          <w:szCs w:val="21"/>
          <w:lang w:eastAsia="zh-CN"/>
        </w:rPr>
        <w:t>照</w:t>
      </w:r>
      <w:r>
        <w:rPr>
          <w:rFonts w:hint="eastAsia"/>
        </w:rPr>
        <w:t>要求的形式、内容提供证明资料；</w:t>
      </w:r>
    </w:p>
    <w:p w14:paraId="189A2E0C">
      <w:pPr>
        <w:ind w:firstLine="420" w:firstLineChars="200"/>
      </w:pPr>
      <w:r>
        <w:rPr>
          <w:rFonts w:hint="eastAsia"/>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56675C49">
      <w:pPr>
        <w:ind w:firstLine="420" w:firstLineChars="200"/>
      </w:pPr>
      <w:r>
        <w:rPr>
          <w:rFonts w:hint="eastAsia"/>
        </w:rPr>
        <w:t>我国政府机构出具的产品检验和核准证件应为证件正面、背面和附件标注的全部具体内容；产品检验和核准证件的尺寸和清晰度应该能够在电脑上被阅读、识别和判断；</w:t>
      </w:r>
    </w:p>
    <w:p w14:paraId="02975030">
      <w:pPr>
        <w:ind w:firstLine="420" w:firstLineChars="200"/>
      </w:pPr>
      <w:r>
        <w:rPr>
          <w:rFonts w:hint="eastAsia"/>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28150F6B">
      <w:pPr>
        <w:ind w:firstLine="420" w:firstLineChars="200"/>
      </w:pPr>
      <w:r>
        <w:rPr>
          <w:rFonts w:hint="eastAsia"/>
        </w:rPr>
        <w:t>其它证明资料的形式要求参照以上要求执行；</w:t>
      </w:r>
    </w:p>
    <w:p w14:paraId="086D2587">
      <w:pPr>
        <w:ind w:firstLine="422" w:firstLineChars="200"/>
        <w:rPr>
          <w:b/>
          <w:szCs w:val="21"/>
        </w:rPr>
      </w:pPr>
      <w:r>
        <w:rPr>
          <w:rFonts w:hint="eastAsia"/>
          <w:b/>
          <w:szCs w:val="21"/>
        </w:rPr>
        <w:t>8</w:t>
      </w:r>
      <w:r>
        <w:rPr>
          <w:rFonts w:hint="eastAsia"/>
          <w:b/>
          <w:szCs w:val="21"/>
          <w:lang w:val="en-US" w:eastAsia="zh-CN"/>
        </w:rPr>
        <w:t>.</w:t>
      </w:r>
      <w:r>
        <w:rPr>
          <w:rFonts w:hint="eastAsia"/>
          <w:b/>
          <w:szCs w:val="21"/>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58B704EF">
      <w:pPr>
        <w:ind w:firstLine="420" w:firstLineChars="200"/>
      </w:pPr>
      <w:r>
        <w:rPr>
          <w:rFonts w:hint="eastAsia"/>
        </w:rPr>
        <w:t>9</w:t>
      </w:r>
      <w:r>
        <w:rPr>
          <w:rFonts w:hint="eastAsia"/>
          <w:lang w:val="en-US" w:eastAsia="zh-CN"/>
        </w:rPr>
        <w:t>.</w:t>
      </w:r>
      <w:r>
        <w:rPr>
          <w:rFonts w:hint="eastAsia"/>
        </w:rPr>
        <w:t>其它注意事项：</w:t>
      </w:r>
    </w:p>
    <w:p w14:paraId="1BD64595">
      <w:pPr>
        <w:ind w:firstLine="420" w:firstLineChars="200"/>
      </w:pPr>
      <w:r>
        <w:rPr>
          <w:rFonts w:hint="eastAsia"/>
        </w:rPr>
        <w:t>（1）评审委员会有权对投标人的响应情况作出判断（评审结论）；</w:t>
      </w:r>
    </w:p>
    <w:p w14:paraId="785AC39F">
      <w:pPr>
        <w:ind w:firstLine="420" w:firstLineChars="200"/>
      </w:pPr>
      <w:r>
        <w:rPr>
          <w:rFonts w:hint="eastAsia"/>
        </w:rPr>
        <w:t>（2）</w:t>
      </w:r>
      <w:bookmarkStart w:id="75" w:name="_Hlk72158213"/>
      <w:r>
        <w:rPr>
          <w:rFonts w:hint="eastAsia"/>
        </w:rPr>
        <w:t>评审委员会有权对以谋取中标为目的的技术规格模糊响应（如有意不合理照搬照抄招标文件的技术要求）或虚假响应予以认定，并视情况经政府集中采购机构报主管部门进行处理。</w:t>
      </w:r>
      <w:bookmarkEnd w:id="75"/>
    </w:p>
    <w:p w14:paraId="57D5AFB5">
      <w:pPr>
        <w:ind w:firstLine="420" w:firstLineChars="200"/>
      </w:pPr>
    </w:p>
    <w:p w14:paraId="77F35B4D">
      <w:pPr>
        <w:rPr>
          <w:sz w:val="24"/>
        </w:rPr>
      </w:pPr>
    </w:p>
    <w:p w14:paraId="78E55AC4">
      <w:pPr>
        <w:rPr>
          <w:rFonts w:hint="eastAsia" w:ascii="黑体" w:eastAsia="黑体"/>
          <w:sz w:val="24"/>
          <w:szCs w:val="20"/>
        </w:rPr>
        <w:sectPr>
          <w:pgSz w:w="11907" w:h="16840"/>
          <w:pgMar w:top="1440" w:right="1797" w:bottom="1440" w:left="1797" w:header="851" w:footer="992" w:gutter="0"/>
          <w:cols w:space="425" w:num="1"/>
          <w:titlePg/>
          <w:docGrid w:linePitch="462" w:charSpace="0"/>
        </w:sectPr>
      </w:pPr>
      <w:r>
        <w:rPr>
          <w:rFonts w:hint="eastAsia" w:ascii="黑体" w:eastAsia="黑体"/>
          <w:sz w:val="24"/>
          <w:szCs w:val="20"/>
        </w:rPr>
        <w:br w:type="page"/>
      </w:r>
    </w:p>
    <w:p w14:paraId="317A7A6A">
      <w:pPr>
        <w:pStyle w:val="38"/>
      </w:pPr>
    </w:p>
    <w:p w14:paraId="0B18A853">
      <w:pPr>
        <w:pStyle w:val="5"/>
        <w:jc w:val="center"/>
        <w:rPr>
          <w:sz w:val="24"/>
        </w:rPr>
      </w:pPr>
      <w:r>
        <w:rPr>
          <w:rFonts w:hint="eastAsia" w:ascii="黑体" w:eastAsia="黑体"/>
          <w:b w:val="0"/>
          <w:bCs w:val="0"/>
          <w:sz w:val="24"/>
          <w:szCs w:val="20"/>
        </w:rPr>
        <w:t>七、商务要求偏离表</w:t>
      </w:r>
    </w:p>
    <w:tbl>
      <w:tblPr>
        <w:tblStyle w:val="21"/>
        <w:tblW w:w="84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064"/>
        <w:gridCol w:w="2344"/>
        <w:gridCol w:w="2332"/>
        <w:gridCol w:w="1200"/>
        <w:gridCol w:w="724"/>
      </w:tblGrid>
      <w:tr w14:paraId="449E2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9" w:type="dxa"/>
            <w:noWrap w:val="0"/>
            <w:vAlign w:val="center"/>
          </w:tcPr>
          <w:p w14:paraId="5554486F">
            <w:pPr>
              <w:jc w:val="center"/>
              <w:rPr>
                <w:rFonts w:hint="eastAsia" w:ascii="宋体" w:hAnsi="宋体" w:eastAsia="宋体" w:cs="宋体"/>
                <w:b/>
              </w:rPr>
            </w:pPr>
            <w:r>
              <w:rPr>
                <w:rFonts w:hint="eastAsia" w:ascii="宋体" w:hAnsi="宋体" w:eastAsia="宋体" w:cs="宋体"/>
                <w:b/>
              </w:rPr>
              <w:t>序号</w:t>
            </w:r>
          </w:p>
        </w:tc>
        <w:tc>
          <w:tcPr>
            <w:tcW w:w="1064" w:type="dxa"/>
            <w:noWrap w:val="0"/>
            <w:vAlign w:val="center"/>
          </w:tcPr>
          <w:p w14:paraId="69D2C0B6">
            <w:pPr>
              <w:jc w:val="center"/>
              <w:rPr>
                <w:rFonts w:hint="eastAsia" w:ascii="宋体" w:hAnsi="宋体" w:eastAsia="宋体" w:cs="宋体"/>
                <w:b/>
              </w:rPr>
            </w:pPr>
            <w:r>
              <w:rPr>
                <w:rFonts w:hint="eastAsia" w:ascii="宋体" w:hAnsi="宋体" w:eastAsia="宋体" w:cs="宋体"/>
                <w:b/>
              </w:rPr>
              <w:t>目录</w:t>
            </w:r>
          </w:p>
        </w:tc>
        <w:tc>
          <w:tcPr>
            <w:tcW w:w="2344" w:type="dxa"/>
            <w:noWrap w:val="0"/>
            <w:vAlign w:val="center"/>
          </w:tcPr>
          <w:p w14:paraId="25828506">
            <w:pPr>
              <w:jc w:val="center"/>
              <w:rPr>
                <w:rFonts w:hint="eastAsia" w:ascii="宋体" w:hAnsi="宋体" w:eastAsia="宋体" w:cs="宋体"/>
                <w:b/>
              </w:rPr>
            </w:pPr>
            <w:r>
              <w:rPr>
                <w:rFonts w:hint="eastAsia" w:ascii="宋体" w:hAnsi="宋体" w:eastAsia="宋体" w:cs="宋体"/>
                <w:b/>
              </w:rPr>
              <w:t>商务需求</w:t>
            </w:r>
          </w:p>
        </w:tc>
        <w:tc>
          <w:tcPr>
            <w:tcW w:w="2332" w:type="dxa"/>
            <w:noWrap w:val="0"/>
            <w:vAlign w:val="center"/>
          </w:tcPr>
          <w:p w14:paraId="278D871B">
            <w:pPr>
              <w:keepNext w:val="0"/>
              <w:keepLines w:val="0"/>
              <w:suppressLineNumbers w:val="0"/>
              <w:spacing w:before="0" w:beforeAutospacing="0" w:after="0" w:afterAutospacing="0"/>
              <w:ind w:left="0" w:leftChars="0" w:right="0" w:rightChars="0"/>
              <w:jc w:val="center"/>
              <w:rPr>
                <w:rFonts w:hint="eastAsia" w:ascii="宋体" w:hAnsi="宋体" w:eastAsia="宋体" w:cs="宋体"/>
                <w:b/>
              </w:rPr>
            </w:pPr>
            <w:r>
              <w:rPr>
                <w:rFonts w:hint="eastAsia"/>
                <w:b/>
                <w:bCs/>
              </w:rPr>
              <w:t>投标商务响应</w:t>
            </w:r>
          </w:p>
        </w:tc>
        <w:tc>
          <w:tcPr>
            <w:tcW w:w="1200" w:type="dxa"/>
            <w:noWrap w:val="0"/>
            <w:vAlign w:val="center"/>
          </w:tcPr>
          <w:p w14:paraId="24BC3CA5">
            <w:pPr>
              <w:keepNext w:val="0"/>
              <w:keepLines w:val="0"/>
              <w:suppressLineNumbers w:val="0"/>
              <w:spacing w:before="0" w:beforeAutospacing="0" w:after="0" w:afterAutospacing="0"/>
              <w:ind w:left="0" w:leftChars="0" w:right="0" w:rightChars="0"/>
              <w:jc w:val="center"/>
              <w:rPr>
                <w:rFonts w:hint="eastAsia" w:ascii="宋体" w:hAnsi="宋体" w:eastAsia="宋体" w:cs="宋体"/>
                <w:b/>
              </w:rPr>
            </w:pPr>
            <w:r>
              <w:rPr>
                <w:rFonts w:hint="eastAsia"/>
                <w:b/>
                <w:bCs/>
              </w:rPr>
              <w:t>偏离情况</w:t>
            </w:r>
          </w:p>
        </w:tc>
        <w:tc>
          <w:tcPr>
            <w:tcW w:w="724" w:type="dxa"/>
            <w:noWrap w:val="0"/>
            <w:vAlign w:val="center"/>
          </w:tcPr>
          <w:p w14:paraId="1D6A92A8">
            <w:pPr>
              <w:keepNext w:val="0"/>
              <w:keepLines w:val="0"/>
              <w:suppressLineNumbers w:val="0"/>
              <w:spacing w:before="0" w:beforeAutospacing="0" w:after="0" w:afterAutospacing="0"/>
              <w:ind w:left="0" w:leftChars="0" w:right="0" w:rightChars="0"/>
              <w:jc w:val="center"/>
              <w:rPr>
                <w:rFonts w:hint="eastAsia" w:ascii="宋体" w:hAnsi="宋体" w:eastAsia="宋体" w:cs="宋体"/>
                <w:b/>
              </w:rPr>
            </w:pPr>
            <w:r>
              <w:rPr>
                <w:rFonts w:hint="eastAsia"/>
                <w:b/>
                <w:bCs/>
              </w:rPr>
              <w:t>说明</w:t>
            </w:r>
          </w:p>
        </w:tc>
      </w:tr>
      <w:tr w14:paraId="3ABCE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483" w:type="dxa"/>
            <w:gridSpan w:val="6"/>
            <w:noWrap w:val="0"/>
            <w:vAlign w:val="top"/>
          </w:tcPr>
          <w:p w14:paraId="01FC8747">
            <w:pPr>
              <w:rPr>
                <w:rFonts w:hint="eastAsia" w:ascii="宋体" w:hAnsi="宋体" w:eastAsia="宋体" w:cs="宋体"/>
                <w:b/>
              </w:rPr>
            </w:pPr>
            <w:r>
              <w:rPr>
                <w:rFonts w:hint="eastAsia" w:ascii="宋体" w:hAnsi="宋体" w:eastAsia="宋体" w:cs="宋体"/>
                <w:b/>
              </w:rPr>
              <w:t>（一）免费保修期内售后服务要求</w:t>
            </w:r>
          </w:p>
        </w:tc>
      </w:tr>
      <w:tr w14:paraId="6337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vMerge w:val="restart"/>
            <w:noWrap w:val="0"/>
            <w:vAlign w:val="center"/>
          </w:tcPr>
          <w:p w14:paraId="02A90B61">
            <w:pPr>
              <w:spacing w:line="300" w:lineRule="exact"/>
              <w:jc w:val="center"/>
              <w:rPr>
                <w:rFonts w:hint="eastAsia" w:ascii="宋体" w:hAnsi="宋体" w:eastAsia="宋体" w:cs="宋体"/>
                <w:b/>
              </w:rPr>
            </w:pPr>
            <w:r>
              <w:rPr>
                <w:rFonts w:hint="eastAsia" w:ascii="宋体" w:hAnsi="宋体" w:eastAsia="宋体" w:cs="宋体"/>
                <w:b/>
              </w:rPr>
              <w:t>1</w:t>
            </w:r>
          </w:p>
        </w:tc>
        <w:tc>
          <w:tcPr>
            <w:tcW w:w="1064" w:type="dxa"/>
            <w:vMerge w:val="restart"/>
            <w:noWrap w:val="0"/>
            <w:vAlign w:val="center"/>
          </w:tcPr>
          <w:p w14:paraId="14056A8B">
            <w:pPr>
              <w:spacing w:line="300" w:lineRule="exact"/>
              <w:rPr>
                <w:rFonts w:hint="eastAsia" w:ascii="宋体" w:hAnsi="宋体" w:eastAsia="宋体" w:cs="宋体"/>
              </w:rPr>
            </w:pPr>
            <w:r>
              <w:rPr>
                <w:rFonts w:hint="eastAsia" w:ascii="宋体" w:hAnsi="宋体" w:eastAsia="宋体" w:cs="宋体"/>
                <w:b/>
                <w:kern w:val="0"/>
                <w:szCs w:val="21"/>
              </w:rPr>
              <w:t>维修及维护服务</w:t>
            </w:r>
          </w:p>
        </w:tc>
        <w:tc>
          <w:tcPr>
            <w:tcW w:w="2344" w:type="dxa"/>
            <w:noWrap w:val="0"/>
            <w:vAlign w:val="top"/>
          </w:tcPr>
          <w:p w14:paraId="44974FBC">
            <w:pPr>
              <w:spacing w:line="300" w:lineRule="exact"/>
              <w:rPr>
                <w:rFonts w:hint="eastAsia" w:ascii="宋体" w:hAnsi="宋体" w:eastAsia="宋体" w:cs="宋体"/>
                <w:b/>
                <w:highlight w:val="none"/>
              </w:rPr>
            </w:pPr>
            <w:r>
              <w:rPr>
                <w:rFonts w:hint="eastAsia" w:ascii="宋体" w:hAnsi="宋体" w:eastAsia="宋体" w:cs="宋体"/>
                <w:b w:val="0"/>
                <w:bCs w:val="0"/>
                <w:color w:val="auto"/>
                <w:kern w:val="0"/>
                <w:szCs w:val="21"/>
                <w:highlight w:val="none"/>
              </w:rPr>
              <w:t>★1.1各投标人应提供原厂或原厂授权机构整机（包括本项目所有软硬件标的）</w:t>
            </w:r>
            <w:r>
              <w:rPr>
                <w:rFonts w:hint="eastAsia" w:ascii="宋体" w:hAnsi="宋体" w:eastAsia="宋体" w:cs="宋体"/>
                <w:b w:val="0"/>
                <w:bCs w:val="0"/>
                <w:color w:val="auto"/>
                <w:kern w:val="0"/>
                <w:szCs w:val="21"/>
                <w:highlight w:val="none"/>
                <w:u w:val="single"/>
              </w:rPr>
              <w:t xml:space="preserve"> </w:t>
            </w:r>
            <w:r>
              <w:rPr>
                <w:rFonts w:hint="eastAsia" w:ascii="宋体" w:hAnsi="宋体" w:eastAsia="宋体" w:cs="宋体"/>
                <w:b w:val="0"/>
                <w:bCs w:val="0"/>
                <w:color w:val="auto"/>
                <w:kern w:val="0"/>
                <w:szCs w:val="21"/>
                <w:highlight w:val="none"/>
                <w:u w:val="single"/>
                <w:lang w:val="en-US" w:eastAsia="zh-CN"/>
              </w:rPr>
              <w:t xml:space="preserve"> </w:t>
            </w:r>
            <w:r>
              <w:rPr>
                <w:rFonts w:hint="eastAsia" w:ascii="宋体" w:hAnsi="宋体" w:eastAsia="宋体" w:cs="宋体"/>
                <w:b w:val="0"/>
                <w:bCs w:val="0"/>
                <w:color w:val="auto"/>
                <w:kern w:val="0"/>
                <w:sz w:val="24"/>
                <w:szCs w:val="24"/>
              </w:rPr>
              <w:t>≥</w:t>
            </w:r>
            <w:r>
              <w:rPr>
                <w:rFonts w:hint="eastAsia" w:ascii="宋体" w:hAnsi="宋体" w:eastAsia="宋体" w:cs="宋体"/>
                <w:b w:val="0"/>
                <w:bCs w:val="0"/>
                <w:color w:val="auto"/>
                <w:kern w:val="0"/>
                <w:szCs w:val="21"/>
                <w:highlight w:val="none"/>
                <w:u w:val="single"/>
              </w:rPr>
              <w:t xml:space="preserve">3  </w:t>
            </w:r>
            <w:r>
              <w:rPr>
                <w:rFonts w:hint="eastAsia" w:ascii="宋体" w:hAnsi="宋体" w:eastAsia="宋体" w:cs="宋体"/>
                <w:b w:val="0"/>
                <w:bCs w:val="0"/>
                <w:color w:val="auto"/>
                <w:kern w:val="0"/>
                <w:szCs w:val="21"/>
                <w:highlight w:val="none"/>
              </w:rPr>
              <w:t>年免费维保,终身维修。保修期内,年度定期预防性维护保养次数应不少于</w:t>
            </w:r>
            <w:r>
              <w:rPr>
                <w:rFonts w:hint="eastAsia" w:ascii="宋体" w:hAnsi="宋体" w:eastAsia="宋体" w:cs="宋体"/>
                <w:b w:val="0"/>
                <w:bCs w:val="0"/>
                <w:color w:val="auto"/>
                <w:kern w:val="0"/>
                <w:szCs w:val="21"/>
                <w:highlight w:val="none"/>
                <w:u w:val="single"/>
              </w:rPr>
              <w:t>4</w:t>
            </w:r>
            <w:r>
              <w:rPr>
                <w:rFonts w:hint="eastAsia" w:ascii="宋体" w:hAnsi="宋体" w:eastAsia="宋体" w:cs="宋体"/>
                <w:b w:val="0"/>
                <w:bCs w:val="0"/>
                <w:color w:val="auto"/>
                <w:kern w:val="0"/>
                <w:szCs w:val="21"/>
                <w:highlight w:val="none"/>
              </w:rPr>
              <w:t>次。保修期内免费更换零配件、免工时费。符合深圳市计量管理要求的仪器设备，在保修期内须免费提供仪器设备的计量检定服务。</w:t>
            </w:r>
          </w:p>
        </w:tc>
        <w:tc>
          <w:tcPr>
            <w:tcW w:w="2332" w:type="dxa"/>
            <w:noWrap w:val="0"/>
            <w:vAlign w:val="top"/>
          </w:tcPr>
          <w:p w14:paraId="0BC292D7">
            <w:pPr>
              <w:spacing w:line="300" w:lineRule="exact"/>
              <w:rPr>
                <w:rFonts w:hint="eastAsia" w:ascii="宋体" w:hAnsi="宋体" w:eastAsia="宋体" w:cs="宋体"/>
                <w:b w:val="0"/>
                <w:bCs w:val="0"/>
                <w:color w:val="auto"/>
                <w:kern w:val="0"/>
                <w:szCs w:val="21"/>
                <w:highlight w:val="none"/>
              </w:rPr>
            </w:pPr>
          </w:p>
        </w:tc>
        <w:tc>
          <w:tcPr>
            <w:tcW w:w="1200" w:type="dxa"/>
            <w:noWrap w:val="0"/>
            <w:vAlign w:val="top"/>
          </w:tcPr>
          <w:p w14:paraId="29239DEB">
            <w:pPr>
              <w:spacing w:line="300" w:lineRule="exact"/>
              <w:rPr>
                <w:rFonts w:hint="eastAsia" w:ascii="宋体" w:hAnsi="宋体" w:eastAsia="宋体" w:cs="宋体"/>
                <w:b w:val="0"/>
                <w:bCs w:val="0"/>
                <w:color w:val="auto"/>
                <w:kern w:val="0"/>
                <w:szCs w:val="21"/>
                <w:highlight w:val="none"/>
              </w:rPr>
            </w:pPr>
          </w:p>
        </w:tc>
        <w:tc>
          <w:tcPr>
            <w:tcW w:w="724" w:type="dxa"/>
            <w:noWrap w:val="0"/>
            <w:vAlign w:val="top"/>
          </w:tcPr>
          <w:p w14:paraId="7D831512">
            <w:pPr>
              <w:spacing w:line="300" w:lineRule="exact"/>
              <w:rPr>
                <w:rFonts w:hint="eastAsia" w:ascii="宋体" w:hAnsi="宋体" w:eastAsia="宋体" w:cs="宋体"/>
                <w:b w:val="0"/>
                <w:bCs w:val="0"/>
                <w:color w:val="auto"/>
                <w:kern w:val="0"/>
                <w:szCs w:val="21"/>
                <w:highlight w:val="none"/>
              </w:rPr>
            </w:pPr>
          </w:p>
        </w:tc>
      </w:tr>
      <w:tr w14:paraId="621E6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819" w:type="dxa"/>
            <w:vMerge w:val="continue"/>
            <w:noWrap w:val="0"/>
            <w:vAlign w:val="center"/>
          </w:tcPr>
          <w:p w14:paraId="53D71EC9">
            <w:pPr>
              <w:spacing w:line="300" w:lineRule="exact"/>
              <w:jc w:val="center"/>
              <w:rPr>
                <w:rFonts w:hint="eastAsia" w:ascii="宋体" w:hAnsi="宋体" w:eastAsia="宋体" w:cs="宋体"/>
                <w:b/>
              </w:rPr>
            </w:pPr>
          </w:p>
        </w:tc>
        <w:tc>
          <w:tcPr>
            <w:tcW w:w="1064" w:type="dxa"/>
            <w:vMerge w:val="continue"/>
            <w:noWrap w:val="0"/>
            <w:vAlign w:val="center"/>
          </w:tcPr>
          <w:p w14:paraId="6D983AFA">
            <w:pPr>
              <w:spacing w:line="300" w:lineRule="exact"/>
              <w:rPr>
                <w:rFonts w:hint="eastAsia" w:ascii="宋体" w:hAnsi="宋体" w:eastAsia="宋体" w:cs="宋体"/>
                <w:b/>
                <w:kern w:val="0"/>
                <w:szCs w:val="21"/>
              </w:rPr>
            </w:pPr>
          </w:p>
        </w:tc>
        <w:tc>
          <w:tcPr>
            <w:tcW w:w="2344" w:type="dxa"/>
            <w:noWrap w:val="0"/>
            <w:vAlign w:val="top"/>
          </w:tcPr>
          <w:p w14:paraId="00EB950E">
            <w:pPr>
              <w:spacing w:line="300" w:lineRule="exact"/>
              <w:rPr>
                <w:rFonts w:hint="eastAsia" w:ascii="宋体" w:hAnsi="宋体" w:eastAsia="宋体" w:cs="宋体"/>
                <w:bCs/>
                <w:szCs w:val="21"/>
              </w:rPr>
            </w:pPr>
            <w:r>
              <w:rPr>
                <w:rFonts w:hint="eastAsia" w:ascii="宋体" w:hAnsi="宋体" w:eastAsia="宋体" w:cs="宋体"/>
                <w:b w:val="0"/>
                <w:bCs/>
                <w:color w:val="auto"/>
                <w:sz w:val="21"/>
                <w:szCs w:val="21"/>
                <w:highlight w:val="none"/>
              </w:rPr>
              <w:t>★</w:t>
            </w:r>
            <w:r>
              <w:rPr>
                <w:rFonts w:hint="eastAsia" w:ascii="宋体" w:hAnsi="宋体" w:eastAsia="宋体" w:cs="宋体"/>
                <w:kern w:val="0"/>
                <w:szCs w:val="21"/>
              </w:rPr>
              <w:t>1.2由原厂或原厂授权机构提供售后服务，自接到故障通知时起，</w:t>
            </w:r>
            <w:r>
              <w:rPr>
                <w:rFonts w:hint="eastAsia" w:ascii="宋体" w:hAnsi="宋体" w:eastAsia="宋体" w:cs="宋体"/>
                <w:bCs/>
                <w:kern w:val="0"/>
                <w:szCs w:val="21"/>
                <w:u w:val="single"/>
              </w:rPr>
              <w:t>1</w:t>
            </w:r>
            <w:r>
              <w:rPr>
                <w:rFonts w:hint="eastAsia" w:ascii="宋体" w:hAnsi="宋体" w:eastAsia="宋体" w:cs="宋体"/>
                <w:kern w:val="0"/>
                <w:szCs w:val="21"/>
              </w:rPr>
              <w:t>小时内响应，</w:t>
            </w:r>
            <w:r>
              <w:rPr>
                <w:rFonts w:hint="eastAsia"/>
                <w:highlight w:val="none"/>
              </w:rPr>
              <w:t>≤</w:t>
            </w:r>
            <w:r>
              <w:rPr>
                <w:rFonts w:hint="eastAsia" w:ascii="宋体" w:hAnsi="宋体" w:eastAsia="宋体" w:cs="宋体"/>
                <w:kern w:val="0"/>
                <w:szCs w:val="21"/>
                <w:u w:val="single"/>
              </w:rPr>
              <w:t>24</w:t>
            </w:r>
            <w:r>
              <w:rPr>
                <w:rFonts w:hint="eastAsia" w:ascii="宋体" w:hAnsi="宋体" w:eastAsia="宋体" w:cs="宋体"/>
                <w:kern w:val="0"/>
                <w:szCs w:val="21"/>
              </w:rPr>
              <w:t>小时人员到位，</w:t>
            </w:r>
            <w:r>
              <w:rPr>
                <w:rFonts w:hint="eastAsia"/>
                <w:highlight w:val="none"/>
              </w:rPr>
              <w:t>≤</w:t>
            </w:r>
            <w:r>
              <w:rPr>
                <w:rFonts w:hint="eastAsia" w:ascii="宋体" w:hAnsi="宋体" w:eastAsia="宋体" w:cs="宋体"/>
                <w:bCs/>
                <w:kern w:val="0"/>
                <w:szCs w:val="21"/>
                <w:u w:val="single"/>
              </w:rPr>
              <w:t>48</w:t>
            </w:r>
            <w:r>
              <w:rPr>
                <w:rFonts w:hint="eastAsia" w:ascii="宋体" w:hAnsi="宋体" w:eastAsia="宋体" w:cs="宋体"/>
                <w:kern w:val="0"/>
                <w:szCs w:val="21"/>
              </w:rPr>
              <w:t>小时维修到位（不可抗力情况除外）,消耗品和零配件供应及时。保修期内免费更换零配件、免工时费。设备在保修期内需由原厂进行维修，出原厂维修报告。原厂售后全保包含维修人工及所有配件及零备件费用, 安装、调试、定期校准及保养服务全由原厂工程师（合资格）负责。</w:t>
            </w:r>
          </w:p>
        </w:tc>
        <w:tc>
          <w:tcPr>
            <w:tcW w:w="2332" w:type="dxa"/>
            <w:noWrap w:val="0"/>
            <w:vAlign w:val="top"/>
          </w:tcPr>
          <w:p w14:paraId="0C71E82F">
            <w:pPr>
              <w:spacing w:line="300" w:lineRule="exact"/>
              <w:rPr>
                <w:rFonts w:hint="eastAsia" w:ascii="宋体" w:hAnsi="宋体" w:eastAsia="宋体" w:cs="宋体"/>
                <w:b w:val="0"/>
                <w:bCs/>
                <w:color w:val="auto"/>
                <w:sz w:val="21"/>
                <w:szCs w:val="21"/>
                <w:highlight w:val="none"/>
              </w:rPr>
            </w:pPr>
          </w:p>
        </w:tc>
        <w:tc>
          <w:tcPr>
            <w:tcW w:w="1200" w:type="dxa"/>
            <w:noWrap w:val="0"/>
            <w:vAlign w:val="top"/>
          </w:tcPr>
          <w:p w14:paraId="7D9FBE6F">
            <w:pPr>
              <w:spacing w:line="300" w:lineRule="exact"/>
              <w:rPr>
                <w:rFonts w:hint="eastAsia" w:ascii="宋体" w:hAnsi="宋体" w:eastAsia="宋体" w:cs="宋体"/>
                <w:b w:val="0"/>
                <w:bCs/>
                <w:color w:val="auto"/>
                <w:sz w:val="21"/>
                <w:szCs w:val="21"/>
                <w:highlight w:val="none"/>
              </w:rPr>
            </w:pPr>
          </w:p>
        </w:tc>
        <w:tc>
          <w:tcPr>
            <w:tcW w:w="724" w:type="dxa"/>
            <w:noWrap w:val="0"/>
            <w:vAlign w:val="top"/>
          </w:tcPr>
          <w:p w14:paraId="372FC1CC">
            <w:pPr>
              <w:spacing w:line="300" w:lineRule="exact"/>
              <w:rPr>
                <w:rFonts w:hint="eastAsia" w:ascii="宋体" w:hAnsi="宋体" w:eastAsia="宋体" w:cs="宋体"/>
                <w:b w:val="0"/>
                <w:bCs/>
                <w:color w:val="auto"/>
                <w:sz w:val="21"/>
                <w:szCs w:val="21"/>
                <w:highlight w:val="none"/>
              </w:rPr>
            </w:pPr>
          </w:p>
        </w:tc>
      </w:tr>
      <w:tr w14:paraId="5022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vMerge w:val="continue"/>
            <w:noWrap w:val="0"/>
            <w:vAlign w:val="center"/>
          </w:tcPr>
          <w:p w14:paraId="7BD18789">
            <w:pPr>
              <w:spacing w:line="300" w:lineRule="exact"/>
              <w:jc w:val="center"/>
              <w:rPr>
                <w:rFonts w:hint="eastAsia" w:ascii="宋体" w:hAnsi="宋体" w:eastAsia="宋体" w:cs="宋体"/>
                <w:b/>
              </w:rPr>
            </w:pPr>
          </w:p>
        </w:tc>
        <w:tc>
          <w:tcPr>
            <w:tcW w:w="1064" w:type="dxa"/>
            <w:vMerge w:val="continue"/>
            <w:noWrap w:val="0"/>
            <w:vAlign w:val="center"/>
          </w:tcPr>
          <w:p w14:paraId="5F2BA2A0">
            <w:pPr>
              <w:spacing w:line="300" w:lineRule="exact"/>
              <w:rPr>
                <w:rFonts w:hint="eastAsia" w:ascii="宋体" w:hAnsi="宋体" w:eastAsia="宋体" w:cs="宋体"/>
                <w:b/>
                <w:kern w:val="0"/>
                <w:szCs w:val="21"/>
              </w:rPr>
            </w:pPr>
          </w:p>
        </w:tc>
        <w:tc>
          <w:tcPr>
            <w:tcW w:w="2344" w:type="dxa"/>
            <w:noWrap w:val="0"/>
            <w:vAlign w:val="top"/>
          </w:tcPr>
          <w:p w14:paraId="14EB0797">
            <w:pPr>
              <w:pStyle w:val="40"/>
              <w:ind w:firstLine="0" w:firstLineChars="0"/>
              <w:rPr>
                <w:rFonts w:hint="eastAsia" w:ascii="宋体" w:hAnsi="宋体" w:eastAsia="宋体" w:cs="宋体"/>
                <w:b w:val="0"/>
                <w:bCs w:val="0"/>
                <w:color w:val="auto"/>
                <w:kern w:val="0"/>
              </w:rPr>
            </w:pPr>
            <w:r>
              <w:rPr>
                <w:rFonts w:hint="eastAsia" w:ascii="宋体" w:hAnsi="宋体" w:eastAsia="宋体" w:cs="宋体"/>
                <w:b w:val="0"/>
                <w:bCs w:val="0"/>
                <w:color w:val="auto"/>
                <w:kern w:val="0"/>
                <w:szCs w:val="21"/>
                <w:highlight w:val="none"/>
              </w:rPr>
              <w:t>★</w:t>
            </w:r>
            <w:r>
              <w:rPr>
                <w:rFonts w:hint="eastAsia" w:ascii="宋体" w:hAnsi="宋体" w:eastAsia="宋体" w:cs="宋体"/>
                <w:b w:val="0"/>
                <w:bCs w:val="0"/>
                <w:color w:val="auto"/>
                <w:kern w:val="0"/>
              </w:rPr>
              <w:t>1.3投标人须</w:t>
            </w:r>
            <w:r>
              <w:rPr>
                <w:rFonts w:hint="eastAsia" w:ascii="宋体" w:hAnsi="宋体" w:cs="宋体"/>
                <w:b w:val="0"/>
                <w:bCs w:val="0"/>
                <w:color w:val="auto"/>
                <w:kern w:val="0"/>
                <w:lang w:val="en-US" w:eastAsia="zh-CN"/>
              </w:rPr>
              <w:t>保证</w:t>
            </w:r>
            <w:r>
              <w:rPr>
                <w:rFonts w:hint="eastAsia" w:ascii="宋体" w:hAnsi="宋体" w:eastAsia="宋体" w:cs="宋体"/>
                <w:b w:val="0"/>
                <w:bCs w:val="0"/>
                <w:color w:val="auto"/>
                <w:kern w:val="0"/>
              </w:rPr>
              <w:t>，其所投设备制造商</w:t>
            </w:r>
            <w:r>
              <w:rPr>
                <w:rFonts w:hint="eastAsia" w:ascii="宋体" w:hAnsi="宋体" w:cs="宋体"/>
                <w:b w:val="0"/>
                <w:bCs w:val="0"/>
                <w:color w:val="auto"/>
                <w:kern w:val="0"/>
                <w:lang w:val="en-US" w:eastAsia="zh-CN"/>
              </w:rPr>
              <w:t>对</w:t>
            </w:r>
            <w:r>
              <w:rPr>
                <w:rFonts w:hint="eastAsia" w:ascii="宋体" w:hAnsi="宋体" w:eastAsia="宋体" w:cs="宋体"/>
                <w:b w:val="0"/>
                <w:bCs w:val="0"/>
                <w:color w:val="auto"/>
                <w:kern w:val="0"/>
              </w:rPr>
              <w:t>货物</w:t>
            </w:r>
            <w:r>
              <w:rPr>
                <w:rFonts w:hint="eastAsia" w:ascii="宋体" w:hAnsi="宋体" w:cs="宋体"/>
                <w:b w:val="0"/>
                <w:bCs w:val="0"/>
                <w:color w:val="auto"/>
                <w:kern w:val="0"/>
                <w:lang w:val="en-US" w:eastAsia="zh-CN"/>
              </w:rPr>
              <w:t>提供</w:t>
            </w:r>
            <w:r>
              <w:rPr>
                <w:rFonts w:hint="eastAsia" w:ascii="宋体" w:hAnsi="宋体" w:eastAsia="宋体" w:cs="宋体"/>
                <w:b w:val="0"/>
                <w:bCs w:val="0"/>
                <w:color w:val="auto"/>
                <w:kern w:val="0"/>
              </w:rPr>
              <w:t>终身维修</w:t>
            </w:r>
            <w:r>
              <w:rPr>
                <w:rFonts w:hint="eastAsia" w:ascii="宋体" w:hAnsi="宋体" w:cs="宋体"/>
                <w:b w:val="0"/>
                <w:bCs w:val="0"/>
                <w:color w:val="auto"/>
                <w:kern w:val="0"/>
                <w:lang w:val="en-US" w:eastAsia="zh-CN"/>
              </w:rPr>
              <w:t>服务</w:t>
            </w:r>
            <w:r>
              <w:rPr>
                <w:rFonts w:hint="eastAsia" w:ascii="宋体" w:hAnsi="宋体" w:eastAsia="宋体" w:cs="宋体"/>
                <w:b w:val="0"/>
                <w:bCs w:val="0"/>
                <w:color w:val="auto"/>
                <w:kern w:val="0"/>
              </w:rPr>
              <w:t>，保证</w:t>
            </w:r>
            <w:r>
              <w:rPr>
                <w:rFonts w:hint="eastAsia" w:ascii="宋体" w:hAnsi="宋体" w:eastAsia="宋体" w:cs="宋体"/>
                <w:b w:val="0"/>
                <w:bCs w:val="0"/>
                <w:color w:val="auto"/>
                <w:kern w:val="0"/>
                <w:u w:val="single"/>
              </w:rPr>
              <w:t>5</w:t>
            </w:r>
            <w:r>
              <w:rPr>
                <w:rFonts w:hint="eastAsia" w:ascii="宋体" w:hAnsi="宋体" w:eastAsia="宋体" w:cs="宋体"/>
                <w:b w:val="0"/>
                <w:bCs w:val="0"/>
                <w:color w:val="auto"/>
                <w:kern w:val="0"/>
              </w:rPr>
              <w:t>年以上供应维修配件，</w:t>
            </w:r>
            <w:r>
              <w:rPr>
                <w:rFonts w:hint="eastAsia" w:ascii="宋体" w:hAnsi="宋体" w:eastAsia="宋体" w:cs="宋体"/>
                <w:b w:val="0"/>
                <w:bCs w:val="0"/>
                <w:color w:val="auto"/>
                <w:kern w:val="0"/>
                <w:u w:val="single"/>
              </w:rPr>
              <w:t>终身</w:t>
            </w:r>
            <w:r>
              <w:rPr>
                <w:rFonts w:hint="eastAsia" w:ascii="宋体" w:hAnsi="宋体" w:eastAsia="宋体" w:cs="宋体"/>
                <w:b w:val="0"/>
                <w:bCs w:val="0"/>
                <w:color w:val="auto"/>
                <w:kern w:val="0"/>
              </w:rPr>
              <w:t>免费提供软件升级服务。</w:t>
            </w:r>
          </w:p>
          <w:p w14:paraId="74AA960F">
            <w:pPr>
              <w:pStyle w:val="40"/>
              <w:ind w:firstLine="0" w:firstLineChars="0"/>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w:t>
            </w:r>
            <w:r>
              <w:rPr>
                <w:rFonts w:hint="eastAsia" w:ascii="宋体" w:hAnsi="宋体" w:eastAsia="宋体" w:cs="宋体"/>
                <w:b w:val="0"/>
                <w:bCs w:val="0"/>
                <w:color w:val="auto"/>
                <w:kern w:val="0"/>
                <w:szCs w:val="21"/>
                <w:highlight w:val="none"/>
                <w:lang w:val="en-US" w:eastAsia="zh-CN"/>
              </w:rPr>
              <w:t>1.4维保期内投标人应保证完成软硬件系统补丁定期更新、漏洞修复、应用数据备份、国密改造及可能进行的应用、数据迁移，备份恢复测试工作，保障系统软硬件安全稳定运行。</w:t>
            </w:r>
          </w:p>
          <w:p w14:paraId="4B558BD4">
            <w:pPr>
              <w:pStyle w:val="40"/>
              <w:ind w:firstLine="0" w:firstLineChars="0"/>
              <w:rPr>
                <w:rFonts w:hint="default" w:ascii="宋体" w:hAnsi="宋体" w:eastAsia="宋体" w:cs="宋体"/>
                <w:b/>
                <w:bCs/>
                <w:color w:val="FF0000"/>
                <w:kern w:val="0"/>
                <w:szCs w:val="21"/>
                <w:highlight w:val="none"/>
                <w:lang w:val="en-US" w:eastAsia="zh-CN"/>
              </w:rPr>
            </w:pPr>
            <w:r>
              <w:rPr>
                <w:rFonts w:hint="eastAsia" w:ascii="宋体" w:hAnsi="宋体" w:eastAsia="宋体" w:cs="宋体"/>
                <w:b w:val="0"/>
                <w:bCs w:val="0"/>
                <w:color w:val="auto"/>
                <w:kern w:val="0"/>
                <w:szCs w:val="21"/>
                <w:highlight w:val="none"/>
              </w:rPr>
              <w:t>★</w:t>
            </w:r>
            <w:r>
              <w:rPr>
                <w:rFonts w:hint="eastAsia" w:ascii="宋体" w:hAnsi="宋体" w:eastAsia="宋体" w:cs="宋体"/>
                <w:b w:val="0"/>
                <w:bCs w:val="0"/>
                <w:color w:val="auto"/>
                <w:kern w:val="0"/>
                <w:szCs w:val="21"/>
                <w:highlight w:val="none"/>
                <w:lang w:val="en-US" w:eastAsia="zh-CN"/>
              </w:rPr>
              <w:t>1.5系统部署实施及维护需遵守院内网络、数据安全管理要求，签署信息安全保密承诺书及患者隐私协议，由于项目人员管理不当、实施维护事故、系统本身漏洞未及时处置等造成的网络数据安全事故由投标人承担全部责任。</w:t>
            </w:r>
          </w:p>
        </w:tc>
        <w:tc>
          <w:tcPr>
            <w:tcW w:w="2332" w:type="dxa"/>
            <w:noWrap w:val="0"/>
            <w:vAlign w:val="top"/>
          </w:tcPr>
          <w:p w14:paraId="5D0DD523">
            <w:pPr>
              <w:pStyle w:val="40"/>
              <w:ind w:firstLine="0" w:firstLineChars="0"/>
              <w:rPr>
                <w:rFonts w:hint="eastAsia" w:ascii="宋体" w:hAnsi="宋体" w:eastAsia="宋体" w:cs="宋体"/>
                <w:b w:val="0"/>
                <w:bCs w:val="0"/>
                <w:color w:val="auto"/>
                <w:kern w:val="0"/>
                <w:szCs w:val="21"/>
                <w:highlight w:val="none"/>
              </w:rPr>
            </w:pPr>
          </w:p>
        </w:tc>
        <w:tc>
          <w:tcPr>
            <w:tcW w:w="1200" w:type="dxa"/>
            <w:noWrap w:val="0"/>
            <w:vAlign w:val="top"/>
          </w:tcPr>
          <w:p w14:paraId="62F29E7C">
            <w:pPr>
              <w:pStyle w:val="40"/>
              <w:ind w:firstLine="0" w:firstLineChars="0"/>
              <w:rPr>
                <w:rFonts w:hint="eastAsia" w:ascii="宋体" w:hAnsi="宋体" w:eastAsia="宋体" w:cs="宋体"/>
                <w:b w:val="0"/>
                <w:bCs w:val="0"/>
                <w:color w:val="auto"/>
                <w:kern w:val="0"/>
                <w:szCs w:val="21"/>
                <w:highlight w:val="none"/>
              </w:rPr>
            </w:pPr>
          </w:p>
        </w:tc>
        <w:tc>
          <w:tcPr>
            <w:tcW w:w="724" w:type="dxa"/>
            <w:noWrap w:val="0"/>
            <w:vAlign w:val="top"/>
          </w:tcPr>
          <w:p w14:paraId="513BC600">
            <w:pPr>
              <w:pStyle w:val="40"/>
              <w:ind w:firstLine="0" w:firstLineChars="0"/>
              <w:rPr>
                <w:rFonts w:hint="eastAsia" w:ascii="宋体" w:hAnsi="宋体" w:eastAsia="宋体" w:cs="宋体"/>
                <w:b w:val="0"/>
                <w:bCs w:val="0"/>
                <w:color w:val="auto"/>
                <w:kern w:val="0"/>
                <w:szCs w:val="21"/>
                <w:highlight w:val="none"/>
              </w:rPr>
            </w:pPr>
          </w:p>
        </w:tc>
      </w:tr>
      <w:tr w14:paraId="7112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9" w:type="dxa"/>
            <w:noWrap w:val="0"/>
            <w:vAlign w:val="center"/>
          </w:tcPr>
          <w:p w14:paraId="119590E9">
            <w:pPr>
              <w:spacing w:line="300" w:lineRule="exact"/>
              <w:jc w:val="center"/>
              <w:rPr>
                <w:rFonts w:hint="eastAsia" w:ascii="宋体" w:hAnsi="宋体" w:eastAsia="宋体" w:cs="宋体"/>
                <w:b/>
              </w:rPr>
            </w:pPr>
            <w:r>
              <w:rPr>
                <w:rFonts w:hint="eastAsia" w:ascii="宋体" w:hAnsi="宋体" w:eastAsia="宋体" w:cs="宋体"/>
                <w:b/>
              </w:rPr>
              <w:t>2</w:t>
            </w:r>
          </w:p>
        </w:tc>
        <w:tc>
          <w:tcPr>
            <w:tcW w:w="1064" w:type="dxa"/>
            <w:noWrap w:val="0"/>
            <w:vAlign w:val="center"/>
          </w:tcPr>
          <w:p w14:paraId="60B99C03">
            <w:pPr>
              <w:spacing w:line="300" w:lineRule="exact"/>
              <w:jc w:val="center"/>
              <w:rPr>
                <w:rFonts w:hint="eastAsia" w:ascii="宋体" w:hAnsi="宋体" w:eastAsia="宋体" w:cs="宋体"/>
              </w:rPr>
            </w:pPr>
            <w:r>
              <w:rPr>
                <w:rFonts w:hint="eastAsia" w:ascii="宋体" w:hAnsi="宋体" w:eastAsia="宋体" w:cs="宋体"/>
                <w:b/>
                <w:kern w:val="0"/>
                <w:szCs w:val="21"/>
              </w:rPr>
              <w:t>质量保证</w:t>
            </w:r>
          </w:p>
        </w:tc>
        <w:tc>
          <w:tcPr>
            <w:tcW w:w="2344" w:type="dxa"/>
            <w:noWrap w:val="0"/>
            <w:vAlign w:val="top"/>
          </w:tcPr>
          <w:p w14:paraId="7D3AEE74">
            <w:pPr>
              <w:spacing w:line="300" w:lineRule="exact"/>
              <w:rPr>
                <w:rFonts w:hint="eastAsia" w:ascii="宋体" w:hAnsi="宋体" w:eastAsia="宋体" w:cs="宋体"/>
                <w:color w:val="FF0000"/>
                <w:kern w:val="0"/>
                <w:szCs w:val="21"/>
              </w:rPr>
            </w:pPr>
            <w:r>
              <w:rPr>
                <w:rFonts w:hint="eastAsia" w:ascii="宋体" w:hAnsi="宋体" w:eastAsia="宋体" w:cs="宋体"/>
                <w:kern w:val="0"/>
                <w:szCs w:val="21"/>
                <w:highlight w:val="none"/>
              </w:rPr>
              <w:t>★</w:t>
            </w:r>
            <w:r>
              <w:rPr>
                <w:rFonts w:hint="eastAsia" w:ascii="宋体" w:hAnsi="宋体" w:eastAsia="宋体" w:cs="宋体"/>
                <w:color w:val="000000"/>
                <w:kern w:val="0"/>
                <w:szCs w:val="21"/>
              </w:rPr>
              <w:t>2.1在保修期内, 投标人应确保年开机率在95%</w:t>
            </w:r>
            <w:r>
              <w:rPr>
                <w:rFonts w:hint="eastAsia" w:ascii="宋体" w:hAnsi="宋体" w:eastAsia="宋体" w:cs="宋体"/>
              </w:rPr>
              <w:t>(含)</w:t>
            </w:r>
            <w:r>
              <w:rPr>
                <w:rFonts w:hint="eastAsia" w:ascii="宋体" w:hAnsi="宋体" w:eastAsia="宋体" w:cs="宋体"/>
                <w:color w:val="000000"/>
                <w:kern w:val="0"/>
                <w:szCs w:val="21"/>
              </w:rPr>
              <w:t>以上, 若不能达到此开机率，将作以下处理：a. 年开机率在90</w:t>
            </w:r>
            <w:r>
              <w:rPr>
                <w:rFonts w:hint="eastAsia" w:ascii="宋体" w:hAnsi="宋体" w:eastAsia="宋体" w:cs="宋体"/>
                <w:color w:val="000000"/>
                <w:kern w:val="0"/>
                <w:szCs w:val="21"/>
                <w:lang w:eastAsia="zh-CN"/>
              </w:rPr>
              <w:t>%（含）—</w:t>
            </w:r>
            <w:r>
              <w:rPr>
                <w:rFonts w:hint="eastAsia" w:ascii="宋体" w:hAnsi="宋体" w:eastAsia="宋体" w:cs="宋体"/>
                <w:color w:val="000000"/>
                <w:kern w:val="0"/>
                <w:szCs w:val="21"/>
              </w:rPr>
              <w:t>95%（不</w:t>
            </w:r>
            <w:r>
              <w:rPr>
                <w:rFonts w:hint="eastAsia" w:ascii="宋体" w:hAnsi="宋体" w:eastAsia="宋体" w:cs="宋体"/>
              </w:rPr>
              <w:t>含</w:t>
            </w:r>
            <w:r>
              <w:rPr>
                <w:rFonts w:hint="eastAsia" w:ascii="宋体" w:hAnsi="宋体" w:eastAsia="宋体" w:cs="宋体"/>
                <w:lang w:eastAsia="zh-CN"/>
              </w:rPr>
              <w:t>）</w:t>
            </w:r>
            <w:r>
              <w:rPr>
                <w:rFonts w:hint="eastAsia" w:ascii="宋体" w:hAnsi="宋体" w:eastAsia="宋体" w:cs="宋体"/>
                <w:color w:val="000000"/>
                <w:kern w:val="0"/>
                <w:szCs w:val="21"/>
              </w:rPr>
              <w:t>之间</w:t>
            </w:r>
            <w:r>
              <w:rPr>
                <w:rFonts w:hint="eastAsia" w:ascii="宋体" w:hAnsi="宋体" w:eastAsia="宋体" w:cs="宋体"/>
                <w:color w:val="000000"/>
                <w:kern w:val="0"/>
                <w:szCs w:val="21"/>
                <w:lang w:eastAsia="zh-CN"/>
              </w:rPr>
              <w:t>，按</w:t>
            </w:r>
            <w:r>
              <w:rPr>
                <w:rFonts w:hint="eastAsia" w:ascii="宋体" w:hAnsi="宋体" w:eastAsia="宋体" w:cs="宋体"/>
                <w:color w:val="000000"/>
                <w:kern w:val="0"/>
                <w:szCs w:val="21"/>
              </w:rPr>
              <w:t>一赔</w:t>
            </w:r>
            <w:r>
              <w:rPr>
                <w:rFonts w:hint="eastAsia" w:ascii="宋体" w:hAnsi="宋体" w:eastAsia="宋体" w:cs="宋体"/>
                <w:color w:val="000000"/>
                <w:kern w:val="0"/>
                <w:szCs w:val="21"/>
                <w:u w:val="single"/>
              </w:rPr>
              <w:t xml:space="preserve"> 二</w:t>
            </w:r>
            <w:r>
              <w:rPr>
                <w:rFonts w:hint="eastAsia" w:ascii="宋体" w:hAnsi="宋体" w:eastAsia="宋体" w:cs="宋体"/>
                <w:color w:val="000000"/>
                <w:kern w:val="0"/>
                <w:szCs w:val="21"/>
              </w:rPr>
              <w:t>延长保修期；b. 年开机率在85（含）-90%（不</w:t>
            </w:r>
            <w:r>
              <w:rPr>
                <w:rFonts w:hint="eastAsia" w:ascii="宋体" w:hAnsi="宋体" w:eastAsia="宋体" w:cs="宋体"/>
              </w:rPr>
              <w:t>含)</w:t>
            </w:r>
            <w:r>
              <w:rPr>
                <w:rFonts w:hint="eastAsia" w:ascii="宋体" w:hAnsi="宋体" w:eastAsia="宋体" w:cs="宋体"/>
                <w:color w:val="000000"/>
                <w:kern w:val="0"/>
                <w:szCs w:val="21"/>
              </w:rPr>
              <w:t>之间按一赔</w:t>
            </w:r>
            <w:r>
              <w:rPr>
                <w:rFonts w:hint="eastAsia" w:ascii="宋体" w:hAnsi="宋体" w:eastAsia="宋体" w:cs="宋体"/>
                <w:color w:val="000000"/>
                <w:kern w:val="0"/>
                <w:szCs w:val="21"/>
                <w:u w:val="single"/>
              </w:rPr>
              <w:t>五</w:t>
            </w:r>
            <w:r>
              <w:rPr>
                <w:rFonts w:hint="eastAsia" w:ascii="宋体" w:hAnsi="宋体" w:eastAsia="宋体" w:cs="宋体"/>
                <w:color w:val="000000"/>
                <w:kern w:val="0"/>
                <w:szCs w:val="21"/>
              </w:rPr>
              <w:t>延长保修期；c. 年开机率低于85%（不</w:t>
            </w:r>
            <w:r>
              <w:rPr>
                <w:rFonts w:hint="eastAsia" w:ascii="宋体" w:hAnsi="宋体" w:eastAsia="宋体" w:cs="宋体"/>
              </w:rPr>
              <w:t>含)</w:t>
            </w:r>
            <w:r>
              <w:rPr>
                <w:rFonts w:hint="eastAsia" w:ascii="宋体" w:hAnsi="宋体" w:eastAsia="宋体" w:cs="宋体"/>
                <w:color w:val="000000"/>
                <w:kern w:val="0"/>
                <w:szCs w:val="21"/>
              </w:rPr>
              <w:t>，投标人必须无条件更换新机，并重新计算保修期，以及赔偿用户的直接经济损失和间接经济损失。注：年开机率=（年实际开机天数/年应开机天数）*100%。</w:t>
            </w:r>
          </w:p>
        </w:tc>
        <w:tc>
          <w:tcPr>
            <w:tcW w:w="2332" w:type="dxa"/>
            <w:noWrap w:val="0"/>
            <w:vAlign w:val="top"/>
          </w:tcPr>
          <w:p w14:paraId="0F0A7150">
            <w:pPr>
              <w:spacing w:line="300" w:lineRule="exact"/>
              <w:rPr>
                <w:rFonts w:hint="eastAsia" w:ascii="宋体" w:hAnsi="宋体" w:eastAsia="宋体" w:cs="宋体"/>
                <w:kern w:val="0"/>
                <w:szCs w:val="21"/>
                <w:highlight w:val="none"/>
              </w:rPr>
            </w:pPr>
          </w:p>
        </w:tc>
        <w:tc>
          <w:tcPr>
            <w:tcW w:w="1200" w:type="dxa"/>
            <w:noWrap w:val="0"/>
            <w:vAlign w:val="top"/>
          </w:tcPr>
          <w:p w14:paraId="0925351C">
            <w:pPr>
              <w:spacing w:line="300" w:lineRule="exact"/>
              <w:rPr>
                <w:rFonts w:hint="eastAsia" w:ascii="宋体" w:hAnsi="宋体" w:eastAsia="宋体" w:cs="宋体"/>
                <w:kern w:val="0"/>
                <w:szCs w:val="21"/>
                <w:highlight w:val="none"/>
              </w:rPr>
            </w:pPr>
          </w:p>
        </w:tc>
        <w:tc>
          <w:tcPr>
            <w:tcW w:w="724" w:type="dxa"/>
            <w:noWrap w:val="0"/>
            <w:vAlign w:val="top"/>
          </w:tcPr>
          <w:p w14:paraId="52D8CB24">
            <w:pPr>
              <w:spacing w:line="300" w:lineRule="exact"/>
              <w:rPr>
                <w:rFonts w:hint="eastAsia" w:ascii="宋体" w:hAnsi="宋体" w:eastAsia="宋体" w:cs="宋体"/>
                <w:kern w:val="0"/>
                <w:szCs w:val="21"/>
                <w:highlight w:val="none"/>
              </w:rPr>
            </w:pPr>
          </w:p>
        </w:tc>
      </w:tr>
      <w:tr w14:paraId="0FCED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483" w:type="dxa"/>
            <w:gridSpan w:val="6"/>
            <w:noWrap w:val="0"/>
            <w:vAlign w:val="top"/>
          </w:tcPr>
          <w:p w14:paraId="3F5920B4">
            <w:pPr>
              <w:spacing w:line="300" w:lineRule="exact"/>
              <w:rPr>
                <w:rFonts w:hint="eastAsia" w:ascii="宋体" w:hAnsi="宋体" w:eastAsia="宋体" w:cs="宋体"/>
                <w:b/>
              </w:rPr>
            </w:pPr>
            <w:r>
              <w:rPr>
                <w:rFonts w:hint="eastAsia" w:ascii="宋体" w:hAnsi="宋体" w:eastAsia="宋体" w:cs="宋体"/>
                <w:b/>
              </w:rPr>
              <w:t>（二）免费保修期外售后服务要求</w:t>
            </w:r>
          </w:p>
        </w:tc>
      </w:tr>
      <w:tr w14:paraId="7587D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9" w:type="dxa"/>
            <w:vMerge w:val="restart"/>
            <w:noWrap w:val="0"/>
            <w:vAlign w:val="center"/>
          </w:tcPr>
          <w:p w14:paraId="46703742">
            <w:pPr>
              <w:spacing w:line="300" w:lineRule="exact"/>
              <w:jc w:val="center"/>
              <w:rPr>
                <w:rFonts w:hint="eastAsia" w:ascii="宋体" w:hAnsi="宋体" w:eastAsia="宋体" w:cs="宋体"/>
                <w:b/>
              </w:rPr>
            </w:pPr>
            <w:r>
              <w:rPr>
                <w:rFonts w:hint="eastAsia" w:ascii="宋体" w:hAnsi="宋体" w:eastAsia="宋体" w:cs="宋体"/>
                <w:b/>
              </w:rPr>
              <w:t>1</w:t>
            </w:r>
          </w:p>
        </w:tc>
        <w:tc>
          <w:tcPr>
            <w:tcW w:w="1064" w:type="dxa"/>
            <w:vMerge w:val="restart"/>
            <w:noWrap w:val="0"/>
            <w:vAlign w:val="center"/>
          </w:tcPr>
          <w:p w14:paraId="57618024">
            <w:pPr>
              <w:spacing w:line="300" w:lineRule="exact"/>
              <w:jc w:val="center"/>
              <w:rPr>
                <w:rFonts w:hint="eastAsia" w:ascii="宋体" w:hAnsi="宋体" w:eastAsia="宋体" w:cs="宋体"/>
                <w:b/>
              </w:rPr>
            </w:pPr>
            <w:r>
              <w:rPr>
                <w:rFonts w:hint="eastAsia" w:ascii="宋体" w:hAnsi="宋体" w:eastAsia="宋体" w:cs="宋体"/>
                <w:b/>
                <w:kern w:val="0"/>
                <w:szCs w:val="21"/>
              </w:rPr>
              <w:t>维修零配件、消耗品和延续保修合同的报价</w:t>
            </w:r>
          </w:p>
        </w:tc>
        <w:tc>
          <w:tcPr>
            <w:tcW w:w="2344" w:type="dxa"/>
            <w:noWrap w:val="0"/>
            <w:vAlign w:val="top"/>
          </w:tcPr>
          <w:p w14:paraId="0DE616BE">
            <w:pPr>
              <w:spacing w:line="300" w:lineRule="exact"/>
              <w:rPr>
                <w:rFonts w:hint="eastAsia" w:ascii="宋体" w:hAnsi="宋体" w:eastAsia="宋体" w:cs="宋体"/>
                <w:kern w:val="0"/>
                <w:szCs w:val="21"/>
              </w:rPr>
            </w:pPr>
            <w:r>
              <w:rPr>
                <w:rFonts w:hint="eastAsia" w:ascii="宋体" w:hAnsi="宋体" w:eastAsia="宋体" w:cs="宋体"/>
                <w:kern w:val="0"/>
                <w:szCs w:val="21"/>
                <w:highlight w:val="none"/>
              </w:rPr>
              <w:t>★</w:t>
            </w:r>
            <w:r>
              <w:rPr>
                <w:rFonts w:hint="eastAsia" w:ascii="宋体" w:hAnsi="宋体" w:eastAsia="宋体" w:cs="宋体"/>
                <w:kern w:val="0"/>
                <w:szCs w:val="21"/>
              </w:rPr>
              <w:t>1.1由设备制造商提供售后服务，</w:t>
            </w:r>
            <w:r>
              <w:rPr>
                <w:rFonts w:hint="eastAsia" w:ascii="宋体" w:hAnsi="宋体" w:eastAsia="宋体" w:cs="宋体"/>
                <w:bCs/>
                <w:kern w:val="0"/>
                <w:szCs w:val="21"/>
                <w:u w:val="single"/>
              </w:rPr>
              <w:t>1</w:t>
            </w:r>
            <w:r>
              <w:rPr>
                <w:rFonts w:hint="eastAsia" w:ascii="宋体" w:hAnsi="宋体" w:eastAsia="宋体" w:cs="宋体"/>
                <w:kern w:val="0"/>
                <w:szCs w:val="21"/>
              </w:rPr>
              <w:t>小时内响应，</w:t>
            </w:r>
            <w:r>
              <w:rPr>
                <w:rFonts w:hint="eastAsia" w:ascii="宋体" w:hAnsi="宋体" w:eastAsia="宋体" w:cs="宋体"/>
                <w:kern w:val="0"/>
                <w:szCs w:val="21"/>
                <w:u w:val="single"/>
              </w:rPr>
              <w:t>24</w:t>
            </w:r>
            <w:r>
              <w:rPr>
                <w:rFonts w:hint="eastAsia" w:ascii="宋体" w:hAnsi="宋体" w:eastAsia="宋体" w:cs="宋体"/>
                <w:kern w:val="0"/>
                <w:szCs w:val="21"/>
              </w:rPr>
              <w:t>小时人员到位，</w:t>
            </w:r>
            <w:r>
              <w:rPr>
                <w:rFonts w:hint="eastAsia" w:ascii="宋体" w:hAnsi="宋体" w:eastAsia="宋体" w:cs="宋体"/>
                <w:bCs/>
                <w:kern w:val="0"/>
                <w:szCs w:val="21"/>
                <w:u w:val="single"/>
              </w:rPr>
              <w:t>48</w:t>
            </w:r>
            <w:r>
              <w:rPr>
                <w:rFonts w:hint="eastAsia" w:ascii="宋体" w:hAnsi="宋体" w:eastAsia="宋体" w:cs="宋体"/>
                <w:kern w:val="0"/>
                <w:szCs w:val="21"/>
              </w:rPr>
              <w:t>小时维修到位（不可抗力情况除外）,</w:t>
            </w:r>
            <w:r>
              <w:rPr>
                <w:rFonts w:hint="eastAsia" w:ascii="宋体" w:hAnsi="宋体" w:eastAsia="宋体" w:cs="宋体"/>
              </w:rPr>
              <w:t xml:space="preserve"> </w:t>
            </w:r>
            <w:r>
              <w:rPr>
                <w:rFonts w:hint="eastAsia" w:ascii="宋体" w:hAnsi="宋体" w:eastAsia="宋体" w:cs="宋体"/>
                <w:kern w:val="0"/>
                <w:szCs w:val="21"/>
              </w:rPr>
              <w:t>消耗品和零配件供应及时。</w:t>
            </w:r>
          </w:p>
        </w:tc>
        <w:tc>
          <w:tcPr>
            <w:tcW w:w="2332" w:type="dxa"/>
            <w:noWrap w:val="0"/>
            <w:vAlign w:val="top"/>
          </w:tcPr>
          <w:p w14:paraId="6D8CC650">
            <w:pPr>
              <w:spacing w:line="300" w:lineRule="exact"/>
              <w:rPr>
                <w:rFonts w:hint="eastAsia" w:ascii="宋体" w:hAnsi="宋体" w:eastAsia="宋体" w:cs="宋体"/>
                <w:kern w:val="0"/>
                <w:szCs w:val="21"/>
                <w:highlight w:val="none"/>
              </w:rPr>
            </w:pPr>
          </w:p>
        </w:tc>
        <w:tc>
          <w:tcPr>
            <w:tcW w:w="1200" w:type="dxa"/>
            <w:noWrap w:val="0"/>
            <w:vAlign w:val="top"/>
          </w:tcPr>
          <w:p w14:paraId="6B08F859">
            <w:pPr>
              <w:spacing w:line="300" w:lineRule="exact"/>
              <w:rPr>
                <w:rFonts w:hint="eastAsia" w:ascii="宋体" w:hAnsi="宋体" w:eastAsia="宋体" w:cs="宋体"/>
                <w:kern w:val="0"/>
                <w:szCs w:val="21"/>
                <w:highlight w:val="none"/>
              </w:rPr>
            </w:pPr>
          </w:p>
        </w:tc>
        <w:tc>
          <w:tcPr>
            <w:tcW w:w="724" w:type="dxa"/>
            <w:noWrap w:val="0"/>
            <w:vAlign w:val="top"/>
          </w:tcPr>
          <w:p w14:paraId="3F206925">
            <w:pPr>
              <w:spacing w:line="300" w:lineRule="exact"/>
              <w:rPr>
                <w:rFonts w:hint="eastAsia" w:ascii="宋体" w:hAnsi="宋体" w:eastAsia="宋体" w:cs="宋体"/>
                <w:kern w:val="0"/>
                <w:szCs w:val="21"/>
                <w:highlight w:val="none"/>
              </w:rPr>
            </w:pPr>
          </w:p>
        </w:tc>
      </w:tr>
      <w:tr w14:paraId="65A7F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819" w:type="dxa"/>
            <w:vMerge w:val="continue"/>
            <w:noWrap w:val="0"/>
            <w:vAlign w:val="center"/>
          </w:tcPr>
          <w:p w14:paraId="2D6DCBD9">
            <w:pPr>
              <w:spacing w:line="300" w:lineRule="exact"/>
              <w:jc w:val="center"/>
              <w:rPr>
                <w:rFonts w:hint="eastAsia" w:ascii="宋体" w:hAnsi="宋体" w:eastAsia="宋体" w:cs="宋体"/>
                <w:b/>
              </w:rPr>
            </w:pPr>
          </w:p>
        </w:tc>
        <w:tc>
          <w:tcPr>
            <w:tcW w:w="1064" w:type="dxa"/>
            <w:vMerge w:val="continue"/>
            <w:noWrap w:val="0"/>
            <w:vAlign w:val="center"/>
          </w:tcPr>
          <w:p w14:paraId="2D5F9117">
            <w:pPr>
              <w:spacing w:line="300" w:lineRule="exact"/>
              <w:jc w:val="center"/>
              <w:rPr>
                <w:rFonts w:hint="eastAsia" w:ascii="宋体" w:hAnsi="宋体" w:eastAsia="宋体" w:cs="宋体"/>
                <w:b/>
                <w:kern w:val="0"/>
                <w:szCs w:val="21"/>
              </w:rPr>
            </w:pPr>
          </w:p>
        </w:tc>
        <w:tc>
          <w:tcPr>
            <w:tcW w:w="2344" w:type="dxa"/>
            <w:noWrap w:val="0"/>
            <w:vAlign w:val="top"/>
          </w:tcPr>
          <w:p w14:paraId="1620A065">
            <w:pPr>
              <w:spacing w:line="300" w:lineRule="exact"/>
              <w:rPr>
                <w:rFonts w:hint="eastAsia" w:ascii="宋体" w:hAnsi="宋体" w:eastAsia="宋体" w:cs="宋体"/>
                <w:kern w:val="0"/>
                <w:szCs w:val="21"/>
              </w:rPr>
            </w:pPr>
            <w:r>
              <w:rPr>
                <w:rFonts w:hint="eastAsia" w:ascii="宋体" w:hAnsi="宋体" w:eastAsia="宋体" w:cs="宋体"/>
                <w:kern w:val="0"/>
                <w:szCs w:val="21"/>
                <w:highlight w:val="none"/>
              </w:rPr>
              <w:t>★</w:t>
            </w:r>
            <w:r>
              <w:rPr>
                <w:rFonts w:hint="eastAsia" w:ascii="宋体" w:hAnsi="宋体" w:eastAsia="宋体" w:cs="宋体"/>
                <w:kern w:val="0"/>
                <w:szCs w:val="21"/>
              </w:rPr>
              <w:t>1.2</w:t>
            </w:r>
            <w:r>
              <w:rPr>
                <w:rFonts w:hint="eastAsia" w:ascii="宋体" w:hAnsi="宋体" w:eastAsia="宋体" w:cs="宋体"/>
                <w:b/>
                <w:bCs/>
                <w:color w:val="FF0000"/>
                <w:kern w:val="0"/>
                <w:szCs w:val="21"/>
              </w:rPr>
              <w:t>保修期满后，投标人应以优惠价供应维修零配件、消耗品和延续保修合同。投标设备必需的零配件、高值耗材、消耗品和延续保修合同的报价明细必须全部填写于《零配件、消耗品和延续保修合同报价</w:t>
            </w:r>
            <w:r>
              <w:rPr>
                <w:rFonts w:hint="eastAsia" w:ascii="宋体" w:hAnsi="宋体" w:eastAsia="宋体" w:cs="宋体"/>
                <w:b/>
                <w:bCs/>
                <w:color w:val="FF0000"/>
                <w:kern w:val="0"/>
                <w:szCs w:val="21"/>
                <w:lang w:eastAsia="zh-CN"/>
              </w:rPr>
              <w:t>明细单</w:t>
            </w:r>
            <w:r>
              <w:rPr>
                <w:rFonts w:hint="eastAsia" w:ascii="宋体" w:hAnsi="宋体" w:eastAsia="宋体" w:cs="宋体"/>
                <w:b/>
                <w:bCs/>
                <w:color w:val="FF0000"/>
                <w:kern w:val="0"/>
                <w:szCs w:val="21"/>
              </w:rPr>
              <w:t>》中</w:t>
            </w:r>
            <w:r>
              <w:rPr>
                <w:rFonts w:hint="eastAsia" w:ascii="宋体" w:hAnsi="宋体" w:cs="宋体"/>
                <w:b/>
                <w:bCs/>
                <w:color w:val="FF0000"/>
                <w:kern w:val="0"/>
                <w:szCs w:val="21"/>
                <w:lang w:eastAsia="zh-CN"/>
              </w:rPr>
              <w:t>，未列明的视为免费提供</w:t>
            </w:r>
            <w:r>
              <w:rPr>
                <w:rFonts w:hint="eastAsia" w:ascii="宋体" w:hAnsi="宋体" w:eastAsia="宋体" w:cs="宋体"/>
                <w:b/>
                <w:bCs/>
                <w:color w:val="FF0000"/>
                <w:kern w:val="0"/>
                <w:szCs w:val="21"/>
              </w:rPr>
              <w:t>。</w:t>
            </w:r>
            <w:r>
              <w:rPr>
                <w:rFonts w:hint="eastAsia" w:ascii="宋体" w:hAnsi="宋体" w:eastAsia="宋体" w:cs="宋体"/>
                <w:kern w:val="0"/>
                <w:szCs w:val="21"/>
              </w:rPr>
              <w:t>免费保修期满后负责货物的终身维修，以优惠价供应维修零配件、消耗品以及提供延续保修合同</w:t>
            </w:r>
            <w:r>
              <w:rPr>
                <w:rFonts w:hint="eastAsia" w:ascii="宋体" w:hAnsi="宋体" w:cs="宋体"/>
                <w:kern w:val="0"/>
                <w:szCs w:val="21"/>
                <w:lang w:eastAsia="zh-CN"/>
              </w:rPr>
              <w:t>，其中整机（含本项目所有软硬件标的）每年保修价格不高于合同价的10%</w:t>
            </w:r>
            <w:r>
              <w:rPr>
                <w:rFonts w:hint="eastAsia" w:ascii="宋体" w:hAnsi="宋体" w:eastAsia="宋体" w:cs="宋体"/>
                <w:kern w:val="0"/>
                <w:szCs w:val="21"/>
              </w:rPr>
              <w:t>。</w:t>
            </w:r>
          </w:p>
        </w:tc>
        <w:tc>
          <w:tcPr>
            <w:tcW w:w="2332" w:type="dxa"/>
            <w:noWrap w:val="0"/>
            <w:vAlign w:val="top"/>
          </w:tcPr>
          <w:p w14:paraId="182656B4">
            <w:pPr>
              <w:spacing w:line="300" w:lineRule="exact"/>
              <w:rPr>
                <w:rFonts w:hint="eastAsia" w:ascii="宋体" w:hAnsi="宋体" w:eastAsia="宋体" w:cs="宋体"/>
                <w:kern w:val="0"/>
                <w:szCs w:val="21"/>
                <w:highlight w:val="none"/>
              </w:rPr>
            </w:pPr>
          </w:p>
        </w:tc>
        <w:tc>
          <w:tcPr>
            <w:tcW w:w="1200" w:type="dxa"/>
            <w:noWrap w:val="0"/>
            <w:vAlign w:val="top"/>
          </w:tcPr>
          <w:p w14:paraId="3B53F5CB">
            <w:pPr>
              <w:spacing w:line="300" w:lineRule="exact"/>
              <w:rPr>
                <w:rFonts w:hint="eastAsia" w:ascii="宋体" w:hAnsi="宋体" w:eastAsia="宋体" w:cs="宋体"/>
                <w:kern w:val="0"/>
                <w:szCs w:val="21"/>
                <w:highlight w:val="none"/>
              </w:rPr>
            </w:pPr>
          </w:p>
        </w:tc>
        <w:tc>
          <w:tcPr>
            <w:tcW w:w="724" w:type="dxa"/>
            <w:noWrap w:val="0"/>
            <w:vAlign w:val="top"/>
          </w:tcPr>
          <w:p w14:paraId="1C80C758">
            <w:pPr>
              <w:spacing w:line="300" w:lineRule="exact"/>
              <w:rPr>
                <w:rFonts w:hint="eastAsia" w:ascii="宋体" w:hAnsi="宋体" w:eastAsia="宋体" w:cs="宋体"/>
                <w:kern w:val="0"/>
                <w:szCs w:val="21"/>
                <w:highlight w:val="none"/>
              </w:rPr>
            </w:pPr>
          </w:p>
        </w:tc>
      </w:tr>
      <w:tr w14:paraId="4C8CE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19" w:type="dxa"/>
            <w:vMerge w:val="continue"/>
            <w:noWrap w:val="0"/>
            <w:vAlign w:val="center"/>
          </w:tcPr>
          <w:p w14:paraId="1E1AEAA9">
            <w:pPr>
              <w:jc w:val="center"/>
              <w:rPr>
                <w:rFonts w:hint="eastAsia" w:ascii="宋体" w:hAnsi="宋体" w:eastAsia="宋体" w:cs="宋体"/>
                <w:b/>
              </w:rPr>
            </w:pPr>
          </w:p>
        </w:tc>
        <w:tc>
          <w:tcPr>
            <w:tcW w:w="1064" w:type="dxa"/>
            <w:vMerge w:val="continue"/>
            <w:noWrap w:val="0"/>
            <w:vAlign w:val="top"/>
          </w:tcPr>
          <w:p w14:paraId="6C03301E">
            <w:pPr>
              <w:rPr>
                <w:rFonts w:hint="eastAsia" w:ascii="宋体" w:hAnsi="宋体" w:eastAsia="宋体" w:cs="宋体"/>
                <w:b/>
              </w:rPr>
            </w:pPr>
          </w:p>
        </w:tc>
        <w:tc>
          <w:tcPr>
            <w:tcW w:w="2344" w:type="dxa"/>
            <w:noWrap w:val="0"/>
            <w:vAlign w:val="top"/>
          </w:tcPr>
          <w:p w14:paraId="650D7FC8">
            <w:pPr>
              <w:rPr>
                <w:rFonts w:hint="eastAsia" w:ascii="宋体" w:hAnsi="宋体" w:eastAsia="宋体" w:cs="宋体"/>
                <w:b/>
              </w:rPr>
            </w:pPr>
            <w:r>
              <w:rPr>
                <w:rFonts w:hint="eastAsia" w:ascii="宋体" w:hAnsi="宋体" w:eastAsia="宋体" w:cs="宋体"/>
                <w:kern w:val="0"/>
                <w:szCs w:val="21"/>
                <w:highlight w:val="none"/>
              </w:rPr>
              <w:t>★</w:t>
            </w:r>
            <w:r>
              <w:rPr>
                <w:rFonts w:hint="eastAsia" w:ascii="宋体" w:hAnsi="宋体" w:eastAsia="宋体" w:cs="宋体"/>
                <w:kern w:val="0"/>
                <w:szCs w:val="21"/>
              </w:rPr>
              <w:t>1.3设备制造商维修的货物经采购人验收合格，且设备制造商提供合法有效发票后，采购人支付维修费用。</w:t>
            </w:r>
          </w:p>
        </w:tc>
        <w:tc>
          <w:tcPr>
            <w:tcW w:w="2332" w:type="dxa"/>
            <w:noWrap w:val="0"/>
            <w:vAlign w:val="top"/>
          </w:tcPr>
          <w:p w14:paraId="4CD4876F">
            <w:pPr>
              <w:rPr>
                <w:rFonts w:hint="eastAsia" w:ascii="宋体" w:hAnsi="宋体" w:eastAsia="宋体" w:cs="宋体"/>
                <w:kern w:val="0"/>
                <w:szCs w:val="21"/>
                <w:highlight w:val="none"/>
              </w:rPr>
            </w:pPr>
          </w:p>
        </w:tc>
        <w:tc>
          <w:tcPr>
            <w:tcW w:w="1200" w:type="dxa"/>
            <w:noWrap w:val="0"/>
            <w:vAlign w:val="top"/>
          </w:tcPr>
          <w:p w14:paraId="0247B851">
            <w:pPr>
              <w:rPr>
                <w:rFonts w:hint="eastAsia" w:ascii="宋体" w:hAnsi="宋体" w:eastAsia="宋体" w:cs="宋体"/>
                <w:kern w:val="0"/>
                <w:szCs w:val="21"/>
                <w:highlight w:val="none"/>
              </w:rPr>
            </w:pPr>
          </w:p>
        </w:tc>
        <w:tc>
          <w:tcPr>
            <w:tcW w:w="724" w:type="dxa"/>
            <w:noWrap w:val="0"/>
            <w:vAlign w:val="top"/>
          </w:tcPr>
          <w:p w14:paraId="68013235">
            <w:pPr>
              <w:rPr>
                <w:rFonts w:hint="eastAsia" w:ascii="宋体" w:hAnsi="宋体" w:eastAsia="宋体" w:cs="宋体"/>
                <w:kern w:val="0"/>
                <w:szCs w:val="21"/>
                <w:highlight w:val="none"/>
              </w:rPr>
            </w:pPr>
          </w:p>
        </w:tc>
      </w:tr>
      <w:tr w14:paraId="214F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819" w:type="dxa"/>
            <w:vMerge w:val="continue"/>
            <w:noWrap w:val="0"/>
            <w:vAlign w:val="center"/>
          </w:tcPr>
          <w:p w14:paraId="4B76603A">
            <w:pPr>
              <w:jc w:val="center"/>
              <w:rPr>
                <w:rFonts w:hint="eastAsia" w:ascii="宋体" w:hAnsi="宋体" w:eastAsia="宋体" w:cs="宋体"/>
                <w:b/>
              </w:rPr>
            </w:pPr>
          </w:p>
        </w:tc>
        <w:tc>
          <w:tcPr>
            <w:tcW w:w="1064" w:type="dxa"/>
            <w:vMerge w:val="continue"/>
            <w:noWrap w:val="0"/>
            <w:vAlign w:val="top"/>
          </w:tcPr>
          <w:p w14:paraId="555EFDFE">
            <w:pPr>
              <w:rPr>
                <w:rFonts w:hint="eastAsia" w:ascii="宋体" w:hAnsi="宋体" w:eastAsia="宋体" w:cs="宋体"/>
                <w:b/>
              </w:rPr>
            </w:pPr>
          </w:p>
        </w:tc>
        <w:tc>
          <w:tcPr>
            <w:tcW w:w="2344" w:type="dxa"/>
            <w:noWrap w:val="0"/>
            <w:vAlign w:val="top"/>
          </w:tcPr>
          <w:p w14:paraId="78DB9CCB">
            <w:pPr>
              <w:rPr>
                <w:rFonts w:hint="eastAsia" w:ascii="宋体" w:hAnsi="宋体" w:eastAsia="宋体" w:cs="宋体"/>
                <w:b/>
              </w:rPr>
            </w:pPr>
            <w:r>
              <w:rPr>
                <w:rFonts w:hint="eastAsia" w:ascii="宋体" w:hAnsi="宋体" w:eastAsia="宋体" w:cs="宋体"/>
                <w:kern w:val="0"/>
                <w:szCs w:val="21"/>
                <w:highlight w:val="none"/>
              </w:rPr>
              <w:t>★</w:t>
            </w:r>
            <w:r>
              <w:rPr>
                <w:rFonts w:hint="eastAsia" w:ascii="宋体" w:hAnsi="宋体" w:eastAsia="宋体" w:cs="宋体"/>
                <w:kern w:val="0"/>
                <w:szCs w:val="21"/>
              </w:rPr>
              <w:t>1.4投标人及设备制造商不得以任何理由不按时进行维修，不得要求采购人购买所谓“保修服务”（即：不论设备有无故障，是否已购买保修服务），不得在设备中嵌设任何不利于采购人使用与维修设备的障碍。</w:t>
            </w:r>
          </w:p>
        </w:tc>
        <w:tc>
          <w:tcPr>
            <w:tcW w:w="2332" w:type="dxa"/>
            <w:noWrap w:val="0"/>
            <w:vAlign w:val="top"/>
          </w:tcPr>
          <w:p w14:paraId="4CD2B6F0">
            <w:pPr>
              <w:rPr>
                <w:rFonts w:hint="eastAsia" w:ascii="宋体" w:hAnsi="宋体" w:eastAsia="宋体" w:cs="宋体"/>
                <w:kern w:val="0"/>
                <w:szCs w:val="21"/>
                <w:highlight w:val="none"/>
              </w:rPr>
            </w:pPr>
          </w:p>
        </w:tc>
        <w:tc>
          <w:tcPr>
            <w:tcW w:w="1200" w:type="dxa"/>
            <w:noWrap w:val="0"/>
            <w:vAlign w:val="top"/>
          </w:tcPr>
          <w:p w14:paraId="2BF26721">
            <w:pPr>
              <w:rPr>
                <w:rFonts w:hint="eastAsia" w:ascii="宋体" w:hAnsi="宋体" w:eastAsia="宋体" w:cs="宋体"/>
                <w:kern w:val="0"/>
                <w:szCs w:val="21"/>
                <w:highlight w:val="none"/>
              </w:rPr>
            </w:pPr>
          </w:p>
        </w:tc>
        <w:tc>
          <w:tcPr>
            <w:tcW w:w="724" w:type="dxa"/>
            <w:noWrap w:val="0"/>
            <w:vAlign w:val="top"/>
          </w:tcPr>
          <w:p w14:paraId="354D3969">
            <w:pPr>
              <w:rPr>
                <w:rFonts w:hint="eastAsia" w:ascii="宋体" w:hAnsi="宋体" w:eastAsia="宋体" w:cs="宋体"/>
                <w:kern w:val="0"/>
                <w:szCs w:val="21"/>
                <w:highlight w:val="none"/>
              </w:rPr>
            </w:pPr>
          </w:p>
        </w:tc>
      </w:tr>
      <w:tr w14:paraId="6265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483" w:type="dxa"/>
            <w:gridSpan w:val="6"/>
            <w:noWrap w:val="0"/>
            <w:vAlign w:val="top"/>
          </w:tcPr>
          <w:p w14:paraId="37CA9D3E">
            <w:pPr>
              <w:rPr>
                <w:rFonts w:hint="eastAsia" w:ascii="宋体" w:hAnsi="宋体" w:eastAsia="宋体" w:cs="宋体"/>
                <w:b/>
              </w:rPr>
            </w:pPr>
            <w:r>
              <w:rPr>
                <w:rFonts w:hint="eastAsia" w:ascii="宋体" w:hAnsi="宋体" w:eastAsia="宋体" w:cs="宋体"/>
                <w:b/>
              </w:rPr>
              <w:t>（三）其他商务要求</w:t>
            </w:r>
          </w:p>
        </w:tc>
      </w:tr>
      <w:tr w14:paraId="20B4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7" w:hRule="atLeast"/>
        </w:trPr>
        <w:tc>
          <w:tcPr>
            <w:tcW w:w="819" w:type="dxa"/>
            <w:vMerge w:val="restart"/>
            <w:noWrap w:val="0"/>
            <w:vAlign w:val="center"/>
          </w:tcPr>
          <w:p w14:paraId="36BFB632">
            <w:pPr>
              <w:jc w:val="center"/>
              <w:rPr>
                <w:rFonts w:hint="eastAsia" w:ascii="宋体" w:hAnsi="宋体" w:eastAsia="宋体" w:cs="宋体"/>
                <w:b/>
              </w:rPr>
            </w:pPr>
            <w:r>
              <w:rPr>
                <w:rFonts w:hint="eastAsia" w:ascii="宋体" w:hAnsi="宋体" w:eastAsia="宋体" w:cs="宋体"/>
                <w:b/>
              </w:rPr>
              <w:t>1</w:t>
            </w:r>
          </w:p>
        </w:tc>
        <w:tc>
          <w:tcPr>
            <w:tcW w:w="1064" w:type="dxa"/>
            <w:vMerge w:val="restart"/>
            <w:noWrap w:val="0"/>
            <w:vAlign w:val="center"/>
          </w:tcPr>
          <w:p w14:paraId="33040031">
            <w:pPr>
              <w:jc w:val="center"/>
              <w:rPr>
                <w:rFonts w:hint="eastAsia" w:ascii="宋体" w:hAnsi="宋体" w:eastAsia="宋体" w:cs="宋体"/>
              </w:rPr>
            </w:pPr>
            <w:r>
              <w:rPr>
                <w:rFonts w:hint="eastAsia" w:ascii="宋体" w:hAnsi="宋体" w:eastAsia="宋体" w:cs="宋体"/>
                <w:b/>
                <w:szCs w:val="21"/>
              </w:rPr>
              <w:t>交货要求</w:t>
            </w:r>
          </w:p>
        </w:tc>
        <w:tc>
          <w:tcPr>
            <w:tcW w:w="2344" w:type="dxa"/>
            <w:noWrap w:val="0"/>
            <w:vAlign w:val="top"/>
          </w:tcPr>
          <w:p w14:paraId="5A5BD630">
            <w:pPr>
              <w:rPr>
                <w:rFonts w:hint="eastAsia" w:ascii="宋体" w:hAnsi="宋体" w:eastAsia="宋体" w:cs="宋体"/>
                <w:b w:val="0"/>
                <w:bCs w:val="0"/>
                <w:color w:val="auto"/>
                <w:kern w:val="0"/>
                <w:szCs w:val="21"/>
              </w:rPr>
            </w:pPr>
            <w:r>
              <w:rPr>
                <w:rFonts w:hint="eastAsia" w:ascii="宋体" w:hAnsi="宋体" w:eastAsia="宋体" w:cs="宋体"/>
                <w:b w:val="0"/>
                <w:bCs w:val="0"/>
                <w:color w:val="auto"/>
                <w:kern w:val="0"/>
                <w:szCs w:val="21"/>
              </w:rPr>
              <w:t>★</w:t>
            </w:r>
            <w:r>
              <w:rPr>
                <w:rFonts w:hint="eastAsia" w:ascii="宋体" w:hAnsi="宋体" w:eastAsia="宋体" w:cs="宋体"/>
                <w:b w:val="0"/>
                <w:bCs w:val="0"/>
                <w:color w:val="auto"/>
                <w:szCs w:val="21"/>
              </w:rPr>
              <w:t>1.1</w:t>
            </w:r>
            <w:r>
              <w:rPr>
                <w:rFonts w:hint="eastAsia" w:ascii="宋体" w:hAnsi="宋体" w:eastAsia="宋体" w:cs="宋体"/>
                <w:b w:val="0"/>
                <w:bCs w:val="0"/>
                <w:color w:val="auto"/>
                <w:kern w:val="0"/>
                <w:szCs w:val="21"/>
              </w:rPr>
              <w:t>投标人所投设备在签订合同之日起</w:t>
            </w:r>
            <w:r>
              <w:rPr>
                <w:rFonts w:hint="eastAsia" w:ascii="宋体" w:hAnsi="宋体" w:eastAsia="宋体" w:cs="宋体"/>
                <w:b w:val="0"/>
                <w:bCs w:val="0"/>
                <w:color w:val="auto"/>
                <w:kern w:val="0"/>
                <w:szCs w:val="21"/>
                <w:u w:val="single"/>
              </w:rPr>
              <w:t>60</w:t>
            </w:r>
            <w:r>
              <w:rPr>
                <w:rFonts w:hint="eastAsia" w:ascii="宋体" w:hAnsi="宋体" w:eastAsia="宋体" w:cs="宋体"/>
                <w:b w:val="0"/>
                <w:bCs w:val="0"/>
                <w:color w:val="auto"/>
                <w:kern w:val="0"/>
                <w:szCs w:val="21"/>
              </w:rPr>
              <w:t>个日历日内交货。交货地址：深圳市龙岗区宝荷路113号。</w:t>
            </w:r>
          </w:p>
          <w:p w14:paraId="16209E37">
            <w:pPr>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交货资料：</w:t>
            </w:r>
            <w:r>
              <w:rPr>
                <w:rFonts w:hint="eastAsia" w:ascii="宋体" w:hAnsi="宋体" w:eastAsia="宋体" w:cs="宋体"/>
                <w:b w:val="0"/>
                <w:bCs w:val="0"/>
                <w:color w:val="auto"/>
                <w:szCs w:val="21"/>
              </w:rPr>
              <w:t>投标人</w:t>
            </w:r>
            <w:r>
              <w:rPr>
                <w:rFonts w:hint="eastAsia" w:ascii="宋体" w:hAnsi="宋体" w:eastAsia="宋体" w:cs="宋体"/>
                <w:b w:val="0"/>
                <w:bCs w:val="0"/>
                <w:color w:val="auto"/>
                <w:kern w:val="0"/>
                <w:szCs w:val="21"/>
              </w:rPr>
              <w:t>应提供货物的技术文件，包括但不限于设备配置清单、医疗器械注册证/备案证及其附件（含产品技术要求、产品检验报告）、产品说明书、图纸（如有）、操作手册、维护手册（含维修密码及接口数据）、质量保证文件、服务指南</w:t>
            </w:r>
            <w:r>
              <w:rPr>
                <w:rFonts w:hint="eastAsia" w:ascii="宋体" w:hAnsi="宋体" w:eastAsia="宋体" w:cs="宋体"/>
                <w:b w:val="0"/>
                <w:bCs w:val="0"/>
                <w:color w:val="auto"/>
                <w:kern w:val="0"/>
                <w:szCs w:val="21"/>
                <w:lang w:val="en-US" w:eastAsia="zh-CN"/>
              </w:rPr>
              <w:t>、系统软硬件最大管理员账户及权限</w:t>
            </w:r>
            <w:r>
              <w:rPr>
                <w:rFonts w:hint="eastAsia" w:ascii="宋体" w:hAnsi="宋体" w:eastAsia="宋体" w:cs="宋体"/>
                <w:b w:val="0"/>
                <w:bCs w:val="0"/>
                <w:color w:val="auto"/>
                <w:kern w:val="0"/>
                <w:szCs w:val="21"/>
              </w:rPr>
              <w:t>等，所有外文资料须提供中文译本。文件应随货物一并交付至采购人指定地点。</w:t>
            </w:r>
          </w:p>
          <w:p w14:paraId="69368F95">
            <w:pPr>
              <w:rPr>
                <w:rFonts w:hint="eastAsia" w:ascii="宋体" w:hAnsi="宋体" w:eastAsia="宋体" w:cs="宋体"/>
                <w:spacing w:val="-3"/>
                <w:szCs w:val="21"/>
              </w:rPr>
            </w:pPr>
            <w:r>
              <w:rPr>
                <w:rFonts w:hint="eastAsia" w:ascii="宋体" w:hAnsi="宋体" w:eastAsia="宋体" w:cs="宋体"/>
                <w:b w:val="0"/>
                <w:bCs w:val="0"/>
                <w:color w:val="auto"/>
                <w:spacing w:val="-3"/>
                <w:szCs w:val="21"/>
                <w:lang w:val="en-US" w:eastAsia="zh-CN"/>
              </w:rPr>
              <w:t>货物要求：</w:t>
            </w:r>
            <w:r>
              <w:rPr>
                <w:rFonts w:hint="eastAsia" w:ascii="宋体" w:hAnsi="宋体" w:eastAsia="宋体" w:cs="宋体"/>
                <w:b w:val="0"/>
                <w:bCs w:val="0"/>
                <w:color w:val="auto"/>
                <w:spacing w:val="-3"/>
                <w:szCs w:val="21"/>
              </w:rPr>
              <w:t>提供的货物必须为最新生产批次或生产日期为1年以内的、经检验合格的产品。产品如需要计量检定的应提供相关计量检定部门出具的合法检定报告。其中，进口设备必须具有</w:t>
            </w:r>
            <w:r>
              <w:rPr>
                <w:rFonts w:hint="eastAsia" w:ascii="宋体" w:hAnsi="宋体" w:eastAsia="宋体" w:cs="宋体"/>
                <w:b w:val="0"/>
                <w:bCs w:val="0"/>
                <w:color w:val="auto"/>
                <w:kern w:val="0"/>
                <w:szCs w:val="21"/>
              </w:rPr>
              <w:t>报关证明</w:t>
            </w:r>
            <w:r>
              <w:rPr>
                <w:rFonts w:hint="eastAsia" w:ascii="宋体" w:hAnsi="宋体" w:eastAsia="宋体" w:cs="宋体"/>
                <w:b w:val="0"/>
                <w:bCs w:val="0"/>
                <w:color w:val="auto"/>
                <w:spacing w:val="-3"/>
                <w:szCs w:val="21"/>
              </w:rPr>
              <w:t>文件、</w:t>
            </w:r>
            <w:r>
              <w:rPr>
                <w:rFonts w:hint="eastAsia" w:ascii="宋体" w:hAnsi="宋体" w:eastAsia="宋体" w:cs="宋体"/>
                <w:b w:val="0"/>
                <w:bCs w:val="0"/>
                <w:color w:val="auto"/>
                <w:kern w:val="0"/>
                <w:szCs w:val="21"/>
              </w:rPr>
              <w:t>完税证明和</w:t>
            </w:r>
            <w:r>
              <w:rPr>
                <w:rFonts w:hint="eastAsia" w:ascii="宋体" w:hAnsi="宋体" w:eastAsia="宋体" w:cs="宋体"/>
                <w:b w:val="0"/>
                <w:bCs w:val="0"/>
                <w:color w:val="auto"/>
                <w:spacing w:val="-3"/>
                <w:szCs w:val="21"/>
              </w:rPr>
              <w:t>商检合格证明文件。</w:t>
            </w:r>
          </w:p>
        </w:tc>
        <w:tc>
          <w:tcPr>
            <w:tcW w:w="2332" w:type="dxa"/>
            <w:noWrap w:val="0"/>
            <w:vAlign w:val="top"/>
          </w:tcPr>
          <w:p w14:paraId="5F14DF70">
            <w:pPr>
              <w:rPr>
                <w:rFonts w:hint="eastAsia" w:ascii="宋体" w:hAnsi="宋体" w:eastAsia="宋体" w:cs="宋体"/>
                <w:b w:val="0"/>
                <w:bCs w:val="0"/>
                <w:color w:val="auto"/>
                <w:spacing w:val="-3"/>
                <w:szCs w:val="21"/>
                <w:lang w:val="en-US" w:eastAsia="zh-CN"/>
              </w:rPr>
            </w:pPr>
          </w:p>
        </w:tc>
        <w:tc>
          <w:tcPr>
            <w:tcW w:w="1200" w:type="dxa"/>
            <w:noWrap w:val="0"/>
            <w:vAlign w:val="top"/>
          </w:tcPr>
          <w:p w14:paraId="1E468749">
            <w:pPr>
              <w:rPr>
                <w:rFonts w:hint="eastAsia" w:ascii="宋体" w:hAnsi="宋体" w:eastAsia="宋体" w:cs="宋体"/>
                <w:b w:val="0"/>
                <w:bCs w:val="0"/>
                <w:color w:val="auto"/>
                <w:spacing w:val="-3"/>
                <w:szCs w:val="21"/>
                <w:lang w:val="en-US" w:eastAsia="zh-CN"/>
              </w:rPr>
            </w:pPr>
          </w:p>
        </w:tc>
        <w:tc>
          <w:tcPr>
            <w:tcW w:w="724" w:type="dxa"/>
            <w:noWrap w:val="0"/>
            <w:vAlign w:val="top"/>
          </w:tcPr>
          <w:p w14:paraId="7B921F65">
            <w:pPr>
              <w:rPr>
                <w:rFonts w:hint="eastAsia" w:ascii="宋体" w:hAnsi="宋体" w:eastAsia="宋体" w:cs="宋体"/>
                <w:b w:val="0"/>
                <w:bCs w:val="0"/>
                <w:color w:val="auto"/>
                <w:spacing w:val="-3"/>
                <w:szCs w:val="21"/>
                <w:lang w:val="en-US" w:eastAsia="zh-CN"/>
              </w:rPr>
            </w:pPr>
          </w:p>
        </w:tc>
      </w:tr>
      <w:tr w14:paraId="64D1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continue"/>
            <w:noWrap w:val="0"/>
            <w:vAlign w:val="center"/>
          </w:tcPr>
          <w:p w14:paraId="137E5620">
            <w:pPr>
              <w:jc w:val="center"/>
              <w:rPr>
                <w:rFonts w:hint="eastAsia" w:ascii="宋体" w:hAnsi="宋体" w:eastAsia="宋体" w:cs="宋体"/>
                <w:b/>
              </w:rPr>
            </w:pPr>
          </w:p>
        </w:tc>
        <w:tc>
          <w:tcPr>
            <w:tcW w:w="1064" w:type="dxa"/>
            <w:vMerge w:val="continue"/>
            <w:noWrap w:val="0"/>
            <w:vAlign w:val="center"/>
          </w:tcPr>
          <w:p w14:paraId="538C233D">
            <w:pPr>
              <w:jc w:val="center"/>
              <w:rPr>
                <w:rFonts w:hint="eastAsia" w:ascii="宋体" w:hAnsi="宋体" w:eastAsia="宋体" w:cs="宋体"/>
                <w:b/>
                <w:bCs/>
                <w:kern w:val="0"/>
                <w:szCs w:val="21"/>
              </w:rPr>
            </w:pPr>
          </w:p>
        </w:tc>
        <w:tc>
          <w:tcPr>
            <w:tcW w:w="2344" w:type="dxa"/>
            <w:noWrap w:val="0"/>
            <w:vAlign w:val="top"/>
          </w:tcPr>
          <w:p w14:paraId="3DC47AD6">
            <w:pPr>
              <w:spacing w:line="3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1.2所有项目实施文件，包括但不限于：项目需求调研、项目总体规划、项目概要设计、项目详细设计等。应包括但不限于：《项目需求说明书》、《项目详细设计说明书》、《数据库设计说明书》、《项目测试计划》、《项目测试报告》、《系统使用说明书》、《信息安全等级保护测评报告》等。</w:t>
            </w:r>
          </w:p>
          <w:p w14:paraId="09D56530">
            <w:pPr>
              <w:spacing w:line="340" w:lineRule="exact"/>
              <w:rPr>
                <w:rFonts w:hint="eastAsia" w:ascii="宋体" w:hAnsi="宋体" w:eastAsia="宋体" w:cs="宋体"/>
                <w:kern w:val="0"/>
                <w:szCs w:val="21"/>
                <w:highlight w:val="none"/>
              </w:rPr>
            </w:pPr>
            <w:r>
              <w:rPr>
                <w:rFonts w:hint="eastAsia" w:ascii="宋体" w:hAnsi="宋体" w:eastAsia="宋体" w:cs="宋体"/>
                <w:kern w:val="0"/>
                <w:szCs w:val="21"/>
                <w:highlight w:val="none"/>
              </w:rPr>
              <w:t>所有项目管理文件，包括但不限于：项目总体进度计划与实施人员安排、项目管理方案、交付计划与验收文档、安装调试计划、测试与系统试运行方案、系统交付清单、培训与质量保证计划等。应包括但不限于：《用户操作手册》、《系统安装维护手册》。如有新版本发布，按上述要求更新相关资料。</w:t>
            </w:r>
          </w:p>
        </w:tc>
        <w:tc>
          <w:tcPr>
            <w:tcW w:w="2332" w:type="dxa"/>
            <w:noWrap w:val="0"/>
            <w:vAlign w:val="top"/>
          </w:tcPr>
          <w:p w14:paraId="0641C9AF">
            <w:pPr>
              <w:spacing w:line="340" w:lineRule="exact"/>
              <w:rPr>
                <w:rFonts w:hint="eastAsia" w:ascii="宋体" w:hAnsi="宋体" w:eastAsia="宋体" w:cs="宋体"/>
                <w:kern w:val="0"/>
                <w:szCs w:val="21"/>
                <w:highlight w:val="none"/>
              </w:rPr>
            </w:pPr>
          </w:p>
        </w:tc>
        <w:tc>
          <w:tcPr>
            <w:tcW w:w="1200" w:type="dxa"/>
            <w:noWrap w:val="0"/>
            <w:vAlign w:val="top"/>
          </w:tcPr>
          <w:p w14:paraId="1A57F904">
            <w:pPr>
              <w:spacing w:line="340" w:lineRule="exact"/>
              <w:rPr>
                <w:rFonts w:hint="eastAsia" w:ascii="宋体" w:hAnsi="宋体" w:eastAsia="宋体" w:cs="宋体"/>
                <w:kern w:val="0"/>
                <w:szCs w:val="21"/>
                <w:highlight w:val="none"/>
              </w:rPr>
            </w:pPr>
          </w:p>
        </w:tc>
        <w:tc>
          <w:tcPr>
            <w:tcW w:w="724" w:type="dxa"/>
            <w:noWrap w:val="0"/>
            <w:vAlign w:val="top"/>
          </w:tcPr>
          <w:p w14:paraId="5306475B">
            <w:pPr>
              <w:spacing w:line="340" w:lineRule="exact"/>
              <w:rPr>
                <w:rFonts w:hint="eastAsia" w:ascii="宋体" w:hAnsi="宋体" w:eastAsia="宋体" w:cs="宋体"/>
                <w:kern w:val="0"/>
                <w:szCs w:val="21"/>
                <w:highlight w:val="none"/>
              </w:rPr>
            </w:pPr>
          </w:p>
        </w:tc>
      </w:tr>
      <w:tr w14:paraId="1DDA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continue"/>
            <w:noWrap w:val="0"/>
            <w:vAlign w:val="center"/>
          </w:tcPr>
          <w:p w14:paraId="1747EA33">
            <w:pPr>
              <w:jc w:val="center"/>
              <w:rPr>
                <w:rFonts w:hint="eastAsia" w:ascii="宋体" w:hAnsi="宋体" w:eastAsia="宋体" w:cs="宋体"/>
                <w:b/>
              </w:rPr>
            </w:pPr>
          </w:p>
        </w:tc>
        <w:tc>
          <w:tcPr>
            <w:tcW w:w="1064" w:type="dxa"/>
            <w:vMerge w:val="continue"/>
            <w:noWrap w:val="0"/>
            <w:vAlign w:val="center"/>
          </w:tcPr>
          <w:p w14:paraId="2CBCD100">
            <w:pPr>
              <w:jc w:val="center"/>
              <w:rPr>
                <w:rFonts w:hint="eastAsia" w:ascii="宋体" w:hAnsi="宋体" w:eastAsia="宋体" w:cs="宋体"/>
                <w:b/>
                <w:bCs/>
                <w:kern w:val="0"/>
                <w:szCs w:val="21"/>
              </w:rPr>
            </w:pPr>
          </w:p>
        </w:tc>
        <w:tc>
          <w:tcPr>
            <w:tcW w:w="2344" w:type="dxa"/>
            <w:noWrap w:val="0"/>
            <w:vAlign w:val="top"/>
          </w:tcPr>
          <w:p w14:paraId="5C78FEC5">
            <w:pPr>
              <w:spacing w:line="340" w:lineRule="exact"/>
              <w:rPr>
                <w:rFonts w:hint="eastAsia" w:ascii="宋体" w:hAnsi="宋体" w:eastAsia="宋体" w:cs="宋体"/>
                <w:color w:val="auto"/>
                <w:kern w:val="0"/>
                <w:szCs w:val="21"/>
                <w:highlight w:val="none"/>
              </w:rPr>
            </w:pPr>
            <w:r>
              <w:rPr>
                <w:rFonts w:hint="eastAsia" w:ascii="宋体" w:hAnsi="宋体" w:eastAsia="宋体" w:cs="宋体"/>
                <w:b w:val="0"/>
                <w:bCs w:val="0"/>
                <w:color w:val="auto"/>
                <w:kern w:val="0"/>
                <w:szCs w:val="21"/>
                <w:highlight w:val="none"/>
              </w:rPr>
              <w:t>★1.3投标人须</w:t>
            </w:r>
            <w:r>
              <w:rPr>
                <w:rFonts w:hint="eastAsia" w:ascii="宋体" w:hAnsi="宋体" w:cs="宋体"/>
                <w:b w:val="0"/>
                <w:bCs w:val="0"/>
                <w:color w:val="auto"/>
                <w:kern w:val="0"/>
                <w:szCs w:val="21"/>
                <w:highlight w:val="none"/>
                <w:lang w:val="en-US" w:eastAsia="zh-CN"/>
              </w:rPr>
              <w:t>保证</w:t>
            </w:r>
            <w:r>
              <w:rPr>
                <w:rFonts w:hint="eastAsia" w:ascii="宋体" w:hAnsi="宋体" w:eastAsia="宋体" w:cs="宋体"/>
                <w:b w:val="0"/>
                <w:bCs w:val="0"/>
                <w:color w:val="auto"/>
                <w:kern w:val="0"/>
                <w:szCs w:val="21"/>
                <w:highlight w:val="none"/>
              </w:rPr>
              <w:t>交付产品的硬件配置、软件功能及版本，不低于该产品宣传资料（含官网、白皮书、彩页等）载明的标准，且到货时所交付软件为已发布的最新、最全版本。</w:t>
            </w:r>
          </w:p>
        </w:tc>
        <w:tc>
          <w:tcPr>
            <w:tcW w:w="2332" w:type="dxa"/>
            <w:noWrap w:val="0"/>
            <w:vAlign w:val="top"/>
          </w:tcPr>
          <w:p w14:paraId="2803E27A">
            <w:pPr>
              <w:spacing w:line="340" w:lineRule="exact"/>
              <w:rPr>
                <w:rFonts w:hint="eastAsia" w:ascii="宋体" w:hAnsi="宋体" w:eastAsia="宋体" w:cs="宋体"/>
                <w:b w:val="0"/>
                <w:bCs w:val="0"/>
                <w:color w:val="auto"/>
                <w:kern w:val="0"/>
                <w:szCs w:val="21"/>
                <w:highlight w:val="none"/>
              </w:rPr>
            </w:pPr>
          </w:p>
        </w:tc>
        <w:tc>
          <w:tcPr>
            <w:tcW w:w="1200" w:type="dxa"/>
            <w:noWrap w:val="0"/>
            <w:vAlign w:val="top"/>
          </w:tcPr>
          <w:p w14:paraId="6E578A6A">
            <w:pPr>
              <w:spacing w:line="340" w:lineRule="exact"/>
              <w:rPr>
                <w:rFonts w:hint="eastAsia" w:ascii="宋体" w:hAnsi="宋体" w:eastAsia="宋体" w:cs="宋体"/>
                <w:b w:val="0"/>
                <w:bCs w:val="0"/>
                <w:color w:val="auto"/>
                <w:kern w:val="0"/>
                <w:szCs w:val="21"/>
                <w:highlight w:val="none"/>
              </w:rPr>
            </w:pPr>
          </w:p>
        </w:tc>
        <w:tc>
          <w:tcPr>
            <w:tcW w:w="724" w:type="dxa"/>
            <w:noWrap w:val="0"/>
            <w:vAlign w:val="top"/>
          </w:tcPr>
          <w:p w14:paraId="73753F73">
            <w:pPr>
              <w:spacing w:line="340" w:lineRule="exact"/>
              <w:rPr>
                <w:rFonts w:hint="eastAsia" w:ascii="宋体" w:hAnsi="宋体" w:eastAsia="宋体" w:cs="宋体"/>
                <w:b w:val="0"/>
                <w:bCs w:val="0"/>
                <w:color w:val="auto"/>
                <w:kern w:val="0"/>
                <w:szCs w:val="21"/>
                <w:highlight w:val="none"/>
              </w:rPr>
            </w:pPr>
          </w:p>
        </w:tc>
      </w:tr>
      <w:tr w14:paraId="4B94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continue"/>
            <w:noWrap w:val="0"/>
            <w:vAlign w:val="center"/>
          </w:tcPr>
          <w:p w14:paraId="242DC6C4">
            <w:pPr>
              <w:jc w:val="center"/>
              <w:rPr>
                <w:rFonts w:hint="eastAsia" w:ascii="宋体" w:hAnsi="宋体" w:eastAsia="宋体" w:cs="宋体"/>
                <w:b/>
              </w:rPr>
            </w:pPr>
          </w:p>
        </w:tc>
        <w:tc>
          <w:tcPr>
            <w:tcW w:w="1064" w:type="dxa"/>
            <w:vMerge w:val="continue"/>
            <w:noWrap w:val="0"/>
            <w:vAlign w:val="center"/>
          </w:tcPr>
          <w:p w14:paraId="3AAFE34D">
            <w:pPr>
              <w:jc w:val="center"/>
              <w:rPr>
                <w:rFonts w:hint="eastAsia" w:ascii="宋体" w:hAnsi="宋体" w:eastAsia="宋体" w:cs="宋体"/>
                <w:b/>
                <w:bCs/>
                <w:kern w:val="0"/>
                <w:szCs w:val="21"/>
              </w:rPr>
            </w:pPr>
          </w:p>
        </w:tc>
        <w:tc>
          <w:tcPr>
            <w:tcW w:w="2344" w:type="dxa"/>
            <w:noWrap w:val="0"/>
            <w:vAlign w:val="top"/>
          </w:tcPr>
          <w:p w14:paraId="0A7D1372">
            <w:pPr>
              <w:spacing w:line="240" w:lineRule="auto"/>
              <w:rPr>
                <w:rFonts w:hint="eastAsia" w:ascii="宋体" w:hAnsi="宋体" w:eastAsia="宋体" w:cs="宋体"/>
                <w:b w:val="0"/>
                <w:bCs w:val="0"/>
                <w:color w:val="auto"/>
                <w:kern w:val="0"/>
                <w:szCs w:val="21"/>
                <w:highlight w:val="none"/>
                <w:lang w:eastAsia="zh-CN"/>
              </w:rPr>
            </w:pPr>
            <w:r>
              <w:rPr>
                <w:rFonts w:hint="eastAsia" w:ascii="宋体" w:hAnsi="宋体" w:eastAsia="宋体" w:cs="宋体"/>
                <w:b w:val="0"/>
                <w:bCs w:val="0"/>
                <w:color w:val="auto"/>
                <w:kern w:val="0"/>
                <w:szCs w:val="21"/>
                <w:highlight w:val="none"/>
              </w:rPr>
              <w:t>★1.</w:t>
            </w:r>
            <w:r>
              <w:rPr>
                <w:rFonts w:hint="eastAsia" w:ascii="宋体" w:hAnsi="宋体" w:cs="宋体"/>
                <w:b w:val="0"/>
                <w:bCs w:val="0"/>
                <w:color w:val="auto"/>
                <w:kern w:val="0"/>
                <w:szCs w:val="21"/>
                <w:highlight w:val="none"/>
                <w:lang w:val="en-US" w:eastAsia="zh-CN"/>
              </w:rPr>
              <w:t>4</w:t>
            </w:r>
            <w:r>
              <w:rPr>
                <w:rFonts w:hint="eastAsia" w:ascii="宋体" w:hAnsi="宋体" w:eastAsia="宋体" w:cs="宋体"/>
                <w:b w:val="0"/>
                <w:bCs w:val="0"/>
                <w:color w:val="auto"/>
                <w:spacing w:val="-3"/>
                <w:szCs w:val="21"/>
              </w:rPr>
              <w:t>对接要求：本项目涉及到与医院现有信息系统、放疗相关设备</w:t>
            </w:r>
            <w:r>
              <w:rPr>
                <w:rFonts w:hint="eastAsia" w:ascii="宋体" w:hAnsi="宋体" w:eastAsia="宋体" w:cs="宋体"/>
                <w:b w:val="0"/>
                <w:bCs w:val="0"/>
                <w:color w:val="auto"/>
                <w:spacing w:val="-3"/>
                <w:szCs w:val="21"/>
                <w:lang w:val="en-US" w:eastAsia="zh-CN"/>
              </w:rPr>
              <w:t>、上级要求接口对接</w:t>
            </w:r>
            <w:r>
              <w:rPr>
                <w:rFonts w:hint="eastAsia" w:ascii="宋体" w:hAnsi="宋体" w:eastAsia="宋体" w:cs="宋体"/>
                <w:b w:val="0"/>
                <w:bCs w:val="0"/>
                <w:color w:val="auto"/>
                <w:spacing w:val="-3"/>
                <w:szCs w:val="21"/>
              </w:rPr>
              <w:t>及</w:t>
            </w:r>
            <w:r>
              <w:rPr>
                <w:rFonts w:hint="eastAsia" w:ascii="宋体" w:hAnsi="宋体" w:eastAsia="宋体" w:cs="宋体"/>
                <w:b w:val="0"/>
                <w:bCs w:val="0"/>
                <w:color w:val="auto"/>
                <w:spacing w:val="-3"/>
                <w:szCs w:val="21"/>
                <w:lang w:val="en-US" w:eastAsia="zh-CN"/>
              </w:rPr>
              <w:t>其他</w:t>
            </w:r>
            <w:r>
              <w:rPr>
                <w:rFonts w:hint="eastAsia" w:ascii="宋体" w:hAnsi="宋体" w:eastAsia="宋体" w:cs="宋体"/>
                <w:b w:val="0"/>
                <w:bCs w:val="0"/>
                <w:color w:val="auto"/>
                <w:spacing w:val="-3"/>
                <w:szCs w:val="21"/>
              </w:rPr>
              <w:t>软件对接的情况，投标人须负责免费完成全部接口对接工作。投标人免费开放设备接口参数，无偿派人配合与医院信息系统的连接工作，直至该设备与医院信息系统可进行完整的数据交换；在设备保修期内，当医院信息系统及放疗相关设备存在升级需要与该设备连接时，投标人须无条件负责本项目相关软件对接及改造工作。</w:t>
            </w:r>
          </w:p>
        </w:tc>
        <w:tc>
          <w:tcPr>
            <w:tcW w:w="2332" w:type="dxa"/>
            <w:noWrap w:val="0"/>
            <w:vAlign w:val="top"/>
          </w:tcPr>
          <w:p w14:paraId="156B588B">
            <w:pPr>
              <w:spacing w:line="240" w:lineRule="auto"/>
              <w:rPr>
                <w:rFonts w:hint="eastAsia" w:ascii="宋体" w:hAnsi="宋体" w:eastAsia="宋体" w:cs="宋体"/>
                <w:b w:val="0"/>
                <w:bCs w:val="0"/>
                <w:color w:val="auto"/>
                <w:kern w:val="0"/>
                <w:szCs w:val="21"/>
                <w:highlight w:val="none"/>
              </w:rPr>
            </w:pPr>
          </w:p>
        </w:tc>
        <w:tc>
          <w:tcPr>
            <w:tcW w:w="1200" w:type="dxa"/>
            <w:noWrap w:val="0"/>
            <w:vAlign w:val="top"/>
          </w:tcPr>
          <w:p w14:paraId="19097E3A">
            <w:pPr>
              <w:spacing w:line="240" w:lineRule="auto"/>
              <w:rPr>
                <w:rFonts w:hint="eastAsia" w:ascii="宋体" w:hAnsi="宋体" w:eastAsia="宋体" w:cs="宋体"/>
                <w:b w:val="0"/>
                <w:bCs w:val="0"/>
                <w:color w:val="auto"/>
                <w:kern w:val="0"/>
                <w:szCs w:val="21"/>
                <w:highlight w:val="none"/>
              </w:rPr>
            </w:pPr>
          </w:p>
        </w:tc>
        <w:tc>
          <w:tcPr>
            <w:tcW w:w="724" w:type="dxa"/>
            <w:noWrap w:val="0"/>
            <w:vAlign w:val="top"/>
          </w:tcPr>
          <w:p w14:paraId="14FCEF26">
            <w:pPr>
              <w:spacing w:line="240" w:lineRule="auto"/>
              <w:rPr>
                <w:rFonts w:hint="eastAsia" w:ascii="宋体" w:hAnsi="宋体" w:eastAsia="宋体" w:cs="宋体"/>
                <w:b w:val="0"/>
                <w:bCs w:val="0"/>
                <w:color w:val="auto"/>
                <w:kern w:val="0"/>
                <w:szCs w:val="21"/>
                <w:highlight w:val="none"/>
              </w:rPr>
            </w:pPr>
          </w:p>
        </w:tc>
      </w:tr>
      <w:tr w14:paraId="41BAE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restart"/>
            <w:noWrap w:val="0"/>
            <w:vAlign w:val="center"/>
          </w:tcPr>
          <w:p w14:paraId="2DC7E027">
            <w:pPr>
              <w:jc w:val="center"/>
              <w:rPr>
                <w:rFonts w:hint="eastAsia" w:ascii="宋体" w:hAnsi="宋体" w:eastAsia="宋体" w:cs="宋体"/>
                <w:b/>
              </w:rPr>
            </w:pPr>
            <w:r>
              <w:rPr>
                <w:rFonts w:hint="eastAsia" w:ascii="宋体" w:hAnsi="宋体" w:eastAsia="宋体" w:cs="宋体"/>
                <w:b/>
              </w:rPr>
              <w:t>2</w:t>
            </w:r>
          </w:p>
        </w:tc>
        <w:tc>
          <w:tcPr>
            <w:tcW w:w="1064" w:type="dxa"/>
            <w:vMerge w:val="restart"/>
            <w:noWrap w:val="0"/>
            <w:vAlign w:val="center"/>
          </w:tcPr>
          <w:p w14:paraId="2A9D25CB">
            <w:pPr>
              <w:jc w:val="center"/>
              <w:rPr>
                <w:rFonts w:hint="eastAsia" w:ascii="宋体" w:hAnsi="宋体" w:eastAsia="宋体" w:cs="宋体"/>
              </w:rPr>
            </w:pPr>
            <w:r>
              <w:rPr>
                <w:rFonts w:hint="eastAsia" w:ascii="宋体" w:hAnsi="宋体" w:eastAsia="宋体" w:cs="宋体"/>
                <w:b/>
                <w:bCs/>
                <w:kern w:val="0"/>
                <w:szCs w:val="21"/>
              </w:rPr>
              <w:t>运输、安装和验收</w:t>
            </w:r>
          </w:p>
        </w:tc>
        <w:tc>
          <w:tcPr>
            <w:tcW w:w="2344" w:type="dxa"/>
            <w:noWrap w:val="0"/>
            <w:vAlign w:val="top"/>
          </w:tcPr>
          <w:p w14:paraId="18EF5FCC">
            <w:pPr>
              <w:spacing w:line="340" w:lineRule="exact"/>
              <w:rPr>
                <w:rFonts w:hint="eastAsia" w:ascii="宋体" w:hAnsi="宋体" w:eastAsia="宋体" w:cs="宋体"/>
                <w:bCs/>
                <w:szCs w:val="21"/>
              </w:rPr>
            </w:pPr>
            <w:r>
              <w:rPr>
                <w:rFonts w:hint="eastAsia" w:ascii="宋体" w:hAnsi="宋体" w:eastAsia="宋体" w:cs="宋体"/>
                <w:kern w:val="0"/>
                <w:szCs w:val="21"/>
                <w:highlight w:val="none"/>
              </w:rPr>
              <w:t>★</w:t>
            </w:r>
            <w:r>
              <w:rPr>
                <w:rFonts w:hint="eastAsia" w:ascii="宋体" w:hAnsi="宋体" w:eastAsia="宋体" w:cs="宋体"/>
                <w:bCs/>
                <w:szCs w:val="21"/>
              </w:rPr>
              <w:t>2.1投标人</w:t>
            </w:r>
            <w:r>
              <w:rPr>
                <w:rFonts w:hint="eastAsia" w:ascii="宋体" w:hAnsi="宋体" w:eastAsia="宋体" w:cs="宋体"/>
                <w:bCs/>
                <w:kern w:val="0"/>
                <w:szCs w:val="21"/>
              </w:rPr>
              <w:t>负责将</w:t>
            </w:r>
            <w:r>
              <w:rPr>
                <w:rFonts w:hint="eastAsia" w:ascii="宋体" w:hAnsi="宋体" w:eastAsia="宋体" w:cs="宋体"/>
                <w:kern w:val="0"/>
                <w:szCs w:val="21"/>
              </w:rPr>
              <w:t>货物</w:t>
            </w:r>
            <w:r>
              <w:rPr>
                <w:rFonts w:hint="eastAsia" w:ascii="宋体" w:hAnsi="宋体" w:eastAsia="宋体" w:cs="宋体"/>
                <w:bCs/>
                <w:kern w:val="0"/>
                <w:szCs w:val="21"/>
              </w:rPr>
              <w:t>安全无损运抵采购人指定地点,并承担设备的包装、运输、保险、装卸、安装调试、培训、商检及计量检测、关税、增值税和进口代理等与本项目有关的所有费用。</w:t>
            </w:r>
          </w:p>
        </w:tc>
        <w:tc>
          <w:tcPr>
            <w:tcW w:w="2332" w:type="dxa"/>
            <w:noWrap w:val="0"/>
            <w:vAlign w:val="top"/>
          </w:tcPr>
          <w:p w14:paraId="51821121">
            <w:pPr>
              <w:spacing w:line="340" w:lineRule="exact"/>
              <w:rPr>
                <w:rFonts w:hint="eastAsia" w:ascii="宋体" w:hAnsi="宋体" w:eastAsia="宋体" w:cs="宋体"/>
                <w:kern w:val="0"/>
                <w:szCs w:val="21"/>
                <w:highlight w:val="none"/>
              </w:rPr>
            </w:pPr>
          </w:p>
        </w:tc>
        <w:tc>
          <w:tcPr>
            <w:tcW w:w="1200" w:type="dxa"/>
            <w:noWrap w:val="0"/>
            <w:vAlign w:val="top"/>
          </w:tcPr>
          <w:p w14:paraId="0B4BCCA5">
            <w:pPr>
              <w:spacing w:line="340" w:lineRule="exact"/>
              <w:rPr>
                <w:rFonts w:hint="eastAsia" w:ascii="宋体" w:hAnsi="宋体" w:eastAsia="宋体" w:cs="宋体"/>
                <w:kern w:val="0"/>
                <w:szCs w:val="21"/>
                <w:highlight w:val="none"/>
              </w:rPr>
            </w:pPr>
          </w:p>
        </w:tc>
        <w:tc>
          <w:tcPr>
            <w:tcW w:w="724" w:type="dxa"/>
            <w:noWrap w:val="0"/>
            <w:vAlign w:val="top"/>
          </w:tcPr>
          <w:p w14:paraId="5132BCF8">
            <w:pPr>
              <w:spacing w:line="340" w:lineRule="exact"/>
              <w:rPr>
                <w:rFonts w:hint="eastAsia" w:ascii="宋体" w:hAnsi="宋体" w:eastAsia="宋体" w:cs="宋体"/>
                <w:kern w:val="0"/>
                <w:szCs w:val="21"/>
                <w:highlight w:val="none"/>
              </w:rPr>
            </w:pPr>
          </w:p>
        </w:tc>
      </w:tr>
      <w:tr w14:paraId="1A51C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continue"/>
            <w:noWrap w:val="0"/>
            <w:vAlign w:val="center"/>
          </w:tcPr>
          <w:p w14:paraId="7BD6AD99">
            <w:pPr>
              <w:jc w:val="center"/>
              <w:rPr>
                <w:rFonts w:hint="eastAsia" w:ascii="宋体" w:hAnsi="宋体" w:eastAsia="宋体" w:cs="宋体"/>
                <w:b/>
              </w:rPr>
            </w:pPr>
          </w:p>
        </w:tc>
        <w:tc>
          <w:tcPr>
            <w:tcW w:w="1064" w:type="dxa"/>
            <w:vMerge w:val="continue"/>
            <w:noWrap w:val="0"/>
            <w:vAlign w:val="top"/>
          </w:tcPr>
          <w:p w14:paraId="1002E0D6">
            <w:pPr>
              <w:rPr>
                <w:rFonts w:hint="eastAsia" w:ascii="宋体" w:hAnsi="宋体" w:eastAsia="宋体" w:cs="宋体"/>
                <w:b/>
              </w:rPr>
            </w:pPr>
          </w:p>
        </w:tc>
        <w:tc>
          <w:tcPr>
            <w:tcW w:w="2344" w:type="dxa"/>
            <w:noWrap w:val="0"/>
            <w:vAlign w:val="top"/>
          </w:tcPr>
          <w:p w14:paraId="7F9E2DB6">
            <w:pPr>
              <w:tabs>
                <w:tab w:val="left" w:pos="1260"/>
              </w:tabs>
              <w:spacing w:line="340" w:lineRule="exact"/>
              <w:rPr>
                <w:rFonts w:hint="eastAsia" w:ascii="宋体" w:hAnsi="宋体" w:eastAsia="宋体" w:cs="宋体"/>
                <w:bCs/>
                <w:szCs w:val="21"/>
              </w:rPr>
            </w:pPr>
            <w:r>
              <w:rPr>
                <w:rFonts w:hint="eastAsia" w:ascii="宋体" w:hAnsi="宋体" w:eastAsia="宋体" w:cs="宋体"/>
                <w:kern w:val="0"/>
                <w:szCs w:val="21"/>
                <w:highlight w:val="none"/>
              </w:rPr>
              <w:t>★</w:t>
            </w:r>
            <w:r>
              <w:rPr>
                <w:rFonts w:hint="eastAsia" w:ascii="宋体" w:hAnsi="宋体" w:eastAsia="宋体" w:cs="宋体"/>
                <w:bCs/>
                <w:szCs w:val="21"/>
              </w:rPr>
              <w:t>2.2</w:t>
            </w:r>
            <w:r>
              <w:rPr>
                <w:rFonts w:hint="eastAsia" w:ascii="宋体" w:hAnsi="宋体" w:eastAsia="宋体" w:cs="宋体"/>
                <w:bCs/>
                <w:kern w:val="0"/>
                <w:szCs w:val="21"/>
              </w:rPr>
              <w:t>采购人有权检验或测试货物（不排除暴力测试），以确认货物是否符合合同规格的要求。如果发现所交货物与投标文件中所承诺的不符或存在质量、技术缺陷等,采购人可以拒绝接收该货物,投标人应按采购人要求采取补足、更换或退货等措施,以满足规格的要求，由此发生的一切损失和费用由投标人承担。</w:t>
            </w:r>
          </w:p>
        </w:tc>
        <w:tc>
          <w:tcPr>
            <w:tcW w:w="2332" w:type="dxa"/>
            <w:noWrap w:val="0"/>
            <w:vAlign w:val="top"/>
          </w:tcPr>
          <w:p w14:paraId="7A818947">
            <w:pPr>
              <w:tabs>
                <w:tab w:val="left" w:pos="1260"/>
              </w:tabs>
              <w:spacing w:line="340" w:lineRule="exact"/>
              <w:rPr>
                <w:rFonts w:hint="eastAsia" w:ascii="宋体" w:hAnsi="宋体" w:eastAsia="宋体" w:cs="宋体"/>
                <w:kern w:val="0"/>
                <w:szCs w:val="21"/>
                <w:highlight w:val="none"/>
              </w:rPr>
            </w:pPr>
          </w:p>
        </w:tc>
        <w:tc>
          <w:tcPr>
            <w:tcW w:w="1200" w:type="dxa"/>
            <w:noWrap w:val="0"/>
            <w:vAlign w:val="top"/>
          </w:tcPr>
          <w:p w14:paraId="2581C686">
            <w:pPr>
              <w:tabs>
                <w:tab w:val="left" w:pos="1260"/>
              </w:tabs>
              <w:spacing w:line="340" w:lineRule="exact"/>
              <w:rPr>
                <w:rFonts w:hint="eastAsia" w:ascii="宋体" w:hAnsi="宋体" w:eastAsia="宋体" w:cs="宋体"/>
                <w:kern w:val="0"/>
                <w:szCs w:val="21"/>
                <w:highlight w:val="none"/>
              </w:rPr>
            </w:pPr>
          </w:p>
        </w:tc>
        <w:tc>
          <w:tcPr>
            <w:tcW w:w="724" w:type="dxa"/>
            <w:noWrap w:val="0"/>
            <w:vAlign w:val="top"/>
          </w:tcPr>
          <w:p w14:paraId="5A3C32B4">
            <w:pPr>
              <w:tabs>
                <w:tab w:val="left" w:pos="1260"/>
              </w:tabs>
              <w:spacing w:line="340" w:lineRule="exact"/>
              <w:rPr>
                <w:rFonts w:hint="eastAsia" w:ascii="宋体" w:hAnsi="宋体" w:eastAsia="宋体" w:cs="宋体"/>
                <w:kern w:val="0"/>
                <w:szCs w:val="21"/>
                <w:highlight w:val="none"/>
              </w:rPr>
            </w:pPr>
          </w:p>
        </w:tc>
      </w:tr>
      <w:tr w14:paraId="6AEB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continue"/>
            <w:noWrap w:val="0"/>
            <w:vAlign w:val="center"/>
          </w:tcPr>
          <w:p w14:paraId="43D67EC7">
            <w:pPr>
              <w:jc w:val="center"/>
              <w:rPr>
                <w:rFonts w:hint="eastAsia" w:ascii="宋体" w:hAnsi="宋体" w:eastAsia="宋体" w:cs="宋体"/>
                <w:b/>
              </w:rPr>
            </w:pPr>
          </w:p>
        </w:tc>
        <w:tc>
          <w:tcPr>
            <w:tcW w:w="1064" w:type="dxa"/>
            <w:vMerge w:val="continue"/>
            <w:noWrap w:val="0"/>
            <w:vAlign w:val="top"/>
          </w:tcPr>
          <w:p w14:paraId="4AAC4EA9">
            <w:pPr>
              <w:rPr>
                <w:rFonts w:hint="eastAsia" w:ascii="宋体" w:hAnsi="宋体" w:eastAsia="宋体" w:cs="宋体"/>
                <w:b/>
              </w:rPr>
            </w:pPr>
          </w:p>
        </w:tc>
        <w:tc>
          <w:tcPr>
            <w:tcW w:w="2344" w:type="dxa"/>
            <w:noWrap w:val="0"/>
            <w:vAlign w:val="top"/>
          </w:tcPr>
          <w:p w14:paraId="64BA05A3">
            <w:pPr>
              <w:tabs>
                <w:tab w:val="left" w:pos="1260"/>
              </w:tabs>
              <w:spacing w:line="340" w:lineRule="exact"/>
              <w:rPr>
                <w:rFonts w:hint="eastAsia" w:ascii="宋体" w:hAnsi="宋体" w:eastAsia="宋体" w:cs="宋体"/>
                <w:spacing w:val="-3"/>
                <w:szCs w:val="21"/>
              </w:rPr>
            </w:pPr>
            <w:r>
              <w:rPr>
                <w:rFonts w:hint="eastAsia" w:ascii="宋体" w:hAnsi="宋体" w:eastAsia="宋体" w:cs="宋体"/>
                <w:kern w:val="0"/>
                <w:szCs w:val="21"/>
                <w:highlight w:val="none"/>
              </w:rPr>
              <w:t>★</w:t>
            </w:r>
            <w:r>
              <w:rPr>
                <w:rFonts w:hint="eastAsia" w:ascii="宋体" w:hAnsi="宋体" w:eastAsia="宋体" w:cs="宋体"/>
                <w:spacing w:val="-3"/>
                <w:szCs w:val="21"/>
              </w:rPr>
              <w:t>2.3投标人负责货物的现场安装和调试,提供货物安装、调试和维修所需的专用工具和辅助材料。投标人应在货物运至指定地点后并满足安装条件下开始安装调试，90天内完成安装调试。</w:t>
            </w:r>
          </w:p>
          <w:p w14:paraId="61F14CA6">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投标人应提供足够的场地所需的连接管线和备件，包括所有附属设施，线柜以及相关的通讯和IT连接配件。</w:t>
            </w:r>
          </w:p>
          <w:p w14:paraId="29C2D3A4">
            <w:pPr>
              <w:tabs>
                <w:tab w:val="left" w:pos="1260"/>
              </w:tabs>
              <w:spacing w:line="340" w:lineRule="exact"/>
              <w:rPr>
                <w:rFonts w:hint="eastAsia" w:ascii="宋体" w:hAnsi="宋体" w:eastAsia="宋体" w:cs="宋体"/>
                <w:bCs/>
                <w:szCs w:val="21"/>
              </w:rPr>
            </w:pPr>
            <w:r>
              <w:rPr>
                <w:rFonts w:hint="eastAsia" w:ascii="宋体" w:hAnsi="宋体" w:eastAsia="宋体" w:cs="宋体"/>
                <w:spacing w:val="-3"/>
                <w:szCs w:val="21"/>
              </w:rPr>
              <w:t>设备安装过程中不得破坏已有设备、器具和装修，如有损坏，需无条件恢复原状。</w:t>
            </w:r>
          </w:p>
        </w:tc>
        <w:tc>
          <w:tcPr>
            <w:tcW w:w="2332" w:type="dxa"/>
            <w:noWrap w:val="0"/>
            <w:vAlign w:val="top"/>
          </w:tcPr>
          <w:p w14:paraId="772DA258">
            <w:pPr>
              <w:tabs>
                <w:tab w:val="left" w:pos="1260"/>
              </w:tabs>
              <w:spacing w:line="340" w:lineRule="exact"/>
              <w:rPr>
                <w:rFonts w:hint="eastAsia" w:ascii="宋体" w:hAnsi="宋体" w:eastAsia="宋体" w:cs="宋体"/>
                <w:spacing w:val="-3"/>
                <w:szCs w:val="21"/>
              </w:rPr>
            </w:pPr>
          </w:p>
        </w:tc>
        <w:tc>
          <w:tcPr>
            <w:tcW w:w="1200" w:type="dxa"/>
            <w:noWrap w:val="0"/>
            <w:vAlign w:val="top"/>
          </w:tcPr>
          <w:p w14:paraId="3819DB0E">
            <w:pPr>
              <w:tabs>
                <w:tab w:val="left" w:pos="1260"/>
              </w:tabs>
              <w:spacing w:line="340" w:lineRule="exact"/>
              <w:rPr>
                <w:rFonts w:hint="eastAsia" w:ascii="宋体" w:hAnsi="宋体" w:eastAsia="宋体" w:cs="宋体"/>
                <w:spacing w:val="-3"/>
                <w:szCs w:val="21"/>
              </w:rPr>
            </w:pPr>
          </w:p>
        </w:tc>
        <w:tc>
          <w:tcPr>
            <w:tcW w:w="724" w:type="dxa"/>
            <w:noWrap w:val="0"/>
            <w:vAlign w:val="top"/>
          </w:tcPr>
          <w:p w14:paraId="5BB9804B">
            <w:pPr>
              <w:tabs>
                <w:tab w:val="left" w:pos="1260"/>
              </w:tabs>
              <w:spacing w:line="340" w:lineRule="exact"/>
              <w:rPr>
                <w:rFonts w:hint="eastAsia" w:ascii="宋体" w:hAnsi="宋体" w:eastAsia="宋体" w:cs="宋体"/>
                <w:spacing w:val="-3"/>
                <w:szCs w:val="21"/>
              </w:rPr>
            </w:pPr>
          </w:p>
        </w:tc>
      </w:tr>
      <w:tr w14:paraId="76EE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continue"/>
            <w:noWrap w:val="0"/>
            <w:vAlign w:val="center"/>
          </w:tcPr>
          <w:p w14:paraId="552D9B1C">
            <w:pPr>
              <w:jc w:val="center"/>
              <w:rPr>
                <w:rFonts w:hint="eastAsia" w:ascii="宋体" w:hAnsi="宋体" w:eastAsia="宋体" w:cs="宋体"/>
                <w:b/>
              </w:rPr>
            </w:pPr>
          </w:p>
        </w:tc>
        <w:tc>
          <w:tcPr>
            <w:tcW w:w="1064" w:type="dxa"/>
            <w:vMerge w:val="continue"/>
            <w:noWrap w:val="0"/>
            <w:vAlign w:val="top"/>
          </w:tcPr>
          <w:p w14:paraId="4A60FD36">
            <w:pPr>
              <w:rPr>
                <w:rFonts w:hint="eastAsia" w:ascii="宋体" w:hAnsi="宋体" w:eastAsia="宋体" w:cs="宋体"/>
                <w:b/>
              </w:rPr>
            </w:pPr>
          </w:p>
        </w:tc>
        <w:tc>
          <w:tcPr>
            <w:tcW w:w="2344" w:type="dxa"/>
            <w:noWrap w:val="0"/>
            <w:vAlign w:val="top"/>
          </w:tcPr>
          <w:p w14:paraId="19B31D6E">
            <w:pPr>
              <w:tabs>
                <w:tab w:val="left" w:pos="1260"/>
              </w:tabs>
              <w:spacing w:line="340" w:lineRule="exact"/>
              <w:rPr>
                <w:rFonts w:hint="eastAsia" w:ascii="宋体" w:hAnsi="宋体" w:eastAsia="宋体" w:cs="宋体"/>
                <w:spacing w:val="-3"/>
                <w:szCs w:val="21"/>
              </w:rPr>
            </w:pPr>
            <w:r>
              <w:rPr>
                <w:rFonts w:hint="eastAsia" w:ascii="宋体" w:hAnsi="宋体" w:eastAsia="宋体" w:cs="宋体"/>
                <w:kern w:val="0"/>
                <w:szCs w:val="21"/>
              </w:rPr>
              <w:t>★</w:t>
            </w:r>
            <w:r>
              <w:rPr>
                <w:rFonts w:hint="eastAsia" w:ascii="宋体" w:hAnsi="宋体" w:eastAsia="宋体" w:cs="宋体"/>
                <w:spacing w:val="-3"/>
                <w:szCs w:val="21"/>
              </w:rPr>
              <w:t>2.4由</w:t>
            </w:r>
            <w:r>
              <w:rPr>
                <w:rFonts w:hint="eastAsia" w:ascii="宋体" w:hAnsi="宋体" w:cs="宋体"/>
                <w:spacing w:val="-3"/>
                <w:szCs w:val="21"/>
                <w:lang w:val="en-US" w:eastAsia="zh-CN"/>
              </w:rPr>
              <w:t>中</w:t>
            </w:r>
            <w:r>
              <w:rPr>
                <w:rFonts w:hint="eastAsia" w:ascii="宋体" w:hAnsi="宋体" w:eastAsia="宋体" w:cs="宋体"/>
                <w:spacing w:val="-3"/>
                <w:szCs w:val="21"/>
              </w:rPr>
              <w:t>标人代表和采购人组成验收小组，在投标人提供符合招标要求的原厂保修承诺函/买保合同后对产品进行验收。验收标准按照招投标要求及国家规定标准执行。经检验设备正常运作后签署验收报告,产品保修期自性能验收合格之日起算。</w:t>
            </w:r>
          </w:p>
          <w:p w14:paraId="24E1F40B">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关于验收：</w:t>
            </w:r>
          </w:p>
          <w:p w14:paraId="09A4F21D">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当满足以下条件时，采购人才向中标人签发货物验收报告：</w:t>
            </w:r>
          </w:p>
          <w:p w14:paraId="7C249C82">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a、中标人已按照合同规定提供了全部产品及完整的技术资料。</w:t>
            </w:r>
          </w:p>
          <w:p w14:paraId="6A2DFB76">
            <w:pPr>
              <w:tabs>
                <w:tab w:val="left" w:pos="1260"/>
              </w:tabs>
              <w:spacing w:line="340" w:lineRule="exact"/>
              <w:rPr>
                <w:rFonts w:hint="eastAsia" w:ascii="宋体" w:hAnsi="宋体" w:eastAsia="宋体" w:cs="宋体"/>
                <w:spacing w:val="-3"/>
                <w:szCs w:val="21"/>
              </w:rPr>
            </w:pPr>
            <w:r>
              <w:rPr>
                <w:rFonts w:hint="eastAsia" w:ascii="宋体" w:hAnsi="宋体" w:eastAsia="宋体" w:cs="宋体"/>
                <w:spacing w:val="-3"/>
                <w:szCs w:val="21"/>
              </w:rPr>
              <w:t>b、产品到货后并完成安装；产品功能测试均达到采购人要求或投标技术响应的参数，并实现正常运行。</w:t>
            </w:r>
          </w:p>
        </w:tc>
        <w:tc>
          <w:tcPr>
            <w:tcW w:w="2332" w:type="dxa"/>
            <w:noWrap w:val="0"/>
            <w:vAlign w:val="top"/>
          </w:tcPr>
          <w:p w14:paraId="76D7CDE1">
            <w:pPr>
              <w:tabs>
                <w:tab w:val="left" w:pos="1260"/>
              </w:tabs>
              <w:spacing w:line="340" w:lineRule="exact"/>
              <w:rPr>
                <w:rFonts w:hint="eastAsia" w:ascii="宋体" w:hAnsi="宋体" w:eastAsia="宋体" w:cs="宋体"/>
                <w:spacing w:val="-3"/>
                <w:szCs w:val="21"/>
              </w:rPr>
            </w:pPr>
          </w:p>
        </w:tc>
        <w:tc>
          <w:tcPr>
            <w:tcW w:w="1200" w:type="dxa"/>
            <w:noWrap w:val="0"/>
            <w:vAlign w:val="top"/>
          </w:tcPr>
          <w:p w14:paraId="2D1BC348">
            <w:pPr>
              <w:tabs>
                <w:tab w:val="left" w:pos="1260"/>
              </w:tabs>
              <w:spacing w:line="340" w:lineRule="exact"/>
              <w:rPr>
                <w:rFonts w:hint="eastAsia" w:ascii="宋体" w:hAnsi="宋体" w:eastAsia="宋体" w:cs="宋体"/>
                <w:spacing w:val="-3"/>
                <w:szCs w:val="21"/>
              </w:rPr>
            </w:pPr>
          </w:p>
        </w:tc>
        <w:tc>
          <w:tcPr>
            <w:tcW w:w="724" w:type="dxa"/>
            <w:noWrap w:val="0"/>
            <w:vAlign w:val="top"/>
          </w:tcPr>
          <w:p w14:paraId="74D77FAF">
            <w:pPr>
              <w:tabs>
                <w:tab w:val="left" w:pos="1260"/>
              </w:tabs>
              <w:spacing w:line="340" w:lineRule="exact"/>
              <w:rPr>
                <w:rFonts w:hint="eastAsia" w:ascii="宋体" w:hAnsi="宋体" w:eastAsia="宋体" w:cs="宋体"/>
                <w:spacing w:val="-3"/>
                <w:szCs w:val="21"/>
              </w:rPr>
            </w:pPr>
          </w:p>
        </w:tc>
      </w:tr>
      <w:tr w14:paraId="1D7CA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continue"/>
            <w:noWrap w:val="0"/>
            <w:vAlign w:val="center"/>
          </w:tcPr>
          <w:p w14:paraId="15FC7475">
            <w:pPr>
              <w:jc w:val="center"/>
              <w:rPr>
                <w:rFonts w:hint="eastAsia" w:ascii="宋体" w:hAnsi="宋体" w:eastAsia="宋体" w:cs="宋体"/>
                <w:b/>
              </w:rPr>
            </w:pPr>
          </w:p>
        </w:tc>
        <w:tc>
          <w:tcPr>
            <w:tcW w:w="1064" w:type="dxa"/>
            <w:vMerge w:val="continue"/>
            <w:noWrap w:val="0"/>
            <w:vAlign w:val="top"/>
          </w:tcPr>
          <w:p w14:paraId="3C6C1278">
            <w:pPr>
              <w:rPr>
                <w:rFonts w:hint="eastAsia" w:ascii="宋体" w:hAnsi="宋体" w:eastAsia="宋体" w:cs="宋体"/>
                <w:b/>
              </w:rPr>
            </w:pPr>
          </w:p>
        </w:tc>
        <w:tc>
          <w:tcPr>
            <w:tcW w:w="2344" w:type="dxa"/>
            <w:noWrap w:val="0"/>
            <w:vAlign w:val="top"/>
          </w:tcPr>
          <w:p w14:paraId="277120FD">
            <w:pPr>
              <w:tabs>
                <w:tab w:val="left" w:pos="1260"/>
              </w:tabs>
              <w:spacing w:line="340" w:lineRule="exact"/>
              <w:rPr>
                <w:rFonts w:hint="eastAsia" w:ascii="宋体" w:hAnsi="宋体" w:eastAsia="宋体" w:cs="宋体"/>
                <w:spacing w:val="-3"/>
                <w:szCs w:val="21"/>
              </w:rPr>
            </w:pPr>
            <w:r>
              <w:rPr>
                <w:rFonts w:hint="eastAsia" w:ascii="宋体" w:hAnsi="宋体" w:eastAsia="宋体" w:cs="宋体"/>
                <w:kern w:val="0"/>
                <w:szCs w:val="21"/>
              </w:rPr>
              <w:t>★</w:t>
            </w:r>
            <w:r>
              <w:rPr>
                <w:rFonts w:hint="eastAsia" w:ascii="宋体" w:hAnsi="宋体" w:eastAsia="宋体" w:cs="宋体"/>
                <w:spacing w:val="-3"/>
                <w:szCs w:val="21"/>
              </w:rPr>
              <w:t>2.5所有设备安装如涉及对安装现场外接电源、网络、给排水、排风、场地加固等必须对现有设施进行改造或增加管线、材料及人工费用等，均由投标人承担。</w:t>
            </w:r>
          </w:p>
        </w:tc>
        <w:tc>
          <w:tcPr>
            <w:tcW w:w="2332" w:type="dxa"/>
            <w:noWrap w:val="0"/>
            <w:vAlign w:val="top"/>
          </w:tcPr>
          <w:p w14:paraId="2F0FB875">
            <w:pPr>
              <w:tabs>
                <w:tab w:val="left" w:pos="1260"/>
              </w:tabs>
              <w:spacing w:line="340" w:lineRule="exact"/>
              <w:rPr>
                <w:rFonts w:hint="eastAsia" w:ascii="宋体" w:hAnsi="宋体" w:eastAsia="宋体" w:cs="宋体"/>
                <w:kern w:val="0"/>
                <w:szCs w:val="21"/>
              </w:rPr>
            </w:pPr>
          </w:p>
        </w:tc>
        <w:tc>
          <w:tcPr>
            <w:tcW w:w="1200" w:type="dxa"/>
            <w:noWrap w:val="0"/>
            <w:vAlign w:val="top"/>
          </w:tcPr>
          <w:p w14:paraId="184C2145">
            <w:pPr>
              <w:tabs>
                <w:tab w:val="left" w:pos="1260"/>
              </w:tabs>
              <w:spacing w:line="340" w:lineRule="exact"/>
              <w:rPr>
                <w:rFonts w:hint="eastAsia" w:ascii="宋体" w:hAnsi="宋体" w:eastAsia="宋体" w:cs="宋体"/>
                <w:kern w:val="0"/>
                <w:szCs w:val="21"/>
              </w:rPr>
            </w:pPr>
          </w:p>
        </w:tc>
        <w:tc>
          <w:tcPr>
            <w:tcW w:w="724" w:type="dxa"/>
            <w:noWrap w:val="0"/>
            <w:vAlign w:val="top"/>
          </w:tcPr>
          <w:p w14:paraId="2A749256">
            <w:pPr>
              <w:tabs>
                <w:tab w:val="left" w:pos="1260"/>
              </w:tabs>
              <w:spacing w:line="340" w:lineRule="exact"/>
              <w:rPr>
                <w:rFonts w:hint="eastAsia" w:ascii="宋体" w:hAnsi="宋体" w:eastAsia="宋体" w:cs="宋体"/>
                <w:kern w:val="0"/>
                <w:szCs w:val="21"/>
              </w:rPr>
            </w:pPr>
          </w:p>
        </w:tc>
      </w:tr>
      <w:tr w14:paraId="0DC31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819" w:type="dxa"/>
            <w:noWrap w:val="0"/>
            <w:vAlign w:val="center"/>
          </w:tcPr>
          <w:p w14:paraId="0D13C72F">
            <w:pPr>
              <w:jc w:val="center"/>
              <w:rPr>
                <w:rFonts w:hint="eastAsia" w:ascii="宋体" w:hAnsi="宋体" w:eastAsia="宋体" w:cs="宋体"/>
                <w:b/>
              </w:rPr>
            </w:pPr>
            <w:r>
              <w:rPr>
                <w:rFonts w:hint="eastAsia" w:ascii="宋体" w:hAnsi="宋体" w:eastAsia="宋体" w:cs="宋体"/>
                <w:b/>
              </w:rPr>
              <w:t>3</w:t>
            </w:r>
          </w:p>
        </w:tc>
        <w:tc>
          <w:tcPr>
            <w:tcW w:w="1064" w:type="dxa"/>
            <w:noWrap w:val="0"/>
            <w:vAlign w:val="center"/>
          </w:tcPr>
          <w:p w14:paraId="5D7D7795">
            <w:pPr>
              <w:jc w:val="center"/>
              <w:rPr>
                <w:rFonts w:hint="eastAsia" w:ascii="宋体" w:hAnsi="宋体" w:eastAsia="宋体" w:cs="宋体"/>
                <w:b/>
              </w:rPr>
            </w:pPr>
            <w:r>
              <w:rPr>
                <w:rFonts w:hint="eastAsia" w:ascii="宋体" w:hAnsi="宋体" w:eastAsia="宋体" w:cs="宋体"/>
                <w:b/>
                <w:kern w:val="0"/>
                <w:szCs w:val="21"/>
              </w:rPr>
              <w:t>培训</w:t>
            </w:r>
          </w:p>
        </w:tc>
        <w:tc>
          <w:tcPr>
            <w:tcW w:w="2344" w:type="dxa"/>
            <w:noWrap w:val="0"/>
            <w:vAlign w:val="top"/>
          </w:tcPr>
          <w:p w14:paraId="6FF6E32A">
            <w:pPr>
              <w:rPr>
                <w:rFonts w:hint="eastAsia" w:ascii="宋体" w:hAnsi="宋体" w:eastAsia="宋体" w:cs="宋体"/>
                <w:bCs/>
                <w:kern w:val="0"/>
                <w:szCs w:val="21"/>
              </w:rPr>
            </w:pPr>
            <w:r>
              <w:rPr>
                <w:rFonts w:hint="eastAsia" w:ascii="宋体" w:hAnsi="宋体" w:eastAsia="宋体" w:cs="宋体"/>
                <w:kern w:val="0"/>
                <w:szCs w:val="21"/>
                <w:highlight w:val="none"/>
              </w:rPr>
              <w:t>★3.1投标人应针对系统特点、人员状况等，制订可行的培训计划和实施方案、提供全方位多层次的培训服务，在项目不同建设时期，针对不同种类的需求提供一系列行之有效的培训实施方案。通过培训使系统管理员和用户掌握相关的管理和技术技能，确保系统建设稳步推进，建成后安全、稳定、高效的运行。培训计划和实施方案包括培训对象、形式、内容、讲师安排等。</w:t>
            </w:r>
          </w:p>
        </w:tc>
        <w:tc>
          <w:tcPr>
            <w:tcW w:w="2332" w:type="dxa"/>
            <w:noWrap w:val="0"/>
            <w:vAlign w:val="top"/>
          </w:tcPr>
          <w:p w14:paraId="7AC641B3">
            <w:pPr>
              <w:rPr>
                <w:rFonts w:hint="eastAsia" w:ascii="宋体" w:hAnsi="宋体" w:eastAsia="宋体" w:cs="宋体"/>
                <w:kern w:val="0"/>
                <w:szCs w:val="21"/>
                <w:highlight w:val="none"/>
              </w:rPr>
            </w:pPr>
          </w:p>
        </w:tc>
        <w:tc>
          <w:tcPr>
            <w:tcW w:w="1200" w:type="dxa"/>
            <w:noWrap w:val="0"/>
            <w:vAlign w:val="top"/>
          </w:tcPr>
          <w:p w14:paraId="2680C2C0">
            <w:pPr>
              <w:rPr>
                <w:rFonts w:hint="eastAsia" w:ascii="宋体" w:hAnsi="宋体" w:eastAsia="宋体" w:cs="宋体"/>
                <w:kern w:val="0"/>
                <w:szCs w:val="21"/>
                <w:highlight w:val="none"/>
              </w:rPr>
            </w:pPr>
          </w:p>
        </w:tc>
        <w:tc>
          <w:tcPr>
            <w:tcW w:w="724" w:type="dxa"/>
            <w:noWrap w:val="0"/>
            <w:vAlign w:val="top"/>
          </w:tcPr>
          <w:p w14:paraId="5E46CD33">
            <w:pPr>
              <w:rPr>
                <w:rFonts w:hint="eastAsia" w:ascii="宋体" w:hAnsi="宋体" w:eastAsia="宋体" w:cs="宋体"/>
                <w:kern w:val="0"/>
                <w:szCs w:val="21"/>
                <w:highlight w:val="none"/>
              </w:rPr>
            </w:pPr>
          </w:p>
        </w:tc>
      </w:tr>
      <w:tr w14:paraId="26DE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restart"/>
            <w:noWrap w:val="0"/>
            <w:vAlign w:val="center"/>
          </w:tcPr>
          <w:p w14:paraId="4398D9DF">
            <w:pPr>
              <w:jc w:val="center"/>
              <w:rPr>
                <w:rFonts w:hint="eastAsia" w:ascii="宋体" w:hAnsi="宋体" w:eastAsia="宋体" w:cs="宋体"/>
                <w:b/>
                <w:kern w:val="0"/>
                <w:szCs w:val="21"/>
              </w:rPr>
            </w:pPr>
            <w:r>
              <w:rPr>
                <w:rFonts w:hint="eastAsia" w:ascii="宋体" w:hAnsi="宋体" w:eastAsia="宋体" w:cs="宋体"/>
                <w:b/>
                <w:kern w:val="0"/>
                <w:szCs w:val="21"/>
              </w:rPr>
              <w:t>4</w:t>
            </w:r>
          </w:p>
        </w:tc>
        <w:tc>
          <w:tcPr>
            <w:tcW w:w="1064" w:type="dxa"/>
            <w:vMerge w:val="restart"/>
            <w:noWrap w:val="0"/>
            <w:vAlign w:val="center"/>
          </w:tcPr>
          <w:p w14:paraId="766E728B">
            <w:pPr>
              <w:tabs>
                <w:tab w:val="left" w:pos="1260"/>
              </w:tabs>
              <w:spacing w:line="340" w:lineRule="exact"/>
              <w:jc w:val="center"/>
              <w:rPr>
                <w:rFonts w:hint="eastAsia" w:ascii="宋体" w:hAnsi="宋体" w:eastAsia="宋体" w:cs="宋体"/>
                <w:b/>
                <w:kern w:val="0"/>
                <w:szCs w:val="21"/>
              </w:rPr>
            </w:pPr>
            <w:r>
              <w:rPr>
                <w:rFonts w:hint="eastAsia" w:ascii="宋体" w:hAnsi="宋体" w:eastAsia="宋体" w:cs="宋体"/>
                <w:b/>
                <w:kern w:val="0"/>
                <w:szCs w:val="21"/>
              </w:rPr>
              <w:t>知识产权</w:t>
            </w:r>
          </w:p>
        </w:tc>
        <w:tc>
          <w:tcPr>
            <w:tcW w:w="2344" w:type="dxa"/>
            <w:noWrap w:val="0"/>
            <w:vAlign w:val="top"/>
          </w:tcPr>
          <w:p w14:paraId="70F76A63">
            <w:pPr>
              <w:tabs>
                <w:tab w:val="left" w:pos="1260"/>
              </w:tabs>
              <w:spacing w:line="340" w:lineRule="exact"/>
              <w:rPr>
                <w:rFonts w:hint="eastAsia" w:ascii="宋体" w:hAnsi="宋体" w:eastAsia="宋体" w:cs="宋体"/>
                <w:kern w:val="0"/>
                <w:szCs w:val="21"/>
              </w:rPr>
            </w:pPr>
            <w:r>
              <w:rPr>
                <w:rFonts w:hint="eastAsia" w:ascii="宋体" w:hAnsi="宋体" w:eastAsia="宋体" w:cs="宋体"/>
                <w:kern w:val="0"/>
                <w:szCs w:val="21"/>
                <w:highlight w:val="none"/>
              </w:rPr>
              <w:t>★</w:t>
            </w:r>
            <w:r>
              <w:rPr>
                <w:rFonts w:hint="eastAsia" w:ascii="宋体" w:hAnsi="宋体" w:eastAsia="宋体" w:cs="宋体"/>
                <w:kern w:val="0"/>
                <w:szCs w:val="21"/>
              </w:rPr>
              <w:t>4.1投标人应保证采购人在使用该货物或其任何一部分时，免受第三方提出的侵犯其专利权、商标权、著作权或其它知识产权的起诉。投标人保证所提供软件的合法性，所发生的任何知识产权纠纷与采购人无关。若因为知识产权纠纷造成的一切损害赔偿及损失由投标人承担，包括但不限于实际损失、预期损失和对方要求赔偿损失及支出的律师费、交通费和差旅费等。</w:t>
            </w:r>
          </w:p>
        </w:tc>
        <w:tc>
          <w:tcPr>
            <w:tcW w:w="2332" w:type="dxa"/>
            <w:noWrap w:val="0"/>
            <w:vAlign w:val="top"/>
          </w:tcPr>
          <w:p w14:paraId="2D140447">
            <w:pPr>
              <w:tabs>
                <w:tab w:val="left" w:pos="1260"/>
              </w:tabs>
              <w:spacing w:line="340" w:lineRule="exact"/>
              <w:rPr>
                <w:rFonts w:hint="eastAsia" w:ascii="宋体" w:hAnsi="宋体" w:eastAsia="宋体" w:cs="宋体"/>
                <w:kern w:val="0"/>
                <w:szCs w:val="21"/>
                <w:highlight w:val="none"/>
              </w:rPr>
            </w:pPr>
          </w:p>
        </w:tc>
        <w:tc>
          <w:tcPr>
            <w:tcW w:w="1200" w:type="dxa"/>
            <w:noWrap w:val="0"/>
            <w:vAlign w:val="top"/>
          </w:tcPr>
          <w:p w14:paraId="1B004631">
            <w:pPr>
              <w:tabs>
                <w:tab w:val="left" w:pos="1260"/>
              </w:tabs>
              <w:spacing w:line="340" w:lineRule="exact"/>
              <w:rPr>
                <w:rFonts w:hint="eastAsia" w:ascii="宋体" w:hAnsi="宋体" w:eastAsia="宋体" w:cs="宋体"/>
                <w:kern w:val="0"/>
                <w:szCs w:val="21"/>
                <w:highlight w:val="none"/>
              </w:rPr>
            </w:pPr>
          </w:p>
        </w:tc>
        <w:tc>
          <w:tcPr>
            <w:tcW w:w="724" w:type="dxa"/>
            <w:noWrap w:val="0"/>
            <w:vAlign w:val="top"/>
          </w:tcPr>
          <w:p w14:paraId="18B374D9">
            <w:pPr>
              <w:tabs>
                <w:tab w:val="left" w:pos="1260"/>
              </w:tabs>
              <w:spacing w:line="340" w:lineRule="exact"/>
              <w:rPr>
                <w:rFonts w:hint="eastAsia" w:ascii="宋体" w:hAnsi="宋体" w:eastAsia="宋体" w:cs="宋体"/>
                <w:kern w:val="0"/>
                <w:szCs w:val="21"/>
                <w:highlight w:val="none"/>
              </w:rPr>
            </w:pPr>
          </w:p>
        </w:tc>
      </w:tr>
      <w:tr w14:paraId="389E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819" w:type="dxa"/>
            <w:vMerge w:val="continue"/>
            <w:noWrap w:val="0"/>
            <w:vAlign w:val="center"/>
          </w:tcPr>
          <w:p w14:paraId="356778F0">
            <w:pPr>
              <w:jc w:val="center"/>
              <w:rPr>
                <w:rFonts w:hint="eastAsia" w:ascii="宋体" w:hAnsi="宋体" w:eastAsia="宋体" w:cs="宋体"/>
                <w:b/>
                <w:kern w:val="0"/>
                <w:szCs w:val="21"/>
              </w:rPr>
            </w:pPr>
          </w:p>
        </w:tc>
        <w:tc>
          <w:tcPr>
            <w:tcW w:w="1064" w:type="dxa"/>
            <w:vMerge w:val="continue"/>
            <w:noWrap w:val="0"/>
            <w:vAlign w:val="center"/>
          </w:tcPr>
          <w:p w14:paraId="38A01B0F">
            <w:pPr>
              <w:jc w:val="center"/>
              <w:rPr>
                <w:rFonts w:hint="eastAsia" w:ascii="宋体" w:hAnsi="宋体" w:eastAsia="宋体" w:cs="宋体"/>
                <w:b/>
                <w:kern w:val="0"/>
                <w:szCs w:val="21"/>
              </w:rPr>
            </w:pPr>
          </w:p>
        </w:tc>
        <w:tc>
          <w:tcPr>
            <w:tcW w:w="2344" w:type="dxa"/>
            <w:noWrap w:val="0"/>
            <w:vAlign w:val="top"/>
          </w:tcPr>
          <w:p w14:paraId="2445E04A">
            <w:pPr>
              <w:rPr>
                <w:rFonts w:hint="eastAsia" w:ascii="宋体" w:hAnsi="宋体" w:eastAsia="宋体" w:cs="宋体"/>
                <w:kern w:val="0"/>
                <w:szCs w:val="21"/>
              </w:rPr>
            </w:pPr>
            <w:r>
              <w:rPr>
                <w:rFonts w:hint="eastAsia" w:ascii="宋体" w:hAnsi="宋体" w:eastAsia="宋体" w:cs="宋体"/>
                <w:kern w:val="0"/>
                <w:szCs w:val="21"/>
                <w:highlight w:val="none"/>
              </w:rPr>
              <w:t>★</w:t>
            </w:r>
            <w:r>
              <w:rPr>
                <w:rFonts w:hint="eastAsia" w:ascii="宋体" w:hAnsi="宋体" w:eastAsia="宋体" w:cs="宋体"/>
                <w:kern w:val="0"/>
                <w:szCs w:val="21"/>
              </w:rPr>
              <w:t>4.2采购人购买产品后，有权对该产品与其他设备进行配套、整合或适当改进，而免受侵犯专利权的起诉。若因为知识产权纠纷造成的一切损害赔偿及损失由投标人承担，包括但不限于实际损失、预期损失和对方要求赔偿损失及支出的律师费、交通费和差旅费等。</w:t>
            </w:r>
          </w:p>
        </w:tc>
        <w:tc>
          <w:tcPr>
            <w:tcW w:w="2332" w:type="dxa"/>
            <w:noWrap w:val="0"/>
            <w:vAlign w:val="top"/>
          </w:tcPr>
          <w:p w14:paraId="613422A1">
            <w:pPr>
              <w:rPr>
                <w:rFonts w:hint="eastAsia" w:ascii="宋体" w:hAnsi="宋体" w:eastAsia="宋体" w:cs="宋体"/>
                <w:kern w:val="0"/>
                <w:szCs w:val="21"/>
                <w:highlight w:val="none"/>
              </w:rPr>
            </w:pPr>
          </w:p>
        </w:tc>
        <w:tc>
          <w:tcPr>
            <w:tcW w:w="1200" w:type="dxa"/>
            <w:noWrap w:val="0"/>
            <w:vAlign w:val="top"/>
          </w:tcPr>
          <w:p w14:paraId="7E275041">
            <w:pPr>
              <w:rPr>
                <w:rFonts w:hint="eastAsia" w:ascii="宋体" w:hAnsi="宋体" w:eastAsia="宋体" w:cs="宋体"/>
                <w:kern w:val="0"/>
                <w:szCs w:val="21"/>
                <w:highlight w:val="none"/>
              </w:rPr>
            </w:pPr>
          </w:p>
        </w:tc>
        <w:tc>
          <w:tcPr>
            <w:tcW w:w="724" w:type="dxa"/>
            <w:noWrap w:val="0"/>
            <w:vAlign w:val="top"/>
          </w:tcPr>
          <w:p w14:paraId="55243A4F">
            <w:pPr>
              <w:rPr>
                <w:rFonts w:hint="eastAsia" w:ascii="宋体" w:hAnsi="宋体" w:eastAsia="宋体" w:cs="宋体"/>
                <w:kern w:val="0"/>
                <w:szCs w:val="21"/>
                <w:highlight w:val="none"/>
              </w:rPr>
            </w:pPr>
          </w:p>
        </w:tc>
      </w:tr>
      <w:tr w14:paraId="158C0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trPr>
        <w:tc>
          <w:tcPr>
            <w:tcW w:w="819" w:type="dxa"/>
            <w:noWrap w:val="0"/>
            <w:vAlign w:val="center"/>
          </w:tcPr>
          <w:p w14:paraId="6466325F">
            <w:pPr>
              <w:jc w:val="center"/>
              <w:rPr>
                <w:rFonts w:hint="eastAsia" w:ascii="宋体" w:hAnsi="宋体" w:eastAsia="宋体" w:cs="宋体"/>
                <w:b/>
              </w:rPr>
            </w:pPr>
            <w:r>
              <w:rPr>
                <w:rFonts w:hint="eastAsia" w:ascii="宋体" w:hAnsi="宋体" w:eastAsia="宋体" w:cs="宋体"/>
                <w:b/>
              </w:rPr>
              <w:t>5</w:t>
            </w:r>
          </w:p>
        </w:tc>
        <w:tc>
          <w:tcPr>
            <w:tcW w:w="1064" w:type="dxa"/>
            <w:noWrap w:val="0"/>
            <w:vAlign w:val="center"/>
          </w:tcPr>
          <w:p w14:paraId="01839B74">
            <w:pPr>
              <w:jc w:val="center"/>
              <w:rPr>
                <w:rFonts w:hint="eastAsia" w:ascii="宋体" w:hAnsi="宋体" w:eastAsia="宋体" w:cs="宋体"/>
                <w:b/>
                <w:bCs/>
                <w:kern w:val="0"/>
                <w:szCs w:val="21"/>
              </w:rPr>
            </w:pPr>
            <w:r>
              <w:rPr>
                <w:rFonts w:hint="eastAsia" w:ascii="宋体" w:hAnsi="宋体" w:eastAsia="宋体" w:cs="宋体"/>
                <w:b/>
                <w:bCs/>
                <w:kern w:val="0"/>
                <w:szCs w:val="21"/>
              </w:rPr>
              <w:t>付款方式</w:t>
            </w:r>
          </w:p>
        </w:tc>
        <w:tc>
          <w:tcPr>
            <w:tcW w:w="2344" w:type="dxa"/>
            <w:noWrap w:val="0"/>
            <w:vAlign w:val="top"/>
          </w:tcPr>
          <w:p w14:paraId="365A2056">
            <w:pPr>
              <w:rPr>
                <w:rFonts w:hint="eastAsia" w:ascii="宋体" w:hAnsi="宋体" w:eastAsia="宋体" w:cs="宋体"/>
              </w:rPr>
            </w:pPr>
            <w:r>
              <w:rPr>
                <w:rFonts w:hint="eastAsia" w:ascii="宋体" w:hAnsi="宋体" w:eastAsia="宋体" w:cs="宋体"/>
              </w:rPr>
              <w:t>★5.1付款条件：</w:t>
            </w:r>
          </w:p>
          <w:p w14:paraId="2E9C2782">
            <w:pPr>
              <w:ind w:firstLine="420" w:firstLineChars="200"/>
              <w:rPr>
                <w:rFonts w:hint="eastAsia" w:ascii="宋体" w:hAnsi="宋体" w:eastAsia="宋体" w:cs="宋体"/>
              </w:rPr>
            </w:pPr>
            <w:r>
              <w:rPr>
                <w:rFonts w:hint="eastAsia" w:ascii="宋体" w:hAnsi="宋体" w:eastAsia="宋体" w:cs="宋体"/>
              </w:rPr>
              <w:t>付款条件：本项目采取分期付款方式。采购人收到合同总金额60%的国家规定正式发票后，向中标人支付合同总金额60%的预付款；货到指定地点安装调试完成，并经采购人验收合格，中标人向采购人提交剩余款项的国家规定正式发票后，采购人向中标人支付剩余款项。本项目使用财政资金（包括混合资金来源中的财政资金）付款时，采购人有权根据本项目当年财政资金拨款情况支付合同约定款项，如剩余财政资金不足以支付到期款项的，采购人有权迟延至新的财政资金下达后支付该到期款项，且无需因此向中标人承担违约责任。</w:t>
            </w:r>
          </w:p>
        </w:tc>
        <w:tc>
          <w:tcPr>
            <w:tcW w:w="2332" w:type="dxa"/>
            <w:noWrap w:val="0"/>
            <w:vAlign w:val="top"/>
          </w:tcPr>
          <w:p w14:paraId="77EECCB6">
            <w:pPr>
              <w:ind w:firstLine="420" w:firstLineChars="200"/>
              <w:rPr>
                <w:rFonts w:hint="eastAsia" w:ascii="宋体" w:hAnsi="宋体" w:eastAsia="宋体" w:cs="宋体"/>
              </w:rPr>
            </w:pPr>
          </w:p>
        </w:tc>
        <w:tc>
          <w:tcPr>
            <w:tcW w:w="1200" w:type="dxa"/>
            <w:noWrap w:val="0"/>
            <w:vAlign w:val="top"/>
          </w:tcPr>
          <w:p w14:paraId="772B8FA9">
            <w:pPr>
              <w:ind w:firstLine="420" w:firstLineChars="200"/>
              <w:rPr>
                <w:rFonts w:hint="eastAsia" w:ascii="宋体" w:hAnsi="宋体" w:eastAsia="宋体" w:cs="宋体"/>
              </w:rPr>
            </w:pPr>
          </w:p>
        </w:tc>
        <w:tc>
          <w:tcPr>
            <w:tcW w:w="724" w:type="dxa"/>
            <w:noWrap w:val="0"/>
            <w:vAlign w:val="top"/>
          </w:tcPr>
          <w:p w14:paraId="338D6B98">
            <w:pPr>
              <w:ind w:firstLine="420" w:firstLineChars="200"/>
              <w:rPr>
                <w:rFonts w:hint="eastAsia" w:ascii="宋体" w:hAnsi="宋体" w:eastAsia="宋体" w:cs="宋体"/>
              </w:rPr>
            </w:pPr>
          </w:p>
        </w:tc>
      </w:tr>
      <w:tr w14:paraId="4556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819" w:type="dxa"/>
            <w:noWrap w:val="0"/>
            <w:vAlign w:val="center"/>
          </w:tcPr>
          <w:p w14:paraId="60E04B04">
            <w:pPr>
              <w:rPr>
                <w:rFonts w:hint="eastAsia" w:ascii="宋体" w:hAnsi="宋体" w:eastAsia="宋体" w:cs="宋体"/>
                <w:b/>
              </w:rPr>
            </w:pPr>
            <w:r>
              <w:rPr>
                <w:rFonts w:hint="eastAsia" w:ascii="宋体" w:hAnsi="宋体" w:eastAsia="宋体" w:cs="宋体"/>
                <w:b/>
              </w:rPr>
              <w:t>6</w:t>
            </w:r>
          </w:p>
        </w:tc>
        <w:tc>
          <w:tcPr>
            <w:tcW w:w="1064" w:type="dxa"/>
            <w:noWrap w:val="0"/>
            <w:vAlign w:val="center"/>
          </w:tcPr>
          <w:p w14:paraId="682795BB">
            <w:pPr>
              <w:jc w:val="center"/>
              <w:rPr>
                <w:rFonts w:hint="eastAsia" w:ascii="宋体" w:hAnsi="宋体" w:eastAsia="宋体" w:cs="宋体"/>
                <w:b/>
                <w:bCs/>
                <w:kern w:val="0"/>
                <w:szCs w:val="21"/>
              </w:rPr>
            </w:pPr>
            <w:r>
              <w:rPr>
                <w:rFonts w:hint="eastAsia" w:ascii="宋体" w:hAnsi="宋体" w:eastAsia="宋体" w:cs="宋体"/>
                <w:b/>
                <w:bCs/>
                <w:kern w:val="0"/>
                <w:szCs w:val="21"/>
              </w:rPr>
              <w:t>违约责任</w:t>
            </w:r>
          </w:p>
        </w:tc>
        <w:tc>
          <w:tcPr>
            <w:tcW w:w="2344" w:type="dxa"/>
            <w:noWrap w:val="0"/>
            <w:vAlign w:val="top"/>
          </w:tcPr>
          <w:p w14:paraId="220140B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b/>
                <w:bCs/>
                <w:color w:val="auto"/>
                <w:kern w:val="0"/>
                <w:sz w:val="21"/>
                <w:szCs w:val="21"/>
                <w:highlight w:val="none"/>
              </w:rPr>
              <w:t>违约责任</w:t>
            </w:r>
          </w:p>
          <w:p w14:paraId="19992A7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违约责任1：</w:t>
            </w:r>
            <w:r>
              <w:rPr>
                <w:rFonts w:hint="eastAsia" w:ascii="宋体" w:hAnsi="宋体" w:eastAsia="宋体" w:cs="宋体"/>
                <w:color w:val="auto"/>
                <w:sz w:val="21"/>
                <w:szCs w:val="21"/>
                <w:highlight w:val="none"/>
              </w:rPr>
              <w:t>如投标人未按照投标文件中承诺的时间交货或提供服务，投标人应承担延期交货和延期服务的违约责任，并赔偿采购人因此造成的实际经济损失。实际经济损失超出履约保证金额，采购人有权终止合同，并保留追究投标人法律责任的权利。</w:t>
            </w:r>
          </w:p>
          <w:p w14:paraId="23F2445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违约责任2：</w:t>
            </w:r>
            <w:r>
              <w:rPr>
                <w:rFonts w:hint="eastAsia" w:ascii="宋体" w:hAnsi="宋体" w:eastAsia="宋体" w:cs="宋体"/>
                <w:color w:val="auto"/>
                <w:sz w:val="21"/>
                <w:szCs w:val="21"/>
                <w:highlight w:val="none"/>
              </w:rPr>
              <w:t>投标人不能交付设备的，投标人向采购人偿付项目中标金额2%的违约金；造成严重后果的，根据《深圳经济特区政府采购条例》第五十七条第（二）款规定，由主管部门对中标人进行处罚。</w:t>
            </w:r>
          </w:p>
          <w:p w14:paraId="78ECAF3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违约责任3：</w:t>
            </w:r>
            <w:r>
              <w:rPr>
                <w:rFonts w:hint="eastAsia" w:ascii="宋体" w:hAnsi="宋体" w:eastAsia="宋体" w:cs="宋体"/>
                <w:color w:val="auto"/>
                <w:sz w:val="21"/>
                <w:szCs w:val="21"/>
                <w:highlight w:val="none"/>
              </w:rPr>
              <w:t>投标人所交设备的品种、型号、规格、质量、功能、技术参数等方面不能实质性满足招标文件要约的，采购人有权拒绝收货，投标人向采购人偿付项目中标金额2% 的违约金；造成严重后果的，根据《深圳经济特区政府采购条例》第五十七条第（二）款规定，由主管部门对中标人进行处罚。</w:t>
            </w:r>
          </w:p>
          <w:p w14:paraId="3CC0EA40">
            <w:pPr>
              <w:keepNext w:val="0"/>
              <w:keepLines w:val="0"/>
              <w:suppressLineNumbers w:val="0"/>
              <w:spacing w:before="0" w:beforeAutospacing="0" w:after="0" w:afterAutospacing="0"/>
              <w:ind w:left="0" w:right="0"/>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lang w:val="en-US" w:eastAsia="zh-CN"/>
              </w:rPr>
              <w:t>违约责任4：</w:t>
            </w:r>
            <w:r>
              <w:rPr>
                <w:rFonts w:hint="eastAsia" w:ascii="宋体" w:hAnsi="宋体" w:eastAsia="宋体" w:cs="宋体"/>
                <w:bCs/>
                <w:color w:val="auto"/>
                <w:kern w:val="0"/>
                <w:sz w:val="21"/>
                <w:szCs w:val="21"/>
                <w:highlight w:val="none"/>
              </w:rPr>
              <w:t>因投标人原因出现逾期情况，投标人应以如下方式向买方支付逾期违约金：</w:t>
            </w:r>
          </w:p>
          <w:p w14:paraId="29F8C037">
            <w:pPr>
              <w:keepNext w:val="0"/>
              <w:keepLines w:val="0"/>
              <w:numPr>
                <w:ilvl w:val="0"/>
                <w:numId w:val="0"/>
              </w:numPr>
              <w:suppressLineNumbers w:val="0"/>
              <w:spacing w:before="0" w:beforeAutospacing="0" w:after="0" w:afterAutospacing="0"/>
              <w:ind w:left="0" w:right="0" w:firstLine="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bidi="ar-SA"/>
              </w:rPr>
              <w:t>A.</w:t>
            </w:r>
            <w:r>
              <w:rPr>
                <w:rFonts w:hint="eastAsia" w:ascii="宋体" w:hAnsi="宋体" w:eastAsia="宋体" w:cs="宋体"/>
                <w:bCs/>
                <w:color w:val="auto"/>
                <w:kern w:val="0"/>
                <w:sz w:val="21"/>
                <w:szCs w:val="21"/>
                <w:highlight w:val="none"/>
              </w:rPr>
              <w:t>每逾期交货／逾期安装调试／逾期验收合格／一天，按合同总金额万分之五计算违约金；不满一天按一天计算；</w:t>
            </w:r>
          </w:p>
          <w:p w14:paraId="2CDB28BC">
            <w:pPr>
              <w:keepNext w:val="0"/>
              <w:keepLines w:val="0"/>
              <w:numPr>
                <w:ilvl w:val="0"/>
                <w:numId w:val="0"/>
              </w:numPr>
              <w:suppressLineNumbers w:val="0"/>
              <w:spacing w:before="0" w:beforeAutospacing="0" w:after="0" w:afterAutospacing="0"/>
              <w:ind w:left="0" w:right="0" w:firstLine="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bidi="ar-SA"/>
              </w:rPr>
              <w:t>B.</w:t>
            </w:r>
            <w:r>
              <w:rPr>
                <w:rFonts w:hint="eastAsia" w:ascii="宋体" w:hAnsi="宋体" w:eastAsia="宋体" w:cs="宋体"/>
                <w:bCs/>
                <w:color w:val="auto"/>
                <w:kern w:val="0"/>
                <w:sz w:val="21"/>
                <w:szCs w:val="21"/>
                <w:highlight w:val="none"/>
              </w:rPr>
              <w:t>上述逾期违约金的支付不影响投标人交货义务的履行；</w:t>
            </w:r>
          </w:p>
          <w:p w14:paraId="39F74DCC">
            <w:pPr>
              <w:numPr>
                <w:ilvl w:val="0"/>
                <w:numId w:val="0"/>
              </w:numPr>
              <w:ind w:left="0" w:firstLine="0"/>
              <w:rPr>
                <w:rFonts w:hint="eastAsia" w:ascii="宋体" w:hAnsi="宋体" w:eastAsia="宋体" w:cs="宋体"/>
                <w:bCs/>
                <w:kern w:val="0"/>
                <w:szCs w:val="21"/>
              </w:rPr>
            </w:pPr>
            <w:r>
              <w:rPr>
                <w:rFonts w:hint="eastAsia" w:ascii="宋体" w:hAnsi="宋体" w:eastAsia="宋体" w:cs="宋体"/>
                <w:bCs/>
                <w:color w:val="auto"/>
                <w:kern w:val="0"/>
                <w:sz w:val="21"/>
                <w:szCs w:val="21"/>
                <w:highlight w:val="none"/>
                <w:lang w:val="en-US" w:eastAsia="zh-CN" w:bidi="ar-SA"/>
              </w:rPr>
              <w:t>C.</w:t>
            </w:r>
            <w:r>
              <w:rPr>
                <w:rFonts w:hint="eastAsia" w:ascii="宋体" w:hAnsi="宋体" w:eastAsia="宋体" w:cs="宋体"/>
                <w:bCs/>
                <w:color w:val="auto"/>
                <w:kern w:val="0"/>
                <w:sz w:val="21"/>
                <w:szCs w:val="21"/>
                <w:highlight w:val="none"/>
              </w:rPr>
              <w:t>逾期交货超过15天的，采购人有权单方解除本合同，并保留追究投标人法律责任的权利。</w:t>
            </w:r>
          </w:p>
        </w:tc>
        <w:tc>
          <w:tcPr>
            <w:tcW w:w="2332" w:type="dxa"/>
            <w:noWrap w:val="0"/>
            <w:vAlign w:val="top"/>
          </w:tcPr>
          <w:p w14:paraId="2474D784">
            <w:pPr>
              <w:numPr>
                <w:ilvl w:val="0"/>
                <w:numId w:val="0"/>
              </w:numPr>
              <w:ind w:left="0" w:firstLine="0"/>
              <w:rPr>
                <w:rFonts w:hint="eastAsia" w:ascii="宋体" w:hAnsi="宋体" w:eastAsia="宋体" w:cs="宋体"/>
                <w:bCs/>
                <w:color w:val="auto"/>
                <w:kern w:val="0"/>
                <w:sz w:val="21"/>
                <w:szCs w:val="21"/>
                <w:highlight w:val="none"/>
                <w:lang w:val="en-US" w:eastAsia="zh-CN" w:bidi="ar-SA"/>
              </w:rPr>
            </w:pPr>
          </w:p>
        </w:tc>
        <w:tc>
          <w:tcPr>
            <w:tcW w:w="1200" w:type="dxa"/>
            <w:noWrap w:val="0"/>
            <w:vAlign w:val="top"/>
          </w:tcPr>
          <w:p w14:paraId="250134DC">
            <w:pPr>
              <w:numPr>
                <w:ilvl w:val="0"/>
                <w:numId w:val="0"/>
              </w:numPr>
              <w:ind w:left="0" w:firstLine="0"/>
              <w:rPr>
                <w:rFonts w:hint="eastAsia" w:ascii="宋体" w:hAnsi="宋体" w:eastAsia="宋体" w:cs="宋体"/>
                <w:bCs/>
                <w:color w:val="auto"/>
                <w:kern w:val="0"/>
                <w:sz w:val="21"/>
                <w:szCs w:val="21"/>
                <w:highlight w:val="none"/>
                <w:lang w:val="en-US" w:eastAsia="zh-CN" w:bidi="ar-SA"/>
              </w:rPr>
            </w:pPr>
          </w:p>
        </w:tc>
        <w:tc>
          <w:tcPr>
            <w:tcW w:w="724" w:type="dxa"/>
            <w:noWrap w:val="0"/>
            <w:vAlign w:val="top"/>
          </w:tcPr>
          <w:p w14:paraId="76B17AE9">
            <w:pPr>
              <w:numPr>
                <w:ilvl w:val="0"/>
                <w:numId w:val="0"/>
              </w:numPr>
              <w:ind w:left="0" w:firstLine="0"/>
              <w:rPr>
                <w:rFonts w:hint="eastAsia" w:ascii="宋体" w:hAnsi="宋体" w:eastAsia="宋体" w:cs="宋体"/>
                <w:bCs/>
                <w:color w:val="auto"/>
                <w:kern w:val="0"/>
                <w:sz w:val="21"/>
                <w:szCs w:val="21"/>
                <w:highlight w:val="none"/>
                <w:lang w:val="en-US" w:eastAsia="zh-CN" w:bidi="ar-SA"/>
              </w:rPr>
            </w:pPr>
          </w:p>
        </w:tc>
      </w:tr>
      <w:tr w14:paraId="7A50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819" w:type="dxa"/>
            <w:vMerge w:val="restart"/>
            <w:noWrap w:val="0"/>
            <w:vAlign w:val="center"/>
          </w:tcPr>
          <w:p w14:paraId="520425BD">
            <w:pPr>
              <w:jc w:val="center"/>
              <w:rPr>
                <w:rFonts w:hint="eastAsia" w:ascii="宋体" w:hAnsi="宋体" w:eastAsia="宋体" w:cs="宋体"/>
                <w:b/>
              </w:rPr>
            </w:pPr>
            <w:r>
              <w:rPr>
                <w:rFonts w:hint="eastAsia" w:ascii="宋体" w:hAnsi="宋体" w:eastAsia="宋体" w:cs="宋体"/>
                <w:b/>
              </w:rPr>
              <w:t>7</w:t>
            </w:r>
          </w:p>
        </w:tc>
        <w:tc>
          <w:tcPr>
            <w:tcW w:w="1064" w:type="dxa"/>
            <w:vMerge w:val="restart"/>
            <w:noWrap w:val="0"/>
            <w:vAlign w:val="center"/>
          </w:tcPr>
          <w:p w14:paraId="1CF7F9A7">
            <w:pPr>
              <w:jc w:val="center"/>
              <w:rPr>
                <w:rFonts w:hint="eastAsia" w:ascii="宋体" w:hAnsi="宋体" w:eastAsia="宋体" w:cs="宋体"/>
                <w:b/>
                <w:kern w:val="0"/>
                <w:szCs w:val="21"/>
              </w:rPr>
            </w:pPr>
            <w:r>
              <w:rPr>
                <w:rFonts w:hint="eastAsia" w:ascii="宋体" w:hAnsi="宋体" w:eastAsia="宋体" w:cs="宋体"/>
                <w:b/>
                <w:kern w:val="0"/>
                <w:szCs w:val="21"/>
              </w:rPr>
              <w:t>其他</w:t>
            </w:r>
          </w:p>
        </w:tc>
        <w:tc>
          <w:tcPr>
            <w:tcW w:w="2344" w:type="dxa"/>
            <w:noWrap w:val="0"/>
            <w:vAlign w:val="center"/>
          </w:tcPr>
          <w:p w14:paraId="3BA603C4">
            <w:pPr>
              <w:rPr>
                <w:rFonts w:hint="eastAsia" w:ascii="宋体" w:hAnsi="宋体" w:eastAsia="宋体" w:cs="宋体"/>
                <w:b/>
              </w:rPr>
            </w:pPr>
            <w:r>
              <w:rPr>
                <w:rFonts w:hint="eastAsia" w:ascii="宋体" w:hAnsi="宋体" w:eastAsia="宋体" w:cs="宋体"/>
                <w:kern w:val="0"/>
                <w:szCs w:val="21"/>
                <w:highlight w:val="none"/>
              </w:rPr>
              <w:t>★</w:t>
            </w:r>
            <w:r>
              <w:rPr>
                <w:rFonts w:hint="eastAsia" w:ascii="宋体" w:hAnsi="宋体" w:eastAsia="宋体" w:cs="宋体"/>
                <w:bCs/>
                <w:szCs w:val="21"/>
              </w:rPr>
              <w:t>7.1投标人应按其投标文件中的承诺，进行其他售后服务工作。</w:t>
            </w:r>
          </w:p>
        </w:tc>
        <w:tc>
          <w:tcPr>
            <w:tcW w:w="2332" w:type="dxa"/>
            <w:noWrap w:val="0"/>
            <w:vAlign w:val="center"/>
          </w:tcPr>
          <w:p w14:paraId="26B29224">
            <w:pPr>
              <w:rPr>
                <w:rFonts w:hint="eastAsia" w:ascii="宋体" w:hAnsi="宋体" w:eastAsia="宋体" w:cs="宋体"/>
                <w:kern w:val="0"/>
                <w:szCs w:val="21"/>
                <w:highlight w:val="none"/>
              </w:rPr>
            </w:pPr>
          </w:p>
        </w:tc>
        <w:tc>
          <w:tcPr>
            <w:tcW w:w="1200" w:type="dxa"/>
            <w:noWrap w:val="0"/>
            <w:vAlign w:val="center"/>
          </w:tcPr>
          <w:p w14:paraId="6FC54D5B">
            <w:pPr>
              <w:rPr>
                <w:rFonts w:hint="eastAsia" w:ascii="宋体" w:hAnsi="宋体" w:eastAsia="宋体" w:cs="宋体"/>
                <w:kern w:val="0"/>
                <w:szCs w:val="21"/>
                <w:highlight w:val="none"/>
              </w:rPr>
            </w:pPr>
          </w:p>
        </w:tc>
        <w:tc>
          <w:tcPr>
            <w:tcW w:w="724" w:type="dxa"/>
            <w:noWrap w:val="0"/>
            <w:vAlign w:val="center"/>
          </w:tcPr>
          <w:p w14:paraId="68A4A5BD">
            <w:pPr>
              <w:rPr>
                <w:rFonts w:hint="eastAsia" w:ascii="宋体" w:hAnsi="宋体" w:eastAsia="宋体" w:cs="宋体"/>
                <w:kern w:val="0"/>
                <w:szCs w:val="21"/>
                <w:highlight w:val="none"/>
              </w:rPr>
            </w:pPr>
          </w:p>
        </w:tc>
      </w:tr>
      <w:tr w14:paraId="0119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19" w:type="dxa"/>
            <w:vMerge w:val="continue"/>
            <w:noWrap w:val="0"/>
            <w:vAlign w:val="center"/>
          </w:tcPr>
          <w:p w14:paraId="2B95F168">
            <w:pPr>
              <w:jc w:val="center"/>
              <w:rPr>
                <w:rFonts w:hint="eastAsia" w:ascii="宋体" w:hAnsi="宋体" w:eastAsia="宋体" w:cs="宋体"/>
                <w:b/>
              </w:rPr>
            </w:pPr>
          </w:p>
        </w:tc>
        <w:tc>
          <w:tcPr>
            <w:tcW w:w="1064" w:type="dxa"/>
            <w:vMerge w:val="continue"/>
            <w:noWrap w:val="0"/>
            <w:vAlign w:val="center"/>
          </w:tcPr>
          <w:p w14:paraId="4184709C">
            <w:pPr>
              <w:jc w:val="center"/>
              <w:rPr>
                <w:rFonts w:hint="eastAsia" w:ascii="宋体" w:hAnsi="宋体" w:eastAsia="宋体" w:cs="宋体"/>
                <w:b/>
                <w:kern w:val="0"/>
                <w:szCs w:val="21"/>
              </w:rPr>
            </w:pPr>
          </w:p>
        </w:tc>
        <w:tc>
          <w:tcPr>
            <w:tcW w:w="2344" w:type="dxa"/>
            <w:noWrap w:val="0"/>
            <w:vAlign w:val="center"/>
          </w:tcPr>
          <w:p w14:paraId="1B8ECCE0">
            <w:pPr>
              <w:rPr>
                <w:rFonts w:hint="eastAsia" w:ascii="宋体" w:hAnsi="宋体" w:eastAsia="宋体" w:cs="宋体"/>
              </w:rPr>
            </w:pPr>
            <w:r>
              <w:rPr>
                <w:rFonts w:hint="eastAsia" w:ascii="宋体" w:hAnsi="宋体" w:eastAsia="宋体" w:cs="宋体"/>
                <w:b w:val="0"/>
                <w:bCs/>
                <w:color w:val="auto"/>
                <w:sz w:val="21"/>
                <w:szCs w:val="21"/>
                <w:highlight w:val="none"/>
              </w:rPr>
              <w:t>★</w:t>
            </w:r>
            <w:r>
              <w:rPr>
                <w:rFonts w:hint="eastAsia" w:ascii="宋体" w:hAnsi="宋体" w:eastAsia="宋体" w:cs="宋体"/>
                <w:bCs/>
                <w:color w:val="auto"/>
                <w:szCs w:val="21"/>
              </w:rPr>
              <w:t>7.</w:t>
            </w:r>
            <w:r>
              <w:rPr>
                <w:rFonts w:hint="eastAsia" w:ascii="宋体" w:hAnsi="宋体" w:eastAsia="宋体" w:cs="宋体"/>
                <w:bCs/>
                <w:color w:val="auto"/>
                <w:szCs w:val="21"/>
                <w:lang w:val="en-US" w:eastAsia="zh-CN"/>
              </w:rPr>
              <w:t>2</w:t>
            </w:r>
            <w:r>
              <w:rPr>
                <w:rFonts w:hint="eastAsia" w:ascii="宋体" w:hAnsi="宋体" w:eastAsia="宋体" w:cs="宋体"/>
                <w:bCs/>
                <w:szCs w:val="21"/>
              </w:rPr>
              <w:t>需支持有工程师支持科室完成模型训练工作，提供≥50个工作日驻场服务，总计1年技术支持服务</w:t>
            </w:r>
          </w:p>
        </w:tc>
        <w:tc>
          <w:tcPr>
            <w:tcW w:w="2332" w:type="dxa"/>
            <w:noWrap w:val="0"/>
            <w:vAlign w:val="center"/>
          </w:tcPr>
          <w:p w14:paraId="5E53884B">
            <w:pPr>
              <w:rPr>
                <w:rFonts w:hint="eastAsia" w:ascii="宋体" w:hAnsi="宋体" w:eastAsia="宋体" w:cs="宋体"/>
                <w:b w:val="0"/>
                <w:bCs/>
                <w:color w:val="auto"/>
                <w:sz w:val="21"/>
                <w:szCs w:val="21"/>
                <w:highlight w:val="none"/>
              </w:rPr>
            </w:pPr>
          </w:p>
        </w:tc>
        <w:tc>
          <w:tcPr>
            <w:tcW w:w="1200" w:type="dxa"/>
            <w:noWrap w:val="0"/>
            <w:vAlign w:val="center"/>
          </w:tcPr>
          <w:p w14:paraId="355266E5">
            <w:pPr>
              <w:rPr>
                <w:rFonts w:hint="eastAsia" w:ascii="宋体" w:hAnsi="宋体" w:eastAsia="宋体" w:cs="宋体"/>
                <w:b w:val="0"/>
                <w:bCs/>
                <w:color w:val="auto"/>
                <w:sz w:val="21"/>
                <w:szCs w:val="21"/>
                <w:highlight w:val="none"/>
              </w:rPr>
            </w:pPr>
          </w:p>
        </w:tc>
        <w:tc>
          <w:tcPr>
            <w:tcW w:w="724" w:type="dxa"/>
            <w:noWrap w:val="0"/>
            <w:vAlign w:val="center"/>
          </w:tcPr>
          <w:p w14:paraId="44924F72">
            <w:pPr>
              <w:rPr>
                <w:rFonts w:hint="eastAsia" w:ascii="宋体" w:hAnsi="宋体" w:eastAsia="宋体" w:cs="宋体"/>
                <w:b w:val="0"/>
                <w:bCs/>
                <w:color w:val="auto"/>
                <w:sz w:val="21"/>
                <w:szCs w:val="21"/>
                <w:highlight w:val="none"/>
              </w:rPr>
            </w:pPr>
          </w:p>
        </w:tc>
      </w:tr>
      <w:tr w14:paraId="0F1A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19" w:type="dxa"/>
            <w:vMerge w:val="continue"/>
            <w:noWrap w:val="0"/>
            <w:vAlign w:val="center"/>
          </w:tcPr>
          <w:p w14:paraId="44BA36DF">
            <w:pPr>
              <w:jc w:val="center"/>
              <w:rPr>
                <w:rFonts w:hint="eastAsia" w:ascii="宋体" w:hAnsi="宋体" w:eastAsia="宋体" w:cs="宋体"/>
                <w:b/>
              </w:rPr>
            </w:pPr>
          </w:p>
        </w:tc>
        <w:tc>
          <w:tcPr>
            <w:tcW w:w="1064" w:type="dxa"/>
            <w:vMerge w:val="continue"/>
            <w:noWrap w:val="0"/>
            <w:vAlign w:val="center"/>
          </w:tcPr>
          <w:p w14:paraId="114A6F11">
            <w:pPr>
              <w:jc w:val="center"/>
              <w:rPr>
                <w:rFonts w:hint="eastAsia" w:ascii="宋体" w:hAnsi="宋体" w:eastAsia="宋体" w:cs="宋体"/>
                <w:b/>
                <w:kern w:val="0"/>
                <w:szCs w:val="21"/>
              </w:rPr>
            </w:pPr>
          </w:p>
        </w:tc>
        <w:tc>
          <w:tcPr>
            <w:tcW w:w="2344" w:type="dxa"/>
            <w:noWrap w:val="0"/>
            <w:vAlign w:val="center"/>
          </w:tcPr>
          <w:p w14:paraId="6AC645B5">
            <w:pPr>
              <w:rPr>
                <w:rFonts w:hint="eastAsia" w:ascii="宋体" w:hAnsi="宋体" w:eastAsia="宋体" w:cs="宋体"/>
                <w:kern w:val="0"/>
                <w:szCs w:val="21"/>
                <w:highlight w:val="none"/>
              </w:rPr>
            </w:pPr>
            <w:r>
              <w:rPr>
                <w:rFonts w:hint="eastAsia" w:ascii="宋体" w:hAnsi="宋体" w:eastAsia="宋体" w:cs="宋体"/>
                <w:kern w:val="0"/>
                <w:szCs w:val="21"/>
                <w:highlight w:val="none"/>
              </w:rPr>
              <w:t>★7.3向医院信息管理部门提供本项目项下超级管理员账号，包含所有软件及硬件。</w:t>
            </w:r>
          </w:p>
        </w:tc>
        <w:tc>
          <w:tcPr>
            <w:tcW w:w="2332" w:type="dxa"/>
            <w:noWrap w:val="0"/>
            <w:vAlign w:val="center"/>
          </w:tcPr>
          <w:p w14:paraId="288BB52F">
            <w:pPr>
              <w:rPr>
                <w:rFonts w:hint="eastAsia" w:ascii="宋体" w:hAnsi="宋体" w:eastAsia="宋体" w:cs="宋体"/>
                <w:kern w:val="0"/>
                <w:szCs w:val="21"/>
                <w:highlight w:val="none"/>
              </w:rPr>
            </w:pPr>
          </w:p>
        </w:tc>
        <w:tc>
          <w:tcPr>
            <w:tcW w:w="1200" w:type="dxa"/>
            <w:noWrap w:val="0"/>
            <w:vAlign w:val="center"/>
          </w:tcPr>
          <w:p w14:paraId="1686AECB">
            <w:pPr>
              <w:rPr>
                <w:rFonts w:hint="eastAsia" w:ascii="宋体" w:hAnsi="宋体" w:eastAsia="宋体" w:cs="宋体"/>
                <w:kern w:val="0"/>
                <w:szCs w:val="21"/>
                <w:highlight w:val="none"/>
              </w:rPr>
            </w:pPr>
          </w:p>
        </w:tc>
        <w:tc>
          <w:tcPr>
            <w:tcW w:w="724" w:type="dxa"/>
            <w:noWrap w:val="0"/>
            <w:vAlign w:val="center"/>
          </w:tcPr>
          <w:p w14:paraId="1E8A5960">
            <w:pPr>
              <w:rPr>
                <w:rFonts w:hint="eastAsia" w:ascii="宋体" w:hAnsi="宋体" w:eastAsia="宋体" w:cs="宋体"/>
                <w:kern w:val="0"/>
                <w:szCs w:val="21"/>
                <w:highlight w:val="none"/>
              </w:rPr>
            </w:pPr>
          </w:p>
        </w:tc>
      </w:tr>
      <w:tr w14:paraId="23DB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19" w:type="dxa"/>
            <w:vMerge w:val="continue"/>
            <w:noWrap w:val="0"/>
            <w:vAlign w:val="center"/>
          </w:tcPr>
          <w:p w14:paraId="1041963E">
            <w:pPr>
              <w:jc w:val="center"/>
              <w:rPr>
                <w:rFonts w:hint="eastAsia" w:ascii="宋体" w:hAnsi="宋体" w:eastAsia="宋体" w:cs="宋体"/>
                <w:b/>
              </w:rPr>
            </w:pPr>
          </w:p>
        </w:tc>
        <w:tc>
          <w:tcPr>
            <w:tcW w:w="1064" w:type="dxa"/>
            <w:vMerge w:val="continue"/>
            <w:noWrap w:val="0"/>
            <w:vAlign w:val="center"/>
          </w:tcPr>
          <w:p w14:paraId="567CBBB3">
            <w:pPr>
              <w:jc w:val="center"/>
              <w:rPr>
                <w:rFonts w:hint="eastAsia" w:ascii="宋体" w:hAnsi="宋体" w:eastAsia="宋体" w:cs="宋体"/>
                <w:b/>
                <w:kern w:val="0"/>
                <w:szCs w:val="21"/>
              </w:rPr>
            </w:pPr>
          </w:p>
        </w:tc>
        <w:tc>
          <w:tcPr>
            <w:tcW w:w="2344" w:type="dxa"/>
            <w:noWrap w:val="0"/>
            <w:vAlign w:val="center"/>
          </w:tcPr>
          <w:p w14:paraId="0C1F4B66">
            <w:pPr>
              <w:rPr>
                <w:rFonts w:hint="eastAsia" w:ascii="宋体" w:hAnsi="宋体" w:eastAsia="宋体" w:cs="宋体"/>
                <w:kern w:val="0"/>
                <w:szCs w:val="21"/>
                <w:highlight w:val="none"/>
              </w:rPr>
            </w:pPr>
            <w:r>
              <w:rPr>
                <w:rFonts w:hint="eastAsia" w:ascii="宋体" w:hAnsi="宋体" w:eastAsia="宋体" w:cs="宋体"/>
                <w:kern w:val="0"/>
                <w:szCs w:val="21"/>
                <w:highlight w:val="none"/>
              </w:rPr>
              <w:t>★7.4系统部署架构需满足院内信息安全要求，仅开放必要端口和服务，禁止默认方式部署，系统功能满足信息安全等级保护三级要求，对中高危漏洞3天内修复，紧急情况24小时内处置，中标后签订信息安全保密承诺书，严禁外泄医院数据及个人隐私，遵守院内信息安全管理制度。</w:t>
            </w:r>
          </w:p>
        </w:tc>
        <w:tc>
          <w:tcPr>
            <w:tcW w:w="2332" w:type="dxa"/>
            <w:noWrap w:val="0"/>
            <w:vAlign w:val="center"/>
          </w:tcPr>
          <w:p w14:paraId="4E6C2112">
            <w:pPr>
              <w:rPr>
                <w:rFonts w:hint="eastAsia" w:ascii="宋体" w:hAnsi="宋体" w:eastAsia="宋体" w:cs="宋体"/>
                <w:kern w:val="0"/>
                <w:szCs w:val="21"/>
                <w:highlight w:val="none"/>
              </w:rPr>
            </w:pPr>
          </w:p>
        </w:tc>
        <w:tc>
          <w:tcPr>
            <w:tcW w:w="1200" w:type="dxa"/>
            <w:noWrap w:val="0"/>
            <w:vAlign w:val="center"/>
          </w:tcPr>
          <w:p w14:paraId="55D9C5AE">
            <w:pPr>
              <w:rPr>
                <w:rFonts w:hint="eastAsia" w:ascii="宋体" w:hAnsi="宋体" w:eastAsia="宋体" w:cs="宋体"/>
                <w:kern w:val="0"/>
                <w:szCs w:val="21"/>
                <w:highlight w:val="none"/>
              </w:rPr>
            </w:pPr>
          </w:p>
        </w:tc>
        <w:tc>
          <w:tcPr>
            <w:tcW w:w="724" w:type="dxa"/>
            <w:noWrap w:val="0"/>
            <w:vAlign w:val="center"/>
          </w:tcPr>
          <w:p w14:paraId="370FF181">
            <w:pPr>
              <w:rPr>
                <w:rFonts w:hint="eastAsia" w:ascii="宋体" w:hAnsi="宋体" w:eastAsia="宋体" w:cs="宋体"/>
                <w:kern w:val="0"/>
                <w:szCs w:val="21"/>
                <w:highlight w:val="none"/>
              </w:rPr>
            </w:pPr>
          </w:p>
        </w:tc>
      </w:tr>
      <w:tr w14:paraId="6979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19" w:type="dxa"/>
            <w:noWrap w:val="0"/>
            <w:vAlign w:val="center"/>
          </w:tcPr>
          <w:p w14:paraId="56385BAF">
            <w:pPr>
              <w:widowControl/>
              <w:jc w:val="center"/>
              <w:rPr>
                <w:rFonts w:hint="eastAsia" w:ascii="宋体" w:hAnsi="宋体" w:eastAsia="宋体" w:cs="宋体"/>
                <w:b/>
                <w:sz w:val="21"/>
                <w:szCs w:val="21"/>
              </w:rPr>
            </w:pPr>
            <w:r>
              <w:rPr>
                <w:rFonts w:hint="eastAsia" w:ascii="宋体" w:hAnsi="宋体" w:eastAsia="宋体" w:cs="宋体"/>
                <w:b/>
                <w:sz w:val="21"/>
                <w:szCs w:val="21"/>
                <w:highlight w:val="none"/>
                <w:lang w:val="en-US" w:eastAsia="zh-CN"/>
              </w:rPr>
              <w:t>8</w:t>
            </w:r>
          </w:p>
        </w:tc>
        <w:tc>
          <w:tcPr>
            <w:tcW w:w="1064" w:type="dxa"/>
            <w:noWrap w:val="0"/>
            <w:vAlign w:val="center"/>
          </w:tcPr>
          <w:p w14:paraId="40EECBFC">
            <w:pPr>
              <w:widowControl/>
              <w:jc w:val="center"/>
              <w:rPr>
                <w:rFonts w:hint="eastAsia" w:ascii="宋体" w:hAnsi="宋体" w:eastAsia="宋体" w:cs="宋体"/>
                <w:b/>
                <w:kern w:val="0"/>
                <w:sz w:val="21"/>
                <w:szCs w:val="21"/>
              </w:rPr>
            </w:pPr>
            <w:r>
              <w:rPr>
                <w:rFonts w:hint="eastAsia" w:ascii="宋体" w:hAnsi="宋体" w:eastAsia="宋体" w:cs="宋体"/>
                <w:b/>
                <w:sz w:val="21"/>
                <w:szCs w:val="21"/>
                <w:highlight w:val="none"/>
              </w:rPr>
              <w:t>项目（产品）要求</w:t>
            </w:r>
          </w:p>
        </w:tc>
        <w:tc>
          <w:tcPr>
            <w:tcW w:w="2344" w:type="dxa"/>
            <w:noWrap w:val="0"/>
            <w:vAlign w:val="top"/>
          </w:tcPr>
          <w:p w14:paraId="63F34A30">
            <w:pPr>
              <w:rPr>
                <w:rFonts w:hint="eastAsia" w:ascii="宋体" w:hAnsi="宋体" w:eastAsia="宋体" w:cs="宋体"/>
                <w:b/>
                <w:bCs w:val="0"/>
                <w:color w:val="FF0000"/>
                <w:kern w:val="0"/>
                <w:sz w:val="21"/>
                <w:szCs w:val="21"/>
                <w:highlight w:val="none"/>
              </w:rPr>
            </w:pPr>
            <w:r>
              <w:rPr>
                <w:rFonts w:hint="eastAsia" w:ascii="宋体" w:hAnsi="宋体" w:eastAsia="宋体" w:cs="宋体"/>
                <w:b/>
                <w:bCs w:val="0"/>
                <w:color w:val="FF0000"/>
                <w:sz w:val="21"/>
                <w:szCs w:val="21"/>
                <w:highlight w:val="none"/>
              </w:rPr>
              <w:t>★</w:t>
            </w:r>
            <w:r>
              <w:rPr>
                <w:rFonts w:hint="eastAsia" w:ascii="宋体" w:hAnsi="宋体" w:eastAsia="宋体" w:cs="宋体"/>
                <w:b/>
                <w:bCs w:val="0"/>
                <w:color w:val="FF0000"/>
                <w:sz w:val="21"/>
                <w:szCs w:val="21"/>
                <w:highlight w:val="none"/>
                <w:lang w:val="en-US" w:eastAsia="zh-CN"/>
              </w:rPr>
              <w:t>8</w:t>
            </w:r>
            <w:r>
              <w:rPr>
                <w:rFonts w:hint="eastAsia" w:ascii="宋体" w:hAnsi="宋体" w:eastAsia="宋体" w:cs="宋体"/>
                <w:b/>
                <w:bCs w:val="0"/>
                <w:color w:val="FF0000"/>
                <w:sz w:val="21"/>
                <w:szCs w:val="21"/>
                <w:highlight w:val="none"/>
              </w:rPr>
              <w:t>.1</w:t>
            </w:r>
            <w:r>
              <w:rPr>
                <w:rFonts w:hint="eastAsia" w:ascii="宋体" w:hAnsi="宋体" w:eastAsia="宋体" w:cs="宋体"/>
                <w:b/>
                <w:bCs w:val="0"/>
                <w:color w:val="FF0000"/>
                <w:sz w:val="21"/>
                <w:szCs w:val="21"/>
                <w:highlight w:val="none"/>
                <w:lang w:eastAsia="zh-CN"/>
              </w:rPr>
              <w:t>投标人</w:t>
            </w:r>
            <w:r>
              <w:rPr>
                <w:rFonts w:hint="eastAsia" w:ascii="宋体" w:hAnsi="宋体" w:eastAsia="宋体" w:cs="宋体"/>
                <w:b/>
                <w:bCs w:val="0"/>
                <w:color w:val="FF0000"/>
                <w:sz w:val="21"/>
                <w:szCs w:val="21"/>
                <w:highlight w:val="none"/>
              </w:rPr>
              <w:t>所投产品</w:t>
            </w:r>
            <w:r>
              <w:rPr>
                <w:rFonts w:hint="eastAsia" w:ascii="宋体" w:hAnsi="宋体" w:eastAsia="宋体" w:cs="宋体"/>
                <w:b/>
                <w:bCs w:val="0"/>
                <w:color w:val="FF0000"/>
                <w:sz w:val="21"/>
                <w:szCs w:val="21"/>
                <w:highlight w:val="none"/>
                <w:lang w:eastAsia="zh-CN"/>
              </w:rPr>
              <w:t>（</w:t>
            </w:r>
            <w:r>
              <w:rPr>
                <w:rFonts w:hint="default" w:ascii="宋体" w:hAnsi="宋体" w:cs="宋体"/>
                <w:b/>
                <w:color w:val="FF0000"/>
                <w:szCs w:val="21"/>
              </w:rPr>
              <w:t>放疗计划设计工作站</w:t>
            </w:r>
            <w:r>
              <w:rPr>
                <w:rFonts w:hint="eastAsia" w:ascii="宋体" w:hAnsi="宋体" w:eastAsia="宋体" w:cs="宋体"/>
                <w:b/>
                <w:bCs w:val="0"/>
                <w:color w:val="FF0000"/>
                <w:sz w:val="21"/>
                <w:szCs w:val="21"/>
                <w:highlight w:val="none"/>
                <w:lang w:eastAsia="zh-CN"/>
              </w:rPr>
              <w:t>）</w:t>
            </w:r>
            <w:r>
              <w:rPr>
                <w:rFonts w:hint="eastAsia" w:ascii="宋体" w:hAnsi="宋体" w:eastAsia="宋体" w:cs="宋体"/>
                <w:b/>
                <w:bCs w:val="0"/>
                <w:color w:val="FF0000"/>
                <w:sz w:val="21"/>
                <w:szCs w:val="21"/>
                <w:highlight w:val="none"/>
              </w:rPr>
              <w:t>具备相关主管部门要求的认证资料：所投产品为第一类医疗器械的，提供监督管理部门签发的有效的《医疗器械备案凭证》扫描件；所投产品为第二、三类医疗器械的，提供监督管理部门签发的涵盖所投产品的《医疗器械注册证》(有效期内)扫描件。</w:t>
            </w:r>
          </w:p>
        </w:tc>
        <w:tc>
          <w:tcPr>
            <w:tcW w:w="2332" w:type="dxa"/>
            <w:noWrap w:val="0"/>
            <w:vAlign w:val="top"/>
          </w:tcPr>
          <w:p w14:paraId="741500CD">
            <w:pPr>
              <w:rPr>
                <w:rFonts w:hint="eastAsia" w:ascii="宋体" w:hAnsi="宋体" w:eastAsia="宋体" w:cs="宋体"/>
                <w:b/>
                <w:bCs w:val="0"/>
                <w:color w:val="FF0000"/>
                <w:sz w:val="21"/>
                <w:szCs w:val="21"/>
                <w:highlight w:val="none"/>
              </w:rPr>
            </w:pPr>
          </w:p>
        </w:tc>
        <w:tc>
          <w:tcPr>
            <w:tcW w:w="1200" w:type="dxa"/>
            <w:noWrap w:val="0"/>
            <w:vAlign w:val="top"/>
          </w:tcPr>
          <w:p w14:paraId="4DD4A05C">
            <w:pPr>
              <w:rPr>
                <w:rFonts w:hint="eastAsia" w:ascii="宋体" w:hAnsi="宋体" w:eastAsia="宋体" w:cs="宋体"/>
                <w:b/>
                <w:bCs w:val="0"/>
                <w:color w:val="FF0000"/>
                <w:sz w:val="21"/>
                <w:szCs w:val="21"/>
                <w:highlight w:val="none"/>
              </w:rPr>
            </w:pPr>
          </w:p>
        </w:tc>
        <w:tc>
          <w:tcPr>
            <w:tcW w:w="724" w:type="dxa"/>
            <w:noWrap w:val="0"/>
            <w:vAlign w:val="top"/>
          </w:tcPr>
          <w:p w14:paraId="794F3399">
            <w:pPr>
              <w:rPr>
                <w:rFonts w:hint="eastAsia" w:ascii="宋体" w:hAnsi="宋体" w:eastAsia="宋体" w:cs="宋体"/>
                <w:b/>
                <w:bCs w:val="0"/>
                <w:color w:val="FF0000"/>
                <w:sz w:val="21"/>
                <w:szCs w:val="21"/>
                <w:highlight w:val="none"/>
              </w:rPr>
            </w:pPr>
          </w:p>
        </w:tc>
      </w:tr>
      <w:tr w14:paraId="4383B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19" w:type="dxa"/>
            <w:noWrap w:val="0"/>
            <w:vAlign w:val="center"/>
          </w:tcPr>
          <w:p w14:paraId="63146545">
            <w:pPr>
              <w:adjustRightInd w:val="0"/>
              <w:snapToGrid w:val="0"/>
              <w:jc w:val="center"/>
              <w:rPr>
                <w:rFonts w:hint="eastAsia" w:ascii="宋体" w:hAnsi="宋体" w:eastAsia="宋体" w:cs="宋体"/>
                <w:b/>
                <w:sz w:val="21"/>
                <w:szCs w:val="21"/>
              </w:rPr>
            </w:pPr>
            <w:r>
              <w:rPr>
                <w:rFonts w:hint="eastAsia" w:ascii="宋体" w:hAnsi="宋体" w:eastAsia="宋体" w:cs="宋体"/>
                <w:b/>
                <w:sz w:val="21"/>
                <w:szCs w:val="21"/>
                <w:highlight w:val="none"/>
                <w:lang w:val="en-US" w:eastAsia="zh-CN"/>
              </w:rPr>
              <w:t>9</w:t>
            </w:r>
          </w:p>
        </w:tc>
        <w:tc>
          <w:tcPr>
            <w:tcW w:w="1064" w:type="dxa"/>
            <w:noWrap w:val="0"/>
            <w:vAlign w:val="center"/>
          </w:tcPr>
          <w:p w14:paraId="68A59987">
            <w:pPr>
              <w:adjustRightInd w:val="0"/>
              <w:snapToGrid w:val="0"/>
              <w:jc w:val="center"/>
              <w:rPr>
                <w:rFonts w:hint="eastAsia" w:ascii="宋体" w:hAnsi="宋体" w:eastAsia="宋体" w:cs="宋体"/>
                <w:b/>
                <w:kern w:val="0"/>
                <w:sz w:val="21"/>
                <w:szCs w:val="21"/>
              </w:rPr>
            </w:pPr>
            <w:r>
              <w:rPr>
                <w:rFonts w:hint="eastAsia" w:ascii="宋体" w:hAnsi="宋体" w:eastAsia="宋体" w:cs="宋体"/>
                <w:b/>
                <w:sz w:val="21"/>
                <w:szCs w:val="21"/>
                <w:highlight w:val="none"/>
              </w:rPr>
              <w:t>进口产品要求</w:t>
            </w:r>
          </w:p>
        </w:tc>
        <w:tc>
          <w:tcPr>
            <w:tcW w:w="2344" w:type="dxa"/>
            <w:noWrap w:val="0"/>
            <w:vAlign w:val="top"/>
          </w:tcPr>
          <w:p w14:paraId="2B899A6E">
            <w:pPr>
              <w:adjustRightInd w:val="0"/>
              <w:snapToGrid w:val="0"/>
              <w:spacing w:line="240" w:lineRule="auto"/>
              <w:ind w:firstLine="0" w:firstLineChars="0"/>
              <w:jc w:val="left"/>
              <w:rPr>
                <w:rFonts w:hint="eastAsia" w:ascii="宋体" w:hAnsi="宋体" w:eastAsia="宋体" w:cs="宋体"/>
                <w:b/>
                <w:bCs w:val="0"/>
                <w:color w:val="FF0000"/>
                <w:kern w:val="0"/>
                <w:sz w:val="21"/>
                <w:szCs w:val="21"/>
                <w:highlight w:val="none"/>
              </w:rPr>
            </w:pPr>
            <w:r>
              <w:rPr>
                <w:rFonts w:hint="eastAsia" w:ascii="宋体" w:hAnsi="宋体" w:eastAsia="宋体" w:cs="宋体"/>
                <w:b/>
                <w:bCs w:val="0"/>
                <w:color w:val="FF0000"/>
                <w:sz w:val="21"/>
                <w:szCs w:val="21"/>
                <w:highlight w:val="none"/>
              </w:rPr>
              <w:t>★</w:t>
            </w:r>
            <w:r>
              <w:rPr>
                <w:rFonts w:hint="eastAsia" w:ascii="宋体" w:hAnsi="宋体" w:eastAsia="宋体" w:cs="宋体"/>
                <w:b/>
                <w:bCs w:val="0"/>
                <w:color w:val="FF0000"/>
                <w:sz w:val="21"/>
                <w:szCs w:val="21"/>
              </w:rPr>
              <w:t>若所投产品为进口，则投标人需提供由设备制造商或授权的中国总代理签署的合法有效的保修、维修承诺函（免费保修期满足招标文件要求）扫描件；若所投产品为国产产品，则无需提供。</w:t>
            </w:r>
          </w:p>
        </w:tc>
        <w:tc>
          <w:tcPr>
            <w:tcW w:w="2332" w:type="dxa"/>
            <w:noWrap w:val="0"/>
            <w:vAlign w:val="top"/>
          </w:tcPr>
          <w:p w14:paraId="52B1CF8B">
            <w:pPr>
              <w:adjustRightInd w:val="0"/>
              <w:snapToGrid w:val="0"/>
              <w:spacing w:line="240" w:lineRule="auto"/>
              <w:ind w:firstLine="0" w:firstLineChars="0"/>
              <w:jc w:val="left"/>
              <w:rPr>
                <w:rFonts w:hint="eastAsia" w:ascii="宋体" w:hAnsi="宋体" w:eastAsia="宋体" w:cs="宋体"/>
                <w:b/>
                <w:bCs w:val="0"/>
                <w:color w:val="FF0000"/>
                <w:sz w:val="21"/>
                <w:szCs w:val="21"/>
                <w:highlight w:val="none"/>
              </w:rPr>
            </w:pPr>
          </w:p>
        </w:tc>
        <w:tc>
          <w:tcPr>
            <w:tcW w:w="1200" w:type="dxa"/>
            <w:noWrap w:val="0"/>
            <w:vAlign w:val="top"/>
          </w:tcPr>
          <w:p w14:paraId="195F32EE">
            <w:pPr>
              <w:adjustRightInd w:val="0"/>
              <w:snapToGrid w:val="0"/>
              <w:spacing w:line="240" w:lineRule="auto"/>
              <w:ind w:firstLine="0" w:firstLineChars="0"/>
              <w:jc w:val="left"/>
              <w:rPr>
                <w:rFonts w:hint="eastAsia" w:ascii="宋体" w:hAnsi="宋体" w:eastAsia="宋体" w:cs="宋体"/>
                <w:b/>
                <w:bCs w:val="0"/>
                <w:color w:val="FF0000"/>
                <w:sz w:val="21"/>
                <w:szCs w:val="21"/>
                <w:highlight w:val="none"/>
              </w:rPr>
            </w:pPr>
          </w:p>
        </w:tc>
        <w:tc>
          <w:tcPr>
            <w:tcW w:w="724" w:type="dxa"/>
            <w:noWrap w:val="0"/>
            <w:vAlign w:val="top"/>
          </w:tcPr>
          <w:p w14:paraId="13FBE4D4">
            <w:pPr>
              <w:adjustRightInd w:val="0"/>
              <w:snapToGrid w:val="0"/>
              <w:spacing w:line="240" w:lineRule="auto"/>
              <w:ind w:firstLine="0" w:firstLineChars="0"/>
              <w:jc w:val="left"/>
              <w:rPr>
                <w:rFonts w:hint="eastAsia" w:ascii="宋体" w:hAnsi="宋体" w:eastAsia="宋体" w:cs="宋体"/>
                <w:b/>
                <w:bCs w:val="0"/>
                <w:color w:val="FF0000"/>
                <w:sz w:val="21"/>
                <w:szCs w:val="21"/>
                <w:highlight w:val="none"/>
              </w:rPr>
            </w:pPr>
          </w:p>
        </w:tc>
      </w:tr>
    </w:tbl>
    <w:p w14:paraId="0590F8E0">
      <w:pPr>
        <w:ind w:firstLine="420" w:firstLineChars="200"/>
        <w:rPr>
          <w:bCs/>
          <w:szCs w:val="21"/>
        </w:rPr>
      </w:pPr>
      <w:r>
        <w:rPr>
          <w:rFonts w:hint="eastAsia"/>
          <w:bCs/>
          <w:szCs w:val="21"/>
        </w:rPr>
        <w:t>《商务要求偏离表》编制指引：</w:t>
      </w:r>
    </w:p>
    <w:p w14:paraId="35649812">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商务要求偏离表的序号、商务需求项、招标商务要求等栏目对应“用户需求书”中的“商务要求”章节相关内容。</w:t>
      </w:r>
    </w:p>
    <w:p w14:paraId="2F7ECBB4">
      <w:pPr>
        <w:ind w:firstLine="420" w:firstLineChars="200"/>
        <w:rPr>
          <w:bCs/>
          <w:szCs w:val="21"/>
        </w:rPr>
      </w:pPr>
      <w:r>
        <w:rPr>
          <w:bCs/>
          <w:szCs w:val="21"/>
        </w:rPr>
        <w:t>2</w:t>
      </w:r>
      <w:r>
        <w:rPr>
          <w:rFonts w:hint="eastAsia"/>
          <w:bCs/>
          <w:szCs w:val="21"/>
          <w:lang w:val="en-US" w:eastAsia="zh-CN"/>
        </w:rPr>
        <w:t>.</w:t>
      </w:r>
      <w:r>
        <w:rPr>
          <w:rFonts w:hint="eastAsia"/>
          <w:bCs/>
          <w:szCs w:val="21"/>
        </w:rPr>
        <w:t>“投标商务响应”一栏必须一一对照“招标商务要求”，详细填写自身响应情况，而不能不合理照搬照抄招标文件的商务要求，以体现具体响应情况。</w:t>
      </w:r>
    </w:p>
    <w:p w14:paraId="661CB855">
      <w:pPr>
        <w:ind w:firstLine="420" w:firstLineChars="200"/>
        <w:rPr>
          <w:bCs/>
          <w:color w:val="FF0000"/>
          <w:szCs w:val="21"/>
        </w:rPr>
      </w:pPr>
      <w:r>
        <w:rPr>
          <w:bCs/>
          <w:szCs w:val="21"/>
        </w:rPr>
        <w:t>3</w:t>
      </w:r>
      <w:r>
        <w:rPr>
          <w:rFonts w:hint="eastAsia"/>
          <w:bCs/>
          <w:szCs w:val="21"/>
          <w:lang w:val="en-US" w:eastAsia="zh-CN"/>
        </w:rPr>
        <w:t>.</w:t>
      </w:r>
      <w:r>
        <w:rPr>
          <w:rFonts w:hint="eastAsia"/>
          <w:bCs/>
          <w:szCs w:val="21"/>
        </w:rPr>
        <w:t>“偏离情况”一栏填写如实填写“正偏离”、“负偏离”或“无偏离”，其中：“正偏离”表示“投标响应优于招标商务要求”，“负偏离”表示“投标响应不满足招标商务要求”，“无偏离”表示“投标响应与招标商务要求一致”。</w:t>
      </w:r>
    </w:p>
    <w:p w14:paraId="4B0477D7">
      <w:pPr>
        <w:rPr>
          <w:bCs/>
          <w:szCs w:val="21"/>
        </w:rPr>
      </w:pPr>
      <w:r>
        <w:rPr>
          <w:rFonts w:hint="eastAsia"/>
          <w:bCs/>
          <w:szCs w:val="21"/>
        </w:rPr>
        <w:t>“投标商务响应”对比“招标商务要求”存在响应不全（包括未响应整项招标商务要求或者未响应一项招标商务要求的部分内容），均视为“负偏离”。</w:t>
      </w:r>
    </w:p>
    <w:p w14:paraId="60C3DFC6">
      <w:pPr>
        <w:ind w:firstLine="420" w:firstLineChars="200"/>
        <w:rPr>
          <w:bCs/>
          <w:szCs w:val="21"/>
        </w:rPr>
      </w:pPr>
      <w:r>
        <w:rPr>
          <w:rFonts w:hint="eastAsia"/>
          <w:bCs/>
          <w:szCs w:val="21"/>
        </w:rPr>
        <w:t>4</w:t>
      </w:r>
      <w:r>
        <w:rPr>
          <w:rFonts w:hint="eastAsia"/>
          <w:bCs/>
          <w:szCs w:val="21"/>
          <w:lang w:val="en-US" w:eastAsia="zh-CN"/>
        </w:rPr>
        <w:t>.</w:t>
      </w:r>
      <w:r>
        <w:rPr>
          <w:rFonts w:hint="eastAsia"/>
          <w:bCs/>
          <w:szCs w:val="21"/>
        </w:rPr>
        <w:t>带★号条款为不可偏离条款，如未响应或出现负偏离的，将作投标无效处理。</w:t>
      </w:r>
    </w:p>
    <w:p w14:paraId="745534FB">
      <w:pPr>
        <w:rPr>
          <w:sz w:val="24"/>
        </w:rPr>
      </w:pPr>
    </w:p>
    <w:p w14:paraId="0FDA0858">
      <w:pPr>
        <w:rPr>
          <w:rFonts w:ascii="黑体" w:hAnsi="宋体" w:eastAsia="黑体"/>
          <w:bCs/>
          <w:kern w:val="0"/>
          <w:sz w:val="24"/>
          <w:szCs w:val="32"/>
        </w:rPr>
      </w:pPr>
      <w:r>
        <w:rPr>
          <w:rFonts w:hint="eastAsia" w:ascii="黑体" w:hAnsi="宋体" w:eastAsia="黑体"/>
          <w:bCs/>
          <w:kern w:val="0"/>
          <w:sz w:val="24"/>
          <w:szCs w:val="32"/>
        </w:rPr>
        <w:br w:type="page"/>
      </w:r>
    </w:p>
    <w:bookmarkEnd w:id="61"/>
    <w:p w14:paraId="24EC8463">
      <w:pPr>
        <w:pStyle w:val="5"/>
        <w:jc w:val="both"/>
        <w:rPr>
          <w:rFonts w:hint="eastAsia" w:ascii="黑体"/>
          <w:sz w:val="24"/>
          <w:szCs w:val="24"/>
        </w:rPr>
      </w:pPr>
      <w:bookmarkStart w:id="76" w:name="_Hlk72260576"/>
      <w:r>
        <w:rPr>
          <w:rFonts w:hint="eastAsia" w:ascii="黑体"/>
          <w:sz w:val="24"/>
          <w:szCs w:val="24"/>
          <w:lang w:val="en-US" w:eastAsia="zh-CN"/>
        </w:rPr>
        <w:t>八</w:t>
      </w:r>
      <w:r>
        <w:rPr>
          <w:rFonts w:hint="eastAsia" w:ascii="黑体"/>
          <w:sz w:val="24"/>
          <w:szCs w:val="24"/>
        </w:rPr>
        <w:t>、技术保障措施（格式自定）</w:t>
      </w:r>
    </w:p>
    <w:p w14:paraId="3F87A2AF">
      <w:pPr>
        <w:spacing w:before="60" w:beforeLines="25" w:after="60" w:afterLines="25"/>
        <w:rPr>
          <w:rFonts w:asciiTheme="minorEastAsia" w:hAnsiTheme="minorEastAsia" w:eastAsiaTheme="minorEastAsia" w:cstheme="minorEastAsia"/>
          <w:color w:val="FF0000"/>
          <w:sz w:val="24"/>
          <w:szCs w:val="20"/>
        </w:rPr>
      </w:pPr>
      <w:r>
        <w:rPr>
          <w:rFonts w:hint="eastAsia" w:asciiTheme="minorEastAsia" w:hAnsiTheme="minorEastAsia" w:eastAsiaTheme="minorEastAsia" w:cstheme="minorEastAsia"/>
          <w:color w:val="FF0000"/>
          <w:sz w:val="24"/>
          <w:szCs w:val="20"/>
        </w:rPr>
        <w:t>（特别提示：投标人须按本招标文件评标信息中这一评审因素要求，提供证明资料）</w:t>
      </w:r>
    </w:p>
    <w:p w14:paraId="6536B90A">
      <w:pPr>
        <w:rPr>
          <w:rFonts w:hint="eastAsia" w:ascii="黑体" w:hAnsi="宋体" w:eastAsia="黑体"/>
          <w:bCs/>
          <w:kern w:val="0"/>
          <w:sz w:val="24"/>
          <w:szCs w:val="32"/>
        </w:rPr>
      </w:pPr>
    </w:p>
    <w:p w14:paraId="20D0F591">
      <w:pPr>
        <w:rPr>
          <w:rFonts w:hint="eastAsia" w:ascii="黑体" w:hAnsi="宋体" w:eastAsia="黑体"/>
          <w:bCs/>
          <w:kern w:val="0"/>
          <w:sz w:val="24"/>
          <w:szCs w:val="32"/>
        </w:rPr>
      </w:pPr>
      <w:r>
        <w:rPr>
          <w:rFonts w:hint="eastAsia" w:ascii="黑体" w:hAnsi="宋体" w:eastAsia="黑体"/>
          <w:bCs/>
          <w:kern w:val="0"/>
          <w:sz w:val="24"/>
          <w:szCs w:val="32"/>
        </w:rPr>
        <w:br w:type="page"/>
      </w:r>
    </w:p>
    <w:p w14:paraId="716B54FC">
      <w:pPr>
        <w:rPr>
          <w:rFonts w:ascii="黑体" w:eastAsia="黑体"/>
          <w:sz w:val="24"/>
          <w:szCs w:val="20"/>
        </w:rPr>
      </w:pPr>
      <w:r>
        <w:rPr>
          <w:rFonts w:hint="eastAsia" w:ascii="黑体" w:hAnsi="宋体" w:eastAsia="黑体"/>
          <w:bCs/>
          <w:kern w:val="0"/>
          <w:sz w:val="24"/>
          <w:szCs w:val="32"/>
          <w:lang w:val="en-US" w:eastAsia="zh-CN"/>
        </w:rPr>
        <w:t>九</w:t>
      </w:r>
      <w:r>
        <w:rPr>
          <w:rFonts w:hint="eastAsia" w:ascii="黑体" w:hAnsi="宋体" w:eastAsia="黑体"/>
          <w:bCs/>
          <w:kern w:val="0"/>
          <w:sz w:val="24"/>
          <w:szCs w:val="32"/>
        </w:rPr>
        <w:t>、</w:t>
      </w:r>
      <w:bookmarkStart w:id="77" w:name="_Hlk72062872"/>
      <w:r>
        <w:rPr>
          <w:rFonts w:hint="eastAsia" w:ascii="黑体" w:eastAsia="黑体"/>
          <w:sz w:val="24"/>
          <w:szCs w:val="20"/>
        </w:rPr>
        <w:t>投标人认为需要加以说明的其他内容</w:t>
      </w:r>
      <w:bookmarkEnd w:id="77"/>
    </w:p>
    <w:bookmarkEnd w:id="76"/>
    <w:p w14:paraId="4E2C38EE">
      <w:pPr>
        <w:widowControl/>
        <w:jc w:val="center"/>
        <w:rPr>
          <w:rFonts w:hint="eastAsia" w:ascii="黑体" w:hAnsi="宋体" w:eastAsia="黑体"/>
          <w:kern w:val="0"/>
          <w:sz w:val="24"/>
          <w:szCs w:val="20"/>
        </w:rPr>
      </w:pPr>
    </w:p>
    <w:p w14:paraId="2AADF79B">
      <w:pPr>
        <w:widowControl/>
        <w:jc w:val="center"/>
        <w:rPr>
          <w:rFonts w:hint="eastAsia" w:ascii="黑体" w:hAnsi="宋体" w:eastAsia="黑体"/>
          <w:kern w:val="0"/>
          <w:sz w:val="24"/>
          <w:szCs w:val="20"/>
        </w:rPr>
      </w:pPr>
      <w:r>
        <w:rPr>
          <w:rFonts w:hint="eastAsia" w:ascii="黑体" w:hAnsi="宋体" w:eastAsia="黑体"/>
          <w:kern w:val="0"/>
          <w:sz w:val="24"/>
          <w:szCs w:val="20"/>
        </w:rPr>
        <w:t>（一）政府采购违法行为风险知悉确认书</w:t>
      </w:r>
    </w:p>
    <w:p w14:paraId="6B9214F3">
      <w:pPr>
        <w:spacing w:after="120" w:afterLines="50" w:line="360" w:lineRule="exact"/>
        <w:ind w:firstLine="422" w:firstLineChars="200"/>
        <w:rPr>
          <w:rFonts w:hint="eastAsia"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7601"/>
      </w:tblGrid>
      <w:tr w14:paraId="15FBD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7576D00A">
            <w:pPr>
              <w:spacing w:line="400" w:lineRule="exact"/>
              <w:jc w:val="center"/>
              <w:rPr>
                <w:rFonts w:hint="eastAsia" w:ascii="宋体" w:hAnsi="宋体" w:cs="宋体"/>
                <w:szCs w:val="21"/>
              </w:rPr>
            </w:pPr>
            <w:r>
              <w:rPr>
                <w:rFonts w:hint="eastAsia" w:ascii="宋体" w:hAnsi="宋体" w:cs="宋体"/>
                <w:szCs w:val="21"/>
              </w:rPr>
              <w:t>序号</w:t>
            </w:r>
          </w:p>
        </w:tc>
        <w:tc>
          <w:tcPr>
            <w:tcW w:w="7811" w:type="dxa"/>
          </w:tcPr>
          <w:p w14:paraId="4D2FCAEE">
            <w:pPr>
              <w:spacing w:line="400" w:lineRule="exact"/>
              <w:jc w:val="center"/>
              <w:rPr>
                <w:rFonts w:hint="eastAsia" w:ascii="宋体" w:hAnsi="宋体" w:cs="宋体"/>
                <w:szCs w:val="21"/>
              </w:rPr>
            </w:pPr>
            <w:r>
              <w:rPr>
                <w:rFonts w:hint="eastAsia" w:ascii="宋体" w:hAnsi="宋体" w:cs="宋体"/>
                <w:b/>
                <w:bCs/>
                <w:szCs w:val="21"/>
              </w:rPr>
              <w:t>供应商参与投标禁止情形</w:t>
            </w:r>
          </w:p>
        </w:tc>
      </w:tr>
      <w:tr w14:paraId="44DB1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1C96AC44">
            <w:pPr>
              <w:spacing w:line="400" w:lineRule="exact"/>
              <w:jc w:val="center"/>
              <w:rPr>
                <w:rFonts w:hint="eastAsia" w:ascii="宋体" w:hAnsi="宋体" w:cs="宋体"/>
                <w:szCs w:val="21"/>
              </w:rPr>
            </w:pPr>
            <w:r>
              <w:rPr>
                <w:rFonts w:hint="eastAsia" w:ascii="宋体" w:hAnsi="宋体" w:cs="宋体"/>
                <w:szCs w:val="21"/>
              </w:rPr>
              <w:t>1</w:t>
            </w:r>
          </w:p>
        </w:tc>
        <w:tc>
          <w:tcPr>
            <w:tcW w:w="7811" w:type="dxa"/>
            <w:vAlign w:val="center"/>
          </w:tcPr>
          <w:p w14:paraId="19F0B901">
            <w:pPr>
              <w:spacing w:line="400" w:lineRule="exact"/>
              <w:jc w:val="left"/>
              <w:rPr>
                <w:rFonts w:hint="eastAsia"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4E2F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3D96E465">
            <w:pPr>
              <w:spacing w:line="400" w:lineRule="exact"/>
              <w:jc w:val="center"/>
              <w:rPr>
                <w:rFonts w:hint="eastAsia" w:ascii="宋体" w:hAnsi="宋体" w:cs="宋体"/>
                <w:szCs w:val="21"/>
              </w:rPr>
            </w:pPr>
            <w:r>
              <w:rPr>
                <w:rFonts w:hint="eastAsia" w:ascii="宋体" w:hAnsi="宋体" w:cs="宋体"/>
                <w:szCs w:val="21"/>
              </w:rPr>
              <w:t>2</w:t>
            </w:r>
          </w:p>
        </w:tc>
        <w:tc>
          <w:tcPr>
            <w:tcW w:w="7811" w:type="dxa"/>
            <w:vAlign w:val="center"/>
          </w:tcPr>
          <w:p w14:paraId="7945824B">
            <w:pPr>
              <w:spacing w:line="400" w:lineRule="exact"/>
              <w:jc w:val="left"/>
              <w:rPr>
                <w:rFonts w:hint="eastAsia"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4A097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195E938F">
            <w:pPr>
              <w:spacing w:line="400" w:lineRule="exact"/>
              <w:jc w:val="center"/>
              <w:rPr>
                <w:rFonts w:hint="eastAsia" w:ascii="宋体" w:hAnsi="宋体" w:cs="宋体"/>
                <w:szCs w:val="21"/>
              </w:rPr>
            </w:pPr>
            <w:r>
              <w:rPr>
                <w:rFonts w:hint="eastAsia" w:ascii="宋体" w:hAnsi="宋体" w:cs="宋体"/>
                <w:szCs w:val="21"/>
              </w:rPr>
              <w:t>3</w:t>
            </w:r>
          </w:p>
        </w:tc>
        <w:tc>
          <w:tcPr>
            <w:tcW w:w="7811" w:type="dxa"/>
            <w:vAlign w:val="center"/>
          </w:tcPr>
          <w:p w14:paraId="465E2ED3">
            <w:pPr>
              <w:spacing w:line="400" w:lineRule="exact"/>
              <w:jc w:val="left"/>
              <w:rPr>
                <w:rFonts w:hint="eastAsia"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4FF01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4048FC1">
            <w:pPr>
              <w:spacing w:line="400" w:lineRule="exact"/>
              <w:jc w:val="center"/>
              <w:rPr>
                <w:rFonts w:hint="eastAsia" w:ascii="宋体" w:hAnsi="宋体" w:cs="宋体"/>
                <w:szCs w:val="21"/>
              </w:rPr>
            </w:pPr>
            <w:r>
              <w:rPr>
                <w:rFonts w:hint="eastAsia" w:ascii="宋体" w:hAnsi="宋体" w:cs="宋体"/>
                <w:szCs w:val="21"/>
              </w:rPr>
              <w:t>4</w:t>
            </w:r>
          </w:p>
        </w:tc>
        <w:tc>
          <w:tcPr>
            <w:tcW w:w="7811" w:type="dxa"/>
            <w:vAlign w:val="center"/>
          </w:tcPr>
          <w:p w14:paraId="335E8C7C">
            <w:pPr>
              <w:spacing w:line="400" w:lineRule="exact"/>
              <w:jc w:val="left"/>
              <w:rPr>
                <w:rFonts w:hint="eastAsia"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7893C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9DBC27A">
            <w:pPr>
              <w:spacing w:line="400" w:lineRule="exact"/>
              <w:jc w:val="center"/>
              <w:rPr>
                <w:rFonts w:hint="eastAsia" w:ascii="宋体" w:hAnsi="宋体" w:cs="宋体"/>
                <w:szCs w:val="21"/>
              </w:rPr>
            </w:pPr>
            <w:r>
              <w:rPr>
                <w:rFonts w:hint="eastAsia" w:ascii="宋体" w:hAnsi="宋体" w:cs="宋体"/>
                <w:szCs w:val="21"/>
              </w:rPr>
              <w:t>5</w:t>
            </w:r>
          </w:p>
        </w:tc>
        <w:tc>
          <w:tcPr>
            <w:tcW w:w="7811" w:type="dxa"/>
            <w:vAlign w:val="center"/>
          </w:tcPr>
          <w:p w14:paraId="296B656C">
            <w:pPr>
              <w:spacing w:line="400" w:lineRule="exact"/>
              <w:jc w:val="left"/>
              <w:rPr>
                <w:rFonts w:hint="eastAsia"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0330B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B2740C7">
            <w:pPr>
              <w:spacing w:line="400" w:lineRule="exact"/>
              <w:jc w:val="center"/>
              <w:rPr>
                <w:rFonts w:hint="eastAsia" w:ascii="宋体" w:hAnsi="宋体" w:cs="宋体"/>
                <w:szCs w:val="21"/>
              </w:rPr>
            </w:pPr>
            <w:r>
              <w:rPr>
                <w:rFonts w:hint="eastAsia" w:ascii="宋体" w:hAnsi="宋体" w:cs="宋体"/>
                <w:szCs w:val="21"/>
              </w:rPr>
              <w:t>6</w:t>
            </w:r>
          </w:p>
        </w:tc>
        <w:tc>
          <w:tcPr>
            <w:tcW w:w="7811" w:type="dxa"/>
            <w:vAlign w:val="center"/>
          </w:tcPr>
          <w:p w14:paraId="17D87DB9">
            <w:pPr>
              <w:spacing w:line="400" w:lineRule="exact"/>
              <w:jc w:val="left"/>
              <w:rPr>
                <w:rFonts w:hint="eastAsia" w:ascii="宋体" w:hAnsi="宋体" w:cs="宋体"/>
                <w:szCs w:val="21"/>
              </w:rPr>
            </w:pPr>
            <w:r>
              <w:rPr>
                <w:rFonts w:hint="eastAsia" w:ascii="宋体" w:hAnsi="宋体" w:cs="宋体"/>
                <w:szCs w:val="21"/>
              </w:rPr>
              <w:t>擅自将投标密钥或电子营业执照出借他人使用或未妥善保管。</w:t>
            </w:r>
          </w:p>
        </w:tc>
      </w:tr>
    </w:tbl>
    <w:p w14:paraId="11A64404">
      <w:pPr>
        <w:spacing w:before="120" w:beforeLines="50" w:line="380" w:lineRule="exact"/>
        <w:ind w:firstLine="422" w:firstLineChars="200"/>
        <w:rPr>
          <w:rFonts w:hint="eastAsia" w:ascii="宋体" w:hAnsi="宋体" w:cs="宋体"/>
          <w:b/>
          <w:szCs w:val="21"/>
        </w:rPr>
      </w:pPr>
      <w:r>
        <w:rPr>
          <w:rFonts w:hint="eastAsia" w:ascii="宋体" w:hAnsi="宋体" w:cs="宋体"/>
          <w:b/>
          <w:szCs w:val="21"/>
        </w:rPr>
        <w:t>一、我单位已充分知悉“隐瞒真实情况，提供虚假资料”的法定情形，包括但不限于：</w:t>
      </w:r>
    </w:p>
    <w:p w14:paraId="5BC53974">
      <w:pPr>
        <w:spacing w:line="380" w:lineRule="exact"/>
        <w:ind w:firstLine="420" w:firstLineChars="200"/>
        <w:rPr>
          <w:rFonts w:hint="eastAsia" w:ascii="宋体" w:hAnsi="宋体" w:cs="宋体"/>
          <w:szCs w:val="21"/>
        </w:rPr>
      </w:pPr>
      <w:r>
        <w:rPr>
          <w:rFonts w:hint="eastAsia" w:ascii="宋体" w:hAnsi="宋体" w:cs="宋体"/>
          <w:szCs w:val="21"/>
        </w:rPr>
        <w:t>（一）通过转让或者租借等方式从其他单位获取资格或者资质证书投标的。</w:t>
      </w:r>
    </w:p>
    <w:p w14:paraId="0CBD0F37">
      <w:pPr>
        <w:spacing w:line="380" w:lineRule="exact"/>
        <w:ind w:firstLine="420" w:firstLineChars="200"/>
        <w:rPr>
          <w:rFonts w:hint="eastAsia"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7E5A3177">
      <w:pPr>
        <w:spacing w:line="380" w:lineRule="exact"/>
        <w:ind w:firstLine="420" w:firstLineChars="200"/>
        <w:rPr>
          <w:rFonts w:hint="eastAsia" w:ascii="宋体" w:hAnsi="宋体" w:cs="宋体"/>
          <w:szCs w:val="21"/>
        </w:rPr>
      </w:pPr>
      <w:r>
        <w:rPr>
          <w:rFonts w:hint="eastAsia" w:ascii="宋体" w:hAnsi="宋体" w:cs="宋体"/>
          <w:szCs w:val="21"/>
        </w:rPr>
        <w:t>（三）项目负责人或者主要技术人员不是本单位人员的。</w:t>
      </w:r>
    </w:p>
    <w:p w14:paraId="3BA18B30">
      <w:pPr>
        <w:spacing w:line="380" w:lineRule="exact"/>
        <w:ind w:firstLine="420" w:firstLineChars="200"/>
        <w:rPr>
          <w:rFonts w:hint="eastAsia" w:ascii="宋体" w:hAnsi="宋体" w:cs="宋体"/>
          <w:szCs w:val="21"/>
        </w:rPr>
      </w:pPr>
      <w:r>
        <w:rPr>
          <w:rFonts w:hint="eastAsia" w:ascii="宋体" w:hAnsi="宋体" w:cs="宋体"/>
          <w:szCs w:val="21"/>
        </w:rPr>
        <w:t>（四）投标保证金不是从投标供应商基本账户转出的。</w:t>
      </w:r>
    </w:p>
    <w:p w14:paraId="6D92342F">
      <w:pPr>
        <w:spacing w:line="380" w:lineRule="exact"/>
        <w:ind w:firstLine="420" w:firstLineChars="200"/>
        <w:rPr>
          <w:rFonts w:hint="eastAsia" w:ascii="宋体" w:hAnsi="宋体" w:cs="宋体"/>
          <w:szCs w:val="21"/>
        </w:rPr>
      </w:pPr>
      <w:r>
        <w:rPr>
          <w:rFonts w:hint="eastAsia" w:ascii="宋体" w:hAnsi="宋体" w:cs="宋体"/>
          <w:szCs w:val="21"/>
        </w:rPr>
        <w:t>（五）其他隐瞒真实情况、提供虚假资料的行为。</w:t>
      </w:r>
    </w:p>
    <w:p w14:paraId="6BEC92F4">
      <w:pPr>
        <w:spacing w:line="380" w:lineRule="exact"/>
        <w:ind w:firstLine="422" w:firstLineChars="200"/>
        <w:rPr>
          <w:rFonts w:hint="eastAsia" w:ascii="宋体" w:hAnsi="宋体" w:cs="宋体"/>
          <w:b/>
          <w:szCs w:val="21"/>
        </w:rPr>
      </w:pPr>
      <w:r>
        <w:rPr>
          <w:rFonts w:hint="eastAsia" w:ascii="宋体" w:hAnsi="宋体" w:cs="宋体"/>
          <w:b/>
          <w:szCs w:val="21"/>
        </w:rPr>
        <w:t>二、我单位已充分知悉“与其他采购参加人串通投标”的法定情形，包括但不限于：</w:t>
      </w:r>
    </w:p>
    <w:p w14:paraId="60334623">
      <w:pPr>
        <w:spacing w:line="380" w:lineRule="exact"/>
        <w:ind w:firstLine="420" w:firstLineChars="200"/>
        <w:rPr>
          <w:rFonts w:hint="eastAsia" w:ascii="宋体" w:hAnsi="宋体" w:cs="宋体"/>
          <w:szCs w:val="21"/>
        </w:rPr>
      </w:pPr>
      <w:r>
        <w:rPr>
          <w:rFonts w:hint="eastAsia" w:ascii="宋体" w:hAnsi="宋体" w:cs="宋体"/>
          <w:szCs w:val="21"/>
        </w:rPr>
        <w:t>（一）投标供应商之间相互约定给予未中标的供应商利益补偿。</w:t>
      </w:r>
    </w:p>
    <w:p w14:paraId="786BE2D3">
      <w:pPr>
        <w:spacing w:line="380" w:lineRule="exact"/>
        <w:ind w:firstLine="420" w:firstLineChars="200"/>
        <w:rPr>
          <w:rFonts w:hint="eastAsia"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173F7508">
      <w:pPr>
        <w:spacing w:line="340" w:lineRule="exact"/>
        <w:ind w:firstLine="420" w:firstLineChars="200"/>
        <w:rPr>
          <w:rFonts w:hint="eastAsia"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3E88F650">
      <w:pPr>
        <w:spacing w:line="340" w:lineRule="exact"/>
        <w:ind w:firstLine="420" w:firstLineChars="200"/>
        <w:rPr>
          <w:rFonts w:hint="eastAsia" w:ascii="宋体" w:hAnsi="宋体" w:cs="宋体"/>
          <w:szCs w:val="21"/>
        </w:rPr>
      </w:pPr>
      <w:r>
        <w:rPr>
          <w:rFonts w:hint="eastAsia" w:ascii="宋体" w:hAnsi="宋体" w:cs="宋体"/>
          <w:szCs w:val="21"/>
        </w:rPr>
        <w:t>（四）不同投标供应商的投标文件或部分投标文件相互混装。</w:t>
      </w:r>
    </w:p>
    <w:p w14:paraId="0FA558A9">
      <w:pPr>
        <w:spacing w:line="340" w:lineRule="exact"/>
        <w:ind w:firstLine="420" w:firstLineChars="200"/>
        <w:rPr>
          <w:rFonts w:hint="eastAsia" w:ascii="宋体" w:hAnsi="宋体" w:cs="宋体"/>
          <w:szCs w:val="21"/>
        </w:rPr>
      </w:pPr>
      <w:r>
        <w:rPr>
          <w:rFonts w:hint="eastAsia" w:ascii="宋体" w:hAnsi="宋体" w:cs="宋体"/>
          <w:szCs w:val="21"/>
        </w:rPr>
        <w:t>（五）不同投标供应商的投标文件内容存在非正常一致。</w:t>
      </w:r>
    </w:p>
    <w:p w14:paraId="11447F8B">
      <w:pPr>
        <w:spacing w:line="340" w:lineRule="exact"/>
        <w:ind w:firstLine="420" w:firstLineChars="200"/>
        <w:rPr>
          <w:rFonts w:hint="eastAsia" w:ascii="宋体" w:hAnsi="宋体" w:cs="宋体"/>
          <w:szCs w:val="21"/>
        </w:rPr>
      </w:pPr>
      <w:r>
        <w:rPr>
          <w:rFonts w:hint="eastAsia" w:ascii="宋体" w:hAnsi="宋体" w:cs="宋体"/>
          <w:szCs w:val="21"/>
        </w:rPr>
        <w:t>（六）由同一单位工作人员为两家以上（含两家）供应商进行同一项投标活动的。</w:t>
      </w:r>
    </w:p>
    <w:p w14:paraId="6449CC1C">
      <w:pPr>
        <w:spacing w:line="340" w:lineRule="exact"/>
        <w:ind w:firstLine="420" w:firstLineChars="200"/>
        <w:rPr>
          <w:rFonts w:hint="eastAsia" w:ascii="宋体" w:hAnsi="宋体" w:cs="宋体"/>
          <w:szCs w:val="21"/>
        </w:rPr>
      </w:pPr>
      <w:r>
        <w:rPr>
          <w:rFonts w:hint="eastAsia" w:ascii="宋体" w:hAnsi="宋体" w:cs="宋体"/>
          <w:szCs w:val="21"/>
        </w:rPr>
        <w:t>（七）不同投标人的投标报价呈规律性差异。</w:t>
      </w:r>
    </w:p>
    <w:p w14:paraId="45BBD4E8">
      <w:pPr>
        <w:spacing w:line="340" w:lineRule="exact"/>
        <w:ind w:firstLine="420" w:firstLineChars="200"/>
        <w:rPr>
          <w:rFonts w:hint="eastAsia" w:ascii="宋体" w:hAnsi="宋体" w:cs="宋体"/>
          <w:szCs w:val="21"/>
        </w:rPr>
      </w:pPr>
      <w:r>
        <w:rPr>
          <w:rFonts w:hint="eastAsia" w:ascii="宋体" w:hAnsi="宋体" w:cs="宋体"/>
          <w:szCs w:val="21"/>
        </w:rPr>
        <w:t>（八）不同投标人的投标保证金从同一单位或者个人的账户转出。</w:t>
      </w:r>
    </w:p>
    <w:p w14:paraId="4EF753A1">
      <w:pPr>
        <w:spacing w:line="340" w:lineRule="exact"/>
        <w:ind w:firstLine="420" w:firstLineChars="200"/>
        <w:rPr>
          <w:rFonts w:hint="eastAsia" w:ascii="宋体" w:hAnsi="宋体" w:cs="宋体"/>
          <w:szCs w:val="21"/>
        </w:rPr>
      </w:pPr>
      <w:r>
        <w:rPr>
          <w:rFonts w:hint="eastAsia" w:ascii="宋体" w:hAnsi="宋体" w:cs="宋体"/>
          <w:szCs w:val="21"/>
        </w:rPr>
        <w:t>（九）主管部门依照法律、法规认定的其他情形。</w:t>
      </w:r>
    </w:p>
    <w:p w14:paraId="44250740">
      <w:pPr>
        <w:spacing w:line="340" w:lineRule="exact"/>
        <w:ind w:firstLine="422" w:firstLineChars="200"/>
        <w:rPr>
          <w:rFonts w:hint="eastAsia" w:ascii="宋体" w:hAnsi="宋体" w:cs="宋体"/>
          <w:b/>
          <w:szCs w:val="21"/>
        </w:rPr>
      </w:pPr>
      <w:r>
        <w:rPr>
          <w:rFonts w:hint="eastAsia" w:ascii="宋体" w:hAnsi="宋体" w:cs="宋体"/>
          <w:b/>
          <w:szCs w:val="21"/>
        </w:rPr>
        <w:t>三、我单位已充分知悉下列情形存在法律风险，在投标前已对相关风险事项进行排查。</w:t>
      </w:r>
    </w:p>
    <w:p w14:paraId="2911D09A">
      <w:pPr>
        <w:spacing w:line="340" w:lineRule="exact"/>
        <w:ind w:firstLine="420" w:firstLineChars="200"/>
        <w:rPr>
          <w:rFonts w:hint="eastAsia"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00147BAF">
      <w:pPr>
        <w:spacing w:line="340" w:lineRule="exact"/>
        <w:ind w:firstLine="420" w:firstLineChars="200"/>
        <w:rPr>
          <w:rFonts w:hint="eastAsia"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6998BA99">
      <w:pPr>
        <w:spacing w:line="340" w:lineRule="exact"/>
        <w:ind w:firstLine="420" w:firstLineChars="200"/>
        <w:rPr>
          <w:rFonts w:hint="eastAsia"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5DA86250">
      <w:pPr>
        <w:spacing w:line="340" w:lineRule="exact"/>
        <w:ind w:firstLine="422" w:firstLineChars="200"/>
        <w:rPr>
          <w:rFonts w:hint="eastAsia" w:ascii="宋体" w:hAnsi="宋体" w:cs="宋体"/>
          <w:b/>
          <w:szCs w:val="21"/>
        </w:rPr>
      </w:pPr>
      <w:r>
        <w:rPr>
          <w:rFonts w:hint="eastAsia" w:ascii="宋体" w:hAnsi="宋体" w:cs="宋体"/>
          <w:b/>
          <w:szCs w:val="21"/>
        </w:rPr>
        <w:t>四、我单位已充分知悉政府采购违法、违规行为的法律后果。</w:t>
      </w:r>
    </w:p>
    <w:p w14:paraId="31AC3262">
      <w:pPr>
        <w:spacing w:line="340" w:lineRule="exact"/>
        <w:ind w:firstLine="420" w:firstLineChars="200"/>
        <w:rPr>
          <w:rFonts w:hint="eastAsia"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3E6E5B49">
      <w:pPr>
        <w:spacing w:line="340" w:lineRule="exact"/>
        <w:ind w:firstLine="420" w:firstLineChars="200"/>
        <w:rPr>
          <w:rFonts w:hint="eastAsia"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44"/>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19841B7C">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6A27E55A">
            <w:pPr>
              <w:autoSpaceDE w:val="0"/>
              <w:autoSpaceDN w:val="0"/>
              <w:spacing w:line="340" w:lineRule="exact"/>
              <w:ind w:firstLine="1866"/>
              <w:rPr>
                <w:rFonts w:hint="eastAsia" w:ascii="宋体" w:hAnsi="宋体" w:cs="宋体" w:eastAsiaTheme="minorEastAsia"/>
                <w:spacing w:val="-4"/>
                <w:kern w:val="0"/>
                <w:szCs w:val="21"/>
              </w:rPr>
            </w:pPr>
          </w:p>
        </w:tc>
      </w:tr>
      <w:tr w14:paraId="7E05B22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7740AAD8">
            <w:pPr>
              <w:autoSpaceDE w:val="0"/>
              <w:autoSpaceDN w:val="0"/>
              <w:spacing w:line="340" w:lineRule="exact"/>
              <w:ind w:firstLine="1866"/>
              <w:rPr>
                <w:rFonts w:hint="eastAsia" w:ascii="宋体" w:hAnsi="宋体" w:cs="宋体" w:eastAsiaTheme="minorEastAsia"/>
                <w:spacing w:val="-4"/>
                <w:kern w:val="0"/>
                <w:szCs w:val="21"/>
              </w:rPr>
            </w:pPr>
          </w:p>
        </w:tc>
      </w:tr>
      <w:tr w14:paraId="27F74F5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21D45580">
            <w:pPr>
              <w:autoSpaceDE w:val="0"/>
              <w:autoSpaceDN w:val="0"/>
              <w:spacing w:line="340" w:lineRule="exact"/>
              <w:ind w:firstLine="1866"/>
              <w:rPr>
                <w:rFonts w:hint="eastAsia" w:ascii="宋体" w:hAnsi="宋体" w:cs="宋体" w:eastAsiaTheme="minorEastAsia"/>
                <w:spacing w:val="-4"/>
                <w:kern w:val="0"/>
                <w:szCs w:val="21"/>
              </w:rPr>
            </w:pPr>
          </w:p>
        </w:tc>
      </w:tr>
      <w:tr w14:paraId="156E9A83">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022ABC79">
            <w:pPr>
              <w:autoSpaceDE w:val="0"/>
              <w:autoSpaceDN w:val="0"/>
              <w:spacing w:line="340" w:lineRule="exact"/>
              <w:ind w:firstLine="1866"/>
              <w:rPr>
                <w:rFonts w:hint="eastAsia" w:ascii="宋体" w:hAnsi="宋体" w:cs="宋体" w:eastAsiaTheme="minorEastAsia"/>
                <w:spacing w:val="-4"/>
                <w:kern w:val="0"/>
                <w:szCs w:val="21"/>
              </w:rPr>
            </w:pPr>
          </w:p>
        </w:tc>
      </w:tr>
    </w:tbl>
    <w:p w14:paraId="0FBC275D">
      <w:pPr>
        <w:widowControl/>
        <w:wordWrap w:val="0"/>
        <w:autoSpaceDE w:val="0"/>
        <w:autoSpaceDN w:val="0"/>
        <w:spacing w:line="340" w:lineRule="exact"/>
        <w:ind w:right="808" w:firstLine="404" w:firstLineChars="200"/>
        <w:jc w:val="right"/>
        <w:rPr>
          <w:rFonts w:hint="eastAsia" w:ascii="宋体" w:hAnsi="宋体" w:cs="宋体"/>
          <w:spacing w:val="-4"/>
          <w:kern w:val="0"/>
          <w:szCs w:val="21"/>
        </w:rPr>
      </w:pPr>
    </w:p>
    <w:p w14:paraId="4EC940A8">
      <w:pPr>
        <w:widowControl/>
        <w:wordWrap w:val="0"/>
        <w:autoSpaceDE w:val="0"/>
        <w:autoSpaceDN w:val="0"/>
        <w:spacing w:line="340" w:lineRule="exact"/>
        <w:ind w:right="808" w:firstLine="404" w:firstLineChars="200"/>
        <w:jc w:val="right"/>
        <w:rPr>
          <w:rFonts w:hint="eastAsia"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1D10C1C4">
      <w:pPr>
        <w:widowControl/>
        <w:wordWrap w:val="0"/>
        <w:autoSpaceDE w:val="0"/>
        <w:autoSpaceDN w:val="0"/>
        <w:spacing w:line="340" w:lineRule="exact"/>
        <w:ind w:right="808" w:firstLine="404" w:firstLineChars="200"/>
        <w:jc w:val="center"/>
        <w:rPr>
          <w:rFonts w:hint="eastAsia" w:ascii="宋体" w:hAnsi="宋体" w:cs="宋体"/>
          <w:spacing w:val="-4"/>
          <w:kern w:val="0"/>
          <w:szCs w:val="21"/>
          <w:u w:val="single"/>
        </w:rPr>
      </w:pPr>
      <w:r>
        <w:rPr>
          <w:rFonts w:hint="eastAsia" w:ascii="宋体" w:hAnsi="宋体" w:cs="宋体"/>
          <w:spacing w:val="-4"/>
          <w:kern w:val="0"/>
          <w:szCs w:val="21"/>
        </w:rPr>
        <w:t xml:space="preserve">                                 （加盖公章）</w:t>
      </w:r>
    </w:p>
    <w:p w14:paraId="790CA346">
      <w:pPr>
        <w:widowControl/>
        <w:wordWrap w:val="0"/>
        <w:autoSpaceDE w:val="0"/>
        <w:autoSpaceDN w:val="0"/>
        <w:spacing w:line="340" w:lineRule="exact"/>
        <w:ind w:right="808" w:firstLine="404" w:firstLineChars="200"/>
        <w:jc w:val="right"/>
        <w:rPr>
          <w:rFonts w:hint="eastAsia"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370E7247">
      <w:pPr>
        <w:widowControl/>
        <w:autoSpaceDE w:val="0"/>
        <w:autoSpaceDN w:val="0"/>
        <w:spacing w:line="340" w:lineRule="exact"/>
        <w:ind w:firstLine="406" w:firstLineChars="200"/>
        <w:jc w:val="left"/>
        <w:rPr>
          <w:rFonts w:hint="eastAsia" w:ascii="宋体" w:hAnsi="宋体" w:cs="宋体"/>
          <w:b/>
          <w:bCs/>
          <w:spacing w:val="-4"/>
          <w:kern w:val="0"/>
          <w:szCs w:val="21"/>
        </w:rPr>
      </w:pPr>
    </w:p>
    <w:p w14:paraId="04F70F8E">
      <w:pPr>
        <w:widowControl/>
        <w:autoSpaceDE w:val="0"/>
        <w:autoSpaceDN w:val="0"/>
        <w:spacing w:line="340" w:lineRule="exact"/>
        <w:ind w:firstLine="406" w:firstLineChars="200"/>
        <w:jc w:val="left"/>
        <w:rPr>
          <w:rFonts w:hint="eastAsia" w:ascii="宋体" w:hAnsi="宋体" w:cs="宋体"/>
          <w:b/>
          <w:bCs/>
          <w:spacing w:val="-4"/>
          <w:kern w:val="0"/>
          <w:szCs w:val="21"/>
        </w:rPr>
      </w:pPr>
      <w:r>
        <w:rPr>
          <w:rFonts w:hint="eastAsia" w:ascii="宋体" w:hAnsi="宋体" w:cs="宋体"/>
          <w:b/>
          <w:bCs/>
          <w:spacing w:val="-4"/>
          <w:kern w:val="0"/>
          <w:szCs w:val="21"/>
        </w:rPr>
        <w:t>注：1.《政府采购违法行为风险知悉确认书》需由投标供应商负责人签字并加盖单位公章后，扫描上传至投标文件一并提交。</w:t>
      </w:r>
    </w:p>
    <w:p w14:paraId="2C7B894B">
      <w:pPr>
        <w:pStyle w:val="38"/>
        <w:ind w:firstLine="406" w:firstLineChars="200"/>
      </w:pPr>
      <w:r>
        <w:rPr>
          <w:rFonts w:hint="eastAsia" w:ascii="宋体" w:hAnsi="宋体" w:cs="宋体"/>
          <w:b/>
          <w:bCs/>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558C901F">
      <w:pPr>
        <w:widowControl/>
        <w:autoSpaceDE w:val="0"/>
        <w:autoSpaceDN w:val="0"/>
        <w:spacing w:line="400" w:lineRule="exact"/>
        <w:jc w:val="left"/>
        <w:rPr>
          <w:rFonts w:hint="eastAsia" w:ascii="宋体" w:hAnsi="宋体" w:eastAsiaTheme="minorEastAsia"/>
          <w:color w:val="FF0000"/>
          <w:spacing w:val="-4"/>
          <w:kern w:val="0"/>
          <w:szCs w:val="21"/>
        </w:rPr>
      </w:pPr>
    </w:p>
    <w:p w14:paraId="23CB4D7D">
      <w:pPr>
        <w:pStyle w:val="38"/>
        <w:rPr>
          <w:rFonts w:hint="eastAsia" w:ascii="宋体" w:hAnsi="宋体" w:eastAsiaTheme="minorEastAsia"/>
          <w:color w:val="FF0000"/>
          <w:spacing w:val="-4"/>
          <w:kern w:val="0"/>
          <w:szCs w:val="21"/>
        </w:rPr>
      </w:pPr>
    </w:p>
    <w:p w14:paraId="5976719A">
      <w:pPr>
        <w:pStyle w:val="38"/>
        <w:rPr>
          <w:rFonts w:hint="eastAsia" w:ascii="宋体" w:hAnsi="宋体" w:eastAsiaTheme="minorEastAsia"/>
          <w:color w:val="FF0000"/>
          <w:spacing w:val="-4"/>
          <w:kern w:val="0"/>
          <w:szCs w:val="21"/>
        </w:rPr>
      </w:pPr>
    </w:p>
    <w:p w14:paraId="3D611D79">
      <w:pPr>
        <w:widowControl/>
        <w:autoSpaceDE w:val="0"/>
        <w:autoSpaceDN w:val="0"/>
        <w:spacing w:line="400" w:lineRule="exact"/>
        <w:ind w:right="1414" w:firstLine="480" w:firstLineChars="200"/>
        <w:jc w:val="right"/>
        <w:rPr>
          <w:rFonts w:eastAsiaTheme="minorEastAsia"/>
          <w:kern w:val="0"/>
          <w:sz w:val="24"/>
        </w:rPr>
      </w:pPr>
    </w:p>
    <w:p w14:paraId="09482E54">
      <w:pPr>
        <w:widowControl/>
        <w:autoSpaceDE w:val="0"/>
        <w:autoSpaceDN w:val="0"/>
        <w:spacing w:line="400" w:lineRule="exact"/>
        <w:ind w:right="1414" w:firstLine="480" w:firstLineChars="200"/>
        <w:jc w:val="right"/>
        <w:rPr>
          <w:rFonts w:eastAsiaTheme="minorEastAsia"/>
          <w:kern w:val="0"/>
          <w:sz w:val="24"/>
        </w:rPr>
      </w:pPr>
    </w:p>
    <w:p w14:paraId="6A186F07">
      <w:pPr>
        <w:widowControl/>
        <w:autoSpaceDE w:val="0"/>
        <w:autoSpaceDN w:val="0"/>
        <w:spacing w:line="400" w:lineRule="exact"/>
        <w:ind w:right="1414" w:firstLine="480" w:firstLineChars="200"/>
        <w:jc w:val="right"/>
        <w:rPr>
          <w:rFonts w:eastAsiaTheme="minorEastAsia"/>
          <w:kern w:val="0"/>
          <w:sz w:val="24"/>
        </w:rPr>
      </w:pPr>
    </w:p>
    <w:p w14:paraId="65D61B32">
      <w:pPr>
        <w:jc w:val="center"/>
        <w:rPr>
          <w:rFonts w:ascii="黑体" w:eastAsia="黑体"/>
          <w:sz w:val="24"/>
          <w:szCs w:val="20"/>
        </w:rPr>
      </w:pPr>
      <w:r>
        <w:rPr>
          <w:rFonts w:hint="eastAsia" w:ascii="黑体" w:eastAsia="黑体"/>
          <w:sz w:val="24"/>
          <w:szCs w:val="20"/>
        </w:rPr>
        <w:t>（二）订单融资情况</w:t>
      </w:r>
    </w:p>
    <w:p w14:paraId="1B1D8AD3">
      <w:pPr>
        <w:ind w:firstLine="422" w:firstLineChars="200"/>
        <w:rPr>
          <w:rFonts w:hint="eastAsia" w:ascii="宋体" w:hAnsi="宋体" w:cs="宋体"/>
          <w:b/>
          <w:bCs/>
        </w:rPr>
      </w:pPr>
      <w:r>
        <w:rPr>
          <w:rFonts w:hint="eastAsia" w:ascii="宋体" w:hAnsi="宋体" w:cs="宋体"/>
          <w:b/>
          <w:bCs/>
        </w:rPr>
        <w:t>1</w:t>
      </w:r>
      <w:r>
        <w:rPr>
          <w:rFonts w:hint="eastAsia" w:ascii="宋体" w:hAnsi="宋体" w:cs="宋体"/>
          <w:b/>
          <w:bCs/>
          <w:lang w:val="en-US" w:eastAsia="zh-CN"/>
        </w:rPr>
        <w:t>.</w:t>
      </w:r>
      <w:r>
        <w:rPr>
          <w:rFonts w:hint="eastAsia" w:ascii="宋体" w:hAnsi="宋体" w:cs="宋体"/>
          <w:b/>
          <w:bCs/>
        </w:rPr>
        <w:t>关于政府采购订单融资政策</w:t>
      </w:r>
    </w:p>
    <w:p w14:paraId="2C42F023">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28589C1C">
      <w:pPr>
        <w:ind w:firstLine="422" w:firstLineChars="200"/>
        <w:jc w:val="left"/>
        <w:rPr>
          <w:rFonts w:hint="eastAsia" w:ascii="宋体" w:hAnsi="宋体" w:cs="宋体"/>
          <w:b/>
          <w:bCs/>
        </w:rPr>
      </w:pPr>
      <w:r>
        <w:rPr>
          <w:rFonts w:hint="eastAsia" w:ascii="宋体" w:hAnsi="宋体" w:cs="宋体"/>
          <w:b/>
          <w:bCs/>
        </w:rPr>
        <w:t>2</w:t>
      </w:r>
      <w:r>
        <w:rPr>
          <w:rFonts w:hint="eastAsia" w:ascii="宋体" w:hAnsi="宋体" w:cs="宋体"/>
          <w:b/>
          <w:bCs/>
          <w:lang w:val="en-US" w:eastAsia="zh-CN"/>
        </w:rPr>
        <w:t>.</w:t>
      </w:r>
      <w:r>
        <w:rPr>
          <w:rFonts w:hint="eastAsia" w:ascii="宋体" w:hAnsi="宋体" w:cs="宋体"/>
          <w:b/>
          <w:bCs/>
        </w:rPr>
        <w:t>供应商账户信息</w:t>
      </w:r>
    </w:p>
    <w:p w14:paraId="16D9C06C">
      <w:pPr>
        <w:jc w:val="left"/>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7728B574">
      <w:pPr>
        <w:jc w:val="left"/>
        <w:rPr>
          <w:szCs w:val="21"/>
        </w:rPr>
      </w:pPr>
      <w:r>
        <w:rPr>
          <w:rFonts w:hint="eastAsia"/>
          <w:szCs w:val="21"/>
        </w:rPr>
        <w:t>投标人单位地址：</w:t>
      </w:r>
      <w:r>
        <w:rPr>
          <w:rFonts w:hint="eastAsia"/>
          <w:szCs w:val="21"/>
          <w:u w:val="thick"/>
        </w:rPr>
        <w:t xml:space="preserve">                                          </w:t>
      </w:r>
      <w:r>
        <w:rPr>
          <w:rFonts w:hint="eastAsia"/>
          <w:szCs w:val="21"/>
        </w:rPr>
        <w:t>；</w:t>
      </w:r>
    </w:p>
    <w:p w14:paraId="323CCA3E">
      <w:pPr>
        <w:jc w:val="left"/>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4B3A32C8">
      <w:pPr>
        <w:jc w:val="left"/>
        <w:rPr>
          <w:szCs w:val="21"/>
          <w:u w:val="thick"/>
        </w:rPr>
      </w:pPr>
      <w:r>
        <w:rPr>
          <w:rFonts w:hint="eastAsia"/>
          <w:szCs w:val="21"/>
        </w:rPr>
        <w:t>联系电话：</w:t>
      </w:r>
      <w:r>
        <w:rPr>
          <w:rFonts w:hint="eastAsia"/>
          <w:szCs w:val="21"/>
          <w:u w:val="thick"/>
        </w:rPr>
        <w:t xml:space="preserve">                                 </w:t>
      </w:r>
      <w:r>
        <w:rPr>
          <w:rFonts w:hint="eastAsia"/>
          <w:szCs w:val="21"/>
        </w:rPr>
        <w:t>；</w:t>
      </w:r>
      <w:r>
        <w:rPr>
          <w:rFonts w:hint="eastAsia"/>
          <w:szCs w:val="21"/>
          <w:u w:val="thick"/>
        </w:rPr>
        <w:t xml:space="preserve">               </w:t>
      </w:r>
    </w:p>
    <w:p w14:paraId="43FD9354">
      <w:pPr>
        <w:jc w:val="left"/>
        <w:rPr>
          <w:szCs w:val="21"/>
        </w:rPr>
      </w:pPr>
      <w:r>
        <w:rPr>
          <w:rFonts w:hint="eastAsia"/>
          <w:szCs w:val="21"/>
        </w:rPr>
        <w:t>开户银行名称：</w:t>
      </w:r>
      <w:r>
        <w:rPr>
          <w:rFonts w:hint="eastAsia"/>
          <w:szCs w:val="21"/>
          <w:u w:val="thick"/>
        </w:rPr>
        <w:t xml:space="preserve">                                                           </w:t>
      </w:r>
      <w:r>
        <w:rPr>
          <w:rFonts w:hint="eastAsia"/>
          <w:szCs w:val="21"/>
        </w:rPr>
        <w:t>；</w:t>
      </w:r>
    </w:p>
    <w:p w14:paraId="5271E913">
      <w:pPr>
        <w:jc w:val="left"/>
        <w:rPr>
          <w:szCs w:val="21"/>
          <w:u w:val="thick"/>
        </w:rPr>
      </w:pPr>
      <w:r>
        <w:rPr>
          <w:rFonts w:hint="eastAsia"/>
          <w:szCs w:val="21"/>
        </w:rPr>
        <w:t>开户银行账号：</w:t>
      </w:r>
      <w:r>
        <w:rPr>
          <w:rFonts w:hint="eastAsia"/>
          <w:szCs w:val="21"/>
          <w:u w:val="thick"/>
        </w:rPr>
        <w:t xml:space="preserve">                                                           </w:t>
      </w:r>
      <w:r>
        <w:rPr>
          <w:rFonts w:hint="eastAsia"/>
          <w:szCs w:val="21"/>
        </w:rPr>
        <w:t>；</w:t>
      </w:r>
    </w:p>
    <w:p w14:paraId="41403877">
      <w:pPr>
        <w:jc w:val="left"/>
        <w:rPr>
          <w:szCs w:val="21"/>
        </w:rPr>
      </w:pPr>
      <w:r>
        <w:rPr>
          <w:rFonts w:hint="eastAsia"/>
          <w:szCs w:val="21"/>
        </w:rPr>
        <w:t>开户银行地址：</w:t>
      </w:r>
      <w:r>
        <w:rPr>
          <w:rFonts w:hint="eastAsia"/>
          <w:szCs w:val="21"/>
          <w:u w:val="thick"/>
        </w:rPr>
        <w:t xml:space="preserve">                                                            </w:t>
      </w:r>
      <w:r>
        <w:rPr>
          <w:rFonts w:hint="eastAsia"/>
          <w:szCs w:val="21"/>
        </w:rPr>
        <w:t>。</w:t>
      </w:r>
    </w:p>
    <w:p w14:paraId="20D8813C">
      <w:pPr>
        <w:ind w:left="420" w:leftChars="200" w:firstLine="210" w:firstLineChars="100"/>
        <w:rPr>
          <w:szCs w:val="21"/>
        </w:rPr>
      </w:pPr>
      <w:r>
        <w:rPr>
          <w:rFonts w:hint="eastAsia"/>
          <w:szCs w:val="21"/>
        </w:rPr>
        <w:t xml:space="preserve"> </w:t>
      </w:r>
      <w:r>
        <w:rPr>
          <w:rFonts w:hint="eastAsia" w:ascii="宋体" w:hAnsi="宋体" w:eastAsiaTheme="minorEastAsia"/>
          <w:b/>
          <w:bCs/>
          <w:color w:val="FF0000"/>
          <w:spacing w:val="-4"/>
          <w:kern w:val="0"/>
          <w:szCs w:val="21"/>
        </w:rPr>
        <w:t>注：本项填写内容作为订单融资开展的参考信息，不作为供应商资格性审查及符合性审查条件。</w:t>
      </w:r>
    </w:p>
    <w:p w14:paraId="2009E54F">
      <w:pPr>
        <w:widowControl/>
        <w:tabs>
          <w:tab w:val="left" w:pos="8200"/>
        </w:tabs>
        <w:autoSpaceDE w:val="0"/>
        <w:autoSpaceDN w:val="0"/>
        <w:spacing w:line="400" w:lineRule="exact"/>
        <w:ind w:right="1414" w:firstLine="406" w:firstLineChars="200"/>
        <w:rPr>
          <w:rFonts w:hint="eastAsia" w:ascii="宋体" w:hAnsi="宋体" w:eastAsiaTheme="minorEastAsia"/>
          <w:b/>
          <w:bCs/>
          <w:color w:val="FF0000"/>
          <w:spacing w:val="-4"/>
          <w:kern w:val="0"/>
          <w:szCs w:val="21"/>
        </w:rPr>
      </w:pPr>
    </w:p>
    <w:p w14:paraId="5198447B">
      <w:pPr>
        <w:widowControl/>
        <w:jc w:val="center"/>
        <w:rPr>
          <w:rFonts w:hint="eastAsia"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3CE581AA">
      <w:pPr>
        <w:jc w:val="center"/>
        <w:rPr>
          <w:rFonts w:hint="eastAsia" w:ascii="黑体" w:hAnsi="宋体" w:eastAsia="黑体"/>
          <w:bCs/>
          <w:kern w:val="0"/>
          <w:sz w:val="24"/>
        </w:rPr>
      </w:pPr>
    </w:p>
    <w:p w14:paraId="32A03537">
      <w:pPr>
        <w:jc w:val="center"/>
        <w:rPr>
          <w:rFonts w:hint="eastAsia" w:ascii="黑体" w:hAnsi="宋体" w:eastAsia="黑体"/>
          <w:bCs/>
          <w:kern w:val="0"/>
          <w:sz w:val="24"/>
        </w:rPr>
        <w:sectPr>
          <w:pgSz w:w="11907" w:h="16840"/>
          <w:pgMar w:top="1440" w:right="1797" w:bottom="1440" w:left="1797" w:header="851" w:footer="992" w:gutter="0"/>
          <w:cols w:space="425" w:num="1"/>
          <w:titlePg/>
          <w:docGrid w:linePitch="462" w:charSpace="0"/>
        </w:sectPr>
      </w:pPr>
    </w:p>
    <w:p w14:paraId="60B2FE00"/>
    <w:p w14:paraId="246C1747">
      <w:pPr>
        <w:pStyle w:val="7"/>
        <w:rPr>
          <w:rFonts w:hint="eastAsia"/>
        </w:rPr>
      </w:pPr>
      <w:r>
        <w:rPr>
          <w:rFonts w:hint="eastAsia"/>
        </w:rPr>
        <w:t>第五章  合同条款及格式</w:t>
      </w:r>
    </w:p>
    <w:p w14:paraId="5313006E"/>
    <w:p w14:paraId="188DE078">
      <w:pPr>
        <w:jc w:val="center"/>
        <w:outlineLvl w:val="0"/>
      </w:pPr>
      <w:bookmarkStart w:id="78" w:name="_Toc3995"/>
      <w:r>
        <w:rPr>
          <w:rFonts w:hint="eastAsia"/>
          <w:b/>
          <w:sz w:val="24"/>
        </w:rPr>
        <w:t>（仅供参考，具体以项目需求及采购结果为准）</w:t>
      </w:r>
    </w:p>
    <w:bookmarkEnd w:id="78"/>
    <w:p w14:paraId="6B171F02">
      <w:pPr>
        <w:jc w:val="center"/>
        <w:rPr>
          <w:rFonts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1CF24C0E">
      <w:pPr>
        <w:jc w:val="center"/>
        <w:rPr>
          <w:rFonts w:ascii="宋体" w:hAnsi="宋体" w:cs="宋体"/>
          <w:b/>
          <w:bCs/>
          <w:spacing w:val="-20"/>
          <w:kern w:val="44"/>
          <w:sz w:val="48"/>
          <w:szCs w:val="48"/>
        </w:rPr>
      </w:pPr>
      <w:r>
        <w:rPr>
          <w:rFonts w:hint="eastAsia" w:ascii="宋体" w:hAnsi="宋体" w:cs="宋体"/>
          <w:b/>
          <w:bCs/>
          <w:spacing w:val="-20"/>
          <w:kern w:val="44"/>
          <w:sz w:val="48"/>
          <w:szCs w:val="48"/>
        </w:rPr>
        <w:t>（试行）</w:t>
      </w:r>
    </w:p>
    <w:p w14:paraId="71CE5A16">
      <w:pPr>
        <w:rPr>
          <w:rFonts w:ascii="宋体" w:hAnsi="宋体" w:cs="宋体"/>
          <w:b/>
          <w:bCs/>
          <w:spacing w:val="-20"/>
          <w:kern w:val="44"/>
          <w:sz w:val="40"/>
          <w:szCs w:val="40"/>
        </w:rPr>
      </w:pPr>
    </w:p>
    <w:p w14:paraId="383A6E0A">
      <w:pPr>
        <w:rPr>
          <w:rFonts w:ascii="宋体" w:hAnsi="宋体" w:cs="宋体"/>
          <w:b/>
          <w:bCs/>
          <w:spacing w:val="-20"/>
          <w:kern w:val="44"/>
          <w:sz w:val="40"/>
          <w:szCs w:val="40"/>
        </w:rPr>
      </w:pPr>
    </w:p>
    <w:p w14:paraId="389E2363">
      <w:pPr>
        <w:rPr>
          <w:rFonts w:ascii="宋体" w:hAnsi="宋体" w:cs="宋体"/>
          <w:b/>
          <w:bCs/>
          <w:spacing w:val="-20"/>
          <w:kern w:val="44"/>
          <w:sz w:val="40"/>
          <w:szCs w:val="40"/>
        </w:rPr>
      </w:pPr>
    </w:p>
    <w:p w14:paraId="749B4594">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25881669">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2E3A69B9">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3DA4EF2A">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6A33155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1A5D7A7E"/>
    <w:p w14:paraId="31DC42C3">
      <w:pPr>
        <w:rPr>
          <w:rFonts w:eastAsia="黑体"/>
          <w:sz w:val="44"/>
          <w:szCs w:val="44"/>
        </w:rPr>
      </w:pPr>
      <w:r>
        <w:rPr>
          <w:rFonts w:eastAsia="黑体"/>
          <w:sz w:val="44"/>
          <w:szCs w:val="44"/>
        </w:rPr>
        <w:br w:type="page"/>
      </w:r>
    </w:p>
    <w:p w14:paraId="64A35DDB">
      <w:pPr>
        <w:rPr>
          <w:rFonts w:eastAsia="黑体"/>
          <w:sz w:val="44"/>
          <w:szCs w:val="44"/>
        </w:rPr>
      </w:pPr>
    </w:p>
    <w:p w14:paraId="1622DA82">
      <w:pPr>
        <w:rPr>
          <w:rFonts w:eastAsia="黑体"/>
          <w:sz w:val="44"/>
          <w:szCs w:val="44"/>
        </w:rPr>
      </w:pPr>
    </w:p>
    <w:p w14:paraId="03791257">
      <w:pPr>
        <w:jc w:val="center"/>
        <w:rPr>
          <w:rFonts w:eastAsia="黑体"/>
          <w:sz w:val="44"/>
          <w:szCs w:val="44"/>
        </w:rPr>
      </w:pPr>
      <w:r>
        <w:rPr>
          <w:rFonts w:hint="eastAsia" w:eastAsia="黑体"/>
          <w:sz w:val="44"/>
          <w:szCs w:val="44"/>
        </w:rPr>
        <w:t>使 用 说 明</w:t>
      </w:r>
    </w:p>
    <w:p w14:paraId="0A579AC8">
      <w:pPr>
        <w:ind w:firstLine="640" w:firstLineChars="200"/>
        <w:rPr>
          <w:rFonts w:ascii="仿宋_GB2312" w:hAnsi="仿宋_GB2312" w:eastAsia="仿宋_GB2312" w:cs="仿宋_GB2312"/>
          <w:sz w:val="32"/>
          <w:szCs w:val="32"/>
        </w:rPr>
      </w:pPr>
    </w:p>
    <w:p w14:paraId="65192A91">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34A567A3">
      <w:pPr>
        <w:ind w:firstLine="640" w:firstLineChars="200"/>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0EBCC237">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0F54B7EF">
      <w:pPr>
        <w:ind w:firstLine="880" w:firstLineChars="200"/>
        <w:rPr>
          <w:rFonts w:eastAsia="黑体"/>
          <w:sz w:val="44"/>
          <w:szCs w:val="44"/>
        </w:rPr>
        <w:sectPr>
          <w:headerReference r:id="rId6" w:type="default"/>
          <w:footerReference r:id="rId7" w:type="default"/>
          <w:pgSz w:w="11906" w:h="16838"/>
          <w:pgMar w:top="1440" w:right="1800" w:bottom="1440" w:left="1800" w:header="851" w:footer="992" w:gutter="0"/>
          <w:cols w:space="425" w:num="1"/>
          <w:docGrid w:type="lines" w:linePitch="312" w:charSpace="0"/>
        </w:sectPr>
      </w:pPr>
    </w:p>
    <w:p w14:paraId="350EF26A">
      <w:pPr>
        <w:keepNext/>
        <w:keepLines/>
        <w:adjustRightInd w:val="0"/>
        <w:snapToGrid w:val="0"/>
        <w:spacing w:line="400" w:lineRule="exact"/>
        <w:jc w:val="center"/>
        <w:outlineLvl w:val="1"/>
        <w:rPr>
          <w:rFonts w:ascii="黑体" w:hAnsi="黑体" w:eastAsia="黑体"/>
          <w:b/>
          <w:bCs/>
          <w:sz w:val="28"/>
          <w:szCs w:val="28"/>
        </w:rPr>
      </w:pPr>
      <w:bookmarkStart w:id="79" w:name="_Toc22209"/>
    </w:p>
    <w:p w14:paraId="7D1AD859">
      <w:pPr>
        <w:keepNext/>
        <w:keepLines/>
        <w:adjustRightInd w:val="0"/>
        <w:snapToGrid w:val="0"/>
        <w:spacing w:line="400" w:lineRule="exact"/>
        <w:jc w:val="center"/>
        <w:outlineLvl w:val="1"/>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79"/>
    </w:p>
    <w:p w14:paraId="0E9613BB">
      <w:pPr>
        <w:keepNext/>
        <w:keepLines/>
        <w:adjustRightInd w:val="0"/>
        <w:snapToGrid w:val="0"/>
        <w:spacing w:line="400" w:lineRule="exact"/>
        <w:jc w:val="center"/>
        <w:outlineLvl w:val="1"/>
        <w:rPr>
          <w:rFonts w:ascii="黑体" w:hAnsi="华文中宋" w:eastAsia="黑体"/>
          <w:sz w:val="28"/>
          <w:szCs w:val="28"/>
        </w:rPr>
      </w:pPr>
    </w:p>
    <w:p w14:paraId="4EBE3D63">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w:t>
      </w:r>
      <w:r>
        <w:rPr>
          <w:rFonts w:hint="eastAsia" w:ascii="宋体" w:hAnsi="宋体"/>
          <w:szCs w:val="21"/>
        </w:rPr>
        <w:tab/>
      </w:r>
      <w:r>
        <w:rPr>
          <w:rFonts w:hint="eastAsia" w:ascii="宋体" w:hAnsi="宋体"/>
          <w:szCs w:val="21"/>
        </w:rPr>
        <w:t xml:space="preserve">                                   文件约定的合同甲方）</w:t>
      </w:r>
    </w:p>
    <w:p w14:paraId="15F5D700">
      <w:pPr>
        <w:adjustRightInd w:val="0"/>
        <w:snapToGrid w:val="0"/>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4BC54917">
      <w:pPr>
        <w:adjustRightInd w:val="0"/>
        <w:snapToGrid w:val="0"/>
        <w:spacing w:line="400" w:lineRule="exact"/>
        <w:rPr>
          <w:rFonts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7C9C9B31">
      <w:pPr>
        <w:adjustRightInd w:val="0"/>
        <w:snapToGrid w:val="0"/>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41A421CD">
      <w:pPr>
        <w:spacing w:line="400" w:lineRule="exact"/>
      </w:pPr>
    </w:p>
    <w:p w14:paraId="68E79BCA">
      <w:pPr>
        <w:adjustRightInd w:val="0"/>
        <w:snapToGrid w:val="0"/>
        <w:spacing w:line="400" w:lineRule="exact"/>
        <w:ind w:firstLine="420" w:firstLineChars="200"/>
        <w:rPr>
          <w:rFonts w:ascii="宋体" w:hAnsi="宋体"/>
          <w:szCs w:val="21"/>
        </w:rPr>
      </w:pPr>
      <w:r>
        <w:rPr>
          <w:rFonts w:hint="eastAsia" w:ascii="宋体" w:hAnsi="宋体"/>
          <w:szCs w:val="21"/>
        </w:rPr>
        <w:t xml:space="preserve">依据《中华人民共和国民法典》《中华人民共和国政府采购法》《深圳经济特区政府采购条例》等有关的法律法规，以及本采购项目的招标文件等采购文件、乙方的《投标（响应）文件》及《中标（成交）通知书》，甲乙双方同意签订本合同。具体情况及要求如下：     </w:t>
      </w:r>
    </w:p>
    <w:p w14:paraId="6826F194">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项目信息</w:t>
      </w:r>
    </w:p>
    <w:p w14:paraId="2BC09BB8">
      <w:pPr>
        <w:numPr>
          <w:ilvl w:val="0"/>
          <w:numId w:val="3"/>
        </w:numPr>
        <w:adjustRightInd w:val="0"/>
        <w:snapToGrid w:val="0"/>
        <w:spacing w:line="400" w:lineRule="exact"/>
        <w:ind w:firstLine="420" w:firstLineChars="200"/>
        <w:rPr>
          <w:rFonts w:ascii="宋体" w:hAnsi="宋体"/>
          <w:szCs w:val="21"/>
          <w:u w:val="single"/>
        </w:rPr>
      </w:pPr>
      <w:r>
        <w:rPr>
          <w:rFonts w:hint="eastAsia" w:ascii="宋体" w:hAnsi="宋体"/>
          <w:szCs w:val="21"/>
        </w:rPr>
        <w:t>采购项目名称：</w:t>
      </w:r>
      <w:r>
        <w:rPr>
          <w:rFonts w:hint="eastAsia" w:ascii="宋体" w:hAnsi="宋体"/>
          <w:szCs w:val="21"/>
          <w:u w:val="single"/>
        </w:rPr>
        <w:t xml:space="preserve">                                            </w:t>
      </w:r>
    </w:p>
    <w:p w14:paraId="05773AF7">
      <w:pPr>
        <w:numPr>
          <w:ilvl w:val="255"/>
          <w:numId w:val="0"/>
        </w:numPr>
        <w:tabs>
          <w:tab w:val="left" w:pos="999"/>
        </w:tabs>
        <w:adjustRightInd w:val="0"/>
        <w:snapToGrid w:val="0"/>
        <w:spacing w:line="400" w:lineRule="exact"/>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0E03F113">
      <w:pPr>
        <w:adjustRightInd w:val="0"/>
        <w:snapToGrid w:val="0"/>
        <w:spacing w:line="400" w:lineRule="exact"/>
        <w:ind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4CE5B72A">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73989F94">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rPr>
        <w:t>/</w:t>
      </w:r>
      <w:r>
        <w:rPr>
          <w:rFonts w:hint="eastAsia" w:ascii="宋体" w:hAnsi="宋体"/>
          <w:szCs w:val="21"/>
        </w:rPr>
        <w:t>个</w:t>
      </w:r>
      <w:r>
        <w:rPr>
          <w:rFonts w:ascii="宋体" w:hAnsi="宋体"/>
          <w:szCs w:val="21"/>
        </w:rPr>
        <w:t>/</w:t>
      </w:r>
      <w:r>
        <w:rPr>
          <w:rFonts w:hint="eastAsia" w:ascii="宋体" w:hAnsi="宋体"/>
          <w:szCs w:val="21"/>
        </w:rPr>
        <w:t>架</w:t>
      </w:r>
      <w:r>
        <w:rPr>
          <w:rFonts w:ascii="宋体" w:hAnsi="宋体"/>
          <w:szCs w:val="21"/>
        </w:rPr>
        <w:t>/</w:t>
      </w:r>
      <w:r>
        <w:rPr>
          <w:rFonts w:hint="eastAsia" w:ascii="宋体" w:hAnsi="宋体"/>
          <w:szCs w:val="21"/>
        </w:rPr>
        <w:t>组等）：</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p w14:paraId="79684EA3">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p>
    <w:p w14:paraId="465C9F5F">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6932F988">
      <w:pPr>
        <w:numPr>
          <w:ilvl w:val="255"/>
          <w:numId w:val="0"/>
        </w:num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66160917">
      <w:pPr>
        <w:numPr>
          <w:ilvl w:val="255"/>
          <w:numId w:val="0"/>
        </w:num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    </w:t>
      </w:r>
    </w:p>
    <w:p w14:paraId="4678108A">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0D9410DF">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2BFE3430">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p>
    <w:p w14:paraId="17E12672">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p>
    <w:p w14:paraId="2D32630F">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w:t>
      </w:r>
      <w:r>
        <w:rPr>
          <w:rFonts w:hint="eastAsia" w:ascii="汉仪书宋二S" w:hAnsi="汉仪书宋二S" w:eastAsia="汉仪书宋二S" w:cs="汉仪书宋二S"/>
          <w:szCs w:val="21"/>
        </w:rPr>
        <w:t>②</w:t>
      </w:r>
      <w:r>
        <w:rPr>
          <w:rFonts w:hint="eastAsia" w:ascii="宋体" w:hAnsi="宋体" w:cs="宋体"/>
          <w:szCs w:val="21"/>
        </w:rPr>
        <w:t>涉及车辆采购，请填写是否属于新能源汽车：</w:t>
      </w:r>
    </w:p>
    <w:p w14:paraId="58FBFBA3">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w:t>
      </w:r>
      <w:r>
        <w:rPr>
          <w:rFonts w:ascii="Wingdings" w:hAnsi="Wingdings" w:cs="宋体"/>
          <w:szCs w:val="21"/>
        </w:rPr>
        <w:sym w:font="Wingdings" w:char="F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p>
    <w:p w14:paraId="5C2EDB1D">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w:t>
      </w:r>
      <w:r>
        <w:rPr>
          <w:rFonts w:ascii="Wingdings" w:hAnsi="Wingdings" w:cs="宋体"/>
          <w:szCs w:val="21"/>
        </w:rPr>
        <w:sym w:font="Wingdings" w:char="F0A8"/>
      </w:r>
      <w:r>
        <w:rPr>
          <w:rFonts w:hint="eastAsia" w:ascii="宋体" w:hAnsi="宋体" w:cs="宋体"/>
          <w:szCs w:val="21"/>
        </w:rPr>
        <w:t>否</w:t>
      </w:r>
    </w:p>
    <w:p w14:paraId="6A0BE021">
      <w:pPr>
        <w:numPr>
          <w:ilvl w:val="255"/>
          <w:numId w:val="0"/>
        </w:numPr>
        <w:autoSpaceDE w:val="0"/>
        <w:autoSpaceDN w:val="0"/>
        <w:adjustRightInd w:val="0"/>
        <w:snapToGrid w:val="0"/>
        <w:spacing w:line="400" w:lineRule="exact"/>
        <w:rPr>
          <w:rFonts w:ascii="宋体" w:hAnsi="宋体" w:cs="宋体"/>
          <w:szCs w:val="21"/>
        </w:rPr>
      </w:pPr>
      <w:r>
        <w:rPr>
          <w:rFonts w:hint="eastAsia" w:ascii="宋体" w:hAnsi="宋体" w:cs="宋体"/>
          <w:szCs w:val="21"/>
        </w:rPr>
        <w:t xml:space="preserve">    （</w:t>
      </w:r>
      <w:r>
        <w:rPr>
          <w:rFonts w:ascii="宋体" w:hAnsi="宋体" w:cs="宋体"/>
          <w:szCs w:val="21"/>
        </w:rPr>
        <w:t>4</w:t>
      </w:r>
      <w:r>
        <w:rPr>
          <w:rFonts w:hint="eastAsia" w:ascii="宋体" w:hAnsi="宋体" w:cs="宋体"/>
          <w:szCs w:val="21"/>
        </w:rPr>
        <w:t>）政府采购组织形式：</w:t>
      </w:r>
      <w:r>
        <w:rPr>
          <w:rFonts w:ascii="Wingdings" w:hAnsi="Wingdings" w:cs="宋体"/>
          <w:szCs w:val="21"/>
        </w:rPr>
        <w:sym w:font="Wingdings" w:char="F0A8"/>
      </w:r>
      <w:r>
        <w:rPr>
          <w:rFonts w:hint="eastAsia" w:ascii="宋体" w:hAnsi="宋体" w:cs="宋体"/>
          <w:szCs w:val="21"/>
        </w:rPr>
        <w:t xml:space="preserve">集中采购    </w:t>
      </w:r>
      <w:r>
        <w:rPr>
          <w:rFonts w:ascii="Wingdings" w:hAnsi="Wingdings" w:cs="宋体"/>
          <w:szCs w:val="21"/>
        </w:rPr>
        <w:sym w:font="Wingdings" w:char="F0A8"/>
      </w:r>
      <w:r>
        <w:rPr>
          <w:rFonts w:hint="eastAsia" w:ascii="宋体" w:hAnsi="宋体" w:cs="宋体"/>
          <w:szCs w:val="21"/>
        </w:rPr>
        <w:t>自行采购</w:t>
      </w:r>
    </w:p>
    <w:p w14:paraId="1B9FF284">
      <w:pPr>
        <w:numPr>
          <w:ilvl w:val="255"/>
          <w:numId w:val="0"/>
        </w:numPr>
        <w:autoSpaceDE w:val="0"/>
        <w:autoSpaceDN w:val="0"/>
        <w:adjustRightInd w:val="0"/>
        <w:snapToGrid w:val="0"/>
        <w:spacing w:line="400" w:lineRule="exact"/>
        <w:ind w:left="210" w:leftChars="100" w:firstLine="210" w:firstLineChars="100"/>
        <w:rPr>
          <w:rFonts w:ascii="宋体" w:hAnsi="宋体" w:cs="宋体"/>
          <w:szCs w:val="21"/>
          <w:u w:val="single"/>
        </w:rPr>
      </w:pPr>
      <w:r>
        <w:rPr>
          <w:rFonts w:hint="eastAsia" w:ascii="宋体" w:hAnsi="宋体" w:cs="宋体"/>
          <w:szCs w:val="21"/>
        </w:rPr>
        <w:t>（</w:t>
      </w:r>
      <w:r>
        <w:rPr>
          <w:rFonts w:ascii="宋体" w:hAnsi="宋体" w:cs="宋体"/>
          <w:szCs w:val="21"/>
        </w:rPr>
        <w:t>5</w:t>
      </w:r>
      <w:r>
        <w:rPr>
          <w:rFonts w:hint="eastAsia" w:ascii="宋体" w:hAnsi="宋体" w:cs="宋体"/>
          <w:szCs w:val="21"/>
        </w:rPr>
        <w:t>）政府采购方式：</w:t>
      </w:r>
      <w:r>
        <w:rPr>
          <w:rFonts w:ascii="Wingdings" w:hAnsi="Wingdings" w:cs="宋体"/>
          <w:szCs w:val="21"/>
        </w:rPr>
        <w:sym w:font="Wingdings" w:char="F0A8"/>
      </w:r>
      <w:r>
        <w:rPr>
          <w:rFonts w:hint="eastAsia" w:ascii="宋体" w:hAnsi="宋体" w:cs="宋体"/>
          <w:szCs w:val="21"/>
        </w:rPr>
        <w:t xml:space="preserve">公开招标  </w:t>
      </w:r>
      <w:r>
        <w:rPr>
          <w:rFonts w:ascii="Wingdings" w:hAnsi="Wingdings" w:cs="宋体"/>
          <w:szCs w:val="21"/>
        </w:rPr>
        <w:sym w:font="Wingdings" w:char="F0A8"/>
      </w:r>
      <w:r>
        <w:rPr>
          <w:rFonts w:hint="eastAsia" w:ascii="宋体" w:hAnsi="宋体" w:cs="宋体"/>
          <w:szCs w:val="21"/>
        </w:rPr>
        <w:t>竞争性谈判</w:t>
      </w:r>
      <w:r>
        <w:rPr>
          <w:rFonts w:hint="eastAsia" w:ascii="宋体" w:hAnsi="宋体" w:eastAsia="华文楷体" w:cs="宋体"/>
          <w:sz w:val="22"/>
          <w:szCs w:val="21"/>
        </w:rPr>
        <w:t xml:space="preserve">  </w:t>
      </w:r>
      <w:r>
        <w:rPr>
          <w:rFonts w:ascii="Wingdings" w:hAnsi="Wingdings" w:cs="宋体"/>
          <w:szCs w:val="21"/>
        </w:rPr>
        <w:sym w:font="Wingdings" w:char="F0A8"/>
      </w:r>
      <w:r>
        <w:rPr>
          <w:rFonts w:hint="eastAsia" w:ascii="宋体" w:hAnsi="宋体" w:cs="宋体"/>
          <w:szCs w:val="21"/>
        </w:rPr>
        <w:t xml:space="preserve">单一来源  </w:t>
      </w:r>
      <w:r>
        <w:rPr>
          <w:rFonts w:ascii="Wingdings" w:hAnsi="Wingdings" w:cs="宋体"/>
          <w:szCs w:val="21"/>
        </w:rPr>
        <w:sym w:font="Wingdings" w:char="F0A8"/>
      </w:r>
      <w:r>
        <w:rPr>
          <w:rFonts w:hint="eastAsia" w:ascii="宋体" w:hAnsi="宋体" w:cs="宋体"/>
          <w:szCs w:val="21"/>
        </w:rPr>
        <w:t xml:space="preserve">竞价  </w:t>
      </w:r>
      <w:r>
        <w:rPr>
          <w:rFonts w:ascii="Wingdings" w:hAnsi="Wingdings" w:cs="宋体"/>
          <w:szCs w:val="21"/>
        </w:rPr>
        <w:sym w:font="Wingdings" w:char="F0A8"/>
      </w:r>
      <w:r>
        <w:rPr>
          <w:rFonts w:hint="eastAsia" w:ascii="宋体" w:hAnsi="宋体" w:cs="宋体"/>
          <w:szCs w:val="21"/>
        </w:rPr>
        <w:t xml:space="preserve">框架协议 </w:t>
      </w:r>
      <w:r>
        <w:rPr>
          <w:rFonts w:ascii="Wingdings" w:hAnsi="Wingdings" w:cs="宋体"/>
          <w:szCs w:val="21"/>
        </w:rPr>
        <w:sym w:font="Wingdings" w:char="F0A8"/>
      </w:r>
      <w:r>
        <w:rPr>
          <w:rFonts w:hint="eastAsia" w:ascii="宋体" w:hAnsi="宋体" w:cs="宋体"/>
          <w:szCs w:val="21"/>
        </w:rPr>
        <w:t>其他：</w:t>
      </w:r>
      <w:r>
        <w:rPr>
          <w:rFonts w:hint="eastAsia" w:ascii="宋体" w:hAnsi="宋体" w:cs="宋体"/>
          <w:szCs w:val="21"/>
          <w:u w:val="single"/>
        </w:rPr>
        <w:t xml:space="preserve">          </w:t>
      </w:r>
    </w:p>
    <w:p w14:paraId="72B18589">
      <w:pPr>
        <w:numPr>
          <w:ilvl w:val="255"/>
          <w:numId w:val="0"/>
        </w:numPr>
        <w:autoSpaceDE w:val="0"/>
        <w:autoSpaceDN w:val="0"/>
        <w:adjustRightInd w:val="0"/>
        <w:snapToGrid w:val="0"/>
        <w:spacing w:line="400" w:lineRule="exact"/>
        <w:ind w:firstLine="420"/>
        <w:rPr>
          <w:rFonts w:ascii="宋体" w:hAnsi="宋体" w:cs="宋体"/>
          <w:szCs w:val="21"/>
        </w:rPr>
      </w:pPr>
      <w:r>
        <w:rPr>
          <w:rFonts w:hint="eastAsia" w:ascii="宋体" w:hAnsi="宋体" w:cs="宋体"/>
          <w:szCs w:val="21"/>
        </w:rPr>
        <w:t>（注：在框架协议采购的第二阶段，可选择使用该合同文本）</w:t>
      </w:r>
    </w:p>
    <w:p w14:paraId="16467D97">
      <w:pPr>
        <w:numPr>
          <w:ilvl w:val="255"/>
          <w:numId w:val="0"/>
        </w:numPr>
        <w:autoSpaceDE w:val="0"/>
        <w:autoSpaceDN w:val="0"/>
        <w:adjustRightInd w:val="0"/>
        <w:snapToGrid w:val="0"/>
        <w:spacing w:line="400" w:lineRule="exact"/>
        <w:ind w:firstLine="220" w:firstLineChars="100"/>
        <w:rPr>
          <w:rFonts w:ascii="宋体" w:hAnsi="宋体"/>
          <w:szCs w:val="21"/>
        </w:rPr>
      </w:pPr>
      <w:r>
        <w:rPr>
          <w:rFonts w:hint="eastAsia" w:ascii="宋体" w:hAnsi="宋体" w:eastAsia="华文楷体" w:cs="华文楷体"/>
          <w:sz w:val="22"/>
          <w:szCs w:val="21"/>
        </w:rPr>
        <w:t xml:space="preserve"> （</w:t>
      </w:r>
      <w:r>
        <w:rPr>
          <w:rFonts w:ascii="宋体" w:hAnsi="宋体" w:eastAsia="华文楷体" w:cs="华文楷体"/>
          <w:sz w:val="22"/>
          <w:szCs w:val="21"/>
        </w:rPr>
        <w:t>6</w:t>
      </w:r>
      <w:r>
        <w:rPr>
          <w:rFonts w:hint="eastAsia" w:ascii="宋体" w:hAnsi="宋体" w:eastAsia="华文楷体" w:cs="华文楷体"/>
          <w:sz w:val="22"/>
          <w:szCs w:val="21"/>
        </w:rPr>
        <w:t>）</w:t>
      </w:r>
      <w:r>
        <w:rPr>
          <w:rFonts w:hint="eastAsia" w:ascii="宋体" w:hAnsi="宋体"/>
          <w:szCs w:val="21"/>
        </w:rPr>
        <w:t>中标（成交）采购标的制造商是否为中小企业：</w:t>
      </w:r>
      <w:r>
        <w:rPr>
          <w:rFonts w:ascii="Wingdings" w:hAnsi="Wingdings"/>
          <w:szCs w:val="21"/>
        </w:rPr>
        <w:sym w:font="Wingdings" w:char="F0A8"/>
      </w:r>
      <w:r>
        <w:rPr>
          <w:rFonts w:hint="eastAsia" w:ascii="宋体" w:hAnsi="宋体"/>
          <w:szCs w:val="21"/>
        </w:rPr>
        <w:t xml:space="preserve">是      </w:t>
      </w:r>
      <w:r>
        <w:rPr>
          <w:rFonts w:ascii="Wingdings" w:hAnsi="Wingdings"/>
          <w:szCs w:val="21"/>
        </w:rPr>
        <w:sym w:font="Wingdings" w:char="F0A8"/>
      </w:r>
      <w:r>
        <w:rPr>
          <w:rFonts w:hint="eastAsia" w:ascii="宋体" w:hAnsi="宋体"/>
          <w:szCs w:val="21"/>
        </w:rPr>
        <w:t>否</w:t>
      </w:r>
    </w:p>
    <w:p w14:paraId="3CA94546">
      <w:pPr>
        <w:numPr>
          <w:ilvl w:val="255"/>
          <w:numId w:val="0"/>
        </w:num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iCs/>
          <w:szCs w:val="21"/>
        </w:rPr>
        <w:sym w:font="Wingdings" w:char="F0A8"/>
      </w:r>
      <w:r>
        <w:rPr>
          <w:rFonts w:hint="eastAsia" w:ascii="宋体" w:hAnsi="宋体"/>
          <w:iCs/>
          <w:szCs w:val="21"/>
        </w:rPr>
        <w:t xml:space="preserve">是    </w:t>
      </w:r>
      <w:r>
        <w:rPr>
          <w:rFonts w:ascii="Wingdings" w:hAnsi="Wingdings"/>
          <w:iCs/>
          <w:szCs w:val="21"/>
        </w:rPr>
        <w:sym w:font="Wingdings" w:char="F0A8"/>
      </w:r>
      <w:r>
        <w:rPr>
          <w:rFonts w:hint="eastAsia" w:ascii="宋体" w:hAnsi="宋体"/>
          <w:iCs/>
          <w:szCs w:val="21"/>
        </w:rPr>
        <w:t>否</w:t>
      </w:r>
    </w:p>
    <w:p w14:paraId="63323FC2">
      <w:pPr>
        <w:numPr>
          <w:ilvl w:val="255"/>
          <w:numId w:val="0"/>
        </w:num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hint="eastAsia" w:ascii="宋体" w:hAnsi="宋体"/>
          <w:iCs/>
          <w:szCs w:val="21"/>
        </w:rPr>
        <w:t xml:space="preserve">是   </w:t>
      </w:r>
      <w:r>
        <w:rPr>
          <w:rFonts w:ascii="Wingdings" w:hAnsi="Wingdings"/>
          <w:iCs/>
          <w:szCs w:val="21"/>
        </w:rPr>
        <w:sym w:font="Wingdings" w:char="F0A8"/>
      </w:r>
      <w:r>
        <w:rPr>
          <w:rFonts w:hint="eastAsia" w:ascii="宋体" w:hAnsi="宋体"/>
          <w:iCs/>
          <w:szCs w:val="21"/>
        </w:rPr>
        <w:t>否</w:t>
      </w:r>
    </w:p>
    <w:p w14:paraId="34C7824E">
      <w:pPr>
        <w:numPr>
          <w:ilvl w:val="255"/>
          <w:numId w:val="0"/>
        </w:num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hint="eastAsia" w:ascii="宋体" w:hAnsi="宋体"/>
          <w:iCs/>
          <w:szCs w:val="21"/>
        </w:rPr>
        <w:t xml:space="preserve">是   </w:t>
      </w:r>
      <w:r>
        <w:rPr>
          <w:rFonts w:ascii="Wingdings" w:hAnsi="Wingdings"/>
          <w:iCs/>
          <w:szCs w:val="21"/>
        </w:rPr>
        <w:sym w:font="Wingdings" w:char="F0A8"/>
      </w:r>
      <w:r>
        <w:rPr>
          <w:rFonts w:hint="eastAsia" w:ascii="宋体" w:hAnsi="宋体"/>
          <w:iCs/>
          <w:szCs w:val="21"/>
        </w:rPr>
        <w:t>否</w:t>
      </w:r>
    </w:p>
    <w:p w14:paraId="5E289D66">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hint="eastAsia" w:ascii="宋体" w:hAnsi="宋体"/>
          <w:iCs/>
          <w:szCs w:val="21"/>
        </w:rPr>
        <w:t xml:space="preserve">是       </w:t>
      </w:r>
      <w:r>
        <w:rPr>
          <w:rFonts w:ascii="Wingdings" w:hAnsi="Wingdings"/>
          <w:iCs/>
          <w:szCs w:val="21"/>
        </w:rPr>
        <w:sym w:font="Wingdings" w:char="F0A8"/>
      </w:r>
      <w:r>
        <w:rPr>
          <w:rFonts w:hint="eastAsia" w:ascii="宋体" w:hAnsi="宋体"/>
          <w:iCs/>
          <w:szCs w:val="21"/>
        </w:rPr>
        <w:t>否</w:t>
      </w:r>
    </w:p>
    <w:p w14:paraId="34B5370C">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）合同是否分包：</w:t>
      </w:r>
      <w:r>
        <w:rPr>
          <w:rFonts w:ascii="Wingdings" w:hAnsi="Wingdings"/>
          <w:iCs/>
          <w:szCs w:val="21"/>
        </w:rPr>
        <w:sym w:font="Wingdings" w:char="F0A8"/>
      </w:r>
      <w:r>
        <w:rPr>
          <w:rFonts w:hint="eastAsia" w:ascii="宋体" w:hAnsi="宋体"/>
          <w:iCs/>
          <w:szCs w:val="21"/>
        </w:rPr>
        <w:t xml:space="preserve">是       </w:t>
      </w:r>
      <w:r>
        <w:rPr>
          <w:rFonts w:ascii="Wingdings" w:hAnsi="Wingdings"/>
          <w:iCs/>
          <w:szCs w:val="21"/>
        </w:rPr>
        <w:sym w:font="Wingdings" w:char="F0A8"/>
      </w:r>
      <w:r>
        <w:rPr>
          <w:rFonts w:hint="eastAsia" w:ascii="宋体" w:hAnsi="宋体"/>
          <w:iCs/>
          <w:szCs w:val="21"/>
        </w:rPr>
        <w:t>否</w:t>
      </w:r>
    </w:p>
    <w:p w14:paraId="295257DF">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531F1F0E">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分包供应商/制造商名称（如供应商和制造商不同，请分别填写）：</w:t>
      </w:r>
    </w:p>
    <w:p w14:paraId="640DDDED">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45D76A4B">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分包供应商/制造商类型（如果供应商和制造商不同，只填写制造商类型）：</w:t>
      </w:r>
    </w:p>
    <w:p w14:paraId="018683CD">
      <w:pPr>
        <w:adjustRightInd w:val="0"/>
        <w:snapToGrid w:val="0"/>
        <w:spacing w:line="400" w:lineRule="exact"/>
        <w:ind w:firstLine="840" w:firstLineChars="400"/>
        <w:rPr>
          <w:rFonts w:ascii="宋体" w:hAnsi="宋体"/>
          <w:iCs/>
          <w:szCs w:val="21"/>
        </w:rPr>
      </w:pPr>
      <w:r>
        <w:rPr>
          <w:rFonts w:hint="eastAsia" w:ascii="宋体" w:hAnsi="宋体"/>
          <w:iCs/>
          <w:szCs w:val="21"/>
        </w:rPr>
        <w:t xml:space="preserve"> </w:t>
      </w:r>
      <w:r>
        <w:rPr>
          <w:rFonts w:ascii="Wingdings" w:hAnsi="Wingdings"/>
          <w:iCs/>
          <w:szCs w:val="21"/>
        </w:rPr>
        <w:sym w:font="Wingdings" w:char="F0A8"/>
      </w:r>
      <w:r>
        <w:rPr>
          <w:rFonts w:hint="eastAsia" w:ascii="宋体" w:hAnsi="宋体"/>
          <w:iCs/>
          <w:szCs w:val="21"/>
        </w:rPr>
        <w:t xml:space="preserve">大型企业  </w:t>
      </w:r>
      <w:r>
        <w:rPr>
          <w:rFonts w:ascii="Wingdings" w:hAnsi="Wingdings"/>
          <w:iCs/>
          <w:szCs w:val="21"/>
        </w:rPr>
        <w:sym w:font="Wingdings" w:char="F0A8"/>
      </w:r>
      <w:r>
        <w:rPr>
          <w:rFonts w:hint="eastAsia" w:ascii="宋体" w:hAnsi="宋体"/>
          <w:iCs/>
          <w:szCs w:val="21"/>
        </w:rPr>
        <w:t xml:space="preserve">中型企业  </w:t>
      </w:r>
      <w:r>
        <w:rPr>
          <w:rFonts w:ascii="Wingdings" w:hAnsi="Wingdings"/>
          <w:iCs/>
          <w:szCs w:val="21"/>
        </w:rPr>
        <w:sym w:font="Wingdings" w:char="F0A8"/>
      </w:r>
      <w:r>
        <w:rPr>
          <w:rFonts w:hint="eastAsia" w:ascii="宋体" w:hAnsi="宋体"/>
          <w:iCs/>
          <w:szCs w:val="21"/>
        </w:rPr>
        <w:t xml:space="preserve">小微型企业  </w:t>
      </w:r>
    </w:p>
    <w:p w14:paraId="3E7DC0ED">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ascii="Wingdings" w:hAnsi="Wingdings"/>
          <w:iCs/>
          <w:szCs w:val="21"/>
        </w:rPr>
        <w:sym w:font="Wingdings" w:char="F0A8"/>
      </w:r>
      <w:r>
        <w:rPr>
          <w:rFonts w:hint="eastAsia" w:ascii="宋体" w:hAnsi="宋体"/>
          <w:iCs/>
          <w:szCs w:val="21"/>
        </w:rPr>
        <w:t xml:space="preserve">残疾人福利性单位 </w:t>
      </w:r>
      <w:r>
        <w:rPr>
          <w:rFonts w:ascii="Wingdings" w:hAnsi="Wingdings"/>
          <w:iCs/>
          <w:szCs w:val="21"/>
        </w:rPr>
        <w:sym w:font="Wingdings" w:char="F0A8"/>
      </w:r>
      <w:r>
        <w:rPr>
          <w:rFonts w:hint="eastAsia" w:ascii="宋体" w:hAnsi="宋体"/>
          <w:iCs/>
          <w:szCs w:val="21"/>
        </w:rPr>
        <w:t xml:space="preserve">监狱企业 </w:t>
      </w:r>
      <w:r>
        <w:rPr>
          <w:rFonts w:ascii="Wingdings" w:hAnsi="Wingdings"/>
          <w:iCs/>
          <w:szCs w:val="21"/>
        </w:rPr>
        <w:sym w:font="Wingdings" w:char="F0A8"/>
      </w:r>
      <w:r>
        <w:rPr>
          <w:rFonts w:hint="eastAsia" w:ascii="宋体" w:hAnsi="宋体"/>
          <w:iCs/>
          <w:szCs w:val="21"/>
        </w:rPr>
        <w:t>其他</w:t>
      </w:r>
    </w:p>
    <w:p w14:paraId="47DBF780">
      <w:pPr>
        <w:numPr>
          <w:ilvl w:val="255"/>
          <w:numId w:val="0"/>
        </w:numPr>
        <w:adjustRightInd w:val="0"/>
        <w:snapToGrid w:val="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rPr>
        <w:t>8</w:t>
      </w:r>
      <w:r>
        <w:rPr>
          <w:rFonts w:hint="eastAsia" w:ascii="宋体" w:hAnsi="宋体" w:cs="宋体"/>
          <w:szCs w:val="21"/>
        </w:rPr>
        <w:t>）中标（成交）供应商是否为外商投资企业：</w:t>
      </w:r>
      <w:r>
        <w:rPr>
          <w:rFonts w:ascii="Wingdings" w:hAnsi="Wingdings" w:cs="宋体"/>
          <w:iCs/>
          <w:szCs w:val="21"/>
        </w:rPr>
        <w:sym w:font="Wingdings" w:char="F0A8"/>
      </w:r>
      <w:r>
        <w:rPr>
          <w:rFonts w:hint="eastAsia" w:ascii="宋体" w:hAnsi="宋体" w:cs="宋体"/>
          <w:iCs/>
          <w:szCs w:val="21"/>
        </w:rPr>
        <w:t xml:space="preserve">是       </w:t>
      </w:r>
      <w:r>
        <w:rPr>
          <w:rFonts w:ascii="Wingdings" w:hAnsi="Wingdings" w:cs="宋体"/>
          <w:iCs/>
          <w:szCs w:val="21"/>
        </w:rPr>
        <w:sym w:font="Wingdings" w:char="F0A8"/>
      </w:r>
      <w:r>
        <w:rPr>
          <w:rFonts w:hint="eastAsia" w:ascii="宋体" w:hAnsi="宋体" w:cs="宋体"/>
          <w:iCs/>
          <w:szCs w:val="21"/>
        </w:rPr>
        <w:t>否</w:t>
      </w:r>
    </w:p>
    <w:p w14:paraId="33C74A21">
      <w:pPr>
        <w:tabs>
          <w:tab w:val="left" w:pos="1340"/>
        </w:tabs>
        <w:autoSpaceDE w:val="0"/>
        <w:autoSpaceDN w:val="0"/>
        <w:adjustRightInd w:val="0"/>
        <w:spacing w:line="400" w:lineRule="exact"/>
        <w:ind w:firstLine="420" w:firstLineChars="200"/>
        <w:rPr>
          <w:rFonts w:ascii="宋体" w:hAnsi="宋体" w:cs="宋体"/>
          <w:szCs w:val="21"/>
          <w:u w:val="single"/>
        </w:rPr>
      </w:pPr>
      <w:r>
        <w:rPr>
          <w:rFonts w:hint="eastAsia" w:ascii="宋体" w:hAnsi="宋体" w:cs="宋体"/>
          <w:szCs w:val="21"/>
        </w:rPr>
        <w:t xml:space="preserve">     外商投资企业类型：</w:t>
      </w:r>
      <w:r>
        <w:rPr>
          <w:rFonts w:ascii="Wingdings" w:hAnsi="Wingdings" w:cs="宋体"/>
          <w:iCs/>
          <w:szCs w:val="21"/>
        </w:rPr>
        <w:sym w:font="Wingdings" w:char="F0A8"/>
      </w:r>
      <w:r>
        <w:rPr>
          <w:rFonts w:hint="eastAsia" w:ascii="宋体" w:hAnsi="宋体" w:cs="宋体"/>
          <w:szCs w:val="21"/>
        </w:rPr>
        <w:t xml:space="preserve">全部由外国投资者投资  </w:t>
      </w:r>
      <w:r>
        <w:rPr>
          <w:rFonts w:ascii="Wingdings" w:hAnsi="Wingdings" w:cs="宋体"/>
          <w:iCs/>
          <w:szCs w:val="21"/>
        </w:rPr>
        <w:sym w:font="Wingdings" w:char="F0A8"/>
      </w:r>
      <w:r>
        <w:rPr>
          <w:rFonts w:hint="eastAsia" w:ascii="宋体" w:hAnsi="宋体" w:cs="宋体"/>
          <w:iCs/>
          <w:szCs w:val="21"/>
        </w:rPr>
        <w:t>部分由外国投资者投资</w:t>
      </w:r>
    </w:p>
    <w:p w14:paraId="6F2A5099">
      <w:pPr>
        <w:numPr>
          <w:ilvl w:val="255"/>
          <w:numId w:val="0"/>
        </w:numPr>
        <w:adjustRightInd w:val="0"/>
        <w:snapToGrid w:val="0"/>
        <w:spacing w:line="400" w:lineRule="exact"/>
        <w:ind w:firstLine="420" w:firstLineChars="200"/>
        <w:rPr>
          <w:rFonts w:ascii="宋体" w:hAnsi="宋体" w:cs="宋体"/>
          <w:szCs w:val="21"/>
        </w:rPr>
      </w:pPr>
      <w:r>
        <w:rPr>
          <w:rFonts w:hint="eastAsia" w:ascii="宋体" w:hAnsi="宋体" w:cs="宋体"/>
          <w:szCs w:val="21"/>
        </w:rPr>
        <w:t>（</w:t>
      </w:r>
      <w:r>
        <w:rPr>
          <w:rFonts w:ascii="宋体" w:hAnsi="宋体" w:cs="宋体"/>
          <w:szCs w:val="21"/>
        </w:rPr>
        <w:t>9</w:t>
      </w:r>
      <w:r>
        <w:rPr>
          <w:rFonts w:hint="eastAsia" w:ascii="宋体" w:hAnsi="宋体" w:cs="宋体"/>
          <w:szCs w:val="21"/>
        </w:rPr>
        <w:t>）是否涉及进口产品：</w:t>
      </w:r>
    </w:p>
    <w:p w14:paraId="3EE42865">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ascii="Wingdings" w:hAnsi="Wingdings" w:cs="宋体"/>
          <w:szCs w:val="21"/>
        </w:rPr>
        <w:sym w:font="Wingdings" w:char="F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263F2375">
      <w:pPr>
        <w:numPr>
          <w:ilvl w:val="255"/>
          <w:numId w:val="0"/>
        </w:numPr>
        <w:adjustRightInd w:val="0"/>
        <w:snapToGrid w:val="0"/>
        <w:spacing w:line="400" w:lineRule="exact"/>
        <w:ind w:firstLine="840" w:firstLineChars="40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29115561">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ascii="Wingdings" w:hAnsi="Wingdings"/>
          <w:szCs w:val="21"/>
        </w:rPr>
        <w:sym w:font="Wingdings" w:char="F0A8"/>
      </w:r>
      <w:r>
        <w:rPr>
          <w:rFonts w:hint="eastAsia" w:ascii="宋体" w:hAnsi="宋体"/>
          <w:szCs w:val="21"/>
        </w:rPr>
        <w:t>否</w:t>
      </w:r>
    </w:p>
    <w:p w14:paraId="5569E033">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rPr>
        <w:t>0</w:t>
      </w:r>
      <w:r>
        <w:rPr>
          <w:rFonts w:hint="eastAsia" w:ascii="宋体" w:hAnsi="宋体"/>
          <w:szCs w:val="21"/>
        </w:rPr>
        <w:t>）是否涉及节能产品：</w:t>
      </w:r>
    </w:p>
    <w:p w14:paraId="0F95A683">
      <w:pPr>
        <w:numPr>
          <w:ilvl w:val="255"/>
          <w:numId w:val="0"/>
        </w:numPr>
        <w:tabs>
          <w:tab w:val="left" w:pos="740"/>
        </w:tabs>
        <w:adjustRightInd w:val="0"/>
        <w:snapToGrid w:val="0"/>
        <w:spacing w:line="400" w:lineRule="exact"/>
        <w:rPr>
          <w:rFonts w:ascii="宋体" w:hAnsi="宋体"/>
          <w:iCs/>
          <w:szCs w:val="21"/>
        </w:rPr>
      </w:pPr>
      <w:r>
        <w:rPr>
          <w:rFonts w:hint="eastAsia" w:ascii="宋体" w:hAnsi="宋体"/>
          <w:szCs w:val="21"/>
        </w:rPr>
        <w:t xml:space="preserve">         </w:t>
      </w:r>
      <w:r>
        <w:rPr>
          <w:rFonts w:ascii="Wingdings" w:hAnsi="Wingdings"/>
          <w:szCs w:val="21"/>
        </w:rPr>
        <w:sym w:font="Wingdings" w:char="F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18757760">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ascii="Wingdings" w:hAnsi="Wingdings"/>
          <w:iCs/>
          <w:szCs w:val="21"/>
        </w:rPr>
        <w:sym w:font="Wingdings" w:char="F0A8"/>
      </w:r>
      <w:r>
        <w:rPr>
          <w:rFonts w:hint="eastAsia" w:ascii="宋体" w:hAnsi="宋体"/>
          <w:iCs/>
          <w:szCs w:val="21"/>
        </w:rPr>
        <w:t xml:space="preserve">强制采购       </w:t>
      </w:r>
      <w:r>
        <w:rPr>
          <w:rFonts w:ascii="Wingdings" w:hAnsi="Wingdings"/>
          <w:iCs/>
          <w:szCs w:val="21"/>
        </w:rPr>
        <w:sym w:font="Wingdings" w:char="F0A8"/>
      </w:r>
      <w:r>
        <w:rPr>
          <w:rFonts w:hint="eastAsia" w:ascii="宋体" w:hAnsi="宋体"/>
          <w:iCs/>
          <w:szCs w:val="21"/>
        </w:rPr>
        <w:t xml:space="preserve">优先采购    </w:t>
      </w:r>
    </w:p>
    <w:p w14:paraId="603F0657">
      <w:pPr>
        <w:numPr>
          <w:ilvl w:val="255"/>
          <w:numId w:val="0"/>
        </w:num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ascii="Wingdings" w:hAnsi="Wingdings"/>
          <w:szCs w:val="21"/>
        </w:rPr>
        <w:sym w:font="Wingdings" w:char="F0A8"/>
      </w:r>
      <w:r>
        <w:rPr>
          <w:rFonts w:hint="eastAsia" w:ascii="宋体" w:hAnsi="宋体"/>
          <w:szCs w:val="21"/>
        </w:rPr>
        <w:t>否</w:t>
      </w:r>
    </w:p>
    <w:p w14:paraId="097AE1DF">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是否涉及环境标志产品：</w:t>
      </w:r>
    </w:p>
    <w:p w14:paraId="62AB5D52">
      <w:pPr>
        <w:numPr>
          <w:ilvl w:val="255"/>
          <w:numId w:val="0"/>
        </w:numPr>
        <w:tabs>
          <w:tab w:val="left" w:pos="740"/>
        </w:tabs>
        <w:adjustRightInd w:val="0"/>
        <w:snapToGrid w:val="0"/>
        <w:spacing w:line="400" w:lineRule="exact"/>
        <w:rPr>
          <w:rFonts w:ascii="宋体" w:hAnsi="宋体"/>
          <w:szCs w:val="21"/>
        </w:rPr>
      </w:pPr>
      <w:r>
        <w:rPr>
          <w:rFonts w:hint="eastAsia" w:ascii="宋体" w:hAnsi="宋体"/>
          <w:szCs w:val="21"/>
        </w:rPr>
        <w:t xml:space="preserve">         </w:t>
      </w:r>
      <w:r>
        <w:rPr>
          <w:rFonts w:ascii="Wingdings" w:hAnsi="Wingdings"/>
          <w:szCs w:val="21"/>
        </w:rPr>
        <w:sym w:font="Wingdings" w:char="F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2BBD46F0">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ascii="Wingdings" w:hAnsi="Wingdings"/>
          <w:iCs/>
          <w:szCs w:val="21"/>
        </w:rPr>
        <w:sym w:font="Wingdings" w:char="F0A8"/>
      </w:r>
      <w:r>
        <w:rPr>
          <w:rFonts w:hint="eastAsia" w:ascii="宋体" w:hAnsi="宋体"/>
          <w:iCs/>
          <w:szCs w:val="21"/>
        </w:rPr>
        <w:t xml:space="preserve">强制采购       </w:t>
      </w:r>
      <w:r>
        <w:rPr>
          <w:rFonts w:ascii="Wingdings" w:hAnsi="Wingdings"/>
          <w:iCs/>
          <w:szCs w:val="21"/>
        </w:rPr>
        <w:sym w:font="Wingdings" w:char="F0A8"/>
      </w:r>
      <w:r>
        <w:rPr>
          <w:rFonts w:hint="eastAsia" w:ascii="宋体" w:hAnsi="宋体"/>
          <w:iCs/>
          <w:szCs w:val="21"/>
        </w:rPr>
        <w:t xml:space="preserve">优先采购    </w:t>
      </w:r>
    </w:p>
    <w:p w14:paraId="6B7744C6">
      <w:pPr>
        <w:numPr>
          <w:ilvl w:val="255"/>
          <w:numId w:val="0"/>
        </w:num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ascii="Wingdings" w:hAnsi="Wingdings"/>
          <w:szCs w:val="21"/>
        </w:rPr>
        <w:sym w:font="Wingdings" w:char="F0A8"/>
      </w:r>
      <w:r>
        <w:rPr>
          <w:rFonts w:hint="eastAsia" w:ascii="宋体" w:hAnsi="宋体"/>
          <w:szCs w:val="21"/>
        </w:rPr>
        <w:t>否</w:t>
      </w:r>
    </w:p>
    <w:p w14:paraId="5308F465">
      <w:pPr>
        <w:numPr>
          <w:ilvl w:val="255"/>
          <w:numId w:val="0"/>
        </w:numPr>
        <w:autoSpaceDE w:val="0"/>
        <w:autoSpaceDN w:val="0"/>
        <w:adjustRightInd w:val="0"/>
        <w:snapToGrid w:val="0"/>
        <w:spacing w:line="400" w:lineRule="exact"/>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p>
    <w:p w14:paraId="05D1272F">
      <w:pPr>
        <w:autoSpaceDE w:val="0"/>
        <w:autoSpaceDN w:val="0"/>
        <w:adjustRightInd w:val="0"/>
        <w:spacing w:line="400" w:lineRule="exact"/>
        <w:ind w:firstLine="420"/>
        <w:rPr>
          <w:rFonts w:ascii="宋体" w:hAnsi="宋体" w:cs="华文楷体"/>
          <w:sz w:val="22"/>
          <w:szCs w:val="21"/>
          <w:u w:val="single"/>
        </w:rPr>
      </w:pPr>
      <w:r>
        <w:rPr>
          <w:rFonts w:hint="eastAsia" w:ascii="宋体" w:hAnsi="宋体"/>
          <w:szCs w:val="21"/>
        </w:rPr>
        <w:t xml:space="preserve">     </w:t>
      </w:r>
      <w:r>
        <w:rPr>
          <w:rFonts w:ascii="Wingdings" w:hAnsi="Wingdings"/>
          <w:szCs w:val="21"/>
        </w:rPr>
        <w:sym w:font="Wingdings" w:char="F0A8"/>
      </w:r>
      <w:r>
        <w:rPr>
          <w:rFonts w:hint="eastAsia" w:ascii="宋体" w:hAnsi="宋体"/>
          <w:szCs w:val="21"/>
        </w:rPr>
        <w:t>是，绿色产品政府采购相关政策确定的底级品目名称：</w:t>
      </w:r>
      <w:r>
        <w:rPr>
          <w:rFonts w:hint="eastAsia" w:ascii="宋体" w:hAnsi="宋体" w:cs="华文楷体"/>
          <w:sz w:val="22"/>
          <w:szCs w:val="21"/>
          <w:u w:val="single"/>
        </w:rPr>
        <w:t xml:space="preserve">         </w:t>
      </w:r>
    </w:p>
    <w:p w14:paraId="6E02615E">
      <w:pPr>
        <w:numPr>
          <w:ilvl w:val="255"/>
          <w:numId w:val="0"/>
        </w:num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ascii="Wingdings" w:hAnsi="Wingdings"/>
          <w:iCs/>
          <w:szCs w:val="21"/>
        </w:rPr>
        <w:sym w:font="Wingdings" w:char="F0A8"/>
      </w:r>
      <w:r>
        <w:rPr>
          <w:rFonts w:hint="eastAsia" w:ascii="宋体" w:hAnsi="宋体"/>
          <w:iCs/>
          <w:szCs w:val="21"/>
        </w:rPr>
        <w:t xml:space="preserve">强制采购       </w:t>
      </w:r>
      <w:r>
        <w:rPr>
          <w:rFonts w:ascii="Wingdings" w:hAnsi="Wingdings"/>
          <w:iCs/>
          <w:szCs w:val="21"/>
        </w:rPr>
        <w:sym w:font="Wingdings" w:char="F0A8"/>
      </w:r>
      <w:r>
        <w:rPr>
          <w:rFonts w:hint="eastAsia" w:ascii="宋体" w:hAnsi="宋体"/>
          <w:iCs/>
          <w:szCs w:val="21"/>
        </w:rPr>
        <w:t xml:space="preserve">优先采购    </w:t>
      </w:r>
    </w:p>
    <w:p w14:paraId="1EAD42AA">
      <w:pPr>
        <w:autoSpaceDE w:val="0"/>
        <w:autoSpaceDN w:val="0"/>
        <w:adjustRightInd w:val="0"/>
        <w:spacing w:line="400" w:lineRule="exact"/>
        <w:ind w:firstLine="420"/>
        <w:rPr>
          <w:rFonts w:ascii="宋体" w:hAnsi="宋体" w:eastAsia="华文楷体" w:cs="华文楷体"/>
          <w:szCs w:val="21"/>
        </w:rPr>
      </w:pPr>
      <w:r>
        <w:rPr>
          <w:rFonts w:hint="eastAsia" w:ascii="宋体" w:hAnsi="宋体"/>
          <w:szCs w:val="21"/>
        </w:rPr>
        <w:t xml:space="preserve">     </w:t>
      </w:r>
      <w:r>
        <w:rPr>
          <w:rFonts w:ascii="Wingdings" w:hAnsi="Wingdings"/>
          <w:szCs w:val="21"/>
        </w:rPr>
        <w:sym w:font="Wingdings" w:char="F0A8"/>
      </w:r>
      <w:r>
        <w:rPr>
          <w:rFonts w:hint="eastAsia" w:ascii="宋体" w:hAnsi="宋体"/>
          <w:szCs w:val="21"/>
        </w:rPr>
        <w:t>否</w:t>
      </w:r>
    </w:p>
    <w:p w14:paraId="2BDC390C">
      <w:pPr>
        <w:numPr>
          <w:ilvl w:val="255"/>
          <w:numId w:val="0"/>
        </w:numPr>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00C3B9AC">
      <w:pPr>
        <w:numPr>
          <w:ilvl w:val="255"/>
          <w:numId w:val="0"/>
        </w:num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hint="eastAsia" w:ascii="宋体" w:hAnsi="宋体"/>
          <w:szCs w:val="21"/>
        </w:rPr>
        <w:t xml:space="preserve">是       </w:t>
      </w:r>
      <w:r>
        <w:rPr>
          <w:rFonts w:ascii="Wingdings" w:hAnsi="Wingdings"/>
          <w:szCs w:val="21"/>
        </w:rPr>
        <w:sym w:font="Wingdings" w:char="F0A8"/>
      </w:r>
      <w:r>
        <w:rPr>
          <w:rFonts w:hint="eastAsia" w:ascii="宋体" w:hAnsi="宋体"/>
          <w:szCs w:val="21"/>
        </w:rPr>
        <w:t xml:space="preserve">否      </w:t>
      </w:r>
      <w:r>
        <w:rPr>
          <w:rFonts w:ascii="Wingdings" w:hAnsi="Wingdings"/>
          <w:szCs w:val="21"/>
        </w:rPr>
        <w:sym w:font="Wingdings" w:char="F0A8"/>
      </w:r>
      <w:r>
        <w:rPr>
          <w:rFonts w:hint="eastAsia" w:ascii="宋体" w:hAnsi="宋体"/>
          <w:szCs w:val="21"/>
        </w:rPr>
        <w:t>不涉及</w:t>
      </w:r>
    </w:p>
    <w:p w14:paraId="4FB9DEFF">
      <w:pPr>
        <w:adjustRightInd w:val="0"/>
        <w:snapToGrid w:val="0"/>
        <w:spacing w:line="400" w:lineRule="exact"/>
        <w:ind w:firstLine="420" w:firstLineChars="200"/>
        <w:rPr>
          <w:rFonts w:ascii="宋体" w:hAnsi="宋体"/>
          <w:szCs w:val="21"/>
        </w:rPr>
      </w:pPr>
      <w:r>
        <w:rPr>
          <w:rFonts w:hint="eastAsia" w:ascii="宋体" w:hAnsi="宋体"/>
          <w:szCs w:val="21"/>
        </w:rPr>
        <w:t>（12）是否涉及本国产品：</w:t>
      </w:r>
    </w:p>
    <w:p w14:paraId="1EC2EEF9">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Wingdings" w:hAnsi="Wingdings" w:cs="宋体"/>
          <w:szCs w:val="21"/>
        </w:rPr>
        <w:t>¨</w:t>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1875CEB4">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产品名称1：</w:t>
      </w:r>
      <w:r>
        <w:rPr>
          <w:rFonts w:hint="eastAsia" w:ascii="宋体" w:hAnsi="宋体" w:cs="宋体"/>
          <w:szCs w:val="21"/>
          <w:u w:val="single"/>
        </w:rPr>
        <w:t xml:space="preserve">        </w:t>
      </w:r>
      <w:r>
        <w:rPr>
          <w:rFonts w:hint="eastAsia" w:ascii="宋体" w:hAnsi="宋体" w:cs="宋体"/>
          <w:szCs w:val="21"/>
        </w:rPr>
        <w:t xml:space="preserve"> 生产厂：</w:t>
      </w:r>
      <w:r>
        <w:rPr>
          <w:rFonts w:hint="eastAsia" w:ascii="宋体" w:hAnsi="宋体" w:cs="宋体"/>
          <w:szCs w:val="21"/>
          <w:u w:val="single"/>
        </w:rPr>
        <w:t xml:space="preserve">           </w:t>
      </w:r>
      <w:r>
        <w:rPr>
          <w:rFonts w:hint="eastAsia" w:ascii="宋体" w:hAnsi="宋体" w:cs="宋体"/>
          <w:szCs w:val="21"/>
        </w:rPr>
        <w:t xml:space="preserve"> 厂址：</w:t>
      </w:r>
      <w:r>
        <w:rPr>
          <w:rFonts w:hint="eastAsia" w:ascii="宋体" w:hAnsi="宋体" w:cs="宋体"/>
          <w:szCs w:val="21"/>
          <w:u w:val="single"/>
        </w:rPr>
        <w:t xml:space="preserve">           </w:t>
      </w:r>
      <w:r>
        <w:rPr>
          <w:rFonts w:hint="eastAsia" w:ascii="宋体" w:hAnsi="宋体" w:cs="宋体"/>
          <w:szCs w:val="21"/>
        </w:rPr>
        <w:t xml:space="preserve"> </w:t>
      </w:r>
    </w:p>
    <w:p w14:paraId="65F12579">
      <w:pPr>
        <w:pStyle w:val="38"/>
        <w:ind w:firstLine="1680" w:firstLineChars="800"/>
      </w:pPr>
      <w:r>
        <w:rPr>
          <w:rFonts w:hint="eastAsia" w:ascii="宋体" w:hAnsi="宋体" w:cs="宋体"/>
          <w:szCs w:val="21"/>
        </w:rPr>
        <w:t>产品名称2：</w:t>
      </w:r>
      <w:r>
        <w:rPr>
          <w:rFonts w:hint="eastAsia" w:ascii="宋体" w:hAnsi="宋体" w:cs="宋体"/>
          <w:szCs w:val="21"/>
          <w:u w:val="single"/>
        </w:rPr>
        <w:t xml:space="preserve">        </w:t>
      </w:r>
      <w:r>
        <w:rPr>
          <w:rFonts w:hint="eastAsia" w:ascii="宋体" w:hAnsi="宋体" w:cs="宋体"/>
          <w:szCs w:val="21"/>
        </w:rPr>
        <w:t xml:space="preserve"> 生产厂：</w:t>
      </w:r>
      <w:r>
        <w:rPr>
          <w:rFonts w:hint="eastAsia" w:ascii="宋体" w:hAnsi="宋体" w:cs="宋体"/>
          <w:szCs w:val="21"/>
          <w:u w:val="single"/>
        </w:rPr>
        <w:t xml:space="preserve">           </w:t>
      </w:r>
      <w:r>
        <w:rPr>
          <w:rFonts w:hint="eastAsia" w:ascii="宋体" w:hAnsi="宋体" w:cs="宋体"/>
          <w:szCs w:val="21"/>
        </w:rPr>
        <w:t xml:space="preserve"> 厂址：</w:t>
      </w:r>
      <w:r>
        <w:rPr>
          <w:rFonts w:hint="eastAsia" w:ascii="宋体" w:hAnsi="宋体" w:cs="宋体"/>
          <w:szCs w:val="21"/>
          <w:u w:val="single"/>
        </w:rPr>
        <w:t xml:space="preserve">           </w:t>
      </w:r>
      <w:r>
        <w:rPr>
          <w:rFonts w:hint="eastAsia" w:ascii="宋体" w:hAnsi="宋体" w:cs="宋体"/>
          <w:szCs w:val="21"/>
        </w:rPr>
        <w:t xml:space="preserve"> </w:t>
      </w:r>
    </w:p>
    <w:p w14:paraId="3BFA60FC">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Wingdings" w:hAnsi="Wingdings"/>
          <w:szCs w:val="21"/>
        </w:rPr>
        <w:t>¨</w:t>
      </w:r>
      <w:r>
        <w:rPr>
          <w:rFonts w:hint="eastAsia" w:ascii="宋体" w:hAnsi="宋体"/>
          <w:szCs w:val="21"/>
        </w:rPr>
        <w:t>否</w:t>
      </w:r>
    </w:p>
    <w:p w14:paraId="491F3684">
      <w:pPr>
        <w:pStyle w:val="38"/>
      </w:pPr>
    </w:p>
    <w:p w14:paraId="50349B4B">
      <w:pPr>
        <w:pStyle w:val="38"/>
        <w:rPr>
          <w:rFonts w:ascii="宋体" w:hAnsi="宋体"/>
          <w:szCs w:val="21"/>
        </w:rPr>
      </w:pPr>
    </w:p>
    <w:p w14:paraId="1D755508">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合同金额</w:t>
      </w:r>
    </w:p>
    <w:p w14:paraId="7B3A95F2">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6C1BEB11">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7201DDAD">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2053B0C2">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6AF6EEE0">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663EE41B">
      <w:pPr>
        <w:numPr>
          <w:ilvl w:val="255"/>
          <w:numId w:val="0"/>
        </w:numPr>
        <w:adjustRightInd w:val="0"/>
        <w:snapToGrid w:val="0"/>
        <w:spacing w:line="400" w:lineRule="exact"/>
        <w:rPr>
          <w:rFonts w:ascii="宋体" w:hAnsi="宋体"/>
          <w:szCs w:val="21"/>
        </w:rPr>
      </w:pPr>
      <w:r>
        <w:rPr>
          <w:rFonts w:hint="eastAsia" w:ascii="宋体" w:hAnsi="宋体"/>
          <w:szCs w:val="21"/>
        </w:rPr>
        <w:t xml:space="preserve">    （2）合同定价方式（采用组合定价方式的，可以勾选多项）：</w:t>
      </w:r>
    </w:p>
    <w:p w14:paraId="7E5B9769">
      <w:pPr>
        <w:adjustRightInd w:val="0"/>
        <w:snapToGrid w:val="0"/>
        <w:spacing w:line="400" w:lineRule="exact"/>
        <w:ind w:firstLine="420" w:firstLineChars="200"/>
        <w:rPr>
          <w:rFonts w:ascii="宋体" w:hAnsi="宋体"/>
          <w:szCs w:val="21"/>
        </w:rPr>
      </w:pPr>
      <w:r>
        <w:rPr>
          <w:rFonts w:hint="eastAsia" w:ascii="宋体" w:hAnsi="宋体"/>
          <w:iCs/>
          <w:szCs w:val="21"/>
        </w:rPr>
        <w:t xml:space="preserve">  </w:t>
      </w:r>
      <w:r>
        <w:rPr>
          <w:rFonts w:ascii="Wingdings" w:hAnsi="Wingdings"/>
          <w:iCs/>
          <w:szCs w:val="21"/>
        </w:rPr>
        <w:sym w:font="Wingdings" w:char="F0A8"/>
      </w:r>
      <w:r>
        <w:rPr>
          <w:rFonts w:hint="eastAsia" w:ascii="宋体" w:hAnsi="宋体"/>
          <w:iCs/>
          <w:szCs w:val="21"/>
        </w:rPr>
        <w:t xml:space="preserve">固定总价 </w:t>
      </w:r>
      <w:r>
        <w:rPr>
          <w:rFonts w:ascii="Wingdings" w:hAnsi="Wingdings"/>
          <w:iCs/>
          <w:szCs w:val="21"/>
        </w:rPr>
        <w:sym w:font="Wingdings" w:char="F0A8"/>
      </w:r>
      <w:r>
        <w:rPr>
          <w:rFonts w:hint="eastAsia" w:ascii="宋体" w:hAnsi="宋体"/>
          <w:iCs/>
          <w:szCs w:val="21"/>
        </w:rPr>
        <w:t xml:space="preserve">固定单价 </w:t>
      </w:r>
      <w:r>
        <w:rPr>
          <w:rFonts w:ascii="Wingdings" w:hAnsi="Wingdings"/>
          <w:iCs/>
          <w:szCs w:val="21"/>
        </w:rPr>
        <w:sym w:font="Wingdings" w:char="F0A8"/>
      </w:r>
      <w:r>
        <w:rPr>
          <w:rFonts w:hint="eastAsia" w:ascii="宋体" w:hAnsi="宋体"/>
          <w:iCs/>
          <w:szCs w:val="21"/>
        </w:rPr>
        <w:t xml:space="preserve">固定费率 </w:t>
      </w:r>
      <w:r>
        <w:rPr>
          <w:rFonts w:ascii="Wingdings" w:hAnsi="Wingdings"/>
          <w:iCs/>
          <w:szCs w:val="21"/>
        </w:rPr>
        <w:sym w:font="Wingdings" w:char="F0A8"/>
      </w:r>
      <w:r>
        <w:rPr>
          <w:rFonts w:hint="eastAsia" w:ascii="宋体" w:hAnsi="宋体"/>
          <w:iCs/>
          <w:szCs w:val="21"/>
        </w:rPr>
        <w:t xml:space="preserve">成本补偿 </w:t>
      </w:r>
      <w:r>
        <w:rPr>
          <w:rFonts w:ascii="Wingdings" w:hAnsi="Wingdings"/>
          <w:iCs/>
          <w:szCs w:val="21"/>
        </w:rPr>
        <w:sym w:font="Wingdings" w:char="F0A8"/>
      </w:r>
      <w:r>
        <w:rPr>
          <w:rFonts w:hint="eastAsia" w:ascii="宋体" w:hAnsi="宋体"/>
          <w:iCs/>
          <w:szCs w:val="21"/>
        </w:rPr>
        <w:t xml:space="preserve">绩效激励 </w:t>
      </w:r>
      <w:r>
        <w:rPr>
          <w:rFonts w:ascii="Wingdings" w:hAnsi="Wingdings"/>
          <w:iCs/>
          <w:szCs w:val="21"/>
        </w:rPr>
        <w:sym w:font="Wingdings" w:char="F0A8"/>
      </w:r>
      <w:r>
        <w:rPr>
          <w:rFonts w:hint="eastAsia" w:ascii="宋体" w:hAnsi="宋体"/>
          <w:iCs/>
          <w:szCs w:val="21"/>
        </w:rPr>
        <w:t>其他</w:t>
      </w:r>
      <w:r>
        <w:rPr>
          <w:rFonts w:hint="eastAsia" w:ascii="宋体" w:hAnsi="宋体"/>
          <w:szCs w:val="21"/>
          <w:u w:val="single"/>
        </w:rPr>
        <w:t xml:space="preserve">       </w:t>
      </w:r>
    </w:p>
    <w:p w14:paraId="7074B831">
      <w:pPr>
        <w:spacing w:line="400" w:lineRule="exact"/>
        <w:ind w:firstLine="420" w:firstLineChars="200"/>
        <w:rPr>
          <w:szCs w:val="21"/>
        </w:rPr>
      </w:pPr>
      <w:r>
        <w:rPr>
          <w:rFonts w:hint="eastAsia" w:ascii="宋体" w:hAnsi="宋体"/>
          <w:szCs w:val="21"/>
        </w:rPr>
        <w:t>（3）付款方式（按项目实际勾选填写）：</w:t>
      </w:r>
    </w:p>
    <w:p w14:paraId="5DBA376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hint="eastAsia" w:ascii="宋体" w:hAnsi="宋体"/>
          <w:szCs w:val="21"/>
        </w:rPr>
        <w:t>全额付款：</w:t>
      </w:r>
      <w:r>
        <w:rPr>
          <w:rFonts w:hint="eastAsia" w:ascii="宋体" w:hAnsi="宋体"/>
          <w:szCs w:val="21"/>
          <w:u w:val="single"/>
        </w:rPr>
        <w:t xml:space="preserve">     （应明确一次性支付合同款项的条件）                    </w:t>
      </w:r>
    </w:p>
    <w:p w14:paraId="460808EE">
      <w:pPr>
        <w:snapToGrid w:val="0"/>
        <w:spacing w:line="400" w:lineRule="exact"/>
        <w:ind w:firstLine="630" w:firstLineChars="300"/>
      </w:pPr>
      <w:r>
        <w:rPr>
          <w:rFonts w:ascii="Wingdings" w:hAnsi="Wingdings"/>
          <w:szCs w:val="21"/>
        </w:rPr>
        <w:sym w:font="Wingdings" w:char="F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079EC4AF">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2F7DD5E">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29C52BCE">
      <w:pPr>
        <w:numPr>
          <w:ilvl w:val="0"/>
          <w:numId w:val="2"/>
        </w:numPr>
        <w:adjustRightInd w:val="0"/>
        <w:snapToGrid w:val="0"/>
        <w:spacing w:line="400" w:lineRule="exact"/>
        <w:ind w:firstLine="422" w:firstLineChars="200"/>
        <w:rPr>
          <w:rFonts w:ascii="宋体" w:hAnsi="宋体"/>
          <w:b/>
          <w:szCs w:val="21"/>
          <w:u w:val="single"/>
        </w:rPr>
      </w:pPr>
      <w:r>
        <w:rPr>
          <w:rFonts w:hint="eastAsia" w:ascii="宋体" w:hAnsi="宋体"/>
          <w:b/>
          <w:szCs w:val="21"/>
        </w:rPr>
        <w:t>合同履行</w:t>
      </w:r>
    </w:p>
    <w:p w14:paraId="6320B87C">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EC12454">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16E3C7B1">
      <w:pPr>
        <w:adjustRightInd w:val="0"/>
        <w:snapToGrid w:val="0"/>
        <w:spacing w:line="400" w:lineRule="exact"/>
        <w:ind w:firstLine="420" w:firstLineChars="20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ascii="Wingdings" w:hAnsi="Wingdings" w:cs="宋体"/>
          <w:szCs w:val="21"/>
        </w:rPr>
        <w:sym w:font="Wingdings" w:char="F0A8"/>
      </w:r>
      <w:r>
        <w:rPr>
          <w:rFonts w:hint="eastAsia" w:ascii="宋体" w:hAnsi="宋体" w:cs="宋体"/>
          <w:szCs w:val="21"/>
        </w:rPr>
        <w:t xml:space="preserve">是    </w:t>
      </w:r>
      <w:r>
        <w:rPr>
          <w:rFonts w:ascii="Wingdings" w:hAnsi="Wingdings" w:cs="宋体"/>
          <w:szCs w:val="21"/>
        </w:rPr>
        <w:sym w:font="Wingdings" w:char="F0A8"/>
      </w:r>
      <w:r>
        <w:rPr>
          <w:rFonts w:hint="eastAsia" w:ascii="宋体" w:hAnsi="宋体" w:cs="宋体"/>
          <w:szCs w:val="21"/>
        </w:rPr>
        <w:t>否</w:t>
      </w:r>
    </w:p>
    <w:p w14:paraId="19239A64">
      <w:pPr>
        <w:autoSpaceDE w:val="0"/>
        <w:autoSpaceDN w:val="0"/>
        <w:adjustRightInd w:val="0"/>
        <w:spacing w:line="400" w:lineRule="exact"/>
        <w:ind w:firstLine="440" w:firstLineChars="200"/>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p>
    <w:p w14:paraId="12302DC7">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p>
    <w:p w14:paraId="54F98013">
      <w:pPr>
        <w:snapToGrid w:val="0"/>
        <w:spacing w:line="400" w:lineRule="exact"/>
        <w:ind w:firstLine="420" w:firstLineChars="200"/>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573FC362">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76A47C3B">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4FFF18FE">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合同验收</w:t>
      </w:r>
    </w:p>
    <w:p w14:paraId="045D9A60">
      <w:pPr>
        <w:numPr>
          <w:ilvl w:val="0"/>
          <w:numId w:val="4"/>
        </w:numPr>
        <w:adjustRightInd w:val="0"/>
        <w:snapToGrid w:val="0"/>
        <w:spacing w:line="400" w:lineRule="exact"/>
        <w:ind w:firstLine="420" w:firstLineChars="200"/>
        <w:rPr>
          <w:rFonts w:ascii="宋体" w:hAnsi="宋体"/>
          <w:bCs/>
          <w:szCs w:val="21"/>
        </w:rPr>
      </w:pPr>
      <w:r>
        <w:rPr>
          <w:rFonts w:hint="eastAsia" w:ascii="宋体" w:hAnsi="宋体"/>
          <w:bCs/>
          <w:szCs w:val="21"/>
        </w:rPr>
        <w:t>验收组织方式：</w:t>
      </w:r>
      <w:r>
        <w:rPr>
          <w:rFonts w:ascii="Wingdings" w:hAnsi="Wingdings" w:cs="宋体"/>
          <w:szCs w:val="21"/>
        </w:rPr>
        <w:sym w:font="Wingdings" w:char="F0A8"/>
      </w:r>
      <w:r>
        <w:rPr>
          <w:rFonts w:hint="eastAsia" w:ascii="宋体" w:hAnsi="宋体"/>
          <w:bCs/>
          <w:szCs w:val="21"/>
        </w:rPr>
        <w:t xml:space="preserve">自行组织 </w:t>
      </w:r>
      <w:r>
        <w:rPr>
          <w:rFonts w:ascii="Wingdings" w:hAnsi="Wingdings" w:cs="宋体"/>
          <w:szCs w:val="21"/>
        </w:rPr>
        <w:sym w:font="Wingdings" w:char="F0A8"/>
      </w:r>
      <w:r>
        <w:rPr>
          <w:rFonts w:hint="eastAsia" w:ascii="宋体" w:hAnsi="宋体"/>
          <w:bCs/>
          <w:szCs w:val="21"/>
        </w:rPr>
        <w:t>委托第三方组织</w:t>
      </w:r>
    </w:p>
    <w:p w14:paraId="45C51EAD">
      <w:pPr>
        <w:adjustRightInd w:val="0"/>
        <w:snapToGrid w:val="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5BF93359">
      <w:pPr>
        <w:adjustRightInd w:val="0"/>
        <w:snapToGrid w:val="0"/>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cs="宋体"/>
          <w:szCs w:val="21"/>
        </w:rPr>
        <w:sym w:font="Wingdings" w:char="F0A8"/>
      </w:r>
      <w:r>
        <w:rPr>
          <w:rFonts w:hint="eastAsia" w:ascii="宋体" w:hAnsi="宋体"/>
          <w:bCs/>
          <w:szCs w:val="21"/>
        </w:rPr>
        <w:t xml:space="preserve">是  </w:t>
      </w:r>
      <w:r>
        <w:rPr>
          <w:rFonts w:ascii="Wingdings" w:hAnsi="Wingdings" w:cs="宋体"/>
          <w:szCs w:val="21"/>
        </w:rPr>
        <w:sym w:font="Wingdings" w:char="F0A8"/>
      </w:r>
      <w:r>
        <w:rPr>
          <w:rFonts w:hint="eastAsia" w:ascii="宋体" w:hAnsi="宋体"/>
          <w:bCs/>
          <w:szCs w:val="21"/>
        </w:rPr>
        <w:t>否</w:t>
      </w:r>
    </w:p>
    <w:p w14:paraId="4C08485F">
      <w:pPr>
        <w:adjustRightInd w:val="0"/>
        <w:snapToGrid w:val="0"/>
        <w:spacing w:line="400" w:lineRule="exact"/>
        <w:ind w:firstLine="840" w:firstLineChars="400"/>
        <w:rPr>
          <w:rFonts w:ascii="宋体" w:hAnsi="宋体"/>
          <w:bCs/>
          <w:szCs w:val="21"/>
        </w:rPr>
      </w:pPr>
      <w:r>
        <w:rPr>
          <w:rFonts w:hint="eastAsia" w:ascii="宋体" w:hAnsi="宋体"/>
          <w:bCs/>
          <w:szCs w:val="21"/>
        </w:rPr>
        <w:t>是否邀请专家参加验收：</w:t>
      </w:r>
      <w:r>
        <w:rPr>
          <w:rFonts w:ascii="Wingdings" w:hAnsi="Wingdings" w:cs="宋体"/>
          <w:szCs w:val="21"/>
        </w:rPr>
        <w:sym w:font="Wingdings" w:char="F0A8"/>
      </w:r>
      <w:r>
        <w:rPr>
          <w:rFonts w:hint="eastAsia" w:ascii="宋体" w:hAnsi="宋体"/>
          <w:bCs/>
          <w:szCs w:val="21"/>
        </w:rPr>
        <w:t xml:space="preserve">是  </w:t>
      </w:r>
      <w:r>
        <w:rPr>
          <w:rFonts w:ascii="Wingdings" w:hAnsi="Wingdings" w:cs="宋体"/>
          <w:szCs w:val="21"/>
        </w:rPr>
        <w:sym w:font="Wingdings" w:char="F0A8"/>
      </w:r>
      <w:r>
        <w:rPr>
          <w:rFonts w:hint="eastAsia" w:ascii="宋体" w:hAnsi="宋体"/>
          <w:bCs/>
          <w:szCs w:val="21"/>
        </w:rPr>
        <w:t>否</w:t>
      </w:r>
    </w:p>
    <w:p w14:paraId="343813F9">
      <w:pPr>
        <w:adjustRightInd w:val="0"/>
        <w:snapToGrid w:val="0"/>
        <w:spacing w:line="400" w:lineRule="exact"/>
        <w:ind w:firstLine="840" w:firstLineChars="400"/>
        <w:rPr>
          <w:rFonts w:ascii="宋体" w:hAnsi="宋体"/>
          <w:bCs/>
          <w:szCs w:val="21"/>
        </w:rPr>
      </w:pPr>
      <w:r>
        <w:rPr>
          <w:rFonts w:hint="eastAsia" w:ascii="宋体" w:hAnsi="宋体"/>
          <w:bCs/>
          <w:szCs w:val="21"/>
        </w:rPr>
        <w:t>是否邀请服务对象参加验收：</w:t>
      </w:r>
      <w:r>
        <w:rPr>
          <w:rFonts w:ascii="Wingdings" w:hAnsi="Wingdings" w:cs="宋体"/>
          <w:szCs w:val="21"/>
        </w:rPr>
        <w:sym w:font="Wingdings" w:char="F0A8"/>
      </w:r>
      <w:r>
        <w:rPr>
          <w:rFonts w:hint="eastAsia" w:ascii="宋体" w:hAnsi="宋体"/>
          <w:bCs/>
          <w:szCs w:val="21"/>
        </w:rPr>
        <w:t xml:space="preserve">是  </w:t>
      </w:r>
      <w:r>
        <w:rPr>
          <w:rFonts w:ascii="Wingdings" w:hAnsi="Wingdings" w:cs="宋体"/>
          <w:szCs w:val="21"/>
        </w:rPr>
        <w:sym w:font="Wingdings" w:char="F0A8"/>
      </w:r>
      <w:r>
        <w:rPr>
          <w:rFonts w:hint="eastAsia" w:ascii="宋体" w:hAnsi="宋体"/>
          <w:bCs/>
          <w:szCs w:val="21"/>
        </w:rPr>
        <w:t>否</w:t>
      </w:r>
    </w:p>
    <w:p w14:paraId="3E69FD01">
      <w:pPr>
        <w:adjustRightInd w:val="0"/>
        <w:snapToGrid w:val="0"/>
        <w:spacing w:line="400" w:lineRule="exact"/>
        <w:ind w:firstLine="840" w:firstLineChars="400"/>
        <w:rPr>
          <w:rFonts w:ascii="宋体" w:hAnsi="宋体"/>
          <w:bCs/>
          <w:szCs w:val="21"/>
        </w:rPr>
      </w:pPr>
      <w:r>
        <w:rPr>
          <w:rFonts w:hint="eastAsia" w:ascii="宋体" w:hAnsi="宋体"/>
          <w:bCs/>
          <w:szCs w:val="21"/>
        </w:rPr>
        <w:t>是否邀请第三方检测机构参加验收：</w:t>
      </w:r>
      <w:r>
        <w:rPr>
          <w:rFonts w:ascii="Wingdings" w:hAnsi="Wingdings" w:cs="宋体"/>
          <w:szCs w:val="21"/>
        </w:rPr>
        <w:sym w:font="Wingdings" w:char="F0A8"/>
      </w:r>
      <w:r>
        <w:rPr>
          <w:rFonts w:hint="eastAsia" w:ascii="宋体" w:hAnsi="宋体"/>
          <w:bCs/>
          <w:szCs w:val="21"/>
        </w:rPr>
        <w:t xml:space="preserve">是  </w:t>
      </w:r>
      <w:r>
        <w:rPr>
          <w:rFonts w:ascii="Wingdings" w:hAnsi="Wingdings" w:cs="宋体"/>
          <w:szCs w:val="21"/>
        </w:rPr>
        <w:sym w:font="Wingdings" w:char="F0A8"/>
      </w:r>
      <w:r>
        <w:rPr>
          <w:rFonts w:hint="eastAsia" w:ascii="宋体" w:hAnsi="宋体"/>
          <w:bCs/>
          <w:szCs w:val="21"/>
        </w:rPr>
        <w:t>否</w:t>
      </w:r>
    </w:p>
    <w:p w14:paraId="48D244EE">
      <w:pPr>
        <w:adjustRightInd w:val="0"/>
        <w:snapToGrid w:val="0"/>
        <w:spacing w:line="400" w:lineRule="exact"/>
        <w:ind w:firstLine="840" w:firstLineChars="400"/>
        <w:rPr>
          <w:rFonts w:ascii="宋体" w:hAnsi="宋体"/>
          <w:bCs/>
          <w:szCs w:val="21"/>
        </w:rPr>
      </w:pPr>
      <w:r>
        <w:rPr>
          <w:rFonts w:hint="eastAsia" w:ascii="宋体" w:hAnsi="宋体"/>
          <w:bCs/>
          <w:szCs w:val="21"/>
        </w:rPr>
        <w:t>是否进行抽查检测：</w:t>
      </w:r>
      <w:r>
        <w:rPr>
          <w:rFonts w:ascii="Wingdings" w:hAnsi="Wingdings" w:cs="宋体"/>
          <w:szCs w:val="21"/>
        </w:rPr>
        <w:sym w:font="Wingdings" w:char="F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cs="宋体"/>
          <w:szCs w:val="21"/>
        </w:rPr>
        <w:sym w:font="Wingdings" w:char="F0A8"/>
      </w:r>
      <w:r>
        <w:rPr>
          <w:rFonts w:hint="eastAsia" w:ascii="宋体" w:hAnsi="宋体"/>
          <w:bCs/>
          <w:szCs w:val="21"/>
        </w:rPr>
        <w:t>否</w:t>
      </w:r>
    </w:p>
    <w:p w14:paraId="44B3AF8D">
      <w:pPr>
        <w:adjustRightInd w:val="0"/>
        <w:snapToGrid w:val="0"/>
        <w:spacing w:line="400" w:lineRule="exact"/>
        <w:ind w:firstLine="840" w:firstLineChars="400"/>
        <w:rPr>
          <w:rFonts w:ascii="宋体" w:hAnsi="宋体"/>
          <w:bCs/>
          <w:szCs w:val="21"/>
          <w:u w:val="single"/>
        </w:rPr>
      </w:pPr>
      <w:r>
        <w:rPr>
          <w:rFonts w:hint="eastAsia" w:ascii="宋体" w:hAnsi="宋体"/>
          <w:bCs/>
          <w:szCs w:val="21"/>
        </w:rPr>
        <w:t>是否存在破坏性检测：</w:t>
      </w:r>
      <w:r>
        <w:rPr>
          <w:rFonts w:ascii="Wingdings" w:hAnsi="Wingdings" w:cs="宋体"/>
          <w:szCs w:val="21"/>
        </w:rPr>
        <w:sym w:font="Wingdings" w:char="F0A8"/>
      </w:r>
      <w:r>
        <w:rPr>
          <w:rFonts w:hint="eastAsia" w:ascii="宋体" w:hAnsi="宋体"/>
          <w:bCs/>
          <w:szCs w:val="21"/>
        </w:rPr>
        <w:t>是，</w:t>
      </w:r>
      <w:r>
        <w:rPr>
          <w:rFonts w:hint="eastAsia" w:ascii="宋体" w:hAnsi="宋体"/>
          <w:bCs/>
          <w:szCs w:val="21"/>
          <w:u w:val="single"/>
        </w:rPr>
        <w:t>（应明确对被破坏的检测产品的处理方式）</w:t>
      </w:r>
    </w:p>
    <w:p w14:paraId="73B65B63">
      <w:pPr>
        <w:adjustRightInd w:val="0"/>
        <w:snapToGrid w:val="0"/>
        <w:spacing w:line="400" w:lineRule="exact"/>
        <w:ind w:firstLine="840" w:firstLineChars="400"/>
        <w:rPr>
          <w:rFonts w:ascii="宋体" w:hAnsi="宋体"/>
          <w:bCs/>
          <w:szCs w:val="21"/>
        </w:rPr>
      </w:pPr>
      <w:r>
        <w:rPr>
          <w:rFonts w:hint="eastAsia" w:ascii="宋体" w:hAnsi="宋体"/>
          <w:bCs/>
          <w:szCs w:val="21"/>
        </w:rPr>
        <w:t xml:space="preserve">                    </w:t>
      </w:r>
      <w:r>
        <w:rPr>
          <w:rFonts w:ascii="Wingdings" w:hAnsi="Wingdings" w:cs="宋体"/>
          <w:szCs w:val="21"/>
        </w:rPr>
        <w:sym w:font="Wingdings" w:char="F0A8"/>
      </w:r>
      <w:r>
        <w:rPr>
          <w:rFonts w:hint="eastAsia" w:ascii="宋体" w:hAnsi="宋体"/>
          <w:bCs/>
          <w:szCs w:val="21"/>
        </w:rPr>
        <w:t>否</w:t>
      </w:r>
    </w:p>
    <w:p w14:paraId="77184FD9">
      <w:pPr>
        <w:adjustRightInd w:val="0"/>
        <w:snapToGrid w:val="0"/>
        <w:spacing w:line="400" w:lineRule="exact"/>
        <w:ind w:firstLine="840" w:firstLineChars="400"/>
        <w:rPr>
          <w:rFonts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41632C2A">
      <w:pPr>
        <w:adjustRightInd w:val="0"/>
        <w:snapToGrid w:val="0"/>
        <w:spacing w:line="400" w:lineRule="exact"/>
        <w:ind w:firstLine="420" w:firstLineChars="20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16291528">
      <w:pPr>
        <w:adjustRightInd w:val="0"/>
        <w:snapToGrid w:val="0"/>
        <w:spacing w:line="400" w:lineRule="exact"/>
        <w:ind w:firstLine="420" w:firstLineChars="200"/>
        <w:rPr>
          <w:rFonts w:ascii="宋体" w:hAnsi="宋体"/>
          <w:bCs/>
          <w:szCs w:val="21"/>
        </w:rPr>
      </w:pPr>
      <w:r>
        <w:rPr>
          <w:rFonts w:hint="eastAsia" w:ascii="宋体" w:hAnsi="宋体"/>
          <w:bCs/>
          <w:szCs w:val="21"/>
        </w:rPr>
        <w:t>（3）履约验收方式：</w:t>
      </w:r>
      <w:r>
        <w:rPr>
          <w:rFonts w:ascii="Wingdings" w:hAnsi="Wingdings" w:cs="宋体"/>
          <w:szCs w:val="21"/>
        </w:rPr>
        <w:sym w:font="Wingdings" w:char="F0A8"/>
      </w:r>
      <w:r>
        <w:rPr>
          <w:rFonts w:hint="eastAsia" w:ascii="宋体" w:hAnsi="宋体"/>
          <w:bCs/>
          <w:szCs w:val="21"/>
        </w:rPr>
        <w:t xml:space="preserve">一次性验收         </w:t>
      </w:r>
    </w:p>
    <w:p w14:paraId="023ADA80">
      <w:pPr>
        <w:adjustRightInd w:val="0"/>
        <w:snapToGrid w:val="0"/>
        <w:spacing w:line="400" w:lineRule="exact"/>
        <w:rPr>
          <w:rFonts w:ascii="宋体" w:hAnsi="宋体"/>
          <w:bCs/>
          <w:szCs w:val="21"/>
        </w:rPr>
      </w:pPr>
      <w:r>
        <w:rPr>
          <w:rFonts w:hint="eastAsia" w:ascii="宋体" w:hAnsi="宋体"/>
          <w:bCs/>
          <w:szCs w:val="21"/>
        </w:rPr>
        <w:t xml:space="preserve">                       </w:t>
      </w:r>
      <w:r>
        <w:rPr>
          <w:rFonts w:ascii="Wingdings" w:hAnsi="Wingdings" w:cs="宋体"/>
          <w:szCs w:val="21"/>
        </w:rPr>
        <w:sym w:font="Wingdings" w:char="F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rPr>
        <w:t>/</w:t>
      </w:r>
      <w:r>
        <w:rPr>
          <w:rFonts w:hint="eastAsia" w:ascii="宋体" w:hAnsi="宋体"/>
          <w:bCs/>
          <w:szCs w:val="21"/>
          <w:u w:val="single"/>
        </w:rPr>
        <w:t xml:space="preserve">分项验收的工作安排）  </w:t>
      </w:r>
    </w:p>
    <w:p w14:paraId="26B12ADA">
      <w:pPr>
        <w:adjustRightInd w:val="0"/>
        <w:snapToGrid w:val="0"/>
        <w:spacing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52B0240C">
      <w:pPr>
        <w:adjustRightInd w:val="0"/>
        <w:snapToGrid w:val="0"/>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6BE13416">
      <w:pPr>
        <w:adjustRightInd w:val="0"/>
        <w:snapToGrid w:val="0"/>
        <w:spacing w:line="400" w:lineRule="exact"/>
        <w:ind w:firstLine="420" w:firstLineChars="200"/>
        <w:rPr>
          <w:rFonts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6B8BE40A">
      <w:pPr>
        <w:autoSpaceDE w:val="0"/>
        <w:autoSpaceDN w:val="0"/>
        <w:adjustRightInd w:val="0"/>
        <w:spacing w:line="400" w:lineRule="exact"/>
        <w:ind w:firstLine="420" w:firstLineChars="200"/>
        <w:rPr>
          <w:rFonts w:ascii="宋体" w:hAnsi="宋体" w:cs="宋体"/>
          <w:szCs w:val="21"/>
        </w:rPr>
      </w:pPr>
      <w:r>
        <w:rPr>
          <w:rFonts w:hint="eastAsia" w:ascii="宋体" w:hAnsi="宋体" w:cs="宋体"/>
          <w:bCs/>
          <w:szCs w:val="21"/>
        </w:rPr>
        <w:t>（7）是否以采购活动中供应商提供的样品作为参考：</w:t>
      </w:r>
      <w:r>
        <w:rPr>
          <w:rFonts w:ascii="Wingdings" w:hAnsi="Wingdings" w:cs="宋体"/>
          <w:szCs w:val="21"/>
        </w:rPr>
        <w:sym w:font="Wingdings" w:char="F0A8"/>
      </w:r>
      <w:r>
        <w:rPr>
          <w:rFonts w:hint="eastAsia" w:ascii="宋体" w:hAnsi="宋体" w:cs="宋体"/>
          <w:bCs/>
          <w:szCs w:val="21"/>
        </w:rPr>
        <w:t xml:space="preserve">是  </w:t>
      </w:r>
      <w:r>
        <w:rPr>
          <w:rFonts w:ascii="Wingdings" w:hAnsi="Wingdings" w:cs="宋体"/>
          <w:szCs w:val="21"/>
        </w:rPr>
        <w:sym w:font="Wingdings" w:char="F0A8"/>
      </w:r>
      <w:r>
        <w:rPr>
          <w:rFonts w:hint="eastAsia" w:ascii="宋体" w:hAnsi="宋体" w:cs="宋体"/>
          <w:bCs/>
          <w:szCs w:val="21"/>
        </w:rPr>
        <w:t>否</w:t>
      </w:r>
    </w:p>
    <w:p w14:paraId="228918AE">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1639742C">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组成合同的文件</w:t>
      </w:r>
    </w:p>
    <w:p w14:paraId="789B4B39">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5AC14E89">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4F81E228">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464B1F51">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5084F6E7">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1F1C01C3">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6A663A47">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1F4B9018">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1B6843AA">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（8）</w:t>
      </w:r>
      <w:r>
        <w:rPr>
          <w:rFonts w:hint="eastAsia" w:ascii="宋体" w:hAnsi="宋体" w:cs="宋体"/>
          <w:color w:val="000000"/>
          <w:szCs w:val="21"/>
        </w:rPr>
        <w:t>国家法律、行政法规和规章制度规定或合同约定的作为合同组成部分的其他文件</w:t>
      </w:r>
    </w:p>
    <w:p w14:paraId="539D541E">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合同生效</w:t>
      </w:r>
    </w:p>
    <w:p w14:paraId="0F6B4660">
      <w:pPr>
        <w:adjustRightInd w:val="0"/>
        <w:snapToGrid w:val="0"/>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0345C117">
      <w:pPr>
        <w:numPr>
          <w:ilvl w:val="0"/>
          <w:numId w:val="2"/>
        </w:numPr>
        <w:adjustRightInd w:val="0"/>
        <w:snapToGrid w:val="0"/>
        <w:spacing w:line="400" w:lineRule="exact"/>
        <w:ind w:firstLine="422" w:firstLineChars="200"/>
        <w:rPr>
          <w:rFonts w:ascii="宋体" w:hAnsi="宋体"/>
          <w:b/>
          <w:szCs w:val="21"/>
        </w:rPr>
      </w:pPr>
      <w:r>
        <w:rPr>
          <w:rFonts w:hint="eastAsia" w:ascii="宋体" w:hAnsi="宋体"/>
          <w:b/>
          <w:szCs w:val="21"/>
        </w:rPr>
        <w:t>合同份数</w:t>
      </w:r>
    </w:p>
    <w:p w14:paraId="4F123A9D">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36B339BF">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81499C5">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75B66822">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0CD44A37">
      <w:r>
        <w:rPr>
          <w:rFonts w:hint="eastAsia"/>
        </w:rPr>
        <w:br w:type="page"/>
      </w:r>
    </w:p>
    <w:p w14:paraId="185D31D8">
      <w:pPr>
        <w:ind w:firstLine="420" w:firstLineChars="200"/>
        <w:rPr>
          <w:szCs w:val="21"/>
        </w:rPr>
      </w:pPr>
    </w:p>
    <w:tbl>
      <w:tblPr>
        <w:tblStyle w:val="21"/>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6757AA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2DD2805C">
            <w:pPr>
              <w:keepNext w:val="0"/>
              <w:keepLines w:val="0"/>
              <w:suppressLineNumbers w:val="0"/>
              <w:adjustRightInd w:val="0"/>
              <w:snapToGrid w:val="0"/>
              <w:spacing w:before="0" w:beforeAutospacing="0" w:after="0" w:afterAutospacing="0" w:line="300" w:lineRule="exact"/>
              <w:ind w:left="0" w:right="0"/>
              <w:jc w:val="center"/>
              <w:rPr>
                <w:rFonts w:hint="default"/>
              </w:rPr>
            </w:pPr>
            <w:r>
              <w:rPr>
                <w:rFonts w:hint="default"/>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4095" w:type="dxa"/>
            <w:gridSpan w:val="2"/>
            <w:tcBorders>
              <w:left w:val="single" w:color="auto" w:sz="2" w:space="0"/>
              <w:bottom w:val="single" w:color="auto" w:sz="2" w:space="0"/>
            </w:tcBorders>
            <w:vAlign w:val="center"/>
          </w:tcPr>
          <w:p w14:paraId="2DB842BA">
            <w:pPr>
              <w:keepNext w:val="0"/>
              <w:keepLines w:val="0"/>
              <w:suppressLineNumbers w:val="0"/>
              <w:adjustRightInd w:val="0"/>
              <w:snapToGrid w:val="0"/>
              <w:spacing w:before="0" w:beforeAutospacing="0" w:after="0" w:afterAutospacing="0" w:line="300" w:lineRule="exact"/>
              <w:ind w:left="0" w:right="0"/>
              <w:jc w:val="center"/>
              <w:rPr>
                <w:rFonts w:hint="default"/>
              </w:rPr>
            </w:pPr>
            <w:r>
              <w:rPr>
                <w:rFonts w:hint="default"/>
                <w:szCs w:val="21"/>
              </w:rPr>
              <w:t>乙方</w:t>
            </w:r>
            <w:r>
              <w:rPr>
                <w:rFonts w:hint="eastAsia"/>
                <w:szCs w:val="21"/>
              </w:rPr>
              <w:t>（供应商）</w:t>
            </w:r>
          </w:p>
        </w:tc>
      </w:tr>
      <w:tr w14:paraId="031BDB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6FD0AEEF">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单位名称</w:t>
            </w:r>
            <w:r>
              <w:rPr>
                <w:rFonts w:hint="eastAsia"/>
                <w:szCs w:val="21"/>
              </w:rPr>
              <w:t>（公章或合同章）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40A1D5C6">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9616AE2">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单位名称</w:t>
            </w:r>
            <w:r>
              <w:rPr>
                <w:rFonts w:hint="eastAsia"/>
                <w:szCs w:val="21"/>
              </w:rPr>
              <w:t>（公章或合同章）</w:t>
            </w:r>
          </w:p>
        </w:tc>
        <w:tc>
          <w:tcPr>
            <w:tcW w:w="2116" w:type="dxa"/>
            <w:tcBorders>
              <w:top w:val="single" w:color="auto" w:sz="2" w:space="0"/>
              <w:left w:val="single" w:color="auto" w:sz="2" w:space="0"/>
              <w:bottom w:val="single" w:color="auto" w:sz="2" w:space="0"/>
            </w:tcBorders>
            <w:vAlign w:val="center"/>
          </w:tcPr>
          <w:p w14:paraId="095E601D">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16B38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5F60B7B5">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法定代表人</w:t>
            </w:r>
          </w:p>
          <w:p w14:paraId="4D978B0C">
            <w:pPr>
              <w:keepNext w:val="0"/>
              <w:keepLines w:val="0"/>
              <w:suppressLineNumbers w:val="0"/>
              <w:adjustRightInd w:val="0"/>
              <w:snapToGrid w:val="0"/>
              <w:spacing w:before="0" w:beforeAutospacing="0" w:after="0" w:afterAutospacing="0" w:line="300" w:lineRule="exact"/>
              <w:ind w:left="0" w:right="0" w:firstLine="100" w:firstLineChars="48"/>
              <w:jc w:val="center"/>
              <w:rPr>
                <w:rFonts w:hint="default"/>
                <w:szCs w:val="21"/>
              </w:rPr>
            </w:pPr>
            <w:r>
              <w:rPr>
                <w:rFonts w:hint="eastAsia"/>
                <w:szCs w:val="21"/>
              </w:rPr>
              <w:t>或其</w:t>
            </w:r>
            <w:r>
              <w:rPr>
                <w:rFonts w:hint="default"/>
                <w:szCs w:val="21"/>
              </w:rPr>
              <w:t>委托代理人</w:t>
            </w:r>
            <w:r>
              <w:rPr>
                <w:rFonts w:hint="eastAsia"/>
                <w:szCs w:val="21"/>
              </w:rPr>
              <w:t>（签章）</w:t>
            </w:r>
          </w:p>
        </w:tc>
        <w:tc>
          <w:tcPr>
            <w:tcW w:w="2412" w:type="dxa"/>
            <w:vMerge w:val="restart"/>
            <w:tcBorders>
              <w:top w:val="single" w:color="auto" w:sz="2" w:space="0"/>
              <w:left w:val="single" w:color="auto" w:sz="2" w:space="0"/>
              <w:right w:val="single" w:color="auto" w:sz="2" w:space="0"/>
            </w:tcBorders>
            <w:vAlign w:val="center"/>
          </w:tcPr>
          <w:p w14:paraId="4D4A347C">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right w:val="single" w:color="auto" w:sz="2" w:space="0"/>
            </w:tcBorders>
            <w:vAlign w:val="center"/>
          </w:tcPr>
          <w:p w14:paraId="3040F675">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法定代表人</w:t>
            </w:r>
          </w:p>
          <w:p w14:paraId="3CCCC401">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或其</w:t>
            </w:r>
            <w:r>
              <w:rPr>
                <w:rFonts w:hint="default"/>
                <w:szCs w:val="21"/>
              </w:rPr>
              <w:t>委托代理人</w:t>
            </w:r>
            <w:r>
              <w:rPr>
                <w:rFonts w:hint="eastAsia"/>
                <w:szCs w:val="21"/>
              </w:rPr>
              <w:t>（签章）</w:t>
            </w:r>
          </w:p>
        </w:tc>
        <w:tc>
          <w:tcPr>
            <w:tcW w:w="2116" w:type="dxa"/>
            <w:tcBorders>
              <w:top w:val="single" w:color="auto" w:sz="2" w:space="0"/>
              <w:left w:val="single" w:color="auto" w:sz="2" w:space="0"/>
              <w:bottom w:val="single" w:color="auto" w:sz="2" w:space="0"/>
            </w:tcBorders>
            <w:vAlign w:val="center"/>
          </w:tcPr>
          <w:p w14:paraId="6F930736">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r>
      <w:tr w14:paraId="1DBED6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76D34936">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2412" w:type="dxa"/>
            <w:vMerge w:val="continue"/>
            <w:tcBorders>
              <w:left w:val="single" w:color="auto" w:sz="2" w:space="0"/>
              <w:bottom w:val="single" w:color="auto" w:sz="2" w:space="0"/>
              <w:right w:val="single" w:color="auto" w:sz="2" w:space="0"/>
            </w:tcBorders>
            <w:vAlign w:val="center"/>
          </w:tcPr>
          <w:p w14:paraId="31BF3D22">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FD1FB1D">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拥有者性别</w:t>
            </w:r>
          </w:p>
        </w:tc>
        <w:tc>
          <w:tcPr>
            <w:tcW w:w="2116" w:type="dxa"/>
            <w:tcBorders>
              <w:top w:val="single" w:color="auto" w:sz="2" w:space="0"/>
              <w:left w:val="single" w:color="auto" w:sz="2" w:space="0"/>
              <w:bottom w:val="single" w:color="auto" w:sz="2" w:space="0"/>
            </w:tcBorders>
            <w:vAlign w:val="center"/>
          </w:tcPr>
          <w:p w14:paraId="05B6CC61">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453B3F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8424B7D">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43C7F046">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023EDB5E">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住  所</w:t>
            </w:r>
          </w:p>
        </w:tc>
        <w:tc>
          <w:tcPr>
            <w:tcW w:w="2116" w:type="dxa"/>
            <w:tcBorders>
              <w:top w:val="single" w:color="auto" w:sz="2" w:space="0"/>
              <w:left w:val="single" w:color="auto" w:sz="2" w:space="0"/>
              <w:bottom w:val="single" w:color="auto" w:sz="2" w:space="0"/>
            </w:tcBorders>
            <w:vAlign w:val="center"/>
          </w:tcPr>
          <w:p w14:paraId="0A396AC3">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4F722C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662A256">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5BB158E3">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4E72E57C">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联 系 人</w:t>
            </w:r>
          </w:p>
        </w:tc>
        <w:tc>
          <w:tcPr>
            <w:tcW w:w="2116" w:type="dxa"/>
            <w:tcBorders>
              <w:top w:val="single" w:color="auto" w:sz="2" w:space="0"/>
              <w:left w:val="single" w:color="auto" w:sz="2" w:space="0"/>
              <w:bottom w:val="single" w:color="auto" w:sz="2" w:space="0"/>
            </w:tcBorders>
            <w:vAlign w:val="center"/>
          </w:tcPr>
          <w:p w14:paraId="365367C9">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70CED3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2220607">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2F4BFFA7">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5AE1D320">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联系电话</w:t>
            </w:r>
          </w:p>
        </w:tc>
        <w:tc>
          <w:tcPr>
            <w:tcW w:w="2116" w:type="dxa"/>
            <w:tcBorders>
              <w:top w:val="single" w:color="auto" w:sz="2" w:space="0"/>
              <w:left w:val="single" w:color="auto" w:sz="2" w:space="0"/>
              <w:bottom w:val="single" w:color="auto" w:sz="2" w:space="0"/>
            </w:tcBorders>
            <w:vAlign w:val="center"/>
          </w:tcPr>
          <w:p w14:paraId="3DF1064D">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665749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2E2FB97">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48AEA0F3">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BFA0F3A">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通信地址</w:t>
            </w:r>
          </w:p>
        </w:tc>
        <w:tc>
          <w:tcPr>
            <w:tcW w:w="2116" w:type="dxa"/>
            <w:tcBorders>
              <w:top w:val="single" w:color="auto" w:sz="2" w:space="0"/>
              <w:left w:val="single" w:color="auto" w:sz="2" w:space="0"/>
              <w:bottom w:val="single" w:color="auto" w:sz="2" w:space="0"/>
            </w:tcBorders>
            <w:vAlign w:val="center"/>
          </w:tcPr>
          <w:p w14:paraId="4271F960">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7DD629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498B8F7">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306EF1BB">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5B0C7EC">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邮政编码</w:t>
            </w:r>
          </w:p>
        </w:tc>
        <w:tc>
          <w:tcPr>
            <w:tcW w:w="2116" w:type="dxa"/>
            <w:tcBorders>
              <w:top w:val="single" w:color="auto" w:sz="2" w:space="0"/>
              <w:left w:val="single" w:color="auto" w:sz="2" w:space="0"/>
              <w:bottom w:val="single" w:color="auto" w:sz="2" w:space="0"/>
            </w:tcBorders>
            <w:vAlign w:val="center"/>
          </w:tcPr>
          <w:p w14:paraId="7A877FD2">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65676A6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66B37DB">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333B594D">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D3B5A5B">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电子邮箱</w:t>
            </w:r>
          </w:p>
        </w:tc>
        <w:tc>
          <w:tcPr>
            <w:tcW w:w="2116" w:type="dxa"/>
            <w:tcBorders>
              <w:top w:val="single" w:color="auto" w:sz="2" w:space="0"/>
              <w:left w:val="single" w:color="auto" w:sz="2" w:space="0"/>
              <w:bottom w:val="single" w:color="auto" w:sz="2" w:space="0"/>
            </w:tcBorders>
            <w:vAlign w:val="center"/>
          </w:tcPr>
          <w:p w14:paraId="1BFE93D6">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50EFC49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F063FB7">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1744479F">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590ACC0E">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eastAsia"/>
                <w:szCs w:val="21"/>
              </w:rPr>
              <w:t>统一社会信用代码</w:t>
            </w:r>
          </w:p>
        </w:tc>
        <w:tc>
          <w:tcPr>
            <w:tcW w:w="2116" w:type="dxa"/>
            <w:tcBorders>
              <w:top w:val="single" w:color="auto" w:sz="2" w:space="0"/>
              <w:left w:val="single" w:color="auto" w:sz="2" w:space="0"/>
              <w:bottom w:val="single" w:color="auto" w:sz="2" w:space="0"/>
            </w:tcBorders>
            <w:vAlign w:val="center"/>
          </w:tcPr>
          <w:p w14:paraId="4041AD95">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76204F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871753A">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70EA032A">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7EC0CE7">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开户名称</w:t>
            </w:r>
          </w:p>
        </w:tc>
        <w:tc>
          <w:tcPr>
            <w:tcW w:w="2116" w:type="dxa"/>
            <w:tcBorders>
              <w:top w:val="single" w:color="auto" w:sz="2" w:space="0"/>
              <w:left w:val="single" w:color="auto" w:sz="2" w:space="0"/>
              <w:bottom w:val="single" w:color="auto" w:sz="2" w:space="0"/>
            </w:tcBorders>
            <w:vAlign w:val="center"/>
          </w:tcPr>
          <w:p w14:paraId="44C20857">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4C83FB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6803E958">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1660C545">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5E0DECBA">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开户银行</w:t>
            </w:r>
          </w:p>
        </w:tc>
        <w:tc>
          <w:tcPr>
            <w:tcW w:w="2116" w:type="dxa"/>
            <w:tcBorders>
              <w:top w:val="single" w:color="auto" w:sz="2" w:space="0"/>
              <w:left w:val="single" w:color="auto" w:sz="2" w:space="0"/>
              <w:bottom w:val="single" w:color="auto" w:sz="2" w:space="0"/>
            </w:tcBorders>
            <w:vAlign w:val="center"/>
          </w:tcPr>
          <w:p w14:paraId="05E96BF2">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116E22A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C75121C">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44DB753F">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5F7E6B27">
            <w:pPr>
              <w:keepNext w:val="0"/>
              <w:keepLines w:val="0"/>
              <w:suppressLineNumbers w:val="0"/>
              <w:adjustRightInd w:val="0"/>
              <w:snapToGrid w:val="0"/>
              <w:spacing w:before="0" w:beforeAutospacing="0" w:after="0" w:afterAutospacing="0" w:line="300" w:lineRule="exact"/>
              <w:ind w:left="0" w:right="0"/>
              <w:jc w:val="center"/>
              <w:rPr>
                <w:rFonts w:hint="default"/>
                <w:szCs w:val="21"/>
              </w:rPr>
            </w:pPr>
            <w:r>
              <w:rPr>
                <w:rFonts w:hint="default"/>
                <w:szCs w:val="21"/>
              </w:rPr>
              <w:t>银行账号</w:t>
            </w:r>
          </w:p>
        </w:tc>
        <w:tc>
          <w:tcPr>
            <w:tcW w:w="2116" w:type="dxa"/>
            <w:tcBorders>
              <w:top w:val="single" w:color="auto" w:sz="2" w:space="0"/>
              <w:left w:val="single" w:color="auto" w:sz="2" w:space="0"/>
              <w:bottom w:val="single" w:color="auto" w:sz="2" w:space="0"/>
            </w:tcBorders>
            <w:vAlign w:val="center"/>
          </w:tcPr>
          <w:p w14:paraId="5B7B6F2E">
            <w:pPr>
              <w:keepNext w:val="0"/>
              <w:keepLines w:val="0"/>
              <w:suppressLineNumbers w:val="0"/>
              <w:adjustRightInd w:val="0"/>
              <w:snapToGrid w:val="0"/>
              <w:spacing w:before="0" w:beforeAutospacing="0" w:after="0" w:afterAutospacing="0" w:line="300" w:lineRule="exact"/>
              <w:ind w:left="0" w:right="0"/>
              <w:jc w:val="center"/>
              <w:rPr>
                <w:rFonts w:hint="default"/>
                <w:spacing w:val="20"/>
                <w:szCs w:val="21"/>
              </w:rPr>
            </w:pPr>
          </w:p>
        </w:tc>
      </w:tr>
      <w:tr w14:paraId="5EAB00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12ED1445">
            <w:pPr>
              <w:keepNext w:val="0"/>
              <w:keepLines w:val="0"/>
              <w:suppressLineNumbers w:val="0"/>
              <w:adjustRightInd w:val="0"/>
              <w:snapToGrid w:val="0"/>
              <w:spacing w:before="120" w:beforeLines="50" w:beforeAutospacing="0" w:after="0" w:afterAutospacing="0" w:line="360" w:lineRule="auto"/>
              <w:ind w:left="0" w:right="0"/>
              <w:jc w:val="left"/>
              <w:rPr>
                <w:rFonts w:hint="default"/>
                <w:spacing w:val="20"/>
                <w:szCs w:val="21"/>
              </w:rPr>
            </w:pPr>
            <w:r>
              <w:rPr>
                <w:rFonts w:hint="eastAsia" w:ascii="宋体" w:hAnsi="宋体"/>
                <w:szCs w:val="21"/>
              </w:rPr>
              <w:t>注：涉及联合体或其他合同主体的信息应按上表格式加列。</w:t>
            </w:r>
          </w:p>
        </w:tc>
      </w:tr>
    </w:tbl>
    <w:p w14:paraId="4B6587CA">
      <w:pPr>
        <w:keepNext/>
        <w:keepLines/>
        <w:adjustRightInd w:val="0"/>
        <w:snapToGrid w:val="0"/>
        <w:spacing w:before="120" w:beforeLines="50" w:line="360" w:lineRule="auto"/>
        <w:jc w:val="center"/>
        <w:outlineLvl w:val="1"/>
        <w:rPr>
          <w:rFonts w:ascii="黑体" w:hAnsi="黑体" w:eastAsia="黑体"/>
          <w:b/>
          <w:bCs/>
          <w:sz w:val="28"/>
          <w:szCs w:val="28"/>
        </w:rPr>
      </w:pPr>
      <w:r>
        <w:rPr>
          <w:rFonts w:ascii="宋体" w:hAnsi="宋体"/>
          <w:b/>
          <w:bCs/>
          <w:szCs w:val="21"/>
          <w:u w:val="single"/>
        </w:rPr>
        <w:br w:type="page"/>
      </w:r>
      <w:bookmarkStart w:id="80" w:name="_Toc27624"/>
      <w:r>
        <w:rPr>
          <w:rFonts w:hint="eastAsia" w:ascii="黑体" w:hAnsi="黑体" w:eastAsia="黑体"/>
          <w:sz w:val="28"/>
          <w:szCs w:val="28"/>
        </w:rPr>
        <w:t>第二节 政府采购合同通用条款</w:t>
      </w:r>
      <w:bookmarkEnd w:id="80"/>
    </w:p>
    <w:p w14:paraId="1D288675">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399BC78B">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1.1合同当事人</w:t>
      </w:r>
    </w:p>
    <w:p w14:paraId="7C3693C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6120623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3C702A3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04B86942">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4EC45F2D">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1C3E409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79CEF69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rPr>
        <w:t>其他</w:t>
      </w:r>
      <w:r>
        <w:rPr>
          <w:rFonts w:hint="eastAsia" w:ascii="宋体" w:hAnsi="宋体"/>
          <w:color w:val="000000"/>
          <w:szCs w:val="21"/>
        </w:rPr>
        <w:t>技术资料和材料等。</w:t>
      </w:r>
    </w:p>
    <w:p w14:paraId="7ADB33E9">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rPr>
        <w:t>其他</w:t>
      </w:r>
      <w:r>
        <w:rPr>
          <w:rFonts w:hint="eastAsia" w:ascii="宋体" w:hAnsi="宋体"/>
          <w:color w:val="000000"/>
          <w:szCs w:val="21"/>
        </w:rPr>
        <w:t>义务。</w:t>
      </w:r>
    </w:p>
    <w:p w14:paraId="5BEC0C68">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49B6CBD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1EE2711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21CCD4D0">
      <w:pPr>
        <w:numPr>
          <w:ilvl w:val="0"/>
          <w:numId w:val="5"/>
        </w:numPr>
        <w:autoSpaceDE w:val="0"/>
        <w:autoSpaceDN w:val="0"/>
        <w:adjustRightInd w:val="0"/>
        <w:snapToGrid w:val="0"/>
        <w:spacing w:line="400" w:lineRule="exact"/>
        <w:jc w:val="left"/>
        <w:rPr>
          <w:rFonts w:ascii="宋体" w:hAnsi="宋体"/>
          <w:b/>
          <w:bCs/>
          <w:color w:val="000000"/>
          <w:sz w:val="24"/>
        </w:rPr>
      </w:pPr>
      <w:r>
        <w:rPr>
          <w:rFonts w:hint="eastAsia" w:ascii="宋体" w:hAnsi="宋体"/>
          <w:b/>
          <w:color w:val="000000"/>
          <w:sz w:val="24"/>
        </w:rPr>
        <w:t>合同标的及金额</w:t>
      </w:r>
    </w:p>
    <w:p w14:paraId="37A57C68">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rPr>
        <w:t>其他</w:t>
      </w:r>
      <w:r>
        <w:rPr>
          <w:rFonts w:hint="eastAsia" w:ascii="宋体" w:hAnsi="宋体"/>
          <w:color w:val="000000"/>
          <w:szCs w:val="21"/>
        </w:rPr>
        <w:t>任何费用。</w:t>
      </w:r>
    </w:p>
    <w:p w14:paraId="69D0A34D">
      <w:pPr>
        <w:adjustRightInd w:val="0"/>
        <w:snapToGrid w:val="0"/>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4CECEFF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54AA234C">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44FAD8C1">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7755092C">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735DCB42">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5BBD4464">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4D0654C0">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51A49DE3">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418FB96F">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60E3274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2069EFE2">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4A29368C">
      <w:pPr>
        <w:spacing w:line="400" w:lineRule="exact"/>
        <w:ind w:firstLine="369" w:firstLineChars="176"/>
        <w:rPr>
          <w:rFonts w:ascii="宋体" w:hAnsi="宋体" w:cs="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w:t>
      </w:r>
      <w:r>
        <w:rPr>
          <w:rFonts w:hint="eastAsia" w:ascii="宋体" w:hAnsi="宋体" w:cs="宋体"/>
          <w:color w:val="000000"/>
          <w:szCs w:val="21"/>
        </w:rPr>
        <w:t>根据合同约定向甲方收取合同价款。</w:t>
      </w:r>
    </w:p>
    <w:p w14:paraId="38836D8F">
      <w:pPr>
        <w:spacing w:line="400" w:lineRule="exact"/>
        <w:ind w:firstLine="369" w:firstLineChars="176"/>
        <w:rPr>
          <w:rFonts w:ascii="宋体" w:hAnsi="宋体" w:cs="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s="宋体"/>
          <w:color w:val="000000"/>
          <w:szCs w:val="21"/>
        </w:rPr>
        <w:t>国家法律法规规定</w:t>
      </w:r>
      <w:r>
        <w:rPr>
          <w:rFonts w:hint="eastAsia" w:ascii="宋体" w:hAnsi="宋体"/>
          <w:color w:val="000000"/>
          <w:szCs w:val="21"/>
        </w:rPr>
        <w:t>及</w:t>
      </w:r>
      <w:r>
        <w:rPr>
          <w:rFonts w:hint="eastAsia" w:ascii="宋体" w:hAnsi="宋体" w:cs="宋体"/>
          <w:b/>
          <w:bCs/>
          <w:szCs w:val="21"/>
        </w:rPr>
        <w:t>【政府采购合同专用条款】</w:t>
      </w:r>
      <w:r>
        <w:rPr>
          <w:rFonts w:hint="eastAsia" w:ascii="宋体" w:hAnsi="宋体" w:cs="宋体"/>
          <w:szCs w:val="21"/>
        </w:rPr>
        <w:t>约定应</w:t>
      </w:r>
      <w:r>
        <w:rPr>
          <w:rFonts w:hint="eastAsia" w:ascii="宋体" w:hAnsi="宋体" w:cs="宋体"/>
          <w:color w:val="000000"/>
          <w:szCs w:val="21"/>
        </w:rPr>
        <w:t>由乙方承担的其他义务和责任。</w:t>
      </w:r>
    </w:p>
    <w:p w14:paraId="44844F16">
      <w:pPr>
        <w:numPr>
          <w:ilvl w:val="0"/>
          <w:numId w:val="6"/>
        </w:num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合同履行</w:t>
      </w:r>
    </w:p>
    <w:p w14:paraId="2AB466C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287A7BC0">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9F85379">
      <w:pPr>
        <w:adjustRightInd w:val="0"/>
        <w:snapToGrid w:val="0"/>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25C201B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0E9E9593">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622ABA60">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318E10C8">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1DF18F4">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291CA2E2">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color w:val="000000"/>
          <w:szCs w:val="21"/>
        </w:rPr>
        <w:t>7.6 如因包装、运输问题导致货物损毁、丢失或者品质下降，甲方有权要求降价、换货、拒收部分或整批货物，由此产生的费用和损失，均由乙方承担。</w:t>
      </w:r>
    </w:p>
    <w:p w14:paraId="6EC7654F">
      <w:pPr>
        <w:adjustRightInd w:val="0"/>
        <w:snapToGrid w:val="0"/>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5249974D">
      <w:pPr>
        <w:adjustRightInd w:val="0"/>
        <w:snapToGrid w:val="0"/>
        <w:spacing w:line="400" w:lineRule="exact"/>
        <w:ind w:firstLine="420" w:firstLineChars="200"/>
        <w:jc w:val="left"/>
        <w:rPr>
          <w:rFonts w:ascii="宋体" w:hAnsi="宋体" w:cs="Courier New"/>
          <w:b/>
          <w:szCs w:val="21"/>
        </w:rPr>
      </w:pPr>
      <w:r>
        <w:rPr>
          <w:rFonts w:hint="eastAsia" w:ascii="宋体" w:hAnsi="宋体" w:cs="Courier New"/>
          <w:szCs w:val="21"/>
        </w:rPr>
        <w:t>8.1 质量标准</w:t>
      </w:r>
    </w:p>
    <w:p w14:paraId="2CE8D95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1C25354">
      <w:pPr>
        <w:adjustRightInd w:val="0"/>
        <w:snapToGrid w:val="0"/>
        <w:spacing w:line="400" w:lineRule="exact"/>
        <w:ind w:firstLine="420" w:firstLineChars="200"/>
        <w:jc w:val="left"/>
        <w:rPr>
          <w:rFonts w:ascii="宋体" w:hAnsi="宋体" w:cs="Courier New"/>
          <w:szCs w:val="21"/>
        </w:rPr>
      </w:pPr>
      <w:r>
        <w:rPr>
          <w:rFonts w:hint="eastAsia" w:ascii="宋体" w:hAnsi="宋体" w:cs="Courier New"/>
          <w:szCs w:val="21"/>
        </w:rPr>
        <w:t>（2）采用中华人民共和国法定计量单位。</w:t>
      </w:r>
    </w:p>
    <w:p w14:paraId="7B05248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3581FBD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0AF965B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2173954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14E003C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3C1097D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27A49D2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730A38CA">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43D6B359">
      <w:pPr>
        <w:adjustRightInd w:val="0"/>
        <w:snapToGrid w:val="0"/>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2324B7B0">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9.1 乙方保证对其出售的货物享有合法的权利。</w:t>
      </w:r>
    </w:p>
    <w:p w14:paraId="7C61F41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4E1A22C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223818C8">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10. 知识产权保护</w:t>
      </w:r>
    </w:p>
    <w:p w14:paraId="48E9B0A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81"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81"/>
      <w:r>
        <w:rPr>
          <w:rFonts w:hint="eastAsia" w:ascii="宋体" w:hAnsi="宋体"/>
          <w:szCs w:val="21"/>
        </w:rPr>
        <w:t>。</w:t>
      </w:r>
    </w:p>
    <w:p w14:paraId="4789A3B7">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489C7DE0">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30D4106">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4C687D97">
      <w:pPr>
        <w:adjustRightInd w:val="0"/>
        <w:snapToGrid w:val="0"/>
        <w:spacing w:line="400" w:lineRule="exact"/>
        <w:ind w:firstLine="420" w:firstLineChars="200"/>
        <w:jc w:val="left"/>
        <w:rPr>
          <w:rFonts w:ascii="宋体" w:hAnsi="宋体"/>
          <w:szCs w:val="21"/>
        </w:rPr>
      </w:pPr>
      <w:r>
        <w:rPr>
          <w:rFonts w:hint="eastAsia" w:ascii="宋体" w:hAnsi="宋体"/>
          <w:szCs w:val="21"/>
        </w:rPr>
        <w:t>12.1 合同价款支付按照国库集中支付制度及财政管理相关规定执行。</w:t>
      </w:r>
    </w:p>
    <w:p w14:paraId="5AB24B9C">
      <w:pPr>
        <w:keepNext/>
        <w:keepLines/>
        <w:spacing w:line="400" w:lineRule="exact"/>
        <w:ind w:firstLine="420" w:firstLineChars="200"/>
        <w:outlineLvl w:val="1"/>
        <w:rPr>
          <w:rFonts w:ascii="Arial" w:hAnsi="Arial"/>
          <w:b/>
          <w:bCs/>
          <w:sz w:val="24"/>
          <w:szCs w:val="32"/>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166D968C">
      <w:pPr>
        <w:spacing w:line="400" w:lineRule="exact"/>
        <w:rPr>
          <w:rFonts w:ascii="宋体" w:hAnsi="宋体"/>
          <w:b/>
          <w:bCs/>
          <w:sz w:val="24"/>
        </w:rPr>
      </w:pPr>
      <w:r>
        <w:rPr>
          <w:rFonts w:hint="eastAsia" w:ascii="宋体" w:hAnsi="宋体"/>
          <w:b/>
          <w:bCs/>
          <w:sz w:val="24"/>
        </w:rPr>
        <w:t>13. 履约保证金</w:t>
      </w:r>
    </w:p>
    <w:p w14:paraId="16960C5C">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5516ECEF">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74C3F180">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46EF2177">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2C3E03A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080DA5D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4C0CD63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301720E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3546F6B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7D3E87E5">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（5）依照法律、行政法规的规定或者按照</w:t>
      </w:r>
      <w:r>
        <w:rPr>
          <w:rFonts w:hint="eastAsia" w:ascii="宋体" w:hAnsi="宋体" w:cs="宋体"/>
          <w:b/>
          <w:bCs/>
          <w:szCs w:val="21"/>
        </w:rPr>
        <w:t>【政府采购合同专用条款】</w:t>
      </w:r>
      <w:r>
        <w:rPr>
          <w:rFonts w:hint="eastAsia" w:ascii="宋体" w:hAnsi="宋体" w:cs="宋体"/>
          <w:szCs w:val="21"/>
        </w:rPr>
        <w:t>约定，货物在有效使用年限届满后应予回收的，乙方负有自行或者委托第三人对货物予以回收的义务；</w:t>
      </w:r>
    </w:p>
    <w:p w14:paraId="1FD986B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756F146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1095B370">
      <w:pPr>
        <w:adjustRightInd w:val="0"/>
        <w:snapToGrid w:val="0"/>
        <w:spacing w:line="400" w:lineRule="exact"/>
        <w:jc w:val="left"/>
        <w:rPr>
          <w:rFonts w:ascii="宋体" w:hAnsi="宋体"/>
          <w:b/>
          <w:bCs/>
          <w:sz w:val="24"/>
        </w:rPr>
      </w:pPr>
      <w:r>
        <w:rPr>
          <w:rFonts w:hint="eastAsia" w:ascii="宋体" w:hAnsi="宋体"/>
          <w:b/>
          <w:bCs/>
          <w:sz w:val="24"/>
        </w:rPr>
        <w:t>15. 违约责任</w:t>
      </w:r>
    </w:p>
    <w:p w14:paraId="1BA166E1">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4F6E09D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3585FBD4">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25CA2C7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7B60E7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105E377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7483D4C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02B77A13">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57330ED9">
      <w:pPr>
        <w:numPr>
          <w:ilvl w:val="0"/>
          <w:numId w:val="7"/>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613E7497">
      <w:pPr>
        <w:adjustRightInd w:val="0"/>
        <w:snapToGrid w:val="0"/>
        <w:spacing w:line="400" w:lineRule="exact"/>
        <w:jc w:val="left"/>
        <w:rPr>
          <w:rFonts w:ascii="宋体" w:hAnsi="宋体"/>
          <w:szCs w:val="21"/>
        </w:rPr>
      </w:pPr>
      <w:r>
        <w:rPr>
          <w:rFonts w:hint="eastAsia" w:ascii="宋体" w:hAnsi="宋体"/>
          <w:szCs w:val="21"/>
        </w:rPr>
        <w:t xml:space="preserve">    16.1合同的变更</w:t>
      </w:r>
    </w:p>
    <w:p w14:paraId="367463B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7DD74AA0">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3184DDC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5D59CAE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85587A3">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cs="宋体"/>
          <w:szCs w:val="21"/>
        </w:rPr>
        <w:t>（3）乙方分立、合并或者变更住所的，应当及时以书面形式告知甲方。乙方没有及时告知甲方，致使合同履行发生困难的，甲方可以中止合同履行并要求乙方承担由此给甲方造成的损失。</w:t>
      </w:r>
    </w:p>
    <w:p w14:paraId="604C69C8">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4FDF2C60">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57EFAA5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263E3B95">
      <w:pPr>
        <w:snapToGrid w:val="0"/>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3CE9CA36">
      <w:pPr>
        <w:autoSpaceDE w:val="0"/>
        <w:autoSpaceDN w:val="0"/>
        <w:adjustRightInd w:val="0"/>
        <w:spacing w:line="400" w:lineRule="exact"/>
        <w:ind w:firstLine="440" w:firstLineChars="200"/>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涉及国家利益、社会公共利益的情形</w:t>
      </w:r>
    </w:p>
    <w:p w14:paraId="6D003CF4">
      <w:pPr>
        <w:autoSpaceDE w:val="0"/>
        <w:autoSpaceDN w:val="0"/>
        <w:adjustRightInd w:val="0"/>
        <w:spacing w:line="400" w:lineRule="exact"/>
        <w:ind w:firstLine="420" w:firstLineChars="200"/>
        <w:rPr>
          <w:rFonts w:ascii="华文楷体" w:hAnsi="华文楷体" w:eastAsia="华文楷体" w:cs="华文楷体"/>
          <w:szCs w:val="21"/>
        </w:rPr>
      </w:pPr>
      <w:r>
        <w:rPr>
          <w:rFonts w:hint="eastAsia" w:ascii="宋体" w:hAnsi="宋体" w:cs="宋体"/>
          <w:szCs w:val="21"/>
        </w:rPr>
        <w:t>政府采购合同继续履行将损害国家利益和社会公共利益的，双方当事人应当变更、中止或者终止合同。有过错的一方应当承担赔偿责任，双方都有过错的，各自承担相应的责任。</w:t>
      </w:r>
    </w:p>
    <w:p w14:paraId="25318ED2">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1D165C0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6C9A517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33574CD5">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41639A7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5D4B72B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7580371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3A28723">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 解决争议的方法</w:t>
      </w:r>
    </w:p>
    <w:p w14:paraId="40332C7A">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19.1 因本合同及合同有关事项发生的争议，由甲乙双方友好协商解决。协商不成时，可以向有关组织申请调解。合同一方或双方不愿调解或调解不成的，可以通过仲裁或诉讼的方式解决争议。</w:t>
      </w:r>
    </w:p>
    <w:p w14:paraId="6EB09E97">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19.2 选择仲裁的，应在</w:t>
      </w:r>
      <w:r>
        <w:rPr>
          <w:rFonts w:hint="eastAsia" w:ascii="宋体" w:hAnsi="宋体" w:cs="宋体"/>
          <w:b/>
          <w:bCs/>
          <w:szCs w:val="21"/>
        </w:rPr>
        <w:t>【政府采购合同专用条款】</w:t>
      </w:r>
      <w:r>
        <w:rPr>
          <w:rFonts w:hint="eastAsia" w:ascii="宋体" w:hAnsi="宋体" w:cs="宋体"/>
          <w:szCs w:val="21"/>
        </w:rPr>
        <w:t>中明确仲裁机构及仲裁地；通过诉讼方式解决的，可以在</w:t>
      </w:r>
      <w:r>
        <w:rPr>
          <w:rFonts w:hint="eastAsia" w:ascii="宋体" w:hAnsi="宋体" w:cs="宋体"/>
          <w:b/>
          <w:bCs/>
          <w:szCs w:val="21"/>
        </w:rPr>
        <w:t>【政府采购合同专用条款】</w:t>
      </w:r>
      <w:r>
        <w:rPr>
          <w:rFonts w:hint="eastAsia" w:ascii="宋体" w:hAnsi="宋体" w:cs="宋体"/>
          <w:szCs w:val="21"/>
        </w:rPr>
        <w:t>中进一步约定选择与争议有实际联系的地点的人民法院管辖，但管辖法院的约定不得违反级别管辖和专属管辖的规定。</w:t>
      </w:r>
    </w:p>
    <w:p w14:paraId="5E2A0EAA">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19.3 如甲乙双方有争议的事项不影响合同其他部分的履行，在争议解决期间，合同其他部分应当继续履行。</w:t>
      </w:r>
    </w:p>
    <w:p w14:paraId="64BFB1F3">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1411DDD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0FF10E80">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44F2FAD9">
      <w:pPr>
        <w:spacing w:line="400" w:lineRule="exact"/>
        <w:ind w:firstLine="420" w:firstLineChars="200"/>
        <w:rPr>
          <w:rFonts w:ascii="Calibri" w:hAnsi="Calibri"/>
          <w:szCs w:val="22"/>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097F72">
      <w:pPr>
        <w:autoSpaceDE w:val="0"/>
        <w:autoSpaceDN w:val="0"/>
        <w:adjustRightInd w:val="0"/>
        <w:snapToGrid w:val="0"/>
        <w:spacing w:line="400" w:lineRule="exact"/>
        <w:jc w:val="left"/>
        <w:rPr>
          <w:rFonts w:ascii="宋体" w:hAnsi="宋体"/>
          <w:b/>
          <w:sz w:val="24"/>
        </w:rPr>
      </w:pPr>
      <w:r>
        <w:rPr>
          <w:rFonts w:hint="eastAsia" w:ascii="宋体" w:hAnsi="宋体"/>
          <w:b/>
          <w:sz w:val="24"/>
        </w:rPr>
        <w:t>21. 法律适用</w:t>
      </w:r>
    </w:p>
    <w:p w14:paraId="76230534">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21.1 本合同的订立、生效、解释、履行及与本合同有关的争议解决，均适用法律、行政法规。</w:t>
      </w:r>
    </w:p>
    <w:p w14:paraId="2966D432">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21.2 本合同条款与法律、行政法规的强制性规定不一致的，双方当事人应按照法律、行政法规的强制性规定修改本合同的相关条款。</w:t>
      </w:r>
    </w:p>
    <w:p w14:paraId="162B6578">
      <w:pPr>
        <w:numPr>
          <w:ilvl w:val="255"/>
          <w:numId w:val="0"/>
        </w:num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700FB158">
      <w:pPr>
        <w:autoSpaceDE w:val="0"/>
        <w:autoSpaceDN w:val="0"/>
        <w:adjustRightInd w:val="0"/>
        <w:spacing w:line="400" w:lineRule="exact"/>
        <w:ind w:firstLine="420" w:firstLineChars="200"/>
        <w:rPr>
          <w:rFonts w:ascii="宋体" w:hAnsi="宋体" w:cs="宋体"/>
          <w:szCs w:val="21"/>
        </w:rPr>
      </w:pPr>
      <w:r>
        <w:rPr>
          <w:rFonts w:hint="eastAsia" w:ascii="宋体" w:hAnsi="宋体" w:cs="宋体"/>
          <w:szCs w:val="21"/>
        </w:rPr>
        <w:t>22.1 本合同任何一方向对方发出的通知、信件、数据电文等，应当发送至本合同第一部分《政府采购合同协议书》所约定的通讯地址、联系人、联系电话或电子邮箱。</w:t>
      </w:r>
    </w:p>
    <w:p w14:paraId="16B7A4BD">
      <w:pPr>
        <w:autoSpaceDE w:val="0"/>
        <w:autoSpaceDN w:val="0"/>
        <w:adjustRightInd w:val="0"/>
        <w:spacing w:line="400" w:lineRule="exact"/>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p>
    <w:p w14:paraId="7B415C3F">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2BCDD084">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3B3BA60B">
      <w:pPr>
        <w:numPr>
          <w:ilvl w:val="0"/>
          <w:numId w:val="8"/>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719F621A">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0817F618">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82" w:name="_Toc20313"/>
    </w:p>
    <w:p w14:paraId="48437DAF">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0EF6EF85">
      <w:pPr>
        <w:keepNext/>
        <w:keepLines/>
        <w:adjustRightInd w:val="0"/>
        <w:snapToGrid w:val="0"/>
        <w:spacing w:line="360" w:lineRule="auto"/>
        <w:jc w:val="center"/>
        <w:outlineLvl w:val="1"/>
        <w:rPr>
          <w:rFonts w:ascii="黑体" w:hAnsi="华文中宋" w:eastAsia="黑体"/>
          <w:sz w:val="28"/>
          <w:szCs w:val="28"/>
        </w:rPr>
      </w:pPr>
      <w:r>
        <w:rPr>
          <w:rFonts w:hint="eastAsia" w:ascii="黑体" w:hAnsi="华文中宋" w:eastAsia="黑体"/>
          <w:sz w:val="28"/>
          <w:szCs w:val="28"/>
        </w:rPr>
        <w:t>第三节 政府采购合同专用条款</w:t>
      </w:r>
      <w:bookmarkEnd w:id="82"/>
    </w:p>
    <w:tbl>
      <w:tblPr>
        <w:tblStyle w:val="21"/>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AEBA5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F0FB4A5">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5366210C">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第1.2（6）项</w:t>
            </w:r>
          </w:p>
        </w:tc>
        <w:tc>
          <w:tcPr>
            <w:tcW w:w="1742" w:type="dxa"/>
            <w:vAlign w:val="center"/>
          </w:tcPr>
          <w:p w14:paraId="69249032">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联合体具体要求</w:t>
            </w:r>
          </w:p>
        </w:tc>
        <w:tc>
          <w:tcPr>
            <w:tcW w:w="5170" w:type="dxa"/>
            <w:vAlign w:val="center"/>
          </w:tcPr>
          <w:p w14:paraId="68570DCE">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671E81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43924C5">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15B95D7A">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第1.2（7）项</w:t>
            </w:r>
          </w:p>
        </w:tc>
        <w:tc>
          <w:tcPr>
            <w:tcW w:w="1742" w:type="dxa"/>
            <w:vAlign w:val="center"/>
          </w:tcPr>
          <w:p w14:paraId="036C92EA">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其他术语解释</w:t>
            </w:r>
          </w:p>
        </w:tc>
        <w:tc>
          <w:tcPr>
            <w:tcW w:w="5170" w:type="dxa"/>
            <w:vAlign w:val="center"/>
          </w:tcPr>
          <w:p w14:paraId="6DBFEA1D">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7B50B1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09AFC8F">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28534079">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第4.4款</w:t>
            </w:r>
          </w:p>
        </w:tc>
        <w:tc>
          <w:tcPr>
            <w:tcW w:w="1742" w:type="dxa"/>
            <w:vAlign w:val="center"/>
          </w:tcPr>
          <w:p w14:paraId="131A5D3C">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履约验收中甲方提出异议或作出说明的期限</w:t>
            </w:r>
          </w:p>
        </w:tc>
        <w:tc>
          <w:tcPr>
            <w:tcW w:w="5170" w:type="dxa"/>
            <w:vAlign w:val="center"/>
          </w:tcPr>
          <w:p w14:paraId="278119AB">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1BED81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62D6130">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6681AE13">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第4.6款</w:t>
            </w:r>
          </w:p>
        </w:tc>
        <w:tc>
          <w:tcPr>
            <w:tcW w:w="1742" w:type="dxa"/>
            <w:vAlign w:val="center"/>
          </w:tcPr>
          <w:p w14:paraId="69C99F36">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约定甲方承担的其他义务和责任</w:t>
            </w:r>
          </w:p>
        </w:tc>
        <w:tc>
          <w:tcPr>
            <w:tcW w:w="5170" w:type="dxa"/>
            <w:vAlign w:val="center"/>
          </w:tcPr>
          <w:p w14:paraId="4AD2B80C">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388C51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15AFC84">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05DC038B">
            <w:pPr>
              <w:keepNext w:val="0"/>
              <w:keepLines w:val="0"/>
              <w:suppressLineNumbers w:val="0"/>
              <w:snapToGrid w:val="0"/>
              <w:spacing w:before="0" w:beforeAutospacing="0" w:after="0" w:afterAutospacing="0"/>
              <w:ind w:left="0" w:right="0"/>
              <w:jc w:val="center"/>
              <w:rPr>
                <w:rFonts w:hint="default"/>
              </w:rPr>
            </w:pPr>
            <w:r>
              <w:rPr>
                <w:rFonts w:hint="eastAsia" w:ascii="宋体" w:hAnsi="宋体"/>
                <w:szCs w:val="21"/>
              </w:rPr>
              <w:t>第5.4款</w:t>
            </w:r>
          </w:p>
        </w:tc>
        <w:tc>
          <w:tcPr>
            <w:tcW w:w="1742" w:type="dxa"/>
            <w:vAlign w:val="center"/>
          </w:tcPr>
          <w:p w14:paraId="180D9F9B">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约定乙方承担的其他义务和责任</w:t>
            </w:r>
          </w:p>
        </w:tc>
        <w:tc>
          <w:tcPr>
            <w:tcW w:w="5170" w:type="dxa"/>
            <w:vAlign w:val="center"/>
          </w:tcPr>
          <w:p w14:paraId="32DB960C">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4F572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11EE909">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41362F4D">
            <w:pPr>
              <w:keepNext w:val="0"/>
              <w:keepLines w:val="0"/>
              <w:suppressLineNumbers w:val="0"/>
              <w:snapToGrid w:val="0"/>
              <w:spacing w:before="0" w:beforeAutospacing="0" w:after="0" w:afterAutospacing="0"/>
              <w:ind w:left="0" w:right="0"/>
              <w:jc w:val="center"/>
              <w:rPr>
                <w:rFonts w:hint="default" w:ascii="宋体" w:hAnsi="宋体"/>
                <w:szCs w:val="21"/>
              </w:rPr>
            </w:pPr>
            <w:r>
              <w:rPr>
                <w:rFonts w:hint="eastAsia" w:ascii="宋体" w:hAnsi="宋体"/>
                <w:szCs w:val="21"/>
              </w:rPr>
              <w:t>第6.1款</w:t>
            </w:r>
          </w:p>
        </w:tc>
        <w:tc>
          <w:tcPr>
            <w:tcW w:w="1742" w:type="dxa"/>
            <w:vAlign w:val="center"/>
          </w:tcPr>
          <w:p w14:paraId="47C61A24">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履行合同义务的顺序</w:t>
            </w:r>
          </w:p>
        </w:tc>
        <w:tc>
          <w:tcPr>
            <w:tcW w:w="5170" w:type="dxa"/>
            <w:vAlign w:val="center"/>
          </w:tcPr>
          <w:p w14:paraId="0E0A81DF">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4719EE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3D19C898">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76CFABDE">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第7.1款</w:t>
            </w:r>
          </w:p>
        </w:tc>
        <w:tc>
          <w:tcPr>
            <w:tcW w:w="1742" w:type="dxa"/>
            <w:vAlign w:val="center"/>
          </w:tcPr>
          <w:p w14:paraId="124E1D68">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包装特殊要求</w:t>
            </w:r>
          </w:p>
        </w:tc>
        <w:tc>
          <w:tcPr>
            <w:tcW w:w="5170" w:type="dxa"/>
            <w:vAlign w:val="center"/>
          </w:tcPr>
          <w:p w14:paraId="3FC66285">
            <w:pPr>
              <w:keepNext w:val="0"/>
              <w:keepLines w:val="0"/>
              <w:suppressLineNumbers w:val="0"/>
              <w:spacing w:before="0" w:beforeAutospacing="0" w:after="0" w:afterAutospacing="0"/>
              <w:ind w:left="0" w:right="0"/>
              <w:rPr>
                <w:rFonts w:hint="default"/>
              </w:rPr>
            </w:pPr>
          </w:p>
        </w:tc>
      </w:tr>
      <w:tr w14:paraId="673DE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ADEF1AB">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p>
        </w:tc>
        <w:tc>
          <w:tcPr>
            <w:tcW w:w="1742" w:type="dxa"/>
            <w:vAlign w:val="center"/>
          </w:tcPr>
          <w:p w14:paraId="011D20E8">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指定现场</w:t>
            </w:r>
          </w:p>
        </w:tc>
        <w:tc>
          <w:tcPr>
            <w:tcW w:w="5170" w:type="dxa"/>
            <w:vAlign w:val="center"/>
          </w:tcPr>
          <w:p w14:paraId="7ED814AC">
            <w:pPr>
              <w:keepNext w:val="0"/>
              <w:keepLines w:val="0"/>
              <w:suppressLineNumbers w:val="0"/>
              <w:spacing w:before="0" w:beforeAutospacing="0" w:after="0" w:afterAutospacing="0"/>
              <w:ind w:left="0" w:right="0"/>
              <w:rPr>
                <w:rFonts w:hint="default"/>
              </w:rPr>
            </w:pPr>
          </w:p>
        </w:tc>
      </w:tr>
      <w:tr w14:paraId="3F4279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76EA1830">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25B06AAB">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第7.2款</w:t>
            </w:r>
          </w:p>
        </w:tc>
        <w:tc>
          <w:tcPr>
            <w:tcW w:w="1742" w:type="dxa"/>
            <w:vAlign w:val="center"/>
          </w:tcPr>
          <w:p w14:paraId="1908B1A6">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运输特殊要求</w:t>
            </w:r>
          </w:p>
        </w:tc>
        <w:tc>
          <w:tcPr>
            <w:tcW w:w="5170" w:type="dxa"/>
            <w:vAlign w:val="center"/>
          </w:tcPr>
          <w:p w14:paraId="4F8869C0">
            <w:pPr>
              <w:keepNext w:val="0"/>
              <w:keepLines w:val="0"/>
              <w:suppressLineNumbers w:val="0"/>
              <w:spacing w:before="0" w:beforeAutospacing="0" w:after="0" w:afterAutospacing="0"/>
              <w:ind w:left="0" w:right="0"/>
              <w:rPr>
                <w:rFonts w:hint="default"/>
              </w:rPr>
            </w:pPr>
          </w:p>
        </w:tc>
      </w:tr>
      <w:tr w14:paraId="619D9B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111050F">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7A510B2B">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第7.3款</w:t>
            </w:r>
          </w:p>
        </w:tc>
        <w:tc>
          <w:tcPr>
            <w:tcW w:w="1742" w:type="dxa"/>
            <w:vAlign w:val="center"/>
          </w:tcPr>
          <w:p w14:paraId="3E7CD4EC">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保险要求</w:t>
            </w:r>
          </w:p>
        </w:tc>
        <w:tc>
          <w:tcPr>
            <w:tcW w:w="5170" w:type="dxa"/>
            <w:vAlign w:val="center"/>
          </w:tcPr>
          <w:p w14:paraId="25DAD16B">
            <w:pPr>
              <w:keepNext w:val="0"/>
              <w:keepLines w:val="0"/>
              <w:suppressLineNumbers w:val="0"/>
              <w:spacing w:before="0" w:beforeAutospacing="0" w:after="0" w:afterAutospacing="0"/>
              <w:ind w:left="0" w:right="0"/>
              <w:rPr>
                <w:rFonts w:hint="default"/>
              </w:rPr>
            </w:pPr>
          </w:p>
        </w:tc>
      </w:tr>
      <w:tr w14:paraId="572587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B2D87E">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00EB547D">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第8.2（1）项</w:t>
            </w:r>
          </w:p>
        </w:tc>
        <w:tc>
          <w:tcPr>
            <w:tcW w:w="1742" w:type="dxa"/>
            <w:vAlign w:val="center"/>
          </w:tcPr>
          <w:p w14:paraId="7D93BE01">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质量保证期</w:t>
            </w:r>
          </w:p>
        </w:tc>
        <w:tc>
          <w:tcPr>
            <w:tcW w:w="5170" w:type="dxa"/>
            <w:vAlign w:val="center"/>
          </w:tcPr>
          <w:p w14:paraId="31910553">
            <w:pPr>
              <w:keepNext w:val="0"/>
              <w:keepLines w:val="0"/>
              <w:suppressLineNumbers w:val="0"/>
              <w:autoSpaceDE w:val="0"/>
              <w:autoSpaceDN w:val="0"/>
              <w:adjustRightInd w:val="0"/>
              <w:snapToGrid w:val="0"/>
              <w:spacing w:before="0" w:beforeAutospacing="0" w:after="0" w:afterAutospacing="0"/>
              <w:ind w:left="0" w:right="0" w:firstLine="420" w:firstLineChars="200"/>
              <w:jc w:val="left"/>
              <w:rPr>
                <w:rFonts w:hint="default" w:ascii="宋体" w:hAnsi="宋体"/>
                <w:szCs w:val="21"/>
              </w:rPr>
            </w:pPr>
          </w:p>
        </w:tc>
      </w:tr>
      <w:tr w14:paraId="7E0686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94BC76">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40267520">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第8.2（3）项</w:t>
            </w:r>
          </w:p>
        </w:tc>
        <w:tc>
          <w:tcPr>
            <w:tcW w:w="1742" w:type="dxa"/>
            <w:vAlign w:val="center"/>
          </w:tcPr>
          <w:p w14:paraId="2879DA8C">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货物质量缺陷</w:t>
            </w:r>
          </w:p>
          <w:p w14:paraId="5F3CC13C">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响应时间</w:t>
            </w:r>
          </w:p>
        </w:tc>
        <w:tc>
          <w:tcPr>
            <w:tcW w:w="5170" w:type="dxa"/>
            <w:vAlign w:val="center"/>
          </w:tcPr>
          <w:p w14:paraId="104C8A9E">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1FD92E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FFB29E1">
            <w:pPr>
              <w:keepNext w:val="0"/>
              <w:keepLines w:val="0"/>
              <w:suppressLineNumbers w:val="0"/>
              <w:snapToGrid w:val="0"/>
              <w:spacing w:before="0" w:beforeAutospacing="0" w:after="0" w:afterAutospacing="0"/>
              <w:ind w:left="0" w:right="0"/>
              <w:jc w:val="center"/>
              <w:rPr>
                <w:rFonts w:hint="default" w:ascii="宋体" w:hAnsi="宋体" w:cs="宋体"/>
                <w:szCs w:val="21"/>
              </w:rPr>
            </w:pPr>
            <w:r>
              <w:rPr>
                <w:rFonts w:hint="eastAsia" w:ascii="宋体" w:hAnsi="宋体" w:cs="宋体"/>
                <w:szCs w:val="21"/>
              </w:rPr>
              <w:t>第二节</w:t>
            </w:r>
          </w:p>
          <w:p w14:paraId="2DDC8A9D">
            <w:pPr>
              <w:keepNext w:val="0"/>
              <w:keepLines w:val="0"/>
              <w:suppressLineNumbers w:val="0"/>
              <w:autoSpaceDE w:val="0"/>
              <w:autoSpaceDN w:val="0"/>
              <w:adjustRightInd w:val="0"/>
              <w:spacing w:before="0" w:beforeAutospacing="0" w:after="0" w:afterAutospacing="0" w:line="400" w:lineRule="exact"/>
              <w:ind w:left="0" w:right="0"/>
              <w:jc w:val="center"/>
              <w:rPr>
                <w:rFonts w:hint="default" w:ascii="华文楷体" w:hAnsi="华文楷体" w:eastAsia="华文楷体" w:cs="华文楷体"/>
                <w:sz w:val="22"/>
                <w:szCs w:val="21"/>
              </w:rPr>
            </w:pPr>
            <w:r>
              <w:rPr>
                <w:rFonts w:hint="eastAsia" w:ascii="宋体" w:hAnsi="宋体" w:cs="宋体"/>
                <w:sz w:val="22"/>
                <w:szCs w:val="21"/>
              </w:rPr>
              <w:t>第11.1款</w:t>
            </w:r>
          </w:p>
        </w:tc>
        <w:tc>
          <w:tcPr>
            <w:tcW w:w="1742" w:type="dxa"/>
            <w:vAlign w:val="center"/>
          </w:tcPr>
          <w:p w14:paraId="7F460303">
            <w:pPr>
              <w:keepNext w:val="0"/>
              <w:keepLines w:val="0"/>
              <w:suppressLineNumbers w:val="0"/>
              <w:adjustRightInd w:val="0"/>
              <w:snapToGrid w:val="0"/>
              <w:spacing w:before="0" w:beforeAutospacing="0" w:after="0" w:afterAutospacing="0"/>
              <w:ind w:left="0" w:right="0"/>
              <w:rPr>
                <w:rFonts w:hint="default" w:ascii="宋体" w:hAnsi="宋体"/>
                <w:szCs w:val="21"/>
              </w:rPr>
            </w:pPr>
            <w:r>
              <w:rPr>
                <w:rFonts w:hint="eastAsia" w:ascii="宋体" w:hAnsi="宋体"/>
                <w:szCs w:val="21"/>
              </w:rPr>
              <w:t>其他应当保密的信息</w:t>
            </w:r>
          </w:p>
        </w:tc>
        <w:tc>
          <w:tcPr>
            <w:tcW w:w="5170" w:type="dxa"/>
            <w:vAlign w:val="center"/>
          </w:tcPr>
          <w:p w14:paraId="74D737BF">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633AAA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F930C9A">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6A626194">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第12.2款</w:t>
            </w:r>
          </w:p>
        </w:tc>
        <w:tc>
          <w:tcPr>
            <w:tcW w:w="1742" w:type="dxa"/>
            <w:vAlign w:val="center"/>
          </w:tcPr>
          <w:p w14:paraId="7CD07BDC">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合同价款支付时间</w:t>
            </w:r>
          </w:p>
        </w:tc>
        <w:tc>
          <w:tcPr>
            <w:tcW w:w="5170" w:type="dxa"/>
            <w:vAlign w:val="center"/>
          </w:tcPr>
          <w:p w14:paraId="4FF7C240">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716E8B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351DB77">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57EBD442">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第13.2款</w:t>
            </w:r>
          </w:p>
        </w:tc>
        <w:tc>
          <w:tcPr>
            <w:tcW w:w="1742" w:type="dxa"/>
            <w:vAlign w:val="center"/>
          </w:tcPr>
          <w:p w14:paraId="66D45A89">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履约保证金不予退还的情形</w:t>
            </w:r>
          </w:p>
        </w:tc>
        <w:tc>
          <w:tcPr>
            <w:tcW w:w="5170" w:type="dxa"/>
            <w:vAlign w:val="center"/>
          </w:tcPr>
          <w:p w14:paraId="5C147C57">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79EBEF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B9F15C">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51C9FD26">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第13.3款</w:t>
            </w:r>
          </w:p>
        </w:tc>
        <w:tc>
          <w:tcPr>
            <w:tcW w:w="1742" w:type="dxa"/>
            <w:vAlign w:val="center"/>
          </w:tcPr>
          <w:p w14:paraId="1D753875">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履约保证金退还时间及逾期退还的违约金</w:t>
            </w:r>
          </w:p>
        </w:tc>
        <w:tc>
          <w:tcPr>
            <w:tcW w:w="5170" w:type="dxa"/>
            <w:vAlign w:val="center"/>
          </w:tcPr>
          <w:p w14:paraId="0CA06B0E">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0FDF51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EA7F3C6">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0DA67D78">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第14.1（3）项</w:t>
            </w:r>
          </w:p>
        </w:tc>
        <w:tc>
          <w:tcPr>
            <w:tcW w:w="1742" w:type="dxa"/>
            <w:vAlign w:val="center"/>
          </w:tcPr>
          <w:p w14:paraId="75A3BC9A">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运行监督、维修期限</w:t>
            </w:r>
          </w:p>
        </w:tc>
        <w:tc>
          <w:tcPr>
            <w:tcW w:w="5170" w:type="dxa"/>
            <w:vAlign w:val="center"/>
          </w:tcPr>
          <w:p w14:paraId="44E6A183">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39EC95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23BDE3F">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3173BAFE">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第14.1（5）项</w:t>
            </w:r>
          </w:p>
        </w:tc>
        <w:tc>
          <w:tcPr>
            <w:tcW w:w="1742" w:type="dxa"/>
            <w:vAlign w:val="center"/>
          </w:tcPr>
          <w:p w14:paraId="6057B976">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货物回收的约定</w:t>
            </w:r>
          </w:p>
        </w:tc>
        <w:tc>
          <w:tcPr>
            <w:tcW w:w="5170" w:type="dxa"/>
            <w:vAlign w:val="center"/>
          </w:tcPr>
          <w:p w14:paraId="450545F7">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505ED0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969E42E">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76191162">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第14.1（6）项</w:t>
            </w:r>
          </w:p>
        </w:tc>
        <w:tc>
          <w:tcPr>
            <w:tcW w:w="1742" w:type="dxa"/>
            <w:vAlign w:val="center"/>
          </w:tcPr>
          <w:p w14:paraId="7FB1880E">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乙方提供的其他服务</w:t>
            </w:r>
          </w:p>
        </w:tc>
        <w:tc>
          <w:tcPr>
            <w:tcW w:w="5170" w:type="dxa"/>
            <w:vAlign w:val="center"/>
          </w:tcPr>
          <w:p w14:paraId="55809145">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4E10E7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E267549">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1D6665CE">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第15.1款</w:t>
            </w:r>
          </w:p>
        </w:tc>
        <w:tc>
          <w:tcPr>
            <w:tcW w:w="1742" w:type="dxa"/>
            <w:vAlign w:val="center"/>
          </w:tcPr>
          <w:p w14:paraId="712E2647">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修理、重作、更换相关具体规定</w:t>
            </w:r>
          </w:p>
        </w:tc>
        <w:tc>
          <w:tcPr>
            <w:tcW w:w="5170" w:type="dxa"/>
            <w:vAlign w:val="center"/>
          </w:tcPr>
          <w:p w14:paraId="0FBE8CE4">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r w14:paraId="72E987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7FC45D">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552E9FCC">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第15.2（2）项</w:t>
            </w:r>
          </w:p>
        </w:tc>
        <w:tc>
          <w:tcPr>
            <w:tcW w:w="1742" w:type="dxa"/>
            <w:vAlign w:val="center"/>
          </w:tcPr>
          <w:p w14:paraId="417142AD">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迟延交货赔偿费</w:t>
            </w:r>
          </w:p>
        </w:tc>
        <w:tc>
          <w:tcPr>
            <w:tcW w:w="5170" w:type="dxa"/>
            <w:vAlign w:val="center"/>
          </w:tcPr>
          <w:p w14:paraId="01630821">
            <w:pPr>
              <w:keepNext w:val="0"/>
              <w:keepLines w:val="0"/>
              <w:suppressLineNumbers w:val="0"/>
              <w:adjustRightInd w:val="0"/>
              <w:snapToGrid w:val="0"/>
              <w:spacing w:before="0" w:beforeAutospacing="0" w:after="0" w:afterAutospacing="0"/>
              <w:ind w:left="0" w:right="0"/>
              <w:jc w:val="left"/>
              <w:rPr>
                <w:rFonts w:hint="default" w:ascii="宋体" w:hAnsi="宋体"/>
                <w:szCs w:val="21"/>
                <w:u w:val="single"/>
              </w:rPr>
            </w:pPr>
          </w:p>
        </w:tc>
      </w:tr>
      <w:tr w14:paraId="0A235D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73844F9">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0DD451B3">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第15.3款</w:t>
            </w:r>
          </w:p>
        </w:tc>
        <w:tc>
          <w:tcPr>
            <w:tcW w:w="1742" w:type="dxa"/>
            <w:vAlign w:val="center"/>
          </w:tcPr>
          <w:p w14:paraId="1B59098F">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逾期付款利息</w:t>
            </w:r>
          </w:p>
        </w:tc>
        <w:tc>
          <w:tcPr>
            <w:tcW w:w="5170" w:type="dxa"/>
            <w:vAlign w:val="center"/>
          </w:tcPr>
          <w:p w14:paraId="2F7B4FB4">
            <w:pPr>
              <w:keepNext w:val="0"/>
              <w:keepLines w:val="0"/>
              <w:suppressLineNumbers w:val="0"/>
              <w:adjustRightInd w:val="0"/>
              <w:snapToGrid w:val="0"/>
              <w:spacing w:before="0" w:beforeAutospacing="0" w:after="0" w:afterAutospacing="0"/>
              <w:ind w:left="0" w:right="0"/>
              <w:jc w:val="left"/>
              <w:rPr>
                <w:rFonts w:hint="default" w:ascii="宋体" w:hAnsi="宋体"/>
                <w:szCs w:val="21"/>
                <w:u w:val="single"/>
              </w:rPr>
            </w:pPr>
          </w:p>
        </w:tc>
      </w:tr>
      <w:tr w14:paraId="78488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38B5A228">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4D6503B8">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vAlign w:val="center"/>
          </w:tcPr>
          <w:p w14:paraId="6EE7EBF5">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3471BF29">
            <w:pPr>
              <w:keepNext w:val="0"/>
              <w:keepLines w:val="0"/>
              <w:suppressLineNumbers w:val="0"/>
              <w:adjustRightInd w:val="0"/>
              <w:snapToGrid w:val="0"/>
              <w:spacing w:before="0" w:beforeAutospacing="0" w:after="0" w:afterAutospacing="0"/>
              <w:ind w:left="0" w:right="0"/>
              <w:jc w:val="left"/>
              <w:rPr>
                <w:rFonts w:hint="default" w:ascii="宋体" w:hAnsi="宋体"/>
                <w:szCs w:val="21"/>
                <w:u w:val="single"/>
              </w:rPr>
            </w:pPr>
          </w:p>
        </w:tc>
      </w:tr>
      <w:tr w14:paraId="081A89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644CC193">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561AE1AB">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vAlign w:val="center"/>
          </w:tcPr>
          <w:p w14:paraId="3B9CD146">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vAlign w:val="center"/>
          </w:tcPr>
          <w:p w14:paraId="1849A182">
            <w:pPr>
              <w:keepNext w:val="0"/>
              <w:keepLines w:val="0"/>
              <w:suppressLineNumbers w:val="0"/>
              <w:autoSpaceDE w:val="0"/>
              <w:autoSpaceDN w:val="0"/>
              <w:adjustRightInd w:val="0"/>
              <w:snapToGrid w:val="0"/>
              <w:spacing w:before="0" w:beforeAutospacing="0" w:after="0" w:afterAutospacing="0" w:line="400" w:lineRule="exact"/>
              <w:ind w:left="0" w:right="0"/>
              <w:jc w:val="left"/>
              <w:rPr>
                <w:rFonts w:hint="default"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7C35C168">
            <w:pPr>
              <w:keepNext w:val="0"/>
              <w:keepLines w:val="0"/>
              <w:suppressLineNumbers w:val="0"/>
              <w:autoSpaceDE w:val="0"/>
              <w:autoSpaceDN w:val="0"/>
              <w:adjustRightInd w:val="0"/>
              <w:snapToGrid w:val="0"/>
              <w:spacing w:before="0" w:beforeAutospacing="0" w:after="0" w:afterAutospacing="0" w:line="400" w:lineRule="exact"/>
              <w:ind w:left="0" w:right="0"/>
              <w:jc w:val="left"/>
              <w:rPr>
                <w:rFonts w:hint="default"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5B206BCE">
            <w:pPr>
              <w:keepNext w:val="0"/>
              <w:keepLines w:val="0"/>
              <w:suppressLineNumbers w:val="0"/>
              <w:adjustRightInd w:val="0"/>
              <w:snapToGrid w:val="0"/>
              <w:spacing w:before="0" w:beforeAutospacing="0" w:after="0" w:afterAutospacing="0"/>
              <w:ind w:left="0" w:right="0"/>
              <w:jc w:val="left"/>
              <w:rPr>
                <w:rFonts w:hint="default"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5C8831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46873BC">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第二节</w:t>
            </w:r>
          </w:p>
          <w:p w14:paraId="45F9EC35">
            <w:pPr>
              <w:keepNext w:val="0"/>
              <w:keepLines w:val="0"/>
              <w:suppressLineNumbers w:val="0"/>
              <w:adjustRightInd w:val="0"/>
              <w:snapToGrid w:val="0"/>
              <w:spacing w:before="0" w:beforeAutospacing="0" w:after="0" w:afterAutospacing="0"/>
              <w:ind w:left="0" w:right="0"/>
              <w:jc w:val="center"/>
              <w:rPr>
                <w:rFonts w:hint="default" w:ascii="宋体" w:hAnsi="宋体"/>
                <w:szCs w:val="21"/>
              </w:rPr>
            </w:pPr>
            <w:r>
              <w:rPr>
                <w:rFonts w:hint="eastAsia" w:ascii="宋体" w:hAnsi="宋体"/>
                <w:szCs w:val="21"/>
              </w:rPr>
              <w:t>第23.1款</w:t>
            </w:r>
          </w:p>
        </w:tc>
        <w:tc>
          <w:tcPr>
            <w:tcW w:w="1742" w:type="dxa"/>
            <w:vAlign w:val="center"/>
          </w:tcPr>
          <w:p w14:paraId="5FCCB50B">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r>
              <w:rPr>
                <w:rFonts w:hint="eastAsia" w:ascii="宋体" w:hAnsi="宋体"/>
                <w:bCs/>
                <w:szCs w:val="21"/>
              </w:rPr>
              <w:t>其他专用条款</w:t>
            </w:r>
          </w:p>
        </w:tc>
        <w:tc>
          <w:tcPr>
            <w:tcW w:w="5170" w:type="dxa"/>
            <w:vAlign w:val="center"/>
          </w:tcPr>
          <w:p w14:paraId="19E852AF">
            <w:pPr>
              <w:keepNext w:val="0"/>
              <w:keepLines w:val="0"/>
              <w:suppressLineNumbers w:val="0"/>
              <w:adjustRightInd w:val="0"/>
              <w:snapToGrid w:val="0"/>
              <w:spacing w:before="0" w:beforeAutospacing="0" w:after="0" w:afterAutospacing="0"/>
              <w:ind w:left="0" w:right="0"/>
              <w:jc w:val="left"/>
              <w:rPr>
                <w:rFonts w:hint="default" w:ascii="宋体" w:hAnsi="宋体"/>
                <w:szCs w:val="21"/>
              </w:rPr>
            </w:pPr>
          </w:p>
        </w:tc>
      </w:tr>
    </w:tbl>
    <w:p w14:paraId="59AFC348"/>
    <w:p w14:paraId="298975A8"/>
    <w:p w14:paraId="4B038958">
      <w:pPr>
        <w:widowControl/>
        <w:jc w:val="left"/>
        <w:rPr>
          <w:rFonts w:ascii="宋体" w:hAnsi="宋体"/>
          <w:szCs w:val="21"/>
        </w:rPr>
      </w:pPr>
      <w:r>
        <w:rPr>
          <w:rFonts w:ascii="宋体" w:hAnsi="宋体"/>
          <w:szCs w:val="21"/>
        </w:rPr>
        <w:br w:type="page"/>
      </w:r>
    </w:p>
    <w:p w14:paraId="31AFD30C">
      <w:pPr>
        <w:pStyle w:val="7"/>
        <w:spacing w:before="120" w:beforeLines="50" w:after="120" w:afterLines="50"/>
        <w:ind w:left="562"/>
        <w:rPr>
          <w:rFonts w:hint="eastAsia"/>
          <w:sz w:val="28"/>
          <w:szCs w:val="28"/>
        </w:rPr>
      </w:pPr>
      <w:r>
        <w:rPr>
          <w:rFonts w:hint="eastAsia"/>
          <w:sz w:val="28"/>
          <w:szCs w:val="28"/>
        </w:rPr>
        <w:t>第二册  通用条款（公开招标）</w:t>
      </w:r>
    </w:p>
    <w:p w14:paraId="208CB98B">
      <w:pPr>
        <w:pStyle w:val="7"/>
        <w:numPr>
          <w:ilvl w:val="0"/>
          <w:numId w:val="9"/>
        </w:numPr>
        <w:spacing w:before="120" w:beforeLines="50" w:after="120" w:afterLines="50"/>
        <w:ind w:left="562" w:hanging="562"/>
        <w:rPr>
          <w:sz w:val="28"/>
          <w:szCs w:val="28"/>
        </w:rPr>
      </w:pPr>
      <w:bookmarkStart w:id="83" w:name="_Hlk72399513"/>
      <w:r>
        <w:rPr>
          <w:rFonts w:hint="eastAsia"/>
          <w:sz w:val="28"/>
          <w:szCs w:val="28"/>
        </w:rPr>
        <w:t>总则</w:t>
      </w:r>
    </w:p>
    <w:bookmarkEnd w:id="83"/>
    <w:p w14:paraId="7D920D28">
      <w:pPr>
        <w:rPr>
          <w:rFonts w:ascii="黑体" w:hAnsi="宋体" w:eastAsia="黑体"/>
          <w:sz w:val="24"/>
        </w:rPr>
      </w:pPr>
      <w:r>
        <w:rPr>
          <w:rFonts w:hint="eastAsia" w:ascii="黑体" w:hAnsi="宋体" w:eastAsia="黑体"/>
          <w:sz w:val="24"/>
        </w:rPr>
        <w:t>1. 通用条款说明</w:t>
      </w:r>
    </w:p>
    <w:p w14:paraId="1F4580A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84" w:name="_Hlk72399729"/>
      <w:r>
        <w:rPr>
          <w:rFonts w:hint="eastAsia" w:ascii="宋体" w:hAnsi="宋体"/>
          <w:szCs w:val="21"/>
        </w:rPr>
        <w:t>如有需要，政府集中采购机构可以对通用条款的内容进行补充。</w:t>
      </w:r>
      <w:bookmarkEnd w:id="84"/>
    </w:p>
    <w:p w14:paraId="06BD37DA">
      <w:pPr>
        <w:ind w:firstLine="411" w:firstLineChars="196"/>
        <w:rPr>
          <w:rFonts w:ascii="宋体" w:hAnsi="宋体"/>
          <w:szCs w:val="21"/>
        </w:rPr>
      </w:pPr>
      <w:r>
        <w:rPr>
          <w:rFonts w:hint="eastAsia" w:ascii="宋体" w:hAnsi="宋体"/>
          <w:szCs w:val="21"/>
        </w:rPr>
        <w:t>1.2招标文件分为第一册“专用条款”和第二册“通用条款”。</w:t>
      </w:r>
    </w:p>
    <w:p w14:paraId="41B73E68">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w:t>
      </w:r>
      <w:r>
        <w:rPr>
          <w:rFonts w:hint="eastAsia"/>
        </w:rPr>
        <w:t>投标文件组成要求及格式</w:t>
      </w:r>
      <w:r>
        <w:rPr>
          <w:rFonts w:hint="eastAsia" w:ascii="宋体" w:hAnsi="宋体"/>
          <w:szCs w:val="21"/>
        </w:rPr>
        <w:t>、合同条款及格式等内容。</w:t>
      </w:r>
    </w:p>
    <w:p w14:paraId="7583EC70">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365507CC">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3F19C5B9">
      <w:pPr>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14:paraId="6679CE30">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661ECC42">
      <w:pPr>
        <w:rPr>
          <w:rFonts w:ascii="黑体" w:hAnsi="宋体" w:eastAsia="黑体"/>
          <w:sz w:val="24"/>
        </w:rPr>
      </w:pPr>
      <w:r>
        <w:rPr>
          <w:rFonts w:hint="eastAsia" w:ascii="黑体" w:hAnsi="宋体" w:eastAsia="黑体"/>
          <w:sz w:val="24"/>
        </w:rPr>
        <w:t>3．定义</w:t>
      </w:r>
    </w:p>
    <w:p w14:paraId="6A8F07F4">
      <w:pPr>
        <w:ind w:firstLine="420" w:firstLineChars="200"/>
        <w:rPr>
          <w:rFonts w:ascii="宋体" w:hAnsi="宋体"/>
          <w:szCs w:val="21"/>
        </w:rPr>
      </w:pPr>
      <w:r>
        <w:rPr>
          <w:rFonts w:ascii="宋体" w:hAnsi="宋体"/>
          <w:szCs w:val="21"/>
        </w:rPr>
        <w:t>招标文件中下列术语应解释为：</w:t>
      </w:r>
    </w:p>
    <w:p w14:paraId="4FE9A509">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2F090858">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094857FC">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6B05F6DC">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097EE080">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609E8D29">
      <w:pPr>
        <w:ind w:firstLine="411" w:firstLineChars="196"/>
        <w:rPr>
          <w:rFonts w:ascii="宋体" w:hAnsi="宋体"/>
          <w:szCs w:val="21"/>
        </w:rPr>
      </w:pPr>
      <w:r>
        <w:rPr>
          <w:rFonts w:hint="eastAsia" w:ascii="宋体" w:hAnsi="宋体"/>
          <w:szCs w:val="21"/>
        </w:rPr>
        <w:t>3.6“合同”指由本次招标所产生的合同或合约文件；</w:t>
      </w:r>
    </w:p>
    <w:p w14:paraId="02A8393D">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63E1F260">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547D6880">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26AB7FD1">
      <w:pPr>
        <w:rPr>
          <w:rFonts w:ascii="黑体" w:hAnsi="宋体" w:eastAsia="黑体"/>
          <w:sz w:val="24"/>
        </w:rPr>
      </w:pPr>
      <w:r>
        <w:rPr>
          <w:rFonts w:hint="eastAsia" w:ascii="黑体" w:hAnsi="宋体" w:eastAsia="黑体"/>
          <w:sz w:val="24"/>
        </w:rPr>
        <w:t xml:space="preserve">4. </w:t>
      </w:r>
      <w:bookmarkStart w:id="85" w:name="_Hlk72398643"/>
      <w:r>
        <w:rPr>
          <w:rFonts w:hint="eastAsia" w:ascii="黑体" w:hAnsi="宋体" w:eastAsia="黑体"/>
          <w:sz w:val="24"/>
        </w:rPr>
        <w:t>政府采购供应商责任</w:t>
      </w:r>
    </w:p>
    <w:p w14:paraId="6B55BE26">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4D55C869">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553AF935">
      <w:pPr>
        <w:rPr>
          <w:rFonts w:ascii="黑体" w:hAnsi="宋体" w:eastAsia="黑体"/>
          <w:sz w:val="24"/>
        </w:rPr>
      </w:pPr>
      <w:r>
        <w:rPr>
          <w:rFonts w:hint="eastAsia" w:ascii="黑体" w:hAnsi="宋体" w:eastAsia="黑体"/>
          <w:sz w:val="24"/>
        </w:rPr>
        <w:t>5．投标人参加政府采购的条件</w:t>
      </w:r>
    </w:p>
    <w:p w14:paraId="687A7DAC">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p>
    <w:p w14:paraId="3573DAA1">
      <w:pPr>
        <w:ind w:firstLine="411" w:firstLineChars="196"/>
        <w:rPr>
          <w:rFonts w:ascii="宋体" w:hAnsi="宋体"/>
          <w:szCs w:val="21"/>
        </w:rPr>
      </w:pPr>
      <w:r>
        <w:rPr>
          <w:rFonts w:hint="eastAsia" w:ascii="宋体" w:hAnsi="宋体"/>
          <w:szCs w:val="21"/>
        </w:rPr>
        <w:t>5.2投标人资格要求</w:t>
      </w:r>
    </w:p>
    <w:p w14:paraId="5CC93D88">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130F8EC">
      <w:pPr>
        <w:ind w:firstLine="411" w:firstLineChars="196"/>
        <w:rPr>
          <w:rFonts w:ascii="宋体" w:hAnsi="宋体"/>
          <w:szCs w:val="21"/>
        </w:rPr>
      </w:pPr>
      <w:r>
        <w:rPr>
          <w:rFonts w:hint="eastAsia" w:ascii="宋体" w:hAnsi="宋体"/>
          <w:szCs w:val="21"/>
        </w:rPr>
        <w:t>5.3联合体投标</w:t>
      </w:r>
    </w:p>
    <w:p w14:paraId="649C305C">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79FE0663">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3F74910D">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0203C713">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2D3D67F2">
      <w:pPr>
        <w:ind w:left="420" w:firstLine="411" w:firstLineChars="196"/>
        <w:rPr>
          <w:rFonts w:ascii="宋体" w:hAnsi="宋体"/>
        </w:rPr>
      </w:pPr>
      <w:r>
        <w:rPr>
          <w:rFonts w:hint="eastAsia" w:ascii="宋体" w:hAnsi="宋体"/>
        </w:rPr>
        <w:t>2</w:t>
      </w:r>
      <w:r>
        <w:rPr>
          <w:rFonts w:hint="eastAsia" w:ascii="宋体" w:hAnsi="宋体"/>
          <w:lang w:val="en-US" w:eastAsia="zh-CN"/>
        </w:rPr>
        <w:t>.</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F236746">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2D04FC8E">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2F2146D8">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F271574">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250FDCAD">
      <w:pPr>
        <w:ind w:firstLine="411" w:firstLineChars="196"/>
        <w:rPr>
          <w:rFonts w:ascii="宋体" w:hAnsi="宋体"/>
        </w:rPr>
      </w:pPr>
      <w:r>
        <w:rPr>
          <w:rFonts w:hint="eastAsia" w:ascii="宋体" w:hAnsi="宋体"/>
        </w:rPr>
        <w:t>（2）在投标截止前，投标联合体各方均应注册成</w:t>
      </w:r>
      <w:r>
        <w:rPr>
          <w:rFonts w:hint="eastAsia" w:ascii="宋体" w:hAnsi="宋体"/>
          <w:lang w:eastAsia="zh-CN"/>
        </w:rPr>
        <w:t>为</w:t>
      </w:r>
      <w:r>
        <w:rPr>
          <w:rFonts w:hint="eastAsia" w:ascii="宋体" w:hAnsi="宋体"/>
        </w:rPr>
        <w:t>政府集中采购机构供应商；</w:t>
      </w:r>
    </w:p>
    <w:p w14:paraId="4C987136">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7D096651">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803FA10">
      <w:pPr>
        <w:ind w:firstLine="411" w:firstLineChars="196"/>
        <w:rPr>
          <w:rFonts w:ascii="宋体" w:hAnsi="宋体"/>
        </w:rPr>
      </w:pPr>
      <w:r>
        <w:rPr>
          <w:rFonts w:hint="eastAsia" w:ascii="宋体" w:hAnsi="宋体"/>
        </w:rPr>
        <w:t>（5）投标人的投标文件及中标后签署的合同协议对联合体各方均具</w:t>
      </w:r>
      <w:r>
        <w:rPr>
          <w:rFonts w:hint="eastAsia" w:ascii="宋体" w:hAnsi="宋体"/>
          <w:lang w:eastAsia="zh-CN"/>
        </w:rPr>
        <w:t>有</w:t>
      </w:r>
      <w:r>
        <w:rPr>
          <w:rFonts w:hint="eastAsia" w:ascii="宋体" w:hAnsi="宋体"/>
        </w:rPr>
        <w:t>法律约束力；</w:t>
      </w:r>
    </w:p>
    <w:p w14:paraId="666FE1D3">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0B5B7940">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53EB7A90">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6504E5C">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14056EEB">
      <w:pPr>
        <w:rPr>
          <w:rFonts w:ascii="黑体" w:hAnsi="宋体" w:eastAsia="黑体"/>
          <w:sz w:val="24"/>
        </w:rPr>
      </w:pPr>
      <w:r>
        <w:rPr>
          <w:rFonts w:hint="eastAsia" w:ascii="黑体" w:hAnsi="宋体" w:eastAsia="黑体"/>
          <w:sz w:val="24"/>
        </w:rPr>
        <w:t>6．政策导向</w:t>
      </w:r>
    </w:p>
    <w:p w14:paraId="21D91725">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政府采购支持本国产品、支持中小企业、监狱企业和残疾人福利性单位发展，支持乡村产业振兴，支持创新、节能减排、绿色环保等。</w:t>
      </w:r>
    </w:p>
    <w:p w14:paraId="74CFBCE4">
      <w:pPr>
        <w:ind w:firstLine="405"/>
        <w:rPr>
          <w:rFonts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4AA80863">
      <w:pPr>
        <w:ind w:firstLine="405"/>
      </w:pPr>
      <w:r>
        <w:rPr>
          <w:rFonts w:hint="eastAsia" w:ascii="宋体" w:hAnsi="宋体"/>
        </w:rPr>
        <w:t>6.3  本项目支持投标人性别平等的相关政策。</w:t>
      </w:r>
    </w:p>
    <w:p w14:paraId="1F153696">
      <w:pPr>
        <w:rPr>
          <w:rFonts w:ascii="黑体" w:hAnsi="宋体" w:eastAsia="黑体"/>
          <w:sz w:val="24"/>
        </w:rPr>
      </w:pPr>
      <w:r>
        <w:rPr>
          <w:rFonts w:hint="eastAsia" w:ascii="黑体" w:hAnsi="宋体" w:eastAsia="黑体"/>
          <w:sz w:val="24"/>
        </w:rPr>
        <w:t>7. 本项目若涉及采购货物，则合格的货物及相应服务应满足以下要求：</w:t>
      </w:r>
    </w:p>
    <w:p w14:paraId="3A2FB36E">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548CE289">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50EF9204">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37E0A33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86"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86"/>
    </w:p>
    <w:p w14:paraId="3E747C74">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6249A131">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564CF8F5">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1C64AD85">
      <w:pPr>
        <w:rPr>
          <w:rFonts w:ascii="黑体" w:hAnsi="宋体" w:eastAsia="黑体"/>
          <w:sz w:val="24"/>
        </w:rPr>
      </w:pPr>
      <w:r>
        <w:rPr>
          <w:rFonts w:hint="eastAsia" w:ascii="黑体" w:hAnsi="宋体" w:eastAsia="黑体"/>
          <w:sz w:val="24"/>
        </w:rPr>
        <w:t>8．投标费用</w:t>
      </w:r>
    </w:p>
    <w:p w14:paraId="612F01E5">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24024EF6">
      <w:pPr>
        <w:rPr>
          <w:rFonts w:ascii="黑体" w:hAnsi="宋体" w:eastAsia="黑体"/>
          <w:sz w:val="24"/>
        </w:rPr>
      </w:pPr>
      <w:r>
        <w:rPr>
          <w:rFonts w:hint="eastAsia" w:ascii="黑体" w:hAnsi="宋体" w:eastAsia="黑体"/>
          <w:sz w:val="24"/>
        </w:rPr>
        <w:t>9．踏勘现场</w:t>
      </w:r>
    </w:p>
    <w:p w14:paraId="45963240">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50CCB329">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653444A8">
      <w:pPr>
        <w:ind w:firstLine="411" w:firstLineChars="196"/>
        <w:rPr>
          <w:rFonts w:ascii="宋体" w:hAnsi="宋体"/>
        </w:rPr>
      </w:pPr>
      <w:r>
        <w:rPr>
          <w:rFonts w:hint="eastAsia" w:ascii="宋体" w:hAnsi="宋体"/>
        </w:rPr>
        <w:t>9.3采购人应当通过政府集中采购机构向投标人提供有关现场的书面资料和数据。</w:t>
      </w:r>
    </w:p>
    <w:p w14:paraId="36119E50">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39D99C1F">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CFB22EC">
      <w:pPr>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14:paraId="61B788FD">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6D43C5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68A712DC">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85"/>
    <w:p w14:paraId="01B2D30A">
      <w:pPr>
        <w:ind w:firstLine="411" w:firstLineChars="196"/>
        <w:rPr>
          <w:rFonts w:ascii="宋体" w:hAnsi="宋体"/>
        </w:rPr>
      </w:pPr>
    </w:p>
    <w:p w14:paraId="79AFCC62">
      <w:pPr>
        <w:pStyle w:val="7"/>
        <w:numPr>
          <w:ilvl w:val="0"/>
          <w:numId w:val="9"/>
        </w:numPr>
        <w:spacing w:before="120" w:beforeLines="50" w:after="120" w:afterLines="50"/>
        <w:ind w:left="562" w:hanging="562"/>
        <w:rPr>
          <w:sz w:val="28"/>
          <w:szCs w:val="28"/>
        </w:rPr>
      </w:pPr>
      <w:r>
        <w:rPr>
          <w:rFonts w:hint="eastAsia"/>
          <w:sz w:val="28"/>
          <w:szCs w:val="28"/>
        </w:rPr>
        <w:t>招标文件</w:t>
      </w:r>
    </w:p>
    <w:p w14:paraId="68628AA8">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87" w:name="_Hlk72399819"/>
      <w:r>
        <w:rPr>
          <w:rFonts w:hint="eastAsia" w:ascii="黑体" w:hAnsi="宋体" w:eastAsia="黑体"/>
          <w:sz w:val="24"/>
        </w:rPr>
        <w:t>招标文件的编制与组成</w:t>
      </w:r>
    </w:p>
    <w:p w14:paraId="585D4E2F">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0138577">
      <w:pPr>
        <w:ind w:firstLine="411" w:firstLineChars="196"/>
        <w:rPr>
          <w:rFonts w:ascii="宋体" w:hAnsi="宋体"/>
          <w:szCs w:val="21"/>
        </w:rPr>
      </w:pPr>
      <w:r>
        <w:rPr>
          <w:rFonts w:hint="eastAsia" w:ascii="宋体" w:hAnsi="宋体"/>
          <w:szCs w:val="21"/>
        </w:rPr>
        <w:t>招标文件包括下列内容：</w:t>
      </w:r>
    </w:p>
    <w:p w14:paraId="7EA03ACC">
      <w:pPr>
        <w:ind w:left="420" w:leftChars="200" w:firstLine="413" w:firstLineChars="196"/>
        <w:rPr>
          <w:rFonts w:ascii="宋体" w:hAnsi="宋体"/>
          <w:b/>
          <w:szCs w:val="21"/>
        </w:rPr>
      </w:pPr>
      <w:r>
        <w:rPr>
          <w:rFonts w:hint="eastAsia" w:ascii="宋体" w:hAnsi="宋体"/>
          <w:b/>
          <w:szCs w:val="21"/>
        </w:rPr>
        <w:t>第一册  专用条款</w:t>
      </w:r>
    </w:p>
    <w:p w14:paraId="7E0D7469">
      <w:pPr>
        <w:ind w:left="1079" w:leftChars="514"/>
        <w:rPr>
          <w:rFonts w:ascii="宋体" w:hAnsi="宋体"/>
          <w:b/>
          <w:szCs w:val="21"/>
        </w:rPr>
      </w:pPr>
      <w:r>
        <w:rPr>
          <w:rFonts w:hint="eastAsia" w:ascii="宋体" w:hAnsi="宋体"/>
          <w:b/>
          <w:szCs w:val="21"/>
        </w:rPr>
        <w:t>关键信息</w:t>
      </w:r>
    </w:p>
    <w:p w14:paraId="54DAB6D1">
      <w:pPr>
        <w:ind w:left="630" w:leftChars="300" w:firstLine="411" w:firstLineChars="196"/>
        <w:rPr>
          <w:rFonts w:ascii="宋体" w:hAnsi="宋体"/>
          <w:szCs w:val="21"/>
        </w:rPr>
      </w:pPr>
      <w:r>
        <w:rPr>
          <w:rFonts w:hint="eastAsia" w:ascii="宋体" w:hAnsi="宋体"/>
          <w:szCs w:val="21"/>
        </w:rPr>
        <w:t>第一章  招标公告</w:t>
      </w:r>
    </w:p>
    <w:p w14:paraId="38CF0129">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19210A82">
      <w:pPr>
        <w:ind w:left="630" w:leftChars="300" w:firstLine="411" w:firstLineChars="196"/>
        <w:rPr>
          <w:rFonts w:ascii="宋体" w:hAnsi="宋体"/>
          <w:szCs w:val="21"/>
        </w:rPr>
      </w:pPr>
      <w:r>
        <w:rPr>
          <w:rFonts w:hint="eastAsia" w:ascii="宋体" w:hAnsi="宋体"/>
          <w:szCs w:val="21"/>
        </w:rPr>
        <w:t>第三章  用户需求书</w:t>
      </w:r>
    </w:p>
    <w:p w14:paraId="1EDBA374">
      <w:pPr>
        <w:ind w:left="630" w:leftChars="300" w:firstLine="411" w:firstLineChars="196"/>
        <w:rPr>
          <w:rFonts w:ascii="宋体" w:hAnsi="宋体"/>
          <w:szCs w:val="21"/>
        </w:rPr>
      </w:pPr>
      <w:r>
        <w:rPr>
          <w:rFonts w:hint="eastAsia"/>
        </w:rPr>
        <w:t xml:space="preserve">第四章 </w:t>
      </w:r>
      <w:r>
        <w:t xml:space="preserve"> </w:t>
      </w:r>
      <w:r>
        <w:rPr>
          <w:rFonts w:hint="eastAsia"/>
        </w:rPr>
        <w:t>投标文件组成要求及格式</w:t>
      </w:r>
    </w:p>
    <w:p w14:paraId="424264D6">
      <w:pPr>
        <w:ind w:left="630" w:leftChars="300" w:firstLine="411" w:firstLineChars="196"/>
        <w:rPr>
          <w:rFonts w:ascii="宋体" w:hAnsi="宋体"/>
          <w:szCs w:val="21"/>
        </w:rPr>
      </w:pPr>
      <w:r>
        <w:rPr>
          <w:rFonts w:hint="eastAsia" w:ascii="宋体" w:hAnsi="宋体"/>
          <w:szCs w:val="21"/>
        </w:rPr>
        <w:t>第五章  合同条款及格式</w:t>
      </w:r>
    </w:p>
    <w:p w14:paraId="0F07F2B1">
      <w:pPr>
        <w:ind w:left="420" w:leftChars="200" w:firstLine="413" w:firstLineChars="196"/>
        <w:rPr>
          <w:rFonts w:ascii="宋体" w:hAnsi="宋体"/>
          <w:b/>
          <w:szCs w:val="21"/>
        </w:rPr>
      </w:pPr>
      <w:r>
        <w:rPr>
          <w:rFonts w:hint="eastAsia" w:ascii="宋体" w:hAnsi="宋体"/>
          <w:b/>
          <w:szCs w:val="21"/>
        </w:rPr>
        <w:t>第二册  通用条款</w:t>
      </w:r>
    </w:p>
    <w:p w14:paraId="0F929C5A">
      <w:pPr>
        <w:ind w:left="630" w:leftChars="300" w:firstLine="411" w:firstLineChars="196"/>
        <w:rPr>
          <w:rFonts w:ascii="宋体" w:hAnsi="宋体"/>
          <w:szCs w:val="21"/>
        </w:rPr>
      </w:pPr>
      <w:r>
        <w:rPr>
          <w:rFonts w:hint="eastAsia" w:ascii="宋体" w:hAnsi="宋体"/>
          <w:szCs w:val="21"/>
        </w:rPr>
        <w:t>第一章  总则</w:t>
      </w:r>
    </w:p>
    <w:p w14:paraId="192BDA8E">
      <w:pPr>
        <w:ind w:left="630" w:leftChars="300" w:firstLine="411" w:firstLineChars="196"/>
        <w:rPr>
          <w:rFonts w:ascii="宋体" w:hAnsi="宋体"/>
          <w:szCs w:val="21"/>
        </w:rPr>
      </w:pPr>
      <w:r>
        <w:rPr>
          <w:rFonts w:hint="eastAsia" w:ascii="宋体" w:hAnsi="宋体"/>
          <w:szCs w:val="21"/>
        </w:rPr>
        <w:t>第二章  招标文件</w:t>
      </w:r>
    </w:p>
    <w:p w14:paraId="1FD14E54">
      <w:pPr>
        <w:ind w:left="630" w:leftChars="300" w:firstLine="411" w:firstLineChars="196"/>
        <w:rPr>
          <w:rFonts w:ascii="宋体" w:hAnsi="宋体"/>
          <w:szCs w:val="21"/>
        </w:rPr>
      </w:pPr>
      <w:r>
        <w:rPr>
          <w:rFonts w:hint="eastAsia" w:ascii="宋体" w:hAnsi="宋体"/>
          <w:szCs w:val="21"/>
        </w:rPr>
        <w:t>第三章  投标文件的编制</w:t>
      </w:r>
    </w:p>
    <w:p w14:paraId="614D734F">
      <w:pPr>
        <w:ind w:left="630" w:leftChars="300" w:firstLine="411" w:firstLineChars="196"/>
        <w:rPr>
          <w:rFonts w:ascii="宋体" w:hAnsi="宋体"/>
          <w:szCs w:val="21"/>
        </w:rPr>
      </w:pPr>
      <w:r>
        <w:rPr>
          <w:rFonts w:hint="eastAsia" w:ascii="宋体" w:hAnsi="宋体"/>
          <w:szCs w:val="21"/>
        </w:rPr>
        <w:t>第四章  投标文件的递交</w:t>
      </w:r>
    </w:p>
    <w:p w14:paraId="53BA8E4D">
      <w:pPr>
        <w:ind w:left="630" w:leftChars="300" w:firstLine="411" w:firstLineChars="196"/>
        <w:rPr>
          <w:rFonts w:ascii="宋体" w:hAnsi="宋体"/>
          <w:szCs w:val="21"/>
        </w:rPr>
      </w:pPr>
      <w:r>
        <w:rPr>
          <w:rFonts w:hint="eastAsia" w:ascii="宋体" w:hAnsi="宋体"/>
          <w:szCs w:val="21"/>
        </w:rPr>
        <w:t>第五章  开标</w:t>
      </w:r>
    </w:p>
    <w:p w14:paraId="710B2812">
      <w:pPr>
        <w:ind w:left="630" w:leftChars="300" w:firstLine="411" w:firstLineChars="196"/>
        <w:rPr>
          <w:rFonts w:ascii="宋体" w:hAnsi="宋体"/>
          <w:szCs w:val="21"/>
        </w:rPr>
      </w:pPr>
      <w:r>
        <w:rPr>
          <w:rFonts w:hint="eastAsia" w:ascii="宋体" w:hAnsi="宋体"/>
          <w:szCs w:val="21"/>
        </w:rPr>
        <w:t>第六章  评审要求</w:t>
      </w:r>
    </w:p>
    <w:p w14:paraId="6C1A947D">
      <w:pPr>
        <w:ind w:left="630" w:leftChars="300" w:firstLine="411" w:firstLineChars="196"/>
        <w:rPr>
          <w:rFonts w:ascii="宋体" w:hAnsi="宋体"/>
          <w:szCs w:val="21"/>
        </w:rPr>
      </w:pPr>
      <w:r>
        <w:rPr>
          <w:rFonts w:hint="eastAsia" w:ascii="宋体" w:hAnsi="宋体"/>
          <w:szCs w:val="21"/>
        </w:rPr>
        <w:t>第七章  评审程序及评审方法</w:t>
      </w:r>
    </w:p>
    <w:p w14:paraId="6076C02B">
      <w:pPr>
        <w:ind w:left="630" w:leftChars="300" w:firstLine="411" w:firstLineChars="196"/>
        <w:rPr>
          <w:rFonts w:ascii="宋体" w:hAnsi="宋体"/>
          <w:szCs w:val="21"/>
        </w:rPr>
      </w:pPr>
      <w:r>
        <w:rPr>
          <w:rFonts w:hint="eastAsia" w:ascii="宋体" w:hAnsi="宋体"/>
          <w:szCs w:val="21"/>
        </w:rPr>
        <w:t>第八章  定标及公示</w:t>
      </w:r>
    </w:p>
    <w:p w14:paraId="08064B56">
      <w:pPr>
        <w:ind w:left="630" w:leftChars="300" w:firstLine="411" w:firstLineChars="196"/>
        <w:rPr>
          <w:rFonts w:ascii="宋体" w:hAnsi="宋体"/>
          <w:szCs w:val="21"/>
        </w:rPr>
      </w:pPr>
      <w:r>
        <w:rPr>
          <w:rFonts w:hint="eastAsia" w:ascii="宋体" w:hAnsi="宋体"/>
          <w:szCs w:val="21"/>
        </w:rPr>
        <w:t>第九章  公开招标失败的后续处理</w:t>
      </w:r>
    </w:p>
    <w:p w14:paraId="2DBA605E">
      <w:pPr>
        <w:ind w:left="630" w:leftChars="300" w:firstLine="411" w:firstLineChars="196"/>
        <w:rPr>
          <w:rFonts w:ascii="宋体" w:hAnsi="宋体"/>
          <w:szCs w:val="21"/>
        </w:rPr>
      </w:pPr>
      <w:r>
        <w:rPr>
          <w:rFonts w:hint="eastAsia" w:ascii="宋体" w:hAnsi="宋体"/>
          <w:szCs w:val="21"/>
        </w:rPr>
        <w:t>第十章  合同的授予与备案</w:t>
      </w:r>
    </w:p>
    <w:p w14:paraId="46584FE8">
      <w:pPr>
        <w:ind w:left="630" w:leftChars="300" w:firstLine="411" w:firstLineChars="196"/>
        <w:rPr>
          <w:rFonts w:ascii="宋体" w:hAnsi="宋体"/>
          <w:szCs w:val="21"/>
        </w:rPr>
      </w:pPr>
      <w:r>
        <w:rPr>
          <w:rFonts w:hint="eastAsia" w:ascii="宋体" w:hAnsi="宋体"/>
          <w:szCs w:val="21"/>
        </w:rPr>
        <w:t>第十一章  质疑处理</w:t>
      </w:r>
    </w:p>
    <w:p w14:paraId="4B8BC50F">
      <w:pPr>
        <w:ind w:firstLine="411" w:firstLineChars="196"/>
        <w:rPr>
          <w:rFonts w:ascii="宋体" w:hAnsi="宋体"/>
          <w:color w:val="auto"/>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auto"/>
          <w:szCs w:val="21"/>
        </w:rPr>
        <w:t>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76C45D1F">
      <w:pPr>
        <w:ind w:firstLine="411" w:firstLineChars="196"/>
        <w:rPr>
          <w:rFonts w:ascii="宋体" w:hAnsi="宋体"/>
          <w:color w:val="auto"/>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rPr>
        <w:t>.3</w:t>
      </w:r>
      <w:r>
        <w:rPr>
          <w:rFonts w:hint="eastAsia" w:ascii="宋体" w:hAnsi="宋体"/>
          <w:color w:val="auto"/>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FCFC97E">
      <w:pPr>
        <w:pStyle w:val="2"/>
        <w:ind w:firstLine="420" w:firstLineChars="200"/>
        <w:rPr>
          <w:rFonts w:ascii="宋体" w:hAnsi="宋体"/>
          <w:b w:val="0"/>
          <w:bCs w:val="0"/>
          <w:color w:val="auto"/>
          <w:sz w:val="21"/>
        </w:rPr>
      </w:pPr>
      <w:r>
        <w:rPr>
          <w:rFonts w:hint="eastAsia" w:ascii="宋体" w:hAnsi="宋体"/>
          <w:b w:val="0"/>
          <w:bCs w:val="0"/>
          <w:color w:val="auto"/>
          <w:sz w:val="21"/>
        </w:rPr>
        <w:t>11.4招标文件所称“原件备查”，是指在项目产生质疑、投诉等阶段，主管部门、采购人、代理机构、评审委员会等可以要求供应商提供原件进行核查。</w:t>
      </w:r>
    </w:p>
    <w:p w14:paraId="17D6C62B">
      <w:pPr>
        <w:rPr>
          <w:rFonts w:ascii="黑体" w:hAnsi="宋体" w:eastAsia="黑体"/>
          <w:color w:val="auto"/>
          <w:sz w:val="24"/>
        </w:rPr>
      </w:pPr>
      <w:r>
        <w:rPr>
          <w:rFonts w:hint="eastAsia" w:ascii="黑体" w:hAnsi="宋体" w:eastAsia="黑体"/>
          <w:color w:val="auto"/>
          <w:sz w:val="24"/>
        </w:rPr>
        <w:t>1</w:t>
      </w:r>
      <w:r>
        <w:rPr>
          <w:rFonts w:ascii="黑体" w:hAnsi="宋体" w:eastAsia="黑体"/>
          <w:color w:val="auto"/>
          <w:sz w:val="24"/>
        </w:rPr>
        <w:t>2</w:t>
      </w:r>
      <w:r>
        <w:rPr>
          <w:rFonts w:hint="eastAsia" w:ascii="黑体" w:hAnsi="宋体" w:eastAsia="黑体"/>
          <w:color w:val="auto"/>
          <w:sz w:val="24"/>
        </w:rPr>
        <w:t>．招标文件的澄清</w:t>
      </w:r>
    </w:p>
    <w:p w14:paraId="49CE749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.1招标文件澄清的目的是澄清、解答投标人在查阅招标文件后或现场踏勘中可能提出的与投标有关的疑问或询问。</w:t>
      </w:r>
    </w:p>
    <w:p w14:paraId="0376372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.2投标人如对招标文件内容有疑问，应当在招标公告规定的澄清（提问）截止时间前以网上提问的形式通过网上政府采购系统提交政府集中采购机构。</w:t>
      </w:r>
    </w:p>
    <w:p w14:paraId="53D046C8">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color w:val="auto"/>
          <w:szCs w:val="21"/>
        </w:rPr>
        <w:t>3.3</w:t>
      </w:r>
      <w:r>
        <w:rPr>
          <w:rFonts w:hint="eastAsia" w:ascii="宋体" w:hAnsi="宋体"/>
          <w:color w:val="auto"/>
          <w:szCs w:val="21"/>
        </w:rPr>
        <w:t>、1</w:t>
      </w:r>
      <w:r>
        <w:rPr>
          <w:rFonts w:ascii="宋体" w:hAnsi="宋体"/>
          <w:color w:val="auto"/>
          <w:szCs w:val="21"/>
        </w:rPr>
        <w:t>3.4</w:t>
      </w:r>
      <w:r>
        <w:rPr>
          <w:rFonts w:hint="eastAsia" w:ascii="宋体" w:hAnsi="宋体"/>
          <w:color w:val="auto"/>
          <w:szCs w:val="21"/>
        </w:rPr>
        <w:t>款规定执行。</w:t>
      </w:r>
    </w:p>
    <w:p w14:paraId="20109E0A">
      <w:pPr>
        <w:rPr>
          <w:rFonts w:ascii="黑体" w:hAnsi="宋体" w:eastAsia="黑体"/>
          <w:color w:val="auto"/>
          <w:sz w:val="24"/>
        </w:rPr>
      </w:pPr>
      <w:r>
        <w:rPr>
          <w:rFonts w:ascii="黑体" w:hAnsi="宋体" w:eastAsia="黑体"/>
          <w:color w:val="auto"/>
          <w:sz w:val="24"/>
        </w:rPr>
        <w:t>1</w:t>
      </w:r>
      <w:r>
        <w:rPr>
          <w:rFonts w:hint="eastAsia" w:ascii="黑体" w:hAnsi="宋体" w:eastAsia="黑体"/>
          <w:color w:val="auto"/>
          <w:sz w:val="24"/>
        </w:rPr>
        <w:t>3．招标文件的修改</w:t>
      </w:r>
    </w:p>
    <w:p w14:paraId="54BA0B6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3.1招标文件发出后，在投标截止日期前任何时候，确需要变更招标文件内容的，政府集中采购机构可主动或在解答投标人提出的澄清问题时对招标文件进行修改。</w:t>
      </w:r>
    </w:p>
    <w:p w14:paraId="6B49AD98">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3.2招标文件的修改以书面形式（包括政府集中采购机构网站发布方式，如更正公告等）发送给所有投标人，招标文件的修改内容作为招标文件的组成部分，并具有约束力。</w:t>
      </w:r>
    </w:p>
    <w:p w14:paraId="19BC835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12E93CE7">
      <w:pPr>
        <w:ind w:firstLine="411" w:firstLineChars="196"/>
        <w:rPr>
          <w:rFonts w:ascii="宋体" w:hAnsi="宋体"/>
          <w:szCs w:val="21"/>
        </w:rPr>
      </w:pPr>
      <w:r>
        <w:rPr>
          <w:rFonts w:ascii="宋体" w:hAnsi="宋体"/>
          <w:color w:val="auto"/>
          <w:szCs w:val="21"/>
        </w:rPr>
        <w:t>1</w:t>
      </w:r>
      <w:r>
        <w:rPr>
          <w:rFonts w:hint="eastAsia" w:ascii="宋体" w:hAnsi="宋体"/>
          <w:color w:val="auto"/>
          <w:szCs w:val="21"/>
        </w:rPr>
        <w:t>3.4政府集中采购机构保证招标文件澄清答复内容和招标文件</w:t>
      </w:r>
      <w:r>
        <w:rPr>
          <w:rFonts w:hint="eastAsia" w:ascii="宋体" w:hAnsi="宋体"/>
          <w:szCs w:val="21"/>
        </w:rPr>
        <w:t>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87"/>
    </w:p>
    <w:p w14:paraId="3E60543B">
      <w:pPr>
        <w:rPr>
          <w:rFonts w:ascii="宋体" w:hAnsi="宋体"/>
          <w:szCs w:val="21"/>
        </w:rPr>
      </w:pPr>
    </w:p>
    <w:p w14:paraId="10D01805">
      <w:pPr>
        <w:pStyle w:val="7"/>
        <w:numPr>
          <w:ilvl w:val="0"/>
          <w:numId w:val="9"/>
        </w:numPr>
        <w:spacing w:before="120" w:beforeLines="50" w:after="120" w:afterLines="50"/>
        <w:ind w:left="562" w:hanging="562"/>
        <w:rPr>
          <w:sz w:val="28"/>
          <w:szCs w:val="28"/>
        </w:rPr>
      </w:pPr>
      <w:r>
        <w:rPr>
          <w:rFonts w:hint="eastAsia"/>
          <w:sz w:val="28"/>
          <w:szCs w:val="28"/>
        </w:rPr>
        <w:t>投标文件的编制</w:t>
      </w:r>
    </w:p>
    <w:p w14:paraId="60F06672">
      <w:pPr>
        <w:rPr>
          <w:rFonts w:ascii="黑体" w:hAnsi="宋体" w:eastAsia="黑体"/>
          <w:sz w:val="24"/>
        </w:rPr>
      </w:pPr>
      <w:r>
        <w:rPr>
          <w:rFonts w:hint="eastAsia" w:ascii="黑体" w:hAnsi="宋体" w:eastAsia="黑体"/>
          <w:sz w:val="24"/>
        </w:rPr>
        <w:t>14．</w:t>
      </w:r>
      <w:bookmarkStart w:id="88" w:name="_Hlk72400236"/>
      <w:r>
        <w:rPr>
          <w:rFonts w:hint="eastAsia" w:ascii="黑体" w:hAnsi="宋体" w:eastAsia="黑体"/>
          <w:sz w:val="24"/>
        </w:rPr>
        <w:t>投标文件的语言及度量单位</w:t>
      </w:r>
    </w:p>
    <w:p w14:paraId="160CA821">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7AD4F1C0">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88"/>
    <w:p w14:paraId="46EC4CC1">
      <w:pPr>
        <w:rPr>
          <w:rFonts w:ascii="黑体" w:hAnsi="宋体" w:eastAsia="黑体"/>
          <w:sz w:val="24"/>
        </w:rPr>
      </w:pPr>
      <w:r>
        <w:rPr>
          <w:rFonts w:hint="eastAsia" w:ascii="黑体" w:hAnsi="宋体" w:eastAsia="黑体"/>
          <w:sz w:val="24"/>
        </w:rPr>
        <w:t>15．</w:t>
      </w:r>
      <w:bookmarkStart w:id="89" w:name="_Hlk72401567"/>
      <w:r>
        <w:rPr>
          <w:rFonts w:hint="eastAsia" w:ascii="黑体" w:hAnsi="宋体" w:eastAsia="黑体"/>
          <w:sz w:val="24"/>
        </w:rPr>
        <w:t>投标文件的组成</w:t>
      </w:r>
    </w:p>
    <w:p w14:paraId="2682F2DC">
      <w:pPr>
        <w:ind w:firstLine="411" w:firstLineChars="196"/>
        <w:rPr>
          <w:rFonts w:ascii="宋体" w:hAnsi="宋体"/>
          <w:szCs w:val="21"/>
        </w:rPr>
      </w:pPr>
      <w:r>
        <w:rPr>
          <w:rFonts w:hint="eastAsia" w:ascii="宋体" w:hAnsi="宋体"/>
          <w:szCs w:val="21"/>
        </w:rPr>
        <w:t>具体内容在招标文件专用条款中进行规定。</w:t>
      </w:r>
    </w:p>
    <w:p w14:paraId="5CB2AFDE">
      <w:pPr>
        <w:rPr>
          <w:rFonts w:ascii="黑体" w:hAnsi="宋体" w:eastAsia="黑体"/>
          <w:sz w:val="24"/>
        </w:rPr>
      </w:pPr>
      <w:r>
        <w:rPr>
          <w:rFonts w:ascii="黑体" w:hAnsi="宋体" w:eastAsia="黑体"/>
          <w:sz w:val="24"/>
        </w:rPr>
        <w:t>16．投标文件格式</w:t>
      </w:r>
    </w:p>
    <w:p w14:paraId="56044EFC">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0C79507C">
      <w:pPr>
        <w:rPr>
          <w:rFonts w:ascii="黑体" w:hAnsi="宋体" w:eastAsia="黑体"/>
          <w:sz w:val="24"/>
        </w:rPr>
      </w:pPr>
      <w:r>
        <w:rPr>
          <w:rFonts w:hint="eastAsia" w:ascii="黑体" w:hAnsi="宋体" w:eastAsia="黑体"/>
          <w:sz w:val="24"/>
        </w:rPr>
        <w:t>17．投标货币</w:t>
      </w:r>
    </w:p>
    <w:p w14:paraId="1E711FE2">
      <w:pPr>
        <w:ind w:firstLine="411" w:firstLineChars="196"/>
        <w:rPr>
          <w:rFonts w:ascii="宋体" w:hAnsi="宋体"/>
          <w:szCs w:val="21"/>
        </w:rPr>
      </w:pPr>
      <w:r>
        <w:rPr>
          <w:rFonts w:hint="eastAsia" w:ascii="宋体" w:hAnsi="宋体"/>
          <w:szCs w:val="21"/>
        </w:rPr>
        <w:t>本项目的投标报价应以人民币计。</w:t>
      </w:r>
    </w:p>
    <w:bookmarkEnd w:id="89"/>
    <w:p w14:paraId="1AF43146">
      <w:pPr>
        <w:rPr>
          <w:rFonts w:ascii="黑体" w:hAnsi="宋体" w:eastAsia="黑体"/>
          <w:sz w:val="24"/>
        </w:rPr>
      </w:pPr>
      <w:r>
        <w:rPr>
          <w:rFonts w:hint="eastAsia" w:ascii="黑体" w:hAnsi="宋体" w:eastAsia="黑体"/>
          <w:sz w:val="24"/>
        </w:rPr>
        <w:t>18．</w:t>
      </w:r>
      <w:bookmarkStart w:id="90" w:name="_Hlk72401735"/>
      <w:r>
        <w:rPr>
          <w:rFonts w:hint="eastAsia" w:ascii="黑体" w:hAnsi="宋体" w:eastAsia="黑体"/>
          <w:sz w:val="24"/>
        </w:rPr>
        <w:t>证明投标文件投标技术方案的合格性和符合招标文件规定的文件要求</w:t>
      </w:r>
    </w:p>
    <w:p w14:paraId="5444304C">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2A918219">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6307F768">
      <w:pPr>
        <w:ind w:firstLine="411" w:firstLineChars="196"/>
        <w:rPr>
          <w:rFonts w:ascii="宋体" w:hAnsi="宋体"/>
          <w:szCs w:val="21"/>
        </w:rPr>
      </w:pPr>
      <w:r>
        <w:rPr>
          <w:rFonts w:hint="eastAsia" w:ascii="宋体" w:hAnsi="宋体"/>
          <w:szCs w:val="21"/>
        </w:rPr>
        <w:t>18.2.1主要技术指标和性能的详细说明。</w:t>
      </w:r>
    </w:p>
    <w:p w14:paraId="70195CE3">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67CBFCEC">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51603E4">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15C1DC87">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5DF22497">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2D903DD1">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66FCE4F2">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90"/>
    <w:p w14:paraId="1DB97597">
      <w:pPr>
        <w:rPr>
          <w:rFonts w:ascii="黑体" w:hAnsi="宋体" w:eastAsia="黑体"/>
          <w:sz w:val="24"/>
        </w:rPr>
      </w:pPr>
      <w:r>
        <w:rPr>
          <w:rFonts w:hint="eastAsia" w:ascii="黑体" w:hAnsi="宋体" w:eastAsia="黑体"/>
          <w:sz w:val="24"/>
        </w:rPr>
        <w:t>19．</w:t>
      </w:r>
      <w:bookmarkStart w:id="91" w:name="_Hlk72402034"/>
      <w:r>
        <w:rPr>
          <w:rFonts w:hint="eastAsia" w:ascii="黑体" w:hAnsi="宋体" w:eastAsia="黑体"/>
          <w:sz w:val="24"/>
        </w:rPr>
        <w:t>投标文件其他证明文件的要求</w:t>
      </w:r>
    </w:p>
    <w:p w14:paraId="3DC12215">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92" w:name="_Hlk71407299"/>
      <w:r>
        <w:rPr>
          <w:rFonts w:hint="eastAsia" w:ascii="宋体" w:hAnsi="宋体"/>
          <w:szCs w:val="21"/>
        </w:rPr>
        <w:t>若投标人未按要求提供证明材料或提供的是部分证明材料或提供不清晰的扫描件（或照片）的，采购人、代理机构</w:t>
      </w:r>
      <w:r>
        <w:rPr>
          <w:rFonts w:hint="eastAsia" w:ascii="宋体" w:hAnsi="宋体"/>
          <w:szCs w:val="21"/>
          <w:lang w:val="en-US" w:eastAsia="zh-CN"/>
        </w:rPr>
        <w:t>以</w:t>
      </w:r>
      <w:r>
        <w:rPr>
          <w:rFonts w:hint="eastAsia" w:ascii="宋体" w:hAnsi="宋体"/>
          <w:szCs w:val="21"/>
        </w:rPr>
        <w:t>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92"/>
    <w:p w14:paraId="0F7EFF36">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w:t>
      </w:r>
      <w:r>
        <w:rPr>
          <w:rFonts w:hint="eastAsia" w:ascii="宋体" w:hAnsi="宋体"/>
          <w:szCs w:val="21"/>
          <w:lang w:eastAsia="zh-CN"/>
        </w:rPr>
        <w:t>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53784F54">
      <w:pPr>
        <w:rPr>
          <w:rFonts w:ascii="黑体" w:hAnsi="宋体" w:eastAsia="黑体"/>
          <w:sz w:val="24"/>
        </w:rPr>
      </w:pPr>
      <w:r>
        <w:rPr>
          <w:rFonts w:hint="eastAsia" w:ascii="黑体" w:hAnsi="宋体" w:eastAsia="黑体"/>
          <w:sz w:val="24"/>
        </w:rPr>
        <w:t>20．投标有效期</w:t>
      </w:r>
    </w:p>
    <w:bookmarkEnd w:id="91"/>
    <w:p w14:paraId="68F6E455">
      <w:pPr>
        <w:ind w:firstLine="411" w:firstLineChars="196"/>
        <w:rPr>
          <w:rFonts w:ascii="宋体" w:hAnsi="宋体"/>
          <w:szCs w:val="21"/>
        </w:rPr>
      </w:pPr>
      <w:bookmarkStart w:id="93"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4F3D8E31">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48187781">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93"/>
    <w:p w14:paraId="7E233025">
      <w:pPr>
        <w:rPr>
          <w:rFonts w:ascii="黑体" w:hAnsi="宋体" w:eastAsia="黑体"/>
          <w:sz w:val="24"/>
        </w:rPr>
      </w:pPr>
      <w:r>
        <w:rPr>
          <w:rFonts w:hint="eastAsia" w:ascii="黑体" w:hAnsi="宋体" w:eastAsia="黑体"/>
          <w:sz w:val="24"/>
        </w:rPr>
        <w:t>21．</w:t>
      </w:r>
      <w:bookmarkStart w:id="94" w:name="_Hlk72402325"/>
      <w:r>
        <w:rPr>
          <w:rFonts w:hint="eastAsia" w:ascii="黑体" w:hAnsi="宋体" w:eastAsia="黑体"/>
          <w:sz w:val="24"/>
        </w:rPr>
        <w:t xml:space="preserve">关于投标保证金 </w:t>
      </w:r>
    </w:p>
    <w:p w14:paraId="2A029EE6">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56F641DF">
      <w:pPr>
        <w:rPr>
          <w:rFonts w:ascii="黑体" w:hAnsi="宋体" w:eastAsia="黑体"/>
          <w:sz w:val="24"/>
        </w:rPr>
      </w:pPr>
      <w:r>
        <w:rPr>
          <w:rFonts w:hint="eastAsia" w:ascii="黑体" w:hAnsi="宋体" w:eastAsia="黑体"/>
          <w:sz w:val="24"/>
        </w:rPr>
        <w:t>22．投标人的替代方案</w:t>
      </w:r>
    </w:p>
    <w:p w14:paraId="5DDD29DF">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1841A7FC">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94"/>
    <w:p w14:paraId="2652386F">
      <w:pPr>
        <w:rPr>
          <w:rFonts w:ascii="黑体" w:hAnsi="宋体" w:eastAsia="黑体"/>
          <w:sz w:val="24"/>
        </w:rPr>
      </w:pPr>
      <w:r>
        <w:rPr>
          <w:rFonts w:hint="eastAsia" w:ascii="黑体" w:hAnsi="宋体" w:eastAsia="黑体"/>
          <w:sz w:val="24"/>
        </w:rPr>
        <w:t>23．</w:t>
      </w:r>
      <w:bookmarkStart w:id="95"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524B4B0D">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21067EB3">
      <w:pPr>
        <w:ind w:firstLine="411" w:firstLineChars="196"/>
        <w:rPr>
          <w:rFonts w:ascii="宋体" w:hAnsi="宋体"/>
        </w:rPr>
      </w:pPr>
      <w:r>
        <w:rPr>
          <w:rFonts w:hint="eastAsia" w:ascii="宋体" w:hAnsi="宋体"/>
        </w:rPr>
        <w:t>23.2投标人在使用《投标书编制软件》编制投标书时须注意：</w:t>
      </w:r>
    </w:p>
    <w:p w14:paraId="68BFE19D">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27161624">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4A1C384E">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471AE4E1">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642094EE">
      <w:pPr>
        <w:ind w:firstLine="411" w:firstLineChars="196"/>
        <w:rPr>
          <w:rFonts w:ascii="宋体" w:hAnsi="宋体"/>
        </w:rPr>
      </w:pPr>
      <w:r>
        <w:rPr>
          <w:rFonts w:hint="eastAsia" w:ascii="宋体" w:hAnsi="宋体"/>
        </w:rPr>
        <w:t>23.2.5完整填写“投标关键信息”，如下图所示：</w:t>
      </w:r>
    </w:p>
    <w:p w14:paraId="7ADDD882">
      <w:pPr>
        <w:ind w:firstLine="411" w:firstLineChars="196"/>
        <w:rPr>
          <w:rFonts w:ascii="宋体" w:hAnsi="宋体"/>
        </w:rPr>
      </w:pPr>
      <w:r>
        <w:rPr>
          <w:rFonts w:ascii="宋体" w:hAnsi="宋体"/>
        </w:rPr>
        <w:drawing>
          <wp:inline distT="0" distB="0" distL="0" distR="0">
            <wp:extent cx="5278755" cy="2721610"/>
            <wp:effectExtent l="0" t="0" r="9525" b="635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4B9D6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7ECA8B36">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FB5A0E5">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4B66FD52">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0FAF66E8">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57D3AD5">
      <w:pPr>
        <w:ind w:firstLine="411" w:firstLineChars="196"/>
        <w:rPr>
          <w:rFonts w:ascii="宋体" w:hAnsi="宋体"/>
        </w:rPr>
      </w:pPr>
      <w:r>
        <w:rPr>
          <w:rFonts w:hint="eastAsia" w:ascii="宋体" w:hAnsi="宋体"/>
        </w:rPr>
        <w:t>23.3电报、电话、传真形式的投标概不接受。</w:t>
      </w:r>
    </w:p>
    <w:p w14:paraId="1B629714">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29AB91B4">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bookmarkEnd w:id="95"/>
    </w:p>
    <w:p w14:paraId="75FB5168">
      <w:pPr>
        <w:ind w:firstLine="411" w:firstLineChars="196"/>
        <w:rPr>
          <w:rFonts w:ascii="宋体" w:hAnsi="宋体"/>
          <w:szCs w:val="21"/>
        </w:rPr>
      </w:pPr>
    </w:p>
    <w:p w14:paraId="37D0EB57">
      <w:pPr>
        <w:pStyle w:val="7"/>
        <w:numPr>
          <w:ilvl w:val="0"/>
          <w:numId w:val="9"/>
        </w:numPr>
        <w:spacing w:before="120" w:beforeLines="50" w:after="120" w:afterLines="50"/>
        <w:ind w:left="562" w:hanging="562"/>
        <w:rPr>
          <w:sz w:val="28"/>
          <w:szCs w:val="28"/>
        </w:rPr>
      </w:pPr>
      <w:r>
        <w:rPr>
          <w:rFonts w:hint="eastAsia"/>
          <w:sz w:val="28"/>
          <w:szCs w:val="28"/>
        </w:rPr>
        <w:t>投标文件的递交</w:t>
      </w:r>
    </w:p>
    <w:p w14:paraId="037164E5">
      <w:pPr>
        <w:rPr>
          <w:rFonts w:ascii="黑体" w:hAnsi="宋体" w:eastAsia="黑体"/>
          <w:sz w:val="24"/>
        </w:rPr>
      </w:pPr>
      <w:bookmarkStart w:id="96" w:name="_Hlk72405459"/>
      <w:r>
        <w:rPr>
          <w:rFonts w:hint="eastAsia" w:ascii="黑体" w:hAnsi="宋体" w:eastAsia="黑体"/>
          <w:sz w:val="24"/>
        </w:rPr>
        <w:t>24．投标文件的保密</w:t>
      </w:r>
    </w:p>
    <w:p w14:paraId="37F690FE">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7B6F87E5">
      <w:pPr>
        <w:widowControl/>
        <w:jc w:val="left"/>
        <w:rPr>
          <w:rFonts w:ascii="宋体" w:hAnsi="宋体" w:cs="宋体"/>
          <w:kern w:val="0"/>
          <w:sz w:val="24"/>
        </w:rPr>
      </w:pPr>
      <w:r>
        <w:rPr>
          <w:rFonts w:ascii="宋体" w:hAnsi="宋体"/>
        </w:rPr>
        <w:drawing>
          <wp:inline distT="0" distB="0" distL="0" distR="0">
            <wp:extent cx="5278755" cy="2721610"/>
            <wp:effectExtent l="0" t="0" r="9525" b="635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6089AC7C">
      <w:pPr>
        <w:ind w:firstLine="480" w:firstLineChars="200"/>
        <w:rPr>
          <w:sz w:val="24"/>
        </w:rPr>
      </w:pPr>
    </w:p>
    <w:p w14:paraId="08FB3FDF">
      <w:pPr>
        <w:rPr>
          <w:sz w:val="24"/>
        </w:rPr>
      </w:pPr>
      <w:r>
        <w:rPr>
          <w:rFonts w:ascii="宋体" w:hAnsi="宋体"/>
        </w:rPr>
        <w:drawing>
          <wp:inline distT="0" distB="0" distL="0" distR="0">
            <wp:extent cx="5278755" cy="2732405"/>
            <wp:effectExtent l="0" t="0" r="9525" b="10795"/>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A93BB47">
      <w:pPr>
        <w:ind w:firstLine="411" w:firstLineChars="196"/>
        <w:rPr>
          <w:rFonts w:ascii="宋体" w:hAnsi="宋体"/>
        </w:rPr>
      </w:pPr>
    </w:p>
    <w:p w14:paraId="786A6446">
      <w:pPr>
        <w:rPr>
          <w:rFonts w:ascii="宋体" w:hAnsi="宋体"/>
          <w:b/>
        </w:rPr>
      </w:pPr>
      <w:r>
        <w:rPr>
          <w:rFonts w:hint="eastAsia" w:ascii="黑体" w:hAnsi="宋体" w:eastAsia="黑体"/>
          <w:sz w:val="24"/>
        </w:rPr>
        <w:t>24.2若采购项目出现延期情况：</w:t>
      </w:r>
    </w:p>
    <w:p w14:paraId="7C9FD55F">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w:t>
      </w:r>
      <w:r>
        <w:rPr>
          <w:rFonts w:hint="eastAsia" w:ascii="宋体" w:hAnsi="宋体"/>
          <w:b w:val="0"/>
          <w:bCs w:val="0"/>
          <w:lang w:eastAsia="zh-CN"/>
        </w:rPr>
        <w:t>确</w:t>
      </w:r>
      <w:r>
        <w:rPr>
          <w:rFonts w:hint="eastAsia" w:ascii="宋体" w:hAnsi="宋体"/>
          <w:b w:val="0"/>
          <w:bCs w:val="0"/>
        </w:rPr>
        <w:t>定</w:t>
      </w:r>
      <w:r>
        <w:rPr>
          <w:rFonts w:hint="eastAsia" w:ascii="宋体" w:hAnsi="宋体"/>
        </w:rPr>
        <w:t>）。否则，投标人自行承担投标文件无法解密导致投标无效的后果。</w:t>
      </w:r>
    </w:p>
    <w:p w14:paraId="71A7E1E6">
      <w:pPr>
        <w:rPr>
          <w:rFonts w:ascii="黑体" w:hAnsi="宋体" w:eastAsia="黑体"/>
          <w:sz w:val="24"/>
        </w:rPr>
      </w:pPr>
      <w:r>
        <w:rPr>
          <w:rFonts w:hint="eastAsia" w:ascii="黑体" w:hAnsi="宋体" w:eastAsia="黑体"/>
          <w:sz w:val="24"/>
        </w:rPr>
        <w:t>25．上传投标文件及投标截止日期</w:t>
      </w:r>
    </w:p>
    <w:p w14:paraId="66B10387">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565FBE7A">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74533E2D">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41209865">
      <w:pPr>
        <w:ind w:firstLine="411" w:firstLineChars="196"/>
        <w:rPr>
          <w:rFonts w:ascii="宋体" w:hAnsi="宋体"/>
        </w:rPr>
      </w:pPr>
    </w:p>
    <w:p w14:paraId="3CB97C8B">
      <w:pPr>
        <w:ind w:firstLine="411" w:firstLineChars="196"/>
        <w:rPr>
          <w:rFonts w:ascii="宋体" w:hAnsi="宋体"/>
        </w:rPr>
      </w:pPr>
    </w:p>
    <w:bookmarkEnd w:id="96"/>
    <w:p w14:paraId="047E52D4">
      <w:pPr>
        <w:rPr>
          <w:rFonts w:ascii="黑体" w:hAnsi="宋体" w:eastAsia="黑体"/>
          <w:sz w:val="24"/>
        </w:rPr>
      </w:pPr>
      <w:r>
        <w:rPr>
          <w:rFonts w:hint="eastAsia" w:ascii="黑体" w:hAnsi="宋体" w:eastAsia="黑体"/>
          <w:sz w:val="24"/>
        </w:rPr>
        <w:t>26. 样品、现场演示、方案讲解</w:t>
      </w:r>
    </w:p>
    <w:p w14:paraId="6DFD71FD">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77F3ED36">
      <w:pPr>
        <w:rPr>
          <w:rFonts w:ascii="黑体" w:hAnsi="宋体" w:eastAsia="黑体"/>
          <w:sz w:val="24"/>
        </w:rPr>
      </w:pPr>
      <w:bookmarkStart w:id="97"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14:paraId="3EF4A404">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76D748B3">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31023E22">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66990BFE">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97"/>
    <w:p w14:paraId="3B73B5F9">
      <w:pPr>
        <w:pStyle w:val="7"/>
        <w:numPr>
          <w:ilvl w:val="0"/>
          <w:numId w:val="9"/>
        </w:numPr>
        <w:spacing w:before="120" w:beforeLines="50" w:after="120" w:afterLines="50"/>
        <w:ind w:left="562" w:hanging="562"/>
        <w:rPr>
          <w:sz w:val="28"/>
          <w:szCs w:val="28"/>
        </w:rPr>
      </w:pPr>
      <w:r>
        <w:rPr>
          <w:rFonts w:hint="eastAsia"/>
          <w:sz w:val="28"/>
          <w:szCs w:val="28"/>
        </w:rPr>
        <w:t>开标</w:t>
      </w:r>
    </w:p>
    <w:p w14:paraId="481562F0">
      <w:pPr>
        <w:rPr>
          <w:rFonts w:ascii="黑体" w:hAnsi="宋体" w:eastAsia="黑体"/>
          <w:sz w:val="24"/>
        </w:rPr>
      </w:pPr>
      <w:r>
        <w:rPr>
          <w:rFonts w:hint="eastAsia" w:ascii="黑体" w:hAnsi="宋体" w:eastAsia="黑体"/>
          <w:sz w:val="24"/>
        </w:rPr>
        <w:t>28．开标</w:t>
      </w:r>
    </w:p>
    <w:p w14:paraId="6C9C016C">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C4A5728">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45D68E17">
      <w:pPr>
        <w:ind w:firstLine="315" w:firstLineChars="150"/>
        <w:rPr>
          <w:rFonts w:ascii="宋体" w:hAnsi="宋体"/>
          <w:szCs w:val="21"/>
        </w:rPr>
      </w:pPr>
    </w:p>
    <w:p w14:paraId="7DD4DE15">
      <w:pPr>
        <w:pStyle w:val="7"/>
        <w:numPr>
          <w:ilvl w:val="0"/>
          <w:numId w:val="9"/>
        </w:numPr>
        <w:spacing w:before="120" w:beforeLines="50" w:after="120" w:afterLines="50"/>
        <w:ind w:left="562" w:hanging="562"/>
        <w:rPr>
          <w:sz w:val="28"/>
          <w:szCs w:val="28"/>
        </w:rPr>
      </w:pPr>
      <w:r>
        <w:rPr>
          <w:rFonts w:hint="eastAsia"/>
          <w:sz w:val="28"/>
          <w:szCs w:val="28"/>
        </w:rPr>
        <w:t>评审要求</w:t>
      </w:r>
    </w:p>
    <w:p w14:paraId="39A7D152">
      <w:pPr>
        <w:rPr>
          <w:rFonts w:ascii="黑体" w:hAnsi="宋体" w:eastAsia="黑体"/>
          <w:sz w:val="24"/>
        </w:rPr>
      </w:pPr>
      <w:r>
        <w:rPr>
          <w:rFonts w:hint="eastAsia" w:ascii="黑体" w:hAnsi="宋体" w:eastAsia="黑体"/>
          <w:sz w:val="24"/>
        </w:rPr>
        <w:t>29．评审委员会组成</w:t>
      </w:r>
    </w:p>
    <w:p w14:paraId="2EE907A4">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5D6E34BE">
      <w:pPr>
        <w:ind w:firstLine="411" w:firstLineChars="196"/>
        <w:rPr>
          <w:rFonts w:ascii="宋体" w:hAnsi="宋体"/>
        </w:rPr>
      </w:pPr>
      <w:bookmarkStart w:id="98"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98"/>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1E71803D">
      <w:pPr>
        <w:ind w:firstLine="411" w:firstLineChars="196"/>
        <w:rPr>
          <w:rFonts w:ascii="宋体" w:hAnsi="宋体"/>
        </w:rPr>
      </w:pPr>
      <w:r>
        <w:rPr>
          <w:rFonts w:hint="eastAsia" w:ascii="宋体" w:hAnsi="宋体"/>
        </w:rPr>
        <w:t>29.2评审定标应当遵循公平、公正、科学、择优的原则。</w:t>
      </w:r>
    </w:p>
    <w:p w14:paraId="1B9AA1EA">
      <w:pPr>
        <w:ind w:firstLine="411" w:firstLineChars="196"/>
        <w:rPr>
          <w:rFonts w:ascii="宋体" w:hAnsi="宋体"/>
        </w:rPr>
      </w:pPr>
      <w:r>
        <w:rPr>
          <w:rFonts w:hint="eastAsia" w:ascii="宋体" w:hAnsi="宋体"/>
        </w:rPr>
        <w:t>29.3评审活动依法进行，任何单位和个人不得非法干预评标过程和结果。</w:t>
      </w:r>
    </w:p>
    <w:p w14:paraId="76DC58F5">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2A0AEC8E">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670928F0">
      <w:pPr>
        <w:rPr>
          <w:rFonts w:ascii="黑体" w:hAnsi="宋体" w:eastAsia="黑体"/>
          <w:sz w:val="24"/>
        </w:rPr>
      </w:pPr>
      <w:r>
        <w:rPr>
          <w:rFonts w:hint="eastAsia" w:ascii="黑体" w:hAnsi="宋体" w:eastAsia="黑体"/>
          <w:sz w:val="24"/>
        </w:rPr>
        <w:t>30．向评审委员会提供的资料</w:t>
      </w:r>
    </w:p>
    <w:p w14:paraId="241A9F4D">
      <w:pPr>
        <w:ind w:firstLine="411" w:firstLineChars="196"/>
        <w:rPr>
          <w:rFonts w:ascii="宋体" w:hAnsi="宋体"/>
        </w:rPr>
      </w:pPr>
      <w:r>
        <w:rPr>
          <w:rFonts w:hint="eastAsia" w:ascii="宋体" w:hAnsi="宋体"/>
        </w:rPr>
        <w:t>30.1公开发布的招标文件，包括图纸、服务清单、答疑文件等；</w:t>
      </w:r>
    </w:p>
    <w:p w14:paraId="3E395929">
      <w:pPr>
        <w:ind w:firstLine="411" w:firstLineChars="196"/>
        <w:rPr>
          <w:rFonts w:ascii="宋体" w:hAnsi="宋体"/>
        </w:rPr>
      </w:pPr>
      <w:r>
        <w:rPr>
          <w:rFonts w:hint="eastAsia" w:ascii="宋体" w:hAnsi="宋体"/>
        </w:rPr>
        <w:t>30.2其他评标</w:t>
      </w:r>
      <w:r>
        <w:rPr>
          <w:rFonts w:hint="eastAsia" w:ascii="宋体" w:hAnsi="宋体"/>
          <w:lang w:eastAsia="zh-CN"/>
        </w:rPr>
        <w:t>必需</w:t>
      </w:r>
      <w:r>
        <w:rPr>
          <w:rFonts w:hint="eastAsia" w:ascii="宋体" w:hAnsi="宋体"/>
        </w:rPr>
        <w:t>的资料。</w:t>
      </w:r>
    </w:p>
    <w:p w14:paraId="7073B8D7">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4D634FF9">
      <w:pPr>
        <w:ind w:firstLine="411" w:firstLineChars="196"/>
        <w:rPr>
          <w:rFonts w:ascii="宋体" w:hAnsi="宋体"/>
        </w:rPr>
      </w:pPr>
      <w:r>
        <w:rPr>
          <w:rFonts w:hint="eastAsia" w:ascii="宋体" w:hAnsi="宋体"/>
        </w:rPr>
        <w:t>（1）招标的目的；</w:t>
      </w:r>
    </w:p>
    <w:p w14:paraId="733D56EF">
      <w:pPr>
        <w:ind w:firstLine="411" w:firstLineChars="196"/>
        <w:rPr>
          <w:rFonts w:ascii="宋体" w:hAnsi="宋体"/>
        </w:rPr>
      </w:pPr>
      <w:r>
        <w:rPr>
          <w:rFonts w:hint="eastAsia" w:ascii="宋体" w:hAnsi="宋体"/>
        </w:rPr>
        <w:t>（2）招标项目需求的范围和性质；</w:t>
      </w:r>
    </w:p>
    <w:p w14:paraId="38452867">
      <w:pPr>
        <w:ind w:firstLine="411" w:firstLineChars="196"/>
        <w:rPr>
          <w:rFonts w:ascii="宋体" w:hAnsi="宋体"/>
        </w:rPr>
      </w:pPr>
      <w:r>
        <w:rPr>
          <w:rFonts w:hint="eastAsia" w:ascii="宋体" w:hAnsi="宋体"/>
        </w:rPr>
        <w:t>（3）招标文件规定的投标人的资格、财政预算限额、商务条款；</w:t>
      </w:r>
    </w:p>
    <w:p w14:paraId="2347FB76">
      <w:pPr>
        <w:ind w:firstLine="411" w:firstLineChars="196"/>
        <w:rPr>
          <w:rFonts w:ascii="宋体" w:hAnsi="宋体"/>
        </w:rPr>
      </w:pPr>
      <w:r>
        <w:rPr>
          <w:rFonts w:hint="eastAsia" w:ascii="宋体" w:hAnsi="宋体"/>
        </w:rPr>
        <w:t>（4）招标文件规定的评标程序、评标方法和评标因素；</w:t>
      </w:r>
    </w:p>
    <w:p w14:paraId="5AEB2309">
      <w:pPr>
        <w:ind w:firstLine="411" w:firstLineChars="196"/>
        <w:rPr>
          <w:rFonts w:ascii="宋体" w:hAnsi="宋体"/>
        </w:rPr>
      </w:pPr>
      <w:r>
        <w:rPr>
          <w:rFonts w:hint="eastAsia" w:ascii="宋体" w:hAnsi="宋体"/>
        </w:rPr>
        <w:t>（5）招标文件所列示的资格性审查表及符合性审查表。</w:t>
      </w:r>
    </w:p>
    <w:p w14:paraId="0DD1C1BC">
      <w:pPr>
        <w:rPr>
          <w:rFonts w:ascii="黑体" w:hAnsi="宋体" w:eastAsia="黑体"/>
          <w:sz w:val="24"/>
        </w:rPr>
      </w:pPr>
      <w:r>
        <w:rPr>
          <w:rFonts w:hint="eastAsia" w:ascii="黑体" w:hAnsi="宋体" w:eastAsia="黑体"/>
          <w:sz w:val="24"/>
        </w:rPr>
        <w:t>31．独立评审</w:t>
      </w:r>
    </w:p>
    <w:p w14:paraId="554A7F0A">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6A7E0E7F">
      <w:pPr>
        <w:ind w:firstLine="411" w:firstLineChars="196"/>
        <w:rPr>
          <w:rFonts w:ascii="宋体" w:hAnsi="宋体"/>
          <w:bCs/>
          <w:szCs w:val="21"/>
        </w:rPr>
      </w:pPr>
    </w:p>
    <w:p w14:paraId="5C24E222">
      <w:pPr>
        <w:pStyle w:val="7"/>
        <w:numPr>
          <w:ilvl w:val="0"/>
          <w:numId w:val="9"/>
        </w:numPr>
        <w:spacing w:before="120" w:beforeLines="50" w:after="120" w:afterLines="50"/>
        <w:ind w:left="562" w:hanging="562"/>
        <w:rPr>
          <w:sz w:val="28"/>
          <w:szCs w:val="28"/>
        </w:rPr>
      </w:pPr>
      <w:r>
        <w:rPr>
          <w:rFonts w:hint="eastAsia"/>
          <w:sz w:val="28"/>
          <w:szCs w:val="28"/>
        </w:rPr>
        <w:t>评审程序及评审方法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38"/>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19C6563F">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5AF14E4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1CAF8F56">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4B1297B4">
      <w:pPr>
        <w:pStyle w:val="38"/>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256BCCC7">
      <w:pPr>
        <w:pStyle w:val="38"/>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3C9F00B4">
      <w:pPr>
        <w:rPr>
          <w:rFonts w:hint="eastAsia" w:ascii="黑体" w:hAnsi="宋体" w:eastAsia="黑体"/>
          <w:sz w:val="24"/>
        </w:rPr>
      </w:pPr>
    </w:p>
    <w:p w14:paraId="27A5C1CE">
      <w:pPr>
        <w:rPr>
          <w:rFonts w:ascii="黑体" w:hAnsi="宋体" w:eastAsia="黑体"/>
          <w:sz w:val="24"/>
        </w:rPr>
      </w:pPr>
      <w:r>
        <w:rPr>
          <w:rFonts w:hint="eastAsia" w:ascii="黑体" w:hAnsi="宋体" w:eastAsia="黑体"/>
          <w:sz w:val="24"/>
        </w:rPr>
        <w:t>33．澄清有关问题</w:t>
      </w:r>
    </w:p>
    <w:p w14:paraId="058E14A8">
      <w:pPr>
        <w:ind w:firstLine="411" w:firstLineChars="196"/>
        <w:rPr>
          <w:rFonts w:ascii="宋体" w:hAnsi="宋体"/>
        </w:rPr>
      </w:pPr>
      <w:bookmarkStart w:id="99"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99"/>
    </w:p>
    <w:p w14:paraId="4962EF7A">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367C67C">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559F8548">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2042FA4">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0F5CBC40">
      <w:pPr>
        <w:rPr>
          <w:rFonts w:ascii="黑体" w:hAnsi="宋体" w:eastAsia="黑体"/>
          <w:sz w:val="24"/>
        </w:rPr>
      </w:pPr>
      <w:bookmarkStart w:id="100" w:name="_Toc73517673"/>
      <w:bookmarkStart w:id="101" w:name="_Toc73521581"/>
      <w:bookmarkStart w:id="102" w:name="_Toc73521669"/>
      <w:bookmarkStart w:id="103" w:name="_Toc73518151"/>
      <w:bookmarkStart w:id="104" w:name="_Toc100052400"/>
      <w:r>
        <w:rPr>
          <w:rFonts w:hint="eastAsia" w:ascii="黑体" w:hAnsi="宋体" w:eastAsia="黑体"/>
          <w:sz w:val="24"/>
        </w:rPr>
        <w:t>34．错误的修正</w:t>
      </w:r>
      <w:bookmarkEnd w:id="100"/>
      <w:bookmarkEnd w:id="101"/>
      <w:bookmarkEnd w:id="102"/>
      <w:bookmarkEnd w:id="103"/>
      <w:bookmarkEnd w:id="104"/>
    </w:p>
    <w:p w14:paraId="3C43FCAB">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452D27A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5E9ABF9">
      <w:pPr>
        <w:ind w:firstLine="411" w:firstLineChars="196"/>
        <w:rPr>
          <w:rFonts w:ascii="宋体" w:hAnsi="宋体"/>
          <w:szCs w:val="21"/>
        </w:rPr>
      </w:pPr>
      <w:r>
        <w:rPr>
          <w:rFonts w:hint="eastAsia" w:ascii="宋体" w:hAnsi="宋体"/>
          <w:szCs w:val="21"/>
        </w:rPr>
        <w:t>34.2大写金额和小写金额不一致的，以大写金额为准；</w:t>
      </w:r>
    </w:p>
    <w:p w14:paraId="4217C92A">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25DDAE78">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BAC525B">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w:t>
      </w:r>
      <w:r>
        <w:rPr>
          <w:rFonts w:hint="eastAsia" w:ascii="宋体" w:hAnsi="宋体"/>
          <w:szCs w:val="21"/>
          <w:lang w:eastAsia="zh-CN"/>
        </w:rPr>
        <w:t>第</w:t>
      </w:r>
      <w:r>
        <w:rPr>
          <w:rFonts w:hint="eastAsia" w:ascii="宋体" w:hAnsi="宋体"/>
          <w:szCs w:val="21"/>
        </w:rPr>
        <w:t>33条的规定，经投标人确认后产生约束力，投标人不确认的，其投标无效。</w:t>
      </w:r>
    </w:p>
    <w:p w14:paraId="56451C81">
      <w:pPr>
        <w:rPr>
          <w:rFonts w:ascii="黑体" w:hAnsi="宋体" w:eastAsia="黑体"/>
          <w:sz w:val="24"/>
        </w:rPr>
      </w:pPr>
      <w:r>
        <w:rPr>
          <w:rFonts w:hint="eastAsia" w:ascii="黑体" w:hAnsi="宋体" w:eastAsia="黑体"/>
          <w:sz w:val="24"/>
        </w:rPr>
        <w:t>35．投标文件的比较与评价</w:t>
      </w:r>
    </w:p>
    <w:p w14:paraId="595390FA">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089568C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24DD130">
      <w:pPr>
        <w:rPr>
          <w:rFonts w:ascii="黑体" w:hAnsi="宋体" w:eastAsia="黑体"/>
          <w:sz w:val="24"/>
        </w:rPr>
      </w:pPr>
      <w:r>
        <w:rPr>
          <w:rFonts w:hint="eastAsia" w:ascii="黑体" w:hAnsi="宋体" w:eastAsia="黑体"/>
          <w:sz w:val="24"/>
        </w:rPr>
        <w:t>3</w:t>
      </w:r>
      <w:r>
        <w:rPr>
          <w:rFonts w:hint="eastAsia" w:ascii="黑体" w:hAnsi="宋体" w:eastAsia="黑体"/>
          <w:sz w:val="24"/>
          <w:lang w:val="en-US" w:eastAsia="zh-CN"/>
        </w:rPr>
        <w:t>6</w:t>
      </w:r>
      <w:r>
        <w:rPr>
          <w:rFonts w:hint="eastAsia" w:ascii="黑体" w:hAnsi="宋体" w:eastAsia="黑体"/>
          <w:sz w:val="24"/>
        </w:rPr>
        <w:t>．评审方法</w:t>
      </w:r>
    </w:p>
    <w:p w14:paraId="41FE6B00">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4D9AA736">
      <w:pPr>
        <w:ind w:firstLine="411" w:firstLineChars="196"/>
        <w:rPr>
          <w:rFonts w:ascii="ˎ̥" w:hAnsi="ˎ̥"/>
        </w:rPr>
      </w:pPr>
      <w:bookmarkStart w:id="105" w:name="_Hlk72438142"/>
      <w:r>
        <w:rPr>
          <w:rFonts w:ascii="ˎ̥" w:hAnsi="ˎ̥"/>
        </w:rPr>
        <w:t>最低价法，</w:t>
      </w:r>
      <w:r>
        <w:rPr>
          <w:rFonts w:hint="eastAsia" w:ascii="ˎ̥" w:hAnsi="ˎ̥"/>
        </w:rPr>
        <w:t>是指投标文件满足招标文件全部实质性要求，且投标报价最低的投标人为中标候选人的评标方法。</w:t>
      </w:r>
    </w:p>
    <w:p w14:paraId="53F94AAA">
      <w:pPr>
        <w:ind w:firstLine="411" w:firstLineChars="196"/>
        <w:rPr>
          <w:rFonts w:ascii="ˎ̥" w:hAnsi="ˎ̥"/>
        </w:rPr>
      </w:pPr>
      <w:r>
        <w:rPr>
          <w:rFonts w:hint="eastAsia" w:ascii="ˎ̥" w:hAnsi="ˎ̥"/>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61F9E117">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4B674215">
      <w:pPr>
        <w:ind w:firstLine="411" w:firstLineChars="196"/>
        <w:rPr>
          <w:rFonts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105"/>
      <w:r>
        <w:rPr>
          <w:rFonts w:hint="eastAsia" w:ascii="ˎ̥" w:hAnsi="ˎ̥"/>
        </w:rPr>
        <w:t>。</w:t>
      </w:r>
    </w:p>
    <w:p w14:paraId="35EC9EBF">
      <w:pPr>
        <w:ind w:firstLine="411" w:firstLineChars="196"/>
        <w:rPr>
          <w:rFonts w:ascii="ˎ̥" w:hAnsi="ˎ̥"/>
        </w:rPr>
      </w:pPr>
      <w:r>
        <w:rPr>
          <w:rFonts w:hint="eastAsia" w:ascii="ˎ̥" w:hAnsi="ˎ̥"/>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4E1F546F">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40A55FB0">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3825162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54CF33A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72DF079B">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6E9579F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6D518AF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6BCBAC13">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0962FD7C">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7B94D8C8">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05B5E8C6">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0AC12E5F">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74C05FA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1ED2A13A">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634D0640">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579C0C6E">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6B11F8E">
      <w:pPr>
        <w:ind w:firstLine="411" w:firstLineChars="196"/>
        <w:rPr>
          <w:rFonts w:ascii="宋体" w:hAnsi="宋体"/>
          <w:szCs w:val="21"/>
        </w:rPr>
      </w:pPr>
    </w:p>
    <w:p w14:paraId="20E40431">
      <w:pPr>
        <w:pStyle w:val="7"/>
        <w:numPr>
          <w:ilvl w:val="0"/>
          <w:numId w:val="9"/>
        </w:numPr>
        <w:spacing w:before="120" w:beforeLines="50" w:after="120" w:afterLines="50"/>
        <w:ind w:left="562" w:hanging="562"/>
        <w:rPr>
          <w:sz w:val="28"/>
          <w:szCs w:val="28"/>
        </w:rPr>
      </w:pPr>
      <w:r>
        <w:rPr>
          <w:rFonts w:hint="eastAsia"/>
          <w:sz w:val="28"/>
          <w:szCs w:val="28"/>
        </w:rPr>
        <w:t>定标及公示</w:t>
      </w:r>
    </w:p>
    <w:p w14:paraId="0C5CC4A7">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4853203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784B4B4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C549BF8">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9FCC70E">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37D9232A">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11707E0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0C1FB4D8">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748A13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31C9BBDA">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3C57A722">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7A2F467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58438391">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64804344">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364ED2F6">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22BDD5B1">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4437FA16">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3418A350">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6E4E68A7">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078F76D5">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68B7DED1">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1BCF54C9">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p w14:paraId="1D58DA7F">
      <w:pPr>
        <w:ind w:firstLine="411" w:firstLineChars="196"/>
        <w:rPr>
          <w:rFonts w:ascii="宋体" w:hAnsi="宋体"/>
          <w:szCs w:val="21"/>
        </w:rPr>
      </w:pPr>
    </w:p>
    <w:p w14:paraId="0ED2EFD4">
      <w:pPr>
        <w:pStyle w:val="7"/>
        <w:numPr>
          <w:ilvl w:val="0"/>
          <w:numId w:val="9"/>
        </w:numPr>
        <w:spacing w:before="120" w:beforeLines="50" w:after="120" w:afterLines="50"/>
        <w:ind w:left="562" w:hanging="562"/>
        <w:rPr>
          <w:sz w:val="28"/>
          <w:szCs w:val="28"/>
        </w:rPr>
      </w:pPr>
      <w:r>
        <w:rPr>
          <w:rFonts w:hint="eastAsia"/>
          <w:sz w:val="28"/>
          <w:szCs w:val="28"/>
        </w:rPr>
        <w:t>公开招标失败的后续处理</w:t>
      </w:r>
    </w:p>
    <w:p w14:paraId="5CA68B6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1</w:t>
      </w:r>
      <w:r>
        <w:rPr>
          <w:rFonts w:hint="eastAsia" w:ascii="黑体" w:hAnsi="宋体" w:eastAsia="黑体"/>
          <w:sz w:val="24"/>
        </w:rPr>
        <w:t>．公开招标失败的处理</w:t>
      </w:r>
    </w:p>
    <w:p w14:paraId="66E7B7DF">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4350B6C3">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BB9B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0B9386DD">
      <w:pPr>
        <w:ind w:firstLine="411" w:firstLineChars="196"/>
        <w:rPr>
          <w:rFonts w:ascii="宋体" w:hAnsi="宋体"/>
        </w:rPr>
      </w:pPr>
      <w:r>
        <w:rPr>
          <w:rFonts w:hint="eastAsia" w:ascii="宋体" w:hAnsi="宋体"/>
        </w:rPr>
        <w:t>（1）由政府集中采购机构重新组织公开招标；</w:t>
      </w:r>
    </w:p>
    <w:p w14:paraId="46C1D4ED">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7CC229E6">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D666273">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78691532">
      <w:pPr>
        <w:rPr>
          <w:rFonts w:ascii="黑体" w:hAnsi="宋体" w:eastAsia="黑体"/>
          <w:sz w:val="24"/>
        </w:rPr>
      </w:pPr>
    </w:p>
    <w:p w14:paraId="19C9B826">
      <w:pPr>
        <w:pStyle w:val="7"/>
        <w:numPr>
          <w:ilvl w:val="0"/>
          <w:numId w:val="9"/>
        </w:numPr>
        <w:spacing w:before="120" w:beforeLines="50" w:after="120" w:afterLines="50"/>
        <w:ind w:left="562" w:hanging="562"/>
        <w:rPr>
          <w:sz w:val="28"/>
          <w:szCs w:val="28"/>
        </w:rPr>
      </w:pPr>
      <w:bookmarkStart w:id="106" w:name="_Hlk72439043"/>
      <w:r>
        <w:rPr>
          <w:rFonts w:hint="eastAsia"/>
          <w:sz w:val="28"/>
          <w:szCs w:val="28"/>
        </w:rPr>
        <w:t>合同的授予与备案</w:t>
      </w:r>
      <w:bookmarkEnd w:id="106"/>
    </w:p>
    <w:p w14:paraId="230EE3F4">
      <w:pPr>
        <w:rPr>
          <w:rFonts w:ascii="黑体" w:hAnsi="宋体" w:eastAsia="黑体"/>
          <w:sz w:val="24"/>
        </w:rPr>
      </w:pPr>
      <w:bookmarkStart w:id="107" w:name="_Toc73517679"/>
      <w:bookmarkStart w:id="108" w:name="_Toc73521586"/>
      <w:bookmarkStart w:id="109" w:name="_Toc73518157"/>
      <w:bookmarkStart w:id="110" w:name="_Toc73521674"/>
      <w:bookmarkStart w:id="111" w:name="_Toc100052408"/>
      <w:bookmarkStart w:id="112" w:name="_Hlk72439088"/>
      <w:r>
        <w:rPr>
          <w:rFonts w:hint="eastAsia" w:ascii="黑体" w:hAnsi="宋体" w:eastAsia="黑体"/>
          <w:sz w:val="24"/>
        </w:rPr>
        <w:t>4</w:t>
      </w:r>
      <w:r>
        <w:rPr>
          <w:rFonts w:hint="eastAsia" w:ascii="黑体" w:hAnsi="宋体" w:eastAsia="黑体"/>
          <w:sz w:val="24"/>
          <w:lang w:val="en-US" w:eastAsia="zh-CN"/>
        </w:rPr>
        <w:t>2</w:t>
      </w:r>
      <w:r>
        <w:rPr>
          <w:rFonts w:hint="eastAsia" w:ascii="黑体" w:hAnsi="宋体" w:eastAsia="黑体"/>
          <w:sz w:val="24"/>
        </w:rPr>
        <w:t>．合同授予标准</w:t>
      </w:r>
      <w:bookmarkEnd w:id="107"/>
      <w:bookmarkEnd w:id="108"/>
      <w:bookmarkEnd w:id="109"/>
      <w:bookmarkEnd w:id="110"/>
      <w:bookmarkEnd w:id="111"/>
    </w:p>
    <w:p w14:paraId="750C4494">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7483BB8C">
      <w:pPr>
        <w:rPr>
          <w:rFonts w:ascii="黑体" w:hAnsi="宋体" w:eastAsia="黑体"/>
          <w:sz w:val="24"/>
        </w:rPr>
      </w:pPr>
      <w:bookmarkStart w:id="113" w:name="_Toc73518158"/>
      <w:bookmarkStart w:id="114" w:name="_Toc73517680"/>
      <w:bookmarkStart w:id="115" w:name="_Toc73521675"/>
      <w:bookmarkStart w:id="116" w:name="_Toc73521587"/>
      <w:bookmarkStart w:id="117" w:name="_Toc100052409"/>
      <w:r>
        <w:rPr>
          <w:rFonts w:hint="eastAsia" w:ascii="黑体" w:hAnsi="宋体" w:eastAsia="黑体"/>
          <w:sz w:val="24"/>
        </w:rPr>
        <w:t>4</w:t>
      </w:r>
      <w:r>
        <w:rPr>
          <w:rFonts w:hint="eastAsia" w:ascii="黑体" w:hAnsi="宋体" w:eastAsia="黑体"/>
          <w:sz w:val="24"/>
          <w:lang w:val="en-US" w:eastAsia="zh-CN"/>
        </w:rPr>
        <w:t>3</w:t>
      </w:r>
      <w:r>
        <w:rPr>
          <w:rFonts w:hint="eastAsia" w:ascii="黑体" w:hAnsi="宋体" w:eastAsia="黑体"/>
          <w:sz w:val="24"/>
        </w:rPr>
        <w:t>．</w:t>
      </w:r>
      <w:bookmarkEnd w:id="113"/>
      <w:bookmarkEnd w:id="114"/>
      <w:bookmarkEnd w:id="115"/>
      <w:bookmarkEnd w:id="116"/>
      <w:bookmarkEnd w:id="117"/>
      <w:r>
        <w:rPr>
          <w:rFonts w:hint="eastAsia" w:ascii="黑体" w:hAnsi="宋体" w:eastAsia="黑体"/>
          <w:sz w:val="24"/>
        </w:rPr>
        <w:t>接受和拒绝任何或所有投标的</w:t>
      </w:r>
      <w:r>
        <w:rPr>
          <w:rFonts w:hint="eastAsia" w:ascii="黑体" w:hAnsi="宋体" w:eastAsia="黑体"/>
          <w:sz w:val="24"/>
          <w:lang w:eastAsia="zh-CN"/>
        </w:rPr>
        <w:t>权利</w:t>
      </w:r>
    </w:p>
    <w:p w14:paraId="53E9927B">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64D2CCB">
      <w:pPr>
        <w:rPr>
          <w:rFonts w:ascii="黑体" w:hAnsi="宋体" w:eastAsia="黑体"/>
          <w:sz w:val="24"/>
        </w:rPr>
      </w:pPr>
      <w:bookmarkStart w:id="118" w:name="_Toc73521677"/>
      <w:bookmarkStart w:id="119" w:name="_Toc73518160"/>
      <w:bookmarkStart w:id="120" w:name="_Toc100052410"/>
      <w:bookmarkStart w:id="121" w:name="_Toc73521589"/>
      <w:bookmarkStart w:id="122" w:name="_Toc73517682"/>
      <w:r>
        <w:rPr>
          <w:rFonts w:hint="eastAsia" w:ascii="黑体" w:hAnsi="宋体" w:eastAsia="黑体"/>
          <w:sz w:val="24"/>
        </w:rPr>
        <w:t>4</w:t>
      </w:r>
      <w:r>
        <w:rPr>
          <w:rFonts w:hint="eastAsia" w:ascii="黑体" w:hAnsi="宋体" w:eastAsia="黑体"/>
          <w:sz w:val="24"/>
          <w:lang w:val="en-US" w:eastAsia="zh-CN"/>
        </w:rPr>
        <w:t>4</w:t>
      </w:r>
      <w:r>
        <w:rPr>
          <w:rFonts w:hint="eastAsia" w:ascii="黑体" w:hAnsi="宋体" w:eastAsia="黑体"/>
          <w:sz w:val="24"/>
        </w:rPr>
        <w:t>．合同的签订</w:t>
      </w:r>
      <w:bookmarkEnd w:id="118"/>
      <w:bookmarkEnd w:id="119"/>
      <w:bookmarkEnd w:id="120"/>
      <w:bookmarkEnd w:id="121"/>
      <w:bookmarkEnd w:id="122"/>
    </w:p>
    <w:p w14:paraId="11B5CCB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85E740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6790054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E51721D">
      <w:pPr>
        <w:rPr>
          <w:rFonts w:ascii="黑体" w:hAnsi="宋体" w:eastAsia="黑体"/>
          <w:sz w:val="24"/>
        </w:rPr>
      </w:pPr>
      <w:bookmarkStart w:id="123" w:name="_Toc73521678"/>
      <w:bookmarkStart w:id="124" w:name="_Toc73517683"/>
      <w:bookmarkStart w:id="125" w:name="_Toc73518161"/>
      <w:bookmarkStart w:id="126" w:name="_Toc100052411"/>
      <w:bookmarkStart w:id="127" w:name="_Toc73521590"/>
      <w:r>
        <w:rPr>
          <w:rFonts w:hint="eastAsia" w:ascii="黑体" w:hAnsi="宋体" w:eastAsia="黑体"/>
          <w:sz w:val="24"/>
        </w:rPr>
        <w:t>4</w:t>
      </w:r>
      <w:r>
        <w:rPr>
          <w:rFonts w:hint="eastAsia" w:ascii="黑体" w:hAnsi="宋体" w:eastAsia="黑体"/>
          <w:sz w:val="24"/>
          <w:lang w:val="en-US" w:eastAsia="zh-CN"/>
        </w:rPr>
        <w:t>5</w:t>
      </w:r>
      <w:r>
        <w:rPr>
          <w:rFonts w:hint="eastAsia" w:ascii="黑体" w:hAnsi="宋体" w:eastAsia="黑体"/>
          <w:sz w:val="24"/>
        </w:rPr>
        <w:t>．履约担保</w:t>
      </w:r>
      <w:bookmarkEnd w:id="123"/>
      <w:bookmarkEnd w:id="124"/>
      <w:bookmarkEnd w:id="125"/>
      <w:bookmarkEnd w:id="126"/>
      <w:bookmarkEnd w:id="127"/>
    </w:p>
    <w:p w14:paraId="7DBFEA6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3733416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98FA55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20FFC9B9">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2939707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39E4B955">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5284A96F">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6AC32F32">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E9641C9">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16139C18">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7973758">
      <w:pPr>
        <w:ind w:left="210" w:leftChars="100" w:firstLine="411" w:firstLineChars="196"/>
        <w:rPr>
          <w:rFonts w:ascii="宋体" w:hAnsi="宋体"/>
        </w:rPr>
      </w:pPr>
      <w:r>
        <w:rPr>
          <w:rFonts w:ascii="宋体" w:hAnsi="宋体"/>
        </w:rPr>
        <w:t>a.名片、宣传册、广告标语等；</w:t>
      </w:r>
    </w:p>
    <w:p w14:paraId="7452282E">
      <w:pPr>
        <w:ind w:left="210" w:leftChars="100" w:firstLine="411" w:firstLineChars="196"/>
        <w:rPr>
          <w:rFonts w:ascii="宋体" w:hAnsi="宋体"/>
        </w:rPr>
      </w:pPr>
      <w:r>
        <w:rPr>
          <w:rFonts w:ascii="宋体" w:hAnsi="宋体"/>
        </w:rPr>
        <w:t>b.案例介绍、推广等；</w:t>
      </w:r>
    </w:p>
    <w:p w14:paraId="76ECCA53">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0B1349D7">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5AC1418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7FE1996">
      <w:pPr>
        <w:ind w:firstLine="411" w:firstLineChars="196"/>
        <w:rPr>
          <w:rFonts w:ascii="宋体" w:hAnsi="宋体"/>
          <w:szCs w:val="21"/>
        </w:rPr>
      </w:pPr>
      <w:r>
        <w:rPr>
          <w:rFonts w:hint="eastAsia" w:ascii="宋体" w:hAnsi="宋体"/>
          <w:szCs w:val="21"/>
        </w:rPr>
        <w:t>（1）在采购活动中应当回避而未回避的；</w:t>
      </w:r>
    </w:p>
    <w:p w14:paraId="5D7A625B">
      <w:pPr>
        <w:ind w:firstLine="411" w:firstLineChars="196"/>
        <w:rPr>
          <w:rFonts w:ascii="宋体" w:hAnsi="宋体"/>
          <w:szCs w:val="21"/>
        </w:rPr>
      </w:pPr>
      <w:r>
        <w:rPr>
          <w:rFonts w:hint="eastAsia" w:ascii="宋体" w:hAnsi="宋体"/>
          <w:szCs w:val="21"/>
        </w:rPr>
        <w:t>（2）未按本条例规定签订、履行采购合同，造成严重后果的；</w:t>
      </w:r>
    </w:p>
    <w:p w14:paraId="4EA0B711">
      <w:pPr>
        <w:ind w:firstLine="411" w:firstLineChars="196"/>
        <w:rPr>
          <w:rFonts w:ascii="宋体" w:hAnsi="宋体"/>
          <w:szCs w:val="21"/>
        </w:rPr>
      </w:pPr>
      <w:r>
        <w:rPr>
          <w:rFonts w:hint="eastAsia" w:ascii="宋体" w:hAnsi="宋体"/>
          <w:szCs w:val="21"/>
        </w:rPr>
        <w:t>（3）隐瞒真实情况，提供虚假资料的；</w:t>
      </w:r>
    </w:p>
    <w:p w14:paraId="528A7369">
      <w:pPr>
        <w:ind w:firstLine="411" w:firstLineChars="196"/>
        <w:rPr>
          <w:rFonts w:ascii="宋体" w:hAnsi="宋体"/>
          <w:szCs w:val="21"/>
        </w:rPr>
      </w:pPr>
      <w:r>
        <w:rPr>
          <w:rFonts w:hint="eastAsia" w:ascii="宋体" w:hAnsi="宋体"/>
          <w:szCs w:val="21"/>
        </w:rPr>
        <w:t>（4）以非法手段排斥其他供应商参与竞争的；</w:t>
      </w:r>
    </w:p>
    <w:p w14:paraId="7F4D9112">
      <w:pPr>
        <w:ind w:firstLine="411" w:firstLineChars="196"/>
        <w:rPr>
          <w:rFonts w:ascii="宋体" w:hAnsi="宋体"/>
          <w:szCs w:val="21"/>
        </w:rPr>
      </w:pPr>
      <w:r>
        <w:rPr>
          <w:rFonts w:hint="eastAsia" w:ascii="宋体" w:hAnsi="宋体"/>
          <w:szCs w:val="21"/>
        </w:rPr>
        <w:t>（5）与其他采购参加人串通投标的；</w:t>
      </w:r>
    </w:p>
    <w:p w14:paraId="4E8EE113">
      <w:pPr>
        <w:ind w:firstLine="411" w:firstLineChars="196"/>
        <w:rPr>
          <w:rFonts w:ascii="宋体" w:hAnsi="宋体"/>
          <w:szCs w:val="21"/>
        </w:rPr>
      </w:pPr>
      <w:r>
        <w:rPr>
          <w:rFonts w:hint="eastAsia" w:ascii="宋体" w:hAnsi="宋体"/>
          <w:szCs w:val="21"/>
        </w:rPr>
        <w:t>（6）恶意投诉的；</w:t>
      </w:r>
    </w:p>
    <w:p w14:paraId="215C63E1">
      <w:pPr>
        <w:ind w:firstLine="411" w:firstLineChars="196"/>
        <w:rPr>
          <w:rFonts w:ascii="宋体" w:hAnsi="宋体"/>
          <w:szCs w:val="21"/>
        </w:rPr>
      </w:pPr>
      <w:r>
        <w:rPr>
          <w:rFonts w:hint="eastAsia" w:ascii="宋体" w:hAnsi="宋体"/>
          <w:szCs w:val="21"/>
        </w:rPr>
        <w:t>（7）向采购项目相关人行贿或者提供其他不当利益的；</w:t>
      </w:r>
    </w:p>
    <w:p w14:paraId="45E8CD7D">
      <w:pPr>
        <w:ind w:firstLine="411" w:firstLineChars="196"/>
        <w:rPr>
          <w:rFonts w:ascii="宋体" w:hAnsi="宋体"/>
          <w:szCs w:val="21"/>
        </w:rPr>
      </w:pPr>
      <w:r>
        <w:rPr>
          <w:rFonts w:hint="eastAsia" w:ascii="宋体" w:hAnsi="宋体"/>
          <w:szCs w:val="21"/>
        </w:rPr>
        <w:t>（8）阻碍、抗拒主管部门监督检查的；</w:t>
      </w:r>
    </w:p>
    <w:p w14:paraId="3F8423AE">
      <w:pPr>
        <w:ind w:firstLine="411" w:firstLineChars="196"/>
        <w:rPr>
          <w:rFonts w:ascii="宋体" w:hAnsi="宋体"/>
          <w:szCs w:val="21"/>
        </w:rPr>
      </w:pPr>
      <w:r>
        <w:rPr>
          <w:rFonts w:hint="eastAsia" w:ascii="宋体" w:hAnsi="宋体"/>
          <w:szCs w:val="21"/>
        </w:rPr>
        <w:t>（9）其他违反本条例规定的行为。</w:t>
      </w:r>
    </w:p>
    <w:p w14:paraId="54314616">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128" w:name="_Hlk72440769"/>
      <w:r>
        <w:rPr>
          <w:rFonts w:hint="eastAsia" w:ascii="宋体" w:hAnsi="宋体"/>
          <w:szCs w:val="21"/>
        </w:rPr>
        <w:t>政府集中采购机构或采购人不予退还其交纳的谈判保证金，情节严重的，并由主管部门</w:t>
      </w:r>
      <w:bookmarkEnd w:id="128"/>
      <w:r>
        <w:rPr>
          <w:rFonts w:hint="eastAsia" w:ascii="宋体" w:hAnsi="宋体"/>
          <w:szCs w:val="21"/>
        </w:rPr>
        <w:t>记入供应商诚信档案，予以通报：</w:t>
      </w:r>
    </w:p>
    <w:p w14:paraId="74F872B0">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4FB81AE3">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0938D93A">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64BD9806">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112"/>
    <w:p w14:paraId="50161DB2">
      <w:pPr>
        <w:pStyle w:val="7"/>
        <w:numPr>
          <w:ilvl w:val="0"/>
          <w:numId w:val="9"/>
        </w:numPr>
        <w:spacing w:before="120" w:beforeLines="50" w:after="120" w:afterLines="50"/>
        <w:ind w:left="562" w:hanging="562"/>
        <w:rPr>
          <w:sz w:val="28"/>
          <w:szCs w:val="28"/>
        </w:rPr>
      </w:pPr>
      <w:r>
        <w:rPr>
          <w:rFonts w:hint="eastAsia"/>
          <w:sz w:val="28"/>
          <w:szCs w:val="28"/>
        </w:rPr>
        <w:t>质疑处理</w:t>
      </w:r>
    </w:p>
    <w:p w14:paraId="368CAA4F">
      <w:pPr>
        <w:rPr>
          <w:rFonts w:ascii="黑体" w:hAnsi="宋体" w:eastAsia="黑体"/>
          <w:sz w:val="24"/>
        </w:rPr>
      </w:pPr>
      <w:bookmarkStart w:id="129" w:name="_Hlk72439706"/>
      <w:r>
        <w:rPr>
          <w:rFonts w:hint="eastAsia" w:ascii="黑体" w:hAnsi="宋体" w:eastAsia="黑体"/>
          <w:sz w:val="24"/>
          <w:lang w:bidi="ar"/>
        </w:rPr>
        <w:t>5</w:t>
      </w:r>
      <w:r>
        <w:rPr>
          <w:rFonts w:hint="eastAsia" w:ascii="黑体" w:hAnsi="宋体" w:eastAsia="黑体"/>
          <w:sz w:val="24"/>
          <w:lang w:val="en-US" w:eastAsia="zh-CN" w:bidi="ar"/>
        </w:rPr>
        <w:t>1</w:t>
      </w:r>
      <w:r>
        <w:rPr>
          <w:rFonts w:hint="eastAsia" w:ascii="黑体" w:hAnsi="宋体" w:eastAsia="黑体"/>
          <w:sz w:val="24"/>
          <w:lang w:bidi="ar"/>
        </w:rPr>
        <w:t>.质疑提出与答复</w:t>
      </w:r>
    </w:p>
    <w:p w14:paraId="5267CEF2">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.1提出质疑</w:t>
      </w:r>
    </w:p>
    <w:p w14:paraId="21F80BE9">
      <w:pPr>
        <w:rPr>
          <w:rFonts w:ascii="宋体" w:hAnsi="宋体"/>
          <w:szCs w:val="21"/>
        </w:rPr>
      </w:pPr>
      <w:r>
        <w:rPr>
          <w:rFonts w:hint="eastAsia" w:ascii="宋体" w:hAnsi="宋体"/>
          <w:szCs w:val="21"/>
          <w:lang w:bidi="ar"/>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38791EE2">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.2法律依据</w:t>
      </w:r>
    </w:p>
    <w:p w14:paraId="3BF437F2">
      <w:pPr>
        <w:rPr>
          <w:rFonts w:ascii="宋体" w:hAnsi="宋体"/>
          <w:szCs w:val="21"/>
        </w:rPr>
      </w:pPr>
      <w:r>
        <w:rPr>
          <w:rFonts w:hint="eastAsia" w:ascii="宋体" w:hAnsi="宋体"/>
          <w:szCs w:val="21"/>
          <w:lang w:bidi="ar"/>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1CFF7DB6">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.3质疑条件</w:t>
      </w:r>
    </w:p>
    <w:p w14:paraId="0A8DF0DF">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.3.1提出质疑的供应商应当是参与所质疑项目采购活动的供应商；</w:t>
      </w:r>
      <w:bookmarkStart w:id="130" w:name="OLE_LINK3"/>
      <w:bookmarkStart w:id="131" w:name="_Hlk75374941"/>
      <w:r>
        <w:rPr>
          <w:rFonts w:hint="eastAsia" w:ascii="宋体" w:hAnsi="宋体"/>
          <w:szCs w:val="21"/>
          <w:lang w:bidi="ar"/>
        </w:rPr>
        <w:t>以联合体形式参与的，质疑应当由组成联合体的所有成员共同提出</w:t>
      </w:r>
      <w:bookmarkEnd w:id="130"/>
      <w:bookmarkEnd w:id="131"/>
      <w:r>
        <w:rPr>
          <w:rFonts w:hint="eastAsia" w:ascii="宋体" w:hAnsi="宋体"/>
          <w:szCs w:val="21"/>
          <w:lang w:bidi="ar"/>
        </w:rPr>
        <w:t>（如供应商采用线上提交质疑方式的，由牵头单位在系统发起，根据本采购文件第5</w:t>
      </w:r>
      <w:r>
        <w:rPr>
          <w:rFonts w:hint="eastAsia" w:ascii="宋体" w:hAnsi="宋体"/>
          <w:szCs w:val="21"/>
          <w:lang w:val="en-US" w:eastAsia="zh-CN" w:bidi="ar"/>
        </w:rPr>
        <w:t>1</w:t>
      </w:r>
      <w:r>
        <w:rPr>
          <w:rFonts w:hint="eastAsia" w:ascii="宋体" w:hAnsi="宋体"/>
          <w:szCs w:val="21"/>
          <w:lang w:bidi="ar"/>
        </w:rPr>
        <w:t>.3.3条、5</w:t>
      </w:r>
      <w:r>
        <w:rPr>
          <w:rFonts w:hint="eastAsia" w:ascii="宋体" w:hAnsi="宋体"/>
          <w:szCs w:val="21"/>
          <w:lang w:val="en-US" w:eastAsia="zh-CN" w:bidi="ar"/>
        </w:rPr>
        <w:t>1</w:t>
      </w:r>
      <w:r>
        <w:rPr>
          <w:rFonts w:hint="eastAsia" w:ascii="宋体" w:hAnsi="宋体"/>
          <w:szCs w:val="21"/>
          <w:lang w:bidi="ar"/>
        </w:rPr>
        <w:t>.4条的要求，提供所有联合体成员共同签字盖章的质疑函、授权委托书，所有联合体成员的营业执照或者其他证明文件（如事业单位法人证书等）、法定代表人（负责人）证明书）；</w:t>
      </w:r>
    </w:p>
    <w:p w14:paraId="57AA25DD">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w:t>
      </w:r>
      <w:r>
        <w:rPr>
          <w:rFonts w:hint="eastAsia" w:ascii="宋体" w:hAnsi="宋体"/>
          <w:szCs w:val="21"/>
          <w:highlight w:val="none"/>
        </w:rPr>
        <w:t>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7F96F567">
      <w:pPr>
        <w:ind w:firstLine="42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 xml:space="preserve">.3.3应提交书面质疑函，质疑函应当包括以下内容： </w:t>
      </w:r>
    </w:p>
    <w:p w14:paraId="630B066D">
      <w:pPr>
        <w:ind w:firstLine="420"/>
        <w:rPr>
          <w:rFonts w:ascii="宋体" w:hAnsi="宋体"/>
          <w:szCs w:val="21"/>
        </w:rPr>
      </w:pPr>
      <w:r>
        <w:rPr>
          <w:rFonts w:hint="eastAsia" w:ascii="宋体" w:hAnsi="宋体"/>
          <w:szCs w:val="21"/>
          <w:lang w:bidi="ar"/>
        </w:rPr>
        <w:t>（1）供应商的名称（或者姓名）、地址、邮编、邮箱、联系人及联系电话；</w:t>
      </w:r>
    </w:p>
    <w:p w14:paraId="08F302F6">
      <w:pPr>
        <w:ind w:firstLine="420" w:firstLineChars="200"/>
        <w:rPr>
          <w:rFonts w:ascii="宋体" w:hAnsi="宋体"/>
          <w:szCs w:val="21"/>
        </w:rPr>
      </w:pPr>
      <w:r>
        <w:rPr>
          <w:rFonts w:hint="eastAsia" w:ascii="宋体" w:hAnsi="宋体"/>
          <w:szCs w:val="21"/>
          <w:lang w:bidi="ar"/>
        </w:rPr>
        <w:t>（2）质疑项目的名称、编号；</w:t>
      </w:r>
    </w:p>
    <w:p w14:paraId="14827C9F">
      <w:pPr>
        <w:ind w:firstLine="420" w:firstLineChars="200"/>
        <w:rPr>
          <w:rFonts w:ascii="宋体" w:hAnsi="宋体"/>
          <w:szCs w:val="21"/>
        </w:rPr>
      </w:pPr>
      <w:r>
        <w:rPr>
          <w:rFonts w:hint="eastAsia" w:ascii="宋体" w:hAnsi="宋体"/>
          <w:szCs w:val="21"/>
          <w:lang w:bidi="ar"/>
        </w:rPr>
        <w:t>（3）具体、明确的质疑对象、质疑事项和质疑请求；</w:t>
      </w:r>
    </w:p>
    <w:p w14:paraId="5EBAD3FE">
      <w:pPr>
        <w:ind w:firstLine="420" w:firstLineChars="200"/>
        <w:rPr>
          <w:rFonts w:ascii="宋体" w:hAnsi="宋体"/>
          <w:szCs w:val="21"/>
        </w:rPr>
      </w:pPr>
      <w:r>
        <w:rPr>
          <w:rFonts w:hint="eastAsia" w:ascii="宋体" w:hAnsi="宋体"/>
          <w:szCs w:val="21"/>
          <w:lang w:bidi="ar"/>
        </w:rPr>
        <w:t>（4）因质疑事项而受损害的权益；</w:t>
      </w:r>
    </w:p>
    <w:p w14:paraId="2EA3BB7A">
      <w:pPr>
        <w:ind w:firstLine="420" w:firstLineChars="200"/>
        <w:rPr>
          <w:rFonts w:ascii="宋体" w:hAnsi="宋体"/>
          <w:szCs w:val="21"/>
        </w:rPr>
      </w:pPr>
      <w:r>
        <w:rPr>
          <w:rFonts w:hint="eastAsia" w:ascii="宋体" w:hAnsi="宋体"/>
          <w:szCs w:val="21"/>
          <w:lang w:bidi="ar"/>
        </w:rPr>
        <w:t>（5）事实依据；</w:t>
      </w:r>
    </w:p>
    <w:p w14:paraId="7020B2E3">
      <w:pPr>
        <w:ind w:firstLine="420" w:firstLineChars="200"/>
        <w:rPr>
          <w:rFonts w:ascii="宋体" w:hAnsi="宋体"/>
          <w:szCs w:val="21"/>
        </w:rPr>
      </w:pPr>
      <w:r>
        <w:rPr>
          <w:rFonts w:hint="eastAsia" w:ascii="宋体" w:hAnsi="宋体"/>
          <w:szCs w:val="21"/>
          <w:lang w:bidi="ar"/>
        </w:rPr>
        <w:t>（6）必要的法律依据；</w:t>
      </w:r>
    </w:p>
    <w:p w14:paraId="33EDBEBC">
      <w:pPr>
        <w:ind w:firstLine="420" w:firstLineChars="200"/>
        <w:rPr>
          <w:rFonts w:ascii="宋体" w:hAnsi="宋体"/>
          <w:szCs w:val="21"/>
        </w:rPr>
      </w:pPr>
      <w:r>
        <w:rPr>
          <w:rFonts w:hint="eastAsia" w:ascii="宋体" w:hAnsi="宋体"/>
          <w:szCs w:val="21"/>
          <w:lang w:bidi="ar"/>
        </w:rPr>
        <w:t>（7）提出质疑的日期。</w:t>
      </w:r>
    </w:p>
    <w:p w14:paraId="192CA4A7">
      <w:pPr>
        <w:ind w:firstLine="420" w:firstLineChars="200"/>
        <w:rPr>
          <w:rFonts w:ascii="宋体" w:hAnsi="宋体"/>
          <w:szCs w:val="21"/>
        </w:rPr>
      </w:pPr>
      <w:r>
        <w:rPr>
          <w:rFonts w:hint="eastAsia" w:ascii="宋体" w:hAnsi="宋体"/>
          <w:szCs w:val="21"/>
          <w:lang w:bidi="ar"/>
        </w:rPr>
        <w:t>供应商为自然人的，应当由本人签字；供应商为法人或者其他组织的，应当由法定代表人（负责人），或者其授权代理人签字或者盖章，并加盖公章。</w:t>
      </w:r>
    </w:p>
    <w:p w14:paraId="5BA7C4C5">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.4提交材料</w:t>
      </w:r>
    </w:p>
    <w:p w14:paraId="6842E728">
      <w:pPr>
        <w:ind w:firstLine="420" w:firstLineChars="200"/>
        <w:rPr>
          <w:rFonts w:ascii="宋体" w:hAnsi="宋体"/>
          <w:szCs w:val="21"/>
        </w:rPr>
      </w:pPr>
      <w:r>
        <w:rPr>
          <w:rFonts w:hint="eastAsia" w:ascii="宋体" w:hAnsi="宋体"/>
          <w:szCs w:val="21"/>
          <w:lang w:bidi="ar"/>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73B9CF04">
      <w:pPr>
        <w:ind w:firstLine="420" w:firstLineChars="200"/>
        <w:rPr>
          <w:rFonts w:ascii="宋体" w:hAnsi="宋体"/>
          <w:szCs w:val="21"/>
        </w:rPr>
      </w:pPr>
      <w:r>
        <w:rPr>
          <w:rFonts w:hint="eastAsia" w:ascii="宋体" w:hAnsi="宋体"/>
          <w:szCs w:val="21"/>
          <w:lang w:bidi="ar"/>
        </w:rPr>
        <w:t>供应商可以委托代理人进行质疑。其授权委托书应当载明代理人的姓名或者名称、代理事项、具体权限、期限和相关事项，并附上加盖公章的代理人身份证复印件。供应商为自然人的，应当由本人签字；供应商为法人或者其他组织的，应当由法定代表人、主要负责人签字或者盖章，并加盖公章。</w:t>
      </w:r>
    </w:p>
    <w:p w14:paraId="7A1521E0">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 提交方式</w:t>
      </w:r>
    </w:p>
    <w:p w14:paraId="6FF5B641">
      <w:pPr>
        <w:ind w:firstLine="420" w:firstLineChars="200"/>
        <w:rPr>
          <w:rFonts w:ascii="Calibri" w:hAnsi="Calibri"/>
          <w:szCs w:val="22"/>
        </w:rPr>
      </w:pPr>
      <w:r>
        <w:rPr>
          <w:rFonts w:hint="eastAsia" w:ascii="Calibri" w:hAnsi="Calibri"/>
          <w:szCs w:val="22"/>
          <w:lang w:bidi="ar"/>
        </w:rPr>
        <w:t>针对采购公告、结果公告或者更正结果公告的质疑，质疑提交可以采用现场或邮寄或线上方式。供应商选择其中一种方式提交。</w:t>
      </w:r>
      <w:bookmarkStart w:id="132" w:name="OLE_LINK2"/>
      <w:r>
        <w:rPr>
          <w:rFonts w:hint="eastAsia" w:ascii="Calibri" w:hAnsi="Calibri"/>
          <w:szCs w:val="22"/>
          <w:lang w:bidi="ar"/>
        </w:rPr>
        <w:t>若</w:t>
      </w:r>
      <w:bookmarkEnd w:id="132"/>
      <w:r>
        <w:rPr>
          <w:rFonts w:hint="eastAsia" w:ascii="Calibri" w:hAnsi="Calibri"/>
          <w:szCs w:val="22"/>
          <w:lang w:bidi="ar"/>
        </w:rPr>
        <w:t>采用多种方式提交的，以我中心第一次收到完整无误的质疑材料的日期为收文日期。采用邮寄方式提交的，交邮时间应在公告发布之日起七个工作日内。</w:t>
      </w:r>
    </w:p>
    <w:p w14:paraId="2070D332">
      <w:pPr>
        <w:ind w:firstLine="420" w:firstLineChars="200"/>
        <w:rPr>
          <w:rFonts w:ascii="Calibri" w:hAnsi="Calibri"/>
          <w:szCs w:val="22"/>
        </w:rPr>
      </w:pPr>
      <w:r>
        <w:rPr>
          <w:rFonts w:hint="eastAsia" w:ascii="Calibri" w:hAnsi="Calibri"/>
          <w:szCs w:val="22"/>
          <w:lang w:bidi="ar"/>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79B5118A">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.5.1现场或邮寄提交</w:t>
      </w:r>
    </w:p>
    <w:p w14:paraId="3EF9DC45">
      <w:pPr>
        <w:ind w:firstLine="420" w:firstLineChars="200"/>
        <w:rPr>
          <w:rFonts w:ascii="宋体" w:hAnsi="宋体"/>
          <w:szCs w:val="21"/>
        </w:rPr>
      </w:pPr>
      <w:r>
        <w:rPr>
          <w:rFonts w:hint="eastAsia" w:ascii="宋体" w:hAnsi="宋体"/>
          <w:szCs w:val="21"/>
          <w:lang w:bidi="ar"/>
        </w:rPr>
        <w:t>收文地址：深圳公共资源交易中心（深圳交易集团有限公司政府采购业务分公司）深圳市南山区沙河西路3185号南山智谷A座（深圳交易集团总部大楼）27楼，质疑咨询电话：0755-86500050、0755-86500054。</w:t>
      </w:r>
    </w:p>
    <w:p w14:paraId="71AE77D0">
      <w:pPr>
        <w:ind w:firstLine="420" w:firstLineChars="200"/>
        <w:rPr>
          <w:rFonts w:ascii="宋体" w:hAnsi="宋体"/>
          <w:szCs w:val="21"/>
        </w:rPr>
      </w:pPr>
      <w:r>
        <w:rPr>
          <w:rFonts w:hint="eastAsia" w:ascii="宋体" w:hAnsi="宋体"/>
          <w:szCs w:val="21"/>
          <w:lang w:bidi="ar"/>
        </w:rPr>
        <w:t>请质疑供应商根据深圳公共资源交易中心网页（https://www.szggzy.com/globalSearch/details.html?contentId=1211037）所发布的质疑指引、质疑函模板填写质疑函并提交质疑材料。</w:t>
      </w:r>
    </w:p>
    <w:p w14:paraId="567734B5">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.5.2线上提交</w:t>
      </w:r>
    </w:p>
    <w:p w14:paraId="0B304C26">
      <w:pPr>
        <w:ind w:firstLine="420" w:firstLineChars="200"/>
        <w:rPr>
          <w:rFonts w:ascii="宋体" w:hAnsi="宋体"/>
          <w:szCs w:val="21"/>
        </w:rPr>
      </w:pPr>
      <w:r>
        <w:rPr>
          <w:rFonts w:hint="eastAsia" w:ascii="宋体" w:hAnsi="宋体"/>
          <w:szCs w:val="21"/>
          <w:lang w:bidi="ar"/>
        </w:rPr>
        <w:t>登录深圳政府采购智慧(监管)平台（http://zfcg.szggzy.com:8081/）→“深圳政府采购智慧(监管)平台用户网上办事子系统（http://zfcg.szggzy.com:8081/TPBidder/memberLogin）”，在“【我的项目】→【项目流程】→【质疑】”功能点中提交质疑。</w:t>
      </w:r>
    </w:p>
    <w:p w14:paraId="58762C8E">
      <w:pPr>
        <w:ind w:firstLine="422" w:firstLineChars="200"/>
        <w:rPr>
          <w:rFonts w:ascii="宋体" w:hAnsi="宋体"/>
          <w:b/>
          <w:bCs/>
          <w:color w:val="FF0000"/>
          <w:szCs w:val="21"/>
        </w:rPr>
      </w:pPr>
      <w:r>
        <w:rPr>
          <w:rFonts w:hint="eastAsia" w:ascii="宋体" w:hAnsi="宋体"/>
          <w:b/>
          <w:bCs/>
          <w:color w:val="FF0000"/>
          <w:szCs w:val="21"/>
          <w:lang w:bidi="ar"/>
        </w:rPr>
        <w:t>线上质疑的系统功能初次上线，正处试运行完善阶段。使用期间遇任何问题，欢迎来电联系0755-36568999 转1转1、0755-86500050、0755-86500054。如因系统功能原因导致无法提交质疑材料，请及时选择其他提交方式（现场或者邮寄提交）。如未及时选择其他提交方式导致质疑函超过法定质疑期（七个工作日内）提交，将导致质疑材料不被受理并承担相关不利后果。</w:t>
      </w:r>
    </w:p>
    <w:p w14:paraId="077D4318">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.6收文办理程序</w:t>
      </w:r>
    </w:p>
    <w:p w14:paraId="7313F91C">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.6.1供应商提交的质疑符合受理条件的，政府集中采购机构自收到质疑材料之日起即为受理，应当向供应商出具质疑函收文回执</w:t>
      </w:r>
      <w:r>
        <w:rPr>
          <w:rFonts w:hint="eastAsia" w:ascii="宋体" w:hAnsi="宋体"/>
          <w:szCs w:val="21"/>
        </w:rPr>
        <w:t>并可以要求其递交质疑的法定代表人（负责人）或者授权代理人签署质疑文书送达地址确认书</w:t>
      </w:r>
      <w:r>
        <w:rPr>
          <w:rFonts w:hint="eastAsia" w:ascii="宋体" w:hAnsi="宋体"/>
          <w:szCs w:val="21"/>
          <w:lang w:bidi="ar"/>
        </w:rPr>
        <w:t>。</w:t>
      </w:r>
    </w:p>
    <w:p w14:paraId="5635F93A">
      <w:pPr>
        <w:ind w:firstLine="420" w:firstLineChars="200"/>
        <w:rPr>
          <w:rFonts w:ascii="仿宋" w:hAnsi="仿宋" w:eastAsia="仿宋"/>
          <w:sz w:val="28"/>
          <w:szCs w:val="28"/>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.6.2供应商提交的质疑材料不符合质疑条件的，视情况处理：</w:t>
      </w:r>
    </w:p>
    <w:p w14:paraId="5ABB9BE8">
      <w:pPr>
        <w:ind w:firstLine="420" w:firstLineChars="200"/>
        <w:rPr>
          <w:rFonts w:ascii="宋体" w:hAnsi="宋体"/>
          <w:szCs w:val="21"/>
        </w:rPr>
      </w:pPr>
      <w:r>
        <w:rPr>
          <w:rFonts w:hint="eastAsia" w:ascii="宋体" w:hAnsi="宋体"/>
          <w:szCs w:val="21"/>
          <w:lang w:bidi="ar"/>
        </w:rPr>
        <w:t>供应商提交的质疑材料不全或者未按要求签字或者盖章的，政府集中采购机构应当一次性告知供应商需补正的内容和补正期限。</w:t>
      </w:r>
    </w:p>
    <w:p w14:paraId="1A9A625B">
      <w:pPr>
        <w:ind w:firstLine="420" w:firstLineChars="200"/>
        <w:rPr>
          <w:rFonts w:ascii="宋体" w:hAnsi="宋体"/>
          <w:szCs w:val="21"/>
        </w:rPr>
      </w:pPr>
      <w:r>
        <w:rPr>
          <w:rFonts w:hint="eastAsia" w:ascii="宋体" w:hAnsi="宋体"/>
          <w:szCs w:val="21"/>
          <w:lang w:bidi="ar"/>
        </w:rPr>
        <w:t>供应商提交的质疑存在下列情形之一的，不予受理：</w:t>
      </w:r>
    </w:p>
    <w:p w14:paraId="1E35A9A4">
      <w:pPr>
        <w:ind w:firstLine="420" w:firstLineChars="200"/>
        <w:rPr>
          <w:rFonts w:ascii="宋体" w:hAnsi="宋体"/>
          <w:szCs w:val="21"/>
        </w:rPr>
      </w:pPr>
      <w:r>
        <w:rPr>
          <w:rFonts w:hint="eastAsia" w:ascii="宋体" w:hAnsi="宋体"/>
          <w:szCs w:val="21"/>
          <w:lang w:bidi="ar"/>
        </w:rPr>
        <w:t>（1）质疑主体不满足要求的；</w:t>
      </w:r>
    </w:p>
    <w:p w14:paraId="55CD6B2B">
      <w:pPr>
        <w:ind w:firstLine="420" w:firstLineChars="200"/>
        <w:rPr>
          <w:rFonts w:ascii="宋体" w:hAnsi="宋体"/>
          <w:szCs w:val="21"/>
        </w:rPr>
      </w:pPr>
      <w:r>
        <w:rPr>
          <w:rFonts w:hint="eastAsia" w:ascii="宋体" w:hAnsi="宋体"/>
          <w:szCs w:val="21"/>
          <w:lang w:bidi="ar"/>
        </w:rPr>
        <w:t>（2）供应商自身权益未受到损害的；</w:t>
      </w:r>
    </w:p>
    <w:p w14:paraId="05A90DAD">
      <w:pPr>
        <w:ind w:firstLine="420" w:firstLineChars="200"/>
        <w:rPr>
          <w:rFonts w:ascii="宋体" w:hAnsi="宋体"/>
          <w:szCs w:val="21"/>
        </w:rPr>
      </w:pPr>
      <w:r>
        <w:rPr>
          <w:rFonts w:hint="eastAsia" w:ascii="宋体" w:hAnsi="宋体"/>
          <w:szCs w:val="21"/>
          <w:lang w:bidi="ar"/>
        </w:rPr>
        <w:t>（3）供应商未在法定质疑期限内提出质疑的；</w:t>
      </w:r>
    </w:p>
    <w:p w14:paraId="0E793FFA">
      <w:pPr>
        <w:ind w:firstLine="420" w:firstLineChars="200"/>
        <w:rPr>
          <w:rFonts w:ascii="宋体" w:hAnsi="宋体"/>
          <w:szCs w:val="21"/>
        </w:rPr>
      </w:pPr>
      <w:r>
        <w:rPr>
          <w:rFonts w:hint="eastAsia" w:ascii="宋体" w:hAnsi="宋体"/>
          <w:szCs w:val="21"/>
          <w:lang w:bidi="ar"/>
        </w:rPr>
        <w:t>（4）质疑材料不全或者未按要求签字或者盖章的情况下，要求补正后，逾期未补正或者补正后仍不符合规定的；</w:t>
      </w:r>
    </w:p>
    <w:p w14:paraId="154C6606">
      <w:pPr>
        <w:ind w:firstLine="420" w:firstLineChars="200"/>
        <w:rPr>
          <w:rFonts w:ascii="宋体" w:hAnsi="宋体"/>
          <w:szCs w:val="21"/>
        </w:rPr>
      </w:pPr>
      <w:r>
        <w:rPr>
          <w:rFonts w:hint="eastAsia" w:ascii="宋体" w:hAnsi="宋体"/>
          <w:szCs w:val="21"/>
          <w:lang w:bidi="ar"/>
        </w:rPr>
        <w:t>（5）其他不符合受理条件情形的。</w:t>
      </w:r>
    </w:p>
    <w:p w14:paraId="52532274">
      <w:pPr>
        <w:ind w:firstLine="420" w:firstLineChars="200"/>
        <w:rPr>
          <w:rFonts w:ascii="宋体" w:hAnsi="宋体"/>
          <w:szCs w:val="21"/>
        </w:rPr>
      </w:pPr>
      <w:r>
        <w:rPr>
          <w:rFonts w:hint="eastAsia" w:ascii="宋体" w:hAnsi="宋体"/>
          <w:szCs w:val="21"/>
          <w:lang w:bidi="ar"/>
        </w:rPr>
        <w:t>质疑事项不予受理的，政府集中采购机构应当向供应商出具不符合质疑条件告知书或系统中说明不符合质疑条件的理由。</w:t>
      </w:r>
    </w:p>
    <w:p w14:paraId="5C95B261">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.7质疑答复时限</w:t>
      </w:r>
    </w:p>
    <w:p w14:paraId="2318A5FE">
      <w:pPr>
        <w:rPr>
          <w:rFonts w:ascii="宋体" w:hAnsi="宋体"/>
          <w:szCs w:val="21"/>
        </w:rPr>
      </w:pPr>
      <w:r>
        <w:rPr>
          <w:rFonts w:hint="eastAsia" w:ascii="宋体" w:hAnsi="宋体"/>
          <w:szCs w:val="21"/>
          <w:lang w:bidi="ar"/>
        </w:rPr>
        <w:t xml:space="preserve">    自收文之日起七个工作日内。</w:t>
      </w:r>
    </w:p>
    <w:p w14:paraId="3D45CC75">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.8投诉</w:t>
      </w:r>
    </w:p>
    <w:p w14:paraId="0F37C751">
      <w:pPr>
        <w:ind w:firstLine="420"/>
        <w:rPr>
          <w:rFonts w:ascii="宋体" w:hAnsi="宋体"/>
          <w:szCs w:val="21"/>
        </w:rPr>
      </w:pPr>
      <w:r>
        <w:rPr>
          <w:rFonts w:hint="eastAsia" w:ascii="宋体" w:hAnsi="宋体"/>
          <w:szCs w:val="21"/>
          <w:lang w:bidi="ar"/>
        </w:rPr>
        <w:t>对质疑答复不满意或者未在规定时间内答复的，提出质疑的供应商可以在答复期满后15个工作日内向同级财政部门投诉。</w:t>
      </w:r>
    </w:p>
    <w:p w14:paraId="443E4E5A">
      <w:pPr>
        <w:ind w:firstLine="420"/>
        <w:rPr>
          <w:rFonts w:ascii="Calibri" w:hAnsi="Calibri"/>
          <w:szCs w:val="22"/>
        </w:rPr>
      </w:pPr>
      <w:bookmarkStart w:id="133" w:name="OLE_LINK4"/>
      <w:r>
        <w:rPr>
          <w:rFonts w:hint="eastAsia" w:ascii="Calibri" w:hAnsi="Calibri"/>
          <w:szCs w:val="22"/>
          <w:lang w:bidi="ar"/>
        </w:rPr>
        <w:t>如供应商采用线上提交质疑方式的，</w:t>
      </w:r>
      <w:bookmarkEnd w:id="133"/>
      <w:r>
        <w:rPr>
          <w:rFonts w:hint="eastAsia" w:ascii="Calibri" w:hAnsi="Calibri"/>
          <w:szCs w:val="22"/>
          <w:lang w:bidi="ar"/>
        </w:rPr>
        <w:t>可以登录深圳政府采购智慧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w:t>
      </w:r>
      <w:r>
        <w:rPr>
          <w:rFonts w:ascii="Calibri" w:hAnsi="Calibri"/>
          <w:szCs w:val="22"/>
          <w:lang w:bidi="ar"/>
        </w:rPr>
        <w:t>http://zfcg.szggzy.com:8081/</w:t>
      </w:r>
      <w:r>
        <w:rPr>
          <w:rFonts w:hint="eastAsia" w:ascii="Calibri" w:hAnsi="Calibri"/>
          <w:szCs w:val="22"/>
          <w:lang w:bidi="ar"/>
        </w:rPr>
        <w:t>）→“深圳政府采购智慧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平台用户网上办事子系统（</w:t>
      </w:r>
      <w:r>
        <w:rPr>
          <w:rFonts w:ascii="Calibri" w:hAnsi="Calibri"/>
          <w:szCs w:val="22"/>
          <w:lang w:bidi="ar"/>
        </w:rPr>
        <w:t>http://zfcg.szggzy.com:8081/TPBidder/memberLogin</w:t>
      </w:r>
      <w:r>
        <w:rPr>
          <w:rFonts w:hint="eastAsia" w:ascii="Calibri" w:hAnsi="Calibri"/>
          <w:szCs w:val="22"/>
          <w:lang w:bidi="ar"/>
        </w:rPr>
        <w:t>）”，在“【我的项目】→【项目流程】→【投诉】”功能点中提交投诉。</w:t>
      </w:r>
    </w:p>
    <w:p w14:paraId="374678CC">
      <w:pPr>
        <w:rPr>
          <w:rFonts w:ascii="黑体" w:hAnsi="宋体" w:eastAsia="黑体"/>
          <w:sz w:val="24"/>
        </w:rPr>
      </w:pPr>
      <w:r>
        <w:rPr>
          <w:rFonts w:hint="eastAsia" w:ascii="黑体" w:hAnsi="宋体" w:eastAsia="黑体"/>
          <w:sz w:val="24"/>
          <w:lang w:bidi="ar"/>
        </w:rPr>
        <w:t>53. 质疑后续处理</w:t>
      </w:r>
    </w:p>
    <w:p w14:paraId="3BD9503D">
      <w:pPr>
        <w:rPr>
          <w:rFonts w:ascii="宋体" w:hAnsi="宋体"/>
          <w:szCs w:val="21"/>
        </w:rPr>
      </w:pPr>
      <w:r>
        <w:rPr>
          <w:rFonts w:hint="eastAsia" w:ascii="宋体" w:hAnsi="宋体"/>
          <w:szCs w:val="21"/>
          <w:lang w:bidi="ar"/>
        </w:rPr>
        <w:t xml:space="preserve">    53.1供应商质疑不成立，或者成立但未对中标、成交结果构成影响的，继续开展采购活动。</w:t>
      </w:r>
    </w:p>
    <w:p w14:paraId="05B8161F">
      <w:pPr>
        <w:ind w:firstLine="420"/>
        <w:rPr>
          <w:rFonts w:ascii="宋体" w:hAnsi="宋体"/>
          <w:szCs w:val="21"/>
        </w:rPr>
      </w:pPr>
      <w:r>
        <w:rPr>
          <w:rFonts w:hint="eastAsia" w:ascii="宋体" w:hAnsi="宋体"/>
          <w:szCs w:val="21"/>
          <w:lang w:bidi="ar"/>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69997DE7">
      <w:pPr>
        <w:ind w:firstLine="420"/>
        <w:rPr>
          <w:rFonts w:ascii="宋体" w:hAnsi="宋体"/>
          <w:szCs w:val="21"/>
        </w:rPr>
      </w:pPr>
      <w:r>
        <w:rPr>
          <w:rFonts w:hint="eastAsia" w:ascii="宋体" w:hAnsi="宋体"/>
          <w:szCs w:val="21"/>
        </w:rPr>
        <w:t>53.3被质疑供应商应配合提供质疑答辩意见,并提供相关证据材料,逾期不作书面答辩的,视同放弃答辩权利,依法承担由此可能产生的不利法律后果。</w:t>
      </w:r>
    </w:p>
    <w:p w14:paraId="7EB22CDD">
      <w:pPr>
        <w:jc w:val="center"/>
      </w:pPr>
      <w:r>
        <w:t>---- END ----</w:t>
      </w:r>
      <w:bookmarkEnd w:id="129"/>
    </w:p>
    <w:p w14:paraId="04315991"/>
    <w:sectPr>
      <w:headerReference r:id="rId8" w:type="default"/>
      <w:footerReference r:id="rId9" w:type="default"/>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5FC990D-486F-4629-AB6C-3339775E7227}"/>
  </w:font>
  <w:font w:name="Arial">
    <w:panose1 w:val="020B0604020202020204"/>
    <w:charset w:val="01"/>
    <w:family w:val="swiss"/>
    <w:pitch w:val="default"/>
    <w:sig w:usb0="E0002EFF" w:usb1="C000785B" w:usb2="00000009" w:usb3="00000000" w:csb0="400001FF" w:csb1="FFFF0000"/>
    <w:embedRegular r:id="rId2" w:fontKey="{90B7A6AD-8E19-49CD-89AF-336491D715CB}"/>
  </w:font>
  <w:font w:name="黑体">
    <w:panose1 w:val="02010609060101010101"/>
    <w:charset w:val="86"/>
    <w:family w:val="auto"/>
    <w:pitch w:val="default"/>
    <w:sig w:usb0="800002BF" w:usb1="38CF7CFA" w:usb2="00000016" w:usb3="00000000" w:csb0="00040001" w:csb1="00000000"/>
    <w:embedRegular r:id="rId3" w:fontKey="{FA45DEDD-3699-4023-ABBB-44F94254E0CC}"/>
  </w:font>
  <w:font w:name="Courier New">
    <w:panose1 w:val="02070309020205020404"/>
    <w:charset w:val="01"/>
    <w:family w:val="modern"/>
    <w:pitch w:val="default"/>
    <w:sig w:usb0="E0002EFF" w:usb1="C0007843" w:usb2="00000009" w:usb3="00000000" w:csb0="400001FF" w:csb1="FFFF0000"/>
    <w:embedRegular r:id="rId4" w:fontKey="{EDF2A815-F2CC-4177-8061-C7277F0CD1A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668B1E6E-A716-475D-B84A-CD7AE5026C5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Times New Roman"/>
    <w:panose1 w:val="00000000000000000000"/>
    <w:charset w:val="00"/>
    <w:family w:val="auto"/>
    <w:pitch w:val="default"/>
    <w:sig w:usb0="00000000" w:usb1="00000000" w:usb2="00000010" w:usb3="00000000" w:csb0="00000000" w:csb1="0000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embedRegular r:id="rId6" w:fontKey="{AE61BC63-B9FB-42E7-96D2-DE2207EDE5C0}"/>
  </w:font>
  <w:font w:name="仿宋_GB2312">
    <w:panose1 w:val="02010609030101010101"/>
    <w:charset w:val="86"/>
    <w:family w:val="modern"/>
    <w:pitch w:val="default"/>
    <w:sig w:usb0="00000001" w:usb1="080E0000" w:usb2="00000000" w:usb3="00000000" w:csb0="00040000" w:csb1="00000000"/>
    <w:embedRegular r:id="rId7" w:fontKey="{B9500C8B-F543-463E-B241-191F6ED71436}"/>
  </w:font>
  <w:font w:name="微软雅黑">
    <w:panose1 w:val="020B0503020204020204"/>
    <w:charset w:val="86"/>
    <w:family w:val="auto"/>
    <w:pitch w:val="default"/>
    <w:sig w:usb0="80000287" w:usb1="2ACF3C50" w:usb2="00000016" w:usb3="00000000" w:csb0="0004001F" w:csb1="00000000"/>
    <w:embedRegular r:id="rId8" w:fontKey="{5016C8BF-DDF2-4C8F-92BC-21763BAC3ADD}"/>
  </w:font>
  <w:font w:name="华文中宋">
    <w:panose1 w:val="02010600040101010101"/>
    <w:charset w:val="86"/>
    <w:family w:val="auto"/>
    <w:pitch w:val="default"/>
    <w:sig w:usb0="00000287" w:usb1="080F0000" w:usb2="00000000" w:usb3="00000000" w:csb0="0004009F" w:csb1="DFD70000"/>
    <w:embedRegular r:id="rId9" w:fontKey="{1423F469-F727-45A9-A530-64C8083F4C09}"/>
  </w:font>
  <w:font w:name="汉仪书宋二S">
    <w:panose1 w:val="00020600040101010101"/>
    <w:charset w:val="86"/>
    <w:family w:val="auto"/>
    <w:pitch w:val="default"/>
    <w:sig w:usb0="A00002BF" w:usb1="18EF7CFA" w:usb2="00000016" w:usb3="00000000" w:csb0="00040000" w:csb1="00000000"/>
    <w:embedRegular r:id="rId10" w:fontKey="{1882F920-44AC-491E-8269-19BD8DF70585}"/>
  </w:font>
  <w:font w:name="华文楷体">
    <w:panose1 w:val="02010600040101010101"/>
    <w:charset w:val="86"/>
    <w:family w:val="auto"/>
    <w:pitch w:val="default"/>
    <w:sig w:usb0="00000287" w:usb1="080F0000" w:usb2="00000000" w:usb3="00000000" w:csb0="0004009F" w:csb1="DFD70000"/>
    <w:embedRegular r:id="rId11" w:fontKey="{EC94C7D5-75E7-4A9D-ADF2-DAFFD8E18F43}"/>
  </w:font>
  <w:font w:name="ˎ̥">
    <w:altName w:val="微软雅黑"/>
    <w:panose1 w:val="00000000000000000000"/>
    <w:charset w:val="00"/>
    <w:family w:val="auto"/>
    <w:pitch w:val="default"/>
    <w:sig w:usb0="00000000" w:usb1="00000000" w:usb2="00000000" w:usb3="00000000" w:csb0="00040001" w:csb1="00000000"/>
    <w:embedRegular r:id="rId12" w:fontKey="{07A80F99-408B-4F3F-A635-700EDC801D51}"/>
  </w:font>
  <w:font w:name="仿宋">
    <w:panose1 w:val="02010609060101010101"/>
    <w:charset w:val="86"/>
    <w:family w:val="modern"/>
    <w:pitch w:val="default"/>
    <w:sig w:usb0="800002BF" w:usb1="38CF7CFA" w:usb2="00000016" w:usb3="00000000" w:csb0="00040001" w:csb1="00000000"/>
    <w:embedRegular r:id="rId13" w:fontKey="{A5DB3122-EDE8-4CCC-B60B-A3365EC3C51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19CA7">
    <w:pPr>
      <w:pStyle w:val="9"/>
      <w:framePr w:wrap="around" w:vAnchor="text" w:hAnchor="margin" w:xAlign="center" w:y="1"/>
      <w:rPr>
        <w:rStyle w:val="25"/>
      </w:rPr>
    </w:pPr>
    <w:r>
      <w:t xml:space="preserve">- </w:t>
    </w:r>
    <w:r>
      <w:fldChar w:fldCharType="begin"/>
    </w:r>
    <w:r>
      <w:instrText xml:space="preserve"> PAGE </w:instrText>
    </w:r>
    <w:r>
      <w:fldChar w:fldCharType="separate"/>
    </w:r>
    <w:r>
      <w:t>7</w:t>
    </w:r>
    <w:r>
      <w:fldChar w:fldCharType="end"/>
    </w:r>
    <w:r>
      <w:t xml:space="preserve"> -</w:t>
    </w:r>
  </w:p>
  <w:p w14:paraId="190383CA">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8645C">
    <w:pPr>
      <w:pStyle w:val="9"/>
      <w:framePr w:wrap="around" w:vAnchor="text" w:hAnchor="margin" w:xAlign="center" w:y="1"/>
      <w:rPr>
        <w:rStyle w:val="25"/>
      </w:rPr>
    </w:pPr>
    <w:r>
      <w:rPr>
        <w:rStyle w:val="25"/>
      </w:rPr>
      <w:fldChar w:fldCharType="begin"/>
    </w:r>
    <w:r>
      <w:rPr>
        <w:rStyle w:val="25"/>
      </w:rPr>
      <w:instrText xml:space="preserve">PAGE  </w:instrText>
    </w:r>
    <w:r>
      <w:rPr>
        <w:rStyle w:val="25"/>
      </w:rPr>
      <w:fldChar w:fldCharType="end"/>
    </w:r>
  </w:p>
  <w:p w14:paraId="4E9279A2">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9477C">
    <w:pPr>
      <w:tabs>
        <w:tab w:val="center" w:pos="4153"/>
        <w:tab w:val="right" w:pos="8306"/>
      </w:tabs>
      <w:snapToGrid w:val="0"/>
      <w:jc w:val="left"/>
      <w:rPr>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E5786">
    <w:pPr>
      <w:tabs>
        <w:tab w:val="center" w:pos="4153"/>
        <w:tab w:val="right" w:pos="8306"/>
      </w:tabs>
      <w:snapToGrid w:val="0"/>
      <w:jc w:val="left"/>
      <w:rPr>
        <w:sz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68055">
    <w:pPr>
      <w:pStyle w:val="15"/>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1371A">
    <w:pPr>
      <w:tabs>
        <w:tab w:val="center" w:pos="4153"/>
        <w:tab w:val="right" w:pos="8306"/>
      </w:tabs>
      <w:snapToGrid w:val="0"/>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50180">
    <w:pPr>
      <w:tabs>
        <w:tab w:val="center" w:pos="4153"/>
        <w:tab w:val="right" w:pos="8306"/>
      </w:tabs>
      <w:snapToGrid w:val="0"/>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7A0F6431"/>
    <w:multiLevelType w:val="singleLevel"/>
    <w:tmpl w:val="7A0F6431"/>
    <w:lvl w:ilvl="0" w:tentative="0">
      <w:start w:val="1"/>
      <w:numFmt w:val="decimal"/>
      <w:suff w:val="space"/>
      <w:lvlText w:val="%1."/>
      <w:lvlJc w:val="left"/>
    </w:lvl>
  </w:abstractNum>
  <w:abstractNum w:abstractNumId="8">
    <w:nsid w:val="7E9B09E1"/>
    <w:multiLevelType w:val="singleLevel"/>
    <w:tmpl w:val="7E9B09E1"/>
    <w:lvl w:ilvl="0" w:tentative="0">
      <w:start w:val="4"/>
      <w:numFmt w:val="chineseCounting"/>
      <w:suff w:val="nothing"/>
      <w:lvlText w:val="（%1）"/>
      <w:lvlJc w:val="left"/>
      <w:rPr>
        <w:rFonts w:hint="eastAsia"/>
      </w:rPr>
    </w:lvl>
  </w:abstractNum>
  <w:num w:numId="1">
    <w:abstractNumId w:val="8"/>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liOWM2MzNlZjk4NTNhNjlmZThmZjcxNGE1Y2Q0ZmIifQ=="/>
  </w:docVars>
  <w:rsids>
    <w:rsidRoot w:val="004807DB"/>
    <w:rsid w:val="000012D7"/>
    <w:rsid w:val="00010BDB"/>
    <w:rsid w:val="00027631"/>
    <w:rsid w:val="000463B0"/>
    <w:rsid w:val="00072C34"/>
    <w:rsid w:val="000A7EA4"/>
    <w:rsid w:val="000F0800"/>
    <w:rsid w:val="000F6915"/>
    <w:rsid w:val="00100D24"/>
    <w:rsid w:val="00162897"/>
    <w:rsid w:val="00170106"/>
    <w:rsid w:val="00193C49"/>
    <w:rsid w:val="001A2A8E"/>
    <w:rsid w:val="001D6EAC"/>
    <w:rsid w:val="001F6B1D"/>
    <w:rsid w:val="002362B7"/>
    <w:rsid w:val="00254617"/>
    <w:rsid w:val="002D4C08"/>
    <w:rsid w:val="003215B7"/>
    <w:rsid w:val="003246C9"/>
    <w:rsid w:val="00324C6E"/>
    <w:rsid w:val="003526BD"/>
    <w:rsid w:val="00380DEA"/>
    <w:rsid w:val="00382E25"/>
    <w:rsid w:val="003A3645"/>
    <w:rsid w:val="003B2B54"/>
    <w:rsid w:val="003B4EC0"/>
    <w:rsid w:val="003D0344"/>
    <w:rsid w:val="003E4DC6"/>
    <w:rsid w:val="003F5F2A"/>
    <w:rsid w:val="00410AAB"/>
    <w:rsid w:val="00455FB9"/>
    <w:rsid w:val="00464FC5"/>
    <w:rsid w:val="00473A13"/>
    <w:rsid w:val="004807DB"/>
    <w:rsid w:val="004A21F9"/>
    <w:rsid w:val="004A63DF"/>
    <w:rsid w:val="004A6435"/>
    <w:rsid w:val="00535E71"/>
    <w:rsid w:val="00563274"/>
    <w:rsid w:val="00583994"/>
    <w:rsid w:val="005F49D3"/>
    <w:rsid w:val="006120AE"/>
    <w:rsid w:val="0063192C"/>
    <w:rsid w:val="00631989"/>
    <w:rsid w:val="006438DE"/>
    <w:rsid w:val="00686ADE"/>
    <w:rsid w:val="006A0B83"/>
    <w:rsid w:val="006A26A1"/>
    <w:rsid w:val="006B6004"/>
    <w:rsid w:val="006B7B88"/>
    <w:rsid w:val="006E6993"/>
    <w:rsid w:val="006F5756"/>
    <w:rsid w:val="00717B4E"/>
    <w:rsid w:val="00735C31"/>
    <w:rsid w:val="00745640"/>
    <w:rsid w:val="00757CD6"/>
    <w:rsid w:val="00792F2F"/>
    <w:rsid w:val="007A5EFE"/>
    <w:rsid w:val="00820F18"/>
    <w:rsid w:val="00850D02"/>
    <w:rsid w:val="0086256C"/>
    <w:rsid w:val="00866254"/>
    <w:rsid w:val="008A3BFB"/>
    <w:rsid w:val="008B71C5"/>
    <w:rsid w:val="008C5541"/>
    <w:rsid w:val="008E128C"/>
    <w:rsid w:val="008E4C98"/>
    <w:rsid w:val="00903639"/>
    <w:rsid w:val="00903684"/>
    <w:rsid w:val="00937DCA"/>
    <w:rsid w:val="0094064C"/>
    <w:rsid w:val="00960E41"/>
    <w:rsid w:val="009A39CD"/>
    <w:rsid w:val="009B578C"/>
    <w:rsid w:val="00A053D5"/>
    <w:rsid w:val="00A245C0"/>
    <w:rsid w:val="00A355BA"/>
    <w:rsid w:val="00A4376B"/>
    <w:rsid w:val="00A671F0"/>
    <w:rsid w:val="00A92263"/>
    <w:rsid w:val="00A96BFE"/>
    <w:rsid w:val="00AA41A7"/>
    <w:rsid w:val="00AB11B3"/>
    <w:rsid w:val="00AB76C3"/>
    <w:rsid w:val="00B12ACC"/>
    <w:rsid w:val="00B277AE"/>
    <w:rsid w:val="00B91A45"/>
    <w:rsid w:val="00BB5685"/>
    <w:rsid w:val="00BE4E01"/>
    <w:rsid w:val="00BF3FC7"/>
    <w:rsid w:val="00C3669A"/>
    <w:rsid w:val="00C41C21"/>
    <w:rsid w:val="00C74C41"/>
    <w:rsid w:val="00C83603"/>
    <w:rsid w:val="00C84B4D"/>
    <w:rsid w:val="00CA7EEA"/>
    <w:rsid w:val="00CB136C"/>
    <w:rsid w:val="00CD0F3F"/>
    <w:rsid w:val="00CE6A89"/>
    <w:rsid w:val="00D0224D"/>
    <w:rsid w:val="00D06E8A"/>
    <w:rsid w:val="00D15FD5"/>
    <w:rsid w:val="00D20B4D"/>
    <w:rsid w:val="00D279F6"/>
    <w:rsid w:val="00D35359"/>
    <w:rsid w:val="00D66687"/>
    <w:rsid w:val="00DB31BA"/>
    <w:rsid w:val="00DF67AD"/>
    <w:rsid w:val="00DF6CE4"/>
    <w:rsid w:val="00E0770D"/>
    <w:rsid w:val="00E07ED1"/>
    <w:rsid w:val="00E546AF"/>
    <w:rsid w:val="00E8726E"/>
    <w:rsid w:val="00EC6680"/>
    <w:rsid w:val="00F0456A"/>
    <w:rsid w:val="00F17C5E"/>
    <w:rsid w:val="00F42E51"/>
    <w:rsid w:val="00F4312A"/>
    <w:rsid w:val="00F96067"/>
    <w:rsid w:val="00FD1625"/>
    <w:rsid w:val="01064C9A"/>
    <w:rsid w:val="01161381"/>
    <w:rsid w:val="011A24F4"/>
    <w:rsid w:val="01211AD4"/>
    <w:rsid w:val="013435B5"/>
    <w:rsid w:val="0136732D"/>
    <w:rsid w:val="01395070"/>
    <w:rsid w:val="014D0B1B"/>
    <w:rsid w:val="01545A05"/>
    <w:rsid w:val="015B5DA5"/>
    <w:rsid w:val="015D0D5E"/>
    <w:rsid w:val="01675739"/>
    <w:rsid w:val="016C7665"/>
    <w:rsid w:val="017442FA"/>
    <w:rsid w:val="017B5008"/>
    <w:rsid w:val="01856881"/>
    <w:rsid w:val="01874535"/>
    <w:rsid w:val="01A7022B"/>
    <w:rsid w:val="01AA1AC9"/>
    <w:rsid w:val="01C7267B"/>
    <w:rsid w:val="01C81F7D"/>
    <w:rsid w:val="01D06072"/>
    <w:rsid w:val="01D628BE"/>
    <w:rsid w:val="01DD3C4D"/>
    <w:rsid w:val="01EC5C3E"/>
    <w:rsid w:val="01F01BD2"/>
    <w:rsid w:val="01F9035B"/>
    <w:rsid w:val="01FD609D"/>
    <w:rsid w:val="020049D1"/>
    <w:rsid w:val="021653B1"/>
    <w:rsid w:val="021D3C05"/>
    <w:rsid w:val="02532161"/>
    <w:rsid w:val="027C0B8B"/>
    <w:rsid w:val="0283101D"/>
    <w:rsid w:val="02847F05"/>
    <w:rsid w:val="02866093"/>
    <w:rsid w:val="02921448"/>
    <w:rsid w:val="02A23BF1"/>
    <w:rsid w:val="02A8425B"/>
    <w:rsid w:val="02B5507D"/>
    <w:rsid w:val="02C012B3"/>
    <w:rsid w:val="02C46BBB"/>
    <w:rsid w:val="02C739AD"/>
    <w:rsid w:val="02E63B0F"/>
    <w:rsid w:val="02FF1990"/>
    <w:rsid w:val="031C2553"/>
    <w:rsid w:val="032338E1"/>
    <w:rsid w:val="03241355"/>
    <w:rsid w:val="03253AFD"/>
    <w:rsid w:val="03343D40"/>
    <w:rsid w:val="03367AB9"/>
    <w:rsid w:val="03404493"/>
    <w:rsid w:val="03541CED"/>
    <w:rsid w:val="03801497"/>
    <w:rsid w:val="0397607D"/>
    <w:rsid w:val="039842CF"/>
    <w:rsid w:val="039D18E6"/>
    <w:rsid w:val="03B95FF4"/>
    <w:rsid w:val="03BB1D6C"/>
    <w:rsid w:val="03CE4785"/>
    <w:rsid w:val="03D45F38"/>
    <w:rsid w:val="03E312C3"/>
    <w:rsid w:val="03EF64F7"/>
    <w:rsid w:val="03F90AE6"/>
    <w:rsid w:val="040000C7"/>
    <w:rsid w:val="040F3E66"/>
    <w:rsid w:val="04153D40"/>
    <w:rsid w:val="041D47D5"/>
    <w:rsid w:val="041D6583"/>
    <w:rsid w:val="042042C5"/>
    <w:rsid w:val="04267B2D"/>
    <w:rsid w:val="04284AA8"/>
    <w:rsid w:val="042E253E"/>
    <w:rsid w:val="043C7483"/>
    <w:rsid w:val="044F2C20"/>
    <w:rsid w:val="047F2D99"/>
    <w:rsid w:val="04A66578"/>
    <w:rsid w:val="04AA0EC4"/>
    <w:rsid w:val="04B11640"/>
    <w:rsid w:val="04BC5D9C"/>
    <w:rsid w:val="04CE1F73"/>
    <w:rsid w:val="04E15802"/>
    <w:rsid w:val="04E84DE3"/>
    <w:rsid w:val="04EB6681"/>
    <w:rsid w:val="04F163C2"/>
    <w:rsid w:val="04FD4DC7"/>
    <w:rsid w:val="05047743"/>
    <w:rsid w:val="05151950"/>
    <w:rsid w:val="052B1173"/>
    <w:rsid w:val="052C6BD1"/>
    <w:rsid w:val="053973EC"/>
    <w:rsid w:val="053C0C8A"/>
    <w:rsid w:val="05505BF3"/>
    <w:rsid w:val="055204AE"/>
    <w:rsid w:val="05557F4F"/>
    <w:rsid w:val="056C5A14"/>
    <w:rsid w:val="05726DA2"/>
    <w:rsid w:val="05760640"/>
    <w:rsid w:val="058014BF"/>
    <w:rsid w:val="05852631"/>
    <w:rsid w:val="05863F97"/>
    <w:rsid w:val="05997E8B"/>
    <w:rsid w:val="05A625A8"/>
    <w:rsid w:val="05C23605"/>
    <w:rsid w:val="05C80770"/>
    <w:rsid w:val="05C869C2"/>
    <w:rsid w:val="05CF31A3"/>
    <w:rsid w:val="05DC1613"/>
    <w:rsid w:val="05DF17A5"/>
    <w:rsid w:val="05FD48BE"/>
    <w:rsid w:val="060A7D56"/>
    <w:rsid w:val="0619721E"/>
    <w:rsid w:val="06201FD1"/>
    <w:rsid w:val="0620235A"/>
    <w:rsid w:val="06224324"/>
    <w:rsid w:val="06296D5E"/>
    <w:rsid w:val="063D4CBA"/>
    <w:rsid w:val="0644429B"/>
    <w:rsid w:val="065B15E4"/>
    <w:rsid w:val="06615D22"/>
    <w:rsid w:val="066300E8"/>
    <w:rsid w:val="066B5CCB"/>
    <w:rsid w:val="067A5F0E"/>
    <w:rsid w:val="06840B3B"/>
    <w:rsid w:val="06896151"/>
    <w:rsid w:val="06B01930"/>
    <w:rsid w:val="06CC603E"/>
    <w:rsid w:val="06D511C9"/>
    <w:rsid w:val="06E3065B"/>
    <w:rsid w:val="06EC048E"/>
    <w:rsid w:val="06F6187A"/>
    <w:rsid w:val="06F85AA9"/>
    <w:rsid w:val="06FB72D7"/>
    <w:rsid w:val="07034156"/>
    <w:rsid w:val="0708176C"/>
    <w:rsid w:val="070E2DD2"/>
    <w:rsid w:val="07222102"/>
    <w:rsid w:val="07263FE0"/>
    <w:rsid w:val="072759F7"/>
    <w:rsid w:val="07464042"/>
    <w:rsid w:val="074F1149"/>
    <w:rsid w:val="07591FC8"/>
    <w:rsid w:val="075A30C1"/>
    <w:rsid w:val="0765110A"/>
    <w:rsid w:val="077E1A2E"/>
    <w:rsid w:val="07893F2F"/>
    <w:rsid w:val="07961BBB"/>
    <w:rsid w:val="07AC659B"/>
    <w:rsid w:val="07B45450"/>
    <w:rsid w:val="07D96C64"/>
    <w:rsid w:val="07FE66CB"/>
    <w:rsid w:val="080F2686"/>
    <w:rsid w:val="081B102B"/>
    <w:rsid w:val="081D1247"/>
    <w:rsid w:val="08236132"/>
    <w:rsid w:val="082A54E1"/>
    <w:rsid w:val="082C45F3"/>
    <w:rsid w:val="084367D4"/>
    <w:rsid w:val="084C5688"/>
    <w:rsid w:val="084D05E7"/>
    <w:rsid w:val="085409E1"/>
    <w:rsid w:val="085B1374"/>
    <w:rsid w:val="085E716A"/>
    <w:rsid w:val="0869623A"/>
    <w:rsid w:val="0874698D"/>
    <w:rsid w:val="088E04ED"/>
    <w:rsid w:val="088E5CA1"/>
    <w:rsid w:val="089B03BE"/>
    <w:rsid w:val="08AE00F1"/>
    <w:rsid w:val="08BB45BC"/>
    <w:rsid w:val="08C3170E"/>
    <w:rsid w:val="08C35F1E"/>
    <w:rsid w:val="08CB2A51"/>
    <w:rsid w:val="08D13DE0"/>
    <w:rsid w:val="08D46A4C"/>
    <w:rsid w:val="08DD4532"/>
    <w:rsid w:val="08F6501C"/>
    <w:rsid w:val="08FA3336"/>
    <w:rsid w:val="090441B5"/>
    <w:rsid w:val="09061CDB"/>
    <w:rsid w:val="09095327"/>
    <w:rsid w:val="090E293E"/>
    <w:rsid w:val="091A70EB"/>
    <w:rsid w:val="09242161"/>
    <w:rsid w:val="093A3733"/>
    <w:rsid w:val="09440A55"/>
    <w:rsid w:val="09442803"/>
    <w:rsid w:val="095F3199"/>
    <w:rsid w:val="09630EDC"/>
    <w:rsid w:val="09631893"/>
    <w:rsid w:val="096F5AD2"/>
    <w:rsid w:val="09755111"/>
    <w:rsid w:val="09756E61"/>
    <w:rsid w:val="09AD2157"/>
    <w:rsid w:val="09BC676A"/>
    <w:rsid w:val="09C556F2"/>
    <w:rsid w:val="09C86F91"/>
    <w:rsid w:val="09E66FF6"/>
    <w:rsid w:val="09EC7123"/>
    <w:rsid w:val="09FE0C04"/>
    <w:rsid w:val="0A0A57FB"/>
    <w:rsid w:val="0A140428"/>
    <w:rsid w:val="0A1A6F23"/>
    <w:rsid w:val="0A200B7B"/>
    <w:rsid w:val="0A2D14EA"/>
    <w:rsid w:val="0A313869"/>
    <w:rsid w:val="0A36039E"/>
    <w:rsid w:val="0A3925DE"/>
    <w:rsid w:val="0A474359"/>
    <w:rsid w:val="0A5627EE"/>
    <w:rsid w:val="0A6C0264"/>
    <w:rsid w:val="0A8C5F5E"/>
    <w:rsid w:val="0A95254D"/>
    <w:rsid w:val="0AA96DC2"/>
    <w:rsid w:val="0AB02121"/>
    <w:rsid w:val="0AB47515"/>
    <w:rsid w:val="0ABB76FA"/>
    <w:rsid w:val="0ABF0394"/>
    <w:rsid w:val="0AC37758"/>
    <w:rsid w:val="0ACA6D38"/>
    <w:rsid w:val="0ACF6A11"/>
    <w:rsid w:val="0AD11E75"/>
    <w:rsid w:val="0AD46A84"/>
    <w:rsid w:val="0AE53B72"/>
    <w:rsid w:val="0AE71698"/>
    <w:rsid w:val="0AEB5F77"/>
    <w:rsid w:val="0B04224A"/>
    <w:rsid w:val="0B125E37"/>
    <w:rsid w:val="0B226B74"/>
    <w:rsid w:val="0B2C17A1"/>
    <w:rsid w:val="0B2F504C"/>
    <w:rsid w:val="0B325009"/>
    <w:rsid w:val="0B3643CE"/>
    <w:rsid w:val="0B3D39AE"/>
    <w:rsid w:val="0B495EAF"/>
    <w:rsid w:val="0B582596"/>
    <w:rsid w:val="0B6158EF"/>
    <w:rsid w:val="0B626F71"/>
    <w:rsid w:val="0B776EC0"/>
    <w:rsid w:val="0B8760AB"/>
    <w:rsid w:val="0BBA5BBB"/>
    <w:rsid w:val="0BC63572"/>
    <w:rsid w:val="0BD7170D"/>
    <w:rsid w:val="0BF027CF"/>
    <w:rsid w:val="0C0A3890"/>
    <w:rsid w:val="0C177C63"/>
    <w:rsid w:val="0C2A7A8F"/>
    <w:rsid w:val="0C372D53"/>
    <w:rsid w:val="0C3923C8"/>
    <w:rsid w:val="0C572562"/>
    <w:rsid w:val="0C5E5E59"/>
    <w:rsid w:val="0C863F12"/>
    <w:rsid w:val="0C963376"/>
    <w:rsid w:val="0CA75583"/>
    <w:rsid w:val="0CAE706F"/>
    <w:rsid w:val="0CB657C6"/>
    <w:rsid w:val="0CB87790"/>
    <w:rsid w:val="0CBF484E"/>
    <w:rsid w:val="0CCB44C0"/>
    <w:rsid w:val="0CCD48BE"/>
    <w:rsid w:val="0CD619C5"/>
    <w:rsid w:val="0CD8050E"/>
    <w:rsid w:val="0CE40585"/>
    <w:rsid w:val="0D0B3D64"/>
    <w:rsid w:val="0D4C612B"/>
    <w:rsid w:val="0D5079C9"/>
    <w:rsid w:val="0D5439A7"/>
    <w:rsid w:val="0D576071"/>
    <w:rsid w:val="0D5C45C0"/>
    <w:rsid w:val="0D5F5E5E"/>
    <w:rsid w:val="0D7C256C"/>
    <w:rsid w:val="0D8B7B63"/>
    <w:rsid w:val="0D9C2C0E"/>
    <w:rsid w:val="0DA303ED"/>
    <w:rsid w:val="0DA9532B"/>
    <w:rsid w:val="0DC161D1"/>
    <w:rsid w:val="0DD856C5"/>
    <w:rsid w:val="0DDC125D"/>
    <w:rsid w:val="0DFC36AD"/>
    <w:rsid w:val="0E134225"/>
    <w:rsid w:val="0E24462C"/>
    <w:rsid w:val="0E285928"/>
    <w:rsid w:val="0E2F5830"/>
    <w:rsid w:val="0E415563"/>
    <w:rsid w:val="0E680D42"/>
    <w:rsid w:val="0E8004E8"/>
    <w:rsid w:val="0E8A6F0A"/>
    <w:rsid w:val="0E8D07A9"/>
    <w:rsid w:val="0E916193"/>
    <w:rsid w:val="0EA0228A"/>
    <w:rsid w:val="0EB36461"/>
    <w:rsid w:val="0EEF3211"/>
    <w:rsid w:val="0EFD592E"/>
    <w:rsid w:val="0F0A3BA7"/>
    <w:rsid w:val="0F1D7D7F"/>
    <w:rsid w:val="0F1F3AF7"/>
    <w:rsid w:val="0F227143"/>
    <w:rsid w:val="0F5F2145"/>
    <w:rsid w:val="0F67154B"/>
    <w:rsid w:val="0F692FC4"/>
    <w:rsid w:val="0F6E2388"/>
    <w:rsid w:val="0F773AEC"/>
    <w:rsid w:val="0F7D22E5"/>
    <w:rsid w:val="0F8751F8"/>
    <w:rsid w:val="0F882BE7"/>
    <w:rsid w:val="0F88760A"/>
    <w:rsid w:val="0F9C6EF5"/>
    <w:rsid w:val="0FA24F72"/>
    <w:rsid w:val="0FBF0E36"/>
    <w:rsid w:val="0FCF029B"/>
    <w:rsid w:val="0FF07438"/>
    <w:rsid w:val="0FF676C8"/>
    <w:rsid w:val="0FFC3E38"/>
    <w:rsid w:val="10030D22"/>
    <w:rsid w:val="10093E5F"/>
    <w:rsid w:val="100D394F"/>
    <w:rsid w:val="101747CE"/>
    <w:rsid w:val="102F7D69"/>
    <w:rsid w:val="10371EDE"/>
    <w:rsid w:val="105A7335"/>
    <w:rsid w:val="106A6FF4"/>
    <w:rsid w:val="106B4ABC"/>
    <w:rsid w:val="107E484D"/>
    <w:rsid w:val="107E65FB"/>
    <w:rsid w:val="10853E2D"/>
    <w:rsid w:val="10A06571"/>
    <w:rsid w:val="10A73DA4"/>
    <w:rsid w:val="10A87B1C"/>
    <w:rsid w:val="10AA08EC"/>
    <w:rsid w:val="10AA5642"/>
    <w:rsid w:val="10C36704"/>
    <w:rsid w:val="10CD1330"/>
    <w:rsid w:val="10CD6F53"/>
    <w:rsid w:val="10CF32FA"/>
    <w:rsid w:val="10D053AB"/>
    <w:rsid w:val="10D80401"/>
    <w:rsid w:val="10D965F9"/>
    <w:rsid w:val="10E36DA6"/>
    <w:rsid w:val="10ED3781"/>
    <w:rsid w:val="10F42D61"/>
    <w:rsid w:val="10F44B0F"/>
    <w:rsid w:val="10FB1F86"/>
    <w:rsid w:val="11005262"/>
    <w:rsid w:val="1102722C"/>
    <w:rsid w:val="11080D80"/>
    <w:rsid w:val="112C271C"/>
    <w:rsid w:val="114917E9"/>
    <w:rsid w:val="114C04A7"/>
    <w:rsid w:val="11515ABE"/>
    <w:rsid w:val="116C6D9B"/>
    <w:rsid w:val="11851C0B"/>
    <w:rsid w:val="11856E21"/>
    <w:rsid w:val="11A402E3"/>
    <w:rsid w:val="11BC387F"/>
    <w:rsid w:val="11BD75F7"/>
    <w:rsid w:val="11C24C0D"/>
    <w:rsid w:val="11C5058A"/>
    <w:rsid w:val="11CA681E"/>
    <w:rsid w:val="11FE3E97"/>
    <w:rsid w:val="121C256F"/>
    <w:rsid w:val="122327D1"/>
    <w:rsid w:val="12296A3A"/>
    <w:rsid w:val="12301B77"/>
    <w:rsid w:val="12307DC9"/>
    <w:rsid w:val="1235718D"/>
    <w:rsid w:val="12445622"/>
    <w:rsid w:val="124F3295"/>
    <w:rsid w:val="126F15CC"/>
    <w:rsid w:val="127D5AD6"/>
    <w:rsid w:val="128F4AEF"/>
    <w:rsid w:val="12966605"/>
    <w:rsid w:val="12980212"/>
    <w:rsid w:val="12A1781C"/>
    <w:rsid w:val="12B207DE"/>
    <w:rsid w:val="12C16C73"/>
    <w:rsid w:val="12C624DB"/>
    <w:rsid w:val="12D720A5"/>
    <w:rsid w:val="12DA1AE3"/>
    <w:rsid w:val="12DE7825"/>
    <w:rsid w:val="12E36BE9"/>
    <w:rsid w:val="12E419A5"/>
    <w:rsid w:val="12E54381"/>
    <w:rsid w:val="12EC4418"/>
    <w:rsid w:val="12F928B1"/>
    <w:rsid w:val="12FC7CAB"/>
    <w:rsid w:val="130C4D7B"/>
    <w:rsid w:val="130E34D1"/>
    <w:rsid w:val="13113593"/>
    <w:rsid w:val="131E40C5"/>
    <w:rsid w:val="131E7C21"/>
    <w:rsid w:val="1336476B"/>
    <w:rsid w:val="13396F2D"/>
    <w:rsid w:val="134358DA"/>
    <w:rsid w:val="13525B1D"/>
    <w:rsid w:val="13541895"/>
    <w:rsid w:val="135950FD"/>
    <w:rsid w:val="135F0966"/>
    <w:rsid w:val="13611E59"/>
    <w:rsid w:val="136917E4"/>
    <w:rsid w:val="136F1CA1"/>
    <w:rsid w:val="13826402"/>
    <w:rsid w:val="1384217A"/>
    <w:rsid w:val="138C7281"/>
    <w:rsid w:val="138E5DA2"/>
    <w:rsid w:val="13954387"/>
    <w:rsid w:val="1399374C"/>
    <w:rsid w:val="13B660AC"/>
    <w:rsid w:val="13C07C74"/>
    <w:rsid w:val="13C44C6D"/>
    <w:rsid w:val="13CF288F"/>
    <w:rsid w:val="13D33304"/>
    <w:rsid w:val="13DA08F9"/>
    <w:rsid w:val="13DD5D2E"/>
    <w:rsid w:val="13E37621"/>
    <w:rsid w:val="13F5101B"/>
    <w:rsid w:val="14171240"/>
    <w:rsid w:val="14184FB8"/>
    <w:rsid w:val="141F00F5"/>
    <w:rsid w:val="14200B1E"/>
    <w:rsid w:val="14286B8F"/>
    <w:rsid w:val="142D357B"/>
    <w:rsid w:val="14636234"/>
    <w:rsid w:val="148368D6"/>
    <w:rsid w:val="148562AE"/>
    <w:rsid w:val="14901187"/>
    <w:rsid w:val="1497412F"/>
    <w:rsid w:val="14977C8B"/>
    <w:rsid w:val="14BC4363"/>
    <w:rsid w:val="14CB5B87"/>
    <w:rsid w:val="14CE4E21"/>
    <w:rsid w:val="14D273DE"/>
    <w:rsid w:val="14DB226E"/>
    <w:rsid w:val="14DF32C7"/>
    <w:rsid w:val="14F377D6"/>
    <w:rsid w:val="15023C9F"/>
    <w:rsid w:val="150572EB"/>
    <w:rsid w:val="15082937"/>
    <w:rsid w:val="150A4901"/>
    <w:rsid w:val="15170DCC"/>
    <w:rsid w:val="15190FE8"/>
    <w:rsid w:val="152C2AC9"/>
    <w:rsid w:val="15427A3C"/>
    <w:rsid w:val="155402F7"/>
    <w:rsid w:val="156428CA"/>
    <w:rsid w:val="156A35F2"/>
    <w:rsid w:val="15747FCD"/>
    <w:rsid w:val="15853F88"/>
    <w:rsid w:val="15985C8A"/>
    <w:rsid w:val="15A9411A"/>
    <w:rsid w:val="15DB004C"/>
    <w:rsid w:val="15E2587E"/>
    <w:rsid w:val="15E6711C"/>
    <w:rsid w:val="15F31839"/>
    <w:rsid w:val="15FA4976"/>
    <w:rsid w:val="16041350"/>
    <w:rsid w:val="160457F4"/>
    <w:rsid w:val="160E0421"/>
    <w:rsid w:val="16161084"/>
    <w:rsid w:val="162157D8"/>
    <w:rsid w:val="16290DB7"/>
    <w:rsid w:val="16465E0D"/>
    <w:rsid w:val="16582103"/>
    <w:rsid w:val="1666025D"/>
    <w:rsid w:val="16682151"/>
    <w:rsid w:val="16976668"/>
    <w:rsid w:val="16A6065A"/>
    <w:rsid w:val="16B05786"/>
    <w:rsid w:val="16B31A52"/>
    <w:rsid w:val="16B56AEF"/>
    <w:rsid w:val="16C136E5"/>
    <w:rsid w:val="16CA259A"/>
    <w:rsid w:val="16CE2080"/>
    <w:rsid w:val="16D9538A"/>
    <w:rsid w:val="16E11692"/>
    <w:rsid w:val="17035AAC"/>
    <w:rsid w:val="1703785A"/>
    <w:rsid w:val="171657DF"/>
    <w:rsid w:val="171F743F"/>
    <w:rsid w:val="172A3039"/>
    <w:rsid w:val="172D1FFA"/>
    <w:rsid w:val="17343EB7"/>
    <w:rsid w:val="173B6FF4"/>
    <w:rsid w:val="1742528B"/>
    <w:rsid w:val="174F1BF6"/>
    <w:rsid w:val="17575DF8"/>
    <w:rsid w:val="175D340E"/>
    <w:rsid w:val="175E2CE2"/>
    <w:rsid w:val="175E71E6"/>
    <w:rsid w:val="17620A24"/>
    <w:rsid w:val="1767428D"/>
    <w:rsid w:val="176D1177"/>
    <w:rsid w:val="17793FC0"/>
    <w:rsid w:val="17994D0F"/>
    <w:rsid w:val="17A34B99"/>
    <w:rsid w:val="17B172B6"/>
    <w:rsid w:val="17B3580D"/>
    <w:rsid w:val="17BD182F"/>
    <w:rsid w:val="17D17958"/>
    <w:rsid w:val="17E3743F"/>
    <w:rsid w:val="18027B12"/>
    <w:rsid w:val="1807337A"/>
    <w:rsid w:val="18095344"/>
    <w:rsid w:val="180D75BF"/>
    <w:rsid w:val="1811244B"/>
    <w:rsid w:val="181F11EA"/>
    <w:rsid w:val="182201B4"/>
    <w:rsid w:val="185145F5"/>
    <w:rsid w:val="18523E05"/>
    <w:rsid w:val="186B1B5B"/>
    <w:rsid w:val="186C4380"/>
    <w:rsid w:val="18754787"/>
    <w:rsid w:val="18851A4B"/>
    <w:rsid w:val="188F1224"/>
    <w:rsid w:val="18A40BC9"/>
    <w:rsid w:val="18A50573"/>
    <w:rsid w:val="18AB2A89"/>
    <w:rsid w:val="18AD0D7A"/>
    <w:rsid w:val="18AE7C99"/>
    <w:rsid w:val="18AF0AF3"/>
    <w:rsid w:val="18B22F8F"/>
    <w:rsid w:val="18BF5A03"/>
    <w:rsid w:val="18CA5813"/>
    <w:rsid w:val="18CE5C46"/>
    <w:rsid w:val="18DF3E5F"/>
    <w:rsid w:val="18E050F5"/>
    <w:rsid w:val="18ED431E"/>
    <w:rsid w:val="18F953B8"/>
    <w:rsid w:val="19037FE5"/>
    <w:rsid w:val="19074A14"/>
    <w:rsid w:val="190B6E9A"/>
    <w:rsid w:val="191F64A1"/>
    <w:rsid w:val="192B12EA"/>
    <w:rsid w:val="193C4FA0"/>
    <w:rsid w:val="19434886"/>
    <w:rsid w:val="197D7D98"/>
    <w:rsid w:val="19801636"/>
    <w:rsid w:val="199E386A"/>
    <w:rsid w:val="19B52BBD"/>
    <w:rsid w:val="19B906A4"/>
    <w:rsid w:val="19BC6CC5"/>
    <w:rsid w:val="19DB4ABE"/>
    <w:rsid w:val="1A051B3B"/>
    <w:rsid w:val="1A0933D9"/>
    <w:rsid w:val="1A0F29BA"/>
    <w:rsid w:val="1A141D7E"/>
    <w:rsid w:val="1A174755"/>
    <w:rsid w:val="1A2975D8"/>
    <w:rsid w:val="1A2A15A2"/>
    <w:rsid w:val="1A2F0966"/>
    <w:rsid w:val="1A330456"/>
    <w:rsid w:val="1A332204"/>
    <w:rsid w:val="1A606D71"/>
    <w:rsid w:val="1A622AE9"/>
    <w:rsid w:val="1A6C1BBA"/>
    <w:rsid w:val="1A7171CB"/>
    <w:rsid w:val="1A756CC1"/>
    <w:rsid w:val="1A7F2286"/>
    <w:rsid w:val="1A952EBF"/>
    <w:rsid w:val="1ABC48F0"/>
    <w:rsid w:val="1AC27A2C"/>
    <w:rsid w:val="1ACB4B33"/>
    <w:rsid w:val="1ADD6614"/>
    <w:rsid w:val="1ADE4866"/>
    <w:rsid w:val="1AE41750"/>
    <w:rsid w:val="1B0818E3"/>
    <w:rsid w:val="1B0B13D3"/>
    <w:rsid w:val="1B267FBB"/>
    <w:rsid w:val="1B2D1349"/>
    <w:rsid w:val="1B334486"/>
    <w:rsid w:val="1B3E075A"/>
    <w:rsid w:val="1B402872"/>
    <w:rsid w:val="1B43291B"/>
    <w:rsid w:val="1B494B83"/>
    <w:rsid w:val="1B5602C2"/>
    <w:rsid w:val="1B610FF3"/>
    <w:rsid w:val="1B666609"/>
    <w:rsid w:val="1B670199"/>
    <w:rsid w:val="1B8B14BF"/>
    <w:rsid w:val="1BAD248A"/>
    <w:rsid w:val="1BB04ED2"/>
    <w:rsid w:val="1BB30C6B"/>
    <w:rsid w:val="1BBE7284"/>
    <w:rsid w:val="1BC33A5C"/>
    <w:rsid w:val="1BD47A17"/>
    <w:rsid w:val="1BD62837"/>
    <w:rsid w:val="1BDA70AF"/>
    <w:rsid w:val="1BF63E31"/>
    <w:rsid w:val="1C4F65C7"/>
    <w:rsid w:val="1C5B5A42"/>
    <w:rsid w:val="1C640D9B"/>
    <w:rsid w:val="1C784846"/>
    <w:rsid w:val="1C7A05BE"/>
    <w:rsid w:val="1CA11007"/>
    <w:rsid w:val="1CAA0778"/>
    <w:rsid w:val="1CAB69CA"/>
    <w:rsid w:val="1CB17D58"/>
    <w:rsid w:val="1CBF06C7"/>
    <w:rsid w:val="1CC25AC1"/>
    <w:rsid w:val="1CC63804"/>
    <w:rsid w:val="1CD06430"/>
    <w:rsid w:val="1CDA2465"/>
    <w:rsid w:val="1CDC4DD5"/>
    <w:rsid w:val="1CF540E9"/>
    <w:rsid w:val="1CFA7A77"/>
    <w:rsid w:val="1D04257E"/>
    <w:rsid w:val="1D0C4F8F"/>
    <w:rsid w:val="1D295B40"/>
    <w:rsid w:val="1D306ECF"/>
    <w:rsid w:val="1D385BAC"/>
    <w:rsid w:val="1D3C3AC6"/>
    <w:rsid w:val="1D664516"/>
    <w:rsid w:val="1D6D0123"/>
    <w:rsid w:val="1D7003DA"/>
    <w:rsid w:val="1D7C2114"/>
    <w:rsid w:val="1D801E7C"/>
    <w:rsid w:val="1D927B8A"/>
    <w:rsid w:val="1DA163FF"/>
    <w:rsid w:val="1DA653E3"/>
    <w:rsid w:val="1DAB6D83"/>
    <w:rsid w:val="1DBA2C3C"/>
    <w:rsid w:val="1DC454C9"/>
    <w:rsid w:val="1DC63617"/>
    <w:rsid w:val="1DD71A40"/>
    <w:rsid w:val="1DE859FC"/>
    <w:rsid w:val="1DEA3522"/>
    <w:rsid w:val="1E1E4F79"/>
    <w:rsid w:val="1E1E766F"/>
    <w:rsid w:val="1E391DB3"/>
    <w:rsid w:val="1E3D60CC"/>
    <w:rsid w:val="1E40742E"/>
    <w:rsid w:val="1E454BFC"/>
    <w:rsid w:val="1E4C7AFD"/>
    <w:rsid w:val="1E5310C7"/>
    <w:rsid w:val="1E5B441F"/>
    <w:rsid w:val="1E8760FC"/>
    <w:rsid w:val="1E8F5E77"/>
    <w:rsid w:val="1E9516DF"/>
    <w:rsid w:val="1EAE454F"/>
    <w:rsid w:val="1EB458DE"/>
    <w:rsid w:val="1ECE04E3"/>
    <w:rsid w:val="1EDB10BC"/>
    <w:rsid w:val="1EF22AD5"/>
    <w:rsid w:val="1EF5217E"/>
    <w:rsid w:val="1F086E69"/>
    <w:rsid w:val="1F087540"/>
    <w:rsid w:val="1F114ADE"/>
    <w:rsid w:val="1F152820"/>
    <w:rsid w:val="1F170346"/>
    <w:rsid w:val="1F1C3BAF"/>
    <w:rsid w:val="1F242A63"/>
    <w:rsid w:val="1F262338"/>
    <w:rsid w:val="1F282554"/>
    <w:rsid w:val="1F4153C3"/>
    <w:rsid w:val="1F464788"/>
    <w:rsid w:val="1F4B6242"/>
    <w:rsid w:val="1F6A2B6C"/>
    <w:rsid w:val="1F707A57"/>
    <w:rsid w:val="1F770DE5"/>
    <w:rsid w:val="1F784B5D"/>
    <w:rsid w:val="1F7A2683"/>
    <w:rsid w:val="1F971487"/>
    <w:rsid w:val="1FAD0CAB"/>
    <w:rsid w:val="1FB042F7"/>
    <w:rsid w:val="1FB37FF3"/>
    <w:rsid w:val="1FCB2EDF"/>
    <w:rsid w:val="1FD02CCB"/>
    <w:rsid w:val="1FD61FB0"/>
    <w:rsid w:val="1FD71884"/>
    <w:rsid w:val="1FFE648A"/>
    <w:rsid w:val="2000568E"/>
    <w:rsid w:val="2000702C"/>
    <w:rsid w:val="201725C8"/>
    <w:rsid w:val="20191E9C"/>
    <w:rsid w:val="201E74B3"/>
    <w:rsid w:val="202020A6"/>
    <w:rsid w:val="20250841"/>
    <w:rsid w:val="202C7E22"/>
    <w:rsid w:val="20375DC0"/>
    <w:rsid w:val="205149BC"/>
    <w:rsid w:val="2063580D"/>
    <w:rsid w:val="2072486A"/>
    <w:rsid w:val="20783067"/>
    <w:rsid w:val="207A092D"/>
    <w:rsid w:val="20801F1B"/>
    <w:rsid w:val="20A63AE9"/>
    <w:rsid w:val="20AF2801"/>
    <w:rsid w:val="20B83463"/>
    <w:rsid w:val="20BF58DF"/>
    <w:rsid w:val="20CA3867"/>
    <w:rsid w:val="20DE357A"/>
    <w:rsid w:val="20E97AC1"/>
    <w:rsid w:val="211014F1"/>
    <w:rsid w:val="2123408C"/>
    <w:rsid w:val="213827F6"/>
    <w:rsid w:val="213D7E0C"/>
    <w:rsid w:val="21556F04"/>
    <w:rsid w:val="21577120"/>
    <w:rsid w:val="21584C46"/>
    <w:rsid w:val="215869F4"/>
    <w:rsid w:val="21661111"/>
    <w:rsid w:val="216B2BCB"/>
    <w:rsid w:val="21821CC3"/>
    <w:rsid w:val="21867A05"/>
    <w:rsid w:val="21893052"/>
    <w:rsid w:val="218C499A"/>
    <w:rsid w:val="219A0DBB"/>
    <w:rsid w:val="21E762A6"/>
    <w:rsid w:val="21E93FAC"/>
    <w:rsid w:val="22121299"/>
    <w:rsid w:val="221A1EFC"/>
    <w:rsid w:val="222D7E81"/>
    <w:rsid w:val="223B07F0"/>
    <w:rsid w:val="22401962"/>
    <w:rsid w:val="224539EC"/>
    <w:rsid w:val="224C3750"/>
    <w:rsid w:val="226118D9"/>
    <w:rsid w:val="227C1B62"/>
    <w:rsid w:val="228757E3"/>
    <w:rsid w:val="22941CAE"/>
    <w:rsid w:val="229D6DB5"/>
    <w:rsid w:val="22A31EF1"/>
    <w:rsid w:val="22B61C24"/>
    <w:rsid w:val="22C8691D"/>
    <w:rsid w:val="22E449E3"/>
    <w:rsid w:val="22E9024C"/>
    <w:rsid w:val="22F97D63"/>
    <w:rsid w:val="230A1F70"/>
    <w:rsid w:val="2318468D"/>
    <w:rsid w:val="231D7EF5"/>
    <w:rsid w:val="23353491"/>
    <w:rsid w:val="2338088B"/>
    <w:rsid w:val="23445482"/>
    <w:rsid w:val="234619DB"/>
    <w:rsid w:val="236553F8"/>
    <w:rsid w:val="23836AB7"/>
    <w:rsid w:val="23871813"/>
    <w:rsid w:val="23A67EEB"/>
    <w:rsid w:val="23B1063E"/>
    <w:rsid w:val="23B75C54"/>
    <w:rsid w:val="23C91E2B"/>
    <w:rsid w:val="23D031BA"/>
    <w:rsid w:val="23D34A58"/>
    <w:rsid w:val="23D564E8"/>
    <w:rsid w:val="23EB31FD"/>
    <w:rsid w:val="2409047A"/>
    <w:rsid w:val="241035B6"/>
    <w:rsid w:val="24170DE9"/>
    <w:rsid w:val="242332EA"/>
    <w:rsid w:val="24463935"/>
    <w:rsid w:val="24482D50"/>
    <w:rsid w:val="245E4322"/>
    <w:rsid w:val="24714011"/>
    <w:rsid w:val="24841372"/>
    <w:rsid w:val="24877D1C"/>
    <w:rsid w:val="248F3BA6"/>
    <w:rsid w:val="24AE4343"/>
    <w:rsid w:val="24B3492E"/>
    <w:rsid w:val="24B76505"/>
    <w:rsid w:val="24BB5C77"/>
    <w:rsid w:val="24CD0804"/>
    <w:rsid w:val="24D81481"/>
    <w:rsid w:val="24DE1906"/>
    <w:rsid w:val="24F233B3"/>
    <w:rsid w:val="24F84634"/>
    <w:rsid w:val="24F9229C"/>
    <w:rsid w:val="25056E93"/>
    <w:rsid w:val="25203CCD"/>
    <w:rsid w:val="25213E48"/>
    <w:rsid w:val="25347540"/>
    <w:rsid w:val="2536704D"/>
    <w:rsid w:val="25461985"/>
    <w:rsid w:val="25887710"/>
    <w:rsid w:val="25951FC5"/>
    <w:rsid w:val="25BA7C7E"/>
    <w:rsid w:val="25D955D9"/>
    <w:rsid w:val="25DA20CE"/>
    <w:rsid w:val="25E42F4C"/>
    <w:rsid w:val="25E92311"/>
    <w:rsid w:val="25F45A92"/>
    <w:rsid w:val="260929B3"/>
    <w:rsid w:val="261D1FBA"/>
    <w:rsid w:val="262670C1"/>
    <w:rsid w:val="262B2929"/>
    <w:rsid w:val="262E5F76"/>
    <w:rsid w:val="26396DF4"/>
    <w:rsid w:val="263D7F73"/>
    <w:rsid w:val="26487428"/>
    <w:rsid w:val="266B541C"/>
    <w:rsid w:val="26725F02"/>
    <w:rsid w:val="267B47B0"/>
    <w:rsid w:val="267C3185"/>
    <w:rsid w:val="2681079B"/>
    <w:rsid w:val="268279BE"/>
    <w:rsid w:val="268564DD"/>
    <w:rsid w:val="2694227D"/>
    <w:rsid w:val="26995AE5"/>
    <w:rsid w:val="26B02E2F"/>
    <w:rsid w:val="26C708A4"/>
    <w:rsid w:val="26CB1A16"/>
    <w:rsid w:val="26D134D1"/>
    <w:rsid w:val="26D33051"/>
    <w:rsid w:val="26D42FC1"/>
    <w:rsid w:val="26F947D6"/>
    <w:rsid w:val="26FE003E"/>
    <w:rsid w:val="270253CC"/>
    <w:rsid w:val="270537D9"/>
    <w:rsid w:val="27191DB9"/>
    <w:rsid w:val="27231678"/>
    <w:rsid w:val="27383550"/>
    <w:rsid w:val="274C0DA9"/>
    <w:rsid w:val="274E4B21"/>
    <w:rsid w:val="2758774E"/>
    <w:rsid w:val="275D4D64"/>
    <w:rsid w:val="276756B2"/>
    <w:rsid w:val="277F4CDB"/>
    <w:rsid w:val="278A3680"/>
    <w:rsid w:val="27962024"/>
    <w:rsid w:val="279B763B"/>
    <w:rsid w:val="27B506FD"/>
    <w:rsid w:val="27CC5A46"/>
    <w:rsid w:val="27D56FF1"/>
    <w:rsid w:val="27DD5EA5"/>
    <w:rsid w:val="27EC7E96"/>
    <w:rsid w:val="27FB14B4"/>
    <w:rsid w:val="27FC457D"/>
    <w:rsid w:val="281D62A2"/>
    <w:rsid w:val="28210CC5"/>
    <w:rsid w:val="28331C1B"/>
    <w:rsid w:val="28351B4E"/>
    <w:rsid w:val="283D6944"/>
    <w:rsid w:val="28416434"/>
    <w:rsid w:val="28433F5A"/>
    <w:rsid w:val="28515895"/>
    <w:rsid w:val="28551EE0"/>
    <w:rsid w:val="285A74F6"/>
    <w:rsid w:val="28626BCE"/>
    <w:rsid w:val="286363AA"/>
    <w:rsid w:val="2867689A"/>
    <w:rsid w:val="28795BCE"/>
    <w:rsid w:val="288236C7"/>
    <w:rsid w:val="288D5325"/>
    <w:rsid w:val="28A87747"/>
    <w:rsid w:val="28AE4572"/>
    <w:rsid w:val="28B46C06"/>
    <w:rsid w:val="28C8445F"/>
    <w:rsid w:val="28D33A0A"/>
    <w:rsid w:val="28D7334D"/>
    <w:rsid w:val="28E374EB"/>
    <w:rsid w:val="28ED2118"/>
    <w:rsid w:val="28FE4325"/>
    <w:rsid w:val="2900009D"/>
    <w:rsid w:val="292F2A9F"/>
    <w:rsid w:val="29363ABF"/>
    <w:rsid w:val="29424212"/>
    <w:rsid w:val="295039D0"/>
    <w:rsid w:val="29543F45"/>
    <w:rsid w:val="29581C87"/>
    <w:rsid w:val="296341F3"/>
    <w:rsid w:val="296F7C11"/>
    <w:rsid w:val="29986528"/>
    <w:rsid w:val="29B35110"/>
    <w:rsid w:val="29D335AD"/>
    <w:rsid w:val="29D56D78"/>
    <w:rsid w:val="29D82DC8"/>
    <w:rsid w:val="29EA31D2"/>
    <w:rsid w:val="29F15C38"/>
    <w:rsid w:val="2A0C48F2"/>
    <w:rsid w:val="2A157B78"/>
    <w:rsid w:val="2A1831C5"/>
    <w:rsid w:val="2A336250"/>
    <w:rsid w:val="2A491993"/>
    <w:rsid w:val="2A5C1303"/>
    <w:rsid w:val="2A6B59EA"/>
    <w:rsid w:val="2A783C63"/>
    <w:rsid w:val="2A8E5901"/>
    <w:rsid w:val="2A944F41"/>
    <w:rsid w:val="2AA07E80"/>
    <w:rsid w:val="2AA96D9B"/>
    <w:rsid w:val="2AAB2B4B"/>
    <w:rsid w:val="2AB63109"/>
    <w:rsid w:val="2ADA1047"/>
    <w:rsid w:val="2ADE61BC"/>
    <w:rsid w:val="2AE13EFE"/>
    <w:rsid w:val="2AEA2DB3"/>
    <w:rsid w:val="2AEB08D9"/>
    <w:rsid w:val="2AFD492E"/>
    <w:rsid w:val="2B1D6617"/>
    <w:rsid w:val="2B231BDB"/>
    <w:rsid w:val="2B2B15E0"/>
    <w:rsid w:val="2B2F6A18"/>
    <w:rsid w:val="2B394B81"/>
    <w:rsid w:val="2B395AE8"/>
    <w:rsid w:val="2B406E77"/>
    <w:rsid w:val="2B481888"/>
    <w:rsid w:val="2B494676"/>
    <w:rsid w:val="2B4F0E68"/>
    <w:rsid w:val="2B522706"/>
    <w:rsid w:val="2B54022C"/>
    <w:rsid w:val="2B593A95"/>
    <w:rsid w:val="2B604E23"/>
    <w:rsid w:val="2B643764"/>
    <w:rsid w:val="2B667F60"/>
    <w:rsid w:val="2B747456"/>
    <w:rsid w:val="2B7803BF"/>
    <w:rsid w:val="2B824D9A"/>
    <w:rsid w:val="2B856638"/>
    <w:rsid w:val="2B901331"/>
    <w:rsid w:val="2B97636B"/>
    <w:rsid w:val="2BAE3DE1"/>
    <w:rsid w:val="2BB1532C"/>
    <w:rsid w:val="2BDA267D"/>
    <w:rsid w:val="2BF35C97"/>
    <w:rsid w:val="2BF71A49"/>
    <w:rsid w:val="2C114181"/>
    <w:rsid w:val="2C11436F"/>
    <w:rsid w:val="2C1A4694"/>
    <w:rsid w:val="2C2440A3"/>
    <w:rsid w:val="2C35005E"/>
    <w:rsid w:val="2C3A399C"/>
    <w:rsid w:val="2C3C763E"/>
    <w:rsid w:val="2C461E3D"/>
    <w:rsid w:val="2C695F59"/>
    <w:rsid w:val="2C723060"/>
    <w:rsid w:val="2C752B50"/>
    <w:rsid w:val="2C7843EE"/>
    <w:rsid w:val="2C9A4365"/>
    <w:rsid w:val="2C9F197B"/>
    <w:rsid w:val="2CAE7E10"/>
    <w:rsid w:val="2CD05FD9"/>
    <w:rsid w:val="2CD258AD"/>
    <w:rsid w:val="2CDE06F5"/>
    <w:rsid w:val="2CE455E0"/>
    <w:rsid w:val="2CF25F4F"/>
    <w:rsid w:val="2CF63C91"/>
    <w:rsid w:val="2CFE2B46"/>
    <w:rsid w:val="2D031F0A"/>
    <w:rsid w:val="2D1C6441"/>
    <w:rsid w:val="2D3C366E"/>
    <w:rsid w:val="2D3D4257"/>
    <w:rsid w:val="2D406CBA"/>
    <w:rsid w:val="2D527D7E"/>
    <w:rsid w:val="2D614E83"/>
    <w:rsid w:val="2D636E4D"/>
    <w:rsid w:val="2D6A05F9"/>
    <w:rsid w:val="2D79041E"/>
    <w:rsid w:val="2D7E77E3"/>
    <w:rsid w:val="2D8748E9"/>
    <w:rsid w:val="2D880661"/>
    <w:rsid w:val="2D891C77"/>
    <w:rsid w:val="2DB80F46"/>
    <w:rsid w:val="2DB81892"/>
    <w:rsid w:val="2DBB4593"/>
    <w:rsid w:val="2DCB6483"/>
    <w:rsid w:val="2DE0224B"/>
    <w:rsid w:val="2DF45CF7"/>
    <w:rsid w:val="2E1A39AF"/>
    <w:rsid w:val="2E2E1209"/>
    <w:rsid w:val="2E516CA5"/>
    <w:rsid w:val="2E5E3A03"/>
    <w:rsid w:val="2E5F5866"/>
    <w:rsid w:val="2E725599"/>
    <w:rsid w:val="2E7C391F"/>
    <w:rsid w:val="2E806920"/>
    <w:rsid w:val="2E905A1F"/>
    <w:rsid w:val="2E9848D4"/>
    <w:rsid w:val="2E9A064C"/>
    <w:rsid w:val="2ED17FB6"/>
    <w:rsid w:val="2ED753FC"/>
    <w:rsid w:val="2ED8336B"/>
    <w:rsid w:val="2EE62640"/>
    <w:rsid w:val="2EF74B19"/>
    <w:rsid w:val="2F1C3757"/>
    <w:rsid w:val="2F1F5CDD"/>
    <w:rsid w:val="2F320790"/>
    <w:rsid w:val="2F3C7955"/>
    <w:rsid w:val="2F48454C"/>
    <w:rsid w:val="2F4B1946"/>
    <w:rsid w:val="2F601896"/>
    <w:rsid w:val="2F875074"/>
    <w:rsid w:val="2FA05332"/>
    <w:rsid w:val="2FA15A0A"/>
    <w:rsid w:val="2FA417BA"/>
    <w:rsid w:val="2FA71D40"/>
    <w:rsid w:val="2FAF5D60"/>
    <w:rsid w:val="2FB120F1"/>
    <w:rsid w:val="2FB674D6"/>
    <w:rsid w:val="2FC55B9D"/>
    <w:rsid w:val="2FEC4ED7"/>
    <w:rsid w:val="2FF77F3F"/>
    <w:rsid w:val="30030473"/>
    <w:rsid w:val="300F6E18"/>
    <w:rsid w:val="30274B6F"/>
    <w:rsid w:val="303321F6"/>
    <w:rsid w:val="304050A9"/>
    <w:rsid w:val="30405223"/>
    <w:rsid w:val="30444D13"/>
    <w:rsid w:val="3049232A"/>
    <w:rsid w:val="30566085"/>
    <w:rsid w:val="306C3781"/>
    <w:rsid w:val="3071362F"/>
    <w:rsid w:val="307A7389"/>
    <w:rsid w:val="309D61D2"/>
    <w:rsid w:val="30A170BF"/>
    <w:rsid w:val="30AB4D93"/>
    <w:rsid w:val="30C2681A"/>
    <w:rsid w:val="30C37DE2"/>
    <w:rsid w:val="30C65728"/>
    <w:rsid w:val="30CE0A81"/>
    <w:rsid w:val="30DA11D4"/>
    <w:rsid w:val="30DD6F16"/>
    <w:rsid w:val="30DE72D9"/>
    <w:rsid w:val="30DF67EA"/>
    <w:rsid w:val="30ED53AB"/>
    <w:rsid w:val="30F304E8"/>
    <w:rsid w:val="310E0E7D"/>
    <w:rsid w:val="310F3573"/>
    <w:rsid w:val="31175F84"/>
    <w:rsid w:val="314A45AB"/>
    <w:rsid w:val="314D19A6"/>
    <w:rsid w:val="314D3E18"/>
    <w:rsid w:val="315C4F9B"/>
    <w:rsid w:val="317716B5"/>
    <w:rsid w:val="31921AAF"/>
    <w:rsid w:val="31947FB6"/>
    <w:rsid w:val="319F5F79"/>
    <w:rsid w:val="31BE28A4"/>
    <w:rsid w:val="31C679AA"/>
    <w:rsid w:val="31C83722"/>
    <w:rsid w:val="31CA749A"/>
    <w:rsid w:val="31CB6BC1"/>
    <w:rsid w:val="31D10829"/>
    <w:rsid w:val="31DC106F"/>
    <w:rsid w:val="31E247E4"/>
    <w:rsid w:val="31E3055C"/>
    <w:rsid w:val="31FC2FF6"/>
    <w:rsid w:val="320A5AE9"/>
    <w:rsid w:val="32100EC2"/>
    <w:rsid w:val="322F3C4C"/>
    <w:rsid w:val="32326DEE"/>
    <w:rsid w:val="32582CF8"/>
    <w:rsid w:val="325A081E"/>
    <w:rsid w:val="327F64D7"/>
    <w:rsid w:val="32823714"/>
    <w:rsid w:val="32951856"/>
    <w:rsid w:val="329C2DB1"/>
    <w:rsid w:val="329D070B"/>
    <w:rsid w:val="329D3696"/>
    <w:rsid w:val="329F0927"/>
    <w:rsid w:val="32A95302"/>
    <w:rsid w:val="32AB107A"/>
    <w:rsid w:val="32AE2918"/>
    <w:rsid w:val="32B55A55"/>
    <w:rsid w:val="32C043F9"/>
    <w:rsid w:val="32C959A4"/>
    <w:rsid w:val="32CB5278"/>
    <w:rsid w:val="32D007AA"/>
    <w:rsid w:val="32DA370D"/>
    <w:rsid w:val="32DB1233"/>
    <w:rsid w:val="32E26A66"/>
    <w:rsid w:val="32F02F31"/>
    <w:rsid w:val="32F32879"/>
    <w:rsid w:val="32FB4313"/>
    <w:rsid w:val="33162ABB"/>
    <w:rsid w:val="331704BD"/>
    <w:rsid w:val="33303B10"/>
    <w:rsid w:val="33484B1B"/>
    <w:rsid w:val="33490893"/>
    <w:rsid w:val="33506596"/>
    <w:rsid w:val="335D48E6"/>
    <w:rsid w:val="337A0A4C"/>
    <w:rsid w:val="3392223A"/>
    <w:rsid w:val="339C6C14"/>
    <w:rsid w:val="33CD3272"/>
    <w:rsid w:val="33CF7A9C"/>
    <w:rsid w:val="33D44600"/>
    <w:rsid w:val="33D46095"/>
    <w:rsid w:val="33DB773D"/>
    <w:rsid w:val="33DC5263"/>
    <w:rsid w:val="33FB1D29"/>
    <w:rsid w:val="33FC5905"/>
    <w:rsid w:val="34034262"/>
    <w:rsid w:val="34045566"/>
    <w:rsid w:val="340543AC"/>
    <w:rsid w:val="340A0022"/>
    <w:rsid w:val="341D5FA7"/>
    <w:rsid w:val="341E7629"/>
    <w:rsid w:val="343B467F"/>
    <w:rsid w:val="343D21A6"/>
    <w:rsid w:val="34403A44"/>
    <w:rsid w:val="345117AD"/>
    <w:rsid w:val="345656C7"/>
    <w:rsid w:val="3460367F"/>
    <w:rsid w:val="34677222"/>
    <w:rsid w:val="346E1C27"/>
    <w:rsid w:val="34750D1D"/>
    <w:rsid w:val="34841338"/>
    <w:rsid w:val="348F6779"/>
    <w:rsid w:val="3491429F"/>
    <w:rsid w:val="34971C58"/>
    <w:rsid w:val="349A34DB"/>
    <w:rsid w:val="349A75F8"/>
    <w:rsid w:val="34A044E2"/>
    <w:rsid w:val="34A21EBE"/>
    <w:rsid w:val="34B61F58"/>
    <w:rsid w:val="34B65AB4"/>
    <w:rsid w:val="34BF2BBB"/>
    <w:rsid w:val="34C04B85"/>
    <w:rsid w:val="34D6203C"/>
    <w:rsid w:val="34E9358D"/>
    <w:rsid w:val="34F34F5A"/>
    <w:rsid w:val="34FD1935"/>
    <w:rsid w:val="350E769E"/>
    <w:rsid w:val="351849C1"/>
    <w:rsid w:val="3538296D"/>
    <w:rsid w:val="354237EC"/>
    <w:rsid w:val="354331EB"/>
    <w:rsid w:val="35505F08"/>
    <w:rsid w:val="355C48AD"/>
    <w:rsid w:val="356D0868"/>
    <w:rsid w:val="357F059C"/>
    <w:rsid w:val="35956BF6"/>
    <w:rsid w:val="35A64A13"/>
    <w:rsid w:val="35A818A1"/>
    <w:rsid w:val="35C30488"/>
    <w:rsid w:val="35D95EFE"/>
    <w:rsid w:val="35E63317"/>
    <w:rsid w:val="35E81522"/>
    <w:rsid w:val="35EA1EB9"/>
    <w:rsid w:val="35EF127D"/>
    <w:rsid w:val="35FD75B5"/>
    <w:rsid w:val="36146F36"/>
    <w:rsid w:val="361C228F"/>
    <w:rsid w:val="361E6007"/>
    <w:rsid w:val="36291668"/>
    <w:rsid w:val="362D4688"/>
    <w:rsid w:val="36455341"/>
    <w:rsid w:val="36557251"/>
    <w:rsid w:val="366C0EB3"/>
    <w:rsid w:val="367040D8"/>
    <w:rsid w:val="36AF4EB1"/>
    <w:rsid w:val="36B424C7"/>
    <w:rsid w:val="36B85DCE"/>
    <w:rsid w:val="36C46BAE"/>
    <w:rsid w:val="36CA64AC"/>
    <w:rsid w:val="36CB62E7"/>
    <w:rsid w:val="36CC7811"/>
    <w:rsid w:val="36D3294D"/>
    <w:rsid w:val="36D87F64"/>
    <w:rsid w:val="36E55F46"/>
    <w:rsid w:val="36ED5DD2"/>
    <w:rsid w:val="36F33F52"/>
    <w:rsid w:val="370400D2"/>
    <w:rsid w:val="37353608"/>
    <w:rsid w:val="37441A9D"/>
    <w:rsid w:val="374B6987"/>
    <w:rsid w:val="37515F68"/>
    <w:rsid w:val="37620175"/>
    <w:rsid w:val="37621F23"/>
    <w:rsid w:val="37677539"/>
    <w:rsid w:val="376C68FE"/>
    <w:rsid w:val="37765966"/>
    <w:rsid w:val="377A54BF"/>
    <w:rsid w:val="377C1237"/>
    <w:rsid w:val="37910FBB"/>
    <w:rsid w:val="3793032E"/>
    <w:rsid w:val="37A147F9"/>
    <w:rsid w:val="37D90437"/>
    <w:rsid w:val="37DA41AF"/>
    <w:rsid w:val="37E172EC"/>
    <w:rsid w:val="37E62C43"/>
    <w:rsid w:val="37E8067A"/>
    <w:rsid w:val="37EA2DD8"/>
    <w:rsid w:val="37EB016A"/>
    <w:rsid w:val="37EF3553"/>
    <w:rsid w:val="382611A3"/>
    <w:rsid w:val="38267F5A"/>
    <w:rsid w:val="385264CE"/>
    <w:rsid w:val="3872263A"/>
    <w:rsid w:val="387B329C"/>
    <w:rsid w:val="387E68E3"/>
    <w:rsid w:val="38910B5D"/>
    <w:rsid w:val="38B13162"/>
    <w:rsid w:val="38C22C79"/>
    <w:rsid w:val="38D879A8"/>
    <w:rsid w:val="38DE1A7D"/>
    <w:rsid w:val="38FC4989"/>
    <w:rsid w:val="39070FD4"/>
    <w:rsid w:val="390B5CBF"/>
    <w:rsid w:val="391D25A6"/>
    <w:rsid w:val="39232B19"/>
    <w:rsid w:val="39487705"/>
    <w:rsid w:val="394A0EC1"/>
    <w:rsid w:val="39557F91"/>
    <w:rsid w:val="395A55A8"/>
    <w:rsid w:val="395C5AD7"/>
    <w:rsid w:val="397F6DBC"/>
    <w:rsid w:val="3982065B"/>
    <w:rsid w:val="39AA76FF"/>
    <w:rsid w:val="39CE564E"/>
    <w:rsid w:val="39D80E75"/>
    <w:rsid w:val="39E60BE9"/>
    <w:rsid w:val="39EB110C"/>
    <w:rsid w:val="39F728F0"/>
    <w:rsid w:val="3A03179B"/>
    <w:rsid w:val="3A241712"/>
    <w:rsid w:val="3A2B2AA0"/>
    <w:rsid w:val="3A4D20AB"/>
    <w:rsid w:val="3A5E69D2"/>
    <w:rsid w:val="3A7C32FC"/>
    <w:rsid w:val="3A83468A"/>
    <w:rsid w:val="3A865F28"/>
    <w:rsid w:val="3A900B55"/>
    <w:rsid w:val="3A940645"/>
    <w:rsid w:val="3AC16F61"/>
    <w:rsid w:val="3AD46F39"/>
    <w:rsid w:val="3AE65626"/>
    <w:rsid w:val="3AED7D56"/>
    <w:rsid w:val="3AF70BD4"/>
    <w:rsid w:val="3B07411C"/>
    <w:rsid w:val="3B117EE8"/>
    <w:rsid w:val="3B1B48C3"/>
    <w:rsid w:val="3B1D688D"/>
    <w:rsid w:val="3B225C51"/>
    <w:rsid w:val="3B2E0A9A"/>
    <w:rsid w:val="3B312338"/>
    <w:rsid w:val="3B3760F2"/>
    <w:rsid w:val="3B3911ED"/>
    <w:rsid w:val="3B4F0A10"/>
    <w:rsid w:val="3B551A74"/>
    <w:rsid w:val="3B5E66F2"/>
    <w:rsid w:val="3B7B3AA4"/>
    <w:rsid w:val="3B7D557D"/>
    <w:rsid w:val="3B893F22"/>
    <w:rsid w:val="3B9D79CE"/>
    <w:rsid w:val="3BAE3989"/>
    <w:rsid w:val="3BC1546A"/>
    <w:rsid w:val="3BE16CCB"/>
    <w:rsid w:val="3C0813E6"/>
    <w:rsid w:val="3C084446"/>
    <w:rsid w:val="3C101F4E"/>
    <w:rsid w:val="3C1852A6"/>
    <w:rsid w:val="3C1D1103"/>
    <w:rsid w:val="3C2105FF"/>
    <w:rsid w:val="3C29300F"/>
    <w:rsid w:val="3C30439E"/>
    <w:rsid w:val="3C3E2F5F"/>
    <w:rsid w:val="3C3F2833"/>
    <w:rsid w:val="3C447E49"/>
    <w:rsid w:val="3C4816E7"/>
    <w:rsid w:val="3C686BF7"/>
    <w:rsid w:val="3C6B187A"/>
    <w:rsid w:val="3C7928BA"/>
    <w:rsid w:val="3C797AF3"/>
    <w:rsid w:val="3C8628E4"/>
    <w:rsid w:val="3C90308E"/>
    <w:rsid w:val="3CA8662A"/>
    <w:rsid w:val="3CB15833"/>
    <w:rsid w:val="3CB7061B"/>
    <w:rsid w:val="3CBE5E4E"/>
    <w:rsid w:val="3CC911ED"/>
    <w:rsid w:val="3CCF005B"/>
    <w:rsid w:val="3CD25455"/>
    <w:rsid w:val="3CDC62D4"/>
    <w:rsid w:val="3CEC29BB"/>
    <w:rsid w:val="3CFC24D2"/>
    <w:rsid w:val="3D027F90"/>
    <w:rsid w:val="3D0715A3"/>
    <w:rsid w:val="3D0C6BB9"/>
    <w:rsid w:val="3D2739F3"/>
    <w:rsid w:val="3D4070E8"/>
    <w:rsid w:val="3D510A70"/>
    <w:rsid w:val="3D65276D"/>
    <w:rsid w:val="3D9F7A2D"/>
    <w:rsid w:val="3DA43295"/>
    <w:rsid w:val="3DAC5CA6"/>
    <w:rsid w:val="3DAE5EC2"/>
    <w:rsid w:val="3DC41242"/>
    <w:rsid w:val="3DD5344F"/>
    <w:rsid w:val="3DDB56AA"/>
    <w:rsid w:val="3DF24001"/>
    <w:rsid w:val="3E1026D9"/>
    <w:rsid w:val="3E23240C"/>
    <w:rsid w:val="3E2717D1"/>
    <w:rsid w:val="3E272DD1"/>
    <w:rsid w:val="3E2C636E"/>
    <w:rsid w:val="3E350391"/>
    <w:rsid w:val="3E4800C5"/>
    <w:rsid w:val="3E522CF1"/>
    <w:rsid w:val="3E642A25"/>
    <w:rsid w:val="3E8B7FB1"/>
    <w:rsid w:val="3E9F580B"/>
    <w:rsid w:val="3EA11583"/>
    <w:rsid w:val="3EA6303D"/>
    <w:rsid w:val="3EAD617A"/>
    <w:rsid w:val="3EC05784"/>
    <w:rsid w:val="3ED100BA"/>
    <w:rsid w:val="3ED82DBD"/>
    <w:rsid w:val="3EE27813"/>
    <w:rsid w:val="3EE80F60"/>
    <w:rsid w:val="3EF23B8C"/>
    <w:rsid w:val="3F10188C"/>
    <w:rsid w:val="3F1104B7"/>
    <w:rsid w:val="3F165ACD"/>
    <w:rsid w:val="3F450160"/>
    <w:rsid w:val="3F4563B2"/>
    <w:rsid w:val="3F47037C"/>
    <w:rsid w:val="3F4D5267"/>
    <w:rsid w:val="3F5E7474"/>
    <w:rsid w:val="3F631B80"/>
    <w:rsid w:val="3F6C7DE3"/>
    <w:rsid w:val="3F9B06C8"/>
    <w:rsid w:val="3F9E5AC2"/>
    <w:rsid w:val="3FA84969"/>
    <w:rsid w:val="3FC76DC7"/>
    <w:rsid w:val="3FD414E4"/>
    <w:rsid w:val="3FDF05B5"/>
    <w:rsid w:val="3FE931E1"/>
    <w:rsid w:val="3FF077F6"/>
    <w:rsid w:val="4004626D"/>
    <w:rsid w:val="40077B0C"/>
    <w:rsid w:val="40083B08"/>
    <w:rsid w:val="40372100"/>
    <w:rsid w:val="403D352D"/>
    <w:rsid w:val="404E74E8"/>
    <w:rsid w:val="405C1C05"/>
    <w:rsid w:val="405D772B"/>
    <w:rsid w:val="40752CC7"/>
    <w:rsid w:val="407707ED"/>
    <w:rsid w:val="4081166C"/>
    <w:rsid w:val="408D0011"/>
    <w:rsid w:val="40990887"/>
    <w:rsid w:val="409E3FCC"/>
    <w:rsid w:val="40A13ABC"/>
    <w:rsid w:val="40A1586A"/>
    <w:rsid w:val="40AE37C3"/>
    <w:rsid w:val="40AF61D9"/>
    <w:rsid w:val="40B51316"/>
    <w:rsid w:val="40BC6B48"/>
    <w:rsid w:val="40C357E1"/>
    <w:rsid w:val="40D479EE"/>
    <w:rsid w:val="40FB141E"/>
    <w:rsid w:val="41232723"/>
    <w:rsid w:val="412344D1"/>
    <w:rsid w:val="41296327"/>
    <w:rsid w:val="41306BEE"/>
    <w:rsid w:val="4142704D"/>
    <w:rsid w:val="41456B3D"/>
    <w:rsid w:val="414B5FB6"/>
    <w:rsid w:val="414C3A28"/>
    <w:rsid w:val="416C4764"/>
    <w:rsid w:val="416E7E42"/>
    <w:rsid w:val="41807B75"/>
    <w:rsid w:val="41911D83"/>
    <w:rsid w:val="41932D5F"/>
    <w:rsid w:val="41A24CB0"/>
    <w:rsid w:val="41B32C42"/>
    <w:rsid w:val="41B63597"/>
    <w:rsid w:val="41B73FD5"/>
    <w:rsid w:val="41BA6A61"/>
    <w:rsid w:val="41D852BC"/>
    <w:rsid w:val="41DD0B24"/>
    <w:rsid w:val="41DD6D76"/>
    <w:rsid w:val="41E80A92"/>
    <w:rsid w:val="41E9571B"/>
    <w:rsid w:val="41F1637D"/>
    <w:rsid w:val="41F8595E"/>
    <w:rsid w:val="42073DF3"/>
    <w:rsid w:val="421B164C"/>
    <w:rsid w:val="42366486"/>
    <w:rsid w:val="425C5EED"/>
    <w:rsid w:val="42641245"/>
    <w:rsid w:val="428C60A6"/>
    <w:rsid w:val="42900EBF"/>
    <w:rsid w:val="42A925FC"/>
    <w:rsid w:val="42C27D1A"/>
    <w:rsid w:val="42D25195"/>
    <w:rsid w:val="42D82FA7"/>
    <w:rsid w:val="42EB7271"/>
    <w:rsid w:val="42F02C8F"/>
    <w:rsid w:val="4303280C"/>
    <w:rsid w:val="43055ADD"/>
    <w:rsid w:val="431D66A9"/>
    <w:rsid w:val="432E715D"/>
    <w:rsid w:val="4335673E"/>
    <w:rsid w:val="434E3BCE"/>
    <w:rsid w:val="435C1F1C"/>
    <w:rsid w:val="435C6309"/>
    <w:rsid w:val="436314FD"/>
    <w:rsid w:val="43762FDE"/>
    <w:rsid w:val="437B23A2"/>
    <w:rsid w:val="437B4D47"/>
    <w:rsid w:val="43923B90"/>
    <w:rsid w:val="439815EF"/>
    <w:rsid w:val="43AC3F25"/>
    <w:rsid w:val="43AC4AD8"/>
    <w:rsid w:val="43BE4985"/>
    <w:rsid w:val="43CD117F"/>
    <w:rsid w:val="43D321DE"/>
    <w:rsid w:val="43E02B4D"/>
    <w:rsid w:val="440C3942"/>
    <w:rsid w:val="440F51E1"/>
    <w:rsid w:val="444403E8"/>
    <w:rsid w:val="44507CD3"/>
    <w:rsid w:val="446B68BB"/>
    <w:rsid w:val="44705C7F"/>
    <w:rsid w:val="44801C3A"/>
    <w:rsid w:val="44844AD9"/>
    <w:rsid w:val="448E07FB"/>
    <w:rsid w:val="4492209A"/>
    <w:rsid w:val="4498417F"/>
    <w:rsid w:val="44A27E03"/>
    <w:rsid w:val="44AA1420"/>
    <w:rsid w:val="44AE35BC"/>
    <w:rsid w:val="44B6565C"/>
    <w:rsid w:val="44BA514C"/>
    <w:rsid w:val="44C14DFA"/>
    <w:rsid w:val="44C22253"/>
    <w:rsid w:val="44DA57EF"/>
    <w:rsid w:val="44DA759D"/>
    <w:rsid w:val="44E26DDF"/>
    <w:rsid w:val="44E2730A"/>
    <w:rsid w:val="44EB3558"/>
    <w:rsid w:val="44FC5765"/>
    <w:rsid w:val="45012D7B"/>
    <w:rsid w:val="451231DA"/>
    <w:rsid w:val="452D6B44"/>
    <w:rsid w:val="453273D9"/>
    <w:rsid w:val="453749EF"/>
    <w:rsid w:val="4550785F"/>
    <w:rsid w:val="45521829"/>
    <w:rsid w:val="45524B24"/>
    <w:rsid w:val="455336A1"/>
    <w:rsid w:val="45687946"/>
    <w:rsid w:val="458D2861"/>
    <w:rsid w:val="458D460F"/>
    <w:rsid w:val="45924EB3"/>
    <w:rsid w:val="45B44292"/>
    <w:rsid w:val="45B61DB8"/>
    <w:rsid w:val="45B93B4F"/>
    <w:rsid w:val="45BC6CA2"/>
    <w:rsid w:val="45DA351F"/>
    <w:rsid w:val="45F261D2"/>
    <w:rsid w:val="45F36B68"/>
    <w:rsid w:val="45F44786"/>
    <w:rsid w:val="45FE550D"/>
    <w:rsid w:val="46020B59"/>
    <w:rsid w:val="460615EF"/>
    <w:rsid w:val="460D5750"/>
    <w:rsid w:val="46164604"/>
    <w:rsid w:val="462036D5"/>
    <w:rsid w:val="462C3E28"/>
    <w:rsid w:val="46326F64"/>
    <w:rsid w:val="46560EA5"/>
    <w:rsid w:val="466730B2"/>
    <w:rsid w:val="46674E60"/>
    <w:rsid w:val="466D5BDF"/>
    <w:rsid w:val="46744858"/>
    <w:rsid w:val="467557CF"/>
    <w:rsid w:val="468C0D6B"/>
    <w:rsid w:val="46902609"/>
    <w:rsid w:val="46945061"/>
    <w:rsid w:val="469B2D5C"/>
    <w:rsid w:val="46BA7686"/>
    <w:rsid w:val="46C10A14"/>
    <w:rsid w:val="46D00C57"/>
    <w:rsid w:val="46D83FB0"/>
    <w:rsid w:val="46DA3884"/>
    <w:rsid w:val="46FC7C9E"/>
    <w:rsid w:val="47022DDB"/>
    <w:rsid w:val="47051512"/>
    <w:rsid w:val="47150D60"/>
    <w:rsid w:val="471825FE"/>
    <w:rsid w:val="471843AC"/>
    <w:rsid w:val="471E7C15"/>
    <w:rsid w:val="47217705"/>
    <w:rsid w:val="47251A46"/>
    <w:rsid w:val="47264120"/>
    <w:rsid w:val="47266AC9"/>
    <w:rsid w:val="4732546E"/>
    <w:rsid w:val="473867FC"/>
    <w:rsid w:val="47392CA0"/>
    <w:rsid w:val="4746716B"/>
    <w:rsid w:val="47507FEA"/>
    <w:rsid w:val="47721D0E"/>
    <w:rsid w:val="477E32DE"/>
    <w:rsid w:val="478519C1"/>
    <w:rsid w:val="47906638"/>
    <w:rsid w:val="479B1265"/>
    <w:rsid w:val="47AB6FCE"/>
    <w:rsid w:val="47AD0F98"/>
    <w:rsid w:val="47B6347B"/>
    <w:rsid w:val="47B6609F"/>
    <w:rsid w:val="47BC567F"/>
    <w:rsid w:val="47BF45D4"/>
    <w:rsid w:val="47C02A7A"/>
    <w:rsid w:val="47E744AA"/>
    <w:rsid w:val="47EF15B1"/>
    <w:rsid w:val="47F44E19"/>
    <w:rsid w:val="47F46BC7"/>
    <w:rsid w:val="48032022"/>
    <w:rsid w:val="482A083B"/>
    <w:rsid w:val="484D62D8"/>
    <w:rsid w:val="486F0759"/>
    <w:rsid w:val="48723AE3"/>
    <w:rsid w:val="48783354"/>
    <w:rsid w:val="48815BCA"/>
    <w:rsid w:val="48904B42"/>
    <w:rsid w:val="489F1A9F"/>
    <w:rsid w:val="48B3438D"/>
    <w:rsid w:val="48B620CF"/>
    <w:rsid w:val="48BD3312"/>
    <w:rsid w:val="48C12F4D"/>
    <w:rsid w:val="48C20A74"/>
    <w:rsid w:val="48C92CBF"/>
    <w:rsid w:val="48D32C81"/>
    <w:rsid w:val="48D662CD"/>
    <w:rsid w:val="48E56510"/>
    <w:rsid w:val="48F92C46"/>
    <w:rsid w:val="48FB5D34"/>
    <w:rsid w:val="490C7F41"/>
    <w:rsid w:val="49283297"/>
    <w:rsid w:val="49290AF3"/>
    <w:rsid w:val="49331BA1"/>
    <w:rsid w:val="4948541D"/>
    <w:rsid w:val="494F67AB"/>
    <w:rsid w:val="49520049"/>
    <w:rsid w:val="496E4757"/>
    <w:rsid w:val="49724248"/>
    <w:rsid w:val="49725FF6"/>
    <w:rsid w:val="49747FC0"/>
    <w:rsid w:val="49755AE6"/>
    <w:rsid w:val="497C19A8"/>
    <w:rsid w:val="49896528"/>
    <w:rsid w:val="49950C2D"/>
    <w:rsid w:val="49975A5C"/>
    <w:rsid w:val="499F0DB5"/>
    <w:rsid w:val="49E97107"/>
    <w:rsid w:val="49F20EE5"/>
    <w:rsid w:val="4A022BF8"/>
    <w:rsid w:val="4A0A4480"/>
    <w:rsid w:val="4A20088A"/>
    <w:rsid w:val="4A515F1B"/>
    <w:rsid w:val="4A527BD5"/>
    <w:rsid w:val="4A576CF3"/>
    <w:rsid w:val="4A5B2F2E"/>
    <w:rsid w:val="4A5E5DDF"/>
    <w:rsid w:val="4A6855C7"/>
    <w:rsid w:val="4A6D6C6D"/>
    <w:rsid w:val="4A7E72E8"/>
    <w:rsid w:val="4A9326C8"/>
    <w:rsid w:val="4A9621B8"/>
    <w:rsid w:val="4AA5064D"/>
    <w:rsid w:val="4AA76173"/>
    <w:rsid w:val="4AB8212E"/>
    <w:rsid w:val="4ABD5996"/>
    <w:rsid w:val="4ACC5BD9"/>
    <w:rsid w:val="4AD93E52"/>
    <w:rsid w:val="4AF173EE"/>
    <w:rsid w:val="4AF8077D"/>
    <w:rsid w:val="4B032EF2"/>
    <w:rsid w:val="4B0B04B0"/>
    <w:rsid w:val="4B15132F"/>
    <w:rsid w:val="4B21540A"/>
    <w:rsid w:val="4B3A447A"/>
    <w:rsid w:val="4B5C6F5D"/>
    <w:rsid w:val="4B5D6832"/>
    <w:rsid w:val="4B685902"/>
    <w:rsid w:val="4B6E536D"/>
    <w:rsid w:val="4B752FDA"/>
    <w:rsid w:val="4B7D0C82"/>
    <w:rsid w:val="4B7E5B1F"/>
    <w:rsid w:val="4BA17066"/>
    <w:rsid w:val="4BA95F1B"/>
    <w:rsid w:val="4BBD5522"/>
    <w:rsid w:val="4BEA27BB"/>
    <w:rsid w:val="4C1710D6"/>
    <w:rsid w:val="4C237A7B"/>
    <w:rsid w:val="4C2537F3"/>
    <w:rsid w:val="4C2555A1"/>
    <w:rsid w:val="4C416153"/>
    <w:rsid w:val="4C46376A"/>
    <w:rsid w:val="4C4F073F"/>
    <w:rsid w:val="4C4F3781"/>
    <w:rsid w:val="4C545E87"/>
    <w:rsid w:val="4C561BFF"/>
    <w:rsid w:val="4C6406E4"/>
    <w:rsid w:val="4C6F22E2"/>
    <w:rsid w:val="4C801DE9"/>
    <w:rsid w:val="4C891FD4"/>
    <w:rsid w:val="4C9E5354"/>
    <w:rsid w:val="4CA301C9"/>
    <w:rsid w:val="4CA54934"/>
    <w:rsid w:val="4CB00C05"/>
    <w:rsid w:val="4CC052CA"/>
    <w:rsid w:val="4CCC1F22"/>
    <w:rsid w:val="4CD00247"/>
    <w:rsid w:val="4CDD40CE"/>
    <w:rsid w:val="4CEE62DB"/>
    <w:rsid w:val="4CF80F08"/>
    <w:rsid w:val="4CFB4554"/>
    <w:rsid w:val="4CFF11AB"/>
    <w:rsid w:val="4D185106"/>
    <w:rsid w:val="4D2515D1"/>
    <w:rsid w:val="4D2E66D8"/>
    <w:rsid w:val="4D4E0B28"/>
    <w:rsid w:val="4D510618"/>
    <w:rsid w:val="4D5C1497"/>
    <w:rsid w:val="4D64220E"/>
    <w:rsid w:val="4D64784A"/>
    <w:rsid w:val="4D654A1C"/>
    <w:rsid w:val="4D7C38E7"/>
    <w:rsid w:val="4D821820"/>
    <w:rsid w:val="4D926C66"/>
    <w:rsid w:val="4D9C1893"/>
    <w:rsid w:val="4DA031D8"/>
    <w:rsid w:val="4DCC69B2"/>
    <w:rsid w:val="4DD0778F"/>
    <w:rsid w:val="4DF07E31"/>
    <w:rsid w:val="4DF3347D"/>
    <w:rsid w:val="4E0B2A9E"/>
    <w:rsid w:val="4E1458CD"/>
    <w:rsid w:val="4E151645"/>
    <w:rsid w:val="4E18413B"/>
    <w:rsid w:val="4E231FB4"/>
    <w:rsid w:val="4E3221F7"/>
    <w:rsid w:val="4E404914"/>
    <w:rsid w:val="4E572490"/>
    <w:rsid w:val="4E577EB0"/>
    <w:rsid w:val="4E5959D6"/>
    <w:rsid w:val="4E600FED"/>
    <w:rsid w:val="4E612ADD"/>
    <w:rsid w:val="4E63351B"/>
    <w:rsid w:val="4E65437B"/>
    <w:rsid w:val="4E6D1482"/>
    <w:rsid w:val="4E7740AE"/>
    <w:rsid w:val="4E7C16C5"/>
    <w:rsid w:val="4E935B36"/>
    <w:rsid w:val="4EAA7FE0"/>
    <w:rsid w:val="4EC217CD"/>
    <w:rsid w:val="4ED748E6"/>
    <w:rsid w:val="4EE03C26"/>
    <w:rsid w:val="4EE80403"/>
    <w:rsid w:val="4EF64B7A"/>
    <w:rsid w:val="4F0040A4"/>
    <w:rsid w:val="4F0C76FA"/>
    <w:rsid w:val="4F1424DD"/>
    <w:rsid w:val="4F363F69"/>
    <w:rsid w:val="4F3B332E"/>
    <w:rsid w:val="4F3F2E1E"/>
    <w:rsid w:val="4F405AE9"/>
    <w:rsid w:val="4F587A3C"/>
    <w:rsid w:val="4F615AA1"/>
    <w:rsid w:val="4F806F93"/>
    <w:rsid w:val="4F8627FB"/>
    <w:rsid w:val="4F9B7506"/>
    <w:rsid w:val="4FA07362"/>
    <w:rsid w:val="4FAB400F"/>
    <w:rsid w:val="4FC04466"/>
    <w:rsid w:val="4FC21359"/>
    <w:rsid w:val="4FC96B8B"/>
    <w:rsid w:val="4FEB08B0"/>
    <w:rsid w:val="4FF82FCD"/>
    <w:rsid w:val="501A2F43"/>
    <w:rsid w:val="501C315F"/>
    <w:rsid w:val="501C6CBB"/>
    <w:rsid w:val="501E2A33"/>
    <w:rsid w:val="50285660"/>
    <w:rsid w:val="50291307"/>
    <w:rsid w:val="502B7796"/>
    <w:rsid w:val="502D6EA4"/>
    <w:rsid w:val="50302767"/>
    <w:rsid w:val="50447FC0"/>
    <w:rsid w:val="504F52E3"/>
    <w:rsid w:val="50577CF3"/>
    <w:rsid w:val="506F14E1"/>
    <w:rsid w:val="50746940"/>
    <w:rsid w:val="5079410E"/>
    <w:rsid w:val="508800B2"/>
    <w:rsid w:val="50A373DC"/>
    <w:rsid w:val="50A56CB1"/>
    <w:rsid w:val="50B27620"/>
    <w:rsid w:val="50BB0282"/>
    <w:rsid w:val="50C51101"/>
    <w:rsid w:val="50D21A70"/>
    <w:rsid w:val="50DB6B76"/>
    <w:rsid w:val="50EC48E0"/>
    <w:rsid w:val="51071719"/>
    <w:rsid w:val="511E4CB5"/>
    <w:rsid w:val="51226553"/>
    <w:rsid w:val="512322CB"/>
    <w:rsid w:val="51234079"/>
    <w:rsid w:val="51497F84"/>
    <w:rsid w:val="51586419"/>
    <w:rsid w:val="516C77CE"/>
    <w:rsid w:val="5171202B"/>
    <w:rsid w:val="517D5E7F"/>
    <w:rsid w:val="51826DFB"/>
    <w:rsid w:val="518B234A"/>
    <w:rsid w:val="519B0C71"/>
    <w:rsid w:val="519D5BDA"/>
    <w:rsid w:val="51A76A58"/>
    <w:rsid w:val="51AE6039"/>
    <w:rsid w:val="51AE7DE7"/>
    <w:rsid w:val="51B15013"/>
    <w:rsid w:val="51B318A1"/>
    <w:rsid w:val="51CB2747"/>
    <w:rsid w:val="51F24178"/>
    <w:rsid w:val="51FB1F8F"/>
    <w:rsid w:val="52000822"/>
    <w:rsid w:val="520914C1"/>
    <w:rsid w:val="52195BA8"/>
    <w:rsid w:val="521A6FC1"/>
    <w:rsid w:val="522462FB"/>
    <w:rsid w:val="52304CA0"/>
    <w:rsid w:val="52374280"/>
    <w:rsid w:val="524565F7"/>
    <w:rsid w:val="524A1D0E"/>
    <w:rsid w:val="525268EB"/>
    <w:rsid w:val="52737686"/>
    <w:rsid w:val="528A0854"/>
    <w:rsid w:val="528A2602"/>
    <w:rsid w:val="528C45CC"/>
    <w:rsid w:val="529E7E5B"/>
    <w:rsid w:val="52A33A2B"/>
    <w:rsid w:val="52A41123"/>
    <w:rsid w:val="52CA29FF"/>
    <w:rsid w:val="52E15F9A"/>
    <w:rsid w:val="52F201A7"/>
    <w:rsid w:val="52F43F1F"/>
    <w:rsid w:val="52F92CDD"/>
    <w:rsid w:val="530A54F1"/>
    <w:rsid w:val="53195734"/>
    <w:rsid w:val="531A23E7"/>
    <w:rsid w:val="532365B3"/>
    <w:rsid w:val="532D11DF"/>
    <w:rsid w:val="533B56AA"/>
    <w:rsid w:val="534F73A8"/>
    <w:rsid w:val="53514ECE"/>
    <w:rsid w:val="53552B4A"/>
    <w:rsid w:val="536C7F5A"/>
    <w:rsid w:val="5378019F"/>
    <w:rsid w:val="5382152B"/>
    <w:rsid w:val="538452A3"/>
    <w:rsid w:val="53925529"/>
    <w:rsid w:val="539D0113"/>
    <w:rsid w:val="539E133B"/>
    <w:rsid w:val="53A33245"/>
    <w:rsid w:val="53AC0356"/>
    <w:rsid w:val="53AE2320"/>
    <w:rsid w:val="53B81D20"/>
    <w:rsid w:val="53BD07B5"/>
    <w:rsid w:val="53C120CA"/>
    <w:rsid w:val="53D8739D"/>
    <w:rsid w:val="53E43F94"/>
    <w:rsid w:val="5402441A"/>
    <w:rsid w:val="54124B7D"/>
    <w:rsid w:val="542425E2"/>
    <w:rsid w:val="5426635A"/>
    <w:rsid w:val="542C1497"/>
    <w:rsid w:val="544B5DC1"/>
    <w:rsid w:val="545A4256"/>
    <w:rsid w:val="548067C5"/>
    <w:rsid w:val="54874210"/>
    <w:rsid w:val="548E5CAE"/>
    <w:rsid w:val="54A43880"/>
    <w:rsid w:val="54A656ED"/>
    <w:rsid w:val="54AF45A2"/>
    <w:rsid w:val="54C05528"/>
    <w:rsid w:val="54C343AC"/>
    <w:rsid w:val="54C51BDB"/>
    <w:rsid w:val="54CA318A"/>
    <w:rsid w:val="54DA6B45"/>
    <w:rsid w:val="54E02344"/>
    <w:rsid w:val="54E3424B"/>
    <w:rsid w:val="54E81862"/>
    <w:rsid w:val="54EA55DA"/>
    <w:rsid w:val="54F22289"/>
    <w:rsid w:val="54F226E1"/>
    <w:rsid w:val="54FC530D"/>
    <w:rsid w:val="550B7314"/>
    <w:rsid w:val="550D4D66"/>
    <w:rsid w:val="55204B5E"/>
    <w:rsid w:val="55230AEC"/>
    <w:rsid w:val="55256612"/>
    <w:rsid w:val="553C49CA"/>
    <w:rsid w:val="553D7E00"/>
    <w:rsid w:val="55442ECC"/>
    <w:rsid w:val="554747DA"/>
    <w:rsid w:val="55562C6F"/>
    <w:rsid w:val="556C2493"/>
    <w:rsid w:val="5571253B"/>
    <w:rsid w:val="55911EF9"/>
    <w:rsid w:val="55A0213D"/>
    <w:rsid w:val="55A7171D"/>
    <w:rsid w:val="55B300C2"/>
    <w:rsid w:val="55B61960"/>
    <w:rsid w:val="55D02A22"/>
    <w:rsid w:val="55EA33B8"/>
    <w:rsid w:val="55FA184D"/>
    <w:rsid w:val="55FD30EB"/>
    <w:rsid w:val="56151261"/>
    <w:rsid w:val="56165297"/>
    <w:rsid w:val="562B7C58"/>
    <w:rsid w:val="56494582"/>
    <w:rsid w:val="56570A4D"/>
    <w:rsid w:val="565F3DA6"/>
    <w:rsid w:val="566E223B"/>
    <w:rsid w:val="56714A64"/>
    <w:rsid w:val="568E5A7A"/>
    <w:rsid w:val="56925F29"/>
    <w:rsid w:val="56927CD7"/>
    <w:rsid w:val="569466E3"/>
    <w:rsid w:val="56AB6FEB"/>
    <w:rsid w:val="56B20379"/>
    <w:rsid w:val="56BA5480"/>
    <w:rsid w:val="56C80241"/>
    <w:rsid w:val="56F049FE"/>
    <w:rsid w:val="56FB1D20"/>
    <w:rsid w:val="57030BD5"/>
    <w:rsid w:val="57064221"/>
    <w:rsid w:val="570C5CDB"/>
    <w:rsid w:val="571B7CCD"/>
    <w:rsid w:val="571F6D7F"/>
    <w:rsid w:val="57256D9D"/>
    <w:rsid w:val="572D5C52"/>
    <w:rsid w:val="57376AD1"/>
    <w:rsid w:val="57454278"/>
    <w:rsid w:val="574B60D8"/>
    <w:rsid w:val="575C2093"/>
    <w:rsid w:val="57623B4D"/>
    <w:rsid w:val="576D604E"/>
    <w:rsid w:val="577E6D98"/>
    <w:rsid w:val="578730E0"/>
    <w:rsid w:val="578E68B6"/>
    <w:rsid w:val="578F2469"/>
    <w:rsid w:val="579B5EA8"/>
    <w:rsid w:val="57AE3D5F"/>
    <w:rsid w:val="57C71C02"/>
    <w:rsid w:val="57D24F51"/>
    <w:rsid w:val="57E74053"/>
    <w:rsid w:val="57EA58F1"/>
    <w:rsid w:val="58091A66"/>
    <w:rsid w:val="581035A9"/>
    <w:rsid w:val="58131D55"/>
    <w:rsid w:val="583A6878"/>
    <w:rsid w:val="584274DB"/>
    <w:rsid w:val="58450D79"/>
    <w:rsid w:val="588418A2"/>
    <w:rsid w:val="58896EB8"/>
    <w:rsid w:val="588B70D4"/>
    <w:rsid w:val="58920E5F"/>
    <w:rsid w:val="58A423FE"/>
    <w:rsid w:val="58B23F52"/>
    <w:rsid w:val="58B53004"/>
    <w:rsid w:val="58C779E0"/>
    <w:rsid w:val="58CD75D8"/>
    <w:rsid w:val="58D97E3F"/>
    <w:rsid w:val="58EB2F47"/>
    <w:rsid w:val="58EF1411"/>
    <w:rsid w:val="58F20481"/>
    <w:rsid w:val="58F5279F"/>
    <w:rsid w:val="58FE1654"/>
    <w:rsid w:val="5906675A"/>
    <w:rsid w:val="59140E77"/>
    <w:rsid w:val="591510CF"/>
    <w:rsid w:val="59227FCE"/>
    <w:rsid w:val="592D1F39"/>
    <w:rsid w:val="592D3CE7"/>
    <w:rsid w:val="59374B66"/>
    <w:rsid w:val="59480B21"/>
    <w:rsid w:val="59545718"/>
    <w:rsid w:val="597775F5"/>
    <w:rsid w:val="598F4BC6"/>
    <w:rsid w:val="59BE7035"/>
    <w:rsid w:val="59C77C98"/>
    <w:rsid w:val="59DD74BB"/>
    <w:rsid w:val="59F34F31"/>
    <w:rsid w:val="5A094754"/>
    <w:rsid w:val="5A102BB5"/>
    <w:rsid w:val="5A1C58FC"/>
    <w:rsid w:val="5A1D5B0A"/>
    <w:rsid w:val="5A290952"/>
    <w:rsid w:val="5A2F44D7"/>
    <w:rsid w:val="5A4E49B8"/>
    <w:rsid w:val="5A533C21"/>
    <w:rsid w:val="5A5A4FB0"/>
    <w:rsid w:val="5A715E56"/>
    <w:rsid w:val="5A836C53"/>
    <w:rsid w:val="5A882BDD"/>
    <w:rsid w:val="5AB81CD6"/>
    <w:rsid w:val="5ABA77FD"/>
    <w:rsid w:val="5AD563E4"/>
    <w:rsid w:val="5AD7215D"/>
    <w:rsid w:val="5ADD173D"/>
    <w:rsid w:val="5AE50CB7"/>
    <w:rsid w:val="5AE92129"/>
    <w:rsid w:val="5AFF70F5"/>
    <w:rsid w:val="5B127639"/>
    <w:rsid w:val="5B411CCC"/>
    <w:rsid w:val="5B4A5B54"/>
    <w:rsid w:val="5B5C595B"/>
    <w:rsid w:val="5B5C6B06"/>
    <w:rsid w:val="5B5F7F9D"/>
    <w:rsid w:val="5B6F0312"/>
    <w:rsid w:val="5B773940"/>
    <w:rsid w:val="5B8B1199"/>
    <w:rsid w:val="5B8D3163"/>
    <w:rsid w:val="5B9135D7"/>
    <w:rsid w:val="5B9E0ECC"/>
    <w:rsid w:val="5BA1276A"/>
    <w:rsid w:val="5BB10BFF"/>
    <w:rsid w:val="5BE17EDB"/>
    <w:rsid w:val="5BEA5EBF"/>
    <w:rsid w:val="5BFE2D91"/>
    <w:rsid w:val="5C036F81"/>
    <w:rsid w:val="5C0D7E00"/>
    <w:rsid w:val="5C142F3C"/>
    <w:rsid w:val="5C1E3DBB"/>
    <w:rsid w:val="5C367B48"/>
    <w:rsid w:val="5C49419B"/>
    <w:rsid w:val="5C662A50"/>
    <w:rsid w:val="5C817AB3"/>
    <w:rsid w:val="5C8261A6"/>
    <w:rsid w:val="5CBA7F88"/>
    <w:rsid w:val="5CDA23D8"/>
    <w:rsid w:val="5CE13766"/>
    <w:rsid w:val="5CED3EB9"/>
    <w:rsid w:val="5CFA0384"/>
    <w:rsid w:val="5CFD7E74"/>
    <w:rsid w:val="5D172CE4"/>
    <w:rsid w:val="5D192F00"/>
    <w:rsid w:val="5D1D7DBD"/>
    <w:rsid w:val="5D2B49E2"/>
    <w:rsid w:val="5D3813BC"/>
    <w:rsid w:val="5D5A6507"/>
    <w:rsid w:val="5D5E0913"/>
    <w:rsid w:val="5D677EDE"/>
    <w:rsid w:val="5D695134"/>
    <w:rsid w:val="5D6A41D1"/>
    <w:rsid w:val="5D7243BE"/>
    <w:rsid w:val="5D753EAF"/>
    <w:rsid w:val="5D855AD0"/>
    <w:rsid w:val="5D9E3405"/>
    <w:rsid w:val="5DA12EF6"/>
    <w:rsid w:val="5DAF75FB"/>
    <w:rsid w:val="5DB42C29"/>
    <w:rsid w:val="5DB9023F"/>
    <w:rsid w:val="5DC664B8"/>
    <w:rsid w:val="5DC7295C"/>
    <w:rsid w:val="5DCA41FA"/>
    <w:rsid w:val="5DD40B68"/>
    <w:rsid w:val="5DD46E27"/>
    <w:rsid w:val="5DDB1F64"/>
    <w:rsid w:val="5DDD390F"/>
    <w:rsid w:val="5DEA51A3"/>
    <w:rsid w:val="5DEC637B"/>
    <w:rsid w:val="5DEF7705"/>
    <w:rsid w:val="5DF72B16"/>
    <w:rsid w:val="5E062D59"/>
    <w:rsid w:val="5E0771FD"/>
    <w:rsid w:val="5E317DD6"/>
    <w:rsid w:val="5E381A8A"/>
    <w:rsid w:val="5E435D5B"/>
    <w:rsid w:val="5E5341F0"/>
    <w:rsid w:val="5E580EA3"/>
    <w:rsid w:val="5E744881"/>
    <w:rsid w:val="5E8E347A"/>
    <w:rsid w:val="5E9071F2"/>
    <w:rsid w:val="5E9F11E3"/>
    <w:rsid w:val="5EA20CD3"/>
    <w:rsid w:val="5EBB1D95"/>
    <w:rsid w:val="5EBF433C"/>
    <w:rsid w:val="5EC23124"/>
    <w:rsid w:val="5EC450EE"/>
    <w:rsid w:val="5ED13367"/>
    <w:rsid w:val="5EF414B4"/>
    <w:rsid w:val="5EF41AEB"/>
    <w:rsid w:val="5F13397F"/>
    <w:rsid w:val="5F182D44"/>
    <w:rsid w:val="5F1A693A"/>
    <w:rsid w:val="5F27742B"/>
    <w:rsid w:val="5F2E07B9"/>
    <w:rsid w:val="5F526256"/>
    <w:rsid w:val="5F542CA1"/>
    <w:rsid w:val="5F555D46"/>
    <w:rsid w:val="5F5D3D29"/>
    <w:rsid w:val="5F6661A5"/>
    <w:rsid w:val="5F681F1D"/>
    <w:rsid w:val="5F904FD0"/>
    <w:rsid w:val="5F9F3465"/>
    <w:rsid w:val="5FA50A46"/>
    <w:rsid w:val="5FB567E4"/>
    <w:rsid w:val="5FBB029F"/>
    <w:rsid w:val="5FBD4480"/>
    <w:rsid w:val="5FDC58EE"/>
    <w:rsid w:val="5FE11A5B"/>
    <w:rsid w:val="5FE65EE3"/>
    <w:rsid w:val="5FF4730D"/>
    <w:rsid w:val="600C7D2D"/>
    <w:rsid w:val="60214D25"/>
    <w:rsid w:val="602970B6"/>
    <w:rsid w:val="60367925"/>
    <w:rsid w:val="605424A1"/>
    <w:rsid w:val="605660D3"/>
    <w:rsid w:val="60654232"/>
    <w:rsid w:val="606C1599"/>
    <w:rsid w:val="60732927"/>
    <w:rsid w:val="60793CB6"/>
    <w:rsid w:val="60795A64"/>
    <w:rsid w:val="60934D78"/>
    <w:rsid w:val="60A96349"/>
    <w:rsid w:val="60B8658C"/>
    <w:rsid w:val="60DE4400"/>
    <w:rsid w:val="60DF1BA4"/>
    <w:rsid w:val="60DF3EFC"/>
    <w:rsid w:val="60E47381"/>
    <w:rsid w:val="60F872D1"/>
    <w:rsid w:val="61046874"/>
    <w:rsid w:val="610B191F"/>
    <w:rsid w:val="61167757"/>
    <w:rsid w:val="61202383"/>
    <w:rsid w:val="613434EE"/>
    <w:rsid w:val="614F0214"/>
    <w:rsid w:val="61614E7D"/>
    <w:rsid w:val="61625A1B"/>
    <w:rsid w:val="61891CD7"/>
    <w:rsid w:val="618D7A19"/>
    <w:rsid w:val="619C1A0A"/>
    <w:rsid w:val="61A44D62"/>
    <w:rsid w:val="61BA27D8"/>
    <w:rsid w:val="61BC4533"/>
    <w:rsid w:val="61CF0031"/>
    <w:rsid w:val="61D05B58"/>
    <w:rsid w:val="61DF3FED"/>
    <w:rsid w:val="62127610"/>
    <w:rsid w:val="622639C9"/>
    <w:rsid w:val="62287742"/>
    <w:rsid w:val="623D288E"/>
    <w:rsid w:val="62441E42"/>
    <w:rsid w:val="625E3163"/>
    <w:rsid w:val="6260512D"/>
    <w:rsid w:val="627209BD"/>
    <w:rsid w:val="627A52C8"/>
    <w:rsid w:val="629B43B7"/>
    <w:rsid w:val="62BF638B"/>
    <w:rsid w:val="62CC631F"/>
    <w:rsid w:val="62CE653B"/>
    <w:rsid w:val="62E07F82"/>
    <w:rsid w:val="62E17A7F"/>
    <w:rsid w:val="62E713AB"/>
    <w:rsid w:val="62F12229"/>
    <w:rsid w:val="62F7456C"/>
    <w:rsid w:val="62FC765F"/>
    <w:rsid w:val="6300421A"/>
    <w:rsid w:val="630F26B0"/>
    <w:rsid w:val="63220635"/>
    <w:rsid w:val="632C5010"/>
    <w:rsid w:val="633A04D8"/>
    <w:rsid w:val="63495BC1"/>
    <w:rsid w:val="634E4618"/>
    <w:rsid w:val="63526AAF"/>
    <w:rsid w:val="635B17DB"/>
    <w:rsid w:val="636724EC"/>
    <w:rsid w:val="638135AD"/>
    <w:rsid w:val="638B6FDE"/>
    <w:rsid w:val="638E5F67"/>
    <w:rsid w:val="639C3F43"/>
    <w:rsid w:val="63A64C5E"/>
    <w:rsid w:val="63A70B3A"/>
    <w:rsid w:val="63A948B2"/>
    <w:rsid w:val="63B75221"/>
    <w:rsid w:val="63CE0D4C"/>
    <w:rsid w:val="63D25BB7"/>
    <w:rsid w:val="63F07540"/>
    <w:rsid w:val="63F25242"/>
    <w:rsid w:val="63FA510E"/>
    <w:rsid w:val="642B176B"/>
    <w:rsid w:val="643248A8"/>
    <w:rsid w:val="643B7C00"/>
    <w:rsid w:val="644F0FB6"/>
    <w:rsid w:val="64540CC2"/>
    <w:rsid w:val="64542A70"/>
    <w:rsid w:val="646B1B68"/>
    <w:rsid w:val="646C600B"/>
    <w:rsid w:val="649B14A7"/>
    <w:rsid w:val="64A137DB"/>
    <w:rsid w:val="64A4332E"/>
    <w:rsid w:val="64B74DAD"/>
    <w:rsid w:val="64C5571C"/>
    <w:rsid w:val="64CA1330"/>
    <w:rsid w:val="64D37E39"/>
    <w:rsid w:val="64D8544F"/>
    <w:rsid w:val="64E9765C"/>
    <w:rsid w:val="64EB3602"/>
    <w:rsid w:val="6504672A"/>
    <w:rsid w:val="650651E7"/>
    <w:rsid w:val="650C2823"/>
    <w:rsid w:val="651248C9"/>
    <w:rsid w:val="652561BA"/>
    <w:rsid w:val="653916EC"/>
    <w:rsid w:val="653B2BC7"/>
    <w:rsid w:val="653D3504"/>
    <w:rsid w:val="653F54CE"/>
    <w:rsid w:val="65420B1A"/>
    <w:rsid w:val="656E7B61"/>
    <w:rsid w:val="65BA4B55"/>
    <w:rsid w:val="65CD2ADA"/>
    <w:rsid w:val="65D06126"/>
    <w:rsid w:val="65D42400"/>
    <w:rsid w:val="65D8147F"/>
    <w:rsid w:val="65D976D1"/>
    <w:rsid w:val="65DB39D9"/>
    <w:rsid w:val="65E074E4"/>
    <w:rsid w:val="65FE0EE5"/>
    <w:rsid w:val="660202AA"/>
    <w:rsid w:val="660B3602"/>
    <w:rsid w:val="66107265"/>
    <w:rsid w:val="66344907"/>
    <w:rsid w:val="6663343E"/>
    <w:rsid w:val="66660838"/>
    <w:rsid w:val="666B22F3"/>
    <w:rsid w:val="66810413"/>
    <w:rsid w:val="668F2DA6"/>
    <w:rsid w:val="6692787F"/>
    <w:rsid w:val="66990C0E"/>
    <w:rsid w:val="66AB26EF"/>
    <w:rsid w:val="66B6356E"/>
    <w:rsid w:val="66B71094"/>
    <w:rsid w:val="66BC2B4E"/>
    <w:rsid w:val="66D47E98"/>
    <w:rsid w:val="66E55E11"/>
    <w:rsid w:val="66E75856"/>
    <w:rsid w:val="66F3668F"/>
    <w:rsid w:val="66F422E8"/>
    <w:rsid w:val="66FC5B55"/>
    <w:rsid w:val="67211A19"/>
    <w:rsid w:val="672F3320"/>
    <w:rsid w:val="674F751F"/>
    <w:rsid w:val="67584625"/>
    <w:rsid w:val="675D7E8D"/>
    <w:rsid w:val="67662C42"/>
    <w:rsid w:val="67670D0C"/>
    <w:rsid w:val="676C5425"/>
    <w:rsid w:val="676E209B"/>
    <w:rsid w:val="67806F5E"/>
    <w:rsid w:val="67A4786A"/>
    <w:rsid w:val="67AB5824"/>
    <w:rsid w:val="67B40EDC"/>
    <w:rsid w:val="67B66B8D"/>
    <w:rsid w:val="67D143D7"/>
    <w:rsid w:val="67DE73E1"/>
    <w:rsid w:val="67E1565F"/>
    <w:rsid w:val="68105548"/>
    <w:rsid w:val="6832131A"/>
    <w:rsid w:val="684B23DC"/>
    <w:rsid w:val="684D3A5E"/>
    <w:rsid w:val="68523A33"/>
    <w:rsid w:val="685C6397"/>
    <w:rsid w:val="68662D72"/>
    <w:rsid w:val="68693658"/>
    <w:rsid w:val="686B482C"/>
    <w:rsid w:val="6881195A"/>
    <w:rsid w:val="68923B67"/>
    <w:rsid w:val="68A45648"/>
    <w:rsid w:val="68B735CD"/>
    <w:rsid w:val="68C33D20"/>
    <w:rsid w:val="68CB020A"/>
    <w:rsid w:val="68D4417F"/>
    <w:rsid w:val="68D777CC"/>
    <w:rsid w:val="68E54AE2"/>
    <w:rsid w:val="68F62348"/>
    <w:rsid w:val="68FE7934"/>
    <w:rsid w:val="690C1B6B"/>
    <w:rsid w:val="691E189E"/>
    <w:rsid w:val="692F585A"/>
    <w:rsid w:val="694677C3"/>
    <w:rsid w:val="69603C65"/>
    <w:rsid w:val="69821E2D"/>
    <w:rsid w:val="699102C2"/>
    <w:rsid w:val="699851AD"/>
    <w:rsid w:val="69A1096B"/>
    <w:rsid w:val="69B83AA1"/>
    <w:rsid w:val="69B8584F"/>
    <w:rsid w:val="69C67F6C"/>
    <w:rsid w:val="69D02B99"/>
    <w:rsid w:val="69E2467A"/>
    <w:rsid w:val="69E93C5A"/>
    <w:rsid w:val="69EA352F"/>
    <w:rsid w:val="6A0B0806"/>
    <w:rsid w:val="6A1A02B8"/>
    <w:rsid w:val="6A37294F"/>
    <w:rsid w:val="6A440E91"/>
    <w:rsid w:val="6A441C65"/>
    <w:rsid w:val="6A7259FE"/>
    <w:rsid w:val="6A794FDE"/>
    <w:rsid w:val="6A7F45BF"/>
    <w:rsid w:val="6A876FCF"/>
    <w:rsid w:val="6A96708A"/>
    <w:rsid w:val="6A9736B6"/>
    <w:rsid w:val="6A9739A1"/>
    <w:rsid w:val="6A995DBF"/>
    <w:rsid w:val="6A99742E"/>
    <w:rsid w:val="6A9E67F3"/>
    <w:rsid w:val="6AB73D58"/>
    <w:rsid w:val="6ABC642B"/>
    <w:rsid w:val="6ACF10A2"/>
    <w:rsid w:val="6AE10DD5"/>
    <w:rsid w:val="6AEB57B0"/>
    <w:rsid w:val="6B051D5D"/>
    <w:rsid w:val="6B160A7F"/>
    <w:rsid w:val="6B19231D"/>
    <w:rsid w:val="6B3F6E6C"/>
    <w:rsid w:val="6B594E10"/>
    <w:rsid w:val="6B7632CC"/>
    <w:rsid w:val="6B96396E"/>
    <w:rsid w:val="6BC02799"/>
    <w:rsid w:val="6BEE5558"/>
    <w:rsid w:val="6BFB7C75"/>
    <w:rsid w:val="6BFF7765"/>
    <w:rsid w:val="6C1A3DE9"/>
    <w:rsid w:val="6C2076DB"/>
    <w:rsid w:val="6C3311BD"/>
    <w:rsid w:val="6C3F0C0A"/>
    <w:rsid w:val="6C3F5DB4"/>
    <w:rsid w:val="6C4542BA"/>
    <w:rsid w:val="6C5630FD"/>
    <w:rsid w:val="6C663340"/>
    <w:rsid w:val="6C685592"/>
    <w:rsid w:val="6C6E48EB"/>
    <w:rsid w:val="6C8163CC"/>
    <w:rsid w:val="6C8A31F3"/>
    <w:rsid w:val="6C971FC4"/>
    <w:rsid w:val="6C9A748E"/>
    <w:rsid w:val="6CA1577E"/>
    <w:rsid w:val="6CB542C8"/>
    <w:rsid w:val="6CBF6EF4"/>
    <w:rsid w:val="6CC16DF8"/>
    <w:rsid w:val="6CC17318"/>
    <w:rsid w:val="6CD04C5E"/>
    <w:rsid w:val="6CD3474E"/>
    <w:rsid w:val="6CD6029A"/>
    <w:rsid w:val="6CDA788A"/>
    <w:rsid w:val="6CDB65B5"/>
    <w:rsid w:val="6CE30E35"/>
    <w:rsid w:val="6CE547B7"/>
    <w:rsid w:val="6CEC6C65"/>
    <w:rsid w:val="6CEE4DA1"/>
    <w:rsid w:val="6CF90658"/>
    <w:rsid w:val="6CFA1963"/>
    <w:rsid w:val="6CFC7A9E"/>
    <w:rsid w:val="6D042B59"/>
    <w:rsid w:val="6D064B23"/>
    <w:rsid w:val="6D0D35D4"/>
    <w:rsid w:val="6D1B720F"/>
    <w:rsid w:val="6D1C7EA3"/>
    <w:rsid w:val="6D4312CD"/>
    <w:rsid w:val="6D4547D0"/>
    <w:rsid w:val="6D592BC0"/>
    <w:rsid w:val="6D604233"/>
    <w:rsid w:val="6D7777CF"/>
    <w:rsid w:val="6D9B1326"/>
    <w:rsid w:val="6D9E3E83"/>
    <w:rsid w:val="6DA5648F"/>
    <w:rsid w:val="6DC36570"/>
    <w:rsid w:val="6DCF13B9"/>
    <w:rsid w:val="6DD662A4"/>
    <w:rsid w:val="6DDE33AA"/>
    <w:rsid w:val="6DDF784E"/>
    <w:rsid w:val="6DE45B61"/>
    <w:rsid w:val="6DEA7FA1"/>
    <w:rsid w:val="6E030604"/>
    <w:rsid w:val="6E237BE1"/>
    <w:rsid w:val="6E35746E"/>
    <w:rsid w:val="6E600263"/>
    <w:rsid w:val="6E7F693B"/>
    <w:rsid w:val="6E804461"/>
    <w:rsid w:val="6E84731C"/>
    <w:rsid w:val="6E9879FD"/>
    <w:rsid w:val="6EA6211A"/>
    <w:rsid w:val="6EB760D5"/>
    <w:rsid w:val="6EC32CCC"/>
    <w:rsid w:val="6EDE7B06"/>
    <w:rsid w:val="6EF8049C"/>
    <w:rsid w:val="6EF94940"/>
    <w:rsid w:val="6F103A37"/>
    <w:rsid w:val="6F15104E"/>
    <w:rsid w:val="6F1E6154"/>
    <w:rsid w:val="6F2179F2"/>
    <w:rsid w:val="6F26325B"/>
    <w:rsid w:val="6F3C482C"/>
    <w:rsid w:val="6F6B0C0B"/>
    <w:rsid w:val="6FA04DBB"/>
    <w:rsid w:val="6FA26D85"/>
    <w:rsid w:val="6FC84312"/>
    <w:rsid w:val="6FCC795E"/>
    <w:rsid w:val="6FD74555"/>
    <w:rsid w:val="6FD827A7"/>
    <w:rsid w:val="6FE078AE"/>
    <w:rsid w:val="6FEB684D"/>
    <w:rsid w:val="6FEC6252"/>
    <w:rsid w:val="6FFE49C9"/>
    <w:rsid w:val="700370F8"/>
    <w:rsid w:val="70057314"/>
    <w:rsid w:val="701D28B0"/>
    <w:rsid w:val="701D640C"/>
    <w:rsid w:val="702C48A1"/>
    <w:rsid w:val="70310109"/>
    <w:rsid w:val="703379DD"/>
    <w:rsid w:val="70390D6C"/>
    <w:rsid w:val="703B0F88"/>
    <w:rsid w:val="704B11CB"/>
    <w:rsid w:val="7053007F"/>
    <w:rsid w:val="705D4A5A"/>
    <w:rsid w:val="706B5E85"/>
    <w:rsid w:val="707C1D5D"/>
    <w:rsid w:val="70822713"/>
    <w:rsid w:val="708C3591"/>
    <w:rsid w:val="70A254D7"/>
    <w:rsid w:val="70A51CDF"/>
    <w:rsid w:val="70A73F27"/>
    <w:rsid w:val="70B30B1E"/>
    <w:rsid w:val="70BA3C5B"/>
    <w:rsid w:val="70BF5715"/>
    <w:rsid w:val="70C90342"/>
    <w:rsid w:val="70D30931"/>
    <w:rsid w:val="70DC62C7"/>
    <w:rsid w:val="70E12961"/>
    <w:rsid w:val="70EE2D4A"/>
    <w:rsid w:val="70F0003F"/>
    <w:rsid w:val="70F61FEA"/>
    <w:rsid w:val="70F74EAF"/>
    <w:rsid w:val="70FD7FEB"/>
    <w:rsid w:val="710E3FA6"/>
    <w:rsid w:val="71150AC6"/>
    <w:rsid w:val="71155335"/>
    <w:rsid w:val="711710AD"/>
    <w:rsid w:val="71290DE0"/>
    <w:rsid w:val="712B6906"/>
    <w:rsid w:val="712D267F"/>
    <w:rsid w:val="714479C8"/>
    <w:rsid w:val="715045BF"/>
    <w:rsid w:val="71663DE2"/>
    <w:rsid w:val="716D5171"/>
    <w:rsid w:val="717A5889"/>
    <w:rsid w:val="718957D5"/>
    <w:rsid w:val="71D15700"/>
    <w:rsid w:val="71D46F9E"/>
    <w:rsid w:val="71DA1A49"/>
    <w:rsid w:val="71EF5B86"/>
    <w:rsid w:val="71F87130"/>
    <w:rsid w:val="721815DF"/>
    <w:rsid w:val="723932A5"/>
    <w:rsid w:val="723F4683"/>
    <w:rsid w:val="725956F5"/>
    <w:rsid w:val="72616F8F"/>
    <w:rsid w:val="727942C6"/>
    <w:rsid w:val="728B1DE3"/>
    <w:rsid w:val="7298446F"/>
    <w:rsid w:val="729B7ABC"/>
    <w:rsid w:val="729F75AC"/>
    <w:rsid w:val="72A21144"/>
    <w:rsid w:val="72A5093A"/>
    <w:rsid w:val="72B017B9"/>
    <w:rsid w:val="72C76B03"/>
    <w:rsid w:val="72E6342D"/>
    <w:rsid w:val="72F07E08"/>
    <w:rsid w:val="72F53670"/>
    <w:rsid w:val="72FA0C86"/>
    <w:rsid w:val="73153CEA"/>
    <w:rsid w:val="732144AE"/>
    <w:rsid w:val="732E0DD3"/>
    <w:rsid w:val="73306456"/>
    <w:rsid w:val="733A5527"/>
    <w:rsid w:val="734939BC"/>
    <w:rsid w:val="7358775B"/>
    <w:rsid w:val="73634A7D"/>
    <w:rsid w:val="73634DF7"/>
    <w:rsid w:val="736A4C25"/>
    <w:rsid w:val="73726A6F"/>
    <w:rsid w:val="73772B86"/>
    <w:rsid w:val="737E5413"/>
    <w:rsid w:val="73893DB8"/>
    <w:rsid w:val="73970283"/>
    <w:rsid w:val="739A7D73"/>
    <w:rsid w:val="73A17354"/>
    <w:rsid w:val="73A62BBC"/>
    <w:rsid w:val="73B40E35"/>
    <w:rsid w:val="73CC2623"/>
    <w:rsid w:val="73CC7847"/>
    <w:rsid w:val="73E01C2A"/>
    <w:rsid w:val="73EA0CFB"/>
    <w:rsid w:val="73EF00BF"/>
    <w:rsid w:val="73FB4CB6"/>
    <w:rsid w:val="73FC19D6"/>
    <w:rsid w:val="74116287"/>
    <w:rsid w:val="7420471D"/>
    <w:rsid w:val="74212243"/>
    <w:rsid w:val="74226CCE"/>
    <w:rsid w:val="7423420D"/>
    <w:rsid w:val="742C1313"/>
    <w:rsid w:val="744523D5"/>
    <w:rsid w:val="744C5512"/>
    <w:rsid w:val="744D68B6"/>
    <w:rsid w:val="74547650"/>
    <w:rsid w:val="746C5BB4"/>
    <w:rsid w:val="749018A2"/>
    <w:rsid w:val="7496678D"/>
    <w:rsid w:val="74B3733F"/>
    <w:rsid w:val="74B82BA7"/>
    <w:rsid w:val="74F3598D"/>
    <w:rsid w:val="74FD680C"/>
    <w:rsid w:val="75045DEC"/>
    <w:rsid w:val="75232716"/>
    <w:rsid w:val="75265D63"/>
    <w:rsid w:val="752913AF"/>
    <w:rsid w:val="752C3FB8"/>
    <w:rsid w:val="75355FA6"/>
    <w:rsid w:val="7544268D"/>
    <w:rsid w:val="755E374E"/>
    <w:rsid w:val="756248C1"/>
    <w:rsid w:val="756A3232"/>
    <w:rsid w:val="757C028F"/>
    <w:rsid w:val="75812F99"/>
    <w:rsid w:val="7583021F"/>
    <w:rsid w:val="758F1B5A"/>
    <w:rsid w:val="759727BC"/>
    <w:rsid w:val="759E1D9D"/>
    <w:rsid w:val="75A629FF"/>
    <w:rsid w:val="75B3511C"/>
    <w:rsid w:val="75C5557C"/>
    <w:rsid w:val="75CA466E"/>
    <w:rsid w:val="75D73DE6"/>
    <w:rsid w:val="75D94B83"/>
    <w:rsid w:val="75E02D6E"/>
    <w:rsid w:val="75E21C07"/>
    <w:rsid w:val="760011A7"/>
    <w:rsid w:val="760B4F58"/>
    <w:rsid w:val="76147094"/>
    <w:rsid w:val="7621477C"/>
    <w:rsid w:val="762D4ECF"/>
    <w:rsid w:val="76397D18"/>
    <w:rsid w:val="764A5A81"/>
    <w:rsid w:val="767A2C9B"/>
    <w:rsid w:val="768E74FF"/>
    <w:rsid w:val="769A41F3"/>
    <w:rsid w:val="76A10290"/>
    <w:rsid w:val="76CA4E14"/>
    <w:rsid w:val="76DA5057"/>
    <w:rsid w:val="76E41B1C"/>
    <w:rsid w:val="77084C62"/>
    <w:rsid w:val="774C58CD"/>
    <w:rsid w:val="77562203"/>
    <w:rsid w:val="776C1A27"/>
    <w:rsid w:val="77762349"/>
    <w:rsid w:val="777803CC"/>
    <w:rsid w:val="777F79AC"/>
    <w:rsid w:val="778B3020"/>
    <w:rsid w:val="778C06AA"/>
    <w:rsid w:val="778C10EB"/>
    <w:rsid w:val="77A17922"/>
    <w:rsid w:val="77B04009"/>
    <w:rsid w:val="77B92EBE"/>
    <w:rsid w:val="77BA39FB"/>
    <w:rsid w:val="77BC475C"/>
    <w:rsid w:val="77C3667E"/>
    <w:rsid w:val="77CD6969"/>
    <w:rsid w:val="77D54204"/>
    <w:rsid w:val="77D5581E"/>
    <w:rsid w:val="77EA18BC"/>
    <w:rsid w:val="78000AED"/>
    <w:rsid w:val="780A371A"/>
    <w:rsid w:val="781508DB"/>
    <w:rsid w:val="781E6FB1"/>
    <w:rsid w:val="7826607A"/>
    <w:rsid w:val="782A5B6A"/>
    <w:rsid w:val="784309DA"/>
    <w:rsid w:val="784B788E"/>
    <w:rsid w:val="785C1A9B"/>
    <w:rsid w:val="785D4C93"/>
    <w:rsid w:val="7879089F"/>
    <w:rsid w:val="787E7C64"/>
    <w:rsid w:val="788039DC"/>
    <w:rsid w:val="7880578A"/>
    <w:rsid w:val="7883171E"/>
    <w:rsid w:val="7892370F"/>
    <w:rsid w:val="789B0816"/>
    <w:rsid w:val="78A0407E"/>
    <w:rsid w:val="78AC657F"/>
    <w:rsid w:val="78B10039"/>
    <w:rsid w:val="78C57641"/>
    <w:rsid w:val="78D83818"/>
    <w:rsid w:val="78E026CC"/>
    <w:rsid w:val="78EE6B97"/>
    <w:rsid w:val="78F85C68"/>
    <w:rsid w:val="78FD6115"/>
    <w:rsid w:val="79112886"/>
    <w:rsid w:val="7911545B"/>
    <w:rsid w:val="791344A9"/>
    <w:rsid w:val="79142376"/>
    <w:rsid w:val="791A5BDE"/>
    <w:rsid w:val="793D18CD"/>
    <w:rsid w:val="794744F9"/>
    <w:rsid w:val="794A5748"/>
    <w:rsid w:val="79537E36"/>
    <w:rsid w:val="796B643A"/>
    <w:rsid w:val="796D2246"/>
    <w:rsid w:val="797057FE"/>
    <w:rsid w:val="79773031"/>
    <w:rsid w:val="79780B57"/>
    <w:rsid w:val="798B16F8"/>
    <w:rsid w:val="79B778D1"/>
    <w:rsid w:val="79BF22E2"/>
    <w:rsid w:val="79C30024"/>
    <w:rsid w:val="79C76F0B"/>
    <w:rsid w:val="79C773E8"/>
    <w:rsid w:val="79CC49FF"/>
    <w:rsid w:val="79CD600B"/>
    <w:rsid w:val="79D12EC5"/>
    <w:rsid w:val="79FF3026"/>
    <w:rsid w:val="7A010B4C"/>
    <w:rsid w:val="7A083C89"/>
    <w:rsid w:val="7A0C2F4B"/>
    <w:rsid w:val="7A0E5017"/>
    <w:rsid w:val="7A0F3269"/>
    <w:rsid w:val="7A167BDB"/>
    <w:rsid w:val="7A223EAD"/>
    <w:rsid w:val="7A24483B"/>
    <w:rsid w:val="7A4F7B0A"/>
    <w:rsid w:val="7A57076C"/>
    <w:rsid w:val="7A677765"/>
    <w:rsid w:val="7A770E0E"/>
    <w:rsid w:val="7A835A05"/>
    <w:rsid w:val="7AAD65DE"/>
    <w:rsid w:val="7AC53928"/>
    <w:rsid w:val="7ADF3CDD"/>
    <w:rsid w:val="7AE21CA9"/>
    <w:rsid w:val="7AE55D78"/>
    <w:rsid w:val="7AF62CB5"/>
    <w:rsid w:val="7B0408F4"/>
    <w:rsid w:val="7B0A1C83"/>
    <w:rsid w:val="7B0E3521"/>
    <w:rsid w:val="7B166879"/>
    <w:rsid w:val="7B18439F"/>
    <w:rsid w:val="7B2014A6"/>
    <w:rsid w:val="7B31720F"/>
    <w:rsid w:val="7B51340D"/>
    <w:rsid w:val="7B686DA8"/>
    <w:rsid w:val="7B7315D6"/>
    <w:rsid w:val="7B735A7A"/>
    <w:rsid w:val="7B876E2F"/>
    <w:rsid w:val="7B917CAE"/>
    <w:rsid w:val="7BAC4AE8"/>
    <w:rsid w:val="7BAE260E"/>
    <w:rsid w:val="7BBA648F"/>
    <w:rsid w:val="7BCA466F"/>
    <w:rsid w:val="7BD85CD2"/>
    <w:rsid w:val="7BE91898"/>
    <w:rsid w:val="7BED7BDD"/>
    <w:rsid w:val="7BF87D2D"/>
    <w:rsid w:val="7C01328E"/>
    <w:rsid w:val="7C02295A"/>
    <w:rsid w:val="7C042B76"/>
    <w:rsid w:val="7C0D1A2A"/>
    <w:rsid w:val="7C18217D"/>
    <w:rsid w:val="7C2A3F10"/>
    <w:rsid w:val="7C374CF9"/>
    <w:rsid w:val="7C460A98"/>
    <w:rsid w:val="7C671AA5"/>
    <w:rsid w:val="7C6F2938"/>
    <w:rsid w:val="7C86358B"/>
    <w:rsid w:val="7C945CA8"/>
    <w:rsid w:val="7C961A20"/>
    <w:rsid w:val="7CA629AA"/>
    <w:rsid w:val="7CAB2FF1"/>
    <w:rsid w:val="7CC12815"/>
    <w:rsid w:val="7CF16C56"/>
    <w:rsid w:val="7D034BDB"/>
    <w:rsid w:val="7D3905FD"/>
    <w:rsid w:val="7D3D633F"/>
    <w:rsid w:val="7D4274B2"/>
    <w:rsid w:val="7D5A0C9F"/>
    <w:rsid w:val="7D5D253D"/>
    <w:rsid w:val="7D701344"/>
    <w:rsid w:val="7D717D97"/>
    <w:rsid w:val="7D8555F0"/>
    <w:rsid w:val="7D885400"/>
    <w:rsid w:val="7D896705"/>
    <w:rsid w:val="7D9A0B9D"/>
    <w:rsid w:val="7DAA32A9"/>
    <w:rsid w:val="7DAC1D4F"/>
    <w:rsid w:val="7DB17B6D"/>
    <w:rsid w:val="7DBB1012"/>
    <w:rsid w:val="7DC06BDF"/>
    <w:rsid w:val="7DC66335"/>
    <w:rsid w:val="7DCA585F"/>
    <w:rsid w:val="7DD02D0F"/>
    <w:rsid w:val="7DD32B96"/>
    <w:rsid w:val="7DEA6806"/>
    <w:rsid w:val="7DF2712A"/>
    <w:rsid w:val="7DFD162B"/>
    <w:rsid w:val="7E01736D"/>
    <w:rsid w:val="7E132BFC"/>
    <w:rsid w:val="7E187F6B"/>
    <w:rsid w:val="7E1E7F1F"/>
    <w:rsid w:val="7E2968C4"/>
    <w:rsid w:val="7E3643BE"/>
    <w:rsid w:val="7E3808B5"/>
    <w:rsid w:val="7E407D7D"/>
    <w:rsid w:val="7E4F6BCE"/>
    <w:rsid w:val="7E5F5463"/>
    <w:rsid w:val="7E6B47E6"/>
    <w:rsid w:val="7E6E42D6"/>
    <w:rsid w:val="7E976222"/>
    <w:rsid w:val="7E98158A"/>
    <w:rsid w:val="7EB96DF7"/>
    <w:rsid w:val="7EC860DC"/>
    <w:rsid w:val="7ECD724F"/>
    <w:rsid w:val="7ED71E7C"/>
    <w:rsid w:val="7EE222CA"/>
    <w:rsid w:val="7EE750D0"/>
    <w:rsid w:val="7EF0012A"/>
    <w:rsid w:val="7F160BF6"/>
    <w:rsid w:val="7F2005B6"/>
    <w:rsid w:val="7F262D4F"/>
    <w:rsid w:val="7F271055"/>
    <w:rsid w:val="7F4E65E2"/>
    <w:rsid w:val="7F5636E8"/>
    <w:rsid w:val="7F800765"/>
    <w:rsid w:val="7FB1091F"/>
    <w:rsid w:val="7FF30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autoRedefine/>
    <w:qFormat/>
    <w:uiPriority w:val="0"/>
    <w:pPr>
      <w:spacing w:before="340" w:after="330" w:line="360" w:lineRule="auto"/>
      <w:jc w:val="center"/>
      <w:outlineLvl w:val="0"/>
    </w:pPr>
    <w:rPr>
      <w:kern w:val="44"/>
      <w:szCs w:val="44"/>
    </w:rPr>
  </w:style>
  <w:style w:type="paragraph" w:styleId="7">
    <w:name w:val="heading 2"/>
    <w:basedOn w:val="5"/>
    <w:next w:val="6"/>
    <w:autoRedefine/>
    <w:qFormat/>
    <w:uiPriority w:val="0"/>
    <w:pPr>
      <w:adjustRightInd w:val="0"/>
      <w:jc w:val="center"/>
      <w:textAlignment w:val="baseline"/>
      <w:outlineLvl w:val="1"/>
    </w:pPr>
    <w:rPr>
      <w:kern w:val="0"/>
      <w:sz w:val="24"/>
      <w:szCs w:val="20"/>
    </w:rPr>
  </w:style>
  <w:style w:type="paragraph" w:styleId="5">
    <w:name w:val="heading 3"/>
    <w:basedOn w:val="6"/>
    <w:next w:val="1"/>
    <w:autoRedefine/>
    <w:qFormat/>
    <w:uiPriority w:val="9"/>
    <w:pPr>
      <w:spacing w:before="260" w:after="260"/>
      <w:outlineLvl w:val="2"/>
    </w:pPr>
    <w:rPr>
      <w:rFonts w:ascii="宋体" w:hAnsi="宋体"/>
      <w:szCs w:val="32"/>
    </w:rPr>
  </w:style>
  <w:style w:type="paragraph" w:styleId="6">
    <w:name w:val="heading 4"/>
    <w:basedOn w:val="1"/>
    <w:next w:val="1"/>
    <w:autoRedefine/>
    <w:qFormat/>
    <w:uiPriority w:val="9"/>
    <w:pPr>
      <w:keepNext/>
      <w:keepLines/>
      <w:spacing w:before="280" w:after="290" w:line="376" w:lineRule="auto"/>
      <w:outlineLvl w:val="3"/>
    </w:pPr>
    <w:rPr>
      <w:rFonts w:ascii="Arial" w:hAnsi="Arial" w:eastAsia="黑体"/>
      <w:b/>
      <w:bCs/>
      <w:sz w:val="28"/>
      <w:szCs w:val="28"/>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0"/>
    <w:pPr>
      <w:spacing w:line="360" w:lineRule="auto"/>
    </w:pPr>
    <w:rPr>
      <w:b/>
      <w:bCs/>
      <w:sz w:val="24"/>
    </w:rPr>
  </w:style>
  <w:style w:type="paragraph" w:styleId="3">
    <w:name w:val="Body Text 2"/>
    <w:basedOn w:val="1"/>
    <w:autoRedefine/>
    <w:qFormat/>
    <w:uiPriority w:val="0"/>
    <w:pPr>
      <w:spacing w:line="360" w:lineRule="auto"/>
    </w:pPr>
    <w:rPr>
      <w:sz w:val="24"/>
    </w:rPr>
  </w:style>
  <w:style w:type="paragraph" w:styleId="8">
    <w:name w:val="Normal Indent"/>
    <w:basedOn w:val="1"/>
    <w:next w:val="9"/>
    <w:autoRedefine/>
    <w:qFormat/>
    <w:uiPriority w:val="0"/>
    <w:pPr>
      <w:ind w:firstLine="420"/>
    </w:pPr>
    <w:rPr>
      <w:szCs w:val="20"/>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annotation text"/>
    <w:basedOn w:val="1"/>
    <w:link w:val="53"/>
    <w:autoRedefine/>
    <w:qFormat/>
    <w:uiPriority w:val="99"/>
    <w:pPr>
      <w:autoSpaceDE w:val="0"/>
      <w:autoSpaceDN w:val="0"/>
      <w:adjustRightInd w:val="0"/>
      <w:jc w:val="left"/>
      <w:textAlignment w:val="baseline"/>
    </w:pPr>
    <w:rPr>
      <w:rFonts w:ascii="宋体"/>
      <w:kern w:val="0"/>
      <w:sz w:val="34"/>
      <w:szCs w:val="20"/>
    </w:rPr>
  </w:style>
  <w:style w:type="paragraph" w:styleId="11">
    <w:name w:val="Body Text Indent"/>
    <w:basedOn w:val="1"/>
    <w:next w:val="12"/>
    <w:autoRedefine/>
    <w:qFormat/>
    <w:uiPriority w:val="0"/>
    <w:pPr>
      <w:spacing w:line="360" w:lineRule="auto"/>
      <w:ind w:firstLine="420" w:firstLineChars="200"/>
    </w:pPr>
  </w:style>
  <w:style w:type="paragraph" w:styleId="12">
    <w:name w:val="envelope return"/>
    <w:basedOn w:val="1"/>
    <w:autoRedefine/>
    <w:unhideWhenUsed/>
    <w:qFormat/>
    <w:uiPriority w:val="99"/>
    <w:pPr>
      <w:snapToGrid w:val="0"/>
    </w:pPr>
    <w:rPr>
      <w:rFonts w:ascii="Arial" w:hAnsi="Arial"/>
    </w:rPr>
  </w:style>
  <w:style w:type="paragraph" w:styleId="13">
    <w:name w:val="toc 5"/>
    <w:basedOn w:val="1"/>
    <w:next w:val="1"/>
    <w:autoRedefine/>
    <w:semiHidden/>
    <w:qFormat/>
    <w:uiPriority w:val="0"/>
    <w:pPr>
      <w:ind w:left="840"/>
      <w:jc w:val="left"/>
    </w:pPr>
    <w:rPr>
      <w:szCs w:val="21"/>
    </w:rPr>
  </w:style>
  <w:style w:type="paragraph" w:styleId="14">
    <w:name w:val="Balloon Text"/>
    <w:basedOn w:val="1"/>
    <w:link w:val="45"/>
    <w:autoRedefine/>
    <w:qFormat/>
    <w:uiPriority w:val="0"/>
    <w:rPr>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Normal (Web)"/>
    <w:basedOn w:val="1"/>
    <w:autoRedefine/>
    <w:qFormat/>
    <w:uiPriority w:val="99"/>
    <w:pPr>
      <w:spacing w:beforeAutospacing="1" w:afterAutospacing="1"/>
      <w:jc w:val="left"/>
    </w:pPr>
    <w:rPr>
      <w:kern w:val="0"/>
      <w:sz w:val="24"/>
    </w:rPr>
  </w:style>
  <w:style w:type="paragraph" w:styleId="17">
    <w:name w:val="Title"/>
    <w:basedOn w:val="1"/>
    <w:next w:val="1"/>
    <w:autoRedefine/>
    <w:qFormat/>
    <w:uiPriority w:val="0"/>
    <w:pPr>
      <w:spacing w:before="240" w:after="60"/>
      <w:jc w:val="center"/>
      <w:outlineLvl w:val="0"/>
    </w:pPr>
    <w:rPr>
      <w:rFonts w:ascii="Arial" w:hAnsi="Arial" w:eastAsia="隶书" w:cs="Arial"/>
      <w:b/>
      <w:bCs/>
      <w:sz w:val="32"/>
      <w:szCs w:val="32"/>
    </w:rPr>
  </w:style>
  <w:style w:type="paragraph" w:styleId="18">
    <w:name w:val="annotation subject"/>
    <w:basedOn w:val="10"/>
    <w:next w:val="10"/>
    <w:link w:val="54"/>
    <w:autoRedefine/>
    <w:qFormat/>
    <w:uiPriority w:val="0"/>
    <w:pPr>
      <w:autoSpaceDE/>
      <w:autoSpaceDN/>
      <w:adjustRightInd/>
      <w:textAlignment w:val="auto"/>
    </w:pPr>
    <w:rPr>
      <w:rFonts w:ascii="Times New Roman"/>
      <w:b/>
      <w:bCs/>
      <w:kern w:val="2"/>
      <w:sz w:val="21"/>
      <w:szCs w:val="24"/>
    </w:rPr>
  </w:style>
  <w:style w:type="paragraph" w:styleId="19">
    <w:name w:val="Body Text First Indent"/>
    <w:basedOn w:val="2"/>
    <w:autoRedefine/>
    <w:qFormat/>
    <w:uiPriority w:val="0"/>
    <w:pPr>
      <w:tabs>
        <w:tab w:val="left" w:pos="567"/>
      </w:tabs>
      <w:spacing w:after="120" w:line="240" w:lineRule="auto"/>
      <w:ind w:firstLine="420" w:firstLineChars="100"/>
    </w:pPr>
    <w:rPr>
      <w:sz w:val="21"/>
    </w:rPr>
  </w:style>
  <w:style w:type="paragraph" w:styleId="20">
    <w:name w:val="Body Text First Indent 2"/>
    <w:basedOn w:val="11"/>
    <w:autoRedefine/>
    <w:qFormat/>
    <w:uiPriority w:val="0"/>
    <w:pPr>
      <w:tabs>
        <w:tab w:val="left" w:pos="5372"/>
      </w:tabs>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bCs/>
    </w:rPr>
  </w:style>
  <w:style w:type="character" w:styleId="25">
    <w:name w:val="page number"/>
    <w:basedOn w:val="23"/>
    <w:autoRedefine/>
    <w:qFormat/>
    <w:uiPriority w:val="0"/>
  </w:style>
  <w:style w:type="character" w:styleId="26">
    <w:name w:val="FollowedHyperlink"/>
    <w:basedOn w:val="23"/>
    <w:autoRedefine/>
    <w:qFormat/>
    <w:uiPriority w:val="0"/>
    <w:rPr>
      <w:color w:val="5C5C5C"/>
      <w:u w:val="none"/>
    </w:rPr>
  </w:style>
  <w:style w:type="character" w:styleId="27">
    <w:name w:val="Emphasis"/>
    <w:basedOn w:val="23"/>
    <w:autoRedefine/>
    <w:qFormat/>
    <w:uiPriority w:val="0"/>
    <w:rPr>
      <w:b/>
      <w:bCs/>
    </w:rPr>
  </w:style>
  <w:style w:type="character" w:styleId="28">
    <w:name w:val="HTML Definition"/>
    <w:basedOn w:val="23"/>
    <w:autoRedefine/>
    <w:qFormat/>
    <w:uiPriority w:val="0"/>
  </w:style>
  <w:style w:type="character" w:styleId="29">
    <w:name w:val="HTML Typewriter"/>
    <w:basedOn w:val="23"/>
    <w:autoRedefine/>
    <w:qFormat/>
    <w:uiPriority w:val="0"/>
    <w:rPr>
      <w:rFonts w:hint="default" w:ascii="monospace" w:hAnsi="monospace" w:eastAsia="monospace" w:cs="monospace"/>
      <w:sz w:val="20"/>
    </w:rPr>
  </w:style>
  <w:style w:type="character" w:styleId="30">
    <w:name w:val="HTML Acronym"/>
    <w:basedOn w:val="23"/>
    <w:autoRedefine/>
    <w:qFormat/>
    <w:uiPriority w:val="0"/>
    <w:rPr>
      <w:color w:val="5C5C5C"/>
      <w:sz w:val="16"/>
      <w:szCs w:val="16"/>
    </w:rPr>
  </w:style>
  <w:style w:type="character" w:styleId="31">
    <w:name w:val="HTML Variable"/>
    <w:basedOn w:val="23"/>
    <w:autoRedefine/>
    <w:qFormat/>
    <w:uiPriority w:val="0"/>
  </w:style>
  <w:style w:type="character" w:styleId="32">
    <w:name w:val="Hyperlink"/>
    <w:basedOn w:val="23"/>
    <w:autoRedefine/>
    <w:qFormat/>
    <w:uiPriority w:val="0"/>
    <w:rPr>
      <w:color w:val="5C5C5C"/>
      <w:u w:val="none"/>
    </w:rPr>
  </w:style>
  <w:style w:type="character" w:styleId="33">
    <w:name w:val="HTML Code"/>
    <w:basedOn w:val="23"/>
    <w:autoRedefine/>
    <w:qFormat/>
    <w:uiPriority w:val="0"/>
    <w:rPr>
      <w:rFonts w:hint="default" w:ascii="monospace" w:hAnsi="monospace" w:eastAsia="monospace" w:cs="monospace"/>
      <w:sz w:val="20"/>
    </w:rPr>
  </w:style>
  <w:style w:type="character" w:styleId="34">
    <w:name w:val="annotation reference"/>
    <w:basedOn w:val="23"/>
    <w:autoRedefine/>
    <w:qFormat/>
    <w:uiPriority w:val="0"/>
    <w:rPr>
      <w:sz w:val="21"/>
      <w:szCs w:val="21"/>
    </w:rPr>
  </w:style>
  <w:style w:type="character" w:styleId="35">
    <w:name w:val="HTML Cite"/>
    <w:basedOn w:val="23"/>
    <w:autoRedefine/>
    <w:qFormat/>
    <w:uiPriority w:val="0"/>
  </w:style>
  <w:style w:type="character" w:styleId="36">
    <w:name w:val="HTML Keyboard"/>
    <w:basedOn w:val="23"/>
    <w:autoRedefine/>
    <w:qFormat/>
    <w:uiPriority w:val="0"/>
    <w:rPr>
      <w:rFonts w:ascii="monospace" w:hAnsi="monospace" w:eastAsia="monospace" w:cs="monospace"/>
      <w:sz w:val="20"/>
    </w:rPr>
  </w:style>
  <w:style w:type="character" w:styleId="37">
    <w:name w:val="HTML Sample"/>
    <w:basedOn w:val="23"/>
    <w:autoRedefine/>
    <w:qFormat/>
    <w:uiPriority w:val="0"/>
    <w:rPr>
      <w:rFonts w:hint="default" w:ascii="monospace" w:hAnsi="monospace" w:eastAsia="monospace" w:cs="monospace"/>
    </w:rPr>
  </w:style>
  <w:style w:type="paragraph" w:styleId="38">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39">
    <w:name w:val="标准正文 Char Char Char Char"/>
    <w:basedOn w:val="1"/>
    <w:next w:val="1"/>
    <w:autoRedefine/>
    <w:qFormat/>
    <w:uiPriority w:val="0"/>
    <w:pPr>
      <w:spacing w:after="60"/>
      <w:ind w:firstLine="482"/>
    </w:pPr>
    <w:rPr>
      <w:kern w:val="0"/>
      <w:sz w:val="20"/>
      <w:szCs w:val="20"/>
    </w:rPr>
  </w:style>
  <w:style w:type="paragraph" w:styleId="40">
    <w:name w:val="List Paragraph"/>
    <w:basedOn w:val="1"/>
    <w:autoRedefine/>
    <w:qFormat/>
    <w:uiPriority w:val="0"/>
    <w:pPr>
      <w:ind w:firstLine="420" w:firstLineChars="200"/>
    </w:pPr>
    <w:rPr>
      <w:rFonts w:ascii="Calibri" w:hAnsi="Calibri"/>
      <w:szCs w:val="22"/>
    </w:rPr>
  </w:style>
  <w:style w:type="paragraph" w:customStyle="1" w:styleId="41">
    <w:name w:val="List Paragraph1"/>
    <w:basedOn w:val="1"/>
    <w:autoRedefine/>
    <w:qFormat/>
    <w:uiPriority w:val="0"/>
    <w:pPr>
      <w:ind w:firstLine="420" w:firstLineChars="200"/>
    </w:pPr>
    <w:rPr>
      <w:szCs w:val="22"/>
    </w:rPr>
  </w:style>
  <w:style w:type="paragraph" w:customStyle="1" w:styleId="42">
    <w:name w:val="p1"/>
    <w:basedOn w:val="1"/>
    <w:autoRedefine/>
    <w:qFormat/>
    <w:uiPriority w:val="0"/>
    <w:pPr>
      <w:jc w:val="left"/>
    </w:pPr>
    <w:rPr>
      <w:rFonts w:ascii="Helvetica Neue" w:hAnsi="Helvetica Neue" w:eastAsia="Helvetica Neue"/>
      <w:kern w:val="0"/>
      <w:sz w:val="26"/>
      <w:szCs w:val="26"/>
    </w:rPr>
  </w:style>
  <w:style w:type="character" w:customStyle="1" w:styleId="43">
    <w:name w:val="标题 3 Char"/>
    <w:autoRedefine/>
    <w:qFormat/>
    <w:uiPriority w:val="9"/>
    <w:rPr>
      <w:rFonts w:ascii="黑体" w:eastAsia="黑体"/>
      <w:bCs/>
      <w:sz w:val="30"/>
    </w:rPr>
  </w:style>
  <w:style w:type="table" w:customStyle="1" w:styleId="44">
    <w:name w:val="网格型1"/>
    <w:basedOn w:val="21"/>
    <w:autoRedefine/>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5">
    <w:name w:val="批注框文本 字符"/>
    <w:basedOn w:val="23"/>
    <w:link w:val="14"/>
    <w:autoRedefine/>
    <w:qFormat/>
    <w:uiPriority w:val="0"/>
    <w:rPr>
      <w:kern w:val="2"/>
      <w:sz w:val="18"/>
      <w:szCs w:val="18"/>
    </w:rPr>
  </w:style>
  <w:style w:type="character" w:customStyle="1" w:styleId="46">
    <w:name w:val="hover"/>
    <w:basedOn w:val="23"/>
    <w:autoRedefine/>
    <w:qFormat/>
    <w:uiPriority w:val="0"/>
    <w:rPr>
      <w:color w:val="2590EB"/>
    </w:rPr>
  </w:style>
  <w:style w:type="character" w:customStyle="1" w:styleId="47">
    <w:name w:val="hover1"/>
    <w:basedOn w:val="23"/>
    <w:autoRedefine/>
    <w:qFormat/>
    <w:uiPriority w:val="0"/>
    <w:rPr>
      <w:color w:val="2590EB"/>
    </w:rPr>
  </w:style>
  <w:style w:type="character" w:customStyle="1" w:styleId="48">
    <w:name w:val="hover2"/>
    <w:basedOn w:val="23"/>
    <w:autoRedefine/>
    <w:qFormat/>
    <w:uiPriority w:val="0"/>
  </w:style>
  <w:style w:type="character" w:customStyle="1" w:styleId="49">
    <w:name w:val="hover3"/>
    <w:basedOn w:val="23"/>
    <w:autoRedefine/>
    <w:qFormat/>
    <w:uiPriority w:val="0"/>
    <w:rPr>
      <w:color w:val="2590EB"/>
      <w:shd w:val="clear" w:color="auto" w:fill="E9F4FD"/>
    </w:rPr>
  </w:style>
  <w:style w:type="character" w:customStyle="1" w:styleId="50">
    <w:name w:val="mini-outputtext1"/>
    <w:basedOn w:val="23"/>
    <w:autoRedefine/>
    <w:qFormat/>
    <w:uiPriority w:val="0"/>
  </w:style>
  <w:style w:type="character" w:customStyle="1" w:styleId="51">
    <w:name w:val="hover4"/>
    <w:basedOn w:val="23"/>
    <w:autoRedefine/>
    <w:qFormat/>
    <w:uiPriority w:val="0"/>
    <w:rPr>
      <w:color w:val="2590EB"/>
      <w:shd w:val="clear" w:color="auto" w:fill="E9F4FD"/>
    </w:rPr>
  </w:style>
  <w:style w:type="paragraph" w:customStyle="1" w:styleId="52">
    <w:name w:val="修订1"/>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53">
    <w:name w:val="批注文字 字符"/>
    <w:basedOn w:val="23"/>
    <w:link w:val="10"/>
    <w:autoRedefine/>
    <w:qFormat/>
    <w:uiPriority w:val="99"/>
    <w:rPr>
      <w:rFonts w:ascii="宋体"/>
      <w:sz w:val="34"/>
    </w:rPr>
  </w:style>
  <w:style w:type="character" w:customStyle="1" w:styleId="54">
    <w:name w:val="批注主题 字符"/>
    <w:basedOn w:val="53"/>
    <w:link w:val="18"/>
    <w:autoRedefine/>
    <w:qFormat/>
    <w:uiPriority w:val="0"/>
    <w:rPr>
      <w:rFonts w:ascii="宋体"/>
      <w:b/>
      <w:bCs/>
      <w:kern w:val="2"/>
      <w:sz w:val="21"/>
      <w:szCs w:val="24"/>
    </w:rPr>
  </w:style>
  <w:style w:type="paragraph" w:customStyle="1" w:styleId="55">
    <w:name w:val="修订2"/>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56">
    <w:name w:val="font31"/>
    <w:basedOn w:val="23"/>
    <w:autoRedefine/>
    <w:qFormat/>
    <w:uiPriority w:val="0"/>
    <w:rPr>
      <w:rFonts w:hint="eastAsia" w:ascii="新宋体" w:hAnsi="新宋体" w:eastAsia="新宋体" w:cs="新宋体"/>
      <w:color w:val="000000"/>
      <w:sz w:val="20"/>
      <w:szCs w:val="20"/>
      <w:u w:val="none"/>
    </w:rPr>
  </w:style>
  <w:style w:type="paragraph" w:customStyle="1" w:styleId="57">
    <w:name w:val="_Style 3"/>
    <w:basedOn w:val="1"/>
    <w:autoRedefine/>
    <w:qFormat/>
    <w:uiPriority w:val="0"/>
    <w:rPr>
      <w:rFonts w:ascii="Calibri" w:hAnsi="Calibri"/>
      <w:szCs w:val="21"/>
    </w:rPr>
  </w:style>
  <w:style w:type="paragraph" w:customStyle="1" w:styleId="58">
    <w:name w:val="Table Paragraph"/>
    <w:basedOn w:val="1"/>
    <w:autoRedefine/>
    <w:qFormat/>
    <w:uiPriority w:val="1"/>
    <w:rPr>
      <w:rFonts w:ascii="宋体" w:hAnsi="宋体" w:cs="宋体"/>
      <w:lang w:val="zh-CN" w:bidi="zh-CN"/>
    </w:rPr>
  </w:style>
  <w:style w:type="paragraph" w:customStyle="1" w:styleId="59">
    <w:name w:val="Revision"/>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60">
    <w:name w:val="font51"/>
    <w:basedOn w:val="23"/>
    <w:autoRedefine/>
    <w:qFormat/>
    <w:uiPriority w:val="0"/>
    <w:rPr>
      <w:rFonts w:hint="eastAsia" w:ascii="宋体" w:hAnsi="宋体" w:eastAsia="宋体" w:cs="宋体"/>
      <w:color w:val="FF0000"/>
      <w:sz w:val="21"/>
      <w:szCs w:val="21"/>
      <w:u w:val="none"/>
    </w:rPr>
  </w:style>
  <w:style w:type="paragraph" w:customStyle="1" w:styleId="61">
    <w:name w:val="表格文字"/>
    <w:basedOn w:val="1"/>
    <w:autoRedefine/>
    <w:qFormat/>
    <w:uiPriority w:val="0"/>
    <w:pPr>
      <w:spacing w:before="25" w:after="25" w:line="240" w:lineRule="auto"/>
      <w:ind w:firstLine="0"/>
      <w:jc w:val="left"/>
    </w:pPr>
    <w:rPr>
      <w:bCs/>
      <w:spacing w:val="10"/>
      <w:kern w:val="0"/>
      <w:sz w:val="24"/>
    </w:rPr>
  </w:style>
  <w:style w:type="character" w:customStyle="1" w:styleId="62">
    <w:name w:val="font11"/>
    <w:basedOn w:val="2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104</Pages>
  <Words>13436</Words>
  <Characters>14757</Characters>
  <Lines>720</Lines>
  <Paragraphs>202</Paragraphs>
  <TotalTime>4</TotalTime>
  <ScaleCrop>false</ScaleCrop>
  <LinksUpToDate>false</LinksUpToDate>
  <CharactersWithSpaces>14921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2026-03-20T08:37:00Z</dcterms:created>
  <dc:creator>xxzx</dc:creator>
  <cp:lastModifiedBy>lxq</cp:lastModifiedBy>
  <cp:lastPrinted>2026-02-02T01:47:00Z</cp:lastPrinted>
  <dcterms:modified xsi:type="dcterms:W3CDTF">2026-07-29T10:03:15Z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eyJoZGlkIjoiMzEwNTM5NzYwMDRjMzkwZTVkZjY2ODkwMGIxNGU0OTUiLCJ1c2VySWQiOiIxODk4MjY3NTAifQ==</vt:lpwstr>
  </property>
  <property fmtid="{D5CDD505-2E9C-101B-9397-08002B2CF9AE}" pid="4" name="ICV">
    <vt:lpwstr>E643B8EF572E4DB0BAEBBDA03AF69118_13</vt:lpwstr>
  </property>
</Properties>
</file>