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6A352">
      <w:pPr>
        <w:jc w:val="center"/>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rPr>
        <w:t>特别警示条款</w:t>
      </w:r>
    </w:p>
    <w:p w14:paraId="1E501A0B">
      <w:pPr>
        <w:pBdr>
          <w:top w:val="none" w:color="auto" w:sz="0" w:space="1"/>
          <w:left w:val="none" w:color="auto" w:sz="0" w:space="4"/>
          <w:bottom w:val="none" w:color="auto" w:sz="0" w:space="1"/>
          <w:right w:val="none" w:color="auto" w:sz="0" w:space="4"/>
        </w:pBdr>
        <w:ind w:firstLine="422" w:firstLineChars="200"/>
        <w:rPr>
          <w:rFonts w:hint="eastAsia"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7393"/>
      </w:tblGrid>
      <w:tr w14:paraId="1892E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6E1B77B7">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序号</w:t>
            </w:r>
          </w:p>
        </w:tc>
        <w:tc>
          <w:tcPr>
            <w:tcW w:w="8221" w:type="dxa"/>
            <w:tcBorders>
              <w:tl2br w:val="nil"/>
              <w:tr2bl w:val="nil"/>
            </w:tcBorders>
            <w:vAlign w:val="center"/>
          </w:tcPr>
          <w:p w14:paraId="72D6CB8D">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b/>
                <w:bCs/>
                <w:color w:val="FF0000"/>
                <w:szCs w:val="21"/>
              </w:rPr>
              <w:t>供应商参与投标禁止情形</w:t>
            </w:r>
          </w:p>
        </w:tc>
      </w:tr>
      <w:tr w14:paraId="3ACB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24AF942A">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1</w:t>
            </w:r>
          </w:p>
        </w:tc>
        <w:tc>
          <w:tcPr>
            <w:tcW w:w="8221" w:type="dxa"/>
            <w:tcBorders>
              <w:tl2br w:val="nil"/>
              <w:tr2bl w:val="nil"/>
            </w:tcBorders>
            <w:vAlign w:val="center"/>
          </w:tcPr>
          <w:p w14:paraId="12B50667">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7676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5564F5DF">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2</w:t>
            </w:r>
          </w:p>
        </w:tc>
        <w:tc>
          <w:tcPr>
            <w:tcW w:w="8221" w:type="dxa"/>
            <w:tcBorders>
              <w:tl2br w:val="nil"/>
              <w:tr2bl w:val="nil"/>
            </w:tcBorders>
            <w:vAlign w:val="center"/>
          </w:tcPr>
          <w:p w14:paraId="2712A8E0">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1176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4D06F08B">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3</w:t>
            </w:r>
          </w:p>
        </w:tc>
        <w:tc>
          <w:tcPr>
            <w:tcW w:w="8221" w:type="dxa"/>
            <w:tcBorders>
              <w:tl2br w:val="nil"/>
              <w:tr2bl w:val="nil"/>
            </w:tcBorders>
            <w:vAlign w:val="center"/>
          </w:tcPr>
          <w:p w14:paraId="66F645D0">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0793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1C31A1FE">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4</w:t>
            </w:r>
          </w:p>
        </w:tc>
        <w:tc>
          <w:tcPr>
            <w:tcW w:w="8221" w:type="dxa"/>
            <w:tcBorders>
              <w:tl2br w:val="nil"/>
              <w:tr2bl w:val="nil"/>
            </w:tcBorders>
            <w:vAlign w:val="center"/>
          </w:tcPr>
          <w:p w14:paraId="08B4C02C">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5ADA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2989CB51">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5</w:t>
            </w:r>
          </w:p>
        </w:tc>
        <w:tc>
          <w:tcPr>
            <w:tcW w:w="8221" w:type="dxa"/>
            <w:tcBorders>
              <w:tl2br w:val="nil"/>
              <w:tr2bl w:val="nil"/>
            </w:tcBorders>
            <w:vAlign w:val="center"/>
          </w:tcPr>
          <w:p w14:paraId="5376FC4F">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51C4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l2br w:val="nil"/>
              <w:tr2bl w:val="nil"/>
            </w:tcBorders>
            <w:vAlign w:val="center"/>
          </w:tcPr>
          <w:p w14:paraId="0E1AF81E">
            <w:pPr>
              <w:pBdr>
                <w:top w:val="none" w:color="auto" w:sz="0" w:space="1"/>
                <w:left w:val="none" w:color="auto" w:sz="0" w:space="4"/>
                <w:bottom w:val="none" w:color="auto" w:sz="0" w:space="1"/>
                <w:right w:val="none" w:color="auto" w:sz="0" w:space="4"/>
              </w:pBdr>
              <w:jc w:val="center"/>
              <w:rPr>
                <w:rFonts w:hint="eastAsia" w:ascii="宋体" w:hAnsi="宋体" w:cs="宋体"/>
                <w:color w:val="FF0000"/>
                <w:szCs w:val="21"/>
              </w:rPr>
            </w:pPr>
            <w:r>
              <w:rPr>
                <w:rFonts w:hint="eastAsia" w:ascii="宋体" w:hAnsi="宋体" w:cs="宋体"/>
                <w:color w:val="FF0000"/>
                <w:szCs w:val="21"/>
              </w:rPr>
              <w:t>6</w:t>
            </w:r>
          </w:p>
        </w:tc>
        <w:tc>
          <w:tcPr>
            <w:tcW w:w="8221" w:type="dxa"/>
            <w:tcBorders>
              <w:tl2br w:val="nil"/>
              <w:tr2bl w:val="nil"/>
            </w:tcBorders>
            <w:vAlign w:val="center"/>
          </w:tcPr>
          <w:p w14:paraId="73684CCA">
            <w:pPr>
              <w:pBdr>
                <w:top w:val="none" w:color="auto" w:sz="0" w:space="1"/>
                <w:left w:val="none" w:color="auto" w:sz="0" w:space="4"/>
                <w:bottom w:val="none" w:color="auto" w:sz="0" w:space="1"/>
                <w:right w:val="none" w:color="auto" w:sz="0" w:space="4"/>
              </w:pBdr>
              <w:jc w:val="left"/>
              <w:rPr>
                <w:rFonts w:hint="eastAsia"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4965670A">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一、</w:t>
      </w:r>
      <w:r>
        <w:rPr>
          <w:rFonts w:hint="eastAsia" w:asciiTheme="minorEastAsia" w:hAnsiTheme="minorEastAsia" w:eastAsiaTheme="minorEastAsia"/>
          <w:b/>
          <w:bCs/>
          <w:color w:val="FF0000"/>
          <w:szCs w:val="21"/>
        </w:rPr>
        <w:t>《深圳经济特区政府采购条例》第五十七条</w:t>
      </w:r>
      <w:r>
        <w:rPr>
          <w:rFonts w:hint="eastAsia" w:asciiTheme="minorEastAsia" w:hAnsiTheme="minorEastAsia" w:eastAsiaTheme="minorEastAsia"/>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49BE28FD">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（一）在采购活动中应当回避而未回避的；</w:t>
      </w:r>
    </w:p>
    <w:p w14:paraId="364E7E5D">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（二）未按本条例规定签订、履行采购合同，造成严重后果的；</w:t>
      </w:r>
    </w:p>
    <w:p w14:paraId="588AABB3">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（三）隐瞒真实情况，提供虚假资料的；</w:t>
      </w:r>
    </w:p>
    <w:p w14:paraId="396C6D7A">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（四）以非法手段排斥其他供应商参与竞争的；</w:t>
      </w:r>
    </w:p>
    <w:p w14:paraId="1BEFA500">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（五）与其他采购参加人串通投标的；</w:t>
      </w:r>
    </w:p>
    <w:p w14:paraId="687CCEA0">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（六）恶意投诉的；</w:t>
      </w:r>
    </w:p>
    <w:p w14:paraId="754BC6B1">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（七）向采购项目相关人行贿或者提供其他不当利益的；</w:t>
      </w:r>
    </w:p>
    <w:p w14:paraId="675AB0E8">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（八）阻碍、抗拒主管部门监督检查的；</w:t>
      </w:r>
    </w:p>
    <w:p w14:paraId="7188CABF">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（九）其他违反本条例规定的行为。</w:t>
      </w:r>
    </w:p>
    <w:p w14:paraId="1B8EA28A">
      <w:pPr>
        <w:pBdr>
          <w:top w:val="none" w:color="auto" w:sz="0" w:space="1"/>
          <w:left w:val="none" w:color="auto" w:sz="0" w:space="4"/>
          <w:bottom w:val="none" w:color="auto" w:sz="0" w:space="1"/>
          <w:right w:val="none" w:color="auto" w:sz="0" w:space="4"/>
        </w:pBdr>
        <w:ind w:firstLine="422" w:firstLineChars="200"/>
        <w:rPr>
          <w:rFonts w:hint="eastAsia"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二、《深圳经济特区政府采购条例实施细则》第七十五条 </w:t>
      </w:r>
      <w:r>
        <w:rPr>
          <w:rFonts w:hint="eastAsia" w:asciiTheme="minorEastAsia" w:hAnsiTheme="minorEastAsia" w:eastAsiaTheme="minorEastAsia"/>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3817FFCC">
      <w:pPr>
        <w:pBdr>
          <w:top w:val="none" w:color="auto" w:sz="0" w:space="1"/>
          <w:left w:val="none" w:color="auto" w:sz="0" w:space="4"/>
          <w:bottom w:val="none" w:color="auto" w:sz="0" w:space="1"/>
          <w:right w:val="none" w:color="auto" w:sz="0" w:space="4"/>
        </w:pBdr>
        <w:ind w:firstLine="422" w:firstLineChars="200"/>
        <w:rPr>
          <w:rFonts w:hint="eastAsia"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三、《深圳经济特区政府采购条例实施细则》第七十七条 </w:t>
      </w:r>
      <w:r>
        <w:rPr>
          <w:rFonts w:hint="eastAsia" w:asciiTheme="minorEastAsia" w:hAnsiTheme="minorEastAsia" w:eastAsiaTheme="minorEastAsia"/>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33200D78">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投标供应商不能提供项目负责人或者主要技术人员的劳动合同、社会保险等劳动关系证明材料的，视为存在前款第（三）项规定的情形。</w:t>
      </w:r>
    </w:p>
    <w:p w14:paraId="3D32BF38">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bCs/>
          <w:color w:val="FF0000"/>
          <w:szCs w:val="21"/>
        </w:rPr>
      </w:pPr>
      <w:r>
        <w:rPr>
          <w:rFonts w:hint="eastAsia" w:asciiTheme="minorEastAsia" w:hAnsiTheme="minorEastAsia" w:eastAsiaTheme="minor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2B735F99">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bCs/>
          <w:color w:val="FF0000"/>
          <w:szCs w:val="21"/>
        </w:rPr>
      </w:pPr>
      <w:r>
        <w:rPr>
          <w:rFonts w:hint="eastAsia" w:asciiTheme="minorEastAsia" w:hAnsiTheme="minorEastAsia" w:eastAsiaTheme="minorEastAsia"/>
          <w:bCs/>
          <w:color w:val="FF0000"/>
          <w:szCs w:val="21"/>
        </w:rPr>
        <w:t>为避免出现不同供应商投标文件的文件制作机器码、文件创建标识码、IP地址一致的异常情况，建议各供应商编制、上传投标文件时不要使用公共电脑设备或公共网络。</w:t>
      </w:r>
    </w:p>
    <w:p w14:paraId="0AED56BE">
      <w:pPr>
        <w:pBdr>
          <w:top w:val="none" w:color="auto" w:sz="0" w:space="1"/>
          <w:left w:val="none" w:color="auto" w:sz="0" w:space="4"/>
          <w:bottom w:val="none" w:color="auto" w:sz="0" w:space="1"/>
          <w:right w:val="none" w:color="auto" w:sz="0" w:space="4"/>
        </w:pBdr>
        <w:ind w:firstLine="420" w:firstLineChars="200"/>
        <w:rPr>
          <w:rFonts w:hint="eastAsia" w:asciiTheme="minorEastAsia" w:hAnsiTheme="minorEastAsia" w:eastAsiaTheme="minorEastAsia"/>
          <w:bCs/>
          <w:color w:val="FF0000"/>
          <w:szCs w:val="21"/>
        </w:rPr>
      </w:pPr>
      <w:r>
        <w:rPr>
          <w:rFonts w:hint="eastAsia" w:asciiTheme="minorEastAsia" w:hAnsiTheme="minorEastAsia" w:eastAsiaTheme="minorEastAsia"/>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Theme="minorEastAsia" w:hAnsiTheme="minorEastAsia" w:eastAsiaTheme="minorEastAsia"/>
          <w:color w:val="FF0000"/>
          <w:szCs w:val="21"/>
        </w:rPr>
        <w:t>取消参与本市政府采购资格、依法吊销其营业执照等行政处罚，构成犯罪的，依法追究刑事责任</w:t>
      </w:r>
      <w:r>
        <w:rPr>
          <w:rFonts w:hint="eastAsia" w:asciiTheme="minorEastAsia" w:hAnsiTheme="minorEastAsia" w:eastAsiaTheme="minorEastAsia"/>
          <w:bCs/>
          <w:color w:val="FF0000"/>
          <w:szCs w:val="21"/>
        </w:rPr>
        <w:t>，请各供应商独立编制、上传投标文件，妥善保管和使用电子密钥。</w:t>
      </w:r>
    </w:p>
    <w:p w14:paraId="4DC0DB2E">
      <w:pPr>
        <w:pBdr>
          <w:top w:val="none" w:color="auto" w:sz="0" w:space="1"/>
          <w:left w:val="none" w:color="auto" w:sz="0" w:space="4"/>
          <w:bottom w:val="none" w:color="auto" w:sz="0" w:space="1"/>
          <w:right w:val="none" w:color="auto" w:sz="0" w:space="4"/>
        </w:pBd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5832664D">
      <w:pPr>
        <w:pBdr>
          <w:top w:val="none" w:color="auto" w:sz="0" w:space="1"/>
          <w:left w:val="none" w:color="auto" w:sz="0" w:space="4"/>
          <w:bottom w:val="none" w:color="auto" w:sz="0" w:space="1"/>
          <w:right w:val="none" w:color="auto" w:sz="0" w:space="4"/>
        </w:pBd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9B55289">
      <w:pPr>
        <w:pBdr>
          <w:top w:val="none" w:color="auto" w:sz="0" w:space="1"/>
          <w:left w:val="none" w:color="auto" w:sz="0" w:space="4"/>
          <w:bottom w:val="none" w:color="auto" w:sz="0" w:space="1"/>
          <w:right w:val="none" w:color="auto" w:sz="0" w:space="4"/>
        </w:pBd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注：“特别警示条款”和《政府采购违法行为风险知悉确认书》用于对供应商违法行为的提醒，不作为供应商资格性审查及符合性审查条件。</w:t>
      </w:r>
    </w:p>
    <w:p w14:paraId="79AC9D31">
      <w:pPr>
        <w:widowControl/>
        <w:jc w:val="left"/>
        <w:rPr>
          <w:b/>
          <w:color w:val="FF0000"/>
        </w:rPr>
      </w:pPr>
      <w:r>
        <w:rPr>
          <w:b/>
          <w:color w:val="FF0000"/>
        </w:rPr>
        <w:br w:type="page"/>
      </w:r>
    </w:p>
    <w:p w14:paraId="2C62F0A3">
      <w:pPr>
        <w:pStyle w:val="38"/>
        <w:widowControl/>
        <w:jc w:val="center"/>
        <w:outlineLvl w:val="1"/>
        <w:rPr>
          <w:rFonts w:hint="eastAsia"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761E748A">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611C044C">
            <w:pPr>
              <w:widowControl/>
              <w:jc w:val="right"/>
              <w:rPr>
                <w:sz w:val="32"/>
                <w:szCs w:val="32"/>
              </w:rPr>
            </w:pPr>
            <w:r>
              <w:rPr>
                <w:rFonts w:ascii="宋体" w:hAnsi="宋体" w:cs="宋体"/>
                <w:kern w:val="0"/>
                <w:sz w:val="32"/>
                <w:szCs w:val="32"/>
                <w:lang w:bidi="ar"/>
              </w:rPr>
              <w:t>项目编号：</w:t>
            </w:r>
          </w:p>
        </w:tc>
        <w:tc>
          <w:tcPr>
            <w:tcW w:w="5220" w:type="dxa"/>
            <w:vAlign w:val="center"/>
          </w:tcPr>
          <w:p w14:paraId="1F8185A4">
            <w:pPr>
              <w:widowControl/>
              <w:jc w:val="left"/>
              <w:rPr>
                <w:sz w:val="32"/>
                <w:szCs w:val="32"/>
              </w:rPr>
            </w:pPr>
            <w:r>
              <w:rPr>
                <w:rFonts w:hint="eastAsia" w:ascii="宋体" w:hAnsi="宋体" w:cs="宋体"/>
                <w:kern w:val="0"/>
                <w:sz w:val="32"/>
                <w:szCs w:val="32"/>
                <w:lang w:bidi="ar"/>
              </w:rPr>
              <w:t>SZCG2026001389</w:t>
            </w:r>
          </w:p>
        </w:tc>
      </w:tr>
      <w:tr w14:paraId="1E5CE9BD">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1D4C1476">
            <w:pPr>
              <w:widowControl/>
              <w:jc w:val="right"/>
              <w:rPr>
                <w:sz w:val="32"/>
                <w:szCs w:val="32"/>
              </w:rPr>
            </w:pPr>
            <w:r>
              <w:rPr>
                <w:rFonts w:ascii="宋体" w:hAnsi="宋体" w:cs="宋体"/>
                <w:kern w:val="0"/>
                <w:sz w:val="32"/>
                <w:szCs w:val="32"/>
                <w:lang w:bidi="ar"/>
              </w:rPr>
              <w:t>项目名称：</w:t>
            </w:r>
          </w:p>
        </w:tc>
        <w:tc>
          <w:tcPr>
            <w:tcW w:w="5220" w:type="dxa"/>
            <w:vAlign w:val="center"/>
          </w:tcPr>
          <w:p w14:paraId="1F1C7261">
            <w:pPr>
              <w:widowControl/>
              <w:jc w:val="left"/>
              <w:rPr>
                <w:sz w:val="32"/>
                <w:szCs w:val="32"/>
              </w:rPr>
            </w:pPr>
            <w:r>
              <w:rPr>
                <w:rFonts w:hint="eastAsia" w:ascii="宋体" w:hAnsi="宋体" w:cs="宋体"/>
                <w:kern w:val="0"/>
                <w:sz w:val="32"/>
                <w:szCs w:val="32"/>
                <w:lang w:bidi="ar"/>
              </w:rPr>
              <w:t>深圳先进光源研究院ACCP制冷机</w:t>
            </w:r>
          </w:p>
        </w:tc>
      </w:tr>
      <w:tr w14:paraId="51DF956D">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76055905">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bidi="ar"/>
              </w:rPr>
              <w:t xml:space="preserve">   </w:t>
            </w:r>
            <w:r>
              <w:rPr>
                <w:rFonts w:ascii="宋体" w:hAnsi="宋体" w:cs="宋体"/>
                <w:kern w:val="0"/>
                <w:sz w:val="32"/>
                <w:szCs w:val="32"/>
                <w:lang w:bidi="ar"/>
              </w:rPr>
              <w:t>号：</w:t>
            </w:r>
          </w:p>
        </w:tc>
        <w:tc>
          <w:tcPr>
            <w:tcW w:w="5220" w:type="dxa"/>
            <w:vAlign w:val="center"/>
          </w:tcPr>
          <w:p w14:paraId="1B591BCC">
            <w:pPr>
              <w:widowControl/>
              <w:jc w:val="left"/>
              <w:rPr>
                <w:sz w:val="32"/>
                <w:szCs w:val="32"/>
              </w:rPr>
            </w:pPr>
            <w:r>
              <w:rPr>
                <w:rFonts w:ascii="宋体" w:hAnsi="宋体" w:cs="宋体"/>
                <w:kern w:val="0"/>
                <w:sz w:val="32"/>
                <w:szCs w:val="32"/>
                <w:lang w:bidi="ar"/>
              </w:rPr>
              <w:t>A</w:t>
            </w:r>
          </w:p>
        </w:tc>
      </w:tr>
      <w:tr w14:paraId="62B32C06">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243B0FCE">
            <w:pPr>
              <w:widowControl/>
              <w:jc w:val="right"/>
              <w:rPr>
                <w:sz w:val="32"/>
                <w:szCs w:val="32"/>
              </w:rPr>
            </w:pPr>
            <w:r>
              <w:rPr>
                <w:rFonts w:ascii="宋体" w:hAnsi="宋体" w:cs="宋体"/>
                <w:kern w:val="0"/>
                <w:sz w:val="32"/>
                <w:szCs w:val="32"/>
                <w:lang w:bidi="ar"/>
              </w:rPr>
              <w:t>项目类型：</w:t>
            </w:r>
          </w:p>
        </w:tc>
        <w:tc>
          <w:tcPr>
            <w:tcW w:w="5220" w:type="dxa"/>
            <w:vAlign w:val="center"/>
          </w:tcPr>
          <w:p w14:paraId="36E4A57E">
            <w:pPr>
              <w:widowControl/>
              <w:jc w:val="left"/>
              <w:rPr>
                <w:sz w:val="32"/>
                <w:szCs w:val="32"/>
              </w:rPr>
            </w:pPr>
            <w:r>
              <w:rPr>
                <w:rFonts w:ascii="宋体" w:hAnsi="宋体" w:cs="宋体"/>
                <w:kern w:val="0"/>
                <w:sz w:val="32"/>
                <w:szCs w:val="32"/>
                <w:lang w:bidi="ar"/>
              </w:rPr>
              <w:t>货物类</w:t>
            </w:r>
          </w:p>
        </w:tc>
      </w:tr>
      <w:tr w14:paraId="00169320">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350581C9">
            <w:pPr>
              <w:widowControl/>
              <w:jc w:val="right"/>
              <w:rPr>
                <w:sz w:val="32"/>
                <w:szCs w:val="32"/>
              </w:rPr>
            </w:pPr>
            <w:r>
              <w:rPr>
                <w:rFonts w:ascii="宋体" w:hAnsi="宋体" w:cs="宋体"/>
                <w:kern w:val="0"/>
                <w:sz w:val="32"/>
                <w:szCs w:val="32"/>
                <w:lang w:bidi="ar"/>
              </w:rPr>
              <w:t>采购方式：</w:t>
            </w:r>
          </w:p>
        </w:tc>
        <w:tc>
          <w:tcPr>
            <w:tcW w:w="5220" w:type="dxa"/>
            <w:vAlign w:val="center"/>
          </w:tcPr>
          <w:p w14:paraId="4C2742DF">
            <w:pPr>
              <w:widowControl/>
              <w:jc w:val="left"/>
              <w:rPr>
                <w:sz w:val="32"/>
                <w:szCs w:val="32"/>
              </w:rPr>
            </w:pPr>
            <w:r>
              <w:rPr>
                <w:rFonts w:ascii="宋体" w:hAnsi="宋体" w:cs="宋体"/>
                <w:kern w:val="0"/>
                <w:sz w:val="32"/>
                <w:szCs w:val="32"/>
                <w:lang w:bidi="ar"/>
              </w:rPr>
              <w:t>公开招标</w:t>
            </w:r>
          </w:p>
        </w:tc>
      </w:tr>
      <w:tr w14:paraId="278ECC35">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5EF2D170">
            <w:pPr>
              <w:widowControl/>
              <w:jc w:val="right"/>
              <w:rPr>
                <w:sz w:val="32"/>
                <w:szCs w:val="32"/>
              </w:rPr>
            </w:pPr>
            <w:r>
              <w:rPr>
                <w:rFonts w:ascii="宋体" w:hAnsi="宋体" w:cs="宋体"/>
                <w:kern w:val="0"/>
                <w:sz w:val="32"/>
                <w:szCs w:val="32"/>
                <w:lang w:bidi="ar"/>
              </w:rPr>
              <w:t>货币类型：</w:t>
            </w:r>
          </w:p>
        </w:tc>
        <w:tc>
          <w:tcPr>
            <w:tcW w:w="5220" w:type="dxa"/>
            <w:vAlign w:val="center"/>
          </w:tcPr>
          <w:p w14:paraId="64A09A4E">
            <w:pPr>
              <w:widowControl/>
              <w:jc w:val="left"/>
              <w:rPr>
                <w:sz w:val="32"/>
                <w:szCs w:val="32"/>
              </w:rPr>
            </w:pPr>
            <w:r>
              <w:rPr>
                <w:rFonts w:ascii="宋体" w:hAnsi="宋体" w:cs="宋体"/>
                <w:kern w:val="0"/>
                <w:sz w:val="32"/>
                <w:szCs w:val="32"/>
                <w:lang w:bidi="ar"/>
              </w:rPr>
              <w:t>人民币</w:t>
            </w:r>
          </w:p>
        </w:tc>
      </w:tr>
      <w:bookmarkEnd w:id="0"/>
    </w:tbl>
    <w:p w14:paraId="72F31162">
      <w:pPr>
        <w:widowControl/>
        <w:jc w:val="left"/>
        <w:rPr>
          <w:rFonts w:hint="eastAsia" w:ascii="黑体" w:hAnsi="宋体" w:eastAsia="黑体" w:cs="黑体"/>
          <w:kern w:val="0"/>
          <w:sz w:val="40"/>
          <w:szCs w:val="40"/>
        </w:rPr>
      </w:pPr>
      <w:r>
        <w:rPr>
          <w:rFonts w:ascii="黑体" w:hAnsi="宋体" w:eastAsia="黑体" w:cs="黑体"/>
          <w:sz w:val="40"/>
          <w:szCs w:val="40"/>
        </w:rPr>
        <w:br w:type="page"/>
      </w:r>
    </w:p>
    <w:p w14:paraId="2B49B840">
      <w:pPr>
        <w:pStyle w:val="38"/>
        <w:widowControl/>
        <w:jc w:val="center"/>
        <w:outlineLvl w:val="1"/>
        <w:rPr>
          <w:rFonts w:hint="eastAsia" w:ascii="黑体" w:hAnsi="宋体" w:eastAsia="黑体" w:cs="黑体"/>
          <w:sz w:val="40"/>
          <w:szCs w:val="40"/>
        </w:rPr>
      </w:pPr>
      <w:r>
        <w:rPr>
          <w:rFonts w:hint="eastAsia" w:ascii="黑体" w:hAnsi="宋体" w:eastAsia="黑体" w:cs="黑体"/>
          <w:sz w:val="40"/>
          <w:szCs w:val="40"/>
        </w:rPr>
        <w:t>资格性审查表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31AD70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2FC9D98">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2E80F48">
            <w:pPr>
              <w:widowControl/>
              <w:jc w:val="center"/>
              <w:rPr>
                <w:szCs w:val="21"/>
              </w:rPr>
            </w:pPr>
            <w:r>
              <w:rPr>
                <w:rFonts w:ascii="宋体" w:hAnsi="宋体" w:cs="宋体"/>
                <w:kern w:val="0"/>
                <w:szCs w:val="21"/>
                <w:lang w:bidi="ar"/>
              </w:rPr>
              <w:t>内容</w:t>
            </w:r>
          </w:p>
        </w:tc>
      </w:tr>
      <w:tr w14:paraId="0038EB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73536A9">
            <w:pPr>
              <w:widowControl/>
              <w:jc w:val="center"/>
              <w:textAlignment w:val="top"/>
              <w:rPr>
                <w:szCs w:val="21"/>
              </w:rPr>
            </w:pPr>
            <w:r>
              <w:rPr>
                <w:rFonts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tcPr>
          <w:p w14:paraId="52D298B0">
            <w:pPr>
              <w:widowControl/>
              <w:jc w:val="left"/>
              <w:textAlignment w:val="top"/>
              <w:rPr>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081AD048">
      <w:pPr>
        <w:pStyle w:val="38"/>
        <w:widowControl/>
        <w:spacing w:before="280" w:beforeAutospacing="0"/>
        <w:jc w:val="center"/>
        <w:outlineLvl w:val="1"/>
        <w:rPr>
          <w:rFonts w:hint="eastAsia" w:ascii="黑体" w:hAnsi="宋体" w:eastAsia="黑体" w:cs="黑体"/>
          <w:sz w:val="40"/>
          <w:szCs w:val="40"/>
        </w:rPr>
      </w:pPr>
      <w:r>
        <w:rPr>
          <w:rFonts w:hint="eastAsia" w:ascii="黑体" w:hAnsi="宋体" w:eastAsia="黑体" w:cs="黑体"/>
          <w:sz w:val="40"/>
          <w:szCs w:val="40"/>
        </w:rPr>
        <w:t>符合性审查表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02396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F5E2EB8">
            <w:pPr>
              <w:widowControl/>
              <w:jc w:val="center"/>
              <w:rPr>
                <w:rFonts w:hint="eastAsia" w:ascii="宋体" w:hAnsi="宋体" w:cs="宋体"/>
                <w:szCs w:val="21"/>
              </w:rPr>
            </w:pPr>
            <w:r>
              <w:rPr>
                <w:rFonts w:hint="eastAsia"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E014D4A">
            <w:pPr>
              <w:widowControl/>
              <w:jc w:val="center"/>
              <w:rPr>
                <w:rFonts w:hint="eastAsia" w:ascii="宋体" w:hAnsi="宋体" w:cs="宋体"/>
                <w:szCs w:val="21"/>
              </w:rPr>
            </w:pPr>
            <w:r>
              <w:rPr>
                <w:rFonts w:hint="eastAsia" w:ascii="宋体" w:hAnsi="宋体" w:cs="宋体"/>
                <w:kern w:val="0"/>
                <w:szCs w:val="21"/>
                <w:lang w:bidi="ar"/>
              </w:rPr>
              <w:t>内容</w:t>
            </w:r>
          </w:p>
        </w:tc>
      </w:tr>
      <w:tr w14:paraId="0F504D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E5988CF">
            <w:pPr>
              <w:widowControl/>
              <w:jc w:val="center"/>
              <w:textAlignment w:val="top"/>
              <w:rPr>
                <w:rFonts w:hint="eastAsia" w:ascii="宋体" w:hAnsi="宋体" w:cs="宋体"/>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tcPr>
          <w:p w14:paraId="3A3BD722">
            <w:pPr>
              <w:widowControl/>
              <w:jc w:val="left"/>
              <w:textAlignment w:val="top"/>
              <w:rPr>
                <w:rFonts w:hint="eastAsia" w:ascii="宋体" w:hAnsi="宋体" w:cs="宋体"/>
                <w:szCs w:val="21"/>
              </w:rPr>
            </w:pPr>
            <w:r>
              <w:rPr>
                <w:rFonts w:hint="eastAsia" w:ascii="宋体" w:hAnsi="宋体" w:cs="宋体"/>
                <w:szCs w:val="21"/>
              </w:rPr>
              <w:t>不得将一个包的内容拆开投标；</w:t>
            </w:r>
          </w:p>
        </w:tc>
      </w:tr>
      <w:tr w14:paraId="24FBDD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164D58D3">
            <w:pPr>
              <w:widowControl/>
              <w:jc w:val="center"/>
              <w:textAlignment w:val="top"/>
              <w:rPr>
                <w:rFonts w:hint="eastAsia" w:ascii="宋体" w:hAnsi="宋体" w:cs="宋体"/>
                <w:szCs w:val="21"/>
              </w:rPr>
            </w:pPr>
            <w:r>
              <w:rPr>
                <w:rFonts w:hint="eastAsia" w:ascii="宋体" w:hAnsi="宋体" w:cs="宋体"/>
                <w:kern w:val="0"/>
                <w:szCs w:val="21"/>
                <w:lang w:bidi="ar"/>
              </w:rPr>
              <w:t>2</w:t>
            </w:r>
          </w:p>
        </w:tc>
        <w:tc>
          <w:tcPr>
            <w:tcW w:w="8284" w:type="dxa"/>
            <w:tcBorders>
              <w:top w:val="single" w:color="000000" w:sz="8" w:space="0"/>
              <w:left w:val="single" w:color="000000" w:sz="8" w:space="0"/>
              <w:bottom w:val="single" w:color="000000" w:sz="8" w:space="0"/>
              <w:right w:val="single" w:color="000000" w:sz="8" w:space="0"/>
            </w:tcBorders>
          </w:tcPr>
          <w:p w14:paraId="0100FCA5">
            <w:pPr>
              <w:widowControl/>
              <w:jc w:val="left"/>
              <w:textAlignment w:val="top"/>
              <w:rPr>
                <w:rFonts w:hint="eastAsia" w:ascii="宋体" w:hAnsi="宋体" w:cs="宋体"/>
                <w:szCs w:val="21"/>
              </w:rPr>
            </w:pPr>
            <w:r>
              <w:rPr>
                <w:rFonts w:hint="eastAsia" w:ascii="宋体" w:hAnsi="宋体" w:cs="宋体"/>
                <w:szCs w:val="21"/>
              </w:rPr>
              <w:t>对同一项目投标时，不得提供两套以上的投标方案（招标文件另有规定的除外）；</w:t>
            </w:r>
          </w:p>
        </w:tc>
      </w:tr>
      <w:tr w14:paraId="659B42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61D59DCC">
            <w:pPr>
              <w:widowControl/>
              <w:jc w:val="center"/>
              <w:textAlignment w:val="top"/>
              <w:rPr>
                <w:rFonts w:hint="eastAsia" w:ascii="宋体" w:hAnsi="宋体" w:cs="宋体"/>
                <w:szCs w:val="21"/>
              </w:rPr>
            </w:pPr>
            <w:r>
              <w:rPr>
                <w:rFonts w:hint="eastAsia" w:ascii="宋体" w:hAnsi="宋体" w:cs="宋体"/>
                <w:kern w:val="0"/>
                <w:szCs w:val="21"/>
                <w:lang w:bidi="ar"/>
              </w:rPr>
              <w:t>3</w:t>
            </w:r>
          </w:p>
        </w:tc>
        <w:tc>
          <w:tcPr>
            <w:tcW w:w="8284" w:type="dxa"/>
            <w:tcBorders>
              <w:top w:val="single" w:color="000000" w:sz="8" w:space="0"/>
              <w:left w:val="single" w:color="000000" w:sz="8" w:space="0"/>
              <w:bottom w:val="single" w:color="000000" w:sz="8" w:space="0"/>
              <w:right w:val="single" w:color="000000" w:sz="8" w:space="0"/>
            </w:tcBorders>
          </w:tcPr>
          <w:p w14:paraId="0D50E140">
            <w:pPr>
              <w:widowControl/>
              <w:jc w:val="left"/>
              <w:textAlignment w:val="top"/>
              <w:rPr>
                <w:rFonts w:hint="eastAsia" w:ascii="宋体" w:hAnsi="宋体" w:cs="宋体"/>
                <w:szCs w:val="21"/>
              </w:rPr>
            </w:pPr>
            <w:r>
              <w:rPr>
                <w:rFonts w:hint="eastAsia" w:ascii="宋体" w:hAnsi="宋体" w:cs="宋体"/>
                <w:szCs w:val="21"/>
              </w:rPr>
              <w:t>分项报价或投标总价不得高于</w:t>
            </w:r>
            <w:bookmarkStart w:id="1" w:name="_Hlk71832186"/>
            <w:r>
              <w:rPr>
                <w:rFonts w:hint="eastAsia" w:ascii="宋体" w:hAnsi="宋体" w:cs="宋体"/>
                <w:szCs w:val="21"/>
              </w:rPr>
              <w:t>相应预算金额（或设定的预算金额下的最高限价）</w:t>
            </w:r>
            <w:bookmarkEnd w:id="1"/>
            <w:r>
              <w:rPr>
                <w:rFonts w:hint="eastAsia" w:ascii="宋体" w:hAnsi="宋体" w:cs="宋体"/>
                <w:szCs w:val="21"/>
              </w:rPr>
              <w:t>；</w:t>
            </w:r>
          </w:p>
        </w:tc>
      </w:tr>
      <w:tr w14:paraId="68018E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2102019B">
            <w:pPr>
              <w:widowControl/>
              <w:jc w:val="center"/>
              <w:textAlignment w:val="top"/>
              <w:rPr>
                <w:rFonts w:hint="eastAsia" w:ascii="宋体" w:hAnsi="宋体" w:cs="宋体"/>
                <w:szCs w:val="21"/>
              </w:rPr>
            </w:pPr>
            <w:r>
              <w:rPr>
                <w:rFonts w:hint="eastAsia" w:ascii="宋体" w:hAnsi="宋体" w:cs="宋体"/>
                <w:kern w:val="0"/>
                <w:szCs w:val="21"/>
                <w:lang w:bidi="ar"/>
              </w:rPr>
              <w:t>4</w:t>
            </w:r>
          </w:p>
        </w:tc>
        <w:tc>
          <w:tcPr>
            <w:tcW w:w="8284" w:type="dxa"/>
            <w:tcBorders>
              <w:top w:val="single" w:color="000000" w:sz="8" w:space="0"/>
              <w:left w:val="single" w:color="000000" w:sz="8" w:space="0"/>
              <w:bottom w:val="single" w:color="000000" w:sz="8" w:space="0"/>
              <w:right w:val="single" w:color="000000" w:sz="8" w:space="0"/>
            </w:tcBorders>
          </w:tcPr>
          <w:p w14:paraId="31420B45">
            <w:pPr>
              <w:widowControl/>
              <w:jc w:val="left"/>
              <w:textAlignment w:val="top"/>
              <w:rPr>
                <w:rFonts w:hint="eastAsia" w:ascii="宋体" w:hAnsi="宋体" w:cs="宋体"/>
                <w:szCs w:val="21"/>
              </w:rPr>
            </w:pPr>
            <w:r>
              <w:rPr>
                <w:rFonts w:hint="eastAsia" w:ascii="宋体" w:hAnsi="宋体" w:cs="宋体"/>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2EC61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14BA68D3">
            <w:pPr>
              <w:widowControl/>
              <w:jc w:val="center"/>
              <w:textAlignment w:val="top"/>
              <w:rPr>
                <w:rFonts w:hint="eastAsia" w:ascii="宋体" w:hAnsi="宋体" w:cs="宋体"/>
                <w:szCs w:val="21"/>
              </w:rPr>
            </w:pPr>
            <w:r>
              <w:rPr>
                <w:rFonts w:hint="eastAsia" w:ascii="宋体" w:hAnsi="宋体" w:cs="宋体"/>
                <w:kern w:val="0"/>
                <w:szCs w:val="21"/>
                <w:lang w:bidi="ar"/>
              </w:rPr>
              <w:t>5</w:t>
            </w:r>
          </w:p>
        </w:tc>
        <w:tc>
          <w:tcPr>
            <w:tcW w:w="8284" w:type="dxa"/>
            <w:tcBorders>
              <w:top w:val="single" w:color="000000" w:sz="8" w:space="0"/>
              <w:left w:val="single" w:color="000000" w:sz="8" w:space="0"/>
              <w:bottom w:val="single" w:color="000000" w:sz="8" w:space="0"/>
              <w:right w:val="single" w:color="000000" w:sz="8" w:space="0"/>
            </w:tcBorders>
          </w:tcPr>
          <w:p w14:paraId="2307DEDC">
            <w:pPr>
              <w:widowControl/>
              <w:jc w:val="left"/>
              <w:textAlignment w:val="top"/>
              <w:rPr>
                <w:rFonts w:hint="eastAsia" w:ascii="宋体" w:hAnsi="宋体" w:cs="宋体"/>
                <w:szCs w:val="21"/>
              </w:rPr>
            </w:pPr>
            <w:r>
              <w:rPr>
                <w:rFonts w:hint="eastAsia" w:ascii="宋体" w:hAnsi="宋体" w:cs="宋体"/>
                <w:szCs w:val="21"/>
              </w:rPr>
              <w:t>未按招标文件所提供的样式填写《投标函》；未按招标文件所提供的《政府采购投标及履约承诺函》进行承诺；未按招标文件对投标文件组成的要求提供投标文件；</w:t>
            </w:r>
          </w:p>
        </w:tc>
      </w:tr>
      <w:tr w14:paraId="3D948F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3EDE69F9">
            <w:pPr>
              <w:widowControl/>
              <w:jc w:val="center"/>
              <w:textAlignment w:val="top"/>
              <w:rPr>
                <w:rFonts w:hint="eastAsia" w:ascii="宋体" w:hAnsi="宋体" w:cs="宋体"/>
                <w:szCs w:val="21"/>
              </w:rPr>
            </w:pPr>
            <w:r>
              <w:rPr>
                <w:rFonts w:hint="eastAsia" w:ascii="宋体" w:hAnsi="宋体" w:cs="宋体"/>
                <w:szCs w:val="21"/>
              </w:rPr>
              <w:t>6</w:t>
            </w:r>
          </w:p>
        </w:tc>
        <w:tc>
          <w:tcPr>
            <w:tcW w:w="8284" w:type="dxa"/>
            <w:tcBorders>
              <w:top w:val="single" w:color="000000" w:sz="8" w:space="0"/>
              <w:left w:val="single" w:color="000000" w:sz="8" w:space="0"/>
              <w:bottom w:val="single" w:color="000000" w:sz="8" w:space="0"/>
              <w:right w:val="single" w:color="000000" w:sz="8" w:space="0"/>
            </w:tcBorders>
          </w:tcPr>
          <w:p w14:paraId="6FF657CF">
            <w:pPr>
              <w:widowControl/>
              <w:jc w:val="left"/>
              <w:textAlignment w:val="top"/>
              <w:rPr>
                <w:rFonts w:hint="eastAsia" w:ascii="宋体" w:hAnsi="宋体" w:cs="宋体"/>
                <w:szCs w:val="21"/>
              </w:rPr>
            </w:pPr>
            <w:r>
              <w:rPr>
                <w:rFonts w:hint="eastAsia" w:ascii="宋体" w:hAnsi="宋体" w:cs="宋体"/>
                <w:szCs w:val="21"/>
              </w:rPr>
              <w:t>采购标的/所投产品/货物清单/报价等任意一类有缺漏项或响应不全，或者对招标文件规定的项目需求内容或者需求数量进行修改，评审委员会判定投标响应不满足采购需求；</w:t>
            </w:r>
          </w:p>
        </w:tc>
      </w:tr>
      <w:tr w14:paraId="699109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20A9A0C">
            <w:pPr>
              <w:widowControl/>
              <w:jc w:val="center"/>
              <w:textAlignment w:val="top"/>
              <w:rPr>
                <w:rFonts w:hint="eastAsia" w:ascii="宋体" w:hAnsi="宋体" w:cs="宋体"/>
                <w:szCs w:val="21"/>
              </w:rPr>
            </w:pPr>
            <w:r>
              <w:rPr>
                <w:rFonts w:hint="eastAsia" w:ascii="宋体" w:hAnsi="宋体" w:cs="宋体"/>
                <w:kern w:val="0"/>
                <w:szCs w:val="21"/>
                <w:lang w:bidi="ar"/>
              </w:rPr>
              <w:t>7</w:t>
            </w:r>
          </w:p>
        </w:tc>
        <w:tc>
          <w:tcPr>
            <w:tcW w:w="8284" w:type="dxa"/>
            <w:tcBorders>
              <w:top w:val="single" w:color="000000" w:sz="8" w:space="0"/>
              <w:left w:val="single" w:color="000000" w:sz="8" w:space="0"/>
              <w:bottom w:val="single" w:color="000000" w:sz="8" w:space="0"/>
              <w:right w:val="single" w:color="000000" w:sz="8" w:space="0"/>
            </w:tcBorders>
          </w:tcPr>
          <w:p w14:paraId="3060FE21">
            <w:pPr>
              <w:widowControl/>
              <w:jc w:val="left"/>
              <w:textAlignment w:val="top"/>
              <w:rPr>
                <w:rFonts w:hint="eastAsia" w:ascii="宋体" w:hAnsi="宋体" w:cs="宋体"/>
                <w:szCs w:val="21"/>
              </w:rPr>
            </w:pPr>
            <w:r>
              <w:rPr>
                <w:rFonts w:hint="eastAsia" w:ascii="宋体" w:hAnsi="宋体" w:cs="宋体"/>
                <w:szCs w:val="21"/>
              </w:rPr>
              <w:t>投标文件存在列放位置错误，导致属于信息公开情形的没有被公开；</w:t>
            </w:r>
          </w:p>
        </w:tc>
      </w:tr>
      <w:tr w14:paraId="62D912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8CC30AD">
            <w:pPr>
              <w:widowControl/>
              <w:jc w:val="center"/>
              <w:textAlignment w:val="top"/>
              <w:rPr>
                <w:rFonts w:hint="eastAsia" w:ascii="宋体" w:hAnsi="宋体" w:cs="宋体"/>
                <w:szCs w:val="21"/>
              </w:rPr>
            </w:pPr>
            <w:r>
              <w:rPr>
                <w:rFonts w:hint="eastAsia" w:ascii="宋体" w:hAnsi="宋体" w:cs="宋体"/>
                <w:kern w:val="0"/>
                <w:szCs w:val="21"/>
                <w:lang w:bidi="ar"/>
              </w:rPr>
              <w:t>8</w:t>
            </w:r>
          </w:p>
        </w:tc>
        <w:tc>
          <w:tcPr>
            <w:tcW w:w="8284" w:type="dxa"/>
            <w:tcBorders>
              <w:top w:val="single" w:color="000000" w:sz="8" w:space="0"/>
              <w:left w:val="single" w:color="000000" w:sz="8" w:space="0"/>
              <w:bottom w:val="single" w:color="000000" w:sz="8" w:space="0"/>
              <w:right w:val="single" w:color="000000" w:sz="8" w:space="0"/>
            </w:tcBorders>
          </w:tcPr>
          <w:p w14:paraId="2FE1CDA3">
            <w:pPr>
              <w:widowControl/>
              <w:jc w:val="left"/>
              <w:textAlignment w:val="top"/>
              <w:rPr>
                <w:rFonts w:hint="eastAsia" w:ascii="宋体" w:hAnsi="宋体" w:cs="宋体"/>
                <w:szCs w:val="21"/>
              </w:rPr>
            </w:pPr>
            <w:r>
              <w:rPr>
                <w:rFonts w:hint="eastAsia" w:ascii="宋体" w:hAnsi="宋体" w:cs="宋体"/>
                <w:szCs w:val="21"/>
              </w:rPr>
              <w:t>投标文件电子文档不得带病毒；</w:t>
            </w:r>
          </w:p>
        </w:tc>
      </w:tr>
      <w:tr w14:paraId="7EDA47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086DE0E">
            <w:pPr>
              <w:widowControl/>
              <w:jc w:val="center"/>
              <w:textAlignment w:val="top"/>
              <w:rPr>
                <w:rFonts w:hint="eastAsia" w:ascii="宋体" w:hAnsi="宋体" w:cs="宋体"/>
                <w:szCs w:val="21"/>
              </w:rPr>
            </w:pPr>
            <w:r>
              <w:rPr>
                <w:rFonts w:hint="eastAsia" w:ascii="宋体" w:hAnsi="宋体" w:cs="宋体"/>
                <w:kern w:val="0"/>
                <w:szCs w:val="21"/>
                <w:lang w:bidi="ar"/>
              </w:rPr>
              <w:t>9</w:t>
            </w:r>
          </w:p>
        </w:tc>
        <w:tc>
          <w:tcPr>
            <w:tcW w:w="8284" w:type="dxa"/>
            <w:tcBorders>
              <w:top w:val="single" w:color="000000" w:sz="8" w:space="0"/>
              <w:left w:val="single" w:color="000000" w:sz="8" w:space="0"/>
              <w:bottom w:val="single" w:color="000000" w:sz="8" w:space="0"/>
              <w:right w:val="single" w:color="000000" w:sz="8" w:space="0"/>
            </w:tcBorders>
          </w:tcPr>
          <w:p w14:paraId="2F13E284">
            <w:pPr>
              <w:widowControl/>
              <w:jc w:val="left"/>
              <w:textAlignment w:val="top"/>
              <w:rPr>
                <w:rFonts w:hint="eastAsia" w:ascii="宋体" w:hAnsi="宋体" w:cs="宋体"/>
                <w:szCs w:val="21"/>
              </w:rPr>
            </w:pPr>
            <w:r>
              <w:rPr>
                <w:rFonts w:hint="eastAsia" w:ascii="宋体" w:hAnsi="宋体" w:cs="宋体"/>
                <w:szCs w:val="21"/>
              </w:rPr>
              <w:t>投标文件不得用不属于本公司的电子密钥或电子营业执照进行加密；</w:t>
            </w:r>
          </w:p>
        </w:tc>
      </w:tr>
      <w:tr w14:paraId="2FB767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20ADFC3B">
            <w:pPr>
              <w:widowControl/>
              <w:jc w:val="center"/>
              <w:textAlignment w:val="top"/>
              <w:rPr>
                <w:rFonts w:hint="eastAsia" w:ascii="宋体" w:hAnsi="宋体" w:cs="宋体"/>
                <w:szCs w:val="21"/>
              </w:rPr>
            </w:pPr>
            <w:r>
              <w:rPr>
                <w:rFonts w:hint="eastAsia" w:ascii="宋体" w:hAnsi="宋体" w:cs="宋体"/>
                <w:szCs w:val="21"/>
              </w:rPr>
              <w:t>10</w:t>
            </w:r>
          </w:p>
        </w:tc>
        <w:tc>
          <w:tcPr>
            <w:tcW w:w="8284" w:type="dxa"/>
            <w:tcBorders>
              <w:top w:val="single" w:color="000000" w:sz="8" w:space="0"/>
              <w:left w:val="single" w:color="000000" w:sz="8" w:space="0"/>
              <w:bottom w:val="single" w:color="000000" w:sz="8" w:space="0"/>
              <w:right w:val="single" w:color="000000" w:sz="8" w:space="0"/>
            </w:tcBorders>
          </w:tcPr>
          <w:p w14:paraId="58273A12">
            <w:pPr>
              <w:widowControl/>
              <w:jc w:val="left"/>
              <w:textAlignment w:val="top"/>
              <w:rPr>
                <w:rFonts w:hint="eastAsia" w:ascii="宋体" w:hAnsi="宋体" w:cs="宋体"/>
                <w:szCs w:val="21"/>
              </w:rPr>
            </w:pPr>
            <w:r>
              <w:rPr>
                <w:rFonts w:hint="eastAsia" w:ascii="宋体" w:hAnsi="宋体" w:cs="宋体"/>
                <w:szCs w:val="21"/>
              </w:rPr>
              <w:t>不得与其他投标供应商投标文件“文件制作机器码”一致；</w:t>
            </w:r>
          </w:p>
        </w:tc>
      </w:tr>
      <w:tr w14:paraId="564794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484AE8E3">
            <w:pPr>
              <w:widowControl/>
              <w:jc w:val="center"/>
              <w:textAlignment w:val="top"/>
              <w:rPr>
                <w:rFonts w:hint="eastAsia" w:ascii="宋体" w:hAnsi="宋体" w:cs="宋体"/>
                <w:szCs w:val="21"/>
              </w:rPr>
            </w:pPr>
            <w:r>
              <w:rPr>
                <w:rFonts w:hint="eastAsia" w:ascii="宋体" w:hAnsi="宋体" w:cs="宋体"/>
                <w:szCs w:val="21"/>
              </w:rPr>
              <w:t>11</w:t>
            </w:r>
          </w:p>
        </w:tc>
        <w:tc>
          <w:tcPr>
            <w:tcW w:w="8284" w:type="dxa"/>
            <w:tcBorders>
              <w:top w:val="single" w:color="000000" w:sz="8" w:space="0"/>
              <w:left w:val="single" w:color="000000" w:sz="8" w:space="0"/>
              <w:bottom w:val="single" w:color="000000" w:sz="8" w:space="0"/>
              <w:right w:val="single" w:color="000000" w:sz="8" w:space="0"/>
            </w:tcBorders>
          </w:tcPr>
          <w:p w14:paraId="735FB680">
            <w:pPr>
              <w:widowControl/>
              <w:jc w:val="left"/>
              <w:textAlignment w:val="top"/>
              <w:rPr>
                <w:rFonts w:hint="eastAsia" w:ascii="宋体" w:hAnsi="宋体" w:cs="宋体"/>
                <w:szCs w:val="21"/>
              </w:rPr>
            </w:pPr>
            <w:r>
              <w:rPr>
                <w:rFonts w:hint="eastAsia" w:ascii="宋体" w:hAnsi="宋体" w:cs="宋体"/>
                <w:szCs w:val="21"/>
              </w:rPr>
              <w:t>不得与其他投标供应商投标文件“文件创建标识码”一致；</w:t>
            </w:r>
          </w:p>
        </w:tc>
      </w:tr>
      <w:tr w14:paraId="32F505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04BC5F21">
            <w:pPr>
              <w:widowControl/>
              <w:jc w:val="center"/>
              <w:textAlignment w:val="top"/>
              <w:rPr>
                <w:rFonts w:hint="eastAsia" w:ascii="宋体" w:hAnsi="宋体" w:cs="宋体"/>
                <w:szCs w:val="21"/>
              </w:rPr>
            </w:pPr>
            <w:r>
              <w:rPr>
                <w:rFonts w:hint="eastAsia" w:ascii="宋体" w:hAnsi="宋体" w:cs="宋体"/>
                <w:szCs w:val="21"/>
              </w:rPr>
              <w:t>12</w:t>
            </w:r>
          </w:p>
        </w:tc>
        <w:tc>
          <w:tcPr>
            <w:tcW w:w="8284" w:type="dxa"/>
            <w:tcBorders>
              <w:top w:val="single" w:color="000000" w:sz="8" w:space="0"/>
              <w:left w:val="single" w:color="000000" w:sz="8" w:space="0"/>
              <w:bottom w:val="single" w:color="000000" w:sz="8" w:space="0"/>
              <w:right w:val="single" w:color="000000" w:sz="8" w:space="0"/>
            </w:tcBorders>
          </w:tcPr>
          <w:p w14:paraId="4DAD9AD9">
            <w:pPr>
              <w:widowControl/>
              <w:jc w:val="left"/>
              <w:textAlignment w:val="top"/>
              <w:rPr>
                <w:rFonts w:hint="eastAsia" w:ascii="宋体" w:hAnsi="宋体" w:cs="宋体"/>
                <w:szCs w:val="21"/>
              </w:rPr>
            </w:pPr>
            <w:r>
              <w:rPr>
                <w:rFonts w:hint="eastAsia" w:ascii="宋体" w:hAnsi="宋体" w:cs="宋体"/>
                <w:szCs w:val="21"/>
              </w:rPr>
              <w:t>投标供应商不得选用《关于在政府采购活动中对有关美国企业采取相关措施的通知》列明的46家美国企业（不包括在华美资企业）生产的产品参与投标；</w:t>
            </w:r>
          </w:p>
        </w:tc>
      </w:tr>
      <w:tr w14:paraId="29C3BC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3094C137">
            <w:pPr>
              <w:widowControl/>
              <w:jc w:val="center"/>
              <w:textAlignment w:val="top"/>
              <w:rPr>
                <w:rFonts w:hint="eastAsia" w:ascii="宋体" w:hAnsi="宋体" w:cs="宋体"/>
                <w:szCs w:val="21"/>
              </w:rPr>
            </w:pPr>
            <w:r>
              <w:rPr>
                <w:rFonts w:hint="eastAsia" w:ascii="宋体" w:hAnsi="宋体" w:cs="宋体"/>
                <w:kern w:val="0"/>
                <w:szCs w:val="21"/>
                <w:lang w:bidi="ar"/>
              </w:rPr>
              <w:t>13</w:t>
            </w:r>
          </w:p>
        </w:tc>
        <w:tc>
          <w:tcPr>
            <w:tcW w:w="8284" w:type="dxa"/>
            <w:tcBorders>
              <w:top w:val="single" w:color="000000" w:sz="8" w:space="0"/>
              <w:left w:val="single" w:color="000000" w:sz="8" w:space="0"/>
              <w:bottom w:val="single" w:color="000000" w:sz="8" w:space="0"/>
              <w:right w:val="single" w:color="000000" w:sz="8" w:space="0"/>
            </w:tcBorders>
          </w:tcPr>
          <w:p w14:paraId="6E851B56">
            <w:pPr>
              <w:widowControl/>
              <w:jc w:val="left"/>
              <w:textAlignment w:val="top"/>
              <w:rPr>
                <w:rFonts w:hint="eastAsia" w:ascii="宋体" w:hAnsi="宋体" w:cs="宋体"/>
                <w:szCs w:val="21"/>
              </w:rPr>
            </w:pPr>
            <w:r>
              <w:rPr>
                <w:rFonts w:hint="eastAsia" w:ascii="宋体" w:hAnsi="宋体" w:cs="宋体"/>
                <w:szCs w:val="21"/>
              </w:rPr>
              <w:t>法律、法规、规章、规范性文件规定的其他情形。</w:t>
            </w:r>
          </w:p>
        </w:tc>
      </w:tr>
    </w:tbl>
    <w:p w14:paraId="756E1FDB">
      <w:pPr>
        <w:pStyle w:val="38"/>
        <w:widowControl/>
        <w:jc w:val="center"/>
        <w:outlineLvl w:val="1"/>
        <w:rPr>
          <w:rFonts w:hint="eastAsia" w:ascii="黑体" w:hAnsi="宋体" w:eastAsia="黑体" w:cs="黑体"/>
          <w:sz w:val="40"/>
          <w:szCs w:val="40"/>
        </w:rPr>
      </w:pPr>
      <w:r>
        <w:rPr>
          <w:rFonts w:hint="eastAsia" w:ascii="黑体" w:hAnsi="宋体" w:eastAsia="黑体" w:cs="黑体"/>
          <w:sz w:val="40"/>
          <w:szCs w:val="40"/>
        </w:rPr>
        <w:t>异常低价审查表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5120B2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BF20F9E">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5BFA84F">
            <w:pPr>
              <w:widowControl/>
              <w:jc w:val="center"/>
              <w:rPr>
                <w:szCs w:val="21"/>
              </w:rPr>
            </w:pPr>
            <w:r>
              <w:rPr>
                <w:rFonts w:ascii="宋体" w:hAnsi="宋体" w:cs="宋体"/>
                <w:kern w:val="0"/>
                <w:szCs w:val="21"/>
                <w:lang w:bidi="ar"/>
              </w:rPr>
              <w:t>内容</w:t>
            </w:r>
          </w:p>
        </w:tc>
      </w:tr>
      <w:tr w14:paraId="0D28CB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5A30580F">
            <w:pPr>
              <w:widowControl/>
              <w:jc w:val="center"/>
              <w:textAlignment w:val="top"/>
              <w:rPr>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tcPr>
          <w:p w14:paraId="18F61F76">
            <w:pPr>
              <w:widowControl/>
              <w:textAlignment w:val="top"/>
              <w:rPr>
                <w:rFonts w:hint="eastAsia" w:ascii="宋体" w:hAnsi="宋体" w:cs="宋体"/>
                <w:szCs w:val="21"/>
              </w:rPr>
            </w:pPr>
            <w:r>
              <w:rPr>
                <w:rFonts w:hint="eastAsia" w:ascii="宋体" w:hAnsi="宋体" w:cs="宋体"/>
                <w:szCs w:val="21"/>
              </w:rPr>
              <w:t>评审中出现下列情形之一的，评审委员会应当启动异常低价投标（响应）审查程序：</w:t>
            </w:r>
          </w:p>
          <w:p w14:paraId="4A444E58">
            <w:pPr>
              <w:widowControl/>
              <w:textAlignment w:val="top"/>
              <w:rPr>
                <w:rFonts w:hint="eastAsia" w:ascii="宋体" w:hAnsi="宋体" w:cs="宋体"/>
                <w:szCs w:val="21"/>
              </w:rPr>
            </w:pPr>
            <w:r>
              <w:rPr>
                <w:rFonts w:hint="eastAsia" w:ascii="宋体" w:hAnsi="宋体" w:cs="宋体"/>
                <w:szCs w:val="21"/>
              </w:rPr>
              <w:t>1.投标（响应）报价低于全部通过符合性审查供应商投标（响应）报价平均值65%的，即投标（响应）报价＜全部通过符合性审查供应商投标（响应）报价平均值×65%；</w:t>
            </w:r>
          </w:p>
          <w:p w14:paraId="78640C03">
            <w:pPr>
              <w:widowControl/>
              <w:textAlignment w:val="top"/>
              <w:rPr>
                <w:rFonts w:hint="eastAsia" w:ascii="宋体" w:hAnsi="宋体" w:cs="宋体"/>
                <w:szCs w:val="21"/>
              </w:rPr>
            </w:pPr>
            <w:r>
              <w:rPr>
                <w:rFonts w:hint="eastAsia" w:ascii="宋体" w:hAnsi="宋体" w:cs="宋体"/>
                <w:szCs w:val="21"/>
              </w:rPr>
              <w:t>2.投标（响应）报价低于通过符合性审查的次低报价供应商投标（响应）报价65%的，即投标（响应）报价＜通过符合性审查的次低报价供应商投标（响应）报价×65%；</w:t>
            </w:r>
          </w:p>
          <w:p w14:paraId="3CCB578B">
            <w:pPr>
              <w:widowControl/>
              <w:textAlignment w:val="top"/>
              <w:rPr>
                <w:rFonts w:hint="eastAsia" w:ascii="宋体" w:hAnsi="宋体" w:cs="宋体"/>
                <w:szCs w:val="21"/>
              </w:rPr>
            </w:pPr>
            <w:r>
              <w:rPr>
                <w:rFonts w:hint="eastAsia" w:ascii="宋体" w:hAnsi="宋体" w:cs="宋体"/>
                <w:szCs w:val="21"/>
              </w:rPr>
              <w:t>3.投标（响应）报价低于采购项目最高限价65%的，即投标（响应）报价＜采购项目最高限价×65%；</w:t>
            </w:r>
          </w:p>
          <w:p w14:paraId="57072E8C">
            <w:pPr>
              <w:widowControl/>
              <w:textAlignment w:val="top"/>
              <w:rPr>
                <w:rFonts w:hint="eastAsia" w:ascii="宋体" w:hAnsi="宋体" w:cs="宋体"/>
                <w:szCs w:val="21"/>
              </w:rPr>
            </w:pPr>
            <w:r>
              <w:rPr>
                <w:rFonts w:hint="eastAsia" w:ascii="宋体" w:hAnsi="宋体" w:cs="宋体"/>
                <w:szCs w:val="21"/>
              </w:rPr>
              <w:t>4.评审委员会基于专业判断，认为供应商报价过低，有可能影响产品质量或者不能诚信履约的其他情形。</w:t>
            </w:r>
          </w:p>
          <w:p w14:paraId="2D69BF1B">
            <w:pPr>
              <w:widowControl/>
              <w:textAlignment w:val="top"/>
              <w:rPr>
                <w:rFonts w:hint="eastAsia"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6AE56A">
            <w:pPr>
              <w:widowControl/>
              <w:textAlignment w:val="top"/>
              <w:rPr>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投标（响应）供应商不能提供书面说明、证明材料，或者提供的书面说明、证明材料不能证明其报价合理性的，评审委员会应当将其作为无效投标（响应）处理。</w:t>
            </w:r>
          </w:p>
        </w:tc>
      </w:tr>
    </w:tbl>
    <w:p w14:paraId="7F82EFDB">
      <w:pPr>
        <w:pStyle w:val="2"/>
      </w:pPr>
      <w:r>
        <w:br w:type="page"/>
      </w:r>
    </w:p>
    <w:p w14:paraId="2800E36E">
      <w:pPr>
        <w:pStyle w:val="38"/>
        <w:widowControl/>
        <w:jc w:val="center"/>
        <w:outlineLvl w:val="1"/>
        <w:rPr>
          <w:rFonts w:hint="eastAsia" w:ascii="黑体" w:hAnsi="宋体" w:eastAsia="黑体" w:cs="黑体"/>
          <w:sz w:val="40"/>
          <w:szCs w:val="40"/>
        </w:rPr>
      </w:pPr>
      <w:r>
        <w:rPr>
          <w:rFonts w:hint="eastAsia" w:ascii="黑体" w:hAnsi="宋体" w:eastAsia="黑体" w:cs="黑体"/>
          <w:sz w:val="40"/>
          <w:szCs w:val="40"/>
        </w:rPr>
        <w:t>评标信息</w:t>
      </w: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81"/>
        <w:gridCol w:w="709"/>
        <w:gridCol w:w="1371"/>
        <w:gridCol w:w="1134"/>
        <w:gridCol w:w="5120"/>
        <w:gridCol w:w="63"/>
      </w:tblGrid>
      <w:tr w14:paraId="74FE86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vAlign w:val="center"/>
          </w:tcPr>
          <w:p w14:paraId="32ABB126">
            <w:pPr>
              <w:jc w:val="left"/>
              <w:rPr>
                <w:rFonts w:hint="eastAsia" w:asciiTheme="minorEastAsia" w:hAnsiTheme="minorEastAsia" w:eastAsiaTheme="minorEastAsia"/>
                <w:b/>
                <w:bCs/>
                <w:sz w:val="24"/>
              </w:rPr>
            </w:pPr>
            <w:r>
              <w:rPr>
                <w:rFonts w:asciiTheme="minorEastAsia" w:hAnsiTheme="minorEastAsia" w:eastAsiaTheme="minorEastAsia"/>
                <w:b/>
                <w:bCs/>
              </w:rPr>
              <w:t>评标方法：综合评分法</w:t>
            </w:r>
          </w:p>
        </w:tc>
      </w:tr>
      <w:tr w14:paraId="7421ED0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vAlign w:val="center"/>
          </w:tcPr>
          <w:p w14:paraId="3C6B423F">
            <w:pPr>
              <w:spacing w:before="240" w:beforeLines="100"/>
              <w:ind w:firstLine="420"/>
              <w:rPr>
                <w:rFonts w:hint="eastAsia" w:asciiTheme="minorEastAsia" w:hAnsiTheme="minorEastAsia" w:eastAsiaTheme="minorEastAsia"/>
                <w:szCs w:val="21"/>
              </w:rPr>
            </w:pPr>
            <w:r>
              <w:rPr>
                <w:rFonts w:asciiTheme="minorEastAsia" w:hAnsiTheme="minorEastAsia" w:eastAsiaTheme="minorEastAsia"/>
                <w:szCs w:val="21"/>
              </w:rPr>
              <w:t>综合评分法，</w:t>
            </w:r>
            <w:r>
              <w:rPr>
                <w:rFonts w:hint="eastAsia" w:asciiTheme="minorEastAsia" w:hAnsiTheme="minorEastAsia" w:eastAsiaTheme="minorEastAsia"/>
                <w:szCs w:val="21"/>
              </w:rPr>
              <w:t>是指投标文件满足招标文件全部实质性要求，且按照评审因素的量化指标评审得分排名前列</w:t>
            </w:r>
            <w:r>
              <w:rPr>
                <w:rFonts w:asciiTheme="minorEastAsia" w:hAnsiTheme="minorEastAsia" w:eastAsiaTheme="minorEastAsia"/>
                <w:szCs w:val="21"/>
              </w:rPr>
              <w:t>的投标人为中标候选人的评标方法。</w:t>
            </w:r>
            <w:r>
              <w:rPr>
                <w:rFonts w:hint="eastAsia" w:asciiTheme="minorEastAsia" w:hAnsiTheme="minorEastAsia" w:eastAsiaTheme="minorEastAsia"/>
                <w:szCs w:val="21"/>
              </w:rPr>
              <w:t>（适用于中标候选人为2家或以上的情形）</w:t>
            </w:r>
          </w:p>
          <w:p w14:paraId="51250CB9">
            <w:pPr>
              <w:spacing w:before="240" w:beforeLines="100"/>
              <w:ind w:firstLine="420"/>
              <w:rPr>
                <w:rFonts w:hint="eastAsia" w:asciiTheme="minorEastAsia" w:hAnsiTheme="minorEastAsia" w:eastAsiaTheme="minorEastAsia"/>
                <w:szCs w:val="21"/>
              </w:rPr>
            </w:pPr>
            <w:r>
              <w:rPr>
                <w:rFonts w:asciiTheme="minorEastAsia" w:hAnsiTheme="minorEastAsia" w:eastAsiaTheme="minorEastAsia"/>
                <w:szCs w:val="21"/>
              </w:rPr>
              <w:t>价格分计算方法：</w:t>
            </w:r>
          </w:p>
          <w:p w14:paraId="2937C51A">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 xml:space="preserve">采用低价优先法计算，即满足招标文件要求且投标价格最低的投标报价为评标基准价，其价格分为满分。其他投标人的价格分统一按照下列公式计算： </w:t>
            </w:r>
          </w:p>
          <w:p w14:paraId="1C1BA716">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 xml:space="preserve">投标报价得分=(评标基准价／投标报价)×100 </w:t>
            </w:r>
          </w:p>
          <w:p w14:paraId="18D0B5F6">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 xml:space="preserve">评标总得分＝F1×A1＋F2×A2＋……＋Fn×An </w:t>
            </w:r>
          </w:p>
          <w:p w14:paraId="1FEEC827">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 xml:space="preserve">F1、F2……Fn分别为各项评审因素的得分； </w:t>
            </w:r>
          </w:p>
          <w:p w14:paraId="536A707F">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 xml:space="preserve">A1、A2、……An 分别为各项评审因素所占的权重(A1＋A2＋……＋An＝1)。 </w:t>
            </w:r>
          </w:p>
          <w:p w14:paraId="61AF20E8">
            <w:pPr>
              <w:pStyle w:val="38"/>
              <w:widowControl/>
              <w:spacing w:beforeAutospacing="0" w:afterAutospacing="0"/>
              <w:ind w:left="420"/>
              <w:rPr>
                <w:rFonts w:hint="eastAsia" w:asciiTheme="minorEastAsia" w:hAnsiTheme="minorEastAsia" w:eastAsiaTheme="minorEastAsia"/>
                <w:kern w:val="2"/>
                <w:sz w:val="21"/>
                <w:szCs w:val="21"/>
              </w:rPr>
            </w:pPr>
            <w:r>
              <w:rPr>
                <w:rFonts w:asciiTheme="minorEastAsia" w:hAnsiTheme="minorEastAsia" w:eastAsiaTheme="minorEastAsia"/>
                <w:kern w:val="2"/>
                <w:sz w:val="21"/>
                <w:szCs w:val="21"/>
              </w:rPr>
              <w:t>评标过程中，不得去掉报价中的最高报价和最低报价。</w:t>
            </w:r>
          </w:p>
          <w:p w14:paraId="03DC7AD0">
            <w:pPr>
              <w:pStyle w:val="38"/>
              <w:widowControl/>
              <w:spacing w:beforeAutospacing="0" w:afterAutospacing="0"/>
              <w:ind w:left="420"/>
              <w:rPr>
                <w:rFonts w:hint="eastAsia" w:asciiTheme="minorEastAsia" w:hAnsiTheme="minorEastAsia" w:eastAsiaTheme="minorEastAsia"/>
              </w:rPr>
            </w:pPr>
            <w:r>
              <w:rPr>
                <w:rFonts w:hint="eastAsia" w:asciiTheme="minorEastAsia" w:hAnsiTheme="minorEastAsia" w:eastAsiaTheme="minorEastAsia"/>
                <w:kern w:val="2"/>
                <w:sz w:val="21"/>
                <w:szCs w:val="21"/>
              </w:rPr>
              <w:t>因落实政府采购政策进行价格调整的，以调整后的价格计算评标基准价和投标报价。</w:t>
            </w:r>
          </w:p>
        </w:tc>
      </w:tr>
      <w:tr w14:paraId="577B21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744"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4774FB94">
            <w:pPr>
              <w:widowControl/>
              <w:jc w:val="center"/>
              <w:rPr>
                <w:rFonts w:hint="eastAsia" w:asciiTheme="minorEastAsia" w:hAnsiTheme="minorEastAsia" w:eastAsiaTheme="minorEastAsia"/>
                <w:b/>
                <w:bCs/>
                <w:szCs w:val="21"/>
              </w:rPr>
            </w:pPr>
            <w:bookmarkStart w:id="2" w:name="_Hlk72360569"/>
            <w:r>
              <w:rPr>
                <w:rFonts w:cs="宋体" w:asciiTheme="minorEastAsia" w:hAnsiTheme="minorEastAsia" w:eastAsiaTheme="minorEastAsia"/>
                <w:b/>
                <w:bCs/>
                <w:kern w:val="0"/>
                <w:szCs w:val="21"/>
                <w:lang w:bidi="ar"/>
              </w:rPr>
              <w:t>序号</w:t>
            </w:r>
          </w:p>
        </w:tc>
        <w:tc>
          <w:tcPr>
            <w:tcW w:w="3214"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477405DF">
            <w:pPr>
              <w:widowControl/>
              <w:jc w:val="center"/>
              <w:rPr>
                <w:rFonts w:hint="eastAsia" w:asciiTheme="minorEastAsia" w:hAnsiTheme="minorEastAsia" w:eastAsiaTheme="minorEastAsia"/>
                <w:b/>
                <w:bCs/>
                <w:szCs w:val="21"/>
              </w:rPr>
            </w:pPr>
            <w:r>
              <w:rPr>
                <w:rFonts w:cs="宋体" w:asciiTheme="minorEastAsia" w:hAnsiTheme="minorEastAsia" w:eastAsiaTheme="minorEastAsia"/>
                <w:b/>
                <w:bCs/>
                <w:kern w:val="0"/>
                <w:szCs w:val="21"/>
                <w:lang w:bidi="ar"/>
              </w:rPr>
              <w:t>评分项</w:t>
            </w:r>
          </w:p>
        </w:tc>
        <w:tc>
          <w:tcPr>
            <w:tcW w:w="512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515BC71">
            <w:pPr>
              <w:widowControl/>
              <w:jc w:val="center"/>
              <w:rPr>
                <w:rFonts w:hint="eastAsia" w:asciiTheme="minorEastAsia" w:hAnsiTheme="minorEastAsia" w:eastAsiaTheme="minorEastAsia"/>
                <w:b/>
                <w:bCs/>
                <w:szCs w:val="21"/>
              </w:rPr>
            </w:pPr>
            <w:r>
              <w:rPr>
                <w:rFonts w:cs="宋体" w:asciiTheme="minorEastAsia" w:hAnsiTheme="minorEastAsia" w:eastAsiaTheme="minorEastAsia"/>
                <w:b/>
                <w:bCs/>
                <w:kern w:val="0"/>
                <w:szCs w:val="21"/>
                <w:lang w:bidi="ar"/>
              </w:rPr>
              <w:t>权重(%)</w:t>
            </w:r>
          </w:p>
        </w:tc>
      </w:tr>
      <w:tr w14:paraId="779532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restart"/>
            <w:tcBorders>
              <w:top w:val="single" w:color="000000" w:sz="8" w:space="0"/>
              <w:left w:val="single" w:color="000000" w:sz="8" w:space="0"/>
              <w:bottom w:val="single" w:color="000000" w:sz="8" w:space="0"/>
              <w:right w:val="single" w:color="000000" w:sz="8" w:space="0"/>
            </w:tcBorders>
            <w:vAlign w:val="center"/>
          </w:tcPr>
          <w:p w14:paraId="077DAEAD">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1</w:t>
            </w:r>
          </w:p>
        </w:tc>
        <w:tc>
          <w:tcPr>
            <w:tcW w:w="3214" w:type="dxa"/>
            <w:gridSpan w:val="3"/>
            <w:tcBorders>
              <w:top w:val="single" w:color="000000" w:sz="8" w:space="0"/>
              <w:left w:val="single" w:color="000000" w:sz="8" w:space="0"/>
              <w:bottom w:val="single" w:color="000000" w:sz="8" w:space="0"/>
              <w:right w:val="single" w:color="000000" w:sz="8" w:space="0"/>
            </w:tcBorders>
            <w:vAlign w:val="center"/>
          </w:tcPr>
          <w:p w14:paraId="08C0CBCA">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价格</w:t>
            </w:r>
          </w:p>
        </w:tc>
        <w:tc>
          <w:tcPr>
            <w:tcW w:w="5120" w:type="dxa"/>
            <w:tcBorders>
              <w:top w:val="single" w:color="000000" w:sz="8" w:space="0"/>
              <w:left w:val="single" w:color="000000" w:sz="8" w:space="0"/>
              <w:bottom w:val="single" w:color="000000" w:sz="8" w:space="0"/>
              <w:right w:val="single" w:color="000000" w:sz="8" w:space="0"/>
            </w:tcBorders>
            <w:vAlign w:val="center"/>
          </w:tcPr>
          <w:p w14:paraId="5ABA1444">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30</w:t>
            </w:r>
          </w:p>
        </w:tc>
      </w:tr>
      <w:tr w14:paraId="5861B1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06606251">
            <w:pPr>
              <w:jc w:val="center"/>
              <w:rPr>
                <w:rFonts w:hint="eastAsia" w:asciiTheme="minorEastAsia" w:hAnsiTheme="minorEastAsia" w:eastAsiaTheme="minorEastAsia"/>
                <w:b/>
                <w:bCs/>
                <w:color w:val="0000FF"/>
                <w:szCs w:val="21"/>
              </w:rPr>
            </w:pPr>
          </w:p>
        </w:tc>
        <w:tc>
          <w:tcPr>
            <w:tcW w:w="8334" w:type="dxa"/>
            <w:gridSpan w:val="4"/>
            <w:tcBorders>
              <w:top w:val="single" w:color="000000" w:sz="8" w:space="0"/>
              <w:left w:val="single" w:color="000000" w:sz="8" w:space="0"/>
              <w:bottom w:val="single" w:color="000000" w:sz="8" w:space="0"/>
              <w:right w:val="single" w:color="000000" w:sz="8" w:space="0"/>
            </w:tcBorders>
          </w:tcPr>
          <w:p w14:paraId="6152B1A6">
            <w:pPr>
              <w:rPr>
                <w:rFonts w:hint="eastAsia" w:asciiTheme="minorEastAsia" w:hAnsiTheme="minorEastAsia" w:eastAsiaTheme="minorEastAsia"/>
                <w:szCs w:val="21"/>
              </w:rPr>
            </w:pPr>
          </w:p>
        </w:tc>
      </w:tr>
      <w:tr w14:paraId="143CE6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restart"/>
            <w:tcBorders>
              <w:top w:val="single" w:color="000000" w:sz="8" w:space="0"/>
              <w:left w:val="single" w:color="000000" w:sz="8" w:space="0"/>
              <w:right w:val="single" w:color="000000" w:sz="8" w:space="0"/>
            </w:tcBorders>
            <w:vAlign w:val="center"/>
          </w:tcPr>
          <w:p w14:paraId="69FE1AE1">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2</w:t>
            </w:r>
          </w:p>
        </w:tc>
        <w:tc>
          <w:tcPr>
            <w:tcW w:w="3214" w:type="dxa"/>
            <w:gridSpan w:val="3"/>
            <w:tcBorders>
              <w:top w:val="single" w:color="000000" w:sz="8" w:space="0"/>
              <w:left w:val="single" w:color="000000" w:sz="8" w:space="0"/>
              <w:bottom w:val="single" w:color="000000" w:sz="8" w:space="0"/>
              <w:right w:val="single" w:color="000000" w:sz="8" w:space="0"/>
            </w:tcBorders>
            <w:vAlign w:val="center"/>
          </w:tcPr>
          <w:p w14:paraId="1D33BD76">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技术部分</w:t>
            </w:r>
          </w:p>
        </w:tc>
        <w:tc>
          <w:tcPr>
            <w:tcW w:w="5120" w:type="dxa"/>
            <w:tcBorders>
              <w:top w:val="single" w:color="000000" w:sz="8" w:space="0"/>
              <w:left w:val="single" w:color="000000" w:sz="8" w:space="0"/>
              <w:bottom w:val="single" w:color="000000" w:sz="8" w:space="0"/>
              <w:right w:val="single" w:color="000000" w:sz="8" w:space="0"/>
            </w:tcBorders>
            <w:vAlign w:val="center"/>
          </w:tcPr>
          <w:p w14:paraId="58A6C32C">
            <w:pPr>
              <w:widowControl/>
              <w:jc w:val="center"/>
              <w:rPr>
                <w:rFonts w:hint="eastAsia" w:asciiTheme="minorEastAsia" w:hAnsiTheme="minorEastAsia" w:eastAsiaTheme="minorEastAsia"/>
                <w:b/>
                <w:bCs/>
                <w:color w:val="0000FF"/>
                <w:szCs w:val="21"/>
              </w:rPr>
            </w:pPr>
            <w:r>
              <w:rPr>
                <w:rFonts w:hint="eastAsia" w:asciiTheme="minorEastAsia" w:hAnsiTheme="minorEastAsia" w:eastAsiaTheme="minorEastAsia"/>
                <w:b/>
                <w:bCs/>
                <w:color w:val="0000FF"/>
                <w:szCs w:val="21"/>
              </w:rPr>
              <w:t>46</w:t>
            </w:r>
          </w:p>
        </w:tc>
      </w:tr>
      <w:tr w14:paraId="21BF22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145B7A86">
            <w:pPr>
              <w:jc w:val="center"/>
              <w:rPr>
                <w:rFonts w:hint="eastAsia" w:asciiTheme="minorEastAsia" w:hAnsiTheme="minorEastAsia" w:eastAsiaTheme="minorEastAsia"/>
                <w:b/>
                <w:bCs/>
                <w:color w:val="0000FF"/>
                <w:szCs w:val="21"/>
              </w:rPr>
            </w:pPr>
          </w:p>
        </w:tc>
        <w:tc>
          <w:tcPr>
            <w:tcW w:w="8334" w:type="dxa"/>
            <w:gridSpan w:val="4"/>
            <w:tcBorders>
              <w:top w:val="single" w:color="000000" w:sz="8" w:space="0"/>
              <w:left w:val="single" w:color="000000" w:sz="8" w:space="0"/>
              <w:bottom w:val="single" w:color="000000" w:sz="8" w:space="0"/>
              <w:right w:val="single" w:color="000000" w:sz="8" w:space="0"/>
            </w:tcBorders>
          </w:tcPr>
          <w:p w14:paraId="49F2BB74">
            <w:pPr>
              <w:rPr>
                <w:rFonts w:hint="eastAsia" w:asciiTheme="minorEastAsia" w:hAnsiTheme="minorEastAsia" w:eastAsiaTheme="minorEastAsia"/>
                <w:szCs w:val="21"/>
              </w:rPr>
            </w:pPr>
          </w:p>
        </w:tc>
      </w:tr>
      <w:tr w14:paraId="58F267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shd w:val="clear" w:color="auto" w:fill="E6EFFA"/>
            <w:vAlign w:val="center"/>
          </w:tcPr>
          <w:p w14:paraId="187390AE">
            <w:pPr>
              <w:jc w:val="center"/>
              <w:rPr>
                <w:rFonts w:hint="eastAsia" w:asciiTheme="minorEastAsia" w:hAnsiTheme="minorEastAsia" w:eastAsiaTheme="minorEastAsia"/>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644BF24">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序号</w:t>
            </w:r>
          </w:p>
        </w:tc>
        <w:tc>
          <w:tcPr>
            <w:tcW w:w="137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2D9256E">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评分因素</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6057C85">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权重(%)</w:t>
            </w:r>
          </w:p>
        </w:tc>
        <w:tc>
          <w:tcPr>
            <w:tcW w:w="512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F4D902A">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评分准则</w:t>
            </w:r>
          </w:p>
        </w:tc>
      </w:tr>
      <w:tr w14:paraId="7FE9A3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5FF95D02">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5253E365">
            <w:pPr>
              <w:widowControl/>
              <w:jc w:val="center"/>
              <w:textAlignment w:val="top"/>
              <w:rPr>
                <w:rFonts w:hint="eastAsia" w:asciiTheme="minorEastAsia" w:hAnsiTheme="minorEastAsia" w:eastAsiaTheme="minorEastAsia"/>
                <w:szCs w:val="21"/>
              </w:rPr>
            </w:pPr>
            <w:r>
              <w:rPr>
                <w:rFonts w:cs="宋体" w:asciiTheme="minorEastAsia" w:hAnsiTheme="minorEastAsia" w:eastAsiaTheme="minorEastAsia"/>
                <w:kern w:val="0"/>
                <w:szCs w:val="21"/>
                <w:lang w:bidi="ar"/>
              </w:rPr>
              <w:t>1</w:t>
            </w:r>
          </w:p>
        </w:tc>
        <w:tc>
          <w:tcPr>
            <w:tcW w:w="1371" w:type="dxa"/>
            <w:tcBorders>
              <w:top w:val="single" w:color="000000" w:sz="8" w:space="0"/>
              <w:left w:val="single" w:color="000000" w:sz="8" w:space="0"/>
              <w:bottom w:val="single" w:color="000000" w:sz="8" w:space="0"/>
              <w:right w:val="single" w:color="000000" w:sz="8" w:space="0"/>
            </w:tcBorders>
            <w:vAlign w:val="center"/>
          </w:tcPr>
          <w:p w14:paraId="2CC78B2E">
            <w:pPr>
              <w:widowControl/>
              <w:jc w:val="center"/>
              <w:textAlignment w:val="top"/>
              <w:rPr>
                <w:rFonts w:hint="eastAsia" w:asciiTheme="minorEastAsia" w:hAnsiTheme="minorEastAsia" w:eastAsiaTheme="minorEastAsia"/>
                <w:szCs w:val="21"/>
              </w:rPr>
            </w:pPr>
            <w:r>
              <w:rPr>
                <w:rFonts w:hint="eastAsia"/>
                <w:szCs w:val="21"/>
              </w:rPr>
              <w:t>人员</w:t>
            </w:r>
            <w:r>
              <w:rPr>
                <w:szCs w:val="21"/>
              </w:rPr>
              <w:t>保障</w:t>
            </w:r>
          </w:p>
        </w:tc>
        <w:tc>
          <w:tcPr>
            <w:tcW w:w="1134" w:type="dxa"/>
            <w:tcBorders>
              <w:top w:val="single" w:color="000000" w:sz="8" w:space="0"/>
              <w:left w:val="single" w:color="000000" w:sz="8" w:space="0"/>
              <w:bottom w:val="single" w:color="000000" w:sz="8" w:space="0"/>
              <w:right w:val="single" w:color="000000" w:sz="8" w:space="0"/>
            </w:tcBorders>
            <w:vAlign w:val="center"/>
          </w:tcPr>
          <w:p w14:paraId="450928CC">
            <w:pPr>
              <w:widowControl/>
              <w:jc w:val="center"/>
              <w:textAlignment w:val="top"/>
              <w:rPr>
                <w:rFonts w:hint="eastAsia" w:asciiTheme="minorEastAsia" w:hAnsiTheme="minorEastAsia" w:eastAsiaTheme="minorEastAsia"/>
                <w:szCs w:val="21"/>
              </w:rPr>
            </w:pPr>
            <w:r>
              <w:t>2</w:t>
            </w:r>
          </w:p>
        </w:tc>
        <w:tc>
          <w:tcPr>
            <w:tcW w:w="5120" w:type="dxa"/>
            <w:tcBorders>
              <w:top w:val="single" w:color="000000" w:sz="8" w:space="0"/>
              <w:left w:val="single" w:color="000000" w:sz="8" w:space="0"/>
              <w:bottom w:val="single" w:color="000000" w:sz="8" w:space="0"/>
              <w:right w:val="single" w:color="000000" w:sz="8" w:space="0"/>
            </w:tcBorders>
            <w:vAlign w:val="center"/>
          </w:tcPr>
          <w:p w14:paraId="3B213EBE">
            <w:pPr>
              <w:rPr>
                <w:rFonts w:hint="eastAsia" w:asciiTheme="minorEastAsia" w:hAnsiTheme="minorEastAsia" w:eastAsiaTheme="minorEastAsia"/>
                <w:szCs w:val="21"/>
              </w:rPr>
            </w:pPr>
            <w:r>
              <w:rPr>
                <w:rFonts w:hint="eastAsia" w:asciiTheme="minorEastAsia" w:hAnsiTheme="minorEastAsia" w:eastAsiaTheme="minorEastAsia"/>
                <w:szCs w:val="21"/>
              </w:rPr>
              <w:t>（一）评分内容：</w:t>
            </w:r>
          </w:p>
          <w:p w14:paraId="0570C65C">
            <w:pPr>
              <w:rPr>
                <w:rFonts w:hint="eastAsia"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szCs w:val="21"/>
                <w:lang w:val="en-US" w:eastAsia="zh-CN"/>
              </w:rPr>
              <w:t>.</w:t>
            </w:r>
            <w:r>
              <w:rPr>
                <w:rFonts w:hint="eastAsia" w:asciiTheme="minorEastAsia" w:hAnsiTheme="minorEastAsia" w:eastAsiaTheme="minorEastAsia"/>
                <w:szCs w:val="21"/>
              </w:rPr>
              <w:t>投标供应商中标后，拟投入的设计人员和项目管理人员名单（格式自拟）。上述人员需具备与项目需求高度匹配的专业资质、认证和优秀的技术和管理能力，在多个与本项目规模、复杂度和技术领域上有相似的成功项目经验。满分50分，每提供一人得10分。</w:t>
            </w:r>
          </w:p>
          <w:p w14:paraId="527667E6">
            <w:pPr>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lang w:val="en-US" w:eastAsia="zh-CN"/>
              </w:rPr>
              <w:t>.</w:t>
            </w:r>
            <w:r>
              <w:rPr>
                <w:rFonts w:hint="eastAsia" w:asciiTheme="minorEastAsia" w:hAnsiTheme="minorEastAsia" w:eastAsiaTheme="minorEastAsia"/>
                <w:szCs w:val="21"/>
              </w:rPr>
              <w:t>供应商为本项目服务的焊接人员、焊缝检测、质量检验人员名单。满分50分，每提供一人得5分。</w:t>
            </w:r>
          </w:p>
          <w:p w14:paraId="237CD067">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同一人员不得重复计分，按最高计分，满分100分。 </w:t>
            </w:r>
          </w:p>
          <w:p w14:paraId="0653BDD6">
            <w:pPr>
              <w:rPr>
                <w:rFonts w:hint="eastAsia" w:asciiTheme="minorEastAsia" w:hAnsiTheme="minorEastAsia" w:eastAsiaTheme="minorEastAsia"/>
                <w:szCs w:val="21"/>
              </w:rPr>
            </w:pPr>
            <w:r>
              <w:rPr>
                <w:rFonts w:hint="eastAsia" w:asciiTheme="minorEastAsia" w:hAnsiTheme="minorEastAsia" w:eastAsiaTheme="minorEastAsia"/>
                <w:szCs w:val="21"/>
              </w:rPr>
              <w:t>（二）评分依据：</w:t>
            </w:r>
          </w:p>
          <w:p w14:paraId="55A679FB">
            <w:pPr>
              <w:rPr>
                <w:rFonts w:hint="eastAsia" w:asciiTheme="minorEastAsia" w:hAnsiTheme="minorEastAsia" w:eastAsiaTheme="minorEastAsia"/>
                <w:szCs w:val="21"/>
              </w:rPr>
            </w:pPr>
            <w:r>
              <w:rPr>
                <w:rFonts w:hint="eastAsia" w:asciiTheme="minorEastAsia" w:hAnsiTheme="minorEastAsia" w:eastAsiaTheme="minorEastAsia"/>
                <w:szCs w:val="21"/>
              </w:rPr>
              <w:t>1.评分内容1，提供对人员名单（格式自拟）及对应的经验说明（格式自拟）</w:t>
            </w:r>
          </w:p>
          <w:p w14:paraId="6EA277B5">
            <w:pPr>
              <w:rPr>
                <w:rFonts w:hint="eastAsia" w:asciiTheme="minorEastAsia" w:hAnsiTheme="minorEastAsia" w:eastAsiaTheme="minorEastAsia"/>
                <w:szCs w:val="21"/>
              </w:rPr>
            </w:pPr>
            <w:r>
              <w:rPr>
                <w:rFonts w:hint="eastAsia" w:asciiTheme="minorEastAsia" w:hAnsiTheme="minorEastAsia" w:eastAsiaTheme="minorEastAsia"/>
                <w:szCs w:val="21"/>
              </w:rPr>
              <w:t>2.评分内容2，提供对应的人员名单（格式自拟）。</w:t>
            </w:r>
          </w:p>
          <w:p w14:paraId="2480E16E">
            <w:pPr>
              <w:widowControl/>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3.以上资料均要求提供扫描件。评分中出现无证明资料或专家无法凭所提供资料判断是否得分的情况，一律作不得分处理。</w:t>
            </w:r>
          </w:p>
        </w:tc>
      </w:tr>
      <w:tr w14:paraId="3DD577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78ED2017">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5695A6D5">
            <w:pPr>
              <w:widowControl/>
              <w:jc w:val="center"/>
              <w:textAlignment w:val="top"/>
              <w:rPr>
                <w:rFonts w:hint="eastAsia" w:cs="宋体" w:asciiTheme="minorEastAsia" w:hAnsiTheme="minorEastAsia" w:eastAsiaTheme="minorEastAsia"/>
                <w:kern w:val="0"/>
                <w:szCs w:val="21"/>
                <w:lang w:bidi="ar"/>
              </w:rPr>
            </w:pPr>
            <w:r>
              <w:rPr>
                <w:rFonts w:hint="eastAsia" w:cs="宋体" w:asciiTheme="minorEastAsia" w:hAnsiTheme="minorEastAsia" w:eastAsiaTheme="minorEastAsia"/>
                <w:kern w:val="0"/>
                <w:szCs w:val="21"/>
                <w:lang w:bidi="ar"/>
              </w:rPr>
              <w:t>2</w:t>
            </w:r>
          </w:p>
        </w:tc>
        <w:tc>
          <w:tcPr>
            <w:tcW w:w="1371" w:type="dxa"/>
            <w:tcBorders>
              <w:top w:val="single" w:color="000000" w:sz="8" w:space="0"/>
              <w:left w:val="single" w:color="000000" w:sz="8" w:space="0"/>
              <w:bottom w:val="single" w:color="000000" w:sz="8" w:space="0"/>
              <w:right w:val="single" w:color="000000" w:sz="8" w:space="0"/>
            </w:tcBorders>
            <w:vAlign w:val="center"/>
          </w:tcPr>
          <w:p w14:paraId="28D79C07">
            <w:pPr>
              <w:widowControl/>
              <w:jc w:val="center"/>
              <w:textAlignment w:val="top"/>
              <w:rPr>
                <w:rFonts w:hint="eastAsia" w:asciiTheme="minorEastAsia" w:hAnsiTheme="minorEastAsia" w:eastAsiaTheme="minorEastAsia"/>
                <w:szCs w:val="21"/>
              </w:rPr>
            </w:pPr>
            <w:r>
              <w:rPr>
                <w:rFonts w:hint="eastAsia"/>
                <w:szCs w:val="21"/>
              </w:rPr>
              <w:t>技术要求偏离情况</w:t>
            </w:r>
          </w:p>
        </w:tc>
        <w:tc>
          <w:tcPr>
            <w:tcW w:w="1134" w:type="dxa"/>
            <w:tcBorders>
              <w:top w:val="single" w:color="000000" w:sz="8" w:space="0"/>
              <w:left w:val="single" w:color="000000" w:sz="8" w:space="0"/>
              <w:bottom w:val="single" w:color="000000" w:sz="8" w:space="0"/>
              <w:right w:val="single" w:color="000000" w:sz="8" w:space="0"/>
            </w:tcBorders>
            <w:vAlign w:val="center"/>
          </w:tcPr>
          <w:p w14:paraId="0E03D710">
            <w:pPr>
              <w:widowControl/>
              <w:jc w:val="center"/>
              <w:textAlignment w:val="top"/>
              <w:rPr>
                <w:rFonts w:hint="eastAsia" w:asciiTheme="minorEastAsia" w:hAnsiTheme="minorEastAsia" w:eastAsiaTheme="minorEastAsia"/>
                <w:szCs w:val="21"/>
              </w:rPr>
            </w:pPr>
            <w:r>
              <w:rPr>
                <w:rFonts w:hint="eastAsia"/>
              </w:rPr>
              <w:t>25</w:t>
            </w:r>
          </w:p>
        </w:tc>
        <w:tc>
          <w:tcPr>
            <w:tcW w:w="5120" w:type="dxa"/>
            <w:tcBorders>
              <w:top w:val="single" w:color="000000" w:sz="8" w:space="0"/>
              <w:left w:val="single" w:color="000000" w:sz="8" w:space="0"/>
              <w:bottom w:val="single" w:color="000000" w:sz="8" w:space="0"/>
              <w:right w:val="single" w:color="000000" w:sz="8" w:space="0"/>
            </w:tcBorders>
            <w:vAlign w:val="center"/>
          </w:tcPr>
          <w:p w14:paraId="4CEFDBE8">
            <w:pPr>
              <w:widowControl/>
              <w:textAlignment w:val="top"/>
              <w:rPr>
                <w:rFonts w:hint="eastAsia" w:asciiTheme="minorEastAsia" w:hAnsiTheme="minorEastAsia" w:eastAsiaTheme="minorEastAsia"/>
                <w:szCs w:val="21"/>
              </w:rPr>
            </w:pPr>
            <w:r>
              <w:rPr>
                <w:rFonts w:hint="eastAsia" w:cs="宋体" w:asciiTheme="minorEastAsia" w:hAnsiTheme="minorEastAsia" w:eastAsiaTheme="minorEastAsia"/>
                <w:kern w:val="0"/>
                <w:szCs w:val="21"/>
              </w:rPr>
              <w:t>投标人应如实填写《技术要求偏离表》，评审委员会根据技术需求参数响应情况进行打分，各项技术参数指标及要求全部满足的得100分，所有标注“▲”的重要参数每项负偏离一扣</w:t>
            </w:r>
            <w:r>
              <w:rPr>
                <w:rFonts w:cs="宋体" w:asciiTheme="minorEastAsia" w:hAnsiTheme="minorEastAsia" w:eastAsiaTheme="minorEastAsia"/>
                <w:kern w:val="0"/>
                <w:szCs w:val="21"/>
              </w:rPr>
              <w:t>1.</w:t>
            </w:r>
            <w:r>
              <w:rPr>
                <w:rFonts w:hint="eastAsia" w:cs="宋体" w:asciiTheme="minorEastAsia" w:hAnsiTheme="minorEastAsia" w:eastAsiaTheme="minorEastAsia"/>
                <w:kern w:val="0"/>
                <w:szCs w:val="21"/>
              </w:rPr>
              <w:t>7分，一般参数每负偏离一条扣</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6分，扣完为止。</w:t>
            </w:r>
          </w:p>
        </w:tc>
      </w:tr>
      <w:tr w14:paraId="7980DB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53FA106A">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1110859A">
            <w:pPr>
              <w:widowControl/>
              <w:jc w:val="center"/>
              <w:textAlignment w:val="top"/>
              <w:rPr>
                <w:rFonts w:hint="eastAsia" w:cs="宋体" w:asciiTheme="minorEastAsia" w:hAnsiTheme="minorEastAsia" w:eastAsiaTheme="minorEastAsia"/>
                <w:kern w:val="0"/>
                <w:szCs w:val="21"/>
                <w:lang w:bidi="ar"/>
              </w:rPr>
            </w:pPr>
            <w:r>
              <w:rPr>
                <w:rFonts w:hint="eastAsia" w:cs="宋体" w:asciiTheme="minorEastAsia" w:hAnsiTheme="minorEastAsia" w:eastAsiaTheme="minorEastAsia"/>
                <w:kern w:val="0"/>
                <w:szCs w:val="21"/>
                <w:lang w:bidi="ar"/>
              </w:rPr>
              <w:t>3</w:t>
            </w:r>
          </w:p>
        </w:tc>
        <w:tc>
          <w:tcPr>
            <w:tcW w:w="1371" w:type="dxa"/>
            <w:tcBorders>
              <w:top w:val="single" w:color="000000" w:sz="8" w:space="0"/>
              <w:left w:val="single" w:color="000000" w:sz="8" w:space="0"/>
              <w:bottom w:val="single" w:color="000000" w:sz="8" w:space="0"/>
              <w:right w:val="single" w:color="000000" w:sz="8" w:space="0"/>
            </w:tcBorders>
            <w:vAlign w:val="center"/>
          </w:tcPr>
          <w:p w14:paraId="675B862A">
            <w:pPr>
              <w:widowControl/>
              <w:jc w:val="center"/>
              <w:textAlignment w:val="top"/>
              <w:rPr>
                <w:rFonts w:hint="eastAsia" w:asciiTheme="minorEastAsia" w:hAnsiTheme="minorEastAsia" w:eastAsiaTheme="minorEastAsia"/>
                <w:szCs w:val="21"/>
              </w:rPr>
            </w:pPr>
            <w:r>
              <w:rPr>
                <w:rFonts w:hint="eastAsia"/>
                <w:szCs w:val="21"/>
              </w:rPr>
              <w:t>制冷机设计方案</w:t>
            </w:r>
          </w:p>
        </w:tc>
        <w:tc>
          <w:tcPr>
            <w:tcW w:w="1134" w:type="dxa"/>
            <w:tcBorders>
              <w:top w:val="single" w:color="000000" w:sz="8" w:space="0"/>
              <w:left w:val="single" w:color="000000" w:sz="8" w:space="0"/>
              <w:bottom w:val="single" w:color="000000" w:sz="8" w:space="0"/>
              <w:right w:val="single" w:color="000000" w:sz="8" w:space="0"/>
            </w:tcBorders>
            <w:vAlign w:val="center"/>
          </w:tcPr>
          <w:p w14:paraId="522DE3B5">
            <w:pPr>
              <w:widowControl/>
              <w:jc w:val="center"/>
              <w:textAlignment w:val="top"/>
              <w:rPr>
                <w:rFonts w:hint="eastAsia" w:asciiTheme="minorEastAsia" w:hAnsiTheme="minorEastAsia" w:eastAsiaTheme="minorEastAsia"/>
                <w:szCs w:val="21"/>
              </w:rPr>
            </w:pPr>
            <w:r>
              <w:rPr>
                <w:rFonts w:hint="eastAsia"/>
              </w:rPr>
              <w:t>10</w:t>
            </w:r>
          </w:p>
        </w:tc>
        <w:tc>
          <w:tcPr>
            <w:tcW w:w="5120" w:type="dxa"/>
            <w:tcBorders>
              <w:top w:val="single" w:color="000000" w:sz="8" w:space="0"/>
              <w:left w:val="single" w:color="000000" w:sz="8" w:space="0"/>
              <w:bottom w:val="single" w:color="000000" w:sz="8" w:space="0"/>
              <w:right w:val="single" w:color="000000" w:sz="8" w:space="0"/>
            </w:tcBorders>
            <w:vAlign w:val="center"/>
          </w:tcPr>
          <w:p w14:paraId="15A677C6">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（一）评分内容：投标人提供制冷机设计方案，需包含制冷机流程介绍说明、制冷机运行模式说明、主要设备介绍。</w:t>
            </w:r>
          </w:p>
          <w:p w14:paraId="2E4DA2CC">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（二）评分依据：包含上述基础文件得50分。在此基础上，专家根据各供应商的具体响应内容按照以下量化评审因素进一步评审：</w:t>
            </w:r>
          </w:p>
          <w:p w14:paraId="736B4AF7">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优（得50分）：技术方案高度优化、完整，对本项目的关键难点（特别是严苛的温度控制和2K负压回路稳定性）理解深刻准确。所选设备采用专为极高可靠性设计的成熟专有技术（如气体轴承透平膨胀机和主动磁悬浮轴承冷压缩机）。对瞬态模式进行了深入阐述，控制系统详尽完整。</w:t>
            </w:r>
          </w:p>
          <w:p w14:paraId="7627E448">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良（得20分）：技术方案优化、较为完整，对本项目的关键难点（特别是严苛的温度控制和2K负压回路稳定性）理解较为准确。所选设备采用较为成熟的专有技术。对瞬态模式进行了阐述，控制系统相对完整。</w:t>
            </w:r>
          </w:p>
          <w:p w14:paraId="736D966A">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中（得10分）：技术方案合理性一般，采用通用低温设备。对关键难点（动态负载、亚大气压约束）理解不太准确或有所遗漏。采用的工艺和设备一般，未体现出2K运行的高效率。</w:t>
            </w:r>
          </w:p>
          <w:p w14:paraId="4996BEE2">
            <w:pPr>
              <w:widowControl/>
              <w:textAlignment w:val="top"/>
              <w:rPr>
                <w:rFonts w:hint="eastAsia" w:asciiTheme="minorEastAsia" w:hAnsiTheme="minorEastAsia" w:eastAsiaTheme="minorEastAsia"/>
                <w:szCs w:val="21"/>
              </w:rPr>
            </w:pPr>
            <w:r>
              <w:rPr>
                <w:rFonts w:hint="eastAsia" w:cs="宋体" w:asciiTheme="minorEastAsia" w:hAnsiTheme="minorEastAsia" w:eastAsiaTheme="minorEastAsia"/>
                <w:kern w:val="0"/>
                <w:szCs w:val="21"/>
              </w:rPr>
              <w:t>差（得0分）：其他情况、方案不完整或未涵盖所要求的具体低温温区等级。</w:t>
            </w:r>
          </w:p>
        </w:tc>
      </w:tr>
      <w:tr w14:paraId="2F5A16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45192918">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714A5947">
            <w:pPr>
              <w:widowControl/>
              <w:jc w:val="center"/>
              <w:textAlignment w:val="top"/>
              <w:rPr>
                <w:rFonts w:hint="eastAsia" w:cs="宋体" w:asciiTheme="minorEastAsia" w:hAnsiTheme="minorEastAsia" w:eastAsiaTheme="minorEastAsia"/>
                <w:kern w:val="0"/>
                <w:szCs w:val="21"/>
                <w:lang w:bidi="ar"/>
              </w:rPr>
            </w:pPr>
            <w:r>
              <w:rPr>
                <w:rFonts w:hint="eastAsia" w:cs="宋体" w:asciiTheme="minorEastAsia" w:hAnsiTheme="minorEastAsia" w:eastAsiaTheme="minorEastAsia"/>
                <w:kern w:val="0"/>
                <w:szCs w:val="21"/>
                <w:lang w:bidi="ar"/>
              </w:rPr>
              <w:t>4</w:t>
            </w:r>
          </w:p>
        </w:tc>
        <w:tc>
          <w:tcPr>
            <w:tcW w:w="1371" w:type="dxa"/>
            <w:tcBorders>
              <w:top w:val="single" w:color="000000" w:sz="8" w:space="0"/>
              <w:left w:val="single" w:color="000000" w:sz="8" w:space="0"/>
              <w:bottom w:val="single" w:color="000000" w:sz="8" w:space="0"/>
              <w:right w:val="single" w:color="000000" w:sz="8" w:space="0"/>
            </w:tcBorders>
            <w:vAlign w:val="center"/>
          </w:tcPr>
          <w:p w14:paraId="4C4FF7A5">
            <w:pPr>
              <w:widowControl/>
              <w:jc w:val="center"/>
              <w:textAlignment w:val="top"/>
              <w:rPr>
                <w:rFonts w:hint="eastAsia" w:asciiTheme="minorEastAsia" w:hAnsiTheme="minorEastAsia" w:eastAsiaTheme="minorEastAsia"/>
                <w:szCs w:val="21"/>
              </w:rPr>
            </w:pPr>
            <w:r>
              <w:rPr>
                <w:rFonts w:hint="eastAsia"/>
                <w:szCs w:val="21"/>
              </w:rPr>
              <w:t>进度计划</w:t>
            </w:r>
          </w:p>
        </w:tc>
        <w:tc>
          <w:tcPr>
            <w:tcW w:w="1134" w:type="dxa"/>
            <w:tcBorders>
              <w:top w:val="single" w:color="000000" w:sz="8" w:space="0"/>
              <w:left w:val="single" w:color="000000" w:sz="8" w:space="0"/>
              <w:bottom w:val="single" w:color="000000" w:sz="8" w:space="0"/>
              <w:right w:val="single" w:color="000000" w:sz="8" w:space="0"/>
            </w:tcBorders>
            <w:vAlign w:val="center"/>
          </w:tcPr>
          <w:p w14:paraId="32DC62B6">
            <w:pPr>
              <w:widowControl/>
              <w:jc w:val="center"/>
              <w:textAlignment w:val="top"/>
              <w:rPr>
                <w:rFonts w:hint="eastAsia" w:asciiTheme="minorEastAsia" w:hAnsiTheme="minorEastAsia" w:eastAsiaTheme="minorEastAsia"/>
                <w:szCs w:val="21"/>
              </w:rPr>
            </w:pPr>
            <w:r>
              <w:rPr>
                <w:rFonts w:hint="eastAsia"/>
              </w:rPr>
              <w:t>1</w:t>
            </w:r>
          </w:p>
        </w:tc>
        <w:tc>
          <w:tcPr>
            <w:tcW w:w="5120" w:type="dxa"/>
            <w:tcBorders>
              <w:top w:val="single" w:color="000000" w:sz="8" w:space="0"/>
              <w:left w:val="single" w:color="000000" w:sz="8" w:space="0"/>
              <w:bottom w:val="single" w:color="000000" w:sz="8" w:space="0"/>
              <w:right w:val="single" w:color="000000" w:sz="8" w:space="0"/>
            </w:tcBorders>
            <w:vAlign w:val="center"/>
          </w:tcPr>
          <w:p w14:paraId="6D25B6D2">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（一）评分内容：投标人应提供全周期的预估设计和制造进度计划（包括设计、采购、制造、试验、预调试和现场调试）及进度计划过程中存在的风险和拟定的可行性保障措施。</w:t>
            </w:r>
          </w:p>
          <w:p w14:paraId="5AE391F5">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（二）评分依据：以上文件，提供得50分，在此基础上，专家根据各供应商的具体响应内容按照量化的评审因素指标进一步评审。</w:t>
            </w:r>
          </w:p>
          <w:p w14:paraId="67634961">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计划编制合理、完整，对风险点把控准确，拟定保障措施齐全且可行性强，评价为优，加50分；</w:t>
            </w:r>
          </w:p>
          <w:p w14:paraId="67030539">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计划编制较合理、较完整，对风险点把控较准确，拟定保障措施较齐全且可行性较强，评价为良，加20分；</w:t>
            </w:r>
          </w:p>
          <w:p w14:paraId="79EC46A0">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计划编制一般，对风险点把控一般，拟定保障措施一般，评价为中，加10分；</w:t>
            </w:r>
          </w:p>
          <w:p w14:paraId="4BC3BDED">
            <w:pPr>
              <w:widowControl/>
              <w:rPr>
                <w:rFonts w:hint="eastAsia" w:asciiTheme="minorEastAsia" w:hAnsiTheme="minorEastAsia" w:eastAsiaTheme="minorEastAsia"/>
                <w:szCs w:val="21"/>
              </w:rPr>
            </w:pPr>
            <w:r>
              <w:rPr>
                <w:rFonts w:hint="eastAsia" w:cs="宋体" w:asciiTheme="minorEastAsia" w:hAnsiTheme="minorEastAsia" w:eastAsiaTheme="minorEastAsia"/>
                <w:kern w:val="0"/>
                <w:szCs w:val="21"/>
              </w:rPr>
              <w:t>其他情况评价为差，不加分。</w:t>
            </w:r>
          </w:p>
        </w:tc>
      </w:tr>
      <w:tr w14:paraId="26E50F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right w:val="single" w:color="000000" w:sz="8" w:space="0"/>
            </w:tcBorders>
            <w:vAlign w:val="center"/>
          </w:tcPr>
          <w:p w14:paraId="77E74772">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7EACD4C6">
            <w:pPr>
              <w:widowControl/>
              <w:jc w:val="center"/>
              <w:textAlignment w:val="top"/>
              <w:rPr>
                <w:rFonts w:hint="eastAsia" w:cs="宋体" w:asciiTheme="minorEastAsia" w:hAnsiTheme="minorEastAsia" w:eastAsiaTheme="minorEastAsia"/>
                <w:kern w:val="0"/>
                <w:szCs w:val="21"/>
                <w:lang w:bidi="ar"/>
              </w:rPr>
            </w:pPr>
            <w:r>
              <w:rPr>
                <w:rFonts w:hint="eastAsia" w:cs="宋体" w:asciiTheme="minorEastAsia" w:hAnsiTheme="minorEastAsia" w:eastAsiaTheme="minorEastAsia"/>
                <w:kern w:val="0"/>
                <w:szCs w:val="21"/>
                <w:lang w:bidi="ar"/>
              </w:rPr>
              <w:t>5</w:t>
            </w:r>
          </w:p>
        </w:tc>
        <w:tc>
          <w:tcPr>
            <w:tcW w:w="1371" w:type="dxa"/>
            <w:tcBorders>
              <w:top w:val="single" w:color="000000" w:sz="8" w:space="0"/>
              <w:left w:val="single" w:color="000000" w:sz="8" w:space="0"/>
              <w:bottom w:val="single" w:color="000000" w:sz="8" w:space="0"/>
              <w:right w:val="single" w:color="000000" w:sz="8" w:space="0"/>
            </w:tcBorders>
            <w:vAlign w:val="center"/>
          </w:tcPr>
          <w:p w14:paraId="476BB394">
            <w:pPr>
              <w:widowControl/>
              <w:jc w:val="center"/>
              <w:textAlignment w:val="top"/>
              <w:rPr>
                <w:rFonts w:hint="eastAsia" w:asciiTheme="minorEastAsia" w:hAnsiTheme="minorEastAsia" w:eastAsiaTheme="minorEastAsia"/>
                <w:szCs w:val="21"/>
              </w:rPr>
            </w:pPr>
            <w:r>
              <w:rPr>
                <w:rFonts w:ascii="宋体" w:hAnsi="宋体"/>
                <w:szCs w:val="21"/>
              </w:rPr>
              <w:t>制造过程关键工艺质量控制</w:t>
            </w:r>
            <w:r>
              <w:rPr>
                <w:rFonts w:hint="eastAsia" w:ascii="宋体" w:hAnsi="宋体"/>
                <w:szCs w:val="21"/>
              </w:rPr>
              <w:t>规程性</w:t>
            </w:r>
          </w:p>
        </w:tc>
        <w:tc>
          <w:tcPr>
            <w:tcW w:w="1134" w:type="dxa"/>
            <w:tcBorders>
              <w:top w:val="single" w:color="000000" w:sz="8" w:space="0"/>
              <w:left w:val="single" w:color="000000" w:sz="8" w:space="0"/>
              <w:bottom w:val="single" w:color="000000" w:sz="8" w:space="0"/>
              <w:right w:val="single" w:color="000000" w:sz="8" w:space="0"/>
            </w:tcBorders>
            <w:vAlign w:val="center"/>
          </w:tcPr>
          <w:p w14:paraId="09D51427">
            <w:pPr>
              <w:widowControl/>
              <w:jc w:val="center"/>
              <w:textAlignment w:val="top"/>
              <w:rPr>
                <w:rFonts w:hint="eastAsia" w:asciiTheme="minorEastAsia" w:hAnsiTheme="minorEastAsia" w:eastAsiaTheme="minorEastAsia"/>
                <w:szCs w:val="21"/>
              </w:rPr>
            </w:pPr>
            <w:r>
              <w:rPr>
                <w:rFonts w:hint="eastAsia"/>
              </w:rPr>
              <w:t>4</w:t>
            </w:r>
          </w:p>
        </w:tc>
        <w:tc>
          <w:tcPr>
            <w:tcW w:w="5120" w:type="dxa"/>
            <w:tcBorders>
              <w:top w:val="single" w:color="000000" w:sz="8" w:space="0"/>
              <w:left w:val="single" w:color="000000" w:sz="8" w:space="0"/>
              <w:bottom w:val="single" w:color="000000" w:sz="8" w:space="0"/>
              <w:right w:val="single" w:color="000000" w:sz="8" w:space="0"/>
            </w:tcBorders>
            <w:vAlign w:val="center"/>
          </w:tcPr>
          <w:p w14:paraId="38ADD9B4">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（一）评分内容：投标人应提供专门针对2 K低温系统严苛可靠性要求量身定制的全面质量保证与制造控制计划。文件应包含：</w:t>
            </w:r>
          </w:p>
          <w:p w14:paraId="00859AF9">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 核心设备的详细检验与试验计划（ITP）框架，列明压力测试、气密性测试和总体氦检漏的严格顺序。</w:t>
            </w:r>
          </w:p>
          <w:p w14:paraId="2096E800">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 详细的质量组织计划，包括QA/QC团队架构，并详细说明分配到关键2K集成任务（如高灵敏度氦质谱检漏、洁净室管道集成、多层绝热MLI包扎）的操作人员的资质要求、培训及从业年限。</w:t>
            </w:r>
          </w:p>
          <w:p w14:paraId="584EFB8D">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(3)氦质谱检漏方法。</w:t>
            </w:r>
          </w:p>
          <w:p w14:paraId="6915345D">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 低温系统集成规范（含管道清洁标准和MLI多层绝热包扎质量控制）。</w:t>
            </w:r>
          </w:p>
          <w:p w14:paraId="6443B356">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 原材料、阀门/管道采购及焊缝质量检验的追溯性与质量保证计划（QAP）。</w:t>
            </w:r>
          </w:p>
          <w:p w14:paraId="1443D6D1">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（二）评分依据：上述5项主要方法框架，每提供1项得10分，基础分合计50分。在此基础上，专家根据各供应商的具体响应内容，按照以下量化评审因素评定加分：</w:t>
            </w:r>
          </w:p>
          <w:p w14:paraId="0994CAF9">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提供文件完整，内容详细，制定合理，评价为优，加50分。</w:t>
            </w:r>
          </w:p>
          <w:p w14:paraId="2C3B6B08">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提供文件基本完整，内容基本详细，制定基本合理，评价为良，加20分。</w:t>
            </w:r>
          </w:p>
          <w:p w14:paraId="7E85CAB3">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提供文件完整性一般，内容详细程度一般，制定合理性一般，评价为中，加10分。</w:t>
            </w:r>
          </w:p>
          <w:p w14:paraId="4E72D869">
            <w:pPr>
              <w:widowControl/>
              <w:rPr>
                <w:rFonts w:hint="eastAsia" w:asciiTheme="minorEastAsia" w:hAnsiTheme="minorEastAsia" w:eastAsiaTheme="minorEastAsia"/>
                <w:szCs w:val="21"/>
              </w:rPr>
            </w:pPr>
            <w:r>
              <w:rPr>
                <w:rFonts w:hint="eastAsia" w:cs="宋体" w:asciiTheme="minorEastAsia" w:hAnsiTheme="minorEastAsia" w:eastAsiaTheme="minorEastAsia"/>
                <w:kern w:val="0"/>
                <w:szCs w:val="21"/>
              </w:rPr>
              <w:t>提供文件不完整，内容不详细，方案制定不合理性，评价为差，不加分。</w:t>
            </w:r>
          </w:p>
        </w:tc>
      </w:tr>
      <w:tr w14:paraId="5AC8A6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left w:val="single" w:color="000000" w:sz="8" w:space="0"/>
              <w:bottom w:val="single" w:color="000000" w:sz="8" w:space="0"/>
              <w:right w:val="single" w:color="000000" w:sz="8" w:space="0"/>
            </w:tcBorders>
            <w:vAlign w:val="center"/>
          </w:tcPr>
          <w:p w14:paraId="36FAABE5">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56AAC8D1">
            <w:pPr>
              <w:widowControl/>
              <w:jc w:val="center"/>
              <w:textAlignment w:val="top"/>
              <w:rPr>
                <w:rFonts w:hint="eastAsia" w:cs="宋体" w:asciiTheme="minorEastAsia" w:hAnsiTheme="minorEastAsia" w:eastAsiaTheme="minorEastAsia"/>
                <w:kern w:val="0"/>
                <w:szCs w:val="21"/>
                <w:lang w:bidi="ar"/>
              </w:rPr>
            </w:pPr>
            <w:r>
              <w:rPr>
                <w:rFonts w:hint="eastAsia" w:cs="宋体" w:asciiTheme="minorEastAsia" w:hAnsiTheme="minorEastAsia" w:eastAsiaTheme="minorEastAsia"/>
                <w:kern w:val="0"/>
                <w:szCs w:val="21"/>
                <w:lang w:bidi="ar"/>
              </w:rPr>
              <w:t>6</w:t>
            </w:r>
          </w:p>
        </w:tc>
        <w:tc>
          <w:tcPr>
            <w:tcW w:w="1371" w:type="dxa"/>
            <w:tcBorders>
              <w:top w:val="single" w:color="000000" w:sz="8" w:space="0"/>
              <w:left w:val="single" w:color="000000" w:sz="8" w:space="0"/>
              <w:bottom w:val="single" w:color="000000" w:sz="8" w:space="0"/>
              <w:right w:val="single" w:color="000000" w:sz="8" w:space="0"/>
            </w:tcBorders>
            <w:vAlign w:val="center"/>
          </w:tcPr>
          <w:p w14:paraId="388FF5AD">
            <w:pPr>
              <w:widowControl/>
              <w:jc w:val="center"/>
              <w:textAlignment w:val="top"/>
              <w:rPr>
                <w:rFonts w:hint="eastAsia" w:asciiTheme="minorEastAsia" w:hAnsiTheme="minorEastAsia" w:eastAsiaTheme="minorEastAsia"/>
                <w:szCs w:val="21"/>
              </w:rPr>
            </w:pPr>
            <w:r>
              <w:rPr>
                <w:rFonts w:hint="eastAsia"/>
              </w:rPr>
              <w:t>关键部件的技术路线说明</w:t>
            </w:r>
          </w:p>
        </w:tc>
        <w:tc>
          <w:tcPr>
            <w:tcW w:w="1134" w:type="dxa"/>
            <w:tcBorders>
              <w:top w:val="single" w:color="000000" w:sz="8" w:space="0"/>
              <w:left w:val="single" w:color="000000" w:sz="8" w:space="0"/>
              <w:bottom w:val="single" w:color="000000" w:sz="8" w:space="0"/>
              <w:right w:val="single" w:color="000000" w:sz="8" w:space="0"/>
            </w:tcBorders>
            <w:vAlign w:val="center"/>
          </w:tcPr>
          <w:p w14:paraId="584F4201">
            <w:pPr>
              <w:widowControl/>
              <w:jc w:val="center"/>
              <w:textAlignment w:val="top"/>
              <w:rPr>
                <w:rFonts w:hint="eastAsia" w:asciiTheme="minorEastAsia" w:hAnsiTheme="minorEastAsia" w:eastAsiaTheme="minorEastAsia"/>
                <w:szCs w:val="21"/>
              </w:rPr>
            </w:pPr>
            <w:r>
              <w:rPr>
                <w:rFonts w:hint="eastAsia"/>
                <w:szCs w:val="21"/>
              </w:rPr>
              <w:t>4</w:t>
            </w:r>
          </w:p>
        </w:tc>
        <w:tc>
          <w:tcPr>
            <w:tcW w:w="5120" w:type="dxa"/>
            <w:tcBorders>
              <w:top w:val="single" w:color="000000" w:sz="8" w:space="0"/>
              <w:left w:val="single" w:color="000000" w:sz="8" w:space="0"/>
              <w:bottom w:val="single" w:color="000000" w:sz="8" w:space="0"/>
              <w:right w:val="single" w:color="000000" w:sz="8" w:space="0"/>
            </w:tcBorders>
            <w:vAlign w:val="center"/>
          </w:tcPr>
          <w:p w14:paraId="1C73A964">
            <w:pPr>
              <w:pStyle w:val="2"/>
              <w:spacing w:line="240" w:lineRule="auto"/>
              <w:rPr>
                <w:rFonts w:hint="eastAsia" w:cs="宋体" w:asciiTheme="minorEastAsia" w:hAnsiTheme="minorEastAsia" w:eastAsiaTheme="minorEastAsia"/>
                <w:b w:val="0"/>
                <w:bCs w:val="0"/>
                <w:kern w:val="0"/>
                <w:sz w:val="21"/>
                <w:szCs w:val="21"/>
              </w:rPr>
            </w:pPr>
            <w:r>
              <w:rPr>
                <w:rFonts w:hint="eastAsia" w:cs="宋体" w:asciiTheme="minorEastAsia" w:hAnsiTheme="minorEastAsia" w:eastAsiaTheme="minorEastAsia"/>
                <w:b w:val="0"/>
                <w:bCs w:val="0"/>
                <w:kern w:val="0"/>
                <w:sz w:val="21"/>
                <w:szCs w:val="21"/>
              </w:rPr>
              <w:t>（一）评分内容：投标人或</w:t>
            </w:r>
            <w:r>
              <w:rPr>
                <w:rFonts w:hint="eastAsia" w:asciiTheme="minorEastAsia" w:hAnsiTheme="minorEastAsia" w:eastAsiaTheme="minorEastAsia"/>
                <w:b w:val="0"/>
                <w:bCs w:val="0"/>
                <w:kern w:val="0"/>
                <w:sz w:val="21"/>
                <w:szCs w:val="21"/>
              </w:rPr>
              <w:t>产品制造商提供拟投入的</w:t>
            </w:r>
            <w:r>
              <w:rPr>
                <w:rFonts w:hint="eastAsia" w:asciiTheme="minorEastAsia" w:hAnsiTheme="minorEastAsia" w:eastAsiaTheme="minorEastAsia"/>
                <w:b w:val="0"/>
                <w:bCs w:val="0"/>
                <w:sz w:val="21"/>
                <w:szCs w:val="21"/>
              </w:rPr>
              <w:t>关键部件的技术路线说明</w:t>
            </w:r>
          </w:p>
          <w:p w14:paraId="1C3613E8">
            <w:pPr>
              <w:pStyle w:val="2"/>
              <w:spacing w:line="24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1</w:t>
            </w:r>
            <w:r>
              <w:rPr>
                <w:rFonts w:hint="eastAsia" w:asciiTheme="minorEastAsia" w:hAnsiTheme="minorEastAsia" w:eastAsiaTheme="minorEastAsia"/>
                <w:b w:val="0"/>
                <w:bCs w:val="0"/>
                <w:sz w:val="21"/>
                <w:szCs w:val="21"/>
                <w:lang w:val="en-US" w:eastAsia="zh-CN"/>
              </w:rPr>
              <w:t>.</w:t>
            </w:r>
            <w:r>
              <w:rPr>
                <w:rFonts w:asciiTheme="minorEastAsia" w:hAnsiTheme="minorEastAsia" w:eastAsiaTheme="minorEastAsia"/>
                <w:b w:val="0"/>
                <w:bCs w:val="0"/>
                <w:sz w:val="21"/>
                <w:szCs w:val="21"/>
              </w:rPr>
              <w:t>冷压缩机（2 K）：提供过往项目</w:t>
            </w:r>
            <w:r>
              <w:rPr>
                <w:rFonts w:hint="eastAsia" w:asciiTheme="minorEastAsia" w:hAnsiTheme="minorEastAsia" w:eastAsiaTheme="minorEastAsia"/>
                <w:b w:val="0"/>
                <w:bCs w:val="0"/>
                <w:sz w:val="21"/>
                <w:szCs w:val="21"/>
              </w:rPr>
              <w:t>过往的运行案例说明（</w:t>
            </w:r>
            <w:r>
              <w:rPr>
                <w:rFonts w:asciiTheme="minorEastAsia" w:hAnsiTheme="minorEastAsia" w:eastAsiaTheme="minorEastAsia"/>
                <w:b w:val="0"/>
                <w:bCs w:val="0"/>
                <w:sz w:val="21"/>
                <w:szCs w:val="21"/>
              </w:rPr>
              <w:t>提供设备详细技术说明和制造商</w:t>
            </w:r>
            <w:r>
              <w:rPr>
                <w:rFonts w:hint="eastAsia" w:asciiTheme="minorEastAsia" w:hAnsiTheme="minorEastAsia" w:eastAsiaTheme="minorEastAsia"/>
                <w:b w:val="0"/>
                <w:bCs w:val="0"/>
                <w:sz w:val="21"/>
                <w:szCs w:val="21"/>
              </w:rPr>
              <w:t>产品</w:t>
            </w:r>
            <w:r>
              <w:rPr>
                <w:rFonts w:asciiTheme="minorEastAsia" w:hAnsiTheme="minorEastAsia" w:eastAsiaTheme="minorEastAsia"/>
                <w:b w:val="0"/>
                <w:bCs w:val="0"/>
                <w:sz w:val="21"/>
                <w:szCs w:val="21"/>
              </w:rPr>
              <w:t>传彩页</w:t>
            </w:r>
            <w:r>
              <w:rPr>
                <w:rFonts w:hint="eastAsia" w:asciiTheme="minorEastAsia" w:hAnsiTheme="minorEastAsia" w:eastAsiaTheme="minorEastAsia"/>
                <w:b w:val="0"/>
                <w:bCs w:val="0"/>
                <w:sz w:val="21"/>
                <w:szCs w:val="21"/>
              </w:rPr>
              <w:t>）以及适配本项目的技术路线说明（格式自拟），提供得20分</w:t>
            </w:r>
            <w:r>
              <w:rPr>
                <w:rFonts w:asciiTheme="minorEastAsia" w:hAnsiTheme="minorEastAsia" w:eastAsiaTheme="minorEastAsia"/>
                <w:b w:val="0"/>
                <w:bCs w:val="0"/>
                <w:sz w:val="21"/>
                <w:szCs w:val="21"/>
              </w:rPr>
              <w:t>。</w:t>
            </w:r>
          </w:p>
          <w:p w14:paraId="61A6760F">
            <w:pPr>
              <w:pStyle w:val="2"/>
              <w:spacing w:line="24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2</w:t>
            </w:r>
            <w:r>
              <w:rPr>
                <w:rFonts w:hint="eastAsia" w:asciiTheme="minorEastAsia" w:hAnsiTheme="minorEastAsia" w:eastAsiaTheme="minorEastAsia"/>
                <w:b w:val="0"/>
                <w:bCs w:val="0"/>
                <w:sz w:val="21"/>
                <w:szCs w:val="21"/>
                <w:lang w:val="en-US" w:eastAsia="zh-CN"/>
              </w:rPr>
              <w:t>.</w:t>
            </w:r>
            <w:r>
              <w:rPr>
                <w:rFonts w:asciiTheme="minorEastAsia" w:hAnsiTheme="minorEastAsia" w:eastAsiaTheme="minorEastAsia"/>
                <w:b w:val="0"/>
                <w:bCs w:val="0"/>
                <w:sz w:val="21"/>
                <w:szCs w:val="21"/>
              </w:rPr>
              <w:t>氦透平膨胀机：提供过往项目</w:t>
            </w:r>
            <w:r>
              <w:rPr>
                <w:rFonts w:hint="eastAsia" w:asciiTheme="minorEastAsia" w:hAnsiTheme="minorEastAsia" w:eastAsiaTheme="minorEastAsia"/>
                <w:b w:val="0"/>
                <w:bCs w:val="0"/>
                <w:sz w:val="21"/>
                <w:szCs w:val="21"/>
              </w:rPr>
              <w:t>过往的运行案例说明（</w:t>
            </w:r>
            <w:r>
              <w:rPr>
                <w:rFonts w:asciiTheme="minorEastAsia" w:hAnsiTheme="minorEastAsia" w:eastAsiaTheme="minorEastAsia"/>
                <w:b w:val="0"/>
                <w:bCs w:val="0"/>
                <w:sz w:val="21"/>
                <w:szCs w:val="21"/>
              </w:rPr>
              <w:t>提供设备详细技术说明和制造商</w:t>
            </w:r>
            <w:r>
              <w:rPr>
                <w:rFonts w:hint="eastAsia" w:asciiTheme="minorEastAsia" w:hAnsiTheme="minorEastAsia" w:eastAsiaTheme="minorEastAsia"/>
                <w:b w:val="0"/>
                <w:bCs w:val="0"/>
                <w:sz w:val="21"/>
                <w:szCs w:val="21"/>
              </w:rPr>
              <w:t>产品</w:t>
            </w:r>
            <w:r>
              <w:rPr>
                <w:rFonts w:asciiTheme="minorEastAsia" w:hAnsiTheme="minorEastAsia" w:eastAsiaTheme="minorEastAsia"/>
                <w:b w:val="0"/>
                <w:bCs w:val="0"/>
                <w:sz w:val="21"/>
                <w:szCs w:val="21"/>
              </w:rPr>
              <w:t>传彩页</w:t>
            </w:r>
            <w:r>
              <w:rPr>
                <w:rFonts w:hint="eastAsia" w:asciiTheme="minorEastAsia" w:hAnsiTheme="minorEastAsia" w:eastAsiaTheme="minorEastAsia"/>
                <w:b w:val="0"/>
                <w:bCs w:val="0"/>
                <w:sz w:val="21"/>
                <w:szCs w:val="21"/>
              </w:rPr>
              <w:t>）以及适配本项目的技术路线说明（格式自拟），提供得20分</w:t>
            </w:r>
            <w:r>
              <w:rPr>
                <w:rFonts w:asciiTheme="minorEastAsia" w:hAnsiTheme="minorEastAsia" w:eastAsiaTheme="minorEastAsia"/>
                <w:b w:val="0"/>
                <w:bCs w:val="0"/>
                <w:sz w:val="21"/>
                <w:szCs w:val="21"/>
              </w:rPr>
              <w:t>。</w:t>
            </w:r>
          </w:p>
          <w:p w14:paraId="4A0C01EE">
            <w:pPr>
              <w:pStyle w:val="2"/>
              <w:spacing w:line="24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3</w:t>
            </w:r>
            <w:r>
              <w:rPr>
                <w:rFonts w:hint="eastAsia" w:asciiTheme="minorEastAsia" w:hAnsiTheme="minorEastAsia" w:eastAsiaTheme="minorEastAsia"/>
                <w:b w:val="0"/>
                <w:bCs w:val="0"/>
                <w:sz w:val="21"/>
                <w:szCs w:val="21"/>
                <w:lang w:val="en-US" w:eastAsia="zh-CN"/>
              </w:rPr>
              <w:t>.</w:t>
            </w:r>
            <w:r>
              <w:rPr>
                <w:rFonts w:asciiTheme="minorEastAsia" w:hAnsiTheme="minorEastAsia" w:eastAsiaTheme="minorEastAsia"/>
                <w:b w:val="0"/>
                <w:bCs w:val="0"/>
                <w:sz w:val="21"/>
                <w:szCs w:val="21"/>
              </w:rPr>
              <w:t>板翅式换热器（BAHX）：提供过往项目</w:t>
            </w:r>
            <w:r>
              <w:rPr>
                <w:rFonts w:hint="eastAsia" w:asciiTheme="minorEastAsia" w:hAnsiTheme="minorEastAsia" w:eastAsiaTheme="minorEastAsia"/>
                <w:b w:val="0"/>
                <w:bCs w:val="0"/>
                <w:sz w:val="21"/>
                <w:szCs w:val="21"/>
              </w:rPr>
              <w:t>过往的运行案例说明（</w:t>
            </w:r>
            <w:r>
              <w:rPr>
                <w:rFonts w:asciiTheme="minorEastAsia" w:hAnsiTheme="minorEastAsia" w:eastAsiaTheme="minorEastAsia"/>
                <w:b w:val="0"/>
                <w:bCs w:val="0"/>
                <w:sz w:val="21"/>
                <w:szCs w:val="21"/>
              </w:rPr>
              <w:t>提供设备详细技术说明和制造商</w:t>
            </w:r>
            <w:r>
              <w:rPr>
                <w:rFonts w:hint="eastAsia" w:asciiTheme="minorEastAsia" w:hAnsiTheme="minorEastAsia" w:eastAsiaTheme="minorEastAsia"/>
                <w:b w:val="0"/>
                <w:bCs w:val="0"/>
                <w:sz w:val="21"/>
                <w:szCs w:val="21"/>
              </w:rPr>
              <w:t>产品</w:t>
            </w:r>
            <w:r>
              <w:rPr>
                <w:rFonts w:asciiTheme="minorEastAsia" w:hAnsiTheme="minorEastAsia" w:eastAsiaTheme="minorEastAsia"/>
                <w:b w:val="0"/>
                <w:bCs w:val="0"/>
                <w:sz w:val="21"/>
                <w:szCs w:val="21"/>
              </w:rPr>
              <w:t>传彩页</w:t>
            </w:r>
            <w:r>
              <w:rPr>
                <w:rFonts w:hint="eastAsia" w:asciiTheme="minorEastAsia" w:hAnsiTheme="minorEastAsia" w:eastAsiaTheme="minorEastAsia"/>
                <w:b w:val="0"/>
                <w:bCs w:val="0"/>
                <w:sz w:val="21"/>
                <w:szCs w:val="21"/>
              </w:rPr>
              <w:t>）以及适配本项目的技术路线说明（格式自拟），提供得10分</w:t>
            </w:r>
            <w:r>
              <w:rPr>
                <w:rFonts w:asciiTheme="minorEastAsia" w:hAnsiTheme="minorEastAsia" w:eastAsiaTheme="minorEastAsia"/>
                <w:b w:val="0"/>
                <w:bCs w:val="0"/>
                <w:sz w:val="21"/>
                <w:szCs w:val="21"/>
              </w:rPr>
              <w:t>。</w:t>
            </w:r>
          </w:p>
          <w:p w14:paraId="49B2D131">
            <w:pPr>
              <w:snapToGrid w:val="0"/>
              <w:rPr>
                <w:rFonts w:hint="eastAsia" w:asciiTheme="minorEastAsia" w:hAnsiTheme="minorEastAsia" w:eastAsiaTheme="minorEastAsia"/>
                <w:szCs w:val="21"/>
              </w:rPr>
            </w:pPr>
            <w:r>
              <w:rPr>
                <w:rFonts w:hint="eastAsia" w:asciiTheme="minorEastAsia" w:hAnsiTheme="minorEastAsia" w:eastAsiaTheme="minorEastAsia"/>
                <w:szCs w:val="21"/>
              </w:rPr>
              <w:t>（二）评分依据：</w:t>
            </w:r>
          </w:p>
          <w:p w14:paraId="6C101472">
            <w:pPr>
              <w:pStyle w:val="2"/>
              <w:spacing w:line="24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1.</w:t>
            </w:r>
            <w:r>
              <w:rPr>
                <w:rFonts w:asciiTheme="minorEastAsia" w:hAnsiTheme="minorEastAsia" w:eastAsiaTheme="minorEastAsia"/>
                <w:b w:val="0"/>
                <w:bCs w:val="0"/>
                <w:sz w:val="21"/>
                <w:szCs w:val="21"/>
              </w:rPr>
              <w:t>根据所提供业绩清单和技术说明中的技术相关性及现场成熟度（运行小时数）进行评分。若无佐证材料或专家无法根据所提供材料确认其有效性，则不得分。</w:t>
            </w:r>
          </w:p>
          <w:p w14:paraId="3FED5CD7">
            <w:pPr>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提供文件完整，内容详细，</w:t>
            </w:r>
            <w:r>
              <w:rPr>
                <w:rFonts w:hint="eastAsia" w:asciiTheme="minorEastAsia" w:hAnsiTheme="minorEastAsia" w:eastAsiaTheme="minorEastAsia"/>
                <w:szCs w:val="21"/>
              </w:rPr>
              <w:t>技术相关性强</w:t>
            </w:r>
            <w:r>
              <w:rPr>
                <w:rFonts w:asciiTheme="minorEastAsia" w:hAnsiTheme="minorEastAsia" w:eastAsiaTheme="minorEastAsia"/>
                <w:szCs w:val="21"/>
              </w:rPr>
              <w:t>，</w:t>
            </w:r>
            <w:r>
              <w:rPr>
                <w:rFonts w:hint="eastAsia" w:asciiTheme="minorEastAsia" w:hAnsiTheme="minorEastAsia" w:eastAsiaTheme="minorEastAsia"/>
                <w:szCs w:val="21"/>
              </w:rPr>
              <w:t>设备成熟度高，</w:t>
            </w:r>
            <w:r>
              <w:rPr>
                <w:rFonts w:asciiTheme="minorEastAsia" w:hAnsiTheme="minorEastAsia" w:eastAsiaTheme="minorEastAsia"/>
                <w:szCs w:val="21"/>
              </w:rPr>
              <w:t>评价为优，加</w:t>
            </w:r>
            <w:r>
              <w:rPr>
                <w:rFonts w:hint="eastAsia" w:asciiTheme="minorEastAsia" w:hAnsiTheme="minorEastAsia" w:eastAsiaTheme="minorEastAsia"/>
                <w:szCs w:val="21"/>
              </w:rPr>
              <w:t>5</w:t>
            </w:r>
            <w:r>
              <w:rPr>
                <w:rFonts w:asciiTheme="minorEastAsia" w:hAnsiTheme="minorEastAsia" w:eastAsiaTheme="minorEastAsia"/>
                <w:szCs w:val="21"/>
              </w:rPr>
              <w:t>0分。</w:t>
            </w:r>
          </w:p>
          <w:p w14:paraId="100F6EAA">
            <w:pPr>
              <w:rPr>
                <w:rFonts w:hint="eastAsia" w:asciiTheme="minorEastAsia" w:hAnsiTheme="minorEastAsia" w:eastAsiaTheme="minorEastAsia"/>
                <w:szCs w:val="21"/>
              </w:rPr>
            </w:pPr>
            <w:r>
              <w:rPr>
                <w:rFonts w:asciiTheme="minorEastAsia" w:hAnsiTheme="minorEastAsia" w:eastAsiaTheme="minorEastAsia"/>
                <w:szCs w:val="21"/>
              </w:rPr>
              <w:t>提供文件基本完整，内容基本详细，</w:t>
            </w:r>
            <w:r>
              <w:rPr>
                <w:rFonts w:hint="eastAsia" w:asciiTheme="minorEastAsia" w:hAnsiTheme="minorEastAsia" w:eastAsiaTheme="minorEastAsia"/>
                <w:szCs w:val="21"/>
              </w:rPr>
              <w:t>技术基本相关</w:t>
            </w:r>
            <w:r>
              <w:rPr>
                <w:rFonts w:asciiTheme="minorEastAsia" w:hAnsiTheme="minorEastAsia" w:eastAsiaTheme="minorEastAsia"/>
                <w:szCs w:val="21"/>
              </w:rPr>
              <w:t>，</w:t>
            </w:r>
            <w:r>
              <w:rPr>
                <w:rFonts w:hint="eastAsia" w:asciiTheme="minorEastAsia" w:hAnsiTheme="minorEastAsia" w:eastAsiaTheme="minorEastAsia"/>
                <w:szCs w:val="21"/>
              </w:rPr>
              <w:t>设备成熟度较高，</w:t>
            </w:r>
            <w:r>
              <w:rPr>
                <w:rFonts w:asciiTheme="minorEastAsia" w:hAnsiTheme="minorEastAsia" w:eastAsiaTheme="minorEastAsia"/>
                <w:szCs w:val="21"/>
              </w:rPr>
              <w:t>评价为良，加20分。</w:t>
            </w:r>
          </w:p>
          <w:p w14:paraId="3B1518F8">
            <w:pPr>
              <w:rPr>
                <w:rFonts w:hint="eastAsia" w:asciiTheme="minorEastAsia" w:hAnsiTheme="minorEastAsia" w:eastAsiaTheme="minorEastAsia"/>
                <w:szCs w:val="21"/>
              </w:rPr>
            </w:pPr>
            <w:r>
              <w:rPr>
                <w:rFonts w:asciiTheme="minorEastAsia" w:hAnsiTheme="minorEastAsia" w:eastAsiaTheme="minorEastAsia"/>
                <w:szCs w:val="21"/>
              </w:rPr>
              <w:t>提供文件完整性一般，内容详细程度一般，</w:t>
            </w:r>
            <w:r>
              <w:rPr>
                <w:rFonts w:hint="eastAsia" w:asciiTheme="minorEastAsia" w:hAnsiTheme="minorEastAsia" w:eastAsiaTheme="minorEastAsia"/>
                <w:szCs w:val="21"/>
              </w:rPr>
              <w:t>设备成熟度一般，</w:t>
            </w:r>
            <w:r>
              <w:rPr>
                <w:rFonts w:asciiTheme="minorEastAsia" w:hAnsiTheme="minorEastAsia" w:eastAsiaTheme="minorEastAsia"/>
                <w:szCs w:val="21"/>
              </w:rPr>
              <w:t>评价为中，加10分。</w:t>
            </w:r>
          </w:p>
          <w:p w14:paraId="23539A86">
            <w:pPr>
              <w:widowControl/>
              <w:textAlignment w:val="top"/>
              <w:rPr>
                <w:rFonts w:hint="eastAsia" w:asciiTheme="minorEastAsia" w:hAnsiTheme="minorEastAsia" w:eastAsiaTheme="minorEastAsia"/>
                <w:szCs w:val="21"/>
              </w:rPr>
            </w:pPr>
            <w:r>
              <w:rPr>
                <w:rFonts w:asciiTheme="minorEastAsia" w:hAnsiTheme="minorEastAsia" w:eastAsiaTheme="minorEastAsia"/>
                <w:szCs w:val="21"/>
              </w:rPr>
              <w:t>提供文件不完整，内容不详细，方案制定不合理性，</w:t>
            </w:r>
            <w:r>
              <w:rPr>
                <w:rFonts w:hint="eastAsia" w:asciiTheme="minorEastAsia" w:hAnsiTheme="minorEastAsia" w:eastAsiaTheme="minorEastAsia"/>
                <w:szCs w:val="21"/>
              </w:rPr>
              <w:t>设备不成熟，</w:t>
            </w:r>
            <w:r>
              <w:rPr>
                <w:rFonts w:asciiTheme="minorEastAsia" w:hAnsiTheme="minorEastAsia" w:eastAsiaTheme="minorEastAsia"/>
                <w:szCs w:val="21"/>
              </w:rPr>
              <w:t>评价为差，不加分。</w:t>
            </w:r>
          </w:p>
        </w:tc>
      </w:tr>
      <w:tr w14:paraId="3BB382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restart"/>
            <w:tcBorders>
              <w:top w:val="single" w:color="000000" w:sz="8" w:space="0"/>
              <w:left w:val="single" w:color="000000" w:sz="8" w:space="0"/>
              <w:bottom w:val="single" w:color="000000" w:sz="8" w:space="0"/>
              <w:right w:val="single" w:color="000000" w:sz="8" w:space="0"/>
            </w:tcBorders>
            <w:vAlign w:val="center"/>
          </w:tcPr>
          <w:p w14:paraId="61333E74">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3</w:t>
            </w:r>
          </w:p>
        </w:tc>
        <w:tc>
          <w:tcPr>
            <w:tcW w:w="3214" w:type="dxa"/>
            <w:gridSpan w:val="3"/>
            <w:tcBorders>
              <w:top w:val="single" w:color="000000" w:sz="8" w:space="0"/>
              <w:left w:val="single" w:color="000000" w:sz="8" w:space="0"/>
              <w:bottom w:val="single" w:color="000000" w:sz="8" w:space="0"/>
              <w:right w:val="single" w:color="000000" w:sz="8" w:space="0"/>
            </w:tcBorders>
            <w:vAlign w:val="center"/>
          </w:tcPr>
          <w:p w14:paraId="5FA50F77">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商务</w:t>
            </w:r>
            <w:r>
              <w:rPr>
                <w:rFonts w:hint="eastAsia" w:cs="宋体" w:asciiTheme="minorEastAsia" w:hAnsiTheme="minorEastAsia" w:eastAsiaTheme="minorEastAsia"/>
                <w:b/>
                <w:bCs/>
                <w:color w:val="0000FF"/>
                <w:kern w:val="0"/>
                <w:szCs w:val="21"/>
                <w:lang w:bidi="ar"/>
              </w:rPr>
              <w:t>部分</w:t>
            </w:r>
          </w:p>
        </w:tc>
        <w:tc>
          <w:tcPr>
            <w:tcW w:w="5120" w:type="dxa"/>
            <w:tcBorders>
              <w:top w:val="single" w:color="000000" w:sz="8" w:space="0"/>
              <w:left w:val="single" w:color="000000" w:sz="8" w:space="0"/>
              <w:bottom w:val="single" w:color="000000" w:sz="8" w:space="0"/>
              <w:right w:val="single" w:color="000000" w:sz="8" w:space="0"/>
            </w:tcBorders>
            <w:vAlign w:val="center"/>
          </w:tcPr>
          <w:p w14:paraId="18813A9C">
            <w:pPr>
              <w:widowControl/>
              <w:jc w:val="center"/>
              <w:rPr>
                <w:rFonts w:hint="eastAsia" w:asciiTheme="minorEastAsia" w:hAnsiTheme="minorEastAsia" w:eastAsiaTheme="minorEastAsia"/>
                <w:b/>
                <w:bCs/>
                <w:color w:val="0000FF"/>
                <w:szCs w:val="21"/>
              </w:rPr>
            </w:pPr>
            <w:r>
              <w:rPr>
                <w:rFonts w:hint="eastAsia" w:asciiTheme="minorEastAsia" w:hAnsiTheme="minorEastAsia" w:eastAsiaTheme="minorEastAsia"/>
                <w:b/>
                <w:bCs/>
                <w:color w:val="0000FF"/>
                <w:szCs w:val="21"/>
              </w:rPr>
              <w:t>7</w:t>
            </w:r>
          </w:p>
        </w:tc>
      </w:tr>
      <w:tr w14:paraId="50E0AA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402616DE">
            <w:pPr>
              <w:jc w:val="center"/>
              <w:rPr>
                <w:rFonts w:hint="eastAsia" w:asciiTheme="minorEastAsia" w:hAnsiTheme="minorEastAsia" w:eastAsiaTheme="minorEastAsia"/>
                <w:b/>
                <w:bCs/>
                <w:color w:val="0000FF"/>
                <w:szCs w:val="21"/>
              </w:rPr>
            </w:pPr>
          </w:p>
        </w:tc>
        <w:tc>
          <w:tcPr>
            <w:tcW w:w="8334" w:type="dxa"/>
            <w:gridSpan w:val="4"/>
            <w:tcBorders>
              <w:top w:val="single" w:color="000000" w:sz="8" w:space="0"/>
              <w:left w:val="single" w:color="000000" w:sz="8" w:space="0"/>
              <w:bottom w:val="single" w:color="000000" w:sz="8" w:space="0"/>
              <w:right w:val="single" w:color="000000" w:sz="8" w:space="0"/>
            </w:tcBorders>
          </w:tcPr>
          <w:p w14:paraId="13BA9EAB">
            <w:pPr>
              <w:rPr>
                <w:rFonts w:hint="eastAsia" w:asciiTheme="minorEastAsia" w:hAnsiTheme="minorEastAsia" w:eastAsiaTheme="minorEastAsia"/>
                <w:szCs w:val="21"/>
              </w:rPr>
            </w:pPr>
          </w:p>
        </w:tc>
      </w:tr>
      <w:tr w14:paraId="502EB5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602D465">
            <w:pPr>
              <w:jc w:val="center"/>
              <w:rPr>
                <w:rFonts w:hint="eastAsia" w:asciiTheme="minorEastAsia" w:hAnsiTheme="minorEastAsia" w:eastAsiaTheme="minorEastAsia"/>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6F1FB97">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序号</w:t>
            </w:r>
          </w:p>
        </w:tc>
        <w:tc>
          <w:tcPr>
            <w:tcW w:w="137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C488BFF">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评分因素</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493E01F">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权重(%)</w:t>
            </w:r>
          </w:p>
        </w:tc>
        <w:tc>
          <w:tcPr>
            <w:tcW w:w="512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9C55334">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评分准则</w:t>
            </w:r>
          </w:p>
        </w:tc>
      </w:tr>
      <w:tr w14:paraId="3A8581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112719CD">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5DA0454C">
            <w:pPr>
              <w:widowControl/>
              <w:jc w:val="center"/>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371" w:type="dxa"/>
            <w:tcBorders>
              <w:top w:val="single" w:color="000000" w:sz="8" w:space="0"/>
              <w:left w:val="single" w:color="000000" w:sz="8" w:space="0"/>
              <w:bottom w:val="single" w:color="000000" w:sz="8" w:space="0"/>
              <w:right w:val="single" w:color="000000" w:sz="8" w:space="0"/>
            </w:tcBorders>
            <w:vAlign w:val="center"/>
          </w:tcPr>
          <w:p w14:paraId="44C8DC5C">
            <w:pPr>
              <w:widowControl/>
              <w:jc w:val="center"/>
              <w:textAlignment w:val="top"/>
              <w:rPr>
                <w:rFonts w:hint="eastAsia" w:asciiTheme="minorEastAsia" w:hAnsiTheme="minorEastAsia" w:eastAsiaTheme="minorEastAsia"/>
                <w:szCs w:val="21"/>
              </w:rPr>
            </w:pPr>
            <w:r>
              <w:rPr>
                <w:rFonts w:hint="eastAsia"/>
                <w:szCs w:val="21"/>
              </w:rPr>
              <w:t>对商务条款的响应程度</w:t>
            </w:r>
          </w:p>
        </w:tc>
        <w:tc>
          <w:tcPr>
            <w:tcW w:w="1134" w:type="dxa"/>
            <w:tcBorders>
              <w:top w:val="single" w:color="000000" w:sz="8" w:space="0"/>
              <w:left w:val="single" w:color="000000" w:sz="8" w:space="0"/>
              <w:bottom w:val="single" w:color="000000" w:sz="8" w:space="0"/>
              <w:right w:val="single" w:color="000000" w:sz="8" w:space="0"/>
            </w:tcBorders>
            <w:vAlign w:val="center"/>
          </w:tcPr>
          <w:p w14:paraId="71FC6CE2">
            <w:pPr>
              <w:widowControl/>
              <w:jc w:val="center"/>
              <w:textAlignment w:val="top"/>
              <w:rPr>
                <w:rFonts w:hint="eastAsia" w:asciiTheme="minorEastAsia" w:hAnsiTheme="minorEastAsia" w:eastAsiaTheme="minorEastAsia"/>
                <w:szCs w:val="21"/>
              </w:rPr>
            </w:pPr>
            <w:r>
              <w:rPr>
                <w:rFonts w:hint="eastAsia"/>
              </w:rPr>
              <w:t>7</w:t>
            </w:r>
          </w:p>
        </w:tc>
        <w:tc>
          <w:tcPr>
            <w:tcW w:w="5120" w:type="dxa"/>
            <w:tcBorders>
              <w:top w:val="single" w:color="000000" w:sz="8" w:space="0"/>
              <w:left w:val="single" w:color="000000" w:sz="8" w:space="0"/>
              <w:bottom w:val="single" w:color="000000" w:sz="8" w:space="0"/>
              <w:right w:val="single" w:color="000000" w:sz="8" w:space="0"/>
            </w:tcBorders>
          </w:tcPr>
          <w:p w14:paraId="217273F2">
            <w:pPr>
              <w:widowControl/>
              <w:textAlignment w:val="top"/>
              <w:rPr>
                <w:rFonts w:hint="eastAsia" w:asciiTheme="minorEastAsia" w:hAnsiTheme="minorEastAsia" w:eastAsiaTheme="minorEastAsia"/>
                <w:szCs w:val="21"/>
              </w:rPr>
            </w:pPr>
            <w:r>
              <w:rPr>
                <w:rFonts w:ascii="宋体" w:hAnsi="宋体" w:cs="宋体"/>
                <w:szCs w:val="21"/>
              </w:rPr>
              <w:t>投标人应如实填写《商务条款偏离表》，评审委员会根据投标人对招标文件商务部分的响应情况进行打分，全部满足要求的得100分，带“★”号条款被视为重要的指标或性能要求，负偏离将会导致投标无效标注。“▲”的关键参数每项负偏离一项扣</w:t>
            </w:r>
            <w:r>
              <w:rPr>
                <w:rFonts w:hint="eastAsia" w:ascii="宋体" w:hAnsi="宋体" w:cs="宋体"/>
                <w:szCs w:val="21"/>
              </w:rPr>
              <w:t>6</w:t>
            </w:r>
            <w:r>
              <w:rPr>
                <w:rFonts w:ascii="宋体" w:hAnsi="宋体" w:cs="宋体"/>
                <w:szCs w:val="21"/>
              </w:rPr>
              <w:t>分。其余一般参数条款每负偏离一条扣1</w:t>
            </w:r>
            <w:r>
              <w:rPr>
                <w:rFonts w:hint="eastAsia" w:ascii="宋体" w:hAnsi="宋体" w:cs="宋体"/>
                <w:szCs w:val="21"/>
              </w:rPr>
              <w:t>.7</w:t>
            </w:r>
            <w:r>
              <w:rPr>
                <w:rFonts w:ascii="宋体" w:hAnsi="宋体" w:cs="宋体"/>
                <w:szCs w:val="21"/>
              </w:rPr>
              <w:t>分，扣完为止。</w:t>
            </w:r>
          </w:p>
        </w:tc>
      </w:tr>
      <w:tr w14:paraId="4FFE0D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restart"/>
            <w:tcBorders>
              <w:top w:val="single" w:color="000000" w:sz="8" w:space="0"/>
              <w:left w:val="single" w:color="000000" w:sz="8" w:space="0"/>
              <w:bottom w:val="single" w:color="000000" w:sz="8" w:space="0"/>
              <w:right w:val="single" w:color="000000" w:sz="8" w:space="0"/>
            </w:tcBorders>
            <w:vAlign w:val="center"/>
          </w:tcPr>
          <w:p w14:paraId="0B9368D8">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4</w:t>
            </w:r>
          </w:p>
        </w:tc>
        <w:tc>
          <w:tcPr>
            <w:tcW w:w="3214" w:type="dxa"/>
            <w:gridSpan w:val="3"/>
            <w:tcBorders>
              <w:top w:val="single" w:color="000000" w:sz="8" w:space="0"/>
              <w:left w:val="single" w:color="000000" w:sz="8" w:space="0"/>
              <w:bottom w:val="single" w:color="000000" w:sz="8" w:space="0"/>
              <w:right w:val="single" w:color="000000" w:sz="8" w:space="0"/>
            </w:tcBorders>
            <w:vAlign w:val="center"/>
          </w:tcPr>
          <w:p w14:paraId="0D4C4E6C">
            <w:pPr>
              <w:widowControl/>
              <w:jc w:val="center"/>
              <w:rPr>
                <w:rFonts w:hint="eastAsia" w:asciiTheme="minorEastAsia" w:hAnsiTheme="minorEastAsia" w:eastAsiaTheme="minorEastAsia"/>
                <w:b/>
                <w:bCs/>
                <w:color w:val="0000FF"/>
                <w:szCs w:val="21"/>
              </w:rPr>
            </w:pPr>
            <w:r>
              <w:rPr>
                <w:rFonts w:hint="eastAsia" w:asciiTheme="minorEastAsia" w:hAnsiTheme="minorEastAsia" w:eastAsiaTheme="minorEastAsia"/>
                <w:b/>
                <w:bCs/>
                <w:color w:val="0000FF"/>
                <w:szCs w:val="21"/>
              </w:rPr>
              <w:t>综合实力</w:t>
            </w:r>
          </w:p>
        </w:tc>
        <w:tc>
          <w:tcPr>
            <w:tcW w:w="5120" w:type="dxa"/>
            <w:tcBorders>
              <w:top w:val="single" w:color="000000" w:sz="8" w:space="0"/>
              <w:left w:val="single" w:color="000000" w:sz="8" w:space="0"/>
              <w:bottom w:val="single" w:color="000000" w:sz="8" w:space="0"/>
              <w:right w:val="single" w:color="000000" w:sz="8" w:space="0"/>
            </w:tcBorders>
            <w:vAlign w:val="center"/>
          </w:tcPr>
          <w:p w14:paraId="0849AB6A">
            <w:pPr>
              <w:widowControl/>
              <w:jc w:val="center"/>
              <w:rPr>
                <w:rFonts w:hint="eastAsia" w:asciiTheme="minorEastAsia" w:hAnsiTheme="minorEastAsia" w:eastAsiaTheme="minorEastAsia"/>
                <w:b/>
                <w:bCs/>
                <w:color w:val="0000FF"/>
                <w:szCs w:val="21"/>
              </w:rPr>
            </w:pPr>
            <w:r>
              <w:rPr>
                <w:rFonts w:hint="eastAsia" w:asciiTheme="minorEastAsia" w:hAnsiTheme="minorEastAsia" w:eastAsiaTheme="minorEastAsia"/>
                <w:b/>
                <w:bCs/>
                <w:color w:val="0000FF"/>
                <w:szCs w:val="21"/>
              </w:rPr>
              <w:t>16</w:t>
            </w:r>
          </w:p>
        </w:tc>
      </w:tr>
      <w:tr w14:paraId="285686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6DCED15C">
            <w:pPr>
              <w:jc w:val="center"/>
              <w:rPr>
                <w:rFonts w:hint="eastAsia" w:asciiTheme="minorEastAsia" w:hAnsiTheme="minorEastAsia" w:eastAsiaTheme="minorEastAsia"/>
                <w:b/>
                <w:bCs/>
                <w:color w:val="0000FF"/>
                <w:szCs w:val="21"/>
              </w:rPr>
            </w:pPr>
          </w:p>
        </w:tc>
        <w:tc>
          <w:tcPr>
            <w:tcW w:w="8334" w:type="dxa"/>
            <w:gridSpan w:val="4"/>
            <w:tcBorders>
              <w:top w:val="single" w:color="000000" w:sz="8" w:space="0"/>
              <w:left w:val="single" w:color="000000" w:sz="8" w:space="0"/>
              <w:bottom w:val="single" w:color="000000" w:sz="8" w:space="0"/>
              <w:right w:val="single" w:color="000000" w:sz="8" w:space="0"/>
            </w:tcBorders>
          </w:tcPr>
          <w:p w14:paraId="622741E5">
            <w:pPr>
              <w:rPr>
                <w:rFonts w:hint="eastAsia" w:asciiTheme="minorEastAsia" w:hAnsiTheme="minorEastAsia" w:eastAsiaTheme="minorEastAsia"/>
                <w:szCs w:val="21"/>
              </w:rPr>
            </w:pPr>
          </w:p>
        </w:tc>
      </w:tr>
      <w:tr w14:paraId="771119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3F3184A">
            <w:pPr>
              <w:jc w:val="center"/>
              <w:rPr>
                <w:rFonts w:hint="eastAsia" w:asciiTheme="minorEastAsia" w:hAnsiTheme="minorEastAsia" w:eastAsiaTheme="minorEastAsia"/>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FB7D27C">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序号</w:t>
            </w:r>
          </w:p>
        </w:tc>
        <w:tc>
          <w:tcPr>
            <w:tcW w:w="137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39F0F2">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评分因素</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2A87F2B">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权重(%)</w:t>
            </w:r>
          </w:p>
        </w:tc>
        <w:tc>
          <w:tcPr>
            <w:tcW w:w="512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32A0A7C">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评分准则</w:t>
            </w:r>
          </w:p>
        </w:tc>
      </w:tr>
      <w:tr w14:paraId="041D02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6D53935E">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79C77C57">
            <w:pPr>
              <w:widowControl/>
              <w:jc w:val="center"/>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371" w:type="dxa"/>
            <w:tcBorders>
              <w:top w:val="single" w:color="000000" w:sz="8" w:space="0"/>
              <w:left w:val="single" w:color="000000" w:sz="8" w:space="0"/>
              <w:bottom w:val="single" w:color="000000" w:sz="8" w:space="0"/>
              <w:right w:val="single" w:color="000000" w:sz="8" w:space="0"/>
            </w:tcBorders>
            <w:vAlign w:val="center"/>
          </w:tcPr>
          <w:p w14:paraId="5A055C88">
            <w:pPr>
              <w:widowControl/>
              <w:jc w:val="center"/>
              <w:textAlignment w:val="top"/>
              <w:rPr>
                <w:rFonts w:hint="eastAsia" w:asciiTheme="minorEastAsia" w:hAnsiTheme="minorEastAsia" w:eastAsiaTheme="minorEastAsia"/>
                <w:szCs w:val="21"/>
              </w:rPr>
            </w:pPr>
            <w:r>
              <w:rPr>
                <w:rFonts w:hint="eastAsia" w:ascii="宋体" w:hAnsi="宋体" w:cs="宋体"/>
                <w:szCs w:val="21"/>
              </w:rPr>
              <w:t>同类业绩</w:t>
            </w:r>
          </w:p>
        </w:tc>
        <w:tc>
          <w:tcPr>
            <w:tcW w:w="1134" w:type="dxa"/>
            <w:tcBorders>
              <w:top w:val="single" w:color="000000" w:sz="8" w:space="0"/>
              <w:left w:val="single" w:color="000000" w:sz="8" w:space="0"/>
              <w:bottom w:val="single" w:color="000000" w:sz="8" w:space="0"/>
              <w:right w:val="single" w:color="000000" w:sz="8" w:space="0"/>
            </w:tcBorders>
            <w:vAlign w:val="center"/>
          </w:tcPr>
          <w:p w14:paraId="7CF80BB8">
            <w:pPr>
              <w:widowControl/>
              <w:jc w:val="center"/>
              <w:textAlignment w:val="top"/>
              <w:rPr>
                <w:rFonts w:hint="eastAsia" w:asciiTheme="minorEastAsia" w:hAnsiTheme="minorEastAsia" w:eastAsiaTheme="minorEastAsia"/>
                <w:szCs w:val="21"/>
              </w:rPr>
            </w:pPr>
            <w:r>
              <w:rPr>
                <w:rFonts w:hint="eastAsia" w:ascii="宋体" w:hAnsi="宋体"/>
                <w:szCs w:val="21"/>
              </w:rPr>
              <w:t>16</w:t>
            </w:r>
          </w:p>
        </w:tc>
        <w:tc>
          <w:tcPr>
            <w:tcW w:w="5120" w:type="dxa"/>
            <w:tcBorders>
              <w:top w:val="single" w:color="000000" w:sz="8" w:space="0"/>
              <w:left w:val="single" w:color="000000" w:sz="8" w:space="0"/>
              <w:bottom w:val="single" w:color="000000" w:sz="8" w:space="0"/>
              <w:right w:val="single" w:color="000000" w:sz="8" w:space="0"/>
            </w:tcBorders>
          </w:tcPr>
          <w:p w14:paraId="6C7E1A5C">
            <w:pPr>
              <w:rPr>
                <w:rFonts w:hint="eastAsia" w:ascii="宋体" w:hAnsi="宋体"/>
                <w:szCs w:val="21"/>
              </w:rPr>
            </w:pPr>
            <w:r>
              <w:rPr>
                <w:rFonts w:hint="eastAsia" w:ascii="宋体" w:hAnsi="宋体"/>
                <w:szCs w:val="21"/>
              </w:rPr>
              <w:t>（一）评分内容：</w:t>
            </w:r>
          </w:p>
          <w:p w14:paraId="3CC620A7">
            <w:pPr>
              <w:widowControl/>
              <w:snapToGrid w:val="0"/>
              <w:rPr>
                <w:rFonts w:hint="eastAsia" w:ascii="宋体" w:hAnsi="宋体"/>
                <w:kern w:val="0"/>
                <w:szCs w:val="21"/>
              </w:rPr>
            </w:pPr>
            <w:r>
              <w:rPr>
                <w:rFonts w:hint="eastAsia" w:ascii="宋体" w:hAnsi="宋体"/>
                <w:kern w:val="0"/>
                <w:szCs w:val="21"/>
              </w:rPr>
              <w:t>产品制造商2018年1月1日至投标截止之日（以合同签订时间为准）以来具有的同类业绩：</w:t>
            </w:r>
          </w:p>
          <w:p w14:paraId="17DF696F">
            <w:pPr>
              <w:widowControl/>
              <w:snapToGrid w:val="0"/>
              <w:rPr>
                <w:rFonts w:hint="eastAsia" w:ascii="宋体" w:hAnsi="宋体"/>
                <w:kern w:val="0"/>
                <w:szCs w:val="21"/>
              </w:rPr>
            </w:pPr>
            <w:r>
              <w:rPr>
                <w:rFonts w:hint="eastAsia" w:ascii="宋体" w:hAnsi="宋体"/>
                <w:kern w:val="0"/>
                <w:szCs w:val="21"/>
              </w:rPr>
              <w:t>1</w:t>
            </w:r>
            <w:r>
              <w:rPr>
                <w:rFonts w:hint="eastAsia" w:ascii="宋体" w:hAnsi="宋体"/>
                <w:kern w:val="0"/>
                <w:szCs w:val="21"/>
                <w:lang w:val="en-US" w:eastAsia="zh-CN"/>
              </w:rPr>
              <w:t>.</w:t>
            </w:r>
            <w:r>
              <w:rPr>
                <w:rFonts w:hint="eastAsia" w:ascii="宋体" w:hAnsi="宋体"/>
                <w:kern w:val="0"/>
                <w:szCs w:val="21"/>
              </w:rPr>
              <w:t>制冷功率≥4000W@4.5K氦制冷机的业绩证明。</w:t>
            </w:r>
          </w:p>
          <w:p w14:paraId="70DC74BA">
            <w:pPr>
              <w:widowControl/>
              <w:snapToGrid w:val="0"/>
              <w:rPr>
                <w:rFonts w:hint="eastAsia" w:ascii="宋体" w:hAnsi="宋体"/>
                <w:kern w:val="0"/>
                <w:szCs w:val="21"/>
              </w:rPr>
            </w:pPr>
            <w:r>
              <w:rPr>
                <w:rFonts w:hint="eastAsia" w:ascii="宋体" w:hAnsi="宋体"/>
                <w:kern w:val="0"/>
                <w:szCs w:val="21"/>
              </w:rPr>
              <w:t>每提供1个业绩得10分，如果该业绩已完成履约评价（或验收），且履约评价（或验收）</w:t>
            </w:r>
            <w:r>
              <w:rPr>
                <w:rFonts w:hint="eastAsia" w:ascii="宋体" w:hAnsi="宋体"/>
                <w:color w:val="000000"/>
                <w:szCs w:val="21"/>
              </w:rPr>
              <w:t>合格（或通过）及以上</w:t>
            </w:r>
            <w:r>
              <w:rPr>
                <w:rFonts w:hint="eastAsia" w:ascii="宋体" w:hAnsi="宋体"/>
                <w:kern w:val="0"/>
                <w:szCs w:val="21"/>
              </w:rPr>
              <w:t>额外得5分。</w:t>
            </w:r>
          </w:p>
          <w:p w14:paraId="5477069E">
            <w:pPr>
              <w:widowControl/>
              <w:snapToGrid w:val="0"/>
              <w:rPr>
                <w:rFonts w:hint="eastAsia" w:ascii="宋体" w:hAnsi="宋体"/>
                <w:kern w:val="0"/>
                <w:szCs w:val="21"/>
              </w:rPr>
            </w:pPr>
            <w:r>
              <w:rPr>
                <w:rFonts w:hint="eastAsia" w:ascii="宋体" w:hAnsi="宋体"/>
                <w:kern w:val="0"/>
                <w:szCs w:val="21"/>
              </w:rPr>
              <w:t>2</w:t>
            </w:r>
            <w:r>
              <w:rPr>
                <w:rFonts w:hint="eastAsia" w:ascii="宋体" w:hAnsi="宋体"/>
                <w:kern w:val="0"/>
                <w:szCs w:val="21"/>
                <w:lang w:val="en-US" w:eastAsia="zh-CN"/>
              </w:rPr>
              <w:t>.</w:t>
            </w:r>
            <w:r>
              <w:rPr>
                <w:rFonts w:hint="eastAsia" w:ascii="宋体" w:hAnsi="宋体"/>
                <w:kern w:val="0"/>
                <w:szCs w:val="21"/>
              </w:rPr>
              <w:t>制冷功率≥200</w:t>
            </w:r>
            <w:r>
              <w:rPr>
                <w:rFonts w:ascii="宋体" w:hAnsi="宋体"/>
                <w:kern w:val="0"/>
                <w:szCs w:val="21"/>
              </w:rPr>
              <w:t>0</w:t>
            </w:r>
            <w:r>
              <w:rPr>
                <w:rFonts w:hint="eastAsia" w:ascii="宋体" w:hAnsi="宋体"/>
                <w:kern w:val="0"/>
                <w:szCs w:val="21"/>
              </w:rPr>
              <w:t>W@2K氦制冷机的业绩证明，每提供一个得15分，如果该业绩已完成履约评价（或验收），且履约评价（或验收）</w:t>
            </w:r>
            <w:r>
              <w:rPr>
                <w:rFonts w:hint="eastAsia" w:ascii="宋体" w:hAnsi="宋体"/>
                <w:color w:val="000000"/>
                <w:szCs w:val="21"/>
              </w:rPr>
              <w:t>合格（或通过）及以上</w:t>
            </w:r>
            <w:r>
              <w:rPr>
                <w:rFonts w:hint="eastAsia" w:ascii="宋体" w:hAnsi="宋体"/>
                <w:kern w:val="0"/>
                <w:szCs w:val="21"/>
              </w:rPr>
              <w:t>额外得10分。</w:t>
            </w:r>
          </w:p>
          <w:p w14:paraId="7545CFC2">
            <w:r>
              <w:rPr>
                <w:rFonts w:hint="eastAsia"/>
              </w:rPr>
              <w:t>以上两项累积最高得100分。</w:t>
            </w:r>
          </w:p>
          <w:p w14:paraId="1240490E">
            <w:r>
              <w:rPr>
                <w:rFonts w:hint="eastAsia"/>
              </w:rPr>
              <w:t>同一业绩满足多项要求的，记录最高分，不重复计分。</w:t>
            </w:r>
          </w:p>
          <w:p w14:paraId="473F5010">
            <w:pPr>
              <w:rPr>
                <w:rFonts w:hint="eastAsia" w:ascii="宋体" w:hAnsi="宋体"/>
                <w:szCs w:val="21"/>
              </w:rPr>
            </w:pPr>
            <w:r>
              <w:rPr>
                <w:rFonts w:hint="eastAsia" w:ascii="宋体" w:hAnsi="宋体"/>
                <w:szCs w:val="21"/>
              </w:rPr>
              <w:t>（二）评分依据：</w:t>
            </w:r>
          </w:p>
          <w:p w14:paraId="62EF5592">
            <w:pPr>
              <w:rPr>
                <w:rFonts w:hint="eastAsia" w:ascii="宋体" w:hAnsi="宋体"/>
                <w:color w:val="000000"/>
                <w:szCs w:val="21"/>
              </w:rPr>
            </w:pPr>
            <w:r>
              <w:rPr>
                <w:rFonts w:hint="eastAsia" w:ascii="宋体" w:hAnsi="宋体"/>
                <w:color w:val="000000"/>
                <w:szCs w:val="21"/>
              </w:rPr>
              <w:t>1.要求提供合同关键信息（含签订合同双方的单位名称、合同项目名称、签订合同双方的落款盖章、签订日期的关键页），加盖合同甲方公章（或甲方业务章）、履约评价合格（或通过）及以上（或者验收合格（或通过）及以上证明文件。履约验收要求为终验，阶段性验收不予认可）作为得分依据，履约评价合格或者验收合格证明文件需加盖合同甲方公章（或甲方业务章），上述材料中，如无盖章，签字同样予以认可。</w:t>
            </w:r>
          </w:p>
          <w:p w14:paraId="12B2A120">
            <w:pPr>
              <w:rPr>
                <w:rFonts w:hint="eastAsia" w:ascii="宋体" w:hAnsi="宋体"/>
                <w:color w:val="000000"/>
                <w:szCs w:val="21"/>
              </w:rPr>
            </w:pPr>
            <w:r>
              <w:rPr>
                <w:rFonts w:hint="eastAsia" w:ascii="宋体" w:hAnsi="宋体"/>
                <w:color w:val="000000"/>
                <w:szCs w:val="21"/>
              </w:rPr>
              <w:t>2.通过合同关键信息、履约（验收）文件无法判断是否得分的，还需提供投标人的承诺（格式自拟）。</w:t>
            </w:r>
          </w:p>
          <w:p w14:paraId="5CE720BC">
            <w:pPr>
              <w:widowControl/>
              <w:textAlignment w:val="top"/>
              <w:rPr>
                <w:rFonts w:hint="eastAsia" w:asciiTheme="minorEastAsia" w:hAnsiTheme="minorEastAsia" w:eastAsiaTheme="minorEastAsia"/>
                <w:szCs w:val="21"/>
              </w:rPr>
            </w:pPr>
            <w:r>
              <w:rPr>
                <w:rFonts w:hint="eastAsia" w:ascii="宋体" w:hAnsi="宋体"/>
                <w:color w:val="000000"/>
                <w:szCs w:val="21"/>
              </w:rPr>
              <w:t>3.评分中出现无证明资料或专家无法凭所提供资料判断是否得分的情况，一律作不得分处理。</w:t>
            </w:r>
          </w:p>
        </w:tc>
      </w:tr>
      <w:tr w14:paraId="1D3F79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restart"/>
            <w:tcBorders>
              <w:top w:val="single" w:color="000000" w:sz="8" w:space="0"/>
              <w:left w:val="single" w:color="000000" w:sz="8" w:space="0"/>
              <w:bottom w:val="single" w:color="000000" w:sz="8" w:space="0"/>
              <w:right w:val="single" w:color="000000" w:sz="8" w:space="0"/>
            </w:tcBorders>
            <w:vAlign w:val="center"/>
          </w:tcPr>
          <w:p w14:paraId="17D2D8D3">
            <w:pPr>
              <w:widowControl/>
              <w:jc w:val="center"/>
              <w:rPr>
                <w:rFonts w:hint="eastAsia" w:asciiTheme="minorEastAsia" w:hAnsiTheme="minorEastAsia" w:eastAsiaTheme="minorEastAsia"/>
                <w:b/>
                <w:bCs/>
                <w:color w:val="0000FF"/>
                <w:szCs w:val="21"/>
              </w:rPr>
            </w:pPr>
            <w:r>
              <w:rPr>
                <w:rFonts w:cs="宋体" w:asciiTheme="minorEastAsia" w:hAnsiTheme="minorEastAsia" w:eastAsiaTheme="minorEastAsia"/>
                <w:b/>
                <w:bCs/>
                <w:color w:val="0000FF"/>
                <w:kern w:val="0"/>
                <w:szCs w:val="21"/>
                <w:lang w:bidi="ar"/>
              </w:rPr>
              <w:t>5</w:t>
            </w:r>
          </w:p>
        </w:tc>
        <w:tc>
          <w:tcPr>
            <w:tcW w:w="3214" w:type="dxa"/>
            <w:gridSpan w:val="3"/>
            <w:tcBorders>
              <w:top w:val="single" w:color="000000" w:sz="8" w:space="0"/>
              <w:left w:val="single" w:color="000000" w:sz="8" w:space="0"/>
              <w:bottom w:val="single" w:color="000000" w:sz="8" w:space="0"/>
              <w:right w:val="single" w:color="000000" w:sz="8" w:space="0"/>
            </w:tcBorders>
            <w:vAlign w:val="center"/>
          </w:tcPr>
          <w:p w14:paraId="26549B68">
            <w:pPr>
              <w:widowControl/>
              <w:jc w:val="center"/>
              <w:rPr>
                <w:rFonts w:hint="eastAsia" w:asciiTheme="minorEastAsia" w:hAnsiTheme="minorEastAsia" w:eastAsiaTheme="minorEastAsia"/>
                <w:b/>
                <w:bCs/>
                <w:color w:val="0000FF"/>
                <w:szCs w:val="21"/>
              </w:rPr>
            </w:pPr>
            <w:r>
              <w:rPr>
                <w:rFonts w:hint="eastAsia" w:cs="宋体" w:asciiTheme="minorEastAsia" w:hAnsiTheme="minorEastAsia" w:eastAsiaTheme="minorEastAsia"/>
                <w:b/>
                <w:bCs/>
                <w:color w:val="0000FF"/>
                <w:kern w:val="0"/>
                <w:szCs w:val="21"/>
                <w:lang w:bidi="ar"/>
              </w:rPr>
              <w:t>诚信情况</w:t>
            </w:r>
          </w:p>
        </w:tc>
        <w:tc>
          <w:tcPr>
            <w:tcW w:w="5120" w:type="dxa"/>
            <w:tcBorders>
              <w:top w:val="single" w:color="000000" w:sz="8" w:space="0"/>
              <w:left w:val="single" w:color="000000" w:sz="8" w:space="0"/>
              <w:bottom w:val="single" w:color="000000" w:sz="8" w:space="0"/>
              <w:right w:val="single" w:color="000000" w:sz="8" w:space="0"/>
            </w:tcBorders>
            <w:vAlign w:val="center"/>
          </w:tcPr>
          <w:p w14:paraId="5E5316C9">
            <w:pPr>
              <w:widowControl/>
              <w:jc w:val="center"/>
              <w:rPr>
                <w:rFonts w:hint="eastAsia" w:asciiTheme="minorEastAsia" w:hAnsiTheme="minorEastAsia" w:eastAsiaTheme="minorEastAsia"/>
                <w:b/>
                <w:bCs/>
                <w:color w:val="0000FF"/>
                <w:szCs w:val="21"/>
              </w:rPr>
            </w:pPr>
            <w:r>
              <w:rPr>
                <w:rFonts w:hint="eastAsia" w:asciiTheme="minorEastAsia" w:hAnsiTheme="minorEastAsia" w:eastAsiaTheme="minorEastAsia"/>
                <w:b/>
                <w:bCs/>
                <w:color w:val="0000FF"/>
                <w:szCs w:val="21"/>
              </w:rPr>
              <w:t>1</w:t>
            </w:r>
          </w:p>
        </w:tc>
      </w:tr>
      <w:tr w14:paraId="167E76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1C87ADD8">
            <w:pPr>
              <w:jc w:val="center"/>
              <w:rPr>
                <w:rFonts w:hint="eastAsia" w:asciiTheme="minorEastAsia" w:hAnsiTheme="minorEastAsia" w:eastAsiaTheme="minorEastAsia"/>
                <w:b/>
                <w:bCs/>
                <w:color w:val="0000FF"/>
                <w:szCs w:val="21"/>
              </w:rPr>
            </w:pPr>
          </w:p>
        </w:tc>
        <w:tc>
          <w:tcPr>
            <w:tcW w:w="8334" w:type="dxa"/>
            <w:gridSpan w:val="4"/>
            <w:tcBorders>
              <w:top w:val="single" w:color="000000" w:sz="8" w:space="0"/>
              <w:left w:val="single" w:color="000000" w:sz="8" w:space="0"/>
              <w:bottom w:val="single" w:color="000000" w:sz="8" w:space="0"/>
              <w:right w:val="single" w:color="000000" w:sz="8" w:space="0"/>
            </w:tcBorders>
          </w:tcPr>
          <w:p w14:paraId="761392AD">
            <w:pPr>
              <w:rPr>
                <w:rFonts w:hint="eastAsia" w:asciiTheme="minorEastAsia" w:hAnsiTheme="minorEastAsia" w:eastAsiaTheme="minorEastAsia"/>
                <w:szCs w:val="21"/>
              </w:rPr>
            </w:pPr>
          </w:p>
        </w:tc>
      </w:tr>
      <w:tr w14:paraId="35D812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6850254">
            <w:pPr>
              <w:jc w:val="center"/>
              <w:rPr>
                <w:rFonts w:hint="eastAsia" w:asciiTheme="minorEastAsia" w:hAnsiTheme="minorEastAsia" w:eastAsiaTheme="minorEastAsia"/>
                <w:b/>
                <w:bCs/>
                <w:color w:val="0000FF"/>
                <w:szCs w:val="21"/>
              </w:rPr>
            </w:pPr>
          </w:p>
        </w:tc>
        <w:tc>
          <w:tcPr>
            <w:tcW w:w="709"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7FF9D40">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序号</w:t>
            </w:r>
          </w:p>
        </w:tc>
        <w:tc>
          <w:tcPr>
            <w:tcW w:w="137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7E16CC0">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评分因素</w:t>
            </w:r>
          </w:p>
        </w:tc>
        <w:tc>
          <w:tcPr>
            <w:tcW w:w="113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1D63AF7">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权重(%)</w:t>
            </w:r>
          </w:p>
        </w:tc>
        <w:tc>
          <w:tcPr>
            <w:tcW w:w="512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61C7E41">
            <w:pPr>
              <w:widowControl/>
              <w:jc w:val="center"/>
              <w:rPr>
                <w:rFonts w:hint="eastAsia" w:asciiTheme="minorEastAsia" w:hAnsiTheme="minorEastAsia" w:eastAsiaTheme="minorEastAsia"/>
                <w:szCs w:val="21"/>
              </w:rPr>
            </w:pPr>
            <w:r>
              <w:rPr>
                <w:rFonts w:cs="宋体" w:asciiTheme="minorEastAsia" w:hAnsiTheme="minorEastAsia" w:eastAsiaTheme="minorEastAsia"/>
                <w:kern w:val="0"/>
                <w:szCs w:val="21"/>
                <w:lang w:bidi="ar"/>
              </w:rPr>
              <w:t>评分准则</w:t>
            </w:r>
          </w:p>
        </w:tc>
      </w:tr>
      <w:tr w14:paraId="02BFB6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744"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51D49D94">
            <w:pPr>
              <w:jc w:val="center"/>
              <w:rPr>
                <w:rFonts w:hint="eastAsia" w:asciiTheme="minorEastAsia" w:hAnsiTheme="minorEastAsia" w:eastAsiaTheme="minorEastAsia"/>
                <w:b/>
                <w:bCs/>
                <w:color w:val="0000FF"/>
                <w:szCs w:val="21"/>
              </w:rPr>
            </w:pPr>
          </w:p>
        </w:tc>
        <w:tc>
          <w:tcPr>
            <w:tcW w:w="709" w:type="dxa"/>
            <w:tcBorders>
              <w:top w:val="single" w:color="000000" w:sz="8" w:space="0"/>
              <w:left w:val="single" w:color="000000" w:sz="8" w:space="0"/>
              <w:bottom w:val="single" w:color="000000" w:sz="8" w:space="0"/>
              <w:right w:val="single" w:color="000000" w:sz="8" w:space="0"/>
            </w:tcBorders>
            <w:vAlign w:val="center"/>
          </w:tcPr>
          <w:p w14:paraId="3183E61A">
            <w:pPr>
              <w:widowControl/>
              <w:jc w:val="center"/>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371" w:type="dxa"/>
            <w:tcBorders>
              <w:top w:val="single" w:color="000000" w:sz="8" w:space="0"/>
              <w:left w:val="single" w:color="000000" w:sz="8" w:space="0"/>
              <w:bottom w:val="single" w:color="000000" w:sz="8" w:space="0"/>
              <w:right w:val="single" w:color="000000" w:sz="8" w:space="0"/>
            </w:tcBorders>
            <w:vAlign w:val="center"/>
          </w:tcPr>
          <w:p w14:paraId="401C8C93">
            <w:pPr>
              <w:widowControl/>
              <w:jc w:val="center"/>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诚信情况</w:t>
            </w:r>
          </w:p>
        </w:tc>
        <w:tc>
          <w:tcPr>
            <w:tcW w:w="1134" w:type="dxa"/>
            <w:tcBorders>
              <w:top w:val="single" w:color="000000" w:sz="8" w:space="0"/>
              <w:left w:val="single" w:color="000000" w:sz="8" w:space="0"/>
              <w:bottom w:val="single" w:color="000000" w:sz="8" w:space="0"/>
              <w:right w:val="single" w:color="000000" w:sz="8" w:space="0"/>
            </w:tcBorders>
            <w:vAlign w:val="center"/>
          </w:tcPr>
          <w:p w14:paraId="23A960C4">
            <w:pPr>
              <w:widowControl/>
              <w:jc w:val="center"/>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5120" w:type="dxa"/>
            <w:tcBorders>
              <w:top w:val="single" w:color="000000" w:sz="8" w:space="0"/>
              <w:left w:val="single" w:color="000000" w:sz="8" w:space="0"/>
              <w:bottom w:val="single" w:color="000000" w:sz="8" w:space="0"/>
              <w:right w:val="single" w:color="000000" w:sz="8" w:space="0"/>
            </w:tcBorders>
          </w:tcPr>
          <w:p w14:paraId="36F3FD90">
            <w:pPr>
              <w:pStyle w:val="2"/>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4377346B">
            <w:pPr>
              <w:pStyle w:val="2"/>
              <w:spacing w:line="240" w:lineRule="auto"/>
              <w:ind w:firstLine="420" w:firstLineChars="200"/>
              <w:rPr>
                <w:rFonts w:hint="eastAsia" w:asciiTheme="minorEastAsia" w:hAnsiTheme="minorEastAsia" w:eastAsiaTheme="minorEastAsia"/>
                <w:sz w:val="21"/>
                <w:szCs w:val="21"/>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46902E3C">
      <w:pPr>
        <w:pStyle w:val="2"/>
      </w:pPr>
      <w:r>
        <w:br w:type="page"/>
      </w:r>
    </w:p>
    <w:p w14:paraId="4C7444C1">
      <w:pPr>
        <w:jc w:val="center"/>
        <w:rPr>
          <w:b/>
          <w:sz w:val="84"/>
          <w:szCs w:val="84"/>
        </w:rPr>
      </w:pPr>
    </w:p>
    <w:p w14:paraId="5E30A6D9">
      <w:pPr>
        <w:jc w:val="both"/>
        <w:rPr>
          <w:b/>
          <w:sz w:val="84"/>
          <w:szCs w:val="84"/>
        </w:rPr>
      </w:pPr>
    </w:p>
    <w:p w14:paraId="11848647">
      <w:pPr>
        <w:jc w:val="center"/>
        <w:rPr>
          <w:b/>
          <w:sz w:val="120"/>
          <w:szCs w:val="120"/>
        </w:rPr>
      </w:pPr>
      <w:r>
        <w:rPr>
          <w:rFonts w:hint="eastAsia"/>
          <w:b/>
          <w:sz w:val="120"/>
          <w:szCs w:val="120"/>
        </w:rPr>
        <w:t>政府采购</w:t>
      </w:r>
    </w:p>
    <w:p w14:paraId="1F15CCB1">
      <w:pPr>
        <w:jc w:val="center"/>
        <w:rPr>
          <w:b/>
          <w:sz w:val="120"/>
          <w:szCs w:val="120"/>
        </w:rPr>
      </w:pPr>
      <w:r>
        <w:rPr>
          <w:rFonts w:hint="eastAsia"/>
          <w:b/>
          <w:sz w:val="120"/>
          <w:szCs w:val="120"/>
        </w:rPr>
        <w:t>招标文件</w:t>
      </w:r>
    </w:p>
    <w:p w14:paraId="457FB6BB">
      <w:pPr>
        <w:jc w:val="center"/>
        <w:rPr>
          <w:b/>
          <w:sz w:val="52"/>
          <w:szCs w:val="52"/>
        </w:rPr>
      </w:pPr>
      <w:r>
        <w:rPr>
          <w:rFonts w:hint="eastAsia"/>
          <w:b/>
          <w:sz w:val="52"/>
          <w:szCs w:val="52"/>
        </w:rPr>
        <w:t>（货物类）</w:t>
      </w:r>
    </w:p>
    <w:p w14:paraId="0CEF9F71"/>
    <w:p w14:paraId="7EC22BC7"/>
    <w:p w14:paraId="47DD40B8"/>
    <w:p w14:paraId="2B83E72E"/>
    <w:p w14:paraId="2F28596D"/>
    <w:p w14:paraId="46C44773"/>
    <w:p w14:paraId="40E11035"/>
    <w:p w14:paraId="76BCF5D0"/>
    <w:p w14:paraId="622ADC99"/>
    <w:p w14:paraId="28FD7726"/>
    <w:p w14:paraId="6BC24B23"/>
    <w:p w14:paraId="44EFDD89"/>
    <w:p w14:paraId="219F7E8A"/>
    <w:p w14:paraId="1E178F70"/>
    <w:p w14:paraId="1C97BCFF"/>
    <w:p w14:paraId="1838D55B"/>
    <w:p w14:paraId="070A247A"/>
    <w:p w14:paraId="2B0ECFC4"/>
    <w:p w14:paraId="553015F1"/>
    <w:p w14:paraId="2C7096D3">
      <w:pPr>
        <w:jc w:val="center"/>
        <w:rPr>
          <w:b/>
          <w:sz w:val="44"/>
          <w:szCs w:val="44"/>
        </w:rPr>
      </w:pPr>
      <w:bookmarkStart w:id="3" w:name="_Hlk71465316"/>
      <w:r>
        <w:rPr>
          <w:rFonts w:hint="eastAsia"/>
          <w:b/>
          <w:sz w:val="44"/>
          <w:szCs w:val="44"/>
        </w:rPr>
        <w:t>深圳公共资源交易中心</w:t>
      </w:r>
    </w:p>
    <w:p w14:paraId="4AFED562">
      <w:pPr>
        <w:jc w:val="center"/>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t>（</w:t>
      </w:r>
      <w:r>
        <w:rPr>
          <w:rFonts w:asciiTheme="minorEastAsia" w:hAnsiTheme="minorEastAsia" w:eastAsiaTheme="minorEastAsia"/>
          <w:b/>
          <w:sz w:val="44"/>
          <w:szCs w:val="44"/>
        </w:rPr>
        <w:t>20</w:t>
      </w:r>
      <w:r>
        <w:rPr>
          <w:rFonts w:hint="eastAsia" w:asciiTheme="minorEastAsia" w:hAnsiTheme="minorEastAsia" w:eastAsiaTheme="minorEastAsia"/>
          <w:b/>
          <w:sz w:val="44"/>
          <w:szCs w:val="44"/>
        </w:rPr>
        <w:t>26）</w:t>
      </w:r>
    </w:p>
    <w:bookmarkEnd w:id="3"/>
    <w:p w14:paraId="54E84A3D">
      <w:pPr>
        <w:widowControl/>
        <w:jc w:val="left"/>
      </w:pPr>
      <w:r>
        <w:br w:type="page"/>
      </w:r>
    </w:p>
    <w:p w14:paraId="78C494CA">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6AEDFA70">
      <w:pPr>
        <w:rPr>
          <w:b/>
          <w:sz w:val="24"/>
        </w:rPr>
      </w:pPr>
      <w:r>
        <w:rPr>
          <w:rFonts w:hint="eastAsia"/>
          <w:b/>
          <w:sz w:val="24"/>
        </w:rPr>
        <w:t>第一册    专用条款</w:t>
      </w:r>
    </w:p>
    <w:p w14:paraId="64973111">
      <w:pPr>
        <w:ind w:firstLine="960" w:firstLineChars="400"/>
        <w:rPr>
          <w:sz w:val="24"/>
        </w:rPr>
      </w:pPr>
      <w:r>
        <w:rPr>
          <w:rFonts w:hint="eastAsia"/>
          <w:sz w:val="24"/>
        </w:rPr>
        <w:t>关键信息</w:t>
      </w:r>
    </w:p>
    <w:p w14:paraId="5C7DAFD0">
      <w:pPr>
        <w:ind w:left="630" w:leftChars="300" w:firstLine="630" w:firstLineChars="300"/>
        <w:rPr>
          <w:rFonts w:hint="eastAsia" w:ascii="宋体" w:hAnsi="宋体"/>
          <w:szCs w:val="21"/>
        </w:rPr>
      </w:pPr>
      <w:r>
        <w:rPr>
          <w:rFonts w:hint="eastAsia" w:ascii="宋体" w:hAnsi="宋体"/>
          <w:szCs w:val="21"/>
        </w:rPr>
        <w:t>第一章  招标公告</w:t>
      </w:r>
    </w:p>
    <w:p w14:paraId="26631905">
      <w:pPr>
        <w:ind w:left="630" w:leftChars="300" w:firstLine="630" w:firstLineChars="300"/>
        <w:rPr>
          <w:rFonts w:hint="eastAsia"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55429EC1">
      <w:pPr>
        <w:ind w:left="630" w:leftChars="300" w:firstLine="630" w:firstLineChars="300"/>
        <w:rPr>
          <w:rFonts w:hint="eastAsia"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0D5EE00">
      <w:pPr>
        <w:ind w:left="630" w:leftChars="300" w:firstLine="630" w:firstLineChars="300"/>
        <w:rPr>
          <w:rFonts w:hint="eastAsia"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75A04DB2">
      <w:pPr>
        <w:ind w:left="630" w:leftChars="300" w:firstLine="630" w:firstLineChars="300"/>
        <w:rPr>
          <w:rFonts w:hint="eastAsia" w:ascii="宋体" w:hAnsi="宋体"/>
          <w:szCs w:val="21"/>
        </w:rPr>
      </w:pPr>
      <w:r>
        <w:rPr>
          <w:rFonts w:hint="eastAsia" w:ascii="宋体" w:hAnsi="宋体"/>
          <w:szCs w:val="21"/>
        </w:rPr>
        <w:t>第五章  合同条款及格式</w:t>
      </w:r>
    </w:p>
    <w:p w14:paraId="414FF853">
      <w:pPr>
        <w:rPr>
          <w:b/>
          <w:sz w:val="24"/>
        </w:rPr>
      </w:pPr>
    </w:p>
    <w:p w14:paraId="7751EC8B">
      <w:pPr>
        <w:rPr>
          <w:b/>
          <w:sz w:val="24"/>
        </w:rPr>
      </w:pPr>
      <w:r>
        <w:rPr>
          <w:rFonts w:hint="eastAsia"/>
          <w:b/>
          <w:sz w:val="24"/>
        </w:rPr>
        <w:t>第二册    通用条款</w:t>
      </w:r>
    </w:p>
    <w:p w14:paraId="4C437B60">
      <w:pPr>
        <w:ind w:left="630" w:leftChars="300" w:firstLine="630" w:firstLineChars="300"/>
        <w:rPr>
          <w:rFonts w:hint="eastAsia" w:ascii="宋体" w:hAnsi="宋体"/>
          <w:szCs w:val="21"/>
        </w:rPr>
      </w:pPr>
      <w:r>
        <w:rPr>
          <w:rFonts w:hint="eastAsia" w:ascii="宋体" w:hAnsi="宋体"/>
          <w:szCs w:val="21"/>
        </w:rPr>
        <w:t>第一章  总则</w:t>
      </w:r>
    </w:p>
    <w:p w14:paraId="09A2C891">
      <w:pPr>
        <w:ind w:left="630" w:leftChars="300" w:firstLine="630" w:firstLineChars="300"/>
        <w:rPr>
          <w:rFonts w:hint="eastAsia" w:ascii="宋体" w:hAnsi="宋体"/>
          <w:szCs w:val="21"/>
        </w:rPr>
      </w:pPr>
      <w:r>
        <w:rPr>
          <w:rFonts w:hint="eastAsia" w:ascii="宋体" w:hAnsi="宋体"/>
          <w:szCs w:val="21"/>
        </w:rPr>
        <w:t>第二章  招标文件</w:t>
      </w:r>
    </w:p>
    <w:p w14:paraId="75529F7E">
      <w:pPr>
        <w:ind w:left="630" w:leftChars="300" w:firstLine="630" w:firstLineChars="300"/>
        <w:rPr>
          <w:rFonts w:hint="eastAsia" w:ascii="宋体" w:hAnsi="宋体"/>
          <w:szCs w:val="21"/>
        </w:rPr>
      </w:pPr>
      <w:r>
        <w:rPr>
          <w:rFonts w:hint="eastAsia" w:ascii="宋体" w:hAnsi="宋体"/>
          <w:szCs w:val="21"/>
        </w:rPr>
        <w:t>第三章  投标文件的编制</w:t>
      </w:r>
    </w:p>
    <w:p w14:paraId="36328237">
      <w:pPr>
        <w:ind w:left="630" w:leftChars="300" w:firstLine="630" w:firstLineChars="300"/>
        <w:rPr>
          <w:rFonts w:hint="eastAsia" w:ascii="宋体" w:hAnsi="宋体"/>
          <w:szCs w:val="21"/>
        </w:rPr>
      </w:pPr>
      <w:r>
        <w:rPr>
          <w:rFonts w:hint="eastAsia" w:ascii="宋体" w:hAnsi="宋体"/>
          <w:szCs w:val="21"/>
        </w:rPr>
        <w:t>第四章  投标文件的递交</w:t>
      </w:r>
    </w:p>
    <w:p w14:paraId="34545D98">
      <w:pPr>
        <w:ind w:left="630" w:leftChars="300" w:firstLine="630" w:firstLineChars="300"/>
        <w:rPr>
          <w:rFonts w:hint="eastAsia" w:ascii="宋体" w:hAnsi="宋体"/>
          <w:szCs w:val="21"/>
        </w:rPr>
      </w:pPr>
      <w:r>
        <w:rPr>
          <w:rFonts w:hint="eastAsia" w:ascii="宋体" w:hAnsi="宋体"/>
          <w:szCs w:val="21"/>
        </w:rPr>
        <w:t>第五章  开标</w:t>
      </w:r>
    </w:p>
    <w:p w14:paraId="6CF8D400">
      <w:pPr>
        <w:ind w:left="630" w:leftChars="300" w:firstLine="630" w:firstLineChars="300"/>
        <w:rPr>
          <w:rFonts w:hint="eastAsia" w:ascii="宋体" w:hAnsi="宋体"/>
          <w:szCs w:val="21"/>
        </w:rPr>
      </w:pPr>
      <w:r>
        <w:rPr>
          <w:rFonts w:hint="eastAsia" w:ascii="宋体" w:hAnsi="宋体"/>
          <w:szCs w:val="21"/>
        </w:rPr>
        <w:t>第六章  评审要求</w:t>
      </w:r>
    </w:p>
    <w:p w14:paraId="357DAFDB">
      <w:pPr>
        <w:ind w:left="630" w:leftChars="300" w:firstLine="630" w:firstLineChars="300"/>
        <w:rPr>
          <w:rFonts w:hint="eastAsia" w:ascii="宋体" w:hAnsi="宋体"/>
          <w:szCs w:val="21"/>
        </w:rPr>
      </w:pPr>
      <w:r>
        <w:rPr>
          <w:rFonts w:hint="eastAsia" w:ascii="宋体" w:hAnsi="宋体"/>
          <w:szCs w:val="21"/>
        </w:rPr>
        <w:t>第七章  评审程序及评审方法</w:t>
      </w:r>
    </w:p>
    <w:p w14:paraId="21F4498B">
      <w:pPr>
        <w:ind w:left="630" w:leftChars="300" w:firstLine="630" w:firstLineChars="300"/>
        <w:rPr>
          <w:rFonts w:hint="eastAsia" w:ascii="宋体" w:hAnsi="宋体"/>
          <w:szCs w:val="21"/>
        </w:rPr>
      </w:pPr>
      <w:r>
        <w:rPr>
          <w:rFonts w:hint="eastAsia" w:ascii="宋体" w:hAnsi="宋体"/>
          <w:szCs w:val="21"/>
        </w:rPr>
        <w:t>第八章  定标及公示</w:t>
      </w:r>
    </w:p>
    <w:p w14:paraId="0F4C8B68">
      <w:pPr>
        <w:ind w:left="630" w:leftChars="300" w:firstLine="630" w:firstLineChars="300"/>
        <w:rPr>
          <w:rFonts w:hint="eastAsia" w:ascii="宋体" w:hAnsi="宋体"/>
          <w:szCs w:val="21"/>
        </w:rPr>
      </w:pPr>
      <w:r>
        <w:rPr>
          <w:rFonts w:hint="eastAsia" w:ascii="宋体" w:hAnsi="宋体"/>
          <w:szCs w:val="21"/>
        </w:rPr>
        <w:t>第九章  公开招标失败的后续处理</w:t>
      </w:r>
    </w:p>
    <w:p w14:paraId="0F2D7293">
      <w:pPr>
        <w:ind w:left="630" w:leftChars="300" w:firstLine="630" w:firstLineChars="300"/>
        <w:rPr>
          <w:rFonts w:hint="eastAsia" w:ascii="宋体" w:hAnsi="宋体"/>
          <w:szCs w:val="21"/>
        </w:rPr>
      </w:pPr>
      <w:r>
        <w:rPr>
          <w:rFonts w:hint="eastAsia" w:ascii="宋体" w:hAnsi="宋体"/>
          <w:szCs w:val="21"/>
        </w:rPr>
        <w:t>第十章  合同的授予与备案</w:t>
      </w:r>
    </w:p>
    <w:p w14:paraId="2FF695DB">
      <w:pPr>
        <w:ind w:left="630" w:leftChars="300" w:firstLine="630" w:firstLineChars="300"/>
        <w:rPr>
          <w:rFonts w:hint="eastAsia" w:ascii="宋体" w:hAnsi="宋体"/>
          <w:szCs w:val="21"/>
        </w:rPr>
      </w:pPr>
      <w:r>
        <w:rPr>
          <w:rFonts w:hint="eastAsia" w:ascii="宋体" w:hAnsi="宋体"/>
          <w:szCs w:val="21"/>
        </w:rPr>
        <w:t>第十一章  质疑处理</w:t>
      </w:r>
    </w:p>
    <w:p w14:paraId="3A06E10C">
      <w:pPr>
        <w:widowControl/>
        <w:jc w:val="left"/>
        <w:rPr>
          <w:b/>
          <w:bCs/>
          <w:sz w:val="24"/>
        </w:rPr>
      </w:pPr>
      <w:r>
        <w:br w:type="page"/>
      </w:r>
    </w:p>
    <w:bookmarkEnd w:id="4"/>
    <w:p w14:paraId="1BA8E112">
      <w:pPr>
        <w:pStyle w:val="4"/>
        <w:rPr>
          <w:rFonts w:hint="eastAsia"/>
          <w:color w:val="FF0000"/>
          <w:sz w:val="24"/>
        </w:rPr>
      </w:pPr>
      <w:bookmarkStart w:id="6" w:name="bt说明"/>
      <w:bookmarkEnd w:id="6"/>
      <w:bookmarkStart w:id="7" w:name="bt技术标投标文件格式"/>
      <w:bookmarkEnd w:id="7"/>
      <w:bookmarkStart w:id="8" w:name="bt本工程承诺书"/>
      <w:bookmarkEnd w:id="8"/>
      <w:bookmarkStart w:id="9" w:name="bt投标人情况介绍"/>
      <w:bookmarkEnd w:id="9"/>
      <w:bookmarkStart w:id="10" w:name="bt投标报价汇总表"/>
      <w:bookmarkEnd w:id="10"/>
      <w:bookmarkStart w:id="11" w:name="bt开标一览表"/>
      <w:bookmarkEnd w:id="11"/>
      <w:bookmarkStart w:id="12" w:name="合同格式"/>
      <w:bookmarkEnd w:id="12"/>
      <w:bookmarkStart w:id="13" w:name="bt合同条款"/>
      <w:bookmarkEnd w:id="13"/>
      <w:bookmarkStart w:id="14" w:name="bt项目管理班子配备情况"/>
      <w:bookmarkEnd w:id="14"/>
      <w:bookmarkStart w:id="15" w:name="bt其他资料2"/>
      <w:bookmarkEnd w:id="15"/>
      <w:bookmarkStart w:id="16" w:name="bt投标文件签署授权委托书"/>
      <w:bookmarkEnd w:id="16"/>
      <w:bookmarkStart w:id="17" w:name="bt投标人须知"/>
      <w:bookmarkEnd w:id="17"/>
      <w:bookmarkStart w:id="18" w:name="bt其他资料由投标人自定"/>
      <w:bookmarkEnd w:id="18"/>
      <w:bookmarkStart w:id="19" w:name="bt投标函"/>
      <w:bookmarkEnd w:id="19"/>
      <w:bookmarkStart w:id="20" w:name="bt合同格式"/>
      <w:bookmarkEnd w:id="20"/>
      <w:bookmarkStart w:id="21" w:name="bt商务标投标文件格式"/>
      <w:bookmarkEnd w:id="21"/>
      <w:bookmarkStart w:id="22" w:name="bt合同条款及格式"/>
      <w:bookmarkEnd w:id="22"/>
      <w:r>
        <w:rPr>
          <w:rFonts w:hint="eastAsia"/>
        </w:rPr>
        <w:t>第一册  专用条款</w:t>
      </w:r>
    </w:p>
    <w:p w14:paraId="3B028313">
      <w:pPr>
        <w:pStyle w:val="7"/>
        <w:rPr>
          <w:rFonts w:hint="eastAsia"/>
          <w:sz w:val="28"/>
          <w:szCs w:val="28"/>
        </w:rPr>
      </w:pPr>
      <w:r>
        <w:rPr>
          <w:rFonts w:hint="eastAsia"/>
          <w:sz w:val="28"/>
          <w:szCs w:val="28"/>
        </w:rPr>
        <w:t>第一章  招标公告</w:t>
      </w:r>
    </w:p>
    <w:p w14:paraId="58E1BF12">
      <w:pPr>
        <w:spacing w:line="360" w:lineRule="auto"/>
        <w:rPr>
          <w:rFonts w:hint="eastAsia" w:ascii="宋体" w:hAnsi="宋体" w:cs="宋体"/>
          <w:b/>
          <w:bCs/>
          <w:kern w:val="0"/>
          <w:szCs w:val="21"/>
        </w:rPr>
      </w:pPr>
      <w:r>
        <w:rPr>
          <w:rFonts w:hint="eastAsia" w:ascii="宋体" w:hAnsi="宋体" w:cs="宋体"/>
          <w:b/>
          <w:bCs/>
          <w:kern w:val="0"/>
          <w:szCs w:val="21"/>
        </w:rPr>
        <w:t>申请人的资格要求：</w:t>
      </w:r>
    </w:p>
    <w:p w14:paraId="5DFE02BF">
      <w:pPr>
        <w:ind w:firstLine="420" w:firstLineChars="200"/>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w:t>
      </w:r>
      <w:bookmarkStart w:id="23" w:name="_Hlk72162904"/>
      <w:r>
        <w:rPr>
          <w:rFonts w:hint="eastAsia" w:cs="宋体" w:asciiTheme="minorEastAsia" w:hAnsiTheme="minorEastAsia" w:eastAsiaTheme="minorEastAsia"/>
          <w:kern w:val="0"/>
          <w:szCs w:val="21"/>
        </w:rPr>
        <w:t>具有独立承担民事责任的能力（提供营业执照或事业单位法人证书等证明资料扫描件，分支机构参与投标的，须同时提供分支机构营业执照、其总公司的营业执照及</w:t>
      </w:r>
      <w:r>
        <w:rPr>
          <w:rFonts w:hint="eastAsia" w:cs="宋体" w:asciiTheme="minorEastAsia" w:hAnsiTheme="minorEastAsia" w:eastAsiaTheme="minorEastAsia"/>
          <w:color w:val="000000" w:themeColor="text1"/>
          <w:kern w:val="0"/>
          <w:szCs w:val="21"/>
          <w14:textFill>
            <w14:solidFill>
              <w14:schemeClr w14:val="tx1"/>
            </w14:solidFill>
          </w14:textFill>
        </w:rPr>
        <w:t>总公司</w:t>
      </w:r>
      <w:r>
        <w:rPr>
          <w:rFonts w:hint="eastAsia" w:cs="宋体" w:asciiTheme="minorEastAsia" w:hAnsiTheme="minorEastAsia" w:eastAsiaTheme="minorEastAsia"/>
          <w:kern w:val="0"/>
          <w:szCs w:val="21"/>
        </w:rPr>
        <w:t>授权文件且授权书载明其民事责任</w:t>
      </w:r>
      <w:r>
        <w:rPr>
          <w:rFonts w:hint="eastAsia" w:cs="宋体" w:asciiTheme="minorEastAsia" w:hAnsiTheme="minorEastAsia" w:eastAsiaTheme="minorEastAsia"/>
          <w:color w:val="000000" w:themeColor="text1"/>
          <w:kern w:val="0"/>
          <w:szCs w:val="21"/>
          <w14:textFill>
            <w14:solidFill>
              <w14:schemeClr w14:val="tx1"/>
            </w14:solidFill>
          </w14:textFill>
        </w:rPr>
        <w:t>由总公司承担）</w:t>
      </w:r>
      <w:bookmarkEnd w:id="23"/>
      <w:r>
        <w:rPr>
          <w:rFonts w:hint="eastAsia" w:asciiTheme="minorEastAsia" w:hAnsiTheme="minorEastAsia" w:eastAsiaTheme="minorEastAsia"/>
          <w:color w:val="000000" w:themeColor="text1"/>
          <w14:textFill>
            <w14:solidFill>
              <w14:schemeClr w14:val="tx1"/>
            </w14:solidFill>
          </w14:textFill>
        </w:rPr>
        <w:t>；不接受同一集团（或总公司）授权两家或以上分公</w:t>
      </w:r>
      <w:r>
        <w:rPr>
          <w:rFonts w:hint="eastAsia" w:cs="宋体" w:asciiTheme="minorEastAsia" w:hAnsiTheme="minorEastAsia" w:eastAsiaTheme="minorEastAsia"/>
          <w:kern w:val="0"/>
          <w:szCs w:val="21"/>
        </w:rPr>
        <w:t>司同时参与本项目投标，也不接受集团（或总公司）与分公司同时参与本项目投标，如出现上述情形，该两家或以上供应商的投标文件均按无效投标处理）；</w:t>
      </w:r>
    </w:p>
    <w:p w14:paraId="5C65A1DA">
      <w:pPr>
        <w:ind w:firstLine="420" w:firstLineChars="200"/>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2.本项目不接受联合体投标，是否允许投标人选用进口产品参与投标以招标文件“第三章 用户需求书”为准，（由供应商在《政府采购投标及履约承诺函》中作出声明）；</w:t>
      </w:r>
    </w:p>
    <w:p w14:paraId="79414072">
      <w:pPr>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kern w:val="0"/>
          <w:szCs w:val="21"/>
        </w:rPr>
        <w:t>3.参与本项目政府采购活动时不存在被有关部</w:t>
      </w:r>
      <w:r>
        <w:rPr>
          <w:rFonts w:hint="eastAsia" w:cs="宋体" w:asciiTheme="minorEastAsia" w:hAnsiTheme="minorEastAsia" w:eastAsiaTheme="minorEastAsia"/>
          <w:color w:val="000000" w:themeColor="text1"/>
          <w:kern w:val="0"/>
          <w:szCs w:val="21"/>
          <w14:textFill>
            <w14:solidFill>
              <w14:schemeClr w14:val="tx1"/>
            </w14:solidFill>
          </w14:textFill>
        </w:rPr>
        <w:t>门禁止参与政府采购活动且在有效期内的情况（由供应商在《政府采购投标及履约承诺函》中作出声明）；</w:t>
      </w:r>
    </w:p>
    <w:p w14:paraId="1FFC1642">
      <w:pPr>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76563E27">
      <w:pPr>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p>
    <w:p w14:paraId="72F8E60F">
      <w:pPr>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6.不存在《深圳市财政局政府采购供应商信用信息管理办法》（深财规〔2023〕3号）列明的严重违法失信行为（由供应商在《政府采购投标及履约承诺函》中作出声明）；</w:t>
      </w:r>
    </w:p>
    <w:p w14:paraId="74275C37">
      <w:pPr>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7.为采购项目提供整体设计、规范编制或者项目管理、监理、检测等服务的供应商，不得再参加该采购项目的其他采购活动（由供应商在《政府采购投标及履约承诺函》中作出声明）；</w:t>
      </w:r>
    </w:p>
    <w:p w14:paraId="744654CB">
      <w:pPr>
        <w:pStyle w:val="61"/>
        <w:ind w:firstLine="420" w:firstLineChars="200"/>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4824EE26">
      <w:pPr>
        <w:pStyle w:val="61"/>
        <w:ind w:firstLine="420" w:firstLineChars="200"/>
        <w:rPr>
          <w:rFonts w:hint="eastAsia" w:asciiTheme="minorEastAsia" w:hAnsiTheme="minorEastAsia" w:eastAsiaTheme="minorEastAsia"/>
        </w:rPr>
      </w:pPr>
      <w:r>
        <w:rPr>
          <w:rFonts w:hint="eastAsia" w:asciiTheme="minorEastAsia" w:hAnsiTheme="minorEastAsia" w:eastAsiaTheme="minorEastAsia"/>
        </w:rPr>
        <w:t>9.本项目不专门面向中小企业采购。</w:t>
      </w:r>
    </w:p>
    <w:p w14:paraId="7AFD09F8">
      <w:pPr>
        <w:wordWrap w:val="0"/>
        <w:ind w:firstLine="420" w:firstLineChars="200"/>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cs="宋体" w:asciiTheme="minorEastAsia" w:hAnsiTheme="minorEastAsia" w:eastAsiaTheme="minorEastAsia"/>
          <w:kern w:val="0"/>
          <w:szCs w:val="21"/>
        </w:rPr>
        <w:t>为供应商信用信息的查询渠道，相关信息以开标当日的查询结果为准；</w:t>
      </w:r>
    </w:p>
    <w:p w14:paraId="25434E4E">
      <w:pPr>
        <w:ind w:firstLine="420" w:firstLineChars="200"/>
        <w:rPr>
          <w:rFonts w:hint="eastAsia" w:asciiTheme="minorEastAsia" w:hAnsiTheme="minorEastAsia" w:eastAsiaTheme="minorEastAsia"/>
        </w:rPr>
      </w:pPr>
      <w:r>
        <w:rPr>
          <w:rFonts w:hint="eastAsia" w:asciiTheme="minorEastAsia" w:hAnsiTheme="minorEastAsia" w:eastAsiaTheme="minorEastAsia"/>
        </w:rPr>
        <w:t>（2）供应商投标（上传投标文件）必须先行办理注册手续，具体请按照本公告“六、其他补充事宜</w:t>
      </w:r>
      <w:r>
        <w:rPr>
          <w:rFonts w:asciiTheme="minorEastAsia" w:hAnsiTheme="minorEastAsia" w:eastAsiaTheme="minorEastAsia"/>
        </w:rPr>
        <w:t>”</w:t>
      </w:r>
      <w:r>
        <w:rPr>
          <w:rFonts w:hint="eastAsia" w:asciiTheme="minorEastAsia" w:hAnsiTheme="minorEastAsia" w:eastAsiaTheme="minorEastAsia"/>
        </w:rPr>
        <w:t>相关内容指引办理。</w:t>
      </w:r>
    </w:p>
    <w:p w14:paraId="307351EE">
      <w:pPr>
        <w:ind w:firstLine="420" w:firstLineChars="200"/>
        <w:rPr>
          <w:rFonts w:hint="eastAsia" w:asciiTheme="minorEastAsia" w:hAnsiTheme="minorEastAsia" w:eastAsiaTheme="minorEastAsia"/>
        </w:rPr>
      </w:pPr>
    </w:p>
    <w:p w14:paraId="4A73A8D6">
      <w:pPr>
        <w:ind w:firstLine="442" w:firstLineChars="200"/>
        <w:rPr>
          <w:rFonts w:hint="eastAsia" w:asciiTheme="minorEastAsia" w:hAnsiTheme="minorEastAsia" w:eastAsiaTheme="minorEastAsia"/>
          <w:b/>
        </w:rPr>
      </w:pPr>
      <w:r>
        <w:rPr>
          <w:rFonts w:hint="eastAsia" w:asciiTheme="minorEastAsia" w:hAnsiTheme="minorEastAsia" w:eastAsiaTheme="minorEastAsia"/>
          <w:b/>
          <w:sz w:val="22"/>
          <w:szCs w:val="18"/>
        </w:rPr>
        <w:t>完整公告内容详见：深圳公共资源交易网（</w:t>
      </w:r>
      <w:r>
        <w:rPr>
          <w:rFonts w:asciiTheme="minorEastAsia" w:hAnsiTheme="minorEastAsia" w:eastAsiaTheme="minorEastAsia"/>
          <w:b/>
          <w:sz w:val="22"/>
          <w:szCs w:val="18"/>
        </w:rPr>
        <w:t>https://www.szggzy.com</w:t>
      </w:r>
      <w:r>
        <w:rPr>
          <w:rFonts w:hint="eastAsia" w:asciiTheme="minorEastAsia" w:hAnsiTheme="minorEastAsia" w:eastAsiaTheme="minorEastAsia"/>
          <w:b/>
          <w:sz w:val="22"/>
          <w:szCs w:val="18"/>
        </w:rPr>
        <w:t>）</w:t>
      </w:r>
    </w:p>
    <w:p w14:paraId="0641CE1B">
      <w:pPr>
        <w:widowControl/>
        <w:jc w:val="left"/>
        <w:rPr>
          <w:b/>
        </w:rPr>
      </w:pPr>
      <w:r>
        <w:rPr>
          <w:b/>
        </w:rPr>
        <w:br w:type="page"/>
      </w:r>
    </w:p>
    <w:p w14:paraId="6300F92E">
      <w:pPr>
        <w:pStyle w:val="7"/>
        <w:rPr>
          <w:rFonts w:hint="eastAsia"/>
          <w:sz w:val="28"/>
          <w:szCs w:val="28"/>
        </w:rPr>
      </w:pPr>
      <w:r>
        <w:rPr>
          <w:rFonts w:hint="eastAsia"/>
          <w:sz w:val="28"/>
          <w:szCs w:val="28"/>
        </w:rPr>
        <w:t xml:space="preserve">第二章 </w:t>
      </w:r>
      <w:bookmarkStart w:id="24" w:name="_Hlk71926094"/>
      <w:r>
        <w:rPr>
          <w:rFonts w:hint="eastAsia"/>
          <w:sz w:val="28"/>
          <w:szCs w:val="28"/>
        </w:rPr>
        <w:t>对通用条款的补充内容及其他关键信息</w:t>
      </w:r>
      <w:bookmarkEnd w:id="24"/>
    </w:p>
    <w:p w14:paraId="003C5B8A">
      <w:pPr>
        <w:pStyle w:val="7"/>
        <w:spacing w:before="120" w:beforeLines="50" w:after="120" w:afterLines="50"/>
        <w:rPr>
          <w:rFonts w:hint="eastAsia"/>
          <w:szCs w:val="24"/>
        </w:rPr>
      </w:pPr>
      <w:bookmarkStart w:id="25" w:name="_Toc73521547"/>
      <w:bookmarkStart w:id="26" w:name="_Toc101074876"/>
      <w:bookmarkStart w:id="27" w:name="_Toc73521635"/>
      <w:bookmarkStart w:id="28" w:name="_Toc100052364"/>
      <w:bookmarkStart w:id="29" w:name="_Toc60560625"/>
      <w:bookmarkStart w:id="30" w:name="_Toc73517639"/>
      <w:bookmarkStart w:id="31" w:name="_Toc73518117"/>
      <w:bookmarkStart w:id="32" w:name="_Toc60631620"/>
      <w:r>
        <w:rPr>
          <w:rFonts w:hint="eastAsia"/>
          <w:szCs w:val="24"/>
        </w:rPr>
        <w:t>一、对通用条款的补充内容</w:t>
      </w:r>
    </w:p>
    <w:bookmarkEnd w:id="25"/>
    <w:bookmarkEnd w:id="26"/>
    <w:bookmarkEnd w:id="27"/>
    <w:bookmarkEnd w:id="28"/>
    <w:bookmarkEnd w:id="29"/>
    <w:bookmarkEnd w:id="30"/>
    <w:bookmarkEnd w:id="31"/>
    <w:bookmarkEnd w:id="32"/>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1D3EB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2336DE0">
            <w:pPr>
              <w:jc w:val="center"/>
              <w:rPr>
                <w:rFonts w:hint="eastAsia" w:ascii="宋体" w:hAnsi="宋体"/>
                <w:b/>
                <w:bCs/>
              </w:rPr>
            </w:pPr>
            <w:bookmarkStart w:id="33" w:name="_Hlk72218097"/>
            <w:r>
              <w:rPr>
                <w:rFonts w:hint="eastAsia" w:ascii="宋体" w:hAnsi="宋体"/>
                <w:b/>
                <w:bCs/>
              </w:rPr>
              <w:t>通用条款序号</w:t>
            </w:r>
          </w:p>
        </w:tc>
        <w:tc>
          <w:tcPr>
            <w:tcW w:w="2409" w:type="dxa"/>
            <w:vAlign w:val="center"/>
          </w:tcPr>
          <w:p w14:paraId="4D3BED5E">
            <w:pPr>
              <w:jc w:val="center"/>
              <w:rPr>
                <w:rFonts w:hint="eastAsia" w:ascii="宋体" w:hAnsi="宋体"/>
                <w:b/>
                <w:bCs/>
              </w:rPr>
            </w:pPr>
            <w:r>
              <w:rPr>
                <w:rFonts w:hint="eastAsia" w:ascii="宋体" w:hAnsi="宋体"/>
                <w:b/>
                <w:bCs/>
              </w:rPr>
              <w:t>涉及事项</w:t>
            </w:r>
          </w:p>
        </w:tc>
        <w:tc>
          <w:tcPr>
            <w:tcW w:w="4980" w:type="dxa"/>
            <w:vAlign w:val="center"/>
          </w:tcPr>
          <w:p w14:paraId="4C72386F">
            <w:pPr>
              <w:jc w:val="center"/>
              <w:rPr>
                <w:rFonts w:hint="eastAsia"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0E7EEE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0B4E425">
            <w:pPr>
              <w:jc w:val="center"/>
              <w:rPr>
                <w:rFonts w:hint="eastAsia" w:ascii="宋体" w:hAnsi="宋体"/>
              </w:rPr>
            </w:pPr>
            <w:r>
              <w:rPr>
                <w:rFonts w:hint="eastAsia" w:ascii="宋体" w:hAnsi="宋体"/>
              </w:rPr>
              <w:t>3</w:t>
            </w:r>
            <w:r>
              <w:rPr>
                <w:rFonts w:ascii="宋体" w:hAnsi="宋体"/>
              </w:rPr>
              <w:t>.1</w:t>
            </w:r>
          </w:p>
        </w:tc>
        <w:tc>
          <w:tcPr>
            <w:tcW w:w="2409" w:type="dxa"/>
            <w:vAlign w:val="center"/>
          </w:tcPr>
          <w:p w14:paraId="794F4D96">
            <w:pPr>
              <w:jc w:val="center"/>
            </w:pPr>
            <w:r>
              <w:rPr>
                <w:rFonts w:hint="eastAsia"/>
              </w:rPr>
              <w:t>采购人</w:t>
            </w:r>
          </w:p>
        </w:tc>
        <w:tc>
          <w:tcPr>
            <w:tcW w:w="4980" w:type="dxa"/>
            <w:vAlign w:val="center"/>
          </w:tcPr>
          <w:p w14:paraId="6145E552">
            <w:pPr>
              <w:jc w:val="center"/>
              <w:rPr>
                <w:rFonts w:hint="eastAsia" w:ascii="宋体" w:hAnsi="宋体"/>
              </w:rPr>
            </w:pPr>
            <w:r>
              <w:rPr>
                <w:rFonts w:hint="eastAsia" w:ascii="宋体" w:hAnsi="宋体"/>
              </w:rPr>
              <w:t>深圳先进光源研究院</w:t>
            </w:r>
          </w:p>
        </w:tc>
      </w:tr>
      <w:tr w14:paraId="1248A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D43BECB">
            <w:pPr>
              <w:jc w:val="center"/>
              <w:rPr>
                <w:rFonts w:hint="eastAsia" w:ascii="宋体" w:hAnsi="宋体"/>
              </w:rPr>
            </w:pPr>
            <w:r>
              <w:rPr>
                <w:rFonts w:hint="eastAsia" w:ascii="宋体" w:hAnsi="宋体"/>
              </w:rPr>
              <w:t>3</w:t>
            </w:r>
            <w:r>
              <w:rPr>
                <w:rFonts w:ascii="宋体" w:hAnsi="宋体"/>
              </w:rPr>
              <w:t>.2</w:t>
            </w:r>
          </w:p>
        </w:tc>
        <w:tc>
          <w:tcPr>
            <w:tcW w:w="2409" w:type="dxa"/>
            <w:vAlign w:val="center"/>
          </w:tcPr>
          <w:p w14:paraId="023FA715">
            <w:pPr>
              <w:jc w:val="center"/>
              <w:rPr>
                <w:rFonts w:hint="eastAsia" w:ascii="宋体" w:hAnsi="宋体"/>
              </w:rPr>
            </w:pPr>
            <w:r>
              <w:rPr>
                <w:rFonts w:hint="eastAsia" w:ascii="宋体" w:hAnsi="宋体"/>
              </w:rPr>
              <w:t>政府集中采购机构</w:t>
            </w:r>
          </w:p>
        </w:tc>
        <w:tc>
          <w:tcPr>
            <w:tcW w:w="4980" w:type="dxa"/>
            <w:vAlign w:val="center"/>
          </w:tcPr>
          <w:p w14:paraId="44E39221">
            <w:pPr>
              <w:jc w:val="center"/>
              <w:rPr>
                <w:rFonts w:hint="eastAsia" w:ascii="宋体" w:hAnsi="宋体"/>
              </w:rPr>
            </w:pPr>
            <w:r>
              <w:rPr>
                <w:rFonts w:hint="eastAsia" w:ascii="宋体" w:hAnsi="宋体"/>
              </w:rPr>
              <w:t>深圳公共资源交易中心</w:t>
            </w:r>
          </w:p>
          <w:p w14:paraId="1731CFAE">
            <w:pPr>
              <w:jc w:val="center"/>
              <w:rPr>
                <w:rFonts w:hint="eastAsia" w:ascii="宋体" w:hAnsi="宋体"/>
              </w:rPr>
            </w:pPr>
            <w:r>
              <w:rPr>
                <w:rFonts w:hint="eastAsia" w:ascii="宋体" w:hAnsi="宋体"/>
              </w:rPr>
              <w:t>（深圳交易集团有限公司政府采购业务分公司）</w:t>
            </w:r>
          </w:p>
        </w:tc>
      </w:tr>
      <w:tr w14:paraId="7FD5C7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2B6415">
            <w:pPr>
              <w:jc w:val="center"/>
              <w:rPr>
                <w:rFonts w:hint="eastAsia" w:ascii="宋体" w:hAnsi="宋体"/>
              </w:rPr>
            </w:pPr>
            <w:r>
              <w:rPr>
                <w:rFonts w:hint="eastAsia" w:ascii="宋体" w:hAnsi="宋体"/>
              </w:rPr>
              <w:t>9</w:t>
            </w:r>
          </w:p>
        </w:tc>
        <w:tc>
          <w:tcPr>
            <w:tcW w:w="2409" w:type="dxa"/>
            <w:vAlign w:val="center"/>
          </w:tcPr>
          <w:p w14:paraId="39772346">
            <w:pPr>
              <w:jc w:val="center"/>
              <w:rPr>
                <w:rFonts w:hint="eastAsia" w:ascii="宋体" w:hAnsi="宋体"/>
              </w:rPr>
            </w:pPr>
            <w:r>
              <w:rPr>
                <w:rFonts w:hint="eastAsia" w:ascii="宋体" w:hAnsi="宋体"/>
              </w:rPr>
              <w:t>踏勘现场</w:t>
            </w:r>
          </w:p>
        </w:tc>
        <w:tc>
          <w:tcPr>
            <w:tcW w:w="4980" w:type="dxa"/>
            <w:vAlign w:val="center"/>
          </w:tcPr>
          <w:p w14:paraId="103225FB">
            <w:pPr>
              <w:jc w:val="center"/>
              <w:rPr>
                <w:rFonts w:hint="eastAsia" w:asciiTheme="minorEastAsia" w:hAnsiTheme="minorEastAsia" w:eastAsiaTheme="minorEastAsia"/>
              </w:rPr>
            </w:pPr>
            <w:r>
              <w:rPr>
                <w:rFonts w:hint="eastAsia" w:asciiTheme="minorEastAsia" w:hAnsiTheme="minorEastAsia" w:eastAsiaTheme="minorEastAsia"/>
              </w:rPr>
              <w:t>不组织</w:t>
            </w:r>
          </w:p>
        </w:tc>
      </w:tr>
      <w:tr w14:paraId="3ADE03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BD8BB8E">
            <w:pPr>
              <w:jc w:val="center"/>
              <w:rPr>
                <w:rFonts w:hint="eastAsia" w:ascii="宋体" w:hAnsi="宋体"/>
              </w:rPr>
            </w:pPr>
            <w:r>
              <w:rPr>
                <w:rFonts w:hint="eastAsia" w:ascii="宋体" w:hAnsi="宋体"/>
              </w:rPr>
              <w:t>1</w:t>
            </w:r>
            <w:r>
              <w:rPr>
                <w:rFonts w:ascii="宋体" w:hAnsi="宋体"/>
              </w:rPr>
              <w:t>0</w:t>
            </w:r>
          </w:p>
        </w:tc>
        <w:tc>
          <w:tcPr>
            <w:tcW w:w="2409" w:type="dxa"/>
            <w:vAlign w:val="center"/>
          </w:tcPr>
          <w:p w14:paraId="4D48D60D">
            <w:pPr>
              <w:jc w:val="center"/>
              <w:rPr>
                <w:rFonts w:hint="eastAsia" w:ascii="宋体" w:hAnsi="宋体"/>
              </w:rPr>
            </w:pPr>
            <w:r>
              <w:rPr>
                <w:rFonts w:hint="eastAsia" w:ascii="宋体" w:hAnsi="宋体"/>
              </w:rPr>
              <w:t>标前会议</w:t>
            </w:r>
          </w:p>
        </w:tc>
        <w:tc>
          <w:tcPr>
            <w:tcW w:w="4980" w:type="dxa"/>
            <w:vAlign w:val="center"/>
          </w:tcPr>
          <w:p w14:paraId="1D62EDB4">
            <w:pPr>
              <w:jc w:val="center"/>
              <w:rPr>
                <w:rFonts w:hint="eastAsia" w:asciiTheme="minorEastAsia" w:hAnsiTheme="minorEastAsia" w:eastAsiaTheme="minorEastAsia"/>
              </w:rPr>
            </w:pPr>
            <w:r>
              <w:rPr>
                <w:rFonts w:hint="eastAsia" w:asciiTheme="minorEastAsia" w:hAnsiTheme="minorEastAsia" w:eastAsiaTheme="minorEastAsia"/>
              </w:rPr>
              <w:t>不组织</w:t>
            </w:r>
          </w:p>
        </w:tc>
      </w:tr>
      <w:tr w14:paraId="13933D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D42D9C4">
            <w:pPr>
              <w:jc w:val="center"/>
              <w:rPr>
                <w:rFonts w:hint="eastAsia"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38D75029">
            <w:pPr>
              <w:jc w:val="center"/>
              <w:rPr>
                <w:rFonts w:hint="eastAsia" w:ascii="宋体" w:hAnsi="宋体"/>
              </w:rPr>
            </w:pPr>
            <w:r>
              <w:rPr>
                <w:rFonts w:hint="eastAsia" w:ascii="宋体" w:hAnsi="宋体"/>
              </w:rPr>
              <w:t>招标文件的澄清和修改</w:t>
            </w:r>
          </w:p>
        </w:tc>
        <w:tc>
          <w:tcPr>
            <w:tcW w:w="4980" w:type="dxa"/>
            <w:vAlign w:val="center"/>
          </w:tcPr>
          <w:p w14:paraId="381DBA09">
            <w:pPr>
              <w:jc w:val="center"/>
              <w:rPr>
                <w:rFonts w:hint="eastAsia" w:ascii="宋体" w:hAnsi="宋体"/>
              </w:rPr>
            </w:pPr>
            <w:r>
              <w:rPr>
                <w:rFonts w:hint="eastAsia" w:ascii="宋体" w:hAnsi="宋体"/>
              </w:rPr>
              <w:t>投标截止日三日前，投标人有义务在招标期间在政府集中采购机构网站浏览与本项目有关的澄清和修改信息</w:t>
            </w:r>
          </w:p>
        </w:tc>
      </w:tr>
      <w:tr w14:paraId="1702A1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34715E1">
            <w:pPr>
              <w:jc w:val="center"/>
              <w:rPr>
                <w:rFonts w:hint="eastAsia" w:ascii="宋体" w:hAnsi="宋体"/>
              </w:rPr>
            </w:pPr>
            <w:r>
              <w:rPr>
                <w:rFonts w:hint="eastAsia" w:ascii="宋体" w:hAnsi="宋体"/>
              </w:rPr>
              <w:t>2</w:t>
            </w:r>
            <w:r>
              <w:rPr>
                <w:rFonts w:ascii="宋体" w:hAnsi="宋体"/>
              </w:rPr>
              <w:t>0</w:t>
            </w:r>
          </w:p>
        </w:tc>
        <w:tc>
          <w:tcPr>
            <w:tcW w:w="2409" w:type="dxa"/>
            <w:vAlign w:val="center"/>
          </w:tcPr>
          <w:p w14:paraId="08AE0335">
            <w:pPr>
              <w:jc w:val="center"/>
              <w:rPr>
                <w:rFonts w:hint="eastAsia" w:ascii="宋体" w:hAnsi="宋体"/>
              </w:rPr>
            </w:pPr>
            <w:r>
              <w:rPr>
                <w:rFonts w:hint="eastAsia" w:ascii="宋体" w:hAnsi="宋体"/>
              </w:rPr>
              <w:t>投标有效期</w:t>
            </w:r>
          </w:p>
        </w:tc>
        <w:tc>
          <w:tcPr>
            <w:tcW w:w="4980" w:type="dxa"/>
            <w:vAlign w:val="center"/>
          </w:tcPr>
          <w:p w14:paraId="3D8DE377">
            <w:pPr>
              <w:jc w:val="center"/>
              <w:rPr>
                <w:rFonts w:hint="eastAsia" w:ascii="宋体" w:hAnsi="宋体"/>
              </w:rPr>
            </w:pPr>
            <w:r>
              <w:rPr>
                <w:rFonts w:hint="eastAsia" w:asciiTheme="minorEastAsia" w:hAnsiTheme="minorEastAsia" w:eastAsiaTheme="minorEastAsia"/>
              </w:rPr>
              <w:t>120个日历日</w:t>
            </w:r>
          </w:p>
        </w:tc>
      </w:tr>
      <w:tr w14:paraId="07DE66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257116F">
            <w:pPr>
              <w:jc w:val="center"/>
              <w:rPr>
                <w:rFonts w:hint="eastAsia" w:ascii="宋体" w:hAnsi="宋体"/>
              </w:rPr>
            </w:pPr>
            <w:r>
              <w:rPr>
                <w:rFonts w:hint="eastAsia" w:ascii="宋体" w:hAnsi="宋体"/>
              </w:rPr>
              <w:t>2</w:t>
            </w:r>
            <w:r>
              <w:rPr>
                <w:rFonts w:ascii="宋体" w:hAnsi="宋体"/>
              </w:rPr>
              <w:t>2</w:t>
            </w:r>
          </w:p>
        </w:tc>
        <w:tc>
          <w:tcPr>
            <w:tcW w:w="2409" w:type="dxa"/>
            <w:vAlign w:val="center"/>
          </w:tcPr>
          <w:p w14:paraId="200096BE">
            <w:pPr>
              <w:jc w:val="center"/>
              <w:rPr>
                <w:rFonts w:hint="eastAsia" w:ascii="宋体" w:hAnsi="宋体"/>
              </w:rPr>
            </w:pPr>
            <w:r>
              <w:rPr>
                <w:rFonts w:hint="eastAsia" w:ascii="宋体" w:hAnsi="宋体"/>
              </w:rPr>
              <w:t>投标人的替代方案</w:t>
            </w:r>
          </w:p>
        </w:tc>
        <w:tc>
          <w:tcPr>
            <w:tcW w:w="4980" w:type="dxa"/>
            <w:vAlign w:val="center"/>
          </w:tcPr>
          <w:p w14:paraId="4A6ABEF7">
            <w:pPr>
              <w:jc w:val="center"/>
              <w:rPr>
                <w:rFonts w:hint="eastAsia" w:ascii="宋体" w:hAnsi="宋体"/>
              </w:rPr>
            </w:pPr>
            <w:r>
              <w:rPr>
                <w:rFonts w:hint="eastAsia" w:asciiTheme="minorEastAsia" w:hAnsiTheme="minorEastAsia" w:eastAsiaTheme="minorEastAsia"/>
              </w:rPr>
              <w:t>不接受</w:t>
            </w:r>
          </w:p>
        </w:tc>
      </w:tr>
      <w:tr w14:paraId="6B3342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DE340B3">
            <w:pPr>
              <w:jc w:val="center"/>
              <w:rPr>
                <w:rFonts w:hint="eastAsia" w:ascii="宋体" w:hAnsi="宋体"/>
              </w:rPr>
            </w:pPr>
            <w:r>
              <w:rPr>
                <w:rFonts w:hint="eastAsia" w:ascii="宋体" w:hAnsi="宋体"/>
              </w:rPr>
              <w:t>2</w:t>
            </w:r>
            <w:r>
              <w:rPr>
                <w:rFonts w:ascii="宋体" w:hAnsi="宋体"/>
              </w:rPr>
              <w:t>5</w:t>
            </w:r>
          </w:p>
        </w:tc>
        <w:tc>
          <w:tcPr>
            <w:tcW w:w="2409" w:type="dxa"/>
            <w:vAlign w:val="center"/>
          </w:tcPr>
          <w:p w14:paraId="5610D030">
            <w:pPr>
              <w:jc w:val="center"/>
              <w:rPr>
                <w:rFonts w:hint="eastAsia" w:ascii="宋体" w:hAnsi="宋体"/>
              </w:rPr>
            </w:pPr>
            <w:r>
              <w:rPr>
                <w:rFonts w:hint="eastAsia" w:ascii="宋体" w:hAnsi="宋体"/>
              </w:rPr>
              <w:t>投标文件的大小</w:t>
            </w:r>
          </w:p>
        </w:tc>
        <w:tc>
          <w:tcPr>
            <w:tcW w:w="4980" w:type="dxa"/>
            <w:vAlign w:val="center"/>
          </w:tcPr>
          <w:p w14:paraId="1B04BD41">
            <w:pPr>
              <w:jc w:val="center"/>
              <w:rPr>
                <w:rFonts w:hint="eastAsia" w:ascii="宋体" w:hAnsi="宋体"/>
              </w:rPr>
            </w:pPr>
            <w:r>
              <w:rPr>
                <w:rFonts w:hint="eastAsia" w:ascii="宋体" w:hAnsi="宋体"/>
              </w:rPr>
              <w:t>电子投标文件大小不得超过250MB</w:t>
            </w:r>
          </w:p>
        </w:tc>
      </w:tr>
      <w:tr w14:paraId="7568B6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A058B48">
            <w:pPr>
              <w:jc w:val="center"/>
              <w:rPr>
                <w:rFonts w:hint="eastAsia" w:ascii="宋体" w:hAnsi="宋体"/>
              </w:rPr>
            </w:pPr>
            <w:r>
              <w:rPr>
                <w:rFonts w:hint="eastAsia" w:ascii="宋体" w:hAnsi="宋体"/>
              </w:rPr>
              <w:t>2</w:t>
            </w:r>
            <w:r>
              <w:rPr>
                <w:rFonts w:ascii="宋体" w:hAnsi="宋体"/>
              </w:rPr>
              <w:t>6</w:t>
            </w:r>
          </w:p>
        </w:tc>
        <w:tc>
          <w:tcPr>
            <w:tcW w:w="2409" w:type="dxa"/>
            <w:vAlign w:val="center"/>
          </w:tcPr>
          <w:p w14:paraId="47413409">
            <w:pPr>
              <w:jc w:val="center"/>
              <w:rPr>
                <w:rFonts w:hint="eastAsia" w:ascii="宋体" w:hAnsi="宋体"/>
              </w:rPr>
            </w:pPr>
            <w:bookmarkStart w:id="34" w:name="_Hlk71664860"/>
            <w:r>
              <w:rPr>
                <w:rFonts w:hint="eastAsia" w:ascii="宋体" w:hAnsi="宋体"/>
              </w:rPr>
              <w:t>样品、现场演示、方案讲解</w:t>
            </w:r>
            <w:bookmarkEnd w:id="34"/>
          </w:p>
        </w:tc>
        <w:tc>
          <w:tcPr>
            <w:tcW w:w="4980" w:type="dxa"/>
            <w:vAlign w:val="center"/>
          </w:tcPr>
          <w:p w14:paraId="5B81BBA3">
            <w:pPr>
              <w:jc w:val="center"/>
              <w:rPr>
                <w:rFonts w:hint="eastAsia" w:ascii="宋体" w:hAnsi="宋体"/>
              </w:rPr>
            </w:pPr>
            <w:r>
              <w:rPr>
                <w:rFonts w:hint="eastAsia" w:ascii="宋体" w:hAnsi="宋体"/>
              </w:rPr>
              <w:t>如有样品、演示、方案讲解，具体安排见第三章 用户需求书相关要求</w:t>
            </w:r>
          </w:p>
        </w:tc>
      </w:tr>
      <w:tr w14:paraId="20588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1717396">
            <w:pPr>
              <w:jc w:val="center"/>
              <w:rPr>
                <w:rFonts w:hint="eastAsia" w:ascii="宋体" w:hAnsi="宋体"/>
              </w:rPr>
            </w:pPr>
            <w:r>
              <w:rPr>
                <w:rFonts w:hint="eastAsia" w:ascii="宋体" w:hAnsi="宋体"/>
              </w:rPr>
              <w:t>3</w:t>
            </w:r>
            <w:r>
              <w:rPr>
                <w:rFonts w:ascii="宋体" w:hAnsi="宋体"/>
              </w:rPr>
              <w:t>7</w:t>
            </w:r>
          </w:p>
        </w:tc>
        <w:tc>
          <w:tcPr>
            <w:tcW w:w="2409" w:type="dxa"/>
            <w:vAlign w:val="center"/>
          </w:tcPr>
          <w:p w14:paraId="7C5ABD0F">
            <w:pPr>
              <w:jc w:val="center"/>
              <w:rPr>
                <w:rFonts w:hint="eastAsia" w:ascii="宋体" w:hAnsi="宋体"/>
              </w:rPr>
            </w:pPr>
            <w:r>
              <w:rPr>
                <w:rFonts w:hint="eastAsia" w:ascii="宋体" w:hAnsi="宋体"/>
              </w:rPr>
              <w:t>评审方法</w:t>
            </w:r>
          </w:p>
        </w:tc>
        <w:tc>
          <w:tcPr>
            <w:tcW w:w="4980" w:type="dxa"/>
            <w:vAlign w:val="center"/>
          </w:tcPr>
          <w:p w14:paraId="7C0B8169">
            <w:pPr>
              <w:jc w:val="center"/>
              <w:rPr>
                <w:rFonts w:hint="eastAsia" w:ascii="宋体" w:hAnsi="宋体"/>
              </w:rPr>
            </w:pPr>
            <w:r>
              <w:rPr>
                <w:rFonts w:hint="eastAsia" w:asciiTheme="minorEastAsia" w:hAnsiTheme="minorEastAsia" w:eastAsiaTheme="minorEastAsia"/>
              </w:rPr>
              <w:t>综合评分法</w:t>
            </w:r>
          </w:p>
        </w:tc>
      </w:tr>
      <w:tr w14:paraId="78DE75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E672A76">
            <w:pPr>
              <w:jc w:val="center"/>
              <w:rPr>
                <w:rFonts w:hint="eastAsia" w:ascii="宋体" w:hAnsi="宋体"/>
              </w:rPr>
            </w:pPr>
            <w:r>
              <w:rPr>
                <w:rFonts w:hint="eastAsia" w:ascii="宋体" w:hAnsi="宋体"/>
              </w:rPr>
              <w:t>3</w:t>
            </w:r>
            <w:r>
              <w:rPr>
                <w:rFonts w:ascii="宋体" w:hAnsi="宋体"/>
              </w:rPr>
              <w:t>8</w:t>
            </w:r>
          </w:p>
        </w:tc>
        <w:tc>
          <w:tcPr>
            <w:tcW w:w="2409" w:type="dxa"/>
            <w:vAlign w:val="center"/>
          </w:tcPr>
          <w:p w14:paraId="395DA8D0">
            <w:pPr>
              <w:jc w:val="center"/>
              <w:rPr>
                <w:rFonts w:hint="eastAsia" w:ascii="宋体" w:hAnsi="宋体"/>
              </w:rPr>
            </w:pPr>
            <w:r>
              <w:rPr>
                <w:rFonts w:hint="eastAsia" w:ascii="宋体" w:hAnsi="宋体"/>
              </w:rPr>
              <w:t>是否为评定分离</w:t>
            </w:r>
          </w:p>
        </w:tc>
        <w:tc>
          <w:tcPr>
            <w:tcW w:w="4980" w:type="dxa"/>
            <w:vAlign w:val="center"/>
          </w:tcPr>
          <w:p w14:paraId="367C2A25">
            <w:pPr>
              <w:jc w:val="center"/>
              <w:rPr>
                <w:rFonts w:hint="eastAsia" w:asciiTheme="minorEastAsia" w:hAnsiTheme="minorEastAsia" w:eastAsiaTheme="minorEastAsia"/>
              </w:rPr>
            </w:pPr>
            <w:r>
              <w:rPr>
                <w:rFonts w:hint="eastAsia" w:asciiTheme="minorEastAsia" w:hAnsiTheme="minorEastAsia" w:eastAsiaTheme="minorEastAsia"/>
              </w:rPr>
              <w:t>非评定分离</w:t>
            </w:r>
          </w:p>
        </w:tc>
      </w:tr>
      <w:tr w14:paraId="142B4F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0937AD1">
            <w:pPr>
              <w:jc w:val="center"/>
              <w:rPr>
                <w:rFonts w:hint="eastAsia" w:ascii="宋体" w:hAnsi="宋体"/>
              </w:rPr>
            </w:pPr>
            <w:r>
              <w:rPr>
                <w:rFonts w:hint="eastAsia" w:ascii="宋体" w:hAnsi="宋体"/>
              </w:rPr>
              <w:t>4</w:t>
            </w:r>
            <w:r>
              <w:rPr>
                <w:rFonts w:ascii="宋体" w:hAnsi="宋体"/>
              </w:rPr>
              <w:t>6</w:t>
            </w:r>
          </w:p>
        </w:tc>
        <w:tc>
          <w:tcPr>
            <w:tcW w:w="2409" w:type="dxa"/>
            <w:vAlign w:val="center"/>
          </w:tcPr>
          <w:p w14:paraId="06728C2D">
            <w:pPr>
              <w:jc w:val="center"/>
              <w:rPr>
                <w:rFonts w:hint="eastAsia" w:ascii="宋体" w:hAnsi="宋体"/>
              </w:rPr>
            </w:pPr>
            <w:r>
              <w:rPr>
                <w:rFonts w:hint="eastAsia" w:ascii="宋体" w:hAnsi="宋体"/>
              </w:rPr>
              <w:t>履约担保</w:t>
            </w:r>
          </w:p>
        </w:tc>
        <w:tc>
          <w:tcPr>
            <w:tcW w:w="4980" w:type="dxa"/>
            <w:vAlign w:val="center"/>
          </w:tcPr>
          <w:p w14:paraId="3138E9D4">
            <w:pPr>
              <w:rPr>
                <w:rFonts w:hint="eastAsia" w:ascii="宋体" w:hAnsi="宋体"/>
              </w:rPr>
            </w:pPr>
            <w:bookmarkStart w:id="35" w:name="_Hlk244008305"/>
            <w:r>
              <w:rPr>
                <w:rFonts w:hint="eastAsia" w:asciiTheme="minorEastAsia" w:hAnsiTheme="minorEastAsia" w:eastAsiaTheme="minorEastAsia"/>
              </w:rPr>
              <w:t>需要，合同金额的5</w:t>
            </w:r>
            <w:r>
              <w:rPr>
                <w:rFonts w:asciiTheme="minorEastAsia" w:hAnsiTheme="minorEastAsia" w:eastAsiaTheme="minorEastAsia"/>
              </w:rPr>
              <w:t>%</w:t>
            </w:r>
            <w:r>
              <w:rPr>
                <w:rFonts w:hint="eastAsia" w:asciiTheme="minorEastAsia" w:hAnsiTheme="minorEastAsia" w:eastAsiaTheme="minorEastAsia"/>
              </w:rPr>
              <w:t>，投标供应商自主选择以支票、汇票、本票、保函等非现金形式缴纳或提交。履约保证金在中标人履行完成合同约定权利义务事项在合同期满</w:t>
            </w:r>
            <w:r>
              <w:rPr>
                <w:rFonts w:hint="eastAsia" w:asciiTheme="minorEastAsia" w:hAnsiTheme="minorEastAsia" w:eastAsiaTheme="minorEastAsia"/>
                <w:lang w:eastAsia="zh-CN"/>
              </w:rPr>
              <w:t>（即质保期满）</w:t>
            </w:r>
            <w:r>
              <w:rPr>
                <w:rFonts w:hint="eastAsia" w:asciiTheme="minorEastAsia" w:hAnsiTheme="minorEastAsia" w:eastAsiaTheme="minorEastAsia"/>
              </w:rPr>
              <w:t>之日起90日内按原方式退还，不计利息。采购人逾期退还履约保证金的，向中标人每日偿付履约保证金利息（届时按照LPR利息计算）。因中标人原因而未能达到本项目验收标准或验收不通过的，履约保证金不予退还。</w:t>
            </w:r>
            <w:r>
              <w:rPr>
                <w:rFonts w:hint="eastAsia" w:ascii="宋体" w:hAnsi="宋体" w:cs="宋体"/>
                <w:color w:val="000000"/>
                <w:kern w:val="0"/>
                <w:szCs w:val="21"/>
              </w:rPr>
              <w:t>如中标人出现迟延交货、质量不合格、未履行维保义务等违约情形的，采购人可凭相关证明文件直接索赔。</w:t>
            </w:r>
            <w:bookmarkEnd w:id="35"/>
          </w:p>
        </w:tc>
      </w:tr>
    </w:tbl>
    <w:p w14:paraId="4226F043">
      <w:pPr>
        <w:rPr>
          <w:b/>
        </w:rPr>
      </w:pPr>
      <w:r>
        <w:rPr>
          <w:rFonts w:hint="eastAsia"/>
          <w:szCs w:val="21"/>
        </w:rPr>
        <w:t>备注：本表是通用条款相关条款的补充和明确，如与通用条款内容相冲突的，以本表为准。</w:t>
      </w:r>
    </w:p>
    <w:bookmarkEnd w:id="33"/>
    <w:p w14:paraId="46B69E80">
      <w:pPr>
        <w:pStyle w:val="7"/>
        <w:spacing w:before="120" w:beforeLines="50" w:after="120" w:afterLines="50"/>
        <w:rPr>
          <w:rFonts w:hint="eastAsia"/>
          <w:szCs w:val="24"/>
        </w:rPr>
      </w:pPr>
      <w:bookmarkStart w:id="36" w:name="_Hlk72218117"/>
      <w:r>
        <w:rPr>
          <w:rFonts w:hint="eastAsia"/>
          <w:szCs w:val="24"/>
        </w:rPr>
        <w:t>二、其他关键信息</w:t>
      </w:r>
    </w:p>
    <w:p w14:paraId="3366329C">
      <w:pPr>
        <w:ind w:firstLine="422" w:firstLineChars="200"/>
        <w:rPr>
          <w:rFonts w:hint="eastAsia" w:asciiTheme="minorEastAsia" w:hAnsiTheme="minorEastAsia" w:eastAsiaTheme="minorEastAsia"/>
          <w:b/>
          <w:bCs/>
        </w:rPr>
      </w:pPr>
      <w:bookmarkStart w:id="37" w:name="_Hlk72579427"/>
      <w:r>
        <w:rPr>
          <w:rFonts w:hint="eastAsia" w:asciiTheme="minorEastAsia" w:hAnsiTheme="minorEastAsia" w:eastAsiaTheme="minorEastAsia"/>
          <w:b/>
          <w:bCs/>
        </w:rPr>
        <w:t>（一）与“对通用条款的补充内容”章节相关的事项</w:t>
      </w:r>
    </w:p>
    <w:p w14:paraId="64B8C511">
      <w:pPr>
        <w:spacing w:line="276" w:lineRule="auto"/>
        <w:ind w:firstLine="422" w:firstLineChars="200"/>
        <w:jc w:val="left"/>
        <w:rPr>
          <w:rFonts w:hint="eastAsia" w:asciiTheme="minorEastAsia" w:hAnsiTheme="minorEastAsia" w:eastAsiaTheme="minorEastAsia"/>
          <w:b/>
          <w:kern w:val="0"/>
          <w:szCs w:val="20"/>
        </w:rPr>
      </w:pPr>
      <w:r>
        <w:rPr>
          <w:rFonts w:hint="eastAsia" w:asciiTheme="minorEastAsia" w:hAnsiTheme="minorEastAsia" w:eastAsiaTheme="minorEastAsia"/>
          <w:b/>
          <w:kern w:val="0"/>
          <w:szCs w:val="20"/>
        </w:rPr>
        <w:t>1.评标定标信息</w:t>
      </w:r>
    </w:p>
    <w:p w14:paraId="679A845B">
      <w:pPr>
        <w:jc w:val="center"/>
        <w:rPr>
          <w:rFonts w:hint="eastAsia" w:asciiTheme="minorEastAsia" w:hAnsiTheme="minorEastAsia" w:eastAsiaTheme="minorEastAsia"/>
        </w:rPr>
      </w:pPr>
      <w:r>
        <w:rPr>
          <w:rFonts w:hint="eastAsia" w:asciiTheme="minorEastAsia" w:hAnsiTheme="minorEastAsia" w:eastAsiaTheme="minorEastAsia"/>
          <w:b/>
        </w:rPr>
        <w:t>非评定分离项目</w:t>
      </w:r>
    </w:p>
    <w:tbl>
      <w:tblPr>
        <w:tblStyle w:val="44"/>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7"/>
        <w:gridCol w:w="5002"/>
      </w:tblGrid>
      <w:tr w14:paraId="0684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7" w:type="dxa"/>
          </w:tcPr>
          <w:p w14:paraId="103B8AA1">
            <w:pPr>
              <w:jc w:val="center"/>
              <w:rPr>
                <w:rFonts w:hint="eastAsia" w:asciiTheme="minorEastAsia" w:hAnsiTheme="minorEastAsia" w:eastAsiaTheme="minorEastAsia"/>
              </w:rPr>
            </w:pPr>
            <w:r>
              <w:rPr>
                <w:rFonts w:hint="eastAsia" w:asciiTheme="minorEastAsia" w:hAnsiTheme="minorEastAsia" w:eastAsiaTheme="minorEastAsia"/>
              </w:rPr>
              <w:t>评标方法</w:t>
            </w:r>
          </w:p>
        </w:tc>
        <w:tc>
          <w:tcPr>
            <w:tcW w:w="5002" w:type="dxa"/>
          </w:tcPr>
          <w:p w14:paraId="24E36383">
            <w:pPr>
              <w:jc w:val="center"/>
              <w:rPr>
                <w:rFonts w:hint="eastAsia" w:asciiTheme="minorEastAsia" w:hAnsiTheme="minorEastAsia" w:eastAsiaTheme="minorEastAsia"/>
              </w:rPr>
            </w:pPr>
            <w:r>
              <w:rPr>
                <w:rFonts w:hint="eastAsia" w:asciiTheme="minorEastAsia" w:hAnsiTheme="minorEastAsia" w:eastAsiaTheme="minorEastAsia"/>
              </w:rPr>
              <w:t>综合评分法</w:t>
            </w:r>
          </w:p>
        </w:tc>
      </w:tr>
      <w:tr w14:paraId="0955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7" w:type="dxa"/>
          </w:tcPr>
          <w:p w14:paraId="574B54F8">
            <w:pPr>
              <w:jc w:val="center"/>
              <w:rPr>
                <w:rFonts w:hint="eastAsia" w:asciiTheme="minorEastAsia" w:hAnsiTheme="minorEastAsia" w:eastAsiaTheme="minorEastAsia"/>
              </w:rPr>
            </w:pPr>
            <w:r>
              <w:rPr>
                <w:rFonts w:hint="eastAsia" w:asciiTheme="minorEastAsia" w:hAnsiTheme="minorEastAsia" w:eastAsiaTheme="minorEastAsia"/>
              </w:rPr>
              <w:t>候选中标供应商家数</w:t>
            </w:r>
          </w:p>
        </w:tc>
        <w:tc>
          <w:tcPr>
            <w:tcW w:w="5002" w:type="dxa"/>
          </w:tcPr>
          <w:p w14:paraId="5E87A6C8">
            <w:pPr>
              <w:jc w:val="center"/>
              <w:rPr>
                <w:rFonts w:hint="eastAsia" w:asciiTheme="minorEastAsia" w:hAnsiTheme="minorEastAsia" w:eastAsiaTheme="minorEastAsia"/>
              </w:rPr>
            </w:pPr>
            <w:r>
              <w:rPr>
                <w:rFonts w:hint="eastAsia" w:asciiTheme="minorEastAsia" w:hAnsiTheme="minorEastAsia" w:eastAsiaTheme="minorEastAsia"/>
              </w:rPr>
              <w:t>3</w:t>
            </w:r>
          </w:p>
        </w:tc>
      </w:tr>
      <w:tr w14:paraId="5DDB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7" w:type="dxa"/>
          </w:tcPr>
          <w:p w14:paraId="29FE489C">
            <w:pPr>
              <w:jc w:val="center"/>
              <w:rPr>
                <w:rFonts w:hint="eastAsia" w:asciiTheme="minorEastAsia" w:hAnsiTheme="minorEastAsia" w:eastAsiaTheme="minorEastAsia"/>
              </w:rPr>
            </w:pPr>
            <w:r>
              <w:rPr>
                <w:rFonts w:hint="eastAsia" w:asciiTheme="minorEastAsia" w:hAnsiTheme="minorEastAsia" w:eastAsiaTheme="minorEastAsia"/>
              </w:rPr>
              <w:t>中标供应商家数</w:t>
            </w:r>
          </w:p>
        </w:tc>
        <w:tc>
          <w:tcPr>
            <w:tcW w:w="5002" w:type="dxa"/>
          </w:tcPr>
          <w:p w14:paraId="74F391A7">
            <w:pPr>
              <w:jc w:val="center"/>
              <w:rPr>
                <w:rFonts w:hint="eastAsia" w:asciiTheme="minorEastAsia" w:hAnsiTheme="minorEastAsia" w:eastAsiaTheme="minorEastAsia"/>
              </w:rPr>
            </w:pPr>
            <w:r>
              <w:rPr>
                <w:rFonts w:hint="eastAsia" w:asciiTheme="minorEastAsia" w:hAnsiTheme="minorEastAsia" w:eastAsiaTheme="minorEastAsia"/>
              </w:rPr>
              <w:t>1</w:t>
            </w:r>
          </w:p>
        </w:tc>
      </w:tr>
    </w:tbl>
    <w:p w14:paraId="2540733F">
      <w:pPr>
        <w:ind w:firstLine="422" w:firstLineChars="200"/>
        <w:rPr>
          <w:rFonts w:hint="eastAsia" w:asciiTheme="minorEastAsia" w:hAnsiTheme="minorEastAsia" w:eastAsiaTheme="minorEastAsia"/>
          <w:b/>
        </w:rPr>
      </w:pPr>
    </w:p>
    <w:p w14:paraId="05D569DD">
      <w:pPr>
        <w:ind w:firstLine="422" w:firstLineChars="200"/>
        <w:rPr>
          <w:rFonts w:hint="eastAsia" w:asciiTheme="minorEastAsia" w:hAnsiTheme="minorEastAsia" w:eastAsiaTheme="minorEastAsia"/>
          <w:b/>
        </w:rPr>
      </w:pPr>
      <w:r>
        <w:rPr>
          <w:rFonts w:hint="eastAsia" w:asciiTheme="minorEastAsia" w:hAnsiTheme="minorEastAsia" w:eastAsiaTheme="minorEastAsia"/>
          <w:b/>
        </w:rPr>
        <w:t>（二）</w:t>
      </w:r>
      <w:bookmarkEnd w:id="37"/>
      <w:r>
        <w:rPr>
          <w:rFonts w:hint="eastAsia" w:asciiTheme="minorEastAsia" w:hAnsiTheme="minorEastAsia" w:eastAsiaTheme="minorEastAsia"/>
          <w:b/>
        </w:rPr>
        <w:t>政府采购政策的有关事项说明</w:t>
      </w:r>
    </w:p>
    <w:p w14:paraId="122A65C2">
      <w:pPr>
        <w:ind w:firstLine="422" w:firstLineChars="200"/>
        <w:rPr>
          <w:rFonts w:hint="eastAsia" w:asciiTheme="minorEastAsia" w:hAnsiTheme="minorEastAsia" w:eastAsiaTheme="minorEastAsia"/>
          <w:b/>
          <w:bCs/>
        </w:rPr>
      </w:pPr>
      <w:r>
        <w:rPr>
          <w:rFonts w:asciiTheme="minorEastAsia" w:hAnsiTheme="minorEastAsia" w:eastAsiaTheme="minorEastAsia"/>
          <w:b/>
          <w:bCs/>
        </w:rPr>
        <w:t>1</w:t>
      </w:r>
      <w:r>
        <w:rPr>
          <w:rFonts w:hint="eastAsia" w:asciiTheme="minorEastAsia" w:hAnsiTheme="minorEastAsia" w:eastAsiaTheme="minorEastAsia"/>
          <w:b/>
          <w:bCs/>
        </w:rPr>
        <w:t>.关于享受中小企业扶持政策的主体、价格扣除比例及采购标的所属行业等事项的说明</w:t>
      </w:r>
    </w:p>
    <w:p w14:paraId="636F0844">
      <w:pPr>
        <w:ind w:firstLine="420" w:firstLineChars="200"/>
        <w:rPr>
          <w:rFonts w:hint="eastAsia" w:asciiTheme="minorEastAsia" w:hAnsiTheme="minorEastAsia" w:eastAsiaTheme="minorEastAsia"/>
        </w:rPr>
      </w:pPr>
      <w:r>
        <w:rPr>
          <w:rFonts w:hint="eastAsia" w:asciiTheme="minorEastAsia" w:hAnsiTheme="minorEastAsia" w:eastAsiaTheme="minor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049FA7F5">
      <w:pPr>
        <w:pStyle w:val="61"/>
        <w:ind w:firstLine="420" w:firstLineChars="200"/>
        <w:rPr>
          <w:rFonts w:hint="eastAsia" w:asciiTheme="minorEastAsia" w:hAnsiTheme="minorEastAsia" w:eastAsiaTheme="minorEastAsia"/>
        </w:rPr>
      </w:pPr>
      <w:r>
        <w:rPr>
          <w:rFonts w:hint="eastAsia" w:asciiTheme="minorEastAsia" w:hAnsiTheme="minorEastAsia" w:eastAsiaTheme="minorEastAsia"/>
        </w:rPr>
        <w:t>备注：（a）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53413FA0">
      <w:pPr>
        <w:ind w:firstLine="420" w:firstLineChars="200"/>
        <w:rPr>
          <w:rFonts w:hint="eastAsia" w:asciiTheme="minorEastAsia" w:hAnsiTheme="minorEastAsia" w:eastAsiaTheme="minorEastAsia"/>
        </w:rPr>
      </w:pPr>
      <w:r>
        <w:rPr>
          <w:rFonts w:hint="eastAsia" w:asciiTheme="minorEastAsia" w:hAnsiTheme="minorEastAsia" w:eastAsiaTheme="minorEastAsia"/>
        </w:rPr>
        <w:t>（2）预留份额专门面向中小企业采购的项目，不再执行价格扣除比例。</w:t>
      </w:r>
    </w:p>
    <w:p w14:paraId="501F18EE">
      <w:pPr>
        <w:ind w:firstLine="420" w:firstLineChars="200"/>
        <w:rPr>
          <w:rFonts w:hint="eastAsia" w:asciiTheme="minorEastAsia" w:hAnsiTheme="minorEastAsia" w:eastAsiaTheme="minorEastAsia"/>
        </w:rPr>
      </w:pPr>
      <w:r>
        <w:rPr>
          <w:rFonts w:hint="eastAsia" w:asciiTheme="minorEastAsia" w:hAnsiTheme="minorEastAsia" w:eastAsiaTheme="minorEastAsia"/>
        </w:rPr>
        <w:t>（3）未预留份额专门面向中小企业采购的项目，应执行价格扣除比例：投标人提供的货物（以招标文件用户需求书“货物清单明细”的“货物名称”一栏为准）</w:t>
      </w:r>
      <w:r>
        <w:rPr>
          <w:rFonts w:hint="eastAsia" w:asciiTheme="minorEastAsia" w:hAnsiTheme="minorEastAsia" w:eastAsiaTheme="minorEastAsia"/>
          <w:b/>
          <w:bCs/>
          <w:color w:val="FF0000"/>
        </w:rPr>
        <w:t>全部均由小型、微型企业制造</w:t>
      </w:r>
      <w:r>
        <w:rPr>
          <w:rFonts w:hint="eastAsia" w:asciiTheme="minorEastAsia" w:hAnsiTheme="minorEastAsia" w:eastAsiaTheme="minorEastAsia"/>
        </w:rPr>
        <w:t>，则对其投标总价给予</w:t>
      </w:r>
      <w:r>
        <w:rPr>
          <w:rFonts w:hint="eastAsia" w:asciiTheme="minorEastAsia" w:hAnsiTheme="minorEastAsia" w:eastAsiaTheme="minorEastAsia"/>
          <w:b/>
          <w:bCs/>
          <w:color w:val="FF0000"/>
          <w:u w:val="single"/>
        </w:rPr>
        <w:t>10</w:t>
      </w:r>
      <w:r>
        <w:rPr>
          <w:rFonts w:asciiTheme="minorEastAsia" w:hAnsiTheme="minorEastAsia" w:eastAsiaTheme="minorEastAsia"/>
          <w:b/>
          <w:bCs/>
          <w:color w:val="FF0000"/>
        </w:rPr>
        <w:t>%</w:t>
      </w:r>
      <w:r>
        <w:rPr>
          <w:rFonts w:hint="eastAsia" w:asciiTheme="minorEastAsia" w:hAnsiTheme="minorEastAsia" w:eastAsiaTheme="minorEastAsia"/>
        </w:rPr>
        <w:t>的扣除，用扣除后的价格参与评审。</w:t>
      </w:r>
    </w:p>
    <w:p w14:paraId="49B578F4">
      <w:pPr>
        <w:ind w:firstLine="420" w:firstLineChars="200"/>
        <w:rPr>
          <w:rFonts w:hint="eastAsia" w:asciiTheme="minorEastAsia" w:hAnsiTheme="minorEastAsia" w:eastAsiaTheme="minorEastAsia" w:cstheme="minorEastAsia"/>
          <w:b/>
          <w:bCs/>
          <w:color w:val="FF0000"/>
          <w:szCs w:val="21"/>
        </w:rPr>
      </w:pPr>
      <w:bookmarkStart w:id="38" w:name="_Hlk71970739"/>
      <w:r>
        <w:rPr>
          <w:rFonts w:hint="eastAsia" w:asciiTheme="minorEastAsia" w:hAnsiTheme="minorEastAsia" w:eastAsiaTheme="minor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Cs w:val="21"/>
        </w:rPr>
        <w:t>《中小企业声明函》中相关企业（货物制造商）所属行业应当与采购标的所属行业相一致，</w:t>
      </w:r>
      <w:r>
        <w:rPr>
          <w:rFonts w:hint="eastAsia" w:asciiTheme="minorEastAsia" w:hAnsiTheme="minorEastAsia" w:eastAsiaTheme="minorEastAsia"/>
          <w:b/>
          <w:bCs/>
          <w:color w:val="FF0000"/>
        </w:rPr>
        <w:t>标的所属行业以招标文件第一册第三章用户需求书“货物需求明细”的“标的所属行业”一栏为准</w:t>
      </w:r>
      <w:r>
        <w:rPr>
          <w:rFonts w:hint="eastAsia" w:asciiTheme="minorEastAsia" w:hAnsiTheme="minorEastAsia" w:eastAsiaTheme="minorEastAsia" w:cstheme="minorEastAsia"/>
          <w:b/>
          <w:bCs/>
          <w:color w:val="FF0000"/>
          <w:szCs w:val="21"/>
        </w:rPr>
        <w:t>。</w:t>
      </w:r>
    </w:p>
    <w:bookmarkEnd w:id="38"/>
    <w:p w14:paraId="1182F559">
      <w:pPr>
        <w:ind w:firstLine="420" w:firstLineChars="200"/>
        <w:rPr>
          <w:rFonts w:hint="eastAsia" w:asciiTheme="minorEastAsia" w:hAnsiTheme="minorEastAsia" w:eastAsiaTheme="minorEastAsia"/>
        </w:rPr>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asciiTheme="minorEastAsia" w:hAnsiTheme="minorEastAsia" w:eastAsiaTheme="minor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46E1033C">
      <w:pPr>
        <w:ind w:firstLine="420" w:firstLineChars="200"/>
        <w:rPr>
          <w:rFonts w:hint="eastAsia" w:asciiTheme="minorEastAsia" w:hAnsiTheme="minorEastAsia" w:eastAsiaTheme="minorEastAsia"/>
          <w:color w:val="FF0000"/>
        </w:rPr>
      </w:pPr>
      <w:r>
        <w:rPr>
          <w:rFonts w:hint="eastAsia" w:asciiTheme="minorEastAsia" w:hAnsiTheme="minorEastAsia" w:eastAsiaTheme="minorEastAsia"/>
        </w:rPr>
        <w:t>（6）依据《</w:t>
      </w:r>
      <w:r>
        <w:rPr>
          <w:rFonts w:hint="eastAsia" w:asciiTheme="minorEastAsia" w:hAnsiTheme="minorEastAsia" w:eastAsiaTheme="minorEastAsia" w:cstheme="minorEastAsia"/>
          <w:szCs w:val="21"/>
        </w:rPr>
        <w:t>政府采购促进中小企业发展管理办法》</w:t>
      </w:r>
      <w:r>
        <w:rPr>
          <w:rFonts w:hint="eastAsia" w:asciiTheme="minorEastAsia" w:hAnsiTheme="minorEastAsia" w:eastAsiaTheme="minorEastAsia"/>
        </w:rPr>
        <w:t>规定享受扶持政策获得政府采购合同的，小微企业不得将合同分包给大中型企业，中型企业不得将合同分包给大型企业。</w:t>
      </w:r>
    </w:p>
    <w:p w14:paraId="42A5B797">
      <w:pPr>
        <w:ind w:firstLine="422" w:firstLineChars="200"/>
        <w:rPr>
          <w:rFonts w:hint="eastAsia" w:asciiTheme="minorEastAsia" w:hAnsiTheme="minorEastAsia" w:eastAsiaTheme="minorEastAsia"/>
          <w:b/>
          <w:bCs/>
        </w:rPr>
      </w:pPr>
    </w:p>
    <w:p w14:paraId="7386B3CF">
      <w:pPr>
        <w:ind w:firstLine="422" w:firstLineChars="200"/>
        <w:rPr>
          <w:rFonts w:hint="eastAsia" w:asciiTheme="minorEastAsia" w:hAnsiTheme="minorEastAsia" w:eastAsiaTheme="minorEastAsia"/>
          <w:b/>
          <w:bCs/>
        </w:rPr>
      </w:pPr>
      <w:r>
        <w:rPr>
          <w:rFonts w:hint="eastAsia" w:asciiTheme="minorEastAsia" w:hAnsiTheme="minorEastAsia" w:eastAsiaTheme="minorEastAsia"/>
          <w:b/>
          <w:bCs/>
        </w:rPr>
        <w:t>2.关于享受对本国产品的政府采购支持政策的主体、价格扣除比例等事项的说明</w:t>
      </w:r>
    </w:p>
    <w:p w14:paraId="71022F0F">
      <w:pPr>
        <w:ind w:firstLine="420" w:firstLineChars="200"/>
        <w:rPr>
          <w:rFonts w:hint="eastAsia" w:asciiTheme="minorEastAsia" w:hAnsiTheme="minorEastAsia" w:eastAsiaTheme="minorEastAsia"/>
        </w:rPr>
      </w:pPr>
      <w:r>
        <w:rPr>
          <w:rFonts w:hint="eastAsia" w:asciiTheme="minorEastAsia" w:hAnsiTheme="minorEastAsia" w:eastAsiaTheme="minorEastAsia"/>
        </w:rPr>
        <w:t>（1）适用主体：国有企业、民营企业、外资企业等各类经营主体平等享受对本国产品的政府采购支持政策。</w:t>
      </w:r>
    </w:p>
    <w:p w14:paraId="43D4C4FA">
      <w:pPr>
        <w:pStyle w:val="61"/>
        <w:ind w:firstLine="420" w:firstLineChars="200"/>
        <w:rPr>
          <w:rFonts w:hint="eastAsia" w:asciiTheme="minorEastAsia" w:hAnsiTheme="minorEastAsia" w:eastAsiaTheme="minorEastAsia"/>
          <w:szCs w:val="24"/>
        </w:rPr>
      </w:pPr>
      <w:r>
        <w:rPr>
          <w:rFonts w:hint="eastAsia" w:asciiTheme="minorEastAsia" w:hAnsiTheme="minorEastAsia" w:eastAsiaTheme="minorEastAsia"/>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0B8B5B">
      <w:pPr>
        <w:pStyle w:val="61"/>
        <w:ind w:firstLine="420" w:firstLineChars="200"/>
        <w:rPr>
          <w:rFonts w:hint="eastAsia" w:asciiTheme="minorEastAsia" w:hAnsiTheme="minorEastAsia" w:eastAsiaTheme="minorEastAsia"/>
          <w:szCs w:val="24"/>
        </w:rPr>
      </w:pPr>
      <w:r>
        <w:rPr>
          <w:rFonts w:hint="eastAsia" w:asciiTheme="minorEastAsia" w:hAnsiTheme="minorEastAsia" w:eastAsiaTheme="minorEastAsia"/>
          <w:szCs w:val="24"/>
        </w:rPr>
        <w:t>（3）价格扣除：</w:t>
      </w:r>
      <w:r>
        <w:rPr>
          <w:rFonts w:hint="eastAsia" w:asciiTheme="minorEastAsia" w:hAnsiTheme="minorEastAsia" w:eastAsiaTheme="minorEastAsia"/>
          <w:b/>
          <w:bCs/>
          <w:color w:val="FF0000"/>
          <w:szCs w:val="24"/>
        </w:rPr>
        <w:t>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color w:val="000000" w:themeColor="text1"/>
          <w:szCs w:val="24"/>
          <w14:textFill>
            <w14:solidFill>
              <w14:schemeClr w14:val="tx1"/>
            </w14:solidFill>
          </w14:textFill>
        </w:rPr>
        <w:t>，</w:t>
      </w:r>
      <w:r>
        <w:rPr>
          <w:rFonts w:hint="eastAsia" w:asciiTheme="minorEastAsia" w:hAnsiTheme="minorEastAsia" w:eastAsiaTheme="minorEastAsia"/>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heme="minorEastAsia" w:hAnsiTheme="minorEastAsia" w:eastAsiaTheme="minorEastAsia"/>
          <w:b/>
          <w:bCs/>
          <w:color w:val="FF0000"/>
          <w:szCs w:val="24"/>
        </w:rPr>
        <w:t>总报价给予20%的价格扣除</w:t>
      </w:r>
      <w:r>
        <w:rPr>
          <w:rFonts w:hint="eastAsia" w:asciiTheme="minorEastAsia" w:hAnsiTheme="minorEastAsia" w:eastAsiaTheme="minorEastAsia"/>
          <w:szCs w:val="24"/>
        </w:rPr>
        <w:t>，用扣除后的价格参与评审。</w:t>
      </w:r>
    </w:p>
    <w:p w14:paraId="61D49F8F">
      <w:pPr>
        <w:pStyle w:val="61"/>
        <w:ind w:firstLine="420" w:firstLineChars="200"/>
        <w:rPr>
          <w:rFonts w:hint="eastAsia" w:asciiTheme="minorEastAsia" w:hAnsiTheme="minorEastAsia" w:eastAsiaTheme="minorEastAsia"/>
        </w:rPr>
      </w:pPr>
      <w:r>
        <w:rPr>
          <w:rFonts w:hint="eastAsia" w:asciiTheme="minorEastAsia" w:hAnsiTheme="minorEastAsia" w:eastAsiaTheme="minorEastAsia"/>
          <w:szCs w:val="24"/>
        </w:rPr>
        <w:t>（4）供应商出具符合要求的《关于符合本国产品标准的声明函》或财政部会同有关部门规定的有关证明文件，该产品视为本国产品。</w:t>
      </w:r>
      <w:r>
        <w:rPr>
          <w:rFonts w:hint="eastAsia" w:asciiTheme="minorEastAsia" w:hAnsiTheme="minorEastAsia" w:eastAsiaTheme="minorEastAsia"/>
        </w:rPr>
        <w:t>声明函样式见本招标文件第一册专用条款“第四章  投标文件组成要求及格式”中“三、投标人情况及资格证明文件”章节提供的格式）。</w:t>
      </w:r>
    </w:p>
    <w:p w14:paraId="1E425CA1">
      <w:pPr>
        <w:pStyle w:val="61"/>
        <w:ind w:firstLine="422" w:firstLineChars="200"/>
        <w:rPr>
          <w:rFonts w:hint="eastAsia" w:asciiTheme="minorEastAsia" w:hAnsiTheme="minorEastAsia" w:eastAsiaTheme="minorEastAsia"/>
          <w:b/>
          <w:bCs/>
        </w:rPr>
      </w:pPr>
    </w:p>
    <w:p w14:paraId="4328B351">
      <w:pPr>
        <w:pStyle w:val="61"/>
        <w:ind w:firstLine="422" w:firstLineChars="200"/>
        <w:rPr>
          <w:rFonts w:hint="eastAsia" w:asciiTheme="minorEastAsia" w:hAnsiTheme="minorEastAsia" w:eastAsiaTheme="minorEastAsia"/>
          <w:b/>
          <w:bCs/>
        </w:rPr>
      </w:pPr>
      <w:r>
        <w:rPr>
          <w:rFonts w:hint="eastAsia" w:asciiTheme="minorEastAsia" w:hAnsiTheme="minorEastAsia" w:eastAsiaTheme="minorEastAsia"/>
          <w:b/>
          <w:bCs/>
        </w:rPr>
        <w:t>3.关于同时满足中小企业扶持政策和对本国产品的支持政策的事项说明</w:t>
      </w:r>
    </w:p>
    <w:p w14:paraId="4CD40CB1">
      <w:pPr>
        <w:pStyle w:val="61"/>
        <w:ind w:firstLine="422" w:firstLineChars="200"/>
        <w:rPr>
          <w:rFonts w:hint="eastAsia" w:asciiTheme="minorEastAsia" w:hAnsiTheme="minorEastAsia" w:eastAsiaTheme="minorEastAsia"/>
          <w:szCs w:val="24"/>
        </w:rPr>
      </w:pPr>
      <w:r>
        <w:rPr>
          <w:rFonts w:hint="eastAsia" w:asciiTheme="minorEastAsia" w:hAnsiTheme="minorEastAsia" w:eastAsiaTheme="minorEastAsia"/>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szCs w:val="24"/>
        </w:rPr>
        <w:t>，用扣除后的价格参与评审。</w:t>
      </w:r>
      <w:r>
        <w:rPr>
          <w:rFonts w:hint="eastAsia" w:asciiTheme="minorEastAsia" w:hAnsiTheme="minorEastAsia" w:eastAsiaTheme="minorEastAsia"/>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heme="minorEastAsia" w:hAnsiTheme="minorEastAsia" w:eastAsiaTheme="minorEastAsia"/>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71B5D2C6">
      <w:pPr>
        <w:pStyle w:val="61"/>
        <w:ind w:firstLine="420" w:firstLineChars="200"/>
        <w:rPr>
          <w:rFonts w:hint="eastAsia" w:asciiTheme="minorEastAsia" w:hAnsiTheme="minorEastAsia" w:eastAsiaTheme="minorEastAsia"/>
          <w:szCs w:val="24"/>
        </w:rPr>
      </w:pPr>
      <w:r>
        <w:rPr>
          <w:rFonts w:hint="eastAsia" w:asciiTheme="minorEastAsia" w:hAnsiTheme="minorEastAsia" w:eastAsiaTheme="minorEastAsia"/>
          <w:szCs w:val="24"/>
        </w:rPr>
        <w:t>（1）预留份额专门面向中小企业采购的项目，不再享受小微企业价格扣除优惠。若供应商所投货物同时满足对本国产品的支持政策的规定，应享受该政策20%价格扣除优惠；</w:t>
      </w:r>
    </w:p>
    <w:p w14:paraId="4FA283D5">
      <w:pPr>
        <w:pStyle w:val="61"/>
        <w:ind w:firstLine="420" w:firstLineChars="200"/>
        <w:rPr>
          <w:rFonts w:hint="eastAsia" w:asciiTheme="minorEastAsia" w:hAnsiTheme="minorEastAsia" w:eastAsiaTheme="minorEastAsia"/>
          <w:szCs w:val="24"/>
        </w:rPr>
      </w:pPr>
      <w:r>
        <w:rPr>
          <w:rFonts w:hint="eastAsia" w:asciiTheme="minorEastAsia" w:hAnsiTheme="minorEastAsia" w:eastAsiaTheme="minorEastAsia"/>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34B0987A">
      <w:pPr>
        <w:pStyle w:val="61"/>
        <w:ind w:firstLine="422" w:firstLineChars="200"/>
        <w:rPr>
          <w:rFonts w:hint="eastAsia" w:asciiTheme="minorEastAsia" w:hAnsiTheme="minorEastAsia" w:eastAsiaTheme="minorEastAsia"/>
          <w:b/>
          <w:bCs/>
        </w:rPr>
      </w:pPr>
    </w:p>
    <w:p w14:paraId="23F3AB33">
      <w:pPr>
        <w:pStyle w:val="61"/>
        <w:ind w:firstLine="422" w:firstLineChars="200"/>
        <w:rPr>
          <w:rFonts w:hint="eastAsia" w:asciiTheme="minorEastAsia" w:hAnsiTheme="minorEastAsia" w:eastAsiaTheme="minorEastAsia"/>
          <w:b/>
          <w:bCs/>
        </w:rPr>
      </w:pPr>
      <w:r>
        <w:rPr>
          <w:rFonts w:hint="eastAsia" w:asciiTheme="minorEastAsia" w:hAnsiTheme="minorEastAsia" w:eastAsiaTheme="minorEastAsia"/>
          <w:b/>
          <w:bCs/>
        </w:rPr>
        <w:t>4.</w:t>
      </w:r>
      <w:r>
        <w:rPr>
          <w:rFonts w:asciiTheme="minorEastAsia" w:hAnsiTheme="minorEastAsia" w:eastAsiaTheme="minorEastAsia"/>
          <w:b/>
          <w:bCs/>
        </w:rPr>
        <w:t>上述支持政策不改变最终中标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价格，政府采购合同仍按照中标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供应商的报价签订。</w:t>
      </w:r>
    </w:p>
    <w:p w14:paraId="2420BF06">
      <w:pPr>
        <w:ind w:firstLine="422" w:firstLineChars="200"/>
        <w:rPr>
          <w:rFonts w:hint="eastAsia" w:asciiTheme="minorEastAsia" w:hAnsiTheme="minorEastAsia" w:eastAsiaTheme="minorEastAsia"/>
          <w:b/>
        </w:rPr>
      </w:pPr>
    </w:p>
    <w:p w14:paraId="6AB3298C">
      <w:pPr>
        <w:ind w:firstLine="422" w:firstLineChars="200"/>
        <w:rPr>
          <w:rFonts w:hint="eastAsia" w:asciiTheme="minorEastAsia" w:hAnsiTheme="minorEastAsia" w:eastAsiaTheme="minorEastAsia"/>
          <w:b/>
        </w:rPr>
      </w:pPr>
      <w:r>
        <w:rPr>
          <w:rFonts w:hint="eastAsia" w:asciiTheme="minorEastAsia" w:hAnsiTheme="minorEastAsia" w:eastAsiaTheme="minorEastAsia"/>
          <w:b/>
        </w:rPr>
        <w:t>5.关于政府采购订单融资政策</w:t>
      </w:r>
    </w:p>
    <w:p w14:paraId="22157310">
      <w:pPr>
        <w:ind w:firstLine="420" w:firstLineChars="200"/>
        <w:rPr>
          <w:rFonts w:hint="eastAsia" w:asciiTheme="minorEastAsia" w:hAnsiTheme="minorEastAsia" w:eastAsiaTheme="minorEastAsia"/>
          <w:color w:val="FF0000"/>
        </w:rPr>
      </w:pPr>
      <w:r>
        <w:rPr>
          <w:rFonts w:hint="eastAsia" w:asciiTheme="minorEastAsia" w:hAnsiTheme="minorEastAsia" w:eastAsiaTheme="minorEastAsia"/>
          <w:color w:val="auto"/>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深圳市财政局关于大力推进政府采购订单融资支持企业发展有关事宜的通知》要求，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相关政策法规参阅深圳市政府采购监管网（http://zfcg.sz.gov.cn/）信息公开栏目。</w:t>
      </w:r>
    </w:p>
    <w:p w14:paraId="2C4D2AF3">
      <w:pPr>
        <w:ind w:firstLine="422" w:firstLineChars="200"/>
        <w:rPr>
          <w:rFonts w:hint="eastAsia" w:asciiTheme="minorEastAsia" w:hAnsiTheme="minorEastAsia" w:eastAsiaTheme="minorEastAsia"/>
          <w:b/>
        </w:rPr>
      </w:pPr>
    </w:p>
    <w:p w14:paraId="40025A78">
      <w:pPr>
        <w:ind w:firstLine="422" w:firstLineChars="200"/>
        <w:rPr>
          <w:rFonts w:hint="eastAsia" w:asciiTheme="minorEastAsia" w:hAnsiTheme="minorEastAsia" w:eastAsiaTheme="minorEastAsia"/>
          <w:b/>
          <w:bCs/>
        </w:rPr>
      </w:pPr>
      <w:r>
        <w:rPr>
          <w:rFonts w:hint="eastAsia" w:asciiTheme="minorEastAsia" w:hAnsiTheme="minorEastAsia" w:eastAsiaTheme="minorEastAsia"/>
          <w:b/>
        </w:rPr>
        <w:t>（三）代理服务费</w:t>
      </w:r>
    </w:p>
    <w:p w14:paraId="05625F38">
      <w:pPr>
        <w:ind w:firstLine="422" w:firstLineChars="200"/>
        <w:rPr>
          <w:rFonts w:hint="eastAsia" w:asciiTheme="minorEastAsia" w:hAnsiTheme="minorEastAsia" w:eastAsiaTheme="minorEastAsia"/>
          <w:b/>
          <w:bCs/>
        </w:rPr>
      </w:pPr>
      <w:r>
        <w:rPr>
          <w:rFonts w:hint="eastAsia" w:asciiTheme="minorEastAsia" w:hAnsiTheme="minorEastAsia" w:eastAsiaTheme="minorEastAsia"/>
          <w:b/>
          <w:bCs/>
        </w:rPr>
        <w:t>本项目为代理服务项目，将向中标（成交）供应商收取代理服务费。</w:t>
      </w:r>
    </w:p>
    <w:p w14:paraId="0FC9B334">
      <w:pPr>
        <w:ind w:firstLine="420" w:firstLineChars="200"/>
        <w:rPr>
          <w:rFonts w:hint="eastAsia" w:asciiTheme="minorEastAsia" w:hAnsiTheme="minorEastAsia" w:eastAsiaTheme="minorEastAsia"/>
        </w:rPr>
      </w:pPr>
      <w:r>
        <w:rPr>
          <w:rFonts w:hint="eastAsia" w:asciiTheme="minorEastAsia" w:hAnsiTheme="minorEastAsia" w:eastAsiaTheme="minorEastAsia"/>
        </w:rPr>
        <w:t>中标（成交）供应商应在中标（成交）结果公示结束之日的次日起7个工作日内向深圳公共资源交易中心（深圳交易集团有限公司政府采购业务分公司）交纳代理服务费。若因中标（成交）供应商交纳代理服务费所产生的时间影响到合同签订的，由中标（成交）供应商自行承担责任。代理服务费标准参照下列标准的80%（即八折）收取。</w:t>
      </w:r>
      <w:r>
        <w:rPr>
          <w:rFonts w:hint="eastAsia" w:asciiTheme="minorEastAsia" w:hAnsiTheme="minorEastAsia" w:eastAsiaTheme="minorEastAsia"/>
          <w:b/>
          <w:color w:val="FF0000"/>
        </w:rPr>
        <w:t>本项目类型为货物采购：</w:t>
      </w:r>
    </w:p>
    <w:p w14:paraId="5F624AC5">
      <w:pPr>
        <w:ind w:firstLine="420" w:firstLineChars="200"/>
        <w:rPr>
          <w:rFonts w:hint="eastAsia" w:asciiTheme="minorEastAsia" w:hAnsiTheme="minorEastAsia" w:eastAsiaTheme="minorEastAsia"/>
        </w:rPr>
      </w:pPr>
      <w:r>
        <w:rPr>
          <w:rFonts w:hint="eastAsia" w:asciiTheme="minorEastAsia" w:hAnsiTheme="minorEastAsia" w:eastAsiaTheme="minorEastAsia"/>
        </w:rPr>
        <w:t>（1）代理服务费以《中标（成交）通知书》确定的中标（成交）金额作为计算基数，按差额定率累进法计算。</w:t>
      </w:r>
    </w:p>
    <w:p w14:paraId="4625425C">
      <w:pPr>
        <w:ind w:firstLine="420" w:firstLineChars="200"/>
        <w:rPr>
          <w:rFonts w:hint="eastAsia" w:asciiTheme="minorEastAsia" w:hAnsiTheme="minorEastAsia" w:eastAsiaTheme="minorEastAsia"/>
        </w:rPr>
      </w:pPr>
      <w:r>
        <w:rPr>
          <w:rFonts w:hint="eastAsia" w:asciiTheme="minorEastAsia" w:hAnsiTheme="minorEastAsia" w:eastAsiaTheme="minorEastAsia"/>
        </w:rPr>
        <w:t>（2）中标（成交）金额的各部分费率如下表：</w:t>
      </w:r>
    </w:p>
    <w:tbl>
      <w:tblPr>
        <w:tblStyle w:val="43"/>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6"/>
        <w:gridCol w:w="1799"/>
        <w:gridCol w:w="1799"/>
        <w:gridCol w:w="1799"/>
      </w:tblGrid>
      <w:tr w14:paraId="181A9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926" w:type="dxa"/>
            <w:vAlign w:val="center"/>
          </w:tcPr>
          <w:p w14:paraId="0B8C5333">
            <w:pPr>
              <w:widowControl/>
              <w:jc w:val="center"/>
              <w:rPr>
                <w:rFonts w:hint="eastAsia" w:asciiTheme="minorEastAsia" w:hAnsiTheme="minorEastAsia" w:eastAsiaTheme="minorEastAsia"/>
                <w:b/>
              </w:rPr>
            </w:pPr>
            <w:r>
              <w:rPr>
                <w:rFonts w:hint="eastAsia" w:asciiTheme="minorEastAsia" w:hAnsiTheme="minorEastAsia" w:eastAsiaTheme="minorEastAsia"/>
                <w:b/>
              </w:rPr>
              <w:t>中标（成交）金额</w:t>
            </w:r>
          </w:p>
        </w:tc>
        <w:tc>
          <w:tcPr>
            <w:tcW w:w="1799" w:type="dxa"/>
            <w:vAlign w:val="center"/>
          </w:tcPr>
          <w:p w14:paraId="6C7270C5">
            <w:pPr>
              <w:widowControl/>
              <w:jc w:val="center"/>
              <w:rPr>
                <w:rFonts w:hint="eastAsia" w:asciiTheme="minorEastAsia" w:hAnsiTheme="minorEastAsia" w:eastAsiaTheme="minorEastAsia"/>
                <w:b/>
              </w:rPr>
            </w:pPr>
            <w:r>
              <w:rPr>
                <w:rFonts w:hint="eastAsia" w:asciiTheme="minorEastAsia" w:hAnsiTheme="minorEastAsia" w:eastAsiaTheme="minorEastAsia"/>
                <w:b/>
              </w:rPr>
              <w:t>货物采购</w:t>
            </w:r>
          </w:p>
        </w:tc>
        <w:tc>
          <w:tcPr>
            <w:tcW w:w="1799" w:type="dxa"/>
            <w:vAlign w:val="center"/>
          </w:tcPr>
          <w:p w14:paraId="5ACE04E6">
            <w:pPr>
              <w:widowControl/>
              <w:jc w:val="center"/>
              <w:rPr>
                <w:rFonts w:hint="eastAsia" w:asciiTheme="minorEastAsia" w:hAnsiTheme="minorEastAsia" w:eastAsiaTheme="minorEastAsia"/>
                <w:b/>
              </w:rPr>
            </w:pPr>
            <w:r>
              <w:rPr>
                <w:rFonts w:hint="eastAsia" w:asciiTheme="minorEastAsia" w:hAnsiTheme="minorEastAsia" w:eastAsiaTheme="minorEastAsia"/>
                <w:b/>
              </w:rPr>
              <w:t>服务采购</w:t>
            </w:r>
          </w:p>
        </w:tc>
        <w:tc>
          <w:tcPr>
            <w:tcW w:w="1799" w:type="dxa"/>
            <w:vAlign w:val="center"/>
          </w:tcPr>
          <w:p w14:paraId="54C03F5C">
            <w:pPr>
              <w:widowControl/>
              <w:jc w:val="center"/>
              <w:rPr>
                <w:rFonts w:hint="eastAsia" w:asciiTheme="minorEastAsia" w:hAnsiTheme="minorEastAsia" w:eastAsiaTheme="minorEastAsia"/>
                <w:b/>
              </w:rPr>
            </w:pPr>
            <w:r>
              <w:rPr>
                <w:rFonts w:hint="eastAsia" w:asciiTheme="minorEastAsia" w:hAnsiTheme="minorEastAsia" w:eastAsiaTheme="minorEastAsia"/>
                <w:b/>
              </w:rPr>
              <w:t>工程采购</w:t>
            </w:r>
          </w:p>
        </w:tc>
      </w:tr>
      <w:tr w14:paraId="5090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35238705">
            <w:pPr>
              <w:widowControl/>
              <w:jc w:val="center"/>
              <w:rPr>
                <w:rFonts w:hint="eastAsia" w:asciiTheme="minorEastAsia" w:hAnsiTheme="minorEastAsia" w:eastAsiaTheme="minorEastAsia"/>
              </w:rPr>
            </w:pPr>
            <w:r>
              <w:rPr>
                <w:rFonts w:hint="eastAsia" w:asciiTheme="minorEastAsia" w:hAnsiTheme="minorEastAsia" w:eastAsiaTheme="minorEastAsia"/>
              </w:rPr>
              <w:t>100万元以下</w:t>
            </w:r>
          </w:p>
        </w:tc>
        <w:tc>
          <w:tcPr>
            <w:tcW w:w="1799" w:type="dxa"/>
            <w:vAlign w:val="center"/>
          </w:tcPr>
          <w:p w14:paraId="2C2DADEB">
            <w:pPr>
              <w:widowControl/>
              <w:jc w:val="center"/>
              <w:rPr>
                <w:rFonts w:hint="eastAsia" w:asciiTheme="minorEastAsia" w:hAnsiTheme="minorEastAsia" w:eastAsiaTheme="minorEastAsia"/>
              </w:rPr>
            </w:pPr>
            <w:r>
              <w:rPr>
                <w:rFonts w:hint="eastAsia" w:asciiTheme="minorEastAsia" w:hAnsiTheme="minorEastAsia" w:eastAsiaTheme="minorEastAsia"/>
              </w:rPr>
              <w:t>1.5%</w:t>
            </w:r>
          </w:p>
        </w:tc>
        <w:tc>
          <w:tcPr>
            <w:tcW w:w="1799" w:type="dxa"/>
            <w:vAlign w:val="center"/>
          </w:tcPr>
          <w:p w14:paraId="6967D46C">
            <w:pPr>
              <w:widowControl/>
              <w:jc w:val="center"/>
              <w:rPr>
                <w:rFonts w:hint="eastAsia" w:asciiTheme="minorEastAsia" w:hAnsiTheme="minorEastAsia" w:eastAsiaTheme="minorEastAsia"/>
              </w:rPr>
            </w:pPr>
            <w:r>
              <w:rPr>
                <w:rFonts w:hint="eastAsia" w:asciiTheme="minorEastAsia" w:hAnsiTheme="minorEastAsia" w:eastAsiaTheme="minorEastAsia"/>
              </w:rPr>
              <w:t>1.5%</w:t>
            </w:r>
          </w:p>
        </w:tc>
        <w:tc>
          <w:tcPr>
            <w:tcW w:w="1799" w:type="dxa"/>
            <w:vAlign w:val="center"/>
          </w:tcPr>
          <w:p w14:paraId="75DC8837">
            <w:pPr>
              <w:widowControl/>
              <w:jc w:val="center"/>
              <w:rPr>
                <w:rFonts w:hint="eastAsia" w:asciiTheme="minorEastAsia" w:hAnsiTheme="minorEastAsia" w:eastAsiaTheme="minorEastAsia"/>
              </w:rPr>
            </w:pPr>
            <w:r>
              <w:rPr>
                <w:rFonts w:hint="eastAsia" w:asciiTheme="minorEastAsia" w:hAnsiTheme="minorEastAsia" w:eastAsiaTheme="minorEastAsia"/>
              </w:rPr>
              <w:t>1.0%</w:t>
            </w:r>
          </w:p>
        </w:tc>
      </w:tr>
      <w:tr w14:paraId="48FE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209369D4">
            <w:pPr>
              <w:widowControl/>
              <w:jc w:val="center"/>
              <w:rPr>
                <w:rFonts w:hint="eastAsia" w:asciiTheme="minorEastAsia" w:hAnsiTheme="minorEastAsia" w:eastAsiaTheme="minorEastAsia"/>
              </w:rPr>
            </w:pPr>
            <w:r>
              <w:rPr>
                <w:rFonts w:hint="eastAsia" w:asciiTheme="minorEastAsia" w:hAnsiTheme="minorEastAsia" w:eastAsiaTheme="minorEastAsia"/>
              </w:rPr>
              <w:t>100万元（含）-500万元</w:t>
            </w:r>
          </w:p>
        </w:tc>
        <w:tc>
          <w:tcPr>
            <w:tcW w:w="1799" w:type="dxa"/>
            <w:vAlign w:val="center"/>
          </w:tcPr>
          <w:p w14:paraId="4A171CBB">
            <w:pPr>
              <w:widowControl/>
              <w:jc w:val="center"/>
              <w:rPr>
                <w:rFonts w:hint="eastAsia" w:asciiTheme="minorEastAsia" w:hAnsiTheme="minorEastAsia" w:eastAsiaTheme="minorEastAsia"/>
              </w:rPr>
            </w:pPr>
            <w:r>
              <w:rPr>
                <w:rFonts w:hint="eastAsia" w:asciiTheme="minorEastAsia" w:hAnsiTheme="minorEastAsia" w:eastAsiaTheme="minorEastAsia"/>
              </w:rPr>
              <w:t>1.1%</w:t>
            </w:r>
          </w:p>
        </w:tc>
        <w:tc>
          <w:tcPr>
            <w:tcW w:w="1799" w:type="dxa"/>
            <w:vAlign w:val="center"/>
          </w:tcPr>
          <w:p w14:paraId="375124DD">
            <w:pPr>
              <w:widowControl/>
              <w:jc w:val="center"/>
              <w:rPr>
                <w:rFonts w:hint="eastAsia" w:asciiTheme="minorEastAsia" w:hAnsiTheme="minorEastAsia" w:eastAsiaTheme="minorEastAsia"/>
              </w:rPr>
            </w:pPr>
            <w:r>
              <w:rPr>
                <w:rFonts w:hint="eastAsia" w:asciiTheme="minorEastAsia" w:hAnsiTheme="minorEastAsia" w:eastAsiaTheme="minorEastAsia"/>
              </w:rPr>
              <w:t>0.8%</w:t>
            </w:r>
          </w:p>
        </w:tc>
        <w:tc>
          <w:tcPr>
            <w:tcW w:w="1799" w:type="dxa"/>
            <w:vAlign w:val="center"/>
          </w:tcPr>
          <w:p w14:paraId="20641F77">
            <w:pPr>
              <w:widowControl/>
              <w:jc w:val="center"/>
              <w:rPr>
                <w:rFonts w:hint="eastAsia" w:asciiTheme="minorEastAsia" w:hAnsiTheme="minorEastAsia" w:eastAsiaTheme="minorEastAsia"/>
              </w:rPr>
            </w:pPr>
            <w:r>
              <w:rPr>
                <w:rFonts w:hint="eastAsia" w:asciiTheme="minorEastAsia" w:hAnsiTheme="minorEastAsia" w:eastAsiaTheme="minorEastAsia"/>
              </w:rPr>
              <w:t>0.7%</w:t>
            </w:r>
          </w:p>
        </w:tc>
      </w:tr>
      <w:tr w14:paraId="7D5C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2BE7A2CB">
            <w:pPr>
              <w:widowControl/>
              <w:jc w:val="center"/>
              <w:rPr>
                <w:rFonts w:hint="eastAsia" w:asciiTheme="minorEastAsia" w:hAnsiTheme="minorEastAsia" w:eastAsiaTheme="minorEastAsia"/>
              </w:rPr>
            </w:pPr>
            <w:r>
              <w:rPr>
                <w:rFonts w:hint="eastAsia" w:asciiTheme="minorEastAsia" w:hAnsiTheme="minorEastAsia" w:eastAsiaTheme="minorEastAsia"/>
              </w:rPr>
              <w:t>500万元（含）-1000万元</w:t>
            </w:r>
          </w:p>
        </w:tc>
        <w:tc>
          <w:tcPr>
            <w:tcW w:w="1799" w:type="dxa"/>
            <w:vAlign w:val="center"/>
          </w:tcPr>
          <w:p w14:paraId="4DDB6158">
            <w:pPr>
              <w:widowControl/>
              <w:jc w:val="center"/>
              <w:rPr>
                <w:rFonts w:hint="eastAsia" w:asciiTheme="minorEastAsia" w:hAnsiTheme="minorEastAsia" w:eastAsiaTheme="minorEastAsia"/>
              </w:rPr>
            </w:pPr>
            <w:r>
              <w:rPr>
                <w:rFonts w:hint="eastAsia" w:asciiTheme="minorEastAsia" w:hAnsiTheme="minorEastAsia" w:eastAsiaTheme="minorEastAsia"/>
              </w:rPr>
              <w:t>0.8%</w:t>
            </w:r>
          </w:p>
        </w:tc>
        <w:tc>
          <w:tcPr>
            <w:tcW w:w="1799" w:type="dxa"/>
            <w:vAlign w:val="center"/>
          </w:tcPr>
          <w:p w14:paraId="37609E13">
            <w:pPr>
              <w:widowControl/>
              <w:jc w:val="center"/>
              <w:rPr>
                <w:rFonts w:hint="eastAsia" w:asciiTheme="minorEastAsia" w:hAnsiTheme="minorEastAsia" w:eastAsiaTheme="minorEastAsia"/>
              </w:rPr>
            </w:pPr>
            <w:r>
              <w:rPr>
                <w:rFonts w:hint="eastAsia" w:asciiTheme="minorEastAsia" w:hAnsiTheme="minorEastAsia" w:eastAsiaTheme="minorEastAsia"/>
              </w:rPr>
              <w:t>0.45%</w:t>
            </w:r>
          </w:p>
        </w:tc>
        <w:tc>
          <w:tcPr>
            <w:tcW w:w="1799" w:type="dxa"/>
            <w:vAlign w:val="center"/>
          </w:tcPr>
          <w:p w14:paraId="5E13D677">
            <w:pPr>
              <w:widowControl/>
              <w:jc w:val="center"/>
              <w:rPr>
                <w:rFonts w:hint="eastAsia" w:asciiTheme="minorEastAsia" w:hAnsiTheme="minorEastAsia" w:eastAsiaTheme="minorEastAsia"/>
              </w:rPr>
            </w:pPr>
            <w:r>
              <w:rPr>
                <w:rFonts w:hint="eastAsia" w:asciiTheme="minorEastAsia" w:hAnsiTheme="minorEastAsia" w:eastAsiaTheme="minorEastAsia"/>
              </w:rPr>
              <w:t>0.55%</w:t>
            </w:r>
          </w:p>
        </w:tc>
      </w:tr>
      <w:tr w14:paraId="36C48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68B8A0F4">
            <w:pPr>
              <w:widowControl/>
              <w:jc w:val="center"/>
              <w:rPr>
                <w:rFonts w:hint="eastAsia" w:asciiTheme="minorEastAsia" w:hAnsiTheme="minorEastAsia" w:eastAsiaTheme="minorEastAsia"/>
              </w:rPr>
            </w:pPr>
            <w:r>
              <w:rPr>
                <w:rFonts w:hint="eastAsia" w:asciiTheme="minorEastAsia" w:hAnsiTheme="minorEastAsia" w:eastAsiaTheme="minorEastAsia"/>
              </w:rPr>
              <w:t>1000万元（含）-5000万元</w:t>
            </w:r>
          </w:p>
        </w:tc>
        <w:tc>
          <w:tcPr>
            <w:tcW w:w="1799" w:type="dxa"/>
            <w:vAlign w:val="center"/>
          </w:tcPr>
          <w:p w14:paraId="2F5CA3BC">
            <w:pPr>
              <w:widowControl/>
              <w:jc w:val="center"/>
              <w:rPr>
                <w:rFonts w:hint="eastAsia" w:asciiTheme="minorEastAsia" w:hAnsiTheme="minorEastAsia" w:eastAsiaTheme="minorEastAsia"/>
              </w:rPr>
            </w:pPr>
            <w:r>
              <w:rPr>
                <w:rFonts w:hint="eastAsia" w:asciiTheme="minorEastAsia" w:hAnsiTheme="minorEastAsia" w:eastAsiaTheme="minorEastAsia"/>
              </w:rPr>
              <w:t>0.5%</w:t>
            </w:r>
          </w:p>
        </w:tc>
        <w:tc>
          <w:tcPr>
            <w:tcW w:w="1799" w:type="dxa"/>
            <w:vAlign w:val="center"/>
          </w:tcPr>
          <w:p w14:paraId="66E12FBF">
            <w:pPr>
              <w:widowControl/>
              <w:jc w:val="center"/>
              <w:rPr>
                <w:rFonts w:hint="eastAsia" w:asciiTheme="minorEastAsia" w:hAnsiTheme="minorEastAsia" w:eastAsiaTheme="minorEastAsia"/>
              </w:rPr>
            </w:pPr>
            <w:r>
              <w:rPr>
                <w:rFonts w:hint="eastAsia" w:asciiTheme="minorEastAsia" w:hAnsiTheme="minorEastAsia" w:eastAsiaTheme="minorEastAsia"/>
              </w:rPr>
              <w:t>0.25%</w:t>
            </w:r>
          </w:p>
        </w:tc>
        <w:tc>
          <w:tcPr>
            <w:tcW w:w="1799" w:type="dxa"/>
            <w:vAlign w:val="center"/>
          </w:tcPr>
          <w:p w14:paraId="2E384EC6">
            <w:pPr>
              <w:widowControl/>
              <w:jc w:val="center"/>
              <w:rPr>
                <w:rFonts w:hint="eastAsia" w:asciiTheme="minorEastAsia" w:hAnsiTheme="minorEastAsia" w:eastAsiaTheme="minorEastAsia"/>
              </w:rPr>
            </w:pPr>
            <w:r>
              <w:rPr>
                <w:rFonts w:hint="eastAsia" w:asciiTheme="minorEastAsia" w:hAnsiTheme="minorEastAsia" w:eastAsiaTheme="minorEastAsia"/>
              </w:rPr>
              <w:t>0.35%</w:t>
            </w:r>
          </w:p>
        </w:tc>
      </w:tr>
      <w:tr w14:paraId="5C61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2090C23E">
            <w:pPr>
              <w:widowControl/>
              <w:jc w:val="center"/>
              <w:rPr>
                <w:rFonts w:hint="eastAsia" w:asciiTheme="minorEastAsia" w:hAnsiTheme="minorEastAsia" w:eastAsiaTheme="minorEastAsia"/>
              </w:rPr>
            </w:pPr>
            <w:r>
              <w:rPr>
                <w:rFonts w:hint="eastAsia" w:asciiTheme="minorEastAsia" w:hAnsiTheme="minorEastAsia" w:eastAsiaTheme="minorEastAsia"/>
              </w:rPr>
              <w:t>5000万元（含）-1亿元</w:t>
            </w:r>
          </w:p>
        </w:tc>
        <w:tc>
          <w:tcPr>
            <w:tcW w:w="1799" w:type="dxa"/>
            <w:vAlign w:val="center"/>
          </w:tcPr>
          <w:p w14:paraId="73B5BE3E">
            <w:pPr>
              <w:widowControl/>
              <w:jc w:val="center"/>
              <w:rPr>
                <w:rFonts w:hint="eastAsia" w:asciiTheme="minorEastAsia" w:hAnsiTheme="minorEastAsia" w:eastAsiaTheme="minorEastAsia"/>
              </w:rPr>
            </w:pPr>
            <w:r>
              <w:rPr>
                <w:rFonts w:hint="eastAsia" w:asciiTheme="minorEastAsia" w:hAnsiTheme="minorEastAsia" w:eastAsiaTheme="minorEastAsia"/>
              </w:rPr>
              <w:t>0.25%</w:t>
            </w:r>
          </w:p>
        </w:tc>
        <w:tc>
          <w:tcPr>
            <w:tcW w:w="1799" w:type="dxa"/>
            <w:vAlign w:val="center"/>
          </w:tcPr>
          <w:p w14:paraId="657BFF27">
            <w:pPr>
              <w:widowControl/>
              <w:jc w:val="center"/>
              <w:rPr>
                <w:rFonts w:hint="eastAsia" w:asciiTheme="minorEastAsia" w:hAnsiTheme="minorEastAsia" w:eastAsiaTheme="minorEastAsia"/>
              </w:rPr>
            </w:pPr>
            <w:r>
              <w:rPr>
                <w:rFonts w:hint="eastAsia" w:asciiTheme="minorEastAsia" w:hAnsiTheme="minorEastAsia" w:eastAsiaTheme="minorEastAsia"/>
              </w:rPr>
              <w:t>0.1%</w:t>
            </w:r>
          </w:p>
        </w:tc>
        <w:tc>
          <w:tcPr>
            <w:tcW w:w="1799" w:type="dxa"/>
            <w:vAlign w:val="center"/>
          </w:tcPr>
          <w:p w14:paraId="4E3D8C84">
            <w:pPr>
              <w:widowControl/>
              <w:jc w:val="center"/>
              <w:rPr>
                <w:rFonts w:hint="eastAsia" w:asciiTheme="minorEastAsia" w:hAnsiTheme="minorEastAsia" w:eastAsiaTheme="minorEastAsia"/>
              </w:rPr>
            </w:pPr>
            <w:r>
              <w:rPr>
                <w:rFonts w:hint="eastAsia" w:asciiTheme="minorEastAsia" w:hAnsiTheme="minorEastAsia" w:eastAsiaTheme="minorEastAsia"/>
              </w:rPr>
              <w:t>0.2%</w:t>
            </w:r>
          </w:p>
        </w:tc>
      </w:tr>
      <w:tr w14:paraId="467E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75F782A8">
            <w:pPr>
              <w:widowControl/>
              <w:jc w:val="center"/>
              <w:rPr>
                <w:rFonts w:hint="eastAsia" w:asciiTheme="minorEastAsia" w:hAnsiTheme="minorEastAsia" w:eastAsiaTheme="minorEastAsia"/>
              </w:rPr>
            </w:pPr>
            <w:r>
              <w:rPr>
                <w:rFonts w:hint="eastAsia" w:asciiTheme="minorEastAsia" w:hAnsiTheme="minorEastAsia" w:eastAsiaTheme="minorEastAsia"/>
              </w:rPr>
              <w:t>1亿元（含）-5亿元</w:t>
            </w:r>
          </w:p>
        </w:tc>
        <w:tc>
          <w:tcPr>
            <w:tcW w:w="1799" w:type="dxa"/>
            <w:vAlign w:val="center"/>
          </w:tcPr>
          <w:p w14:paraId="403AAC73">
            <w:pPr>
              <w:widowControl/>
              <w:jc w:val="center"/>
              <w:rPr>
                <w:rFonts w:hint="eastAsia" w:asciiTheme="minorEastAsia" w:hAnsiTheme="minorEastAsia" w:eastAsiaTheme="minorEastAsia"/>
              </w:rPr>
            </w:pPr>
            <w:r>
              <w:rPr>
                <w:rFonts w:hint="eastAsia" w:asciiTheme="minorEastAsia" w:hAnsiTheme="minorEastAsia" w:eastAsiaTheme="minorEastAsia"/>
              </w:rPr>
              <w:t>0.05%</w:t>
            </w:r>
          </w:p>
        </w:tc>
        <w:tc>
          <w:tcPr>
            <w:tcW w:w="1799" w:type="dxa"/>
            <w:vAlign w:val="center"/>
          </w:tcPr>
          <w:p w14:paraId="717A2DE5">
            <w:pPr>
              <w:widowControl/>
              <w:jc w:val="center"/>
              <w:rPr>
                <w:rFonts w:hint="eastAsia" w:asciiTheme="minorEastAsia" w:hAnsiTheme="minorEastAsia" w:eastAsiaTheme="minorEastAsia"/>
              </w:rPr>
            </w:pPr>
            <w:r>
              <w:rPr>
                <w:rFonts w:hint="eastAsia" w:asciiTheme="minorEastAsia" w:hAnsiTheme="minorEastAsia" w:eastAsiaTheme="minorEastAsia"/>
              </w:rPr>
              <w:t>0.05%</w:t>
            </w:r>
          </w:p>
        </w:tc>
        <w:tc>
          <w:tcPr>
            <w:tcW w:w="1799" w:type="dxa"/>
            <w:vAlign w:val="center"/>
          </w:tcPr>
          <w:p w14:paraId="75385980">
            <w:pPr>
              <w:widowControl/>
              <w:jc w:val="center"/>
              <w:rPr>
                <w:rFonts w:hint="eastAsia" w:asciiTheme="minorEastAsia" w:hAnsiTheme="minorEastAsia" w:eastAsiaTheme="minorEastAsia"/>
              </w:rPr>
            </w:pPr>
            <w:r>
              <w:rPr>
                <w:rFonts w:hint="eastAsia" w:asciiTheme="minorEastAsia" w:hAnsiTheme="minorEastAsia" w:eastAsiaTheme="minorEastAsia"/>
              </w:rPr>
              <w:t>0.05%</w:t>
            </w:r>
          </w:p>
        </w:tc>
      </w:tr>
      <w:tr w14:paraId="3798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4B3C9903">
            <w:pPr>
              <w:widowControl/>
              <w:jc w:val="center"/>
              <w:rPr>
                <w:rFonts w:hint="eastAsia" w:asciiTheme="minorEastAsia" w:hAnsiTheme="minorEastAsia" w:eastAsiaTheme="minorEastAsia"/>
              </w:rPr>
            </w:pPr>
            <w:r>
              <w:rPr>
                <w:rFonts w:hint="eastAsia" w:asciiTheme="minorEastAsia" w:hAnsiTheme="minorEastAsia" w:eastAsiaTheme="minorEastAsia"/>
              </w:rPr>
              <w:t>5亿元（含）-10亿元</w:t>
            </w:r>
          </w:p>
        </w:tc>
        <w:tc>
          <w:tcPr>
            <w:tcW w:w="1799" w:type="dxa"/>
            <w:vAlign w:val="center"/>
          </w:tcPr>
          <w:p w14:paraId="6ADDFAA8">
            <w:pPr>
              <w:widowControl/>
              <w:jc w:val="center"/>
              <w:rPr>
                <w:rFonts w:hint="eastAsia" w:asciiTheme="minorEastAsia" w:hAnsiTheme="minorEastAsia" w:eastAsiaTheme="minorEastAsia"/>
              </w:rPr>
            </w:pPr>
            <w:r>
              <w:rPr>
                <w:rFonts w:hint="eastAsia" w:asciiTheme="minorEastAsia" w:hAnsiTheme="minorEastAsia" w:eastAsiaTheme="minorEastAsia"/>
              </w:rPr>
              <w:t>0.035%</w:t>
            </w:r>
          </w:p>
        </w:tc>
        <w:tc>
          <w:tcPr>
            <w:tcW w:w="1799" w:type="dxa"/>
            <w:vAlign w:val="center"/>
          </w:tcPr>
          <w:p w14:paraId="0E734E6C">
            <w:pPr>
              <w:widowControl/>
              <w:jc w:val="center"/>
              <w:rPr>
                <w:rFonts w:hint="eastAsia" w:asciiTheme="minorEastAsia" w:hAnsiTheme="minorEastAsia" w:eastAsiaTheme="minorEastAsia"/>
              </w:rPr>
            </w:pPr>
            <w:r>
              <w:rPr>
                <w:rFonts w:hint="eastAsia" w:asciiTheme="minorEastAsia" w:hAnsiTheme="minorEastAsia" w:eastAsiaTheme="minorEastAsia"/>
              </w:rPr>
              <w:t>0.035%</w:t>
            </w:r>
          </w:p>
        </w:tc>
        <w:tc>
          <w:tcPr>
            <w:tcW w:w="1799" w:type="dxa"/>
            <w:vAlign w:val="center"/>
          </w:tcPr>
          <w:p w14:paraId="01C4B743">
            <w:pPr>
              <w:widowControl/>
              <w:jc w:val="center"/>
              <w:rPr>
                <w:rFonts w:hint="eastAsia" w:asciiTheme="minorEastAsia" w:hAnsiTheme="minorEastAsia" w:eastAsiaTheme="minorEastAsia"/>
              </w:rPr>
            </w:pPr>
            <w:r>
              <w:rPr>
                <w:rFonts w:hint="eastAsia" w:asciiTheme="minorEastAsia" w:hAnsiTheme="minorEastAsia" w:eastAsiaTheme="minorEastAsia"/>
              </w:rPr>
              <w:t>0.035%</w:t>
            </w:r>
          </w:p>
        </w:tc>
      </w:tr>
      <w:tr w14:paraId="6A04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26" w:type="dxa"/>
            <w:vAlign w:val="center"/>
          </w:tcPr>
          <w:p w14:paraId="416B645E">
            <w:pPr>
              <w:widowControl/>
              <w:jc w:val="center"/>
              <w:rPr>
                <w:rFonts w:hint="eastAsia" w:asciiTheme="minorEastAsia" w:hAnsiTheme="minorEastAsia" w:eastAsiaTheme="minorEastAsia"/>
              </w:rPr>
            </w:pPr>
            <w:r>
              <w:rPr>
                <w:rFonts w:hint="eastAsia" w:asciiTheme="minorEastAsia" w:hAnsiTheme="minorEastAsia" w:eastAsiaTheme="minorEastAsia"/>
              </w:rPr>
              <w:t>10亿元（含）-50亿元</w:t>
            </w:r>
          </w:p>
        </w:tc>
        <w:tc>
          <w:tcPr>
            <w:tcW w:w="1799" w:type="dxa"/>
            <w:vAlign w:val="center"/>
          </w:tcPr>
          <w:p w14:paraId="7668C43F">
            <w:pPr>
              <w:widowControl/>
              <w:jc w:val="center"/>
              <w:rPr>
                <w:rFonts w:hint="eastAsia" w:asciiTheme="minorEastAsia" w:hAnsiTheme="minorEastAsia" w:eastAsiaTheme="minorEastAsia"/>
              </w:rPr>
            </w:pPr>
            <w:r>
              <w:rPr>
                <w:rFonts w:hint="eastAsia" w:asciiTheme="minorEastAsia" w:hAnsiTheme="minorEastAsia" w:eastAsiaTheme="minorEastAsia"/>
              </w:rPr>
              <w:t>0.008%</w:t>
            </w:r>
          </w:p>
        </w:tc>
        <w:tc>
          <w:tcPr>
            <w:tcW w:w="1799" w:type="dxa"/>
            <w:vAlign w:val="center"/>
          </w:tcPr>
          <w:p w14:paraId="126C1DA3">
            <w:pPr>
              <w:widowControl/>
              <w:jc w:val="center"/>
              <w:rPr>
                <w:rFonts w:hint="eastAsia" w:asciiTheme="minorEastAsia" w:hAnsiTheme="minorEastAsia" w:eastAsiaTheme="minorEastAsia"/>
              </w:rPr>
            </w:pPr>
            <w:r>
              <w:rPr>
                <w:rFonts w:hint="eastAsia" w:asciiTheme="minorEastAsia" w:hAnsiTheme="minorEastAsia" w:eastAsiaTheme="minorEastAsia"/>
              </w:rPr>
              <w:t>0.008%</w:t>
            </w:r>
          </w:p>
        </w:tc>
        <w:tc>
          <w:tcPr>
            <w:tcW w:w="1799" w:type="dxa"/>
            <w:vAlign w:val="center"/>
          </w:tcPr>
          <w:p w14:paraId="5CD7AB40">
            <w:pPr>
              <w:widowControl/>
              <w:jc w:val="center"/>
              <w:rPr>
                <w:rFonts w:hint="eastAsia" w:asciiTheme="minorEastAsia" w:hAnsiTheme="minorEastAsia" w:eastAsiaTheme="minorEastAsia"/>
              </w:rPr>
            </w:pPr>
            <w:r>
              <w:rPr>
                <w:rFonts w:hint="eastAsia" w:asciiTheme="minorEastAsia" w:hAnsiTheme="minorEastAsia" w:eastAsiaTheme="minorEastAsia"/>
              </w:rPr>
              <w:t>0.008%</w:t>
            </w:r>
          </w:p>
        </w:tc>
      </w:tr>
      <w:tr w14:paraId="2FB55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3DACBC95">
            <w:pPr>
              <w:widowControl/>
              <w:jc w:val="center"/>
              <w:rPr>
                <w:rFonts w:hint="eastAsia" w:asciiTheme="minorEastAsia" w:hAnsiTheme="minorEastAsia" w:eastAsiaTheme="minorEastAsia"/>
              </w:rPr>
            </w:pPr>
            <w:r>
              <w:rPr>
                <w:rFonts w:hint="eastAsia" w:asciiTheme="minorEastAsia" w:hAnsiTheme="minorEastAsia" w:eastAsiaTheme="minorEastAsia"/>
              </w:rPr>
              <w:t>50亿元（含）-100亿元</w:t>
            </w:r>
          </w:p>
        </w:tc>
        <w:tc>
          <w:tcPr>
            <w:tcW w:w="1799" w:type="dxa"/>
            <w:vAlign w:val="center"/>
          </w:tcPr>
          <w:p w14:paraId="320CA2B7">
            <w:pPr>
              <w:widowControl/>
              <w:jc w:val="center"/>
              <w:rPr>
                <w:rFonts w:hint="eastAsia" w:asciiTheme="minorEastAsia" w:hAnsiTheme="minorEastAsia" w:eastAsiaTheme="minorEastAsia"/>
              </w:rPr>
            </w:pPr>
            <w:r>
              <w:rPr>
                <w:rFonts w:hint="eastAsia" w:asciiTheme="minorEastAsia" w:hAnsiTheme="minorEastAsia" w:eastAsiaTheme="minorEastAsia"/>
              </w:rPr>
              <w:t>0.006%</w:t>
            </w:r>
          </w:p>
        </w:tc>
        <w:tc>
          <w:tcPr>
            <w:tcW w:w="1799" w:type="dxa"/>
            <w:vAlign w:val="center"/>
          </w:tcPr>
          <w:p w14:paraId="0AC58DA4">
            <w:pPr>
              <w:widowControl/>
              <w:jc w:val="center"/>
              <w:rPr>
                <w:rFonts w:hint="eastAsia" w:asciiTheme="minorEastAsia" w:hAnsiTheme="minorEastAsia" w:eastAsiaTheme="minorEastAsia"/>
              </w:rPr>
            </w:pPr>
            <w:r>
              <w:rPr>
                <w:rFonts w:hint="eastAsia" w:asciiTheme="minorEastAsia" w:hAnsiTheme="minorEastAsia" w:eastAsiaTheme="minorEastAsia"/>
              </w:rPr>
              <w:t>0.006%</w:t>
            </w:r>
          </w:p>
        </w:tc>
        <w:tc>
          <w:tcPr>
            <w:tcW w:w="1799" w:type="dxa"/>
            <w:vAlign w:val="center"/>
          </w:tcPr>
          <w:p w14:paraId="584165FB">
            <w:pPr>
              <w:widowControl/>
              <w:jc w:val="center"/>
              <w:rPr>
                <w:rFonts w:hint="eastAsia" w:asciiTheme="minorEastAsia" w:hAnsiTheme="minorEastAsia" w:eastAsiaTheme="minorEastAsia"/>
              </w:rPr>
            </w:pPr>
            <w:r>
              <w:rPr>
                <w:rFonts w:hint="eastAsia" w:asciiTheme="minorEastAsia" w:hAnsiTheme="minorEastAsia" w:eastAsiaTheme="minorEastAsia"/>
              </w:rPr>
              <w:t>0.006%</w:t>
            </w:r>
          </w:p>
        </w:tc>
      </w:tr>
      <w:tr w14:paraId="78758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26" w:type="dxa"/>
            <w:vAlign w:val="center"/>
          </w:tcPr>
          <w:p w14:paraId="25AD01B2">
            <w:pPr>
              <w:widowControl/>
              <w:jc w:val="center"/>
              <w:rPr>
                <w:rFonts w:hint="eastAsia" w:asciiTheme="minorEastAsia" w:hAnsiTheme="minorEastAsia" w:eastAsiaTheme="minorEastAsia"/>
              </w:rPr>
            </w:pPr>
            <w:r>
              <w:rPr>
                <w:rFonts w:hint="eastAsia" w:asciiTheme="minorEastAsia" w:hAnsiTheme="minorEastAsia" w:eastAsiaTheme="minorEastAsia"/>
              </w:rPr>
              <w:t>100亿元（含）以上</w:t>
            </w:r>
          </w:p>
        </w:tc>
        <w:tc>
          <w:tcPr>
            <w:tcW w:w="1799" w:type="dxa"/>
            <w:vAlign w:val="center"/>
          </w:tcPr>
          <w:p w14:paraId="6F2914FC">
            <w:pPr>
              <w:widowControl/>
              <w:jc w:val="center"/>
              <w:rPr>
                <w:rFonts w:hint="eastAsia" w:asciiTheme="minorEastAsia" w:hAnsiTheme="minorEastAsia" w:eastAsiaTheme="minorEastAsia"/>
              </w:rPr>
            </w:pPr>
            <w:r>
              <w:rPr>
                <w:rFonts w:hint="eastAsia" w:asciiTheme="minorEastAsia" w:hAnsiTheme="minorEastAsia" w:eastAsiaTheme="minorEastAsia"/>
              </w:rPr>
              <w:t>0.004%</w:t>
            </w:r>
          </w:p>
        </w:tc>
        <w:tc>
          <w:tcPr>
            <w:tcW w:w="1799" w:type="dxa"/>
            <w:vAlign w:val="center"/>
          </w:tcPr>
          <w:p w14:paraId="697689A4">
            <w:pPr>
              <w:widowControl/>
              <w:jc w:val="center"/>
              <w:rPr>
                <w:rFonts w:hint="eastAsia" w:asciiTheme="minorEastAsia" w:hAnsiTheme="minorEastAsia" w:eastAsiaTheme="minorEastAsia"/>
              </w:rPr>
            </w:pPr>
            <w:r>
              <w:rPr>
                <w:rFonts w:hint="eastAsia" w:asciiTheme="minorEastAsia" w:hAnsiTheme="minorEastAsia" w:eastAsiaTheme="minorEastAsia"/>
              </w:rPr>
              <w:t>0.004%</w:t>
            </w:r>
          </w:p>
        </w:tc>
        <w:tc>
          <w:tcPr>
            <w:tcW w:w="1799" w:type="dxa"/>
            <w:vAlign w:val="center"/>
          </w:tcPr>
          <w:p w14:paraId="450B2C69">
            <w:pPr>
              <w:widowControl/>
              <w:jc w:val="center"/>
              <w:rPr>
                <w:rFonts w:hint="eastAsia" w:asciiTheme="minorEastAsia" w:hAnsiTheme="minorEastAsia" w:eastAsiaTheme="minorEastAsia"/>
              </w:rPr>
            </w:pPr>
            <w:r>
              <w:rPr>
                <w:rFonts w:hint="eastAsia" w:asciiTheme="minorEastAsia" w:hAnsiTheme="minorEastAsia" w:eastAsiaTheme="minorEastAsia"/>
              </w:rPr>
              <w:t>0.004%</w:t>
            </w:r>
          </w:p>
        </w:tc>
      </w:tr>
    </w:tbl>
    <w:p w14:paraId="0AAE0F96">
      <w:pPr>
        <w:ind w:firstLine="420" w:firstLineChars="200"/>
        <w:rPr>
          <w:rFonts w:hint="eastAsia" w:asciiTheme="minorEastAsia" w:hAnsiTheme="minorEastAsia" w:eastAsiaTheme="minorEastAsia"/>
        </w:rPr>
      </w:pPr>
      <w:r>
        <w:rPr>
          <w:rFonts w:hint="eastAsia" w:asciiTheme="minorEastAsia" w:hAnsiTheme="minorEastAsia" w:eastAsiaTheme="minorEastAsia"/>
        </w:rPr>
        <w:t>备注：1.每宗交易代理服务费不低于 5000 元；</w:t>
      </w:r>
    </w:p>
    <w:p w14:paraId="2EA448AB">
      <w:pPr>
        <w:ind w:firstLine="420" w:firstLineChars="200"/>
        <w:rPr>
          <w:rFonts w:hint="eastAsia" w:asciiTheme="minorEastAsia" w:hAnsiTheme="minorEastAsia" w:eastAsiaTheme="minorEastAsia"/>
        </w:rPr>
      </w:pPr>
      <w:r>
        <w:rPr>
          <w:rFonts w:hint="eastAsia" w:asciiTheme="minorEastAsia" w:hAnsiTheme="minorEastAsia" w:eastAsiaTheme="minorEastAsia"/>
        </w:rPr>
        <w:t>2.对于报总价的采购类项目，中标（成交）价为中标（成交）金额；对于报单价、折扣或费率的采购类项目，中标（成交）价为预算上限金额或经委托方与代理方确定的支付上限金额；</w:t>
      </w:r>
    </w:p>
    <w:p w14:paraId="1ADA4B0C">
      <w:pPr>
        <w:ind w:firstLine="420" w:firstLineChars="200"/>
        <w:rPr>
          <w:rFonts w:hint="eastAsia" w:asciiTheme="minorEastAsia" w:hAnsiTheme="minorEastAsia" w:eastAsiaTheme="minorEastAsia"/>
        </w:rPr>
      </w:pPr>
    </w:p>
    <w:p w14:paraId="5B90892E">
      <w:pPr>
        <w:ind w:firstLine="420" w:firstLineChars="200"/>
        <w:rPr>
          <w:rFonts w:hint="eastAsia" w:asciiTheme="minorEastAsia" w:hAnsiTheme="minorEastAsia" w:eastAsiaTheme="minorEastAsia"/>
        </w:rPr>
      </w:pPr>
      <w:r>
        <w:rPr>
          <w:rFonts w:hint="eastAsia" w:asciiTheme="minorEastAsia" w:hAnsiTheme="minorEastAsia" w:eastAsiaTheme="minorEastAsia"/>
        </w:rPr>
        <w:t>如某货物采购项目，中标（成交）金额为600万元，总共交纳的代理服务费的具体计算过程如下：</w:t>
      </w:r>
    </w:p>
    <w:p w14:paraId="4E2F7020">
      <w:pPr>
        <w:ind w:firstLine="420" w:firstLineChars="200"/>
        <w:rPr>
          <w:rFonts w:hint="eastAsia" w:asciiTheme="minorEastAsia" w:hAnsiTheme="minorEastAsia" w:eastAsiaTheme="minorEastAsia"/>
        </w:rPr>
      </w:pPr>
      <w:r>
        <w:rPr>
          <w:rFonts w:hint="eastAsia" w:asciiTheme="minorEastAsia" w:hAnsiTheme="minorEastAsia" w:eastAsiaTheme="minorEastAsia"/>
        </w:rPr>
        <w:t>标准代理服务费＝（100万元以下部分的代理服务费）+（100万～500万元部分的代理服务费）+（500万～600万元部分的代理服务费）＝100万元×1.5%+（500-100）万元×1.1%+（600-500）万元×0.8%=1.5万元+4.4万元+0.8万元＝6.7万元</w:t>
      </w:r>
    </w:p>
    <w:p w14:paraId="029339D7">
      <w:pPr>
        <w:ind w:firstLine="420" w:firstLineChars="200"/>
        <w:rPr>
          <w:b/>
        </w:rPr>
      </w:pPr>
      <w:r>
        <w:rPr>
          <w:rFonts w:hint="eastAsia" w:asciiTheme="minorEastAsia" w:hAnsiTheme="minorEastAsia" w:eastAsiaTheme="minorEastAsia"/>
        </w:rPr>
        <w:t>（3）中标（成交）供应商中标（成交）后，必须按规定采用银行对公转账方式向深圳交易集团有限公司直接交纳代理服务费，交纳信息及要求按照缴款（付款）通知书执行。</w:t>
      </w:r>
    </w:p>
    <w:p w14:paraId="2AE41C06">
      <w:pPr>
        <w:ind w:firstLine="422" w:firstLineChars="200"/>
        <w:jc w:val="left"/>
        <w:rPr>
          <w:rFonts w:hint="eastAsia" w:asciiTheme="minorEastAsia" w:hAnsiTheme="minorEastAsia" w:eastAsiaTheme="minorEastAsia"/>
          <w:b/>
          <w:color w:val="000000" w:themeColor="text1"/>
          <w14:textFill>
            <w14:solidFill>
              <w14:schemeClr w14:val="tx1"/>
            </w14:solidFill>
          </w14:textFill>
        </w:rPr>
      </w:pPr>
    </w:p>
    <w:p w14:paraId="347EAA20">
      <w:pPr>
        <w:ind w:firstLine="422" w:firstLineChars="200"/>
        <w:jc w:val="left"/>
        <w:rPr>
          <w:rFonts w:hint="eastAsia"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（四）其他说明</w:t>
      </w:r>
    </w:p>
    <w:p w14:paraId="2DCA3A1D">
      <w:pPr>
        <w:ind w:firstLine="420" w:firstLineChars="200"/>
        <w:rPr>
          <w:rFonts w:hint="eastAsia" w:asciiTheme="minorEastAsia" w:hAnsiTheme="minorEastAsia" w:eastAsiaTheme="minorEastAsia"/>
        </w:rPr>
      </w:pPr>
      <w:r>
        <w:rPr>
          <w:rFonts w:asciiTheme="minorEastAsia" w:hAnsiTheme="minorEastAsia" w:eastAsiaTheme="minorEastAsia"/>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p w14:paraId="5F0A6D0D">
      <w:pPr>
        <w:ind w:firstLine="422" w:firstLineChars="200"/>
        <w:rPr>
          <w:rFonts w:hint="eastAsia" w:asciiTheme="minorEastAsia" w:hAnsiTheme="minorEastAsia" w:eastAsiaTheme="minorEastAsia"/>
          <w:b/>
          <w:bCs/>
        </w:rPr>
      </w:pPr>
      <w:r>
        <w:rPr>
          <w:rFonts w:asciiTheme="minorEastAsia" w:hAnsiTheme="minorEastAsia" w:eastAsiaTheme="minorEastAsia"/>
          <w:b/>
          <w:bCs/>
        </w:rPr>
        <w:t>重要提示：</w:t>
      </w:r>
    </w:p>
    <w:p w14:paraId="435C02FD">
      <w:pPr>
        <w:ind w:firstLine="420" w:firstLineChars="200"/>
        <w:rPr>
          <w:rFonts w:hint="eastAsia"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使用电子营业执照功能时，请确保已经在手机微信安装 “电子营业执照”小程序，或已安装了“电子营业执照”APP，并且在 “电子营业执照”小程序/app中完成相应的下载电子营业执照、法人授权、备份密钥等操作（具体详见</w:t>
      </w:r>
      <w:r>
        <w:rPr>
          <w:rFonts w:hint="eastAsia" w:asciiTheme="minorEastAsia" w:hAnsiTheme="minorEastAsia" w:eastAsiaTheme="minorEastAsia"/>
        </w:rPr>
        <w:t>国家市场监督管理总局</w:t>
      </w:r>
      <w:r>
        <w:rPr>
          <w:rFonts w:asciiTheme="minorEastAsia" w:hAnsiTheme="minorEastAsia" w:eastAsiaTheme="minorEastAsia"/>
        </w:rPr>
        <w:t>网站），电子投标地区必须选择 “广东省-深圳市-深圳政府采购智慧平台”（请根据手机小程序/app提示进行设置，或拨打电子营业执照平台技术支持电话010-86355313，15921122750）。</w:t>
      </w:r>
    </w:p>
    <w:p w14:paraId="3C6CD062">
      <w:pPr>
        <w:ind w:firstLine="420" w:firstLineChars="200"/>
        <w:rPr>
          <w:rFonts w:hint="eastAsia"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04763CB3">
      <w:pPr>
        <w:ind w:firstLine="420" w:firstLineChars="200"/>
        <w:rPr>
          <w:rFonts w:hint="eastAsia" w:asciiTheme="minorEastAsia" w:hAnsiTheme="minorEastAsia" w:eastAsiaTheme="minorEastAsia"/>
        </w:rPr>
      </w:pPr>
      <w:r>
        <w:rPr>
          <w:rFonts w:asciiTheme="minorEastAsia" w:hAnsiTheme="minorEastAsia" w:eastAsiaTheme="minorEastAsia"/>
        </w:rPr>
        <w:t>3.已办理数字证书（电子密钥）的用户，可以继续使用数字证书完成投标活动。未申请电子营业执照或无法通过电子营业执照完成投标文件制作和加解密的用户，必须使用电子密钥进行投标文件制作和加解密，咨询电话</w:t>
      </w:r>
      <w:r>
        <w:rPr>
          <w:rFonts w:hint="eastAsia" w:asciiTheme="minorEastAsia" w:hAnsiTheme="minorEastAsia" w:eastAsiaTheme="minorEastAsia"/>
        </w:rPr>
        <w:t>0755-83948165，020-89524338</w:t>
      </w:r>
      <w:r>
        <w:rPr>
          <w:rFonts w:asciiTheme="minorEastAsia" w:hAnsiTheme="minorEastAsia" w:eastAsiaTheme="minorEastAsia"/>
        </w:rPr>
        <w:t>（CA办理指引详见链接https://szggzy.com/calock/caLock.html）。</w:t>
      </w:r>
    </w:p>
    <w:p w14:paraId="4F04B04F">
      <w:pPr>
        <w:widowControl/>
        <w:jc w:val="left"/>
        <w:rPr>
          <w:b/>
          <w:sz w:val="24"/>
        </w:rPr>
      </w:pPr>
      <w:r>
        <w:rPr>
          <w:b/>
        </w:rPr>
        <w:br w:type="page"/>
      </w:r>
    </w:p>
    <w:bookmarkEnd w:id="36"/>
    <w:p w14:paraId="0C44935D">
      <w:pPr>
        <w:pStyle w:val="7"/>
        <w:rPr>
          <w:rFonts w:hint="eastAsia"/>
          <w:sz w:val="28"/>
          <w:szCs w:val="28"/>
        </w:rPr>
      </w:pPr>
      <w:r>
        <w:rPr>
          <w:rFonts w:hint="eastAsia"/>
          <w:sz w:val="28"/>
          <w:szCs w:val="28"/>
        </w:rPr>
        <w:t>第三章 用户需求书</w:t>
      </w:r>
    </w:p>
    <w:p w14:paraId="4861C2B5">
      <w:pPr>
        <w:pStyle w:val="7"/>
        <w:spacing w:before="120" w:beforeLines="50" w:after="120" w:afterLines="50"/>
        <w:rPr>
          <w:rFonts w:hint="eastAsia" w:asciiTheme="minorEastAsia" w:hAnsiTheme="minorEastAsia" w:eastAsiaTheme="minorEastAsia"/>
          <w:szCs w:val="24"/>
        </w:rPr>
      </w:pPr>
      <w:r>
        <w:rPr>
          <w:rFonts w:hint="eastAsia" w:asciiTheme="minorEastAsia" w:hAnsiTheme="minorEastAsia" w:eastAsiaTheme="minorEastAsia"/>
          <w:szCs w:val="24"/>
        </w:rPr>
        <w:t>一、项目基本信息</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
        <w:gridCol w:w="3388"/>
        <w:gridCol w:w="2215"/>
        <w:gridCol w:w="2215"/>
      </w:tblGrid>
      <w:tr w14:paraId="37E6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90" w:type="pct"/>
            <w:vAlign w:val="center"/>
          </w:tcPr>
          <w:p w14:paraId="074F7870">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序号</w:t>
            </w:r>
          </w:p>
        </w:tc>
        <w:tc>
          <w:tcPr>
            <w:tcW w:w="2040" w:type="pct"/>
            <w:vAlign w:val="center"/>
          </w:tcPr>
          <w:p w14:paraId="0D2F12FC">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采购项目名称</w:t>
            </w:r>
          </w:p>
        </w:tc>
        <w:tc>
          <w:tcPr>
            <w:tcW w:w="1334" w:type="pct"/>
            <w:vAlign w:val="center"/>
          </w:tcPr>
          <w:p w14:paraId="7123CC04">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财政预算限额（元）</w:t>
            </w:r>
          </w:p>
        </w:tc>
        <w:tc>
          <w:tcPr>
            <w:tcW w:w="1334" w:type="pct"/>
            <w:vAlign w:val="center"/>
          </w:tcPr>
          <w:p w14:paraId="22FA1653">
            <w:pPr>
              <w:jc w:val="center"/>
              <w:rPr>
                <w:rFonts w:hint="default" w:asciiTheme="minorEastAsia" w:hAnsiTheme="minorEastAsia" w:eastAsiaTheme="minorEastAsia"/>
                <w:b/>
                <w:bCs/>
                <w:color w:val="FF0000"/>
                <w:szCs w:val="21"/>
                <w:lang w:val="en-US" w:eastAsia="zh-CN"/>
              </w:rPr>
            </w:pPr>
            <w:r>
              <w:rPr>
                <w:rFonts w:hint="eastAsia" w:asciiTheme="minorEastAsia" w:hAnsiTheme="minorEastAsia" w:eastAsiaTheme="minorEastAsia"/>
                <w:b/>
                <w:bCs/>
                <w:color w:val="FF0000"/>
                <w:szCs w:val="21"/>
                <w:lang w:val="en-US" w:eastAsia="zh-CN"/>
              </w:rPr>
              <w:t>最高限价（元）</w:t>
            </w:r>
          </w:p>
        </w:tc>
      </w:tr>
      <w:tr w14:paraId="629C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vAlign w:val="center"/>
          </w:tcPr>
          <w:p w14:paraId="044C92DA">
            <w:pPr>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2040" w:type="pct"/>
            <w:vAlign w:val="center"/>
          </w:tcPr>
          <w:p w14:paraId="2AB0C42B">
            <w:pPr>
              <w:jc w:val="center"/>
              <w:rPr>
                <w:rFonts w:hint="eastAsia" w:asciiTheme="minorEastAsia" w:hAnsiTheme="minorEastAsia" w:eastAsiaTheme="minorEastAsia"/>
                <w:b/>
                <w:bCs/>
                <w:color w:val="FF0000"/>
                <w:szCs w:val="21"/>
              </w:rPr>
            </w:pPr>
            <w:r>
              <w:rPr>
                <w:rFonts w:hint="eastAsia"/>
              </w:rPr>
              <w:t>深圳先进光源研究院</w:t>
            </w:r>
            <w:r>
              <w:t>ACCP</w:t>
            </w:r>
            <w:r>
              <w:rPr>
                <w:rFonts w:hint="eastAsia"/>
              </w:rPr>
              <w:t>制冷机</w:t>
            </w:r>
          </w:p>
        </w:tc>
        <w:tc>
          <w:tcPr>
            <w:tcW w:w="1334" w:type="pct"/>
            <w:vAlign w:val="center"/>
          </w:tcPr>
          <w:p w14:paraId="17D19A15">
            <w:pPr>
              <w:jc w:val="center"/>
              <w:rPr>
                <w:rFonts w:hint="eastAsia" w:asciiTheme="minorEastAsia" w:hAnsiTheme="minorEastAsia" w:eastAsiaTheme="minorEastAsia"/>
                <w:b/>
                <w:bCs/>
                <w:color w:val="FF0000"/>
                <w:szCs w:val="21"/>
                <w:lang w:val="en-US" w:eastAsia="zh-CN"/>
              </w:rPr>
            </w:pPr>
            <w:r>
              <w:rPr>
                <w:rFonts w:hint="eastAsia" w:asciiTheme="minorEastAsia" w:hAnsiTheme="minorEastAsia" w:eastAsiaTheme="minorEastAsia"/>
                <w:b/>
                <w:bCs/>
                <w:color w:val="FF0000"/>
                <w:szCs w:val="21"/>
                <w:lang w:val="en-US" w:eastAsia="zh-CN"/>
              </w:rPr>
              <w:t>245</w:t>
            </w:r>
            <w:r>
              <w:rPr>
                <w:rFonts w:hint="eastAsia" w:asciiTheme="minorEastAsia" w:hAnsiTheme="minorEastAsia" w:eastAsiaTheme="minorEastAsia"/>
                <w:b/>
                <w:bCs/>
                <w:color w:val="FF0000"/>
                <w:szCs w:val="21"/>
                <w:lang w:val="en-US" w:eastAsia="zh-CN"/>
              </w:rPr>
              <w:t>,220</w:t>
            </w:r>
            <w:r>
              <w:rPr>
                <w:rFonts w:hint="eastAsia" w:asciiTheme="minorEastAsia" w:hAnsiTheme="minorEastAsia" w:eastAsiaTheme="minorEastAsia"/>
                <w:b/>
                <w:bCs/>
                <w:color w:val="FF0000"/>
                <w:szCs w:val="21"/>
                <w:lang w:val="en-US" w:eastAsia="zh-CN"/>
              </w:rPr>
              <w:t>,000.00</w:t>
            </w:r>
          </w:p>
        </w:tc>
        <w:tc>
          <w:tcPr>
            <w:tcW w:w="1334" w:type="pct"/>
            <w:vAlign w:val="center"/>
          </w:tcPr>
          <w:p w14:paraId="3A655EE5">
            <w:pPr>
              <w:jc w:val="center"/>
              <w:rPr>
                <w:rFonts w:hint="eastAsia" w:asciiTheme="minorEastAsia" w:hAnsiTheme="minorEastAsia" w:eastAsiaTheme="minorEastAsia"/>
                <w:b/>
                <w:bCs/>
                <w:color w:val="FF0000"/>
                <w:szCs w:val="21"/>
                <w:lang w:val="en-US" w:eastAsia="zh-CN"/>
              </w:rPr>
            </w:pPr>
            <w:r>
              <w:rPr>
                <w:rFonts w:hint="default" w:asciiTheme="minorEastAsia" w:hAnsiTheme="minorEastAsia" w:eastAsiaTheme="minorEastAsia"/>
                <w:b/>
                <w:bCs/>
                <w:color w:val="FF0000"/>
                <w:szCs w:val="21"/>
                <w:lang w:val="en-US" w:eastAsia="zh-CN"/>
              </w:rPr>
              <w:t>234</w:t>
            </w:r>
            <w:r>
              <w:rPr>
                <w:rFonts w:hint="eastAsia" w:asciiTheme="minorEastAsia" w:hAnsiTheme="minorEastAsia" w:eastAsiaTheme="minorEastAsia"/>
                <w:b/>
                <w:bCs/>
                <w:color w:val="FF0000"/>
                <w:szCs w:val="21"/>
                <w:lang w:val="en-US" w:eastAsia="zh-CN"/>
              </w:rPr>
              <w:t>,</w:t>
            </w:r>
            <w:r>
              <w:rPr>
                <w:rFonts w:hint="default" w:asciiTheme="minorEastAsia" w:hAnsiTheme="minorEastAsia" w:eastAsiaTheme="minorEastAsia"/>
                <w:b/>
                <w:bCs/>
                <w:color w:val="FF0000"/>
                <w:szCs w:val="21"/>
                <w:lang w:val="en-US" w:eastAsia="zh-CN"/>
              </w:rPr>
              <w:t>350</w:t>
            </w:r>
            <w:r>
              <w:rPr>
                <w:rFonts w:hint="eastAsia" w:asciiTheme="minorEastAsia" w:hAnsiTheme="minorEastAsia" w:eastAsiaTheme="minorEastAsia"/>
                <w:b/>
                <w:bCs/>
                <w:color w:val="FF0000"/>
                <w:szCs w:val="21"/>
                <w:lang w:val="en-US" w:eastAsia="zh-CN"/>
              </w:rPr>
              <w:t>,</w:t>
            </w:r>
            <w:r>
              <w:rPr>
                <w:rFonts w:hint="default" w:asciiTheme="minorEastAsia" w:hAnsiTheme="minorEastAsia" w:eastAsiaTheme="minorEastAsia"/>
                <w:b/>
                <w:bCs/>
                <w:color w:val="FF0000"/>
                <w:szCs w:val="21"/>
                <w:lang w:val="en-US" w:eastAsia="zh-CN"/>
              </w:rPr>
              <w:t xml:space="preserve">000.00元 </w:t>
            </w:r>
          </w:p>
        </w:tc>
      </w:tr>
    </w:tbl>
    <w:p w14:paraId="21CD3CDA">
      <w:pPr>
        <w:rPr>
          <w:rFonts w:hint="eastAsia" w:asciiTheme="minorEastAsia" w:hAnsiTheme="minorEastAsia" w:eastAsiaTheme="minorEastAsia"/>
          <w:b/>
          <w:color w:val="FF0000"/>
          <w:szCs w:val="21"/>
        </w:rPr>
      </w:pPr>
    </w:p>
    <w:p w14:paraId="70CF1A10">
      <w:pPr>
        <w:pStyle w:val="7"/>
        <w:spacing w:before="120" w:beforeLines="50" w:after="120" w:afterLines="50"/>
        <w:rPr>
          <w:rFonts w:hint="eastAsia" w:asciiTheme="minorEastAsia" w:hAnsiTheme="minorEastAsia" w:eastAsiaTheme="minorEastAsia"/>
          <w:szCs w:val="24"/>
        </w:rPr>
      </w:pPr>
      <w:bookmarkStart w:id="39" w:name="_Hlk72258617"/>
      <w:r>
        <w:rPr>
          <w:rFonts w:hint="eastAsia" w:asciiTheme="minorEastAsia" w:hAnsiTheme="minorEastAsia" w:eastAsiaTheme="minorEastAsia"/>
          <w:szCs w:val="24"/>
        </w:rPr>
        <w:t>二、</w:t>
      </w:r>
      <w:bookmarkStart w:id="40" w:name="_Hlk72073432"/>
      <w:r>
        <w:rPr>
          <w:rFonts w:hint="eastAsia" w:asciiTheme="minorEastAsia" w:hAnsiTheme="minorEastAsia" w:eastAsiaTheme="minorEastAsia"/>
          <w:szCs w:val="24"/>
        </w:rPr>
        <w:t>货物需求明细</w:t>
      </w:r>
      <w:bookmarkEnd w:id="40"/>
    </w:p>
    <w:tbl>
      <w:tblPr>
        <w:tblStyle w:val="43"/>
        <w:tblW w:w="49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
        <w:gridCol w:w="2320"/>
        <w:gridCol w:w="409"/>
        <w:gridCol w:w="409"/>
        <w:gridCol w:w="776"/>
        <w:gridCol w:w="1078"/>
        <w:gridCol w:w="1079"/>
        <w:gridCol w:w="1047"/>
        <w:gridCol w:w="740"/>
      </w:tblGrid>
      <w:tr w14:paraId="420EE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6" w:type="pct"/>
            <w:vAlign w:val="center"/>
          </w:tcPr>
          <w:p w14:paraId="7EED7B7C">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序号</w:t>
            </w:r>
          </w:p>
        </w:tc>
        <w:tc>
          <w:tcPr>
            <w:tcW w:w="1403" w:type="pct"/>
            <w:vAlign w:val="center"/>
          </w:tcPr>
          <w:p w14:paraId="70F7363C">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货物名称（标的名称）</w:t>
            </w:r>
          </w:p>
        </w:tc>
        <w:tc>
          <w:tcPr>
            <w:tcW w:w="247" w:type="pct"/>
            <w:vAlign w:val="center"/>
          </w:tcPr>
          <w:p w14:paraId="67955C91">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数量</w:t>
            </w:r>
          </w:p>
        </w:tc>
        <w:tc>
          <w:tcPr>
            <w:tcW w:w="247" w:type="pct"/>
            <w:vAlign w:val="center"/>
          </w:tcPr>
          <w:p w14:paraId="4D70138F">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单位</w:t>
            </w:r>
          </w:p>
        </w:tc>
        <w:tc>
          <w:tcPr>
            <w:tcW w:w="469" w:type="pct"/>
            <w:vAlign w:val="center"/>
          </w:tcPr>
          <w:p w14:paraId="178A3CCB">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是否接受进口</w:t>
            </w:r>
          </w:p>
        </w:tc>
        <w:tc>
          <w:tcPr>
            <w:tcW w:w="651" w:type="pct"/>
            <w:vAlign w:val="center"/>
          </w:tcPr>
          <w:p w14:paraId="282E615B">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是否为节能产品</w:t>
            </w:r>
          </w:p>
        </w:tc>
        <w:tc>
          <w:tcPr>
            <w:tcW w:w="652" w:type="pct"/>
            <w:vAlign w:val="center"/>
          </w:tcPr>
          <w:p w14:paraId="6E8676D4">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是否为环境标志产品</w:t>
            </w:r>
          </w:p>
        </w:tc>
        <w:tc>
          <w:tcPr>
            <w:tcW w:w="633" w:type="pct"/>
            <w:vAlign w:val="center"/>
          </w:tcPr>
          <w:p w14:paraId="72B480A4">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是否专门面向中小企业</w:t>
            </w:r>
          </w:p>
        </w:tc>
        <w:tc>
          <w:tcPr>
            <w:tcW w:w="447" w:type="pct"/>
            <w:vAlign w:val="center"/>
          </w:tcPr>
          <w:p w14:paraId="6854878D">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标的所属行业</w:t>
            </w:r>
          </w:p>
        </w:tc>
      </w:tr>
      <w:tr w14:paraId="49C4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2591AA85">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1</w:t>
            </w:r>
          </w:p>
        </w:tc>
        <w:tc>
          <w:tcPr>
            <w:tcW w:w="1403" w:type="pct"/>
            <w:vAlign w:val="center"/>
          </w:tcPr>
          <w:p w14:paraId="0033580E">
            <w:pPr>
              <w:jc w:val="center"/>
              <w:rPr>
                <w:rFonts w:hint="eastAsia" w:asciiTheme="minorEastAsia" w:hAnsiTheme="minorEastAsia" w:eastAsiaTheme="minorEastAsia"/>
                <w:bCs/>
                <w:szCs w:val="21"/>
              </w:rPr>
            </w:pPr>
            <w:r>
              <w:t>ACCP</w:t>
            </w:r>
            <w:r>
              <w:rPr>
                <w:rFonts w:hint="eastAsia"/>
              </w:rPr>
              <w:t>制冷机</w:t>
            </w:r>
          </w:p>
        </w:tc>
        <w:tc>
          <w:tcPr>
            <w:tcW w:w="247" w:type="pct"/>
            <w:vAlign w:val="center"/>
          </w:tcPr>
          <w:p w14:paraId="5D838BCC">
            <w:pPr>
              <w:jc w:val="center"/>
              <w:rPr>
                <w:rFonts w:hint="eastAsia" w:asciiTheme="minorEastAsia" w:hAnsiTheme="minorEastAsia" w:eastAsiaTheme="minorEastAsia"/>
                <w:bCs/>
                <w:szCs w:val="21"/>
              </w:rPr>
            </w:pPr>
            <w:r>
              <w:rPr>
                <w:rFonts w:hint="eastAsia" w:ascii="宋体" w:hAnsi="宋体" w:cs="宋体"/>
                <w:color w:val="000000"/>
                <w:szCs w:val="21"/>
              </w:rPr>
              <w:t>1</w:t>
            </w:r>
          </w:p>
        </w:tc>
        <w:tc>
          <w:tcPr>
            <w:tcW w:w="247" w:type="pct"/>
            <w:vAlign w:val="center"/>
          </w:tcPr>
          <w:p w14:paraId="208E1E9A">
            <w:pPr>
              <w:jc w:val="center"/>
              <w:rPr>
                <w:rFonts w:hint="eastAsia" w:asciiTheme="minorEastAsia" w:hAnsiTheme="minorEastAsia" w:eastAsiaTheme="minorEastAsia"/>
                <w:bCs/>
                <w:szCs w:val="21"/>
              </w:rPr>
            </w:pPr>
            <w:r>
              <w:rPr>
                <w:rFonts w:hint="eastAsia" w:ascii="宋体" w:hAnsi="宋体" w:cs="宋体"/>
                <w:color w:val="000000"/>
                <w:szCs w:val="21"/>
              </w:rPr>
              <w:t>套</w:t>
            </w:r>
          </w:p>
        </w:tc>
        <w:tc>
          <w:tcPr>
            <w:tcW w:w="469" w:type="pct"/>
            <w:vAlign w:val="center"/>
          </w:tcPr>
          <w:p w14:paraId="0B632EC0">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接受进口</w:t>
            </w:r>
          </w:p>
        </w:tc>
        <w:tc>
          <w:tcPr>
            <w:tcW w:w="651" w:type="pct"/>
            <w:vAlign w:val="center"/>
          </w:tcPr>
          <w:p w14:paraId="65ADE36E">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否</w:t>
            </w:r>
          </w:p>
        </w:tc>
        <w:tc>
          <w:tcPr>
            <w:tcW w:w="652" w:type="pct"/>
            <w:vAlign w:val="center"/>
          </w:tcPr>
          <w:p w14:paraId="519BFEDB">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否</w:t>
            </w:r>
          </w:p>
        </w:tc>
        <w:tc>
          <w:tcPr>
            <w:tcW w:w="633" w:type="pct"/>
            <w:vAlign w:val="center"/>
          </w:tcPr>
          <w:p w14:paraId="68C5DE17">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否</w:t>
            </w:r>
          </w:p>
        </w:tc>
        <w:tc>
          <w:tcPr>
            <w:tcW w:w="447" w:type="pct"/>
            <w:vAlign w:val="center"/>
          </w:tcPr>
          <w:p w14:paraId="36FCEBF6">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工业</w:t>
            </w:r>
          </w:p>
        </w:tc>
      </w:tr>
    </w:tbl>
    <w:p w14:paraId="3E636586">
      <w:pP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备注：1.“是否接受进口”栏注明“拒绝进口”的产品不接受投标人选用进口产品参与投标；注明“接受进口”的产品允许投标人选用进口产品参与投标，但不排斥国内产品。</w:t>
      </w:r>
    </w:p>
    <w:p w14:paraId="25E8A328">
      <w:pP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号文和财办库〔2008〕248号文的相关规定为准。</w:t>
      </w:r>
    </w:p>
    <w:p w14:paraId="5918554E">
      <w:pP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6BC057E3">
      <w:pPr>
        <w:pStyle w:val="61"/>
        <w:ind w:firstLine="422" w:firstLineChars="200"/>
        <w:rPr>
          <w:rFonts w:hint="eastAsia" w:asciiTheme="minorEastAsia" w:hAnsiTheme="minorEastAsia" w:eastAsiaTheme="minorEastAsia"/>
        </w:rPr>
      </w:pPr>
      <w:r>
        <w:rPr>
          <w:rFonts w:hint="eastAsia" w:asciiTheme="minorEastAsia" w:hAnsiTheme="minorEastAsia" w:eastAsiaTheme="minorEastAsia"/>
          <w:b/>
          <w:color w:val="FF0000"/>
          <w:szCs w:val="21"/>
        </w:rPr>
        <w:t>4.“是否为环境标志产品”一栏，由采购人根据《关于印发环境标志产品政府采购品目清单的通知》（财库〔2019〕18号）的品目清单填写，填写为“优先采购”则给与相应评审加分。</w:t>
      </w:r>
    </w:p>
    <w:p w14:paraId="2A270273">
      <w:pPr>
        <w:ind w:firstLine="422" w:firstLineChars="200"/>
        <w:rPr>
          <w:rFonts w:hint="eastAsia" w:asciiTheme="minorEastAsia" w:hAnsiTheme="minorEastAsia" w:eastAsiaTheme="minorEastAsia"/>
        </w:rPr>
      </w:pPr>
      <w:r>
        <w:rPr>
          <w:rFonts w:hint="eastAsia" w:asciiTheme="minorEastAsia" w:hAnsiTheme="minorEastAsia" w:eastAsiaTheme="minorEastAsia"/>
          <w:b/>
          <w:color w:val="FF0000"/>
          <w:szCs w:val="21"/>
        </w:rPr>
        <w:t>5.本项目核心产品为：</w:t>
      </w:r>
      <w:r>
        <w:rPr>
          <w:rFonts w:asciiTheme="minorEastAsia" w:hAnsiTheme="minorEastAsia" w:eastAsiaTheme="minorEastAsia"/>
          <w:b/>
          <w:color w:val="FF0000"/>
          <w:szCs w:val="21"/>
          <w:u w:val="single"/>
        </w:rPr>
        <w:t>ACCP</w:t>
      </w:r>
      <w:r>
        <w:rPr>
          <w:rFonts w:hint="eastAsia" w:asciiTheme="minorEastAsia" w:hAnsiTheme="minorEastAsia" w:eastAsiaTheme="minorEastAsia"/>
          <w:b/>
          <w:color w:val="FF0000"/>
          <w:szCs w:val="21"/>
          <w:u w:val="single"/>
        </w:rPr>
        <w:t>制冷机（序号1）</w:t>
      </w:r>
      <w:r>
        <w:rPr>
          <w:rFonts w:hint="eastAsia" w:asciiTheme="minorEastAsia" w:hAnsiTheme="minorEastAsia" w:eastAsiaTheme="minorEastAsia"/>
          <w:b/>
          <w:color w:val="FF0000"/>
          <w:szCs w:val="21"/>
        </w:rPr>
        <w:t>。</w:t>
      </w:r>
      <w:bookmarkEnd w:id="39"/>
    </w:p>
    <w:p w14:paraId="53C4EE64">
      <w:pPr>
        <w:pStyle w:val="7"/>
        <w:spacing w:before="120" w:beforeLines="50" w:after="120" w:afterLines="50"/>
        <w:rPr>
          <w:rFonts w:hint="eastAsia" w:asciiTheme="minorEastAsia" w:hAnsiTheme="minorEastAsia" w:eastAsiaTheme="minorEastAsia"/>
          <w:szCs w:val="24"/>
        </w:rPr>
      </w:pPr>
      <w:bookmarkStart w:id="41" w:name="_Toc128884461"/>
      <w:r>
        <w:rPr>
          <w:rFonts w:hint="eastAsia" w:asciiTheme="minorEastAsia" w:hAnsiTheme="minorEastAsia" w:eastAsiaTheme="minorEastAsia"/>
          <w:szCs w:val="24"/>
        </w:rPr>
        <w:t>三、实质性条款</w:t>
      </w:r>
    </w:p>
    <w:tbl>
      <w:tblPr>
        <w:tblStyle w:val="43"/>
        <w:tblW w:w="83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7531"/>
      </w:tblGrid>
      <w:tr w14:paraId="2B1C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14:paraId="14DA3C4C">
            <w:pPr>
              <w:adjustRightInd w:val="0"/>
              <w:snapToGrid w:val="0"/>
              <w:jc w:val="center"/>
              <w:rPr>
                <w:rFonts w:hint="eastAsia" w:asciiTheme="minorEastAsia" w:hAnsiTheme="minorEastAsia" w:eastAsiaTheme="minorEastAsia"/>
                <w:b/>
                <w:kern w:val="0"/>
                <w:szCs w:val="21"/>
              </w:rPr>
            </w:pPr>
            <w:r>
              <w:rPr>
                <w:rFonts w:hint="eastAsia" w:asciiTheme="minorEastAsia" w:hAnsiTheme="minorEastAsia" w:eastAsiaTheme="minorEastAsia"/>
                <w:b/>
                <w:kern w:val="0"/>
                <w:szCs w:val="21"/>
              </w:rPr>
              <w:t>序号</w:t>
            </w:r>
          </w:p>
        </w:tc>
        <w:tc>
          <w:tcPr>
            <w:tcW w:w="7531" w:type="dxa"/>
            <w:vAlign w:val="center"/>
          </w:tcPr>
          <w:p w14:paraId="5D115BFB">
            <w:pPr>
              <w:adjustRightInd w:val="0"/>
              <w:snapToGrid w:val="0"/>
              <w:jc w:val="center"/>
              <w:rPr>
                <w:rFonts w:hint="eastAsia" w:asciiTheme="minorEastAsia" w:hAnsiTheme="minorEastAsia" w:eastAsiaTheme="minorEastAsia"/>
                <w:b/>
                <w:kern w:val="0"/>
                <w:szCs w:val="21"/>
              </w:rPr>
            </w:pPr>
            <w:r>
              <w:rPr>
                <w:rFonts w:hint="eastAsia" w:asciiTheme="minorEastAsia" w:hAnsiTheme="minorEastAsia" w:eastAsiaTheme="minorEastAsia"/>
                <w:b/>
                <w:kern w:val="0"/>
                <w:szCs w:val="21"/>
              </w:rPr>
              <w:t>实质性条款具体内容</w:t>
            </w:r>
          </w:p>
        </w:tc>
      </w:tr>
      <w:tr w14:paraId="3226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8" w:type="dxa"/>
            <w:vAlign w:val="center"/>
          </w:tcPr>
          <w:p w14:paraId="357D8C3D">
            <w:pPr>
              <w:adjustRightInd w:val="0"/>
              <w:snapToGrid w:val="0"/>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7531" w:type="dxa"/>
            <w:vAlign w:val="center"/>
          </w:tcPr>
          <w:p w14:paraId="5DF4AFFD">
            <w:pPr>
              <w:adjustRightInd w:val="0"/>
              <w:snapToGrid w:val="0"/>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具体以采购文件中带“★”的需求项为准。</w:t>
            </w:r>
          </w:p>
        </w:tc>
      </w:tr>
    </w:tbl>
    <w:p w14:paraId="54DB6554">
      <w:pPr>
        <w:rPr>
          <w:rFonts w:hint="eastAsia" w:asciiTheme="minorEastAsia" w:hAnsiTheme="minorEastAsia" w:eastAsiaTheme="minorEastAsia"/>
          <w:b/>
          <w:szCs w:val="21"/>
        </w:rPr>
      </w:pPr>
      <w:r>
        <w:rPr>
          <w:rFonts w:hint="eastAsia" w:asciiTheme="minorEastAsia" w:hAnsiTheme="minorEastAsia" w:eastAsiaTheme="minorEastAsia"/>
          <w:b/>
        </w:rPr>
        <w:t>注：上表所列内容为不可负偏离条款</w:t>
      </w:r>
      <w:bookmarkEnd w:id="41"/>
      <w:r>
        <w:rPr>
          <w:rFonts w:hint="eastAsia" w:asciiTheme="minorEastAsia" w:hAnsiTheme="minorEastAsia" w:eastAsiaTheme="minorEastAsia"/>
          <w:b/>
        </w:rPr>
        <w:t>，负偏离将视为未实质性满足招标文件要求作投标无效处理。</w:t>
      </w:r>
    </w:p>
    <w:p w14:paraId="6A0F4004">
      <w:pPr>
        <w:pStyle w:val="7"/>
        <w:spacing w:before="120" w:beforeLines="50" w:after="120" w:afterLines="50"/>
        <w:rPr>
          <w:rFonts w:hint="eastAsia" w:asciiTheme="minorEastAsia" w:hAnsiTheme="minorEastAsia" w:eastAsiaTheme="minorEastAsia"/>
          <w:szCs w:val="24"/>
        </w:rPr>
      </w:pPr>
      <w:r>
        <w:rPr>
          <w:rFonts w:hint="eastAsia" w:asciiTheme="minorEastAsia" w:hAnsiTheme="minorEastAsia" w:eastAsiaTheme="minorEastAsia"/>
          <w:szCs w:val="24"/>
        </w:rPr>
        <w:t>四、技术要求</w:t>
      </w:r>
    </w:p>
    <w:p w14:paraId="47D27617">
      <w:pPr>
        <w:ind w:firstLine="422" w:firstLineChars="200"/>
        <w:rPr>
          <w:rFonts w:hint="eastAsia" w:asciiTheme="minorEastAsia" w:hAnsiTheme="minorEastAsia" w:eastAsiaTheme="minorEastAsia"/>
          <w:b/>
        </w:rPr>
      </w:pPr>
      <w:r>
        <w:rPr>
          <w:rFonts w:hint="eastAsia" w:asciiTheme="minorEastAsia" w:hAnsiTheme="minorEastAsia" w:eastAsiaTheme="minorEastAsia"/>
          <w:b/>
          <w:szCs w:val="21"/>
        </w:rPr>
        <w:t>说明：</w:t>
      </w:r>
      <w:r>
        <w:rPr>
          <w:rFonts w:asciiTheme="minorEastAsia" w:hAnsiTheme="minorEastAsia" w:eastAsiaTheme="minorEastAsia"/>
          <w:b/>
          <w:szCs w:val="21"/>
        </w:rPr>
        <w:t xml:space="preserve"> </w:t>
      </w:r>
      <w:r>
        <w:rPr>
          <w:rFonts w:asciiTheme="minorEastAsia" w:hAnsiTheme="minorEastAsia" w:eastAsiaTheme="minorEastAsia"/>
          <w:b/>
        </w:rPr>
        <w:t>1</w:t>
      </w:r>
      <w:r>
        <w:rPr>
          <w:rFonts w:hint="eastAsia" w:asciiTheme="minorEastAsia" w:hAnsiTheme="minorEastAsia" w:eastAsiaTheme="minorEastAsia"/>
          <w:b/>
        </w:rPr>
        <w:t>.评分时，如对一项招标技术要求（以划分框为准）中的内容存在两处（或以上）负偏离的，在评分时只作一项负偏离扣分。</w:t>
      </w:r>
    </w:p>
    <w:p w14:paraId="00B2ACB9">
      <w:pPr>
        <w:ind w:firstLine="422" w:firstLineChars="200"/>
        <w:rPr>
          <w:rFonts w:hint="eastAsia" w:asciiTheme="minorEastAsia" w:hAnsiTheme="minorEastAsia" w:eastAsiaTheme="minorEastAsia"/>
          <w:b/>
          <w:szCs w:val="21"/>
        </w:rPr>
      </w:pPr>
      <w:r>
        <w:rPr>
          <w:rFonts w:asciiTheme="minorEastAsia" w:hAnsiTheme="minorEastAsia" w:eastAsiaTheme="minorEastAsia"/>
          <w:b/>
          <w:szCs w:val="21"/>
        </w:rPr>
        <w:t>2</w:t>
      </w:r>
      <w:r>
        <w:rPr>
          <w:rFonts w:hint="eastAsia" w:asciiTheme="minorEastAsia" w:hAnsiTheme="minorEastAsia" w:eastAsiaTheme="minorEastAsia"/>
          <w:b/>
          <w:szCs w:val="21"/>
        </w:rPr>
        <w:t>.带★号条款为不可负偏离条款，不作为评分准则中的评分内容，如未响应或出现负偏离的，将作投标无效处理；带“</w:t>
      </w:r>
      <w:r>
        <w:rPr>
          <w:rFonts w:asciiTheme="minorEastAsia" w:hAnsiTheme="minorEastAsia" w:eastAsiaTheme="minorEastAsia"/>
        </w:rPr>
        <w:t>▲</w:t>
      </w:r>
      <w:r>
        <w:rPr>
          <w:rFonts w:hint="eastAsia" w:asciiTheme="minorEastAsia" w:hAnsiTheme="minorEastAsia" w:eastAsiaTheme="minorEastAsia"/>
          <w:b/>
          <w:szCs w:val="21"/>
        </w:rPr>
        <w:t>”指标项为重要参数条款，负偏离时依据相关评分准则内容作重点扣分处理。</w:t>
      </w:r>
    </w:p>
    <w:p w14:paraId="0C15FAD8">
      <w:pPr>
        <w:ind w:firstLine="422" w:firstLineChars="200"/>
        <w:rPr>
          <w:rFonts w:hint="eastAsia" w:asciiTheme="minorEastAsia" w:hAnsiTheme="minorEastAsia" w:eastAsiaTheme="minorEastAsia"/>
          <w:b/>
          <w:szCs w:val="21"/>
        </w:rPr>
      </w:pPr>
      <w:r>
        <w:rPr>
          <w:rFonts w:asciiTheme="minorEastAsia" w:hAnsiTheme="minorEastAsia" w:eastAsiaTheme="minorEastAsia"/>
          <w:b/>
          <w:szCs w:val="21"/>
        </w:rPr>
        <w:t>3</w:t>
      </w:r>
      <w:bookmarkStart w:id="42" w:name="_Hlk72585069"/>
      <w:r>
        <w:rPr>
          <w:rFonts w:hint="eastAsia" w:asciiTheme="minorEastAsia" w:hAnsiTheme="minorEastAsia" w:eastAsiaTheme="minorEastAsia"/>
          <w:b/>
          <w:szCs w:val="21"/>
        </w:rPr>
        <w:t>.招标技术要求中，用红色加粗字体标注的指标项均要求提供证明资料；其余指标项未要求提供证明资料，无需提供相关证明资料。</w:t>
      </w:r>
    </w:p>
    <w:p w14:paraId="7E58D873">
      <w:pPr>
        <w:ind w:firstLine="422" w:firstLineChars="200"/>
        <w:rPr>
          <w:rFonts w:hint="eastAsia" w:asciiTheme="minorEastAsia" w:hAnsiTheme="minorEastAsia" w:eastAsiaTheme="minorEastAsia"/>
          <w:b/>
          <w:color w:val="FF0000"/>
        </w:rPr>
      </w:pPr>
      <w:r>
        <w:rPr>
          <w:rFonts w:hint="eastAsia" w:asciiTheme="minorEastAsia" w:hAnsiTheme="minorEastAsia" w:eastAsiaTheme="minorEastAsia"/>
          <w:b/>
          <w:color w:val="FF0000"/>
        </w:rPr>
        <w:t>4.</w:t>
      </w:r>
      <w:r>
        <w:rPr>
          <w:rFonts w:hint="eastAsia"/>
        </w:rPr>
        <w:t xml:space="preserve"> </w:t>
      </w:r>
      <w:r>
        <w:rPr>
          <w:rFonts w:hint="eastAsia" w:asciiTheme="minorEastAsia" w:hAnsiTheme="minorEastAsia" w:eastAsiaTheme="minorEastAsia"/>
          <w:b/>
          <w:color w:val="FF0000"/>
        </w:rPr>
        <w:t>涉及区间的技术要求，除特别注明以外，所投产品响应数值在招标文件要求的区间范围内即认定为满足该项技术要求。例：区间要求为5-20ML, 所投产品响应为5ML、10ML或20ML，即为满足该项技术要求。</w:t>
      </w:r>
    </w:p>
    <w:p w14:paraId="0A11470E">
      <w:pPr>
        <w:ind w:firstLine="422" w:firstLineChars="200"/>
        <w:rPr>
          <w:rFonts w:hint="eastAsia" w:asciiTheme="minorEastAsia" w:hAnsiTheme="minorEastAsia" w:eastAsiaTheme="minorEastAsia"/>
          <w:b/>
          <w:color w:val="FF0000"/>
        </w:rPr>
      </w:pPr>
      <w:r>
        <w:rPr>
          <w:rFonts w:hint="eastAsia" w:asciiTheme="minorEastAsia" w:hAnsiTheme="minorEastAsia" w:eastAsiaTheme="minorEastAsia"/>
          <w:b/>
          <w:color w:val="FF0000"/>
        </w:rPr>
        <w:t>5. 附件技术规格书中所要求提供的各类材料均为中标后提供，投标阶段，投标文件中所需提供的材料以招标文件要求为准。</w:t>
      </w:r>
    </w:p>
    <w:bookmarkEnd w:id="42"/>
    <w:tbl>
      <w:tblPr>
        <w:tblStyle w:val="43"/>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6237"/>
      </w:tblGrid>
      <w:tr w14:paraId="46AD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vAlign w:val="center"/>
          </w:tcPr>
          <w:p w14:paraId="1C9318F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bookmarkStart w:id="43" w:name="_Hlk244104443"/>
            <w:r>
              <w:rPr>
                <w:rFonts w:hint="eastAsia" w:ascii="宋体" w:hAnsi="宋体"/>
                <w:color w:val="000000"/>
                <w:szCs w:val="22"/>
              </w:rPr>
              <w:t>序号</w:t>
            </w:r>
          </w:p>
        </w:tc>
        <w:tc>
          <w:tcPr>
            <w:tcW w:w="1276" w:type="dxa"/>
            <w:vAlign w:val="center"/>
          </w:tcPr>
          <w:p w14:paraId="5232344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hint="eastAsia" w:ascii="宋体" w:hAnsi="宋体"/>
                <w:color w:val="000000"/>
                <w:szCs w:val="22"/>
              </w:rPr>
              <w:t>货物名称</w:t>
            </w:r>
          </w:p>
        </w:tc>
        <w:tc>
          <w:tcPr>
            <w:tcW w:w="6237" w:type="dxa"/>
            <w:vAlign w:val="center"/>
          </w:tcPr>
          <w:p w14:paraId="6B0C01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hint="eastAsia" w:ascii="宋体" w:hAnsi="宋体"/>
                <w:color w:val="000000"/>
                <w:szCs w:val="22"/>
              </w:rPr>
              <w:t>技术参数要求</w:t>
            </w:r>
          </w:p>
        </w:tc>
      </w:tr>
      <w:tr w14:paraId="5A05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vAlign w:val="center"/>
          </w:tcPr>
          <w:p w14:paraId="16B4C4F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ascii="宋体" w:hAnsi="宋体"/>
                <w:color w:val="000000"/>
                <w:szCs w:val="22"/>
              </w:rPr>
              <w:t>1</w:t>
            </w:r>
          </w:p>
        </w:tc>
        <w:tc>
          <w:tcPr>
            <w:tcW w:w="1276" w:type="dxa"/>
            <w:vMerge w:val="restart"/>
            <w:vAlign w:val="center"/>
          </w:tcPr>
          <w:p w14:paraId="2FF5E04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ascii="宋体" w:hAnsi="宋体"/>
                <w:color w:val="000000"/>
                <w:szCs w:val="22"/>
              </w:rPr>
              <w:t>ACCP制冷机</w:t>
            </w:r>
          </w:p>
        </w:tc>
        <w:tc>
          <w:tcPr>
            <w:tcW w:w="6237" w:type="dxa"/>
            <w:vAlign w:val="center"/>
          </w:tcPr>
          <w:p w14:paraId="06AA9AE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▲1.</w:t>
            </w:r>
            <w:bookmarkStart w:id="44" w:name="_Hlk222820584"/>
            <w:r>
              <w:rPr>
                <w:rFonts w:ascii="宋体" w:hAnsi="宋体"/>
                <w:color w:val="000000"/>
                <w:szCs w:val="22"/>
              </w:rPr>
              <w:t>投标人提供的ACCP制冷机设备应符合现场</w:t>
            </w:r>
            <w:r>
              <w:rPr>
                <w:rFonts w:hint="eastAsia" w:ascii="宋体" w:hAnsi="宋体"/>
                <w:color w:val="000000"/>
                <w:szCs w:val="22"/>
              </w:rPr>
              <w:t>工艺</w:t>
            </w:r>
            <w:r>
              <w:rPr>
                <w:rFonts w:ascii="宋体" w:hAnsi="宋体"/>
                <w:color w:val="000000"/>
                <w:szCs w:val="22"/>
              </w:rPr>
              <w:t>条件。现场场地条件详见技术规格书第4章。</w:t>
            </w:r>
            <w:bookmarkEnd w:id="44"/>
          </w:p>
        </w:tc>
      </w:tr>
      <w:tr w14:paraId="6E85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A7B02E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C2A7FF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57B840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bookmarkStart w:id="45" w:name="OLE_LINK11"/>
            <w:r>
              <w:rPr>
                <w:rFonts w:ascii="宋体" w:hAnsi="宋体" w:cs="Segoe UI Symbol"/>
                <w:color w:val="000000"/>
                <w:szCs w:val="22"/>
              </w:rPr>
              <w:t>★</w:t>
            </w:r>
            <w:r>
              <w:rPr>
                <w:rFonts w:ascii="宋体" w:hAnsi="宋体"/>
                <w:color w:val="000000"/>
                <w:szCs w:val="22"/>
              </w:rPr>
              <w:t>2.</w:t>
            </w:r>
            <w:bookmarkStart w:id="46" w:name="_Hlk222820599"/>
            <w:r>
              <w:rPr>
                <w:rFonts w:hint="eastAsia" w:ascii="宋体" w:hAnsi="宋体"/>
                <w:bCs/>
                <w:szCs w:val="22"/>
              </w:rPr>
              <w:t>ACCP制冷机应</w:t>
            </w:r>
            <w:r>
              <w:rPr>
                <w:rFonts w:ascii="宋体" w:hAnsi="宋体"/>
                <w:b/>
                <w:bCs/>
                <w:color w:val="000000"/>
                <w:szCs w:val="22"/>
              </w:rPr>
              <w:t>采用液氮预冷</w:t>
            </w:r>
            <w:r>
              <w:rPr>
                <w:rFonts w:hint="eastAsia" w:ascii="宋体" w:hAnsi="宋体"/>
                <w:b/>
                <w:bCs/>
                <w:color w:val="000000"/>
                <w:szCs w:val="22"/>
              </w:rPr>
              <w:t>设计</w:t>
            </w:r>
            <w:r>
              <w:rPr>
                <w:rFonts w:ascii="宋体" w:hAnsi="宋体"/>
                <w:szCs w:val="22"/>
              </w:rPr>
              <w:t>。</w:t>
            </w:r>
            <w:bookmarkEnd w:id="45"/>
            <w:bookmarkEnd w:id="46"/>
          </w:p>
        </w:tc>
      </w:tr>
      <w:tr w14:paraId="758A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A6A33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737075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5219CD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3.</w:t>
            </w:r>
            <w:bookmarkStart w:id="47" w:name="_Hlk222820612"/>
            <w:r>
              <w:rPr>
                <w:rFonts w:ascii="宋体" w:hAnsi="宋体"/>
                <w:color w:val="000000"/>
                <w:szCs w:val="22"/>
              </w:rPr>
              <w:t xml:space="preserve"> ACCP应使用基于两级压缩的制冷循环系统</w:t>
            </w:r>
            <w:r>
              <w:rPr>
                <w:rFonts w:hint="eastAsia" w:ascii="宋体" w:hAnsi="宋体"/>
                <w:color w:val="000000"/>
                <w:szCs w:val="22"/>
              </w:rPr>
              <w:t>，高压压力需要小于</w:t>
            </w:r>
            <w:r>
              <w:rPr>
                <w:rFonts w:ascii="宋体" w:hAnsi="宋体"/>
                <w:color w:val="000000"/>
                <w:szCs w:val="22"/>
              </w:rPr>
              <w:t>2</w:t>
            </w:r>
            <w:r>
              <w:rPr>
                <w:rFonts w:hint="eastAsia" w:ascii="宋体" w:hAnsi="宋体"/>
                <w:color w:val="000000"/>
                <w:szCs w:val="22"/>
              </w:rPr>
              <w:t>2</w:t>
            </w:r>
            <w:r>
              <w:rPr>
                <w:rFonts w:ascii="宋体" w:hAnsi="宋体"/>
                <w:color w:val="000000"/>
                <w:szCs w:val="22"/>
              </w:rPr>
              <w:t>. 5 bar</w:t>
            </w:r>
            <w:r>
              <w:rPr>
                <w:rFonts w:hint="eastAsia" w:ascii="宋体" w:hAnsi="宋体"/>
                <w:color w:val="000000"/>
                <w:szCs w:val="22"/>
              </w:rPr>
              <w:t>。</w:t>
            </w:r>
            <w:bookmarkEnd w:id="47"/>
          </w:p>
        </w:tc>
      </w:tr>
      <w:tr w14:paraId="3D2A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0EE78B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799615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238192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w:t>
            </w:r>
            <w:r>
              <w:rPr>
                <w:rFonts w:ascii="宋体" w:hAnsi="宋体"/>
                <w:szCs w:val="22"/>
              </w:rPr>
              <w:t>.</w:t>
            </w:r>
            <w:r>
              <w:rPr>
                <w:rFonts w:hint="eastAsia" w:ascii="宋体" w:hAnsi="宋体"/>
                <w:bCs/>
                <w:szCs w:val="22"/>
              </w:rPr>
              <w:t>为实现负压循环获得2 K温度，ACCP制冷机应采用基于多级冷压缩机与室温负压压缩机搭配的混合增压流程。</w:t>
            </w:r>
          </w:p>
        </w:tc>
      </w:tr>
      <w:tr w14:paraId="7253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A3A10F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0AAA12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CF5874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w:t>
            </w:r>
            <w:r>
              <w:rPr>
                <w:rFonts w:ascii="宋体" w:hAnsi="宋体"/>
                <w:szCs w:val="22"/>
              </w:rPr>
              <w:t>.</w:t>
            </w:r>
            <w:bookmarkStart w:id="48" w:name="_Hlk222820664"/>
            <w:r>
              <w:rPr>
                <w:rFonts w:hint="eastAsia" w:ascii="宋体" w:hAnsi="宋体"/>
                <w:szCs w:val="22"/>
              </w:rPr>
              <w:t>ACCP控制系统需设计为在所有运行模式下全自动运行。此外，控制系统需够处理所有瞬态运行模式，且尽量少用操作员干预。从一种运行模式到另一种运行模式的过渡应是自动和连续的。</w:t>
            </w:r>
            <w:bookmarkEnd w:id="48"/>
          </w:p>
        </w:tc>
      </w:tr>
      <w:tr w14:paraId="2510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28C32A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77FC59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BCB65E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▲6</w:t>
            </w:r>
            <w:r>
              <w:rPr>
                <w:rFonts w:ascii="宋体" w:hAnsi="宋体"/>
                <w:szCs w:val="22"/>
              </w:rPr>
              <w:t xml:space="preserve">. </w:t>
            </w:r>
            <w:bookmarkStart w:id="49" w:name="_Hlk222820717"/>
            <w:r>
              <w:rPr>
                <w:rFonts w:hint="eastAsia" w:ascii="宋体" w:hAnsi="宋体"/>
                <w:szCs w:val="22"/>
              </w:rPr>
              <w:t>投标人提供的</w:t>
            </w:r>
            <w:r>
              <w:rPr>
                <w:rFonts w:ascii="宋体" w:hAnsi="宋体"/>
                <w:color w:val="000000"/>
                <w:szCs w:val="22"/>
              </w:rPr>
              <w:t>ACCP制冷机</w:t>
            </w:r>
            <w:r>
              <w:rPr>
                <w:rFonts w:hint="eastAsia" w:ascii="宋体" w:hAnsi="宋体"/>
                <w:szCs w:val="22"/>
              </w:rPr>
              <w:t>包括常规设计模式、常规运行模式、2 K待机模式、4.5 K待机模式、有液氮预冷的液化模式、无液氮预冷的运行模式。</w:t>
            </w:r>
            <w:r>
              <w:rPr>
                <w:rFonts w:hint="eastAsia"/>
                <w:color w:val="000000"/>
                <w:szCs w:val="22"/>
              </w:rPr>
              <w:t>2 K 回气压力控制系统应具备维持 2 K 稳定运行所需负压的能力。在稳态运行条件下且冷箱与 CDS 断开连接时，压力控制系统应设计为能够将压力稳定性保持在规定压力设定值的±10 Pa范围内。当冷箱与 CDS 连接时，应协助 IASF 达到上述压力稳定性。</w:t>
            </w:r>
            <w:r>
              <w:rPr>
                <w:rFonts w:hint="eastAsia" w:ascii="宋体" w:hAnsi="宋体"/>
                <w:szCs w:val="22"/>
              </w:rPr>
              <w:t>整体</w:t>
            </w:r>
            <w:r>
              <w:rPr>
                <w:rFonts w:ascii="宋体" w:hAnsi="宋体"/>
                <w:szCs w:val="22"/>
              </w:rPr>
              <w:t>满足技术规格书5.3.1小节总体要求。</w:t>
            </w:r>
            <w:bookmarkEnd w:id="49"/>
          </w:p>
        </w:tc>
      </w:tr>
      <w:tr w14:paraId="6DBD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E3B3DE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1C231C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1FCE3D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s="Segoe UI Symbol"/>
                <w:b/>
                <w:bCs/>
                <w:color w:val="EE0000"/>
                <w:szCs w:val="22"/>
              </w:rPr>
              <w:t>★7</w:t>
            </w:r>
            <w:r>
              <w:rPr>
                <w:rFonts w:ascii="宋体" w:hAnsi="宋体"/>
                <w:b/>
                <w:bCs/>
                <w:color w:val="EE0000"/>
                <w:szCs w:val="22"/>
              </w:rPr>
              <w:t>.</w:t>
            </w:r>
            <w:bookmarkStart w:id="50" w:name="_Hlk222820820"/>
            <w:r>
              <w:rPr>
                <w:rFonts w:hint="eastAsia" w:ascii="宋体" w:hAnsi="宋体"/>
                <w:b/>
                <w:bCs/>
                <w:color w:val="EE0000"/>
                <w:szCs w:val="22"/>
              </w:rPr>
              <w:t>常规</w:t>
            </w:r>
            <w:r>
              <w:rPr>
                <w:rFonts w:ascii="宋体" w:hAnsi="宋体"/>
                <w:b/>
                <w:bCs/>
                <w:color w:val="EE0000"/>
                <w:szCs w:val="22"/>
              </w:rPr>
              <w:t>设计模式下ACCP所需的最高冷却能力应达到：2 K回路</w:t>
            </w:r>
            <w:r>
              <w:rPr>
                <w:rFonts w:hint="eastAsia" w:ascii="宋体" w:hAnsi="宋体"/>
                <w:b/>
                <w:bCs/>
                <w:color w:val="EE0000"/>
                <w:szCs w:val="22"/>
              </w:rPr>
              <w:t>制冷量</w:t>
            </w:r>
            <w:r>
              <w:rPr>
                <w:rFonts w:ascii="宋体" w:hAnsi="宋体"/>
                <w:b/>
                <w:bCs/>
                <w:color w:val="EE0000"/>
                <w:szCs w:val="22"/>
              </w:rPr>
              <w:t>≥</w:t>
            </w:r>
            <w:r>
              <w:rPr>
                <w:rFonts w:hint="eastAsia" w:ascii="宋体" w:hAnsi="宋体"/>
                <w:b/>
                <w:bCs/>
                <w:color w:val="EE0000"/>
                <w:szCs w:val="22"/>
              </w:rPr>
              <w:t>4400</w:t>
            </w:r>
            <w:r>
              <w:rPr>
                <w:rFonts w:ascii="宋体" w:hAnsi="宋体"/>
                <w:b/>
                <w:bCs/>
                <w:color w:val="EE0000"/>
                <w:szCs w:val="22"/>
              </w:rPr>
              <w:t xml:space="preserve"> W（供气温度≤4.6K</w:t>
            </w:r>
            <w:r>
              <w:rPr>
                <w:rFonts w:hint="eastAsia" w:ascii="宋体" w:hAnsi="宋体"/>
                <w:b/>
                <w:bCs/>
                <w:color w:val="EE0000"/>
                <w:szCs w:val="22"/>
              </w:rPr>
              <w:t>，</w:t>
            </w:r>
            <w:r>
              <w:rPr>
                <w:rFonts w:ascii="宋体" w:hAnsi="宋体"/>
                <w:b/>
                <w:bCs/>
                <w:color w:val="EE0000"/>
                <w:szCs w:val="22"/>
              </w:rPr>
              <w:t>压力3-3.5bar）、4.5-8K回路</w:t>
            </w:r>
            <w:r>
              <w:rPr>
                <w:rFonts w:hint="eastAsia" w:ascii="宋体" w:hAnsi="宋体"/>
                <w:b/>
                <w:bCs/>
                <w:color w:val="EE0000"/>
                <w:szCs w:val="22"/>
              </w:rPr>
              <w:t>制冷量</w:t>
            </w:r>
            <w:r>
              <w:rPr>
                <w:rFonts w:ascii="宋体" w:hAnsi="宋体"/>
                <w:b/>
                <w:bCs/>
                <w:color w:val="EE0000"/>
                <w:szCs w:val="22"/>
              </w:rPr>
              <w:t>≥</w:t>
            </w:r>
            <w:r>
              <w:rPr>
                <w:rFonts w:hint="eastAsia" w:ascii="宋体" w:hAnsi="宋体"/>
                <w:b/>
                <w:bCs/>
                <w:color w:val="EE0000"/>
                <w:szCs w:val="22"/>
              </w:rPr>
              <w:t>1500</w:t>
            </w:r>
            <w:r>
              <w:rPr>
                <w:rFonts w:ascii="宋体" w:hAnsi="宋体"/>
                <w:b/>
                <w:bCs/>
                <w:color w:val="EE0000"/>
                <w:szCs w:val="22"/>
              </w:rPr>
              <w:t>W （供气温度≤4.6K</w:t>
            </w:r>
            <w:r>
              <w:rPr>
                <w:rFonts w:hint="eastAsia" w:ascii="宋体" w:hAnsi="宋体"/>
                <w:b/>
                <w:bCs/>
                <w:color w:val="EE0000"/>
                <w:szCs w:val="22"/>
              </w:rPr>
              <w:t>，</w:t>
            </w:r>
            <w:r>
              <w:rPr>
                <w:rFonts w:ascii="宋体" w:hAnsi="宋体"/>
                <w:b/>
                <w:bCs/>
                <w:color w:val="EE0000"/>
                <w:szCs w:val="22"/>
              </w:rPr>
              <w:t>压力3-3.5bar）、40-80K回路制冷量≥</w:t>
            </w:r>
            <w:r>
              <w:rPr>
                <w:rFonts w:hint="eastAsia" w:ascii="宋体" w:hAnsi="宋体"/>
                <w:b/>
                <w:bCs/>
                <w:color w:val="EE0000"/>
                <w:szCs w:val="22"/>
              </w:rPr>
              <w:t>15000</w:t>
            </w:r>
            <w:r>
              <w:rPr>
                <w:rFonts w:ascii="宋体" w:hAnsi="宋体"/>
                <w:b/>
                <w:bCs/>
                <w:color w:val="EE0000"/>
                <w:szCs w:val="22"/>
              </w:rPr>
              <w:t>W。</w:t>
            </w:r>
            <w:r>
              <w:rPr>
                <w:rFonts w:hint="eastAsia" w:ascii="宋体" w:hAnsi="宋体"/>
                <w:b/>
                <w:bCs/>
                <w:color w:val="EE0000"/>
                <w:szCs w:val="22"/>
              </w:rPr>
              <w:t>投标时</w:t>
            </w:r>
            <w:r>
              <w:rPr>
                <w:rFonts w:ascii="宋体" w:hAnsi="宋体"/>
                <w:b/>
                <w:bCs/>
                <w:color w:val="EE0000"/>
                <w:szCs w:val="22"/>
              </w:rPr>
              <w:t>需要提供该模式流程说明文件包括：满足上述运行和验收的制冷机流程PFD图</w:t>
            </w:r>
            <w:r>
              <w:rPr>
                <w:rFonts w:hint="eastAsia" w:ascii="宋体" w:hAnsi="宋体"/>
                <w:b/>
                <w:bCs/>
                <w:color w:val="EE0000"/>
                <w:szCs w:val="22"/>
              </w:rPr>
              <w:t>和</w:t>
            </w:r>
            <w:r>
              <w:rPr>
                <w:rFonts w:ascii="宋体" w:hAnsi="宋体"/>
                <w:b/>
                <w:bCs/>
                <w:color w:val="EE0000"/>
                <w:szCs w:val="22"/>
              </w:rPr>
              <w:t>T-S图和设计响应参数（格式自拟）。</w:t>
            </w:r>
            <w:r>
              <w:rPr>
                <w:rFonts w:hint="eastAsia" w:ascii="宋体" w:hAnsi="宋体"/>
                <w:b/>
                <w:bCs/>
                <w:color w:val="EE0000"/>
                <w:szCs w:val="22"/>
              </w:rPr>
              <w:t>常规</w:t>
            </w:r>
            <w:r>
              <w:rPr>
                <w:rFonts w:ascii="宋体" w:hAnsi="宋体"/>
                <w:b/>
                <w:bCs/>
                <w:color w:val="EE0000"/>
                <w:szCs w:val="22"/>
              </w:rPr>
              <w:t>设计模式要求详见附件技术规格书5.3.2小节。</w:t>
            </w:r>
            <w:bookmarkEnd w:id="50"/>
          </w:p>
        </w:tc>
      </w:tr>
      <w:tr w14:paraId="4B43A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C88C6E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6424A1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820BEC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b/>
                <w:bCs/>
                <w:color w:val="EE0000"/>
                <w:szCs w:val="22"/>
              </w:rPr>
              <w:t>8</w:t>
            </w:r>
            <w:r>
              <w:rPr>
                <w:rFonts w:ascii="宋体" w:hAnsi="宋体"/>
                <w:b/>
                <w:bCs/>
                <w:color w:val="EE0000"/>
                <w:szCs w:val="22"/>
              </w:rPr>
              <w:t>.</w:t>
            </w:r>
            <w:bookmarkStart w:id="51" w:name="_Hlk222820934"/>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w:t>
            </w:r>
            <w:r>
              <w:rPr>
                <w:rFonts w:hint="eastAsia" w:ascii="宋体" w:hAnsi="宋体"/>
                <w:b/>
                <w:bCs/>
                <w:color w:val="FF0000"/>
                <w:szCs w:val="22"/>
              </w:rPr>
              <w:t>有</w:t>
            </w:r>
            <w:r>
              <w:rPr>
                <w:rFonts w:hint="eastAsia"/>
                <w:b/>
                <w:bCs/>
                <w:color w:val="FF0000"/>
                <w:szCs w:val="22"/>
              </w:rPr>
              <w:t>常规</w:t>
            </w:r>
            <w:r>
              <w:rPr>
                <w:rFonts w:hint="eastAsia" w:ascii="宋体" w:hAnsi="宋体"/>
                <w:b/>
                <w:bCs/>
                <w:color w:val="FF0000"/>
                <w:szCs w:val="22"/>
              </w:rPr>
              <w:t>运行</w:t>
            </w:r>
            <w:r>
              <w:rPr>
                <w:rFonts w:hint="eastAsia" w:ascii="宋体" w:hAnsi="宋体"/>
                <w:b/>
                <w:bCs/>
                <w:color w:val="EE0000"/>
                <w:szCs w:val="22"/>
              </w:rPr>
              <w:t>工况模式，投标时需要提供该模式流程说明文件包括：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.3小节要求。</w:t>
            </w:r>
            <w:bookmarkEnd w:id="51"/>
          </w:p>
        </w:tc>
      </w:tr>
      <w:tr w14:paraId="3000A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D49A8B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DDA551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BFE25E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▲9</w:t>
            </w:r>
            <w:r>
              <w:rPr>
                <w:rFonts w:ascii="宋体" w:hAnsi="宋体"/>
                <w:b/>
                <w:bCs/>
                <w:color w:val="EE0000"/>
                <w:szCs w:val="22"/>
              </w:rPr>
              <w:t>.</w:t>
            </w:r>
            <w:bookmarkStart w:id="52" w:name="_Hlk222820948"/>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具有2 K待机工况模式</w:t>
            </w:r>
            <w:r>
              <w:rPr>
                <w:rFonts w:ascii="宋体" w:hAnsi="宋体"/>
                <w:b/>
                <w:bCs/>
                <w:color w:val="EE0000"/>
                <w:szCs w:val="22"/>
              </w:rPr>
              <w:t>，</w:t>
            </w:r>
            <w:r>
              <w:rPr>
                <w:rFonts w:hint="eastAsia" w:ascii="宋体" w:hAnsi="宋体"/>
                <w:b/>
                <w:bCs/>
                <w:color w:val="EE0000"/>
                <w:szCs w:val="22"/>
              </w:rPr>
              <w:t>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4</w:t>
            </w:r>
            <w:r>
              <w:rPr>
                <w:rFonts w:hint="eastAsia" w:ascii="宋体" w:hAnsi="宋体"/>
                <w:b/>
                <w:bCs/>
                <w:color w:val="EE0000"/>
                <w:szCs w:val="22"/>
              </w:rPr>
              <w:t>小节要求。</w:t>
            </w:r>
            <w:bookmarkEnd w:id="52"/>
          </w:p>
        </w:tc>
      </w:tr>
      <w:tr w14:paraId="7C13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5516F5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029450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A4B0BD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b/>
                <w:bCs/>
                <w:color w:val="EE0000"/>
                <w:szCs w:val="22"/>
              </w:rPr>
              <w:t>▲10</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w:t>
            </w:r>
            <w:bookmarkStart w:id="53" w:name="_Hlk222820962"/>
            <w:r>
              <w:rPr>
                <w:rFonts w:hint="eastAsia" w:ascii="宋体" w:hAnsi="宋体"/>
                <w:b/>
                <w:bCs/>
                <w:color w:val="EE0000"/>
                <w:szCs w:val="22"/>
              </w:rPr>
              <w:t>应对</w:t>
            </w:r>
            <w:r>
              <w:rPr>
                <w:rFonts w:ascii="宋体" w:hAnsi="宋体"/>
                <w:b/>
                <w:bCs/>
                <w:color w:val="EE0000"/>
                <w:szCs w:val="22"/>
              </w:rPr>
              <w:t>4.5 K</w:t>
            </w:r>
            <w:r>
              <w:rPr>
                <w:rFonts w:hint="eastAsia" w:ascii="宋体" w:hAnsi="宋体"/>
                <w:b/>
                <w:bCs/>
                <w:color w:val="EE0000"/>
                <w:szCs w:val="22"/>
              </w:rPr>
              <w:t>待机模式热负荷的工况模式，投标时投标人需要提供该模式流程说明文件包括：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5</w:t>
            </w:r>
            <w:r>
              <w:rPr>
                <w:rFonts w:hint="eastAsia" w:ascii="宋体" w:hAnsi="宋体"/>
                <w:b/>
                <w:bCs/>
                <w:color w:val="EE0000"/>
                <w:szCs w:val="22"/>
              </w:rPr>
              <w:t>小节要求。</w:t>
            </w:r>
            <w:bookmarkEnd w:id="53"/>
          </w:p>
        </w:tc>
      </w:tr>
      <w:tr w14:paraId="3C64C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49B735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AA5AC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0E2EB2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ascii="宋体" w:hAnsi="宋体"/>
                <w:b/>
                <w:bCs/>
                <w:color w:val="EE0000"/>
                <w:szCs w:val="22"/>
              </w:rPr>
              <w:t>1</w:t>
            </w:r>
            <w:r>
              <w:rPr>
                <w:rFonts w:hint="eastAsia" w:ascii="宋体" w:hAnsi="宋体"/>
                <w:b/>
                <w:bCs/>
                <w:color w:val="EE0000"/>
                <w:szCs w:val="22"/>
              </w:rPr>
              <w:t>1</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w:t>
            </w:r>
            <w:bookmarkStart w:id="54" w:name="_Hlk222820987"/>
            <w:r>
              <w:rPr>
                <w:rFonts w:hint="eastAsia" w:ascii="宋体" w:hAnsi="宋体"/>
                <w:b/>
                <w:bCs/>
                <w:color w:val="EE0000"/>
                <w:szCs w:val="22"/>
              </w:rPr>
              <w:t>氦液化运行模式，满足制冷机的日常使用，在液氦消耗量较低工况下，</w:t>
            </w:r>
            <w:r>
              <w:rPr>
                <w:rFonts w:ascii="宋体" w:hAnsi="宋体"/>
                <w:b/>
                <w:bCs/>
                <w:color w:val="EE0000"/>
                <w:szCs w:val="22"/>
              </w:rPr>
              <w:t>ACCP</w:t>
            </w:r>
            <w:r>
              <w:rPr>
                <w:rFonts w:hint="eastAsia" w:ascii="宋体" w:hAnsi="宋体"/>
                <w:b/>
                <w:bCs/>
                <w:color w:val="EE0000"/>
                <w:szCs w:val="22"/>
              </w:rPr>
              <w:t>应自动降低其性能，而无需操作员主动操作强制降低运行负荷。投标时投标人需要提供该模式流程说明文件包括：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6</w:t>
            </w:r>
            <w:r>
              <w:rPr>
                <w:rFonts w:hint="eastAsia" w:ascii="宋体" w:hAnsi="宋体"/>
                <w:b/>
                <w:bCs/>
                <w:color w:val="EE0000"/>
                <w:szCs w:val="22"/>
              </w:rPr>
              <w:t>小节要求。</w:t>
            </w:r>
            <w:bookmarkEnd w:id="54"/>
          </w:p>
        </w:tc>
      </w:tr>
      <w:tr w14:paraId="751A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05BDA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EEC141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1CA9DF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b/>
                <w:bCs/>
                <w:szCs w:val="22"/>
              </w:rPr>
              <w:t>▲</w:t>
            </w:r>
            <w:r>
              <w:rPr>
                <w:rFonts w:ascii="宋体" w:hAnsi="宋体"/>
                <w:szCs w:val="22"/>
              </w:rPr>
              <w:t>1</w:t>
            </w:r>
            <w:r>
              <w:rPr>
                <w:rFonts w:hint="eastAsia" w:ascii="宋体" w:hAnsi="宋体"/>
                <w:szCs w:val="22"/>
              </w:rPr>
              <w:t xml:space="preserve">2. </w:t>
            </w:r>
            <w:r>
              <w:rPr>
                <w:rFonts w:hint="eastAsia"/>
                <w:color w:val="000000"/>
                <w:szCs w:val="22"/>
              </w:rPr>
              <w:t>ACCP制冷机冷箱需要具备单独降温、为IASF分配系统和模组降温、与分配系统和低温模组共同降温的功能</w:t>
            </w:r>
            <w:r>
              <w:rPr>
                <w:rFonts w:hint="eastAsia" w:ascii="宋体" w:hAnsi="宋体"/>
                <w:szCs w:val="22"/>
              </w:rPr>
              <w:t>，产品制造商</w:t>
            </w:r>
            <w:r>
              <w:rPr>
                <w:rFonts w:ascii="宋体" w:hAnsi="宋体"/>
                <w:szCs w:val="22"/>
              </w:rPr>
              <w:t>在设计ACCP制冷机时，应</w:t>
            </w:r>
            <w:r>
              <w:rPr>
                <w:rFonts w:hint="eastAsia" w:ascii="宋体" w:hAnsi="宋体"/>
                <w:szCs w:val="22"/>
              </w:rPr>
              <w:t>考虑几种</w:t>
            </w:r>
            <w:r>
              <w:rPr>
                <w:rFonts w:ascii="宋体" w:hAnsi="宋体"/>
                <w:szCs w:val="22"/>
              </w:rPr>
              <w:t>降温</w:t>
            </w:r>
            <w:r>
              <w:rPr>
                <w:rFonts w:hint="eastAsia" w:ascii="宋体" w:hAnsi="宋体"/>
                <w:szCs w:val="22"/>
              </w:rPr>
              <w:t>复温工况</w:t>
            </w:r>
            <w:r>
              <w:rPr>
                <w:rFonts w:ascii="宋体" w:hAnsi="宋体"/>
                <w:szCs w:val="22"/>
              </w:rPr>
              <w:t>。技术要求详见技术规格书5.4.</w:t>
            </w:r>
            <w:r>
              <w:rPr>
                <w:rFonts w:hint="eastAsia" w:ascii="宋体" w:hAnsi="宋体"/>
                <w:szCs w:val="22"/>
              </w:rPr>
              <w:t>2和5.4.4</w:t>
            </w:r>
            <w:r>
              <w:rPr>
                <w:rFonts w:ascii="宋体" w:hAnsi="宋体"/>
                <w:szCs w:val="22"/>
              </w:rPr>
              <w:t>小节。</w:t>
            </w:r>
          </w:p>
        </w:tc>
      </w:tr>
      <w:tr w14:paraId="7DDF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2544CC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712A80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1C56C7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b/>
                <w:bCs/>
                <w:szCs w:val="22"/>
              </w:rPr>
              <w:t>▲</w:t>
            </w:r>
            <w:r>
              <w:rPr>
                <w:rFonts w:ascii="宋体" w:hAnsi="宋体"/>
                <w:szCs w:val="22"/>
              </w:rPr>
              <w:t>1</w:t>
            </w:r>
            <w:r>
              <w:rPr>
                <w:rFonts w:hint="eastAsia" w:ascii="宋体" w:hAnsi="宋体"/>
                <w:szCs w:val="22"/>
              </w:rPr>
              <w:t>3</w:t>
            </w:r>
            <w:r>
              <w:rPr>
                <w:rFonts w:hint="eastAsia" w:ascii="宋体" w:hAnsi="宋体"/>
                <w:color w:val="000000"/>
                <w:szCs w:val="22"/>
              </w:rPr>
              <w:t xml:space="preserve">. </w:t>
            </w:r>
            <w:r>
              <w:rPr>
                <w:rFonts w:ascii="宋体" w:hAnsi="宋体"/>
                <w:color w:val="000000"/>
                <w:szCs w:val="22"/>
              </w:rPr>
              <w:t>ACCP</w:t>
            </w:r>
            <w:r>
              <w:rPr>
                <w:rFonts w:hint="eastAsia" w:ascii="宋体" w:hAnsi="宋体"/>
                <w:color w:val="000000"/>
                <w:szCs w:val="22"/>
              </w:rPr>
              <w:t xml:space="preserve">制冷机需要实现2 </w:t>
            </w:r>
            <w:r>
              <w:rPr>
                <w:rFonts w:hint="eastAsia" w:ascii="宋体" w:hAnsi="宋体"/>
                <w:i/>
                <w:iCs/>
                <w:color w:val="000000"/>
                <w:szCs w:val="22"/>
              </w:rPr>
              <w:t>K</w:t>
            </w:r>
            <w:r>
              <w:rPr>
                <w:rFonts w:hint="eastAsia" w:ascii="宋体" w:hAnsi="宋体"/>
                <w:color w:val="000000"/>
                <w:szCs w:val="22"/>
              </w:rPr>
              <w:t>降温模式，</w:t>
            </w:r>
            <w:r>
              <w:rPr>
                <w:rFonts w:hint="eastAsia"/>
                <w:color w:val="000000"/>
                <w:szCs w:val="22"/>
              </w:rPr>
              <w:t>该模式用于低温分配系统和低温模组已完成 4.5 K 降温及积液后，将 2 K 回路从 4.5 K 饱和状态减压降温至 2 K 运行状态。本设备设计应选择合理的减压降温方法，并能处理不同的抽空容积。</w:t>
            </w:r>
            <w:r>
              <w:rPr>
                <w:rFonts w:hint="eastAsia" w:ascii="宋体" w:hAnsi="宋体"/>
                <w:color w:val="000000"/>
                <w:szCs w:val="22"/>
              </w:rPr>
              <w:t>产品制造商</w:t>
            </w:r>
            <w:r>
              <w:rPr>
                <w:rFonts w:ascii="宋体" w:hAnsi="宋体"/>
                <w:color w:val="000000"/>
                <w:szCs w:val="22"/>
              </w:rPr>
              <w:t>在设计ACCP制冷机时，应</w:t>
            </w:r>
            <w:r>
              <w:rPr>
                <w:rFonts w:hint="eastAsia" w:ascii="宋体" w:hAnsi="宋体"/>
                <w:color w:val="000000"/>
                <w:szCs w:val="22"/>
              </w:rPr>
              <w:t>考虑</w:t>
            </w:r>
            <w:bookmarkStart w:id="55" w:name="_Toc221110640"/>
            <w:bookmarkStart w:id="56" w:name="_Toc220940491"/>
            <w:r>
              <w:rPr>
                <w:rFonts w:ascii="宋体" w:hAnsi="宋体"/>
                <w:color w:val="000000"/>
                <w:szCs w:val="22"/>
              </w:rPr>
              <w:t>2 K</w:t>
            </w:r>
            <w:r>
              <w:rPr>
                <w:rFonts w:hint="eastAsia" w:ascii="宋体" w:hAnsi="宋体"/>
                <w:color w:val="000000"/>
                <w:szCs w:val="22"/>
              </w:rPr>
              <w:t>减压降温模式</w:t>
            </w:r>
            <w:bookmarkEnd w:id="55"/>
            <w:bookmarkEnd w:id="56"/>
            <w:r>
              <w:rPr>
                <w:rFonts w:hint="eastAsia" w:ascii="宋体" w:hAnsi="宋体"/>
                <w:color w:val="000000"/>
                <w:szCs w:val="22"/>
              </w:rPr>
              <w:t>和2 K再降温模式工况</w:t>
            </w:r>
            <w:r>
              <w:rPr>
                <w:rFonts w:ascii="宋体" w:hAnsi="宋体"/>
                <w:color w:val="000000"/>
                <w:szCs w:val="22"/>
              </w:rPr>
              <w:t>。</w:t>
            </w:r>
            <w:r>
              <w:rPr>
                <w:rFonts w:hint="eastAsia" w:ascii="宋体" w:hAnsi="宋体"/>
                <w:color w:val="000000"/>
                <w:szCs w:val="22"/>
              </w:rPr>
              <w:t>2 K</w:t>
            </w:r>
            <w:r>
              <w:rPr>
                <w:rFonts w:ascii="宋体" w:hAnsi="宋体"/>
                <w:color w:val="000000"/>
                <w:szCs w:val="22"/>
              </w:rPr>
              <w:t>降温技术要求详见技术规格书5.4.</w:t>
            </w:r>
            <w:r>
              <w:rPr>
                <w:rFonts w:hint="eastAsia" w:ascii="宋体" w:hAnsi="宋体"/>
                <w:color w:val="000000"/>
                <w:szCs w:val="22"/>
              </w:rPr>
              <w:t>3</w:t>
            </w:r>
            <w:r>
              <w:rPr>
                <w:rFonts w:ascii="宋体" w:hAnsi="宋体"/>
                <w:color w:val="000000"/>
                <w:szCs w:val="22"/>
              </w:rPr>
              <w:t>小节。</w:t>
            </w:r>
          </w:p>
        </w:tc>
      </w:tr>
      <w:tr w14:paraId="70A2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B7A37C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ABBB8C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EAC3CB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color w:val="000000"/>
                <w:szCs w:val="22"/>
              </w:rPr>
              <w:t>1</w:t>
            </w:r>
            <w:r>
              <w:rPr>
                <w:rFonts w:hint="eastAsia" w:ascii="宋体" w:hAnsi="宋体"/>
                <w:color w:val="000000"/>
                <w:szCs w:val="22"/>
              </w:rPr>
              <w:t>4</w:t>
            </w:r>
            <w:r>
              <w:rPr>
                <w:rFonts w:ascii="宋体" w:hAnsi="宋体"/>
                <w:color w:val="000000"/>
                <w:szCs w:val="22"/>
              </w:rPr>
              <w:t xml:space="preserve">. </w:t>
            </w:r>
            <w:bookmarkStart w:id="57" w:name="_Hlk222821012"/>
            <w:r>
              <w:rPr>
                <w:rFonts w:hint="eastAsia" w:ascii="宋体" w:hAnsi="宋体"/>
                <w:color w:val="000000"/>
                <w:szCs w:val="22"/>
              </w:rPr>
              <w:t>产品制造商应考虑设置快速降温模式(FCD模式)，该模式下</w:t>
            </w:r>
            <w:r>
              <w:rPr>
                <w:rFonts w:ascii="宋体" w:hAnsi="宋体"/>
                <w:color w:val="000000"/>
                <w:szCs w:val="22"/>
              </w:rPr>
              <w:t>ACCP</w:t>
            </w:r>
            <w:r>
              <w:rPr>
                <w:rFonts w:hint="eastAsia" w:ascii="宋体" w:hAnsi="宋体"/>
                <w:color w:val="000000"/>
                <w:szCs w:val="22"/>
              </w:rPr>
              <w:t>制冷机需保持冷屏路负荷下，单个模组至少提供</w:t>
            </w:r>
            <w:r>
              <w:rPr>
                <w:rFonts w:ascii="宋体" w:hAnsi="宋体"/>
                <w:color w:val="000000"/>
                <w:szCs w:val="22"/>
              </w:rPr>
              <w:t>80</w:t>
            </w:r>
            <w:r>
              <w:rPr>
                <w:rFonts w:hint="eastAsia" w:ascii="宋体" w:hAnsi="宋体"/>
                <w:color w:val="000000"/>
                <w:szCs w:val="22"/>
              </w:rPr>
              <w:t xml:space="preserve"> g/s 液氦流量。投标人需要在验收试验期间，证明系统能满足上述要求。FCD模式的要求详见附件技术规格书5.</w:t>
            </w:r>
            <w:r>
              <w:rPr>
                <w:rFonts w:ascii="宋体" w:hAnsi="宋体"/>
                <w:color w:val="000000"/>
                <w:szCs w:val="22"/>
              </w:rPr>
              <w:t>4</w:t>
            </w:r>
            <w:r>
              <w:rPr>
                <w:rFonts w:hint="eastAsia" w:ascii="宋体" w:hAnsi="宋体"/>
                <w:color w:val="000000"/>
                <w:szCs w:val="22"/>
              </w:rPr>
              <w:t>.5小节。</w:t>
            </w:r>
            <w:bookmarkEnd w:id="57"/>
          </w:p>
        </w:tc>
      </w:tr>
      <w:tr w14:paraId="0088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41333C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FB5CF0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CD41DC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1</w:t>
            </w:r>
            <w:r>
              <w:rPr>
                <w:rFonts w:hint="eastAsia" w:ascii="宋体" w:hAnsi="宋体"/>
                <w:szCs w:val="22"/>
              </w:rPr>
              <w:t>5</w:t>
            </w:r>
            <w:r>
              <w:rPr>
                <w:rFonts w:ascii="宋体" w:hAnsi="宋体"/>
                <w:szCs w:val="22"/>
              </w:rPr>
              <w:t xml:space="preserve">. </w:t>
            </w:r>
            <w:bookmarkStart w:id="58" w:name="_Hlk222821021"/>
            <w:r>
              <w:rPr>
                <w:rFonts w:ascii="宋体" w:hAnsi="宋体"/>
                <w:szCs w:val="22"/>
              </w:rPr>
              <w:t>ACCP</w:t>
            </w:r>
            <w:r>
              <w:rPr>
                <w:rFonts w:hint="eastAsia" w:ascii="宋体" w:hAnsi="宋体"/>
                <w:szCs w:val="22"/>
              </w:rPr>
              <w:t>制冷机需能应对平台运行中的故障工况，产品制造商在设计ACCP制冷机时需充分考虑并提出应对方案，具体工况详见附件技术规格书5.</w:t>
            </w:r>
            <w:r>
              <w:rPr>
                <w:rFonts w:ascii="宋体" w:hAnsi="宋体"/>
                <w:szCs w:val="22"/>
              </w:rPr>
              <w:t>4</w:t>
            </w:r>
            <w:r>
              <w:rPr>
                <w:rFonts w:hint="eastAsia" w:ascii="宋体" w:hAnsi="宋体"/>
                <w:szCs w:val="22"/>
              </w:rPr>
              <w:t>.6和5.5小节。</w:t>
            </w:r>
            <w:bookmarkEnd w:id="58"/>
          </w:p>
        </w:tc>
      </w:tr>
      <w:tr w14:paraId="1441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3723C5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082C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40523F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▲16</w:t>
            </w:r>
            <w:r>
              <w:rPr>
                <w:rFonts w:ascii="宋体" w:hAnsi="宋体"/>
                <w:b/>
                <w:bCs/>
                <w:color w:val="EE0000"/>
                <w:szCs w:val="22"/>
              </w:rPr>
              <w:t xml:space="preserve">. </w:t>
            </w:r>
            <w:bookmarkStart w:id="59" w:name="_Hlk222821034"/>
            <w:r>
              <w:rPr>
                <w:rFonts w:ascii="宋体" w:hAnsi="宋体"/>
                <w:b/>
                <w:bCs/>
                <w:color w:val="EE0000"/>
                <w:szCs w:val="22"/>
              </w:rPr>
              <w:t>投标人提供的</w:t>
            </w:r>
            <w:r>
              <w:rPr>
                <w:rFonts w:hint="eastAsia" w:ascii="宋体" w:hAnsi="宋体"/>
                <w:b/>
                <w:bCs/>
                <w:color w:val="EE0000"/>
                <w:szCs w:val="22"/>
              </w:rPr>
              <w:t>常温压缩机站应满足采购人的供货范围要求。供货</w:t>
            </w:r>
            <w:r>
              <w:rPr>
                <w:rFonts w:ascii="宋体" w:hAnsi="宋体"/>
                <w:b/>
                <w:bCs/>
                <w:color w:val="EE0000"/>
                <w:szCs w:val="22"/>
              </w:rPr>
              <w:t>设备尺寸、运输、地基等要求应符合采购人提供的现场条件。具体要求详见技术规格书</w:t>
            </w:r>
            <w:r>
              <w:rPr>
                <w:rFonts w:hint="eastAsia" w:ascii="宋体" w:hAnsi="宋体"/>
                <w:b/>
                <w:bCs/>
                <w:color w:val="EE0000"/>
                <w:szCs w:val="22"/>
              </w:rPr>
              <w:t>6.1和</w:t>
            </w:r>
            <w:r>
              <w:rPr>
                <w:rFonts w:ascii="宋体" w:hAnsi="宋体"/>
                <w:b/>
                <w:bCs/>
                <w:color w:val="EE0000"/>
                <w:szCs w:val="22"/>
              </w:rPr>
              <w:t>6.2小节。</w:t>
            </w:r>
            <w:bookmarkEnd w:id="59"/>
            <w:r>
              <w:rPr>
                <w:rFonts w:hint="eastAsia" w:ascii="宋体" w:hAnsi="宋体"/>
                <w:b/>
                <w:bCs/>
                <w:color w:val="EE0000"/>
                <w:szCs w:val="22"/>
              </w:rPr>
              <w:t>投标时</w:t>
            </w:r>
            <w:r>
              <w:rPr>
                <w:rFonts w:ascii="宋体" w:hAnsi="宋体"/>
                <w:b/>
                <w:bCs/>
                <w:color w:val="EE0000"/>
                <w:szCs w:val="22"/>
              </w:rPr>
              <w:t>需提供</w:t>
            </w:r>
            <w:r>
              <w:rPr>
                <w:rFonts w:hint="eastAsia" w:ascii="宋体" w:hAnsi="宋体"/>
                <w:b/>
                <w:bCs/>
                <w:color w:val="EE0000"/>
                <w:szCs w:val="22"/>
              </w:rPr>
              <w:t>压缩机</w:t>
            </w:r>
            <w:r>
              <w:rPr>
                <w:rFonts w:ascii="宋体" w:hAnsi="宋体"/>
                <w:b/>
                <w:bCs/>
                <w:color w:val="EE0000"/>
                <w:szCs w:val="22"/>
              </w:rPr>
              <w:t>及其附属设备</w:t>
            </w:r>
            <w:r>
              <w:rPr>
                <w:rFonts w:hint="eastAsia" w:ascii="宋体" w:hAnsi="宋体"/>
                <w:b/>
                <w:bCs/>
                <w:color w:val="EE0000"/>
                <w:szCs w:val="22"/>
              </w:rPr>
              <w:t>初步</w:t>
            </w:r>
            <w:r>
              <w:rPr>
                <w:rFonts w:ascii="宋体" w:hAnsi="宋体"/>
                <w:b/>
                <w:bCs/>
                <w:color w:val="EE0000"/>
                <w:szCs w:val="22"/>
              </w:rPr>
              <w:t>图纸，标明尺寸。</w:t>
            </w:r>
          </w:p>
        </w:tc>
      </w:tr>
      <w:tr w14:paraId="5DFC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F3069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F4BAE1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5634FD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s="Segoe UI Symbol"/>
                <w:color w:val="000000"/>
                <w:szCs w:val="22"/>
              </w:rPr>
              <w:t>★17</w:t>
            </w:r>
            <w:r>
              <w:rPr>
                <w:rFonts w:ascii="宋体" w:hAnsi="宋体"/>
                <w:szCs w:val="22"/>
              </w:rPr>
              <w:t xml:space="preserve">. </w:t>
            </w:r>
            <w:bookmarkStart w:id="60" w:name="_Hlk222821048"/>
            <w:r>
              <w:rPr>
                <w:rFonts w:hint="eastAsia" w:ascii="宋体" w:hAnsi="宋体"/>
                <w:szCs w:val="22"/>
              </w:rPr>
              <w:t>ACCP制冷机流程中需包括负压（VLP）、低压(LP)、中压(MP)及高压(HP)四个压力等级。</w:t>
            </w:r>
            <w:bookmarkEnd w:id="60"/>
          </w:p>
        </w:tc>
      </w:tr>
      <w:tr w14:paraId="41AA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89F1E0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B4ED32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A080B6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▲18</w:t>
            </w:r>
            <w:r>
              <w:rPr>
                <w:rFonts w:ascii="宋体" w:hAnsi="宋体"/>
                <w:szCs w:val="22"/>
              </w:rPr>
              <w:t>.</w:t>
            </w:r>
            <w:bookmarkStart w:id="61" w:name="_Hlk222821086"/>
            <w:r>
              <w:rPr>
                <w:rFonts w:hint="eastAsia" w:ascii="宋体" w:hAnsi="宋体"/>
                <w:szCs w:val="22"/>
              </w:rPr>
              <w:t>各级所需的压缩机数量应由产品制造商确定。同一级内的所有压缩机应具有相同的进气压力和排气压力，优先采用相同规格。</w:t>
            </w:r>
            <w:bookmarkEnd w:id="61"/>
            <w:r>
              <w:rPr>
                <w:szCs w:val="22"/>
              </w:rPr>
              <w:t>压缩机站应以撬装形式组装供货。所有螺杆压缩机不得采用未经工程验证的试验性设备。</w:t>
            </w:r>
          </w:p>
        </w:tc>
      </w:tr>
      <w:tr w14:paraId="3BFF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9B4C71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7477B6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C56E0E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szCs w:val="22"/>
              </w:rPr>
              <w:t>19</w:t>
            </w:r>
            <w:r>
              <w:rPr>
                <w:rFonts w:ascii="宋体" w:hAnsi="宋体"/>
                <w:szCs w:val="22"/>
              </w:rPr>
              <w:t xml:space="preserve">. </w:t>
            </w:r>
            <w:bookmarkStart w:id="62" w:name="_Hlk222821098"/>
            <w:r>
              <w:rPr>
                <w:rFonts w:hint="eastAsia" w:ascii="宋体" w:hAnsi="宋体"/>
                <w:szCs w:val="22"/>
              </w:rPr>
              <w:t>所有压缩机均应采用10kV供电。所有高压级压缩机都需要配备独立的变频器，未配备变频器的压缩机需采用软启动。具体工况详见附件技术规格书6.3.2小节。</w:t>
            </w:r>
            <w:bookmarkEnd w:id="62"/>
          </w:p>
        </w:tc>
      </w:tr>
      <w:tr w14:paraId="4A70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4E5893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4CD6A7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77ABB5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▲20</w:t>
            </w:r>
            <w:r>
              <w:rPr>
                <w:rFonts w:ascii="宋体" w:hAnsi="宋体"/>
                <w:szCs w:val="22"/>
              </w:rPr>
              <w:t xml:space="preserve">. </w:t>
            </w:r>
            <w:bookmarkStart w:id="63" w:name="_Hlk222821110"/>
            <w:r>
              <w:rPr>
                <w:rFonts w:hint="eastAsia" w:ascii="宋体" w:hAnsi="宋体"/>
                <w:szCs w:val="22"/>
              </w:rPr>
              <w:t>压缩机站流程设计时应充分考虑ACCP制冷机运行工况。</w:t>
            </w:r>
            <w:bookmarkEnd w:id="63"/>
          </w:p>
        </w:tc>
      </w:tr>
      <w:tr w14:paraId="7AC0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2E6864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0BA470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544C83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1</w:t>
            </w:r>
            <w:r>
              <w:rPr>
                <w:rFonts w:ascii="宋体" w:hAnsi="宋体"/>
                <w:szCs w:val="22"/>
              </w:rPr>
              <w:t xml:space="preserve">. </w:t>
            </w:r>
            <w:bookmarkStart w:id="64" w:name="_Hlk222821159"/>
            <w:r>
              <w:rPr>
                <w:rFonts w:ascii="宋体" w:hAnsi="宋体"/>
                <w:szCs w:val="22"/>
              </w:rPr>
              <w:t>压缩机设计选型时应符合下列基本要求：</w:t>
            </w:r>
            <w:r>
              <w:rPr>
                <w:rFonts w:hint="eastAsia" w:ascii="宋体" w:hAnsi="宋体"/>
                <w:szCs w:val="22"/>
              </w:rPr>
              <w:t>排气温度不高于313 K，配有必要的</w:t>
            </w:r>
            <w:r>
              <w:rPr>
                <w:rFonts w:ascii="宋体" w:hAnsi="宋体"/>
                <w:szCs w:val="22"/>
              </w:rPr>
              <w:t>隔离阀、止回阀、抽空置换接口、排油接口、</w:t>
            </w:r>
            <w:r>
              <w:rPr>
                <w:rFonts w:hint="eastAsia" w:ascii="宋体" w:hAnsi="宋体"/>
                <w:szCs w:val="22"/>
              </w:rPr>
              <w:t>水冷冷却器和管道</w:t>
            </w:r>
            <w:r>
              <w:rPr>
                <w:rFonts w:ascii="宋体" w:hAnsi="宋体"/>
                <w:szCs w:val="22"/>
              </w:rPr>
              <w:t>等。压缩机的设计要求详见附件技术规格书6.3.</w:t>
            </w:r>
            <w:r>
              <w:rPr>
                <w:rFonts w:hint="eastAsia" w:ascii="宋体" w:hAnsi="宋体"/>
                <w:szCs w:val="22"/>
              </w:rPr>
              <w:t>3</w:t>
            </w:r>
            <w:r>
              <w:rPr>
                <w:rFonts w:ascii="宋体" w:hAnsi="宋体"/>
                <w:szCs w:val="22"/>
              </w:rPr>
              <w:t>小节。</w:t>
            </w:r>
            <w:bookmarkEnd w:id="64"/>
          </w:p>
        </w:tc>
      </w:tr>
      <w:tr w14:paraId="58D6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1874F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F1405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E16B97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2. 压</w:t>
            </w:r>
            <w:r>
              <w:rPr>
                <w:rFonts w:ascii="宋体" w:hAnsi="宋体"/>
                <w:szCs w:val="22"/>
              </w:rPr>
              <w:t>缩机</w:t>
            </w:r>
            <w:r>
              <w:rPr>
                <w:rFonts w:hint="eastAsia" w:ascii="宋体" w:hAnsi="宋体"/>
                <w:szCs w:val="22"/>
              </w:rPr>
              <w:t>电机应满足启动电流要求，电机功率满足要求，具备温度监控和保护功能。</w:t>
            </w:r>
            <w:r>
              <w:rPr>
                <w:rFonts w:ascii="宋体" w:hAnsi="宋体"/>
                <w:szCs w:val="22"/>
              </w:rPr>
              <w:t>要求详见附件技术规格书6.3.</w:t>
            </w:r>
            <w:r>
              <w:rPr>
                <w:rFonts w:hint="eastAsia" w:ascii="宋体" w:hAnsi="宋体"/>
                <w:szCs w:val="22"/>
              </w:rPr>
              <w:t>4</w:t>
            </w:r>
            <w:r>
              <w:rPr>
                <w:rFonts w:ascii="宋体" w:hAnsi="宋体"/>
                <w:szCs w:val="22"/>
              </w:rPr>
              <w:t>小节。</w:t>
            </w:r>
          </w:p>
        </w:tc>
      </w:tr>
      <w:tr w14:paraId="582C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6AE99F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3551E0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36EAE9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3.压缩机油在任何温度下均应无吸水性，且在压缩机温度升高时应性质稳定且无毒。</w:t>
            </w:r>
            <w:r>
              <w:rPr>
                <w:rFonts w:hint="eastAsia" w:ascii="宋体" w:hAnsi="宋体"/>
                <w:color w:val="000000"/>
                <w:szCs w:val="22"/>
              </w:rPr>
              <w:t>应去除油中所有大于 25 μm 的固体颗粒，油中含水量应低于 500 ppmw</w:t>
            </w:r>
            <w:r>
              <w:rPr>
                <w:rFonts w:hint="eastAsia" w:ascii="宋体" w:hAnsi="宋体"/>
                <w:szCs w:val="22"/>
              </w:rPr>
              <w:t>。压缩机本身应具备粗级油过滤，</w:t>
            </w:r>
            <w:r>
              <w:rPr>
                <w:rFonts w:hint="eastAsia"/>
                <w:color w:val="000000"/>
                <w:szCs w:val="22"/>
              </w:rPr>
              <w:t>压缩机出口氦气的设计含油量应低于 100 ppmw，整体</w:t>
            </w:r>
            <w:r>
              <w:rPr>
                <w:rFonts w:ascii="宋体" w:hAnsi="宋体"/>
                <w:szCs w:val="22"/>
              </w:rPr>
              <w:t>要求详见附件技术规格书6.3.</w:t>
            </w:r>
            <w:r>
              <w:rPr>
                <w:rFonts w:hint="eastAsia" w:ascii="宋体" w:hAnsi="宋体"/>
                <w:szCs w:val="22"/>
              </w:rPr>
              <w:t>5</w:t>
            </w:r>
            <w:r>
              <w:rPr>
                <w:rFonts w:ascii="宋体" w:hAnsi="宋体"/>
                <w:szCs w:val="22"/>
              </w:rPr>
              <w:t>小节。</w:t>
            </w:r>
          </w:p>
        </w:tc>
      </w:tr>
      <w:tr w14:paraId="56AD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66F23B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0BA9DA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23F6FB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4. 压</w:t>
            </w:r>
            <w:r>
              <w:rPr>
                <w:rFonts w:ascii="宋体" w:hAnsi="宋体"/>
                <w:szCs w:val="22"/>
              </w:rPr>
              <w:t>缩机</w:t>
            </w:r>
            <w:r>
              <w:rPr>
                <w:rFonts w:hint="eastAsia" w:ascii="宋体" w:hAnsi="宋体"/>
                <w:szCs w:val="22"/>
              </w:rPr>
              <w:t>设计需要考虑震动和噪音，运行控制需要配备足够仪器仪表和控制系统。</w:t>
            </w:r>
            <w:r>
              <w:rPr>
                <w:rFonts w:ascii="宋体" w:hAnsi="宋体"/>
                <w:szCs w:val="22"/>
              </w:rPr>
              <w:t>要求详见附件技术规格书6.3.</w:t>
            </w:r>
            <w:r>
              <w:rPr>
                <w:rFonts w:hint="eastAsia" w:ascii="宋体" w:hAnsi="宋体"/>
                <w:szCs w:val="22"/>
              </w:rPr>
              <w:t>6</w:t>
            </w:r>
            <w:r>
              <w:rPr>
                <w:rFonts w:ascii="宋体" w:hAnsi="宋体"/>
                <w:szCs w:val="22"/>
              </w:rPr>
              <w:t>小节。</w:t>
            </w:r>
          </w:p>
        </w:tc>
      </w:tr>
      <w:tr w14:paraId="1F50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C3BB02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8E08D4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999760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▲25</w:t>
            </w:r>
            <w:r>
              <w:rPr>
                <w:rFonts w:ascii="宋体" w:hAnsi="宋体"/>
                <w:szCs w:val="22"/>
              </w:rPr>
              <w:t xml:space="preserve">. </w:t>
            </w:r>
            <w:bookmarkStart w:id="65" w:name="_Hlk222821174"/>
            <w:r>
              <w:rPr>
                <w:rFonts w:hint="eastAsia" w:ascii="宋体" w:hAnsi="宋体"/>
                <w:szCs w:val="22"/>
              </w:rPr>
              <w:t>压缩机下游，应设计末端除油系统，其尺寸应确保通过过滤器元件气体速度足够低，留有至少10%的余量，设计运行时间至少为</w:t>
            </w:r>
            <w:r>
              <w:rPr>
                <w:rFonts w:ascii="宋体" w:hAnsi="宋体"/>
                <w:szCs w:val="22"/>
              </w:rPr>
              <w:t>1</w:t>
            </w:r>
            <w:r>
              <w:rPr>
                <w:rFonts w:hint="eastAsia" w:ascii="宋体" w:hAnsi="宋体"/>
                <w:szCs w:val="22"/>
              </w:rPr>
              <w:t>6</w:t>
            </w:r>
            <w:r>
              <w:rPr>
                <w:rFonts w:ascii="宋体" w:hAnsi="宋体"/>
                <w:szCs w:val="22"/>
              </w:rPr>
              <w:t>000</w:t>
            </w:r>
            <w:r>
              <w:rPr>
                <w:rFonts w:hint="eastAsia" w:ascii="宋体" w:hAnsi="宋体"/>
                <w:szCs w:val="22"/>
              </w:rPr>
              <w:t>小时，且出口杂质的质量含量不超过</w:t>
            </w:r>
            <w:r>
              <w:rPr>
                <w:rFonts w:ascii="宋体" w:hAnsi="宋体"/>
                <w:szCs w:val="22"/>
              </w:rPr>
              <w:t>0.01 ppm</w:t>
            </w:r>
            <w:r>
              <w:rPr>
                <w:rFonts w:hint="eastAsia" w:ascii="宋体" w:hAnsi="宋体"/>
                <w:szCs w:val="22"/>
              </w:rPr>
              <w:t>w。</w:t>
            </w:r>
            <w:r>
              <w:rPr>
                <w:rFonts w:ascii="宋体" w:hAnsi="宋体"/>
                <w:szCs w:val="22"/>
              </w:rPr>
              <w:t>具体设计要求详见附件技术规格书6.</w:t>
            </w:r>
            <w:r>
              <w:rPr>
                <w:rFonts w:hint="eastAsia" w:ascii="宋体" w:hAnsi="宋体"/>
                <w:szCs w:val="22"/>
              </w:rPr>
              <w:t>4</w:t>
            </w:r>
            <w:r>
              <w:rPr>
                <w:rFonts w:ascii="宋体" w:hAnsi="宋体"/>
                <w:szCs w:val="22"/>
              </w:rPr>
              <w:t>.1小节。</w:t>
            </w:r>
            <w:bookmarkEnd w:id="65"/>
          </w:p>
        </w:tc>
      </w:tr>
      <w:tr w14:paraId="3635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4EBF8D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BB582A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D613B8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6</w:t>
            </w:r>
            <w:r>
              <w:rPr>
                <w:rFonts w:ascii="宋体" w:hAnsi="宋体"/>
                <w:szCs w:val="22"/>
              </w:rPr>
              <w:t xml:space="preserve">. </w:t>
            </w:r>
            <w:bookmarkStart w:id="66" w:name="_Toc221110664"/>
            <w:bookmarkStart w:id="67" w:name="_Hlk222821199"/>
            <w:r>
              <w:rPr>
                <w:rFonts w:hint="eastAsia" w:ascii="宋体" w:hAnsi="宋体"/>
                <w:szCs w:val="22"/>
              </w:rPr>
              <w:t>凝聚式油过滤器</w:t>
            </w:r>
            <w:bookmarkEnd w:id="66"/>
            <w:r>
              <w:rPr>
                <w:rFonts w:ascii="宋体" w:hAnsi="宋体"/>
                <w:szCs w:val="22"/>
              </w:rPr>
              <w:t>的设计、材料、阀门布置应符合技术规格书6.</w:t>
            </w:r>
            <w:r>
              <w:rPr>
                <w:rFonts w:hint="eastAsia" w:ascii="宋体" w:hAnsi="宋体"/>
                <w:szCs w:val="22"/>
              </w:rPr>
              <w:t>4</w:t>
            </w:r>
            <w:r>
              <w:rPr>
                <w:rFonts w:ascii="宋体" w:hAnsi="宋体"/>
                <w:szCs w:val="22"/>
              </w:rPr>
              <w:t>.2小节要求。具体设计要求详见附件技术规格书6.</w:t>
            </w:r>
            <w:r>
              <w:rPr>
                <w:rFonts w:hint="eastAsia" w:ascii="宋体" w:hAnsi="宋体"/>
                <w:szCs w:val="22"/>
              </w:rPr>
              <w:t>4</w:t>
            </w:r>
            <w:r>
              <w:rPr>
                <w:rFonts w:ascii="宋体" w:hAnsi="宋体"/>
                <w:szCs w:val="22"/>
              </w:rPr>
              <w:t>.2小节。</w:t>
            </w:r>
            <w:bookmarkEnd w:id="67"/>
          </w:p>
        </w:tc>
      </w:tr>
      <w:tr w14:paraId="7E38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3DC5C5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7CEF4B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98E96B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7</w:t>
            </w:r>
            <w:r>
              <w:rPr>
                <w:rFonts w:ascii="宋体" w:hAnsi="宋体"/>
                <w:szCs w:val="22"/>
              </w:rPr>
              <w:t xml:space="preserve">. </w:t>
            </w:r>
            <w:bookmarkStart w:id="68" w:name="_Hlk222821210"/>
            <w:r>
              <w:rPr>
                <w:rFonts w:ascii="宋体" w:hAnsi="宋体"/>
                <w:szCs w:val="22"/>
              </w:rPr>
              <w:t>吸附器的设计、材料、阀门布置应符合技术规格书6.</w:t>
            </w:r>
            <w:r>
              <w:rPr>
                <w:rFonts w:hint="eastAsia" w:ascii="宋体" w:hAnsi="宋体"/>
                <w:szCs w:val="22"/>
              </w:rPr>
              <w:t>4</w:t>
            </w:r>
            <w:r>
              <w:rPr>
                <w:rFonts w:ascii="宋体" w:hAnsi="宋体"/>
                <w:szCs w:val="22"/>
              </w:rPr>
              <w:t>.3小节要求。具体设计要求详见附件技术规格书6.</w:t>
            </w:r>
            <w:r>
              <w:rPr>
                <w:rFonts w:hint="eastAsia" w:ascii="宋体" w:hAnsi="宋体"/>
                <w:szCs w:val="22"/>
              </w:rPr>
              <w:t>4</w:t>
            </w:r>
            <w:r>
              <w:rPr>
                <w:rFonts w:ascii="宋体" w:hAnsi="宋体"/>
                <w:szCs w:val="22"/>
              </w:rPr>
              <w:t>.3小节。</w:t>
            </w:r>
            <w:bookmarkEnd w:id="68"/>
          </w:p>
        </w:tc>
      </w:tr>
      <w:tr w14:paraId="50F5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C41734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5F03CF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C6099B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▲28. ACCP应配置一套在线备用螺杆压缩机系</w:t>
            </w:r>
            <w:r>
              <w:rPr>
                <w:rFonts w:ascii="宋体" w:hAnsi="宋体"/>
                <w:szCs w:val="22"/>
              </w:rPr>
              <w:t>统，能够替代任一已安装螺杆压缩机，</w:t>
            </w:r>
            <w:r>
              <w:rPr>
                <w:rFonts w:hint="eastAsia"/>
                <w:color w:val="000000"/>
                <w:szCs w:val="22"/>
              </w:rPr>
              <w:t>支持已安装压缩机故障或计划维护期间的连续运行。备用螺杆压缩机需</w:t>
            </w:r>
            <w:r>
              <w:rPr>
                <w:rFonts w:ascii="宋体" w:hAnsi="宋体"/>
                <w:szCs w:val="22"/>
              </w:rPr>
              <w:t>配置变频器、独立切换管路及自动控制进出口开关阀，纳入ACCP控制系统。具体要求详见技术规格书6.5.1小节。</w:t>
            </w:r>
          </w:p>
        </w:tc>
      </w:tr>
      <w:tr w14:paraId="313F3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29B2E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646953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CD6386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r>
              <w:rPr>
                <w:rFonts w:hint="eastAsia" w:ascii="宋体" w:hAnsi="宋体"/>
                <w:b/>
                <w:bCs/>
                <w:color w:val="FF0000"/>
                <w:szCs w:val="22"/>
              </w:rPr>
              <w:t>▲29. 任一已安装螺杆压缩机跳机或故障停机时，</w:t>
            </w:r>
            <w:r>
              <w:rPr>
                <w:rFonts w:ascii="宋体" w:hAnsi="宋体"/>
                <w:b/>
                <w:bCs/>
                <w:color w:val="FF0000"/>
                <w:szCs w:val="22"/>
              </w:rPr>
              <w:t>备用压缩机应能在2 h内投入运行，使ACCP恢复至可维持的运行模式。</w:t>
            </w:r>
            <w:r>
              <w:rPr>
                <w:rFonts w:hint="eastAsia" w:ascii="宋体" w:hAnsi="宋体"/>
                <w:b/>
                <w:bCs/>
                <w:color w:val="FF0000"/>
                <w:szCs w:val="22"/>
              </w:rPr>
              <w:t>投标时</w:t>
            </w:r>
            <w:r>
              <w:rPr>
                <w:rFonts w:ascii="宋体" w:hAnsi="宋体"/>
                <w:b/>
                <w:bCs/>
                <w:color w:val="FF0000"/>
                <w:szCs w:val="22"/>
              </w:rPr>
              <w:t>投标人应说明适用压力等级、运行限制及故障和计划维护时的</w:t>
            </w:r>
            <w:r>
              <w:rPr>
                <w:rFonts w:hint="eastAsia" w:ascii="宋体" w:hAnsi="宋体"/>
                <w:b/>
                <w:bCs/>
                <w:color w:val="FF0000"/>
                <w:szCs w:val="22"/>
              </w:rPr>
              <w:t>初步</w:t>
            </w:r>
            <w:r>
              <w:rPr>
                <w:rFonts w:ascii="宋体" w:hAnsi="宋体"/>
                <w:b/>
                <w:bCs/>
                <w:color w:val="FF0000"/>
                <w:szCs w:val="22"/>
              </w:rPr>
              <w:t>切换方案。具体要求详见技术规格书6.5.2小节。</w:t>
            </w:r>
          </w:p>
        </w:tc>
      </w:tr>
      <w:tr w14:paraId="0B01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0A8363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0344E4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1AB7DB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▲30. 备用压缩机应配备现场性能测试所需的阀门</w:t>
            </w:r>
            <w:r>
              <w:rPr>
                <w:rFonts w:ascii="宋体" w:hAnsi="宋体"/>
                <w:szCs w:val="22"/>
              </w:rPr>
              <w:t>、测点及测试接口，并在现场验收中验证不同压力等级配置下的运行、切换、变频调节及保护联锁功能。具体要求详见技术规格书6.5.3小节。</w:t>
            </w:r>
          </w:p>
        </w:tc>
      </w:tr>
      <w:tr w14:paraId="10C81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B5DE0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B79953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25D4FB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1</w:t>
            </w:r>
            <w:r>
              <w:rPr>
                <w:rFonts w:ascii="宋体" w:hAnsi="宋体"/>
                <w:szCs w:val="22"/>
              </w:rPr>
              <w:t xml:space="preserve">. </w:t>
            </w:r>
            <w:bookmarkStart w:id="69" w:name="_Hlk222821227"/>
            <w:r>
              <w:rPr>
                <w:rFonts w:ascii="宋体" w:hAnsi="宋体"/>
                <w:szCs w:val="22"/>
              </w:rPr>
              <w:t>干燥器的设计、材料、阀门布置应符合技术规格书6.6小节要求，干燥器全流量时最大允许压降是50 kPa，出口水杂质体积含量应小于1 ppm。具体设计要求详见附件技术规格书6.6小节。</w:t>
            </w:r>
            <w:bookmarkEnd w:id="69"/>
          </w:p>
        </w:tc>
      </w:tr>
      <w:tr w14:paraId="1E55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6BF61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71BC0E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EC3F33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w:t>
            </w:r>
            <w:r>
              <w:rPr>
                <w:rFonts w:ascii="宋体" w:hAnsi="宋体"/>
                <w:szCs w:val="22"/>
              </w:rPr>
              <w:t>3</w:t>
            </w:r>
            <w:r>
              <w:rPr>
                <w:rFonts w:hint="eastAsia" w:ascii="宋体" w:hAnsi="宋体"/>
                <w:szCs w:val="22"/>
              </w:rPr>
              <w:t>2</w:t>
            </w:r>
            <w:r>
              <w:rPr>
                <w:rFonts w:ascii="宋体" w:hAnsi="宋体"/>
                <w:szCs w:val="22"/>
              </w:rPr>
              <w:t xml:space="preserve">. </w:t>
            </w:r>
            <w:bookmarkStart w:id="70" w:name="_Hlk222821249"/>
            <w:r>
              <w:rPr>
                <w:rFonts w:hint="eastAsia" w:ascii="宋体" w:hAnsi="宋体"/>
                <w:szCs w:val="22"/>
              </w:rPr>
              <w:t>所有用于压缩机系统过程控制的阀门和相关管道终端应归类设计安装在统一的气体管理面板上，</w:t>
            </w:r>
            <w:r>
              <w:rPr>
                <w:rFonts w:ascii="宋体" w:hAnsi="宋体"/>
                <w:color w:val="000000"/>
                <w:szCs w:val="22"/>
              </w:rPr>
              <w:t>LP 与 VLP 回路之间的旁通阀可设置在现场</w:t>
            </w:r>
            <w:r>
              <w:rPr>
                <w:rFonts w:hint="eastAsia" w:ascii="宋体" w:hAnsi="宋体"/>
                <w:szCs w:val="22"/>
              </w:rPr>
              <w:t>。气体管理面板设计、选型、阀门布置应符合技术规格书6.</w:t>
            </w:r>
            <w:r>
              <w:rPr>
                <w:rFonts w:ascii="宋体" w:hAnsi="宋体"/>
                <w:szCs w:val="22"/>
              </w:rPr>
              <w:t>7</w:t>
            </w:r>
            <w:r>
              <w:rPr>
                <w:rFonts w:hint="eastAsia" w:ascii="宋体" w:hAnsi="宋体"/>
                <w:szCs w:val="22"/>
              </w:rPr>
              <w:t>小节要求，保证运行时氦气的加载和卸载以及压力稳定控制。</w:t>
            </w:r>
            <w:r>
              <w:rPr>
                <w:rFonts w:ascii="宋体" w:hAnsi="宋体"/>
                <w:color w:val="000000"/>
                <w:szCs w:val="22"/>
              </w:rPr>
              <w:t>气体管理面板</w:t>
            </w:r>
            <w:r>
              <w:rPr>
                <w:rFonts w:ascii="宋体" w:hAnsi="宋体"/>
                <w:szCs w:val="22"/>
              </w:rPr>
              <w:t>应被设计成可以准确调节高低压压力。制冷机稳定运行时，</w:t>
            </w:r>
            <w:r>
              <w:rPr>
                <w:rFonts w:hint="eastAsia"/>
                <w:color w:val="000000"/>
                <w:szCs w:val="22"/>
              </w:rPr>
              <w:t xml:space="preserve">压缩机吸气低压的波动应控制在 </w:t>
            </w:r>
            <w:r>
              <w:rPr>
                <w:b/>
                <w:bCs/>
                <w:color w:val="000000"/>
                <w:szCs w:val="22"/>
              </w:rPr>
              <w:t>±</w:t>
            </w:r>
            <w:r>
              <w:rPr>
                <w:color w:val="000000"/>
                <w:szCs w:val="22"/>
              </w:rPr>
              <w:t>10</w:t>
            </w:r>
            <w:r>
              <w:rPr>
                <w:b/>
                <w:bCs/>
                <w:color w:val="000000"/>
                <w:szCs w:val="22"/>
              </w:rPr>
              <w:t xml:space="preserve"> mbar</w:t>
            </w:r>
            <w:r>
              <w:rPr>
                <w:rFonts w:hint="eastAsia"/>
                <w:color w:val="000000"/>
                <w:szCs w:val="22"/>
              </w:rPr>
              <w:t xml:space="preserve"> 范围内</w:t>
            </w:r>
            <w:r>
              <w:rPr>
                <w:rFonts w:ascii="宋体" w:hAnsi="宋体"/>
                <w:szCs w:val="22"/>
              </w:rPr>
              <w:t>。</w:t>
            </w:r>
            <w:r>
              <w:rPr>
                <w:rFonts w:hint="eastAsia" w:ascii="宋体" w:hAnsi="宋体"/>
                <w:szCs w:val="22"/>
              </w:rPr>
              <w:t>具体设计要求详见附件技术规格书6.</w:t>
            </w:r>
            <w:r>
              <w:rPr>
                <w:rFonts w:ascii="宋体" w:hAnsi="宋体"/>
                <w:szCs w:val="22"/>
              </w:rPr>
              <w:t>7</w:t>
            </w:r>
            <w:r>
              <w:rPr>
                <w:rFonts w:hint="eastAsia" w:ascii="宋体" w:hAnsi="宋体"/>
                <w:szCs w:val="22"/>
              </w:rPr>
              <w:t>小节。</w:t>
            </w:r>
            <w:bookmarkEnd w:id="70"/>
          </w:p>
        </w:tc>
      </w:tr>
      <w:tr w14:paraId="1450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920143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EB538D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9531B7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3</w:t>
            </w:r>
            <w:r>
              <w:rPr>
                <w:rFonts w:ascii="宋体" w:hAnsi="宋体"/>
                <w:szCs w:val="22"/>
              </w:rPr>
              <w:t xml:space="preserve">. </w:t>
            </w:r>
            <w:bookmarkStart w:id="71" w:name="_Hlk222821259"/>
            <w:r>
              <w:rPr>
                <w:rFonts w:ascii="宋体" w:hAnsi="宋体"/>
                <w:color w:val="000000"/>
                <w:szCs w:val="22"/>
              </w:rPr>
              <w:t>压缩机系统所有可能超过设计压力的部件应通过安全阀进行超压保护。安全阀选型和管路结构设计</w:t>
            </w:r>
            <w:r>
              <w:rPr>
                <w:rFonts w:ascii="宋体" w:hAnsi="宋体"/>
                <w:szCs w:val="22"/>
              </w:rPr>
              <w:t>应符合技术规格书6.8小节要求。具体设计要求详见附件技术规格书6.8小节。</w:t>
            </w:r>
            <w:bookmarkEnd w:id="71"/>
          </w:p>
        </w:tc>
      </w:tr>
      <w:tr w14:paraId="3345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EE94CD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7368DA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2E62C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color w:val="000000"/>
                <w:szCs w:val="22"/>
              </w:rPr>
              <w:t>3</w:t>
            </w:r>
            <w:r>
              <w:rPr>
                <w:rFonts w:hint="eastAsia" w:ascii="宋体" w:hAnsi="宋体"/>
                <w:color w:val="000000"/>
                <w:szCs w:val="22"/>
              </w:rPr>
              <w:t>4</w:t>
            </w:r>
            <w:r>
              <w:rPr>
                <w:rFonts w:ascii="宋体" w:hAnsi="宋体"/>
                <w:color w:val="000000"/>
                <w:szCs w:val="22"/>
              </w:rPr>
              <w:t xml:space="preserve">. </w:t>
            </w:r>
            <w:bookmarkStart w:id="72" w:name="_Hlk222821271"/>
            <w:r>
              <w:rPr>
                <w:rFonts w:ascii="宋体" w:hAnsi="宋体"/>
                <w:color w:val="000000"/>
                <w:szCs w:val="22"/>
              </w:rPr>
              <w:t>压缩机系统应留有气体分析仪采样接口，</w:t>
            </w:r>
            <w:r>
              <w:rPr>
                <w:rFonts w:hint="eastAsia" w:ascii="宋体" w:hAnsi="宋体"/>
                <w:color w:val="000000"/>
                <w:szCs w:val="22"/>
              </w:rPr>
              <w:t>分析仪信号采集应接入ACCP控制系统</w:t>
            </w:r>
            <w:r>
              <w:rPr>
                <w:rFonts w:ascii="宋体" w:hAnsi="宋体"/>
                <w:color w:val="000000"/>
                <w:szCs w:val="22"/>
              </w:rPr>
              <w:t>且符合</w:t>
            </w:r>
            <w:r>
              <w:rPr>
                <w:rFonts w:ascii="宋体" w:hAnsi="宋体"/>
                <w:szCs w:val="22"/>
              </w:rPr>
              <w:t>技术规格书6.9小节要求。具体设计要求详见附件技术规格书6.9小节。</w:t>
            </w:r>
            <w:bookmarkEnd w:id="72"/>
          </w:p>
        </w:tc>
      </w:tr>
      <w:tr w14:paraId="6C8F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6FA98A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6C013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1B0F40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5</w:t>
            </w:r>
            <w:r>
              <w:rPr>
                <w:rFonts w:ascii="宋体" w:hAnsi="宋体"/>
                <w:szCs w:val="22"/>
              </w:rPr>
              <w:t>.</w:t>
            </w:r>
            <w:bookmarkStart w:id="73" w:name="_Hlk222821313"/>
            <w:r>
              <w:rPr>
                <w:rFonts w:ascii="宋体" w:hAnsi="宋体"/>
                <w:szCs w:val="22"/>
              </w:rPr>
              <w:t xml:space="preserve"> </w:t>
            </w:r>
            <w:r>
              <w:rPr>
                <w:rFonts w:ascii="宋体" w:hAnsi="宋体"/>
                <w:color w:val="000000"/>
                <w:szCs w:val="22"/>
              </w:rPr>
              <w:t>投标人应负责协助采购人设计压缩机撬装之间的油和氦管道并安装指导。压缩机系统管道系统设计</w:t>
            </w:r>
            <w:r>
              <w:rPr>
                <w:rFonts w:ascii="宋体" w:hAnsi="宋体"/>
                <w:szCs w:val="22"/>
              </w:rPr>
              <w:t>应符合技术规格书6.10小节要求。具体设计要求详见附件技术规格书6.10小节。</w:t>
            </w:r>
            <w:bookmarkEnd w:id="73"/>
          </w:p>
        </w:tc>
      </w:tr>
      <w:tr w14:paraId="2A82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CF0DC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F5366E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DA0BD1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6</w:t>
            </w:r>
            <w:r>
              <w:rPr>
                <w:rFonts w:ascii="宋体" w:hAnsi="宋体"/>
                <w:szCs w:val="22"/>
              </w:rPr>
              <w:t xml:space="preserve">. </w:t>
            </w:r>
            <w:bookmarkStart w:id="74" w:name="_Hlk222821325"/>
            <w:r>
              <w:rPr>
                <w:rFonts w:hint="eastAsia" w:ascii="宋体" w:hAnsi="宋体"/>
                <w:szCs w:val="22"/>
              </w:rPr>
              <w:t>投标人应确保压缩机系统能在所有运行模式（包括验收试验、保护、控制和联锁）下有足够的安全、有效的采集和测量手段，用于监测其运行状态。压缩机系统采集和测量点位布置要满足技术规格书6.1</w:t>
            </w:r>
            <w:r>
              <w:rPr>
                <w:rFonts w:ascii="宋体" w:hAnsi="宋体"/>
                <w:szCs w:val="22"/>
              </w:rPr>
              <w:t>1</w:t>
            </w:r>
            <w:r>
              <w:rPr>
                <w:rFonts w:hint="eastAsia" w:ascii="宋体" w:hAnsi="宋体"/>
                <w:szCs w:val="22"/>
              </w:rPr>
              <w:t>小节要求。需分类列明压缩机自带测量点位和系统运行所需的测量点类型和数量。具体设计要求详见附件技术规格书6.1</w:t>
            </w:r>
            <w:r>
              <w:rPr>
                <w:rFonts w:ascii="宋体" w:hAnsi="宋体"/>
                <w:szCs w:val="22"/>
              </w:rPr>
              <w:t>1</w:t>
            </w:r>
            <w:r>
              <w:rPr>
                <w:rFonts w:hint="eastAsia" w:ascii="宋体" w:hAnsi="宋体"/>
                <w:szCs w:val="22"/>
              </w:rPr>
              <w:t>小节。</w:t>
            </w:r>
            <w:bookmarkEnd w:id="74"/>
          </w:p>
        </w:tc>
      </w:tr>
      <w:tr w14:paraId="1FE4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46B73E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94A22E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C291A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7</w:t>
            </w:r>
            <w:r>
              <w:rPr>
                <w:rFonts w:ascii="宋体" w:hAnsi="宋体"/>
                <w:szCs w:val="22"/>
              </w:rPr>
              <w:t xml:space="preserve">. </w:t>
            </w:r>
            <w:bookmarkStart w:id="75" w:name="_Hlk222821334"/>
            <w:r>
              <w:rPr>
                <w:rFonts w:hint="eastAsia" w:ascii="宋体" w:hAnsi="宋体"/>
                <w:szCs w:val="22"/>
              </w:rPr>
              <w:t>投标人所提供的压缩机及其附属系统应保证优良的密封性，符合技术规格书6.1</w:t>
            </w:r>
            <w:r>
              <w:rPr>
                <w:rFonts w:ascii="宋体" w:hAnsi="宋体"/>
                <w:szCs w:val="22"/>
              </w:rPr>
              <w:t>2</w:t>
            </w:r>
            <w:r>
              <w:rPr>
                <w:rFonts w:hint="eastAsia" w:ascii="宋体" w:hAnsi="宋体"/>
                <w:szCs w:val="22"/>
              </w:rPr>
              <w:t>小节指标要求。具体设计要求详见附件技术规格书6.1</w:t>
            </w:r>
            <w:r>
              <w:rPr>
                <w:rFonts w:ascii="宋体" w:hAnsi="宋体"/>
                <w:szCs w:val="22"/>
              </w:rPr>
              <w:t>2</w:t>
            </w:r>
            <w:r>
              <w:rPr>
                <w:rFonts w:hint="eastAsia" w:ascii="宋体" w:hAnsi="宋体"/>
                <w:szCs w:val="22"/>
              </w:rPr>
              <w:t>小节。</w:t>
            </w:r>
            <w:bookmarkEnd w:id="75"/>
          </w:p>
        </w:tc>
      </w:tr>
      <w:tr w14:paraId="5819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AEFE3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004F40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91224C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▲38</w:t>
            </w:r>
            <w:r>
              <w:rPr>
                <w:rFonts w:ascii="宋体" w:hAnsi="宋体"/>
                <w:b/>
                <w:bCs/>
                <w:color w:val="EE0000"/>
                <w:szCs w:val="22"/>
              </w:rPr>
              <w:t xml:space="preserve">. </w:t>
            </w:r>
            <w:bookmarkStart w:id="76" w:name="_Hlk222821342"/>
            <w:r>
              <w:rPr>
                <w:rFonts w:ascii="宋体" w:hAnsi="宋体"/>
                <w:b/>
                <w:bCs/>
                <w:color w:val="EE0000"/>
                <w:szCs w:val="22"/>
              </w:rPr>
              <w:t>投标人提供的冷箱及其附属设备尺寸、运输、地基等要求应符合采购人提供的现场条件。</w:t>
            </w:r>
            <w:r>
              <w:rPr>
                <w:rFonts w:hint="eastAsia" w:ascii="宋体" w:hAnsi="宋体"/>
                <w:b/>
                <w:bCs/>
                <w:color w:val="EE0000"/>
                <w:szCs w:val="22"/>
              </w:rPr>
              <w:t>投标时</w:t>
            </w:r>
            <w:r>
              <w:rPr>
                <w:rFonts w:ascii="宋体" w:hAnsi="宋体"/>
                <w:b/>
                <w:bCs/>
                <w:color w:val="EE0000"/>
                <w:szCs w:val="22"/>
              </w:rPr>
              <w:t>需提供冷箱及其附属设备</w:t>
            </w:r>
            <w:r>
              <w:rPr>
                <w:rFonts w:hint="eastAsia" w:ascii="宋体" w:hAnsi="宋体"/>
                <w:b/>
                <w:bCs/>
                <w:color w:val="EE0000"/>
                <w:szCs w:val="22"/>
              </w:rPr>
              <w:t>初步</w:t>
            </w:r>
            <w:r>
              <w:rPr>
                <w:rFonts w:ascii="宋体" w:hAnsi="宋体"/>
                <w:b/>
                <w:bCs/>
                <w:color w:val="EE0000"/>
                <w:szCs w:val="22"/>
              </w:rPr>
              <w:t>图纸，标明尺寸。具体要求详见技术规格书</w:t>
            </w:r>
            <w:r>
              <w:rPr>
                <w:rFonts w:hint="eastAsia" w:ascii="宋体" w:hAnsi="宋体"/>
                <w:b/>
                <w:bCs/>
                <w:color w:val="EE0000"/>
                <w:szCs w:val="22"/>
              </w:rPr>
              <w:t>7.1-</w:t>
            </w:r>
            <w:r>
              <w:rPr>
                <w:rFonts w:ascii="宋体" w:hAnsi="宋体"/>
                <w:b/>
                <w:bCs/>
                <w:color w:val="EE0000"/>
                <w:szCs w:val="22"/>
              </w:rPr>
              <w:t>7.2小节。</w:t>
            </w:r>
            <w:bookmarkEnd w:id="76"/>
          </w:p>
        </w:tc>
      </w:tr>
      <w:tr w14:paraId="1417A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1B2AA1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E33AC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F6FEE5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39. 冷箱壳体的尺寸长度、材质、表面处理应符合技术规格书7.3小节要求。</w:t>
            </w:r>
            <w:r>
              <w:rPr>
                <w:rFonts w:ascii="宋体" w:hAnsi="宋体"/>
                <w:szCs w:val="22"/>
              </w:rPr>
              <w:t>具体设计要求详见附件技术规格书</w:t>
            </w:r>
            <w:r>
              <w:rPr>
                <w:rFonts w:hint="eastAsia" w:ascii="宋体" w:hAnsi="宋体"/>
                <w:szCs w:val="22"/>
              </w:rPr>
              <w:t>7.3</w:t>
            </w:r>
            <w:r>
              <w:rPr>
                <w:rFonts w:ascii="宋体" w:hAnsi="宋体"/>
                <w:szCs w:val="22"/>
              </w:rPr>
              <w:t>小节。</w:t>
            </w:r>
          </w:p>
        </w:tc>
      </w:tr>
      <w:tr w14:paraId="026D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A153A3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bookmarkStart w:id="77" w:name="_Hlk222821351"/>
          </w:p>
        </w:tc>
        <w:tc>
          <w:tcPr>
            <w:tcW w:w="1276" w:type="dxa"/>
            <w:vMerge w:val="continue"/>
            <w:vAlign w:val="center"/>
          </w:tcPr>
          <w:p w14:paraId="4B683B9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8C3966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▲40</w:t>
            </w:r>
            <w:r>
              <w:rPr>
                <w:rFonts w:ascii="宋体" w:hAnsi="宋体"/>
                <w:szCs w:val="22"/>
              </w:rPr>
              <w:t xml:space="preserve">. </w:t>
            </w:r>
            <w:bookmarkStart w:id="78" w:name="_Hlk221286091"/>
            <w:r>
              <w:rPr>
                <w:rFonts w:ascii="宋体" w:hAnsi="宋体"/>
                <w:szCs w:val="22"/>
              </w:rPr>
              <w:t>投标人应</w:t>
            </w:r>
            <w:r>
              <w:rPr>
                <w:rFonts w:hint="eastAsia" w:ascii="宋体" w:hAnsi="宋体"/>
                <w:szCs w:val="22"/>
              </w:rPr>
              <w:t>在项目执行阶段提供</w:t>
            </w:r>
            <w:r>
              <w:rPr>
                <w:rFonts w:ascii="宋体" w:hAnsi="宋体"/>
                <w:szCs w:val="22"/>
              </w:rPr>
              <w:t>采用换热器的制造商、设计标准、设计压力、设计温度、清洁等级和检漏方法。</w:t>
            </w:r>
            <w:bookmarkEnd w:id="78"/>
            <w:r>
              <w:rPr>
                <w:rFonts w:hint="eastAsia"/>
                <w:color w:val="000000"/>
                <w:szCs w:val="22"/>
              </w:rPr>
              <w:t>板翅式换热器应采用真空钎焊焊接。需提供拟采用的铝-不锈钢转接过渡件的类型和来源。</w:t>
            </w:r>
          </w:p>
        </w:tc>
      </w:tr>
      <w:bookmarkEnd w:id="77"/>
      <w:tr w14:paraId="3DE8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B33E1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065DF5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F35617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▲41</w:t>
            </w:r>
            <w:r>
              <w:rPr>
                <w:rFonts w:ascii="宋体" w:hAnsi="宋体"/>
                <w:szCs w:val="22"/>
              </w:rPr>
              <w:t>.</w:t>
            </w:r>
            <w:r>
              <w:rPr>
                <w:rFonts w:hint="eastAsia"/>
                <w:color w:val="000000"/>
                <w:szCs w:val="22"/>
              </w:rPr>
              <w:t>投标人应保证所有换热器及关键部件的设计均充分考虑合理压降，以确保ACCP 性能及 2 K 回路稳定性。在项目执行期间，中标人应提供包含T-S 图的流程说明，详细列明各运行模式的性能汇总及接口流程工况。该说明应包含表示常规设计运行工况主要热力学节点的T-S 图，以替代提供专有的部件级压降数据或各换热器参数。</w:t>
            </w:r>
          </w:p>
        </w:tc>
      </w:tr>
      <w:tr w14:paraId="513C6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11E728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81C93C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B5E71B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▲42</w:t>
            </w:r>
            <w:r>
              <w:rPr>
                <w:rFonts w:ascii="宋体" w:hAnsi="宋体"/>
                <w:szCs w:val="22"/>
              </w:rPr>
              <w:t xml:space="preserve">. </w:t>
            </w:r>
            <w:bookmarkStart w:id="79" w:name="_Hlk222821533"/>
            <w:r>
              <w:rPr>
                <w:rFonts w:hint="eastAsia" w:ascii="宋体" w:hAnsi="宋体"/>
                <w:szCs w:val="22"/>
              </w:rPr>
              <w:t>所有在20 K以下运行的换热器或部分在20 K以下运行的换热器应垂直布置，且热端朝上，否则，布置时应与IASF商定。在20 K以上运行的换热器应水平布置。</w:t>
            </w:r>
            <w:bookmarkEnd w:id="79"/>
          </w:p>
        </w:tc>
      </w:tr>
      <w:tr w14:paraId="14BA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64DAE9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D2F8B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3FA4F2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3</w:t>
            </w:r>
            <w:r>
              <w:rPr>
                <w:rFonts w:ascii="宋体" w:hAnsi="宋体"/>
                <w:szCs w:val="22"/>
              </w:rPr>
              <w:t>. 换热器设计时应符合</w:t>
            </w:r>
            <w:r>
              <w:rPr>
                <w:rFonts w:hint="eastAsia" w:ascii="宋体" w:hAnsi="宋体"/>
                <w:szCs w:val="22"/>
              </w:rPr>
              <w:t>设计制造</w:t>
            </w:r>
            <w:r>
              <w:rPr>
                <w:rFonts w:ascii="宋体" w:hAnsi="宋体"/>
                <w:szCs w:val="22"/>
              </w:rPr>
              <w:t>标准</w:t>
            </w:r>
            <w:r>
              <w:rPr>
                <w:rFonts w:hint="eastAsia" w:ascii="宋体" w:hAnsi="宋体"/>
                <w:szCs w:val="22"/>
              </w:rPr>
              <w:t>。</w:t>
            </w:r>
            <w:r>
              <w:rPr>
                <w:rFonts w:ascii="宋体" w:hAnsi="宋体"/>
                <w:szCs w:val="22"/>
              </w:rPr>
              <w:t>所有换热器的</w:t>
            </w:r>
            <w:r>
              <w:rPr>
                <w:rFonts w:hint="eastAsia" w:ascii="宋体" w:hAnsi="宋体"/>
                <w:szCs w:val="22"/>
              </w:rPr>
              <w:t>传热面积应在不同运行模式计算出的所需最大换热面积基础上留有10%以上裕量，且符合技术规格书7.</w:t>
            </w:r>
            <w:r>
              <w:rPr>
                <w:rFonts w:ascii="宋体" w:hAnsi="宋体"/>
                <w:szCs w:val="22"/>
              </w:rPr>
              <w:t>4</w:t>
            </w:r>
            <w:r>
              <w:rPr>
                <w:rFonts w:hint="eastAsia" w:ascii="宋体" w:hAnsi="宋体"/>
                <w:szCs w:val="22"/>
              </w:rPr>
              <w:t>.2小节设计要求。具体要求详见技术规格书7.</w:t>
            </w:r>
            <w:r>
              <w:rPr>
                <w:rFonts w:ascii="宋体" w:hAnsi="宋体"/>
                <w:szCs w:val="22"/>
              </w:rPr>
              <w:t>4</w:t>
            </w:r>
            <w:r>
              <w:rPr>
                <w:rFonts w:hint="eastAsia" w:ascii="宋体" w:hAnsi="宋体"/>
                <w:szCs w:val="22"/>
              </w:rPr>
              <w:t>.2小节。</w:t>
            </w:r>
          </w:p>
        </w:tc>
      </w:tr>
      <w:tr w14:paraId="29E9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083C9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AD5B2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32051A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4</w:t>
            </w:r>
            <w:r>
              <w:rPr>
                <w:rFonts w:ascii="宋体" w:hAnsi="宋体"/>
                <w:szCs w:val="22"/>
              </w:rPr>
              <w:t xml:space="preserve">. </w:t>
            </w:r>
            <w:r>
              <w:rPr>
                <w:rFonts w:hint="eastAsia" w:ascii="宋体" w:hAnsi="宋体"/>
                <w:szCs w:val="22"/>
              </w:rPr>
              <w:t>为保证液氮预冷级高效、稳定、可靠运行，</w:t>
            </w:r>
            <w:r>
              <w:rPr>
                <w:rFonts w:ascii="宋体" w:hAnsi="宋体"/>
                <w:color w:val="000000"/>
                <w:szCs w:val="22"/>
              </w:rPr>
              <w:t>液氮预冷级换热器可采用液氮浴、热虹吸或</w:t>
            </w:r>
            <w:r>
              <w:rPr>
                <w:rFonts w:hint="eastAsia" w:ascii="宋体" w:hAnsi="宋体"/>
                <w:color w:val="000000"/>
                <w:szCs w:val="22"/>
              </w:rPr>
              <w:t>产品制造商</w:t>
            </w:r>
            <w:r>
              <w:rPr>
                <w:rFonts w:ascii="宋体" w:hAnsi="宋体"/>
                <w:color w:val="000000"/>
                <w:szCs w:val="22"/>
              </w:rPr>
              <w:t>已有成熟应用的其他结构。</w:t>
            </w:r>
            <w:r>
              <w:rPr>
                <w:rFonts w:hint="eastAsia" w:ascii="宋体" w:hAnsi="宋体"/>
                <w:szCs w:val="22"/>
              </w:rPr>
              <w:t>整体符合技术规格书7.</w:t>
            </w:r>
            <w:r>
              <w:rPr>
                <w:rFonts w:ascii="宋体" w:hAnsi="宋体"/>
                <w:szCs w:val="22"/>
              </w:rPr>
              <w:t>4</w:t>
            </w:r>
            <w:r>
              <w:rPr>
                <w:rFonts w:hint="eastAsia" w:ascii="宋体" w:hAnsi="宋体"/>
                <w:szCs w:val="22"/>
              </w:rPr>
              <w:t>.3小节设计要求。具体要求详见技术规格书7.</w:t>
            </w:r>
            <w:r>
              <w:rPr>
                <w:rFonts w:ascii="宋体" w:hAnsi="宋体"/>
                <w:szCs w:val="22"/>
              </w:rPr>
              <w:t>4</w:t>
            </w:r>
            <w:r>
              <w:rPr>
                <w:rFonts w:hint="eastAsia" w:ascii="宋体" w:hAnsi="宋体"/>
                <w:szCs w:val="22"/>
              </w:rPr>
              <w:t>.3小节。</w:t>
            </w:r>
          </w:p>
        </w:tc>
      </w:tr>
      <w:tr w14:paraId="30BF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BB60F6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279C58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49C719C">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color w:val="000000"/>
                <w:szCs w:val="22"/>
              </w:rPr>
              <w:t>▲45</w:t>
            </w:r>
            <w:r>
              <w:rPr>
                <w:rFonts w:ascii="宋体" w:hAnsi="宋体"/>
                <w:color w:val="000000"/>
                <w:szCs w:val="22"/>
              </w:rPr>
              <w:t xml:space="preserve">. </w:t>
            </w:r>
            <w:bookmarkStart w:id="80" w:name="_Hlk222821619"/>
            <w:r>
              <w:rPr>
                <w:rFonts w:ascii="宋体" w:hAnsi="宋体"/>
                <w:color w:val="000000"/>
                <w:szCs w:val="22"/>
              </w:rPr>
              <w:t>透平膨胀机应采用气体支撑轴承，设计工况下一级透平膨胀机效率应大于75%。</w:t>
            </w:r>
            <w:bookmarkEnd w:id="80"/>
            <w:r>
              <w:rPr>
                <w:rFonts w:hint="eastAsia" w:ascii="宋体" w:hAnsi="宋体"/>
                <w:color w:val="000000"/>
                <w:szCs w:val="22"/>
              </w:rPr>
              <w:t>投标人所用透平膨胀机需为具备长期运行可靠运行记录，</w:t>
            </w:r>
            <w:r>
              <w:rPr>
                <w:rFonts w:hint="eastAsia"/>
                <w:color w:val="000000"/>
                <w:szCs w:val="22"/>
              </w:rPr>
              <w:t>每台透平膨胀机应在发货前进行低温测试，并向提供测试报告。在项目执行期间提供透平膨胀机的运行限值。</w:t>
            </w:r>
          </w:p>
        </w:tc>
      </w:tr>
      <w:tr w14:paraId="3A4F6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8FE521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FA0C03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4FA886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6</w:t>
            </w:r>
            <w:r>
              <w:rPr>
                <w:rFonts w:ascii="宋体" w:hAnsi="宋体"/>
                <w:szCs w:val="22"/>
              </w:rPr>
              <w:t xml:space="preserve">. </w:t>
            </w:r>
            <w:bookmarkStart w:id="81" w:name="_Hlk222821625"/>
            <w:r>
              <w:rPr>
                <w:rFonts w:ascii="宋体" w:hAnsi="宋体"/>
                <w:szCs w:val="22"/>
              </w:rPr>
              <w:t>投标人提供的透平膨胀机性能应兼顾所有要求的运行模式，高效稳定运行，整体符合技术规格书7.5.2小节设计要求。具体要求详见技术规格书7.5.2小节。</w:t>
            </w:r>
            <w:bookmarkEnd w:id="81"/>
          </w:p>
        </w:tc>
      </w:tr>
      <w:tr w14:paraId="0B62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43D96A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9C96BC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F383C0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▲47</w:t>
            </w:r>
            <w:r>
              <w:rPr>
                <w:rFonts w:ascii="宋体" w:hAnsi="宋体"/>
                <w:color w:val="000000"/>
                <w:szCs w:val="22"/>
              </w:rPr>
              <w:t xml:space="preserve">. </w:t>
            </w:r>
            <w:bookmarkStart w:id="82" w:name="_Hlk222821634"/>
            <w:r>
              <w:rPr>
                <w:rFonts w:hint="eastAsia"/>
                <w:color w:val="000000"/>
                <w:szCs w:val="22"/>
              </w:rPr>
              <w:t>冷压缩机应使用主动电磁悬浮轴承支撑，高速变频电机直接驱动。所用冷压缩机需在其它近似低温工况下测试或被应用过。平均效率大于70%。</w:t>
            </w:r>
            <w:bookmarkEnd w:id="82"/>
          </w:p>
        </w:tc>
      </w:tr>
      <w:tr w14:paraId="1829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DDB18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935AD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B402DC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w:t>
            </w:r>
            <w:r>
              <w:rPr>
                <w:rFonts w:hint="eastAsia" w:ascii="宋体" w:hAnsi="宋体"/>
                <w:szCs w:val="22"/>
              </w:rPr>
              <w:t>48</w:t>
            </w:r>
            <w:r>
              <w:rPr>
                <w:rFonts w:ascii="宋体" w:hAnsi="宋体"/>
                <w:szCs w:val="22"/>
              </w:rPr>
              <w:t xml:space="preserve">. </w:t>
            </w:r>
            <w:bookmarkStart w:id="83" w:name="_Hlk222821647"/>
            <w:r>
              <w:rPr>
                <w:rFonts w:ascii="宋体" w:hAnsi="宋体"/>
                <w:szCs w:val="22"/>
              </w:rPr>
              <w:t>投标人提供的</w:t>
            </w:r>
            <w:r>
              <w:rPr>
                <w:rFonts w:hint="eastAsia" w:ascii="宋体" w:hAnsi="宋体"/>
                <w:szCs w:val="22"/>
              </w:rPr>
              <w:t>冷压缩机电驱动和控制需</w:t>
            </w:r>
            <w:r>
              <w:rPr>
                <w:rFonts w:ascii="宋体" w:hAnsi="宋体"/>
                <w:szCs w:val="22"/>
              </w:rPr>
              <w:t>整体符合技术规格书7.6.2小节设计要求</w:t>
            </w:r>
            <w:r>
              <w:rPr>
                <w:rFonts w:hint="eastAsia" w:ascii="宋体" w:hAnsi="宋体"/>
                <w:szCs w:val="22"/>
              </w:rPr>
              <w:t>，设计、结构、仪表和控制需</w:t>
            </w:r>
            <w:r>
              <w:rPr>
                <w:rFonts w:ascii="宋体" w:hAnsi="宋体"/>
                <w:szCs w:val="22"/>
              </w:rPr>
              <w:t>整体符合技术规格书</w:t>
            </w:r>
            <w:r>
              <w:rPr>
                <w:rFonts w:hint="eastAsia" w:ascii="宋体" w:hAnsi="宋体"/>
                <w:szCs w:val="22"/>
              </w:rPr>
              <w:t>7</w:t>
            </w:r>
            <w:r>
              <w:rPr>
                <w:rFonts w:ascii="宋体" w:hAnsi="宋体"/>
                <w:szCs w:val="22"/>
              </w:rPr>
              <w:t>.6.3小节设计要求。具体要求详见技术规格书7.6.2小节</w:t>
            </w:r>
            <w:r>
              <w:rPr>
                <w:rFonts w:hint="eastAsia" w:ascii="宋体" w:hAnsi="宋体"/>
                <w:szCs w:val="22"/>
              </w:rPr>
              <w:t>和7</w:t>
            </w:r>
            <w:r>
              <w:rPr>
                <w:rFonts w:ascii="宋体" w:hAnsi="宋体"/>
                <w:szCs w:val="22"/>
              </w:rPr>
              <w:t>.6.3小节。</w:t>
            </w:r>
            <w:bookmarkEnd w:id="83"/>
          </w:p>
        </w:tc>
      </w:tr>
      <w:tr w14:paraId="4139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4759B9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EDF862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029DE1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▲49</w:t>
            </w:r>
            <w:r>
              <w:rPr>
                <w:rFonts w:ascii="宋体" w:hAnsi="宋体"/>
                <w:szCs w:val="22"/>
              </w:rPr>
              <w:t xml:space="preserve">. </w:t>
            </w:r>
            <w:bookmarkStart w:id="84" w:name="_Hlk222821655"/>
            <w:r>
              <w:rPr>
                <w:rFonts w:ascii="宋体" w:hAnsi="宋体"/>
                <w:szCs w:val="22"/>
              </w:rPr>
              <w:t>对于80K温区吸附器，</w:t>
            </w:r>
            <w:r>
              <w:rPr>
                <w:rFonts w:hint="eastAsia" w:ascii="宋体" w:hAnsi="宋体"/>
                <w:szCs w:val="22"/>
              </w:rPr>
              <w:t>产品制造商</w:t>
            </w:r>
            <w:r>
              <w:rPr>
                <w:rFonts w:ascii="宋体" w:hAnsi="宋体"/>
                <w:szCs w:val="22"/>
              </w:rPr>
              <w:t>应设计安装两个可切换的并联吸附器。当</w:t>
            </w:r>
            <w:r>
              <w:rPr>
                <w:rFonts w:hint="eastAsia" w:ascii="宋体" w:hAnsi="宋体"/>
                <w:szCs w:val="22"/>
              </w:rPr>
              <w:t>ACCP</w:t>
            </w:r>
            <w:r>
              <w:rPr>
                <w:rFonts w:ascii="宋体" w:hAnsi="宋体"/>
                <w:szCs w:val="22"/>
              </w:rPr>
              <w:t>以最大负荷运行时，单个吸附器应能在72小时内再生并重新冷却。单个吸附器在最大设计允许杂质下连续运行时间要大于</w:t>
            </w:r>
            <w:r>
              <w:rPr>
                <w:rFonts w:hint="eastAsia" w:ascii="宋体" w:hAnsi="宋体"/>
                <w:szCs w:val="22"/>
              </w:rPr>
              <w:t>120</w:t>
            </w:r>
            <w:r>
              <w:rPr>
                <w:rFonts w:ascii="宋体" w:hAnsi="宋体"/>
                <w:szCs w:val="22"/>
              </w:rPr>
              <w:t>小时。吸附器的再生和切换应符合技术规格书7.7.1小节的设计要求。具体要求详见技术规格书7.7.1小节。</w:t>
            </w:r>
            <w:bookmarkEnd w:id="84"/>
          </w:p>
        </w:tc>
      </w:tr>
      <w:tr w14:paraId="686B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A8B09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307D5E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EA704B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▲50</w:t>
            </w:r>
            <w:r>
              <w:rPr>
                <w:rFonts w:ascii="宋体" w:hAnsi="宋体"/>
                <w:szCs w:val="22"/>
              </w:rPr>
              <w:t xml:space="preserve">. </w:t>
            </w:r>
            <w:bookmarkStart w:id="85" w:name="_Hlk222821663"/>
            <w:r>
              <w:rPr>
                <w:rFonts w:ascii="宋体" w:hAnsi="宋体"/>
                <w:szCs w:val="22"/>
              </w:rPr>
              <w:t>对于20K温区吸附器，流程设计和控制应确保该吸附器在稳态运行模式（包括最大液化模式）下的工作温度均低于25 K。并应针对设计20 K吸附器的在线再生方案，预留相应的旁通管线、抽气和置换接口。应符合技术规格书7.7.2小节的设计要求。具体要求详见技术规格书7.7.2小节。</w:t>
            </w:r>
            <w:bookmarkEnd w:id="85"/>
          </w:p>
        </w:tc>
      </w:tr>
      <w:tr w14:paraId="1844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0DABF9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2F502E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C7E670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1</w:t>
            </w:r>
            <w:r>
              <w:rPr>
                <w:rFonts w:ascii="宋体" w:hAnsi="宋体"/>
                <w:szCs w:val="22"/>
              </w:rPr>
              <w:t xml:space="preserve">. </w:t>
            </w:r>
            <w:bookmarkStart w:id="86" w:name="_Hlk222821948"/>
            <w:r>
              <w:rPr>
                <w:rFonts w:hint="eastAsia" w:ascii="宋体" w:hAnsi="宋体"/>
                <w:szCs w:val="22"/>
              </w:rPr>
              <w:t>产品制造商</w:t>
            </w:r>
            <w:r>
              <w:rPr>
                <w:rFonts w:ascii="宋体" w:hAnsi="宋体"/>
                <w:szCs w:val="22"/>
              </w:rPr>
              <w:t>应在合适的位置布置过滤器，用以防护杂质。</w:t>
            </w:r>
            <w:r>
              <w:rPr>
                <w:rFonts w:hint="eastAsia" w:ascii="宋体" w:hAnsi="宋体"/>
                <w:szCs w:val="22"/>
              </w:rPr>
              <w:t>所有</w:t>
            </w:r>
            <w:r>
              <w:rPr>
                <w:rFonts w:hint="eastAsia"/>
                <w:color w:val="000000"/>
                <w:szCs w:val="22"/>
              </w:rPr>
              <w:t>过滤器应按常规设计模式确定尺寸。</w:t>
            </w:r>
            <w:r>
              <w:rPr>
                <w:rFonts w:ascii="宋体" w:hAnsi="宋体"/>
                <w:szCs w:val="22"/>
              </w:rPr>
              <w:t>相关设计及尺寸位置要求应符合技术规格书7.8小节的设计要求。具体要求详见技术规格书7.8小节。</w:t>
            </w:r>
            <w:bookmarkEnd w:id="86"/>
          </w:p>
        </w:tc>
      </w:tr>
      <w:tr w14:paraId="1938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B06550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CF7C9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8ECA31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2</w:t>
            </w:r>
            <w:r>
              <w:rPr>
                <w:rFonts w:ascii="宋体" w:hAnsi="宋体"/>
                <w:szCs w:val="22"/>
              </w:rPr>
              <w:t xml:space="preserve">. </w:t>
            </w:r>
            <w:bookmarkStart w:id="87" w:name="_Hlk222821960"/>
            <w:r>
              <w:rPr>
                <w:rFonts w:ascii="宋体" w:hAnsi="宋体"/>
                <w:szCs w:val="22"/>
              </w:rPr>
              <w:t>冷箱应配备至少一个配有4.5 K液氦过冷换热器的相分离器</w:t>
            </w:r>
            <w:r>
              <w:rPr>
                <w:rFonts w:hint="eastAsia" w:ascii="宋体" w:hAnsi="宋体"/>
                <w:szCs w:val="22"/>
              </w:rPr>
              <w:t>以及一个2</w:t>
            </w:r>
            <w:r>
              <w:rPr>
                <w:rFonts w:ascii="宋体" w:hAnsi="宋体"/>
                <w:szCs w:val="22"/>
              </w:rPr>
              <w:t xml:space="preserve"> K</w:t>
            </w:r>
            <w:r>
              <w:rPr>
                <w:rFonts w:hint="eastAsia" w:ascii="宋体" w:hAnsi="宋体"/>
                <w:szCs w:val="22"/>
              </w:rPr>
              <w:t>相分离器</w:t>
            </w:r>
            <w:r>
              <w:rPr>
                <w:rFonts w:ascii="宋体" w:hAnsi="宋体"/>
                <w:szCs w:val="22"/>
              </w:rPr>
              <w:t>并配有相应接口。其设计压力、设计形式和接口应符合技术规格书7.9小节的设计要求。具体要求详见技术规格书7.9小节。</w:t>
            </w:r>
            <w:bookmarkEnd w:id="87"/>
          </w:p>
        </w:tc>
      </w:tr>
      <w:tr w14:paraId="4201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A20B08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32108B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557BD2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3</w:t>
            </w:r>
            <w:r>
              <w:rPr>
                <w:rFonts w:ascii="宋体" w:hAnsi="宋体"/>
                <w:szCs w:val="22"/>
              </w:rPr>
              <w:t xml:space="preserve">. </w:t>
            </w:r>
            <w:bookmarkStart w:id="88" w:name="_Hlk222821967"/>
            <w:r>
              <w:rPr>
                <w:rFonts w:ascii="宋体" w:hAnsi="宋体"/>
                <w:szCs w:val="22"/>
              </w:rPr>
              <w:t>冷箱内部需要安装电加热器，满足各种模式验收和运行需求。安装位置及相关设计应符合技术规格书7.10小节的设计要求。具体要求详见技术规格书7.10小节。</w:t>
            </w:r>
            <w:bookmarkEnd w:id="88"/>
          </w:p>
        </w:tc>
      </w:tr>
      <w:tr w14:paraId="04906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81CDE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68B21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27EC67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4</w:t>
            </w:r>
            <w:r>
              <w:rPr>
                <w:rFonts w:ascii="宋体" w:hAnsi="宋体"/>
                <w:szCs w:val="22"/>
              </w:rPr>
              <w:t xml:space="preserve">. </w:t>
            </w:r>
            <w:bookmarkStart w:id="89" w:name="_Hlk222821977"/>
            <w:r>
              <w:rPr>
                <w:rFonts w:ascii="宋体" w:hAnsi="宋体"/>
                <w:szCs w:val="22"/>
              </w:rPr>
              <w:t>冷箱上与压缩机站相连接的接口管道应留有隔断阀、减压阀、就地的压力表、压力变送器和安全阀以及末端焊接接口。</w:t>
            </w:r>
            <w:r>
              <w:rPr>
                <w:rFonts w:hint="eastAsia" w:ascii="宋体" w:hAnsi="宋体"/>
                <w:szCs w:val="22"/>
              </w:rPr>
              <w:t>常规设计模式下，</w:t>
            </w:r>
            <w:r>
              <w:rPr>
                <w:rFonts w:ascii="宋体" w:hAnsi="宋体"/>
                <w:szCs w:val="22"/>
              </w:rPr>
              <w:t>接口管道的尺寸需要按压降要求</w:t>
            </w:r>
            <w:r>
              <w:rPr>
                <w:rFonts w:hint="eastAsia" w:ascii="宋体" w:hAnsi="宋体"/>
                <w:szCs w:val="22"/>
              </w:rPr>
              <w:t>不超过低压管道供气绝对压力值的2%，不超过高压管道供气绝对压力值的0.5%，不超过中压管道供气绝对压力值的1%，不超过负压管道供气压力绝对值的1%。</w:t>
            </w:r>
            <w:r>
              <w:rPr>
                <w:rFonts w:ascii="宋体" w:hAnsi="宋体"/>
                <w:szCs w:val="22"/>
              </w:rPr>
              <w:t>相关设计要求应符合技术规格书7.11.1小节的设计要求。具体要求详见技术规格书7.11.1小节。</w:t>
            </w:r>
            <w:bookmarkEnd w:id="89"/>
          </w:p>
        </w:tc>
      </w:tr>
      <w:tr w14:paraId="503B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346C50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D014E3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623A34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ascii="宋体" w:hAnsi="宋体"/>
                <w:szCs w:val="22"/>
              </w:rPr>
              <w:t>5</w:t>
            </w:r>
            <w:r>
              <w:rPr>
                <w:rFonts w:hint="eastAsia" w:ascii="宋体" w:hAnsi="宋体"/>
                <w:szCs w:val="22"/>
              </w:rPr>
              <w:t>5</w:t>
            </w:r>
            <w:r>
              <w:rPr>
                <w:rFonts w:ascii="宋体" w:hAnsi="宋体"/>
                <w:szCs w:val="22"/>
              </w:rPr>
              <w:t xml:space="preserve">. </w:t>
            </w:r>
            <w:bookmarkStart w:id="90" w:name="_Hlk222821986"/>
            <w:r>
              <w:rPr>
                <w:rFonts w:hint="eastAsia" w:ascii="宋体" w:hAnsi="宋体"/>
                <w:szCs w:val="22"/>
              </w:rPr>
              <w:t>在设计冷箱上与低温分配系统相连接的接口时，冷箱的真空容器应配备一个多通道接口用于低温分配系统（CDS）和冷箱连接，</w:t>
            </w:r>
            <w:r>
              <w:rPr>
                <w:rFonts w:ascii="宋体" w:hAnsi="宋体"/>
                <w:szCs w:val="22"/>
              </w:rPr>
              <w:t>包括4.5 K供、8 K回、40 K供</w:t>
            </w:r>
            <w:r>
              <w:rPr>
                <w:rFonts w:hint="eastAsia" w:ascii="宋体" w:hAnsi="宋体"/>
                <w:szCs w:val="22"/>
              </w:rPr>
              <w:t>、</w:t>
            </w:r>
            <w:r>
              <w:rPr>
                <w:rFonts w:ascii="宋体" w:hAnsi="宋体"/>
                <w:szCs w:val="22"/>
              </w:rPr>
              <w:t>80 K回</w:t>
            </w:r>
            <w:r>
              <w:rPr>
                <w:rFonts w:hint="eastAsia" w:ascii="宋体" w:hAnsi="宋体"/>
                <w:szCs w:val="22"/>
              </w:rPr>
              <w:t>及2</w:t>
            </w:r>
            <w:r>
              <w:rPr>
                <w:rFonts w:ascii="宋体" w:hAnsi="宋体"/>
                <w:szCs w:val="22"/>
              </w:rPr>
              <w:t>K</w:t>
            </w:r>
            <w:r>
              <w:rPr>
                <w:rFonts w:hint="eastAsia" w:ascii="宋体" w:hAnsi="宋体"/>
                <w:szCs w:val="22"/>
              </w:rPr>
              <w:t>回</w:t>
            </w:r>
            <w:r>
              <w:rPr>
                <w:rFonts w:ascii="宋体" w:hAnsi="宋体"/>
                <w:szCs w:val="22"/>
              </w:rPr>
              <w:t>流管线</w:t>
            </w:r>
            <w:r>
              <w:rPr>
                <w:rFonts w:hint="eastAsia" w:ascii="宋体" w:hAnsi="宋体"/>
                <w:szCs w:val="22"/>
              </w:rPr>
              <w:t>。为便于连接，冷端应垂直于真空容器，方向向上。</w:t>
            </w:r>
            <w:r>
              <w:rPr>
                <w:rFonts w:ascii="宋体" w:hAnsi="宋体"/>
                <w:szCs w:val="22"/>
              </w:rPr>
              <w:t>上述所有管线都应各自配备远程操作控制阀用以将冷箱与分配系统断开。相关接口的尺寸、阀门、结构设计应符合技术规格书7.11.2小节的设计要求。</w:t>
            </w:r>
            <w:bookmarkEnd w:id="90"/>
          </w:p>
        </w:tc>
      </w:tr>
      <w:tr w14:paraId="7C61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797213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BE156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EB1F71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6</w:t>
            </w:r>
            <w:r>
              <w:rPr>
                <w:rFonts w:ascii="宋体" w:hAnsi="宋体"/>
                <w:szCs w:val="22"/>
              </w:rPr>
              <w:t xml:space="preserve">. </w:t>
            </w:r>
            <w:bookmarkStart w:id="91" w:name="_Hlk222821995"/>
            <w:r>
              <w:rPr>
                <w:rFonts w:ascii="宋体" w:hAnsi="宋体"/>
                <w:szCs w:val="22"/>
              </w:rPr>
              <w:t>冷箱与液氦储罐、室温加热器、液氮供应及出口</w:t>
            </w:r>
            <w:r>
              <w:rPr>
                <w:rFonts w:hint="eastAsia" w:ascii="宋体" w:hAnsi="宋体"/>
                <w:szCs w:val="22"/>
              </w:rPr>
              <w:t>、气体分析仪</w:t>
            </w:r>
            <w:r>
              <w:rPr>
                <w:rFonts w:ascii="宋体" w:hAnsi="宋体"/>
                <w:szCs w:val="22"/>
              </w:rPr>
              <w:t>的接口和连接管道应兼顾各种运行模式要求，且整体接口的尺寸、阀门、结构设计应符合技术规格书7.11.3-7.11.6小节的设计要求。具体要求详见技术规格书7.11.3-7.11.6小节。</w:t>
            </w:r>
            <w:bookmarkEnd w:id="91"/>
          </w:p>
        </w:tc>
      </w:tr>
      <w:tr w14:paraId="13E7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9485F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88ABA2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D132E6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57</w:t>
            </w:r>
            <w:r>
              <w:rPr>
                <w:rFonts w:ascii="宋体" w:hAnsi="宋体"/>
                <w:szCs w:val="22"/>
              </w:rPr>
              <w:t xml:space="preserve">. </w:t>
            </w:r>
            <w:bookmarkStart w:id="92" w:name="_Hlk222822020"/>
            <w:r>
              <w:rPr>
                <w:rFonts w:ascii="宋体" w:hAnsi="宋体"/>
                <w:szCs w:val="22"/>
              </w:rPr>
              <w:t>冷箱的真空</w:t>
            </w:r>
            <w:r>
              <w:rPr>
                <w:rFonts w:hint="eastAsia" w:ascii="宋体" w:hAnsi="宋体"/>
                <w:szCs w:val="22"/>
              </w:rPr>
              <w:t>绝热系统设计</w:t>
            </w:r>
            <w:r>
              <w:rPr>
                <w:rFonts w:ascii="宋体" w:hAnsi="宋体"/>
                <w:szCs w:val="22"/>
              </w:rPr>
              <w:t>应符合技术规格书7.</w:t>
            </w:r>
            <w:r>
              <w:rPr>
                <w:rFonts w:hint="eastAsia" w:ascii="宋体" w:hAnsi="宋体"/>
                <w:szCs w:val="22"/>
              </w:rPr>
              <w:t>13</w:t>
            </w:r>
            <w:r>
              <w:rPr>
                <w:rFonts w:ascii="宋体" w:hAnsi="宋体"/>
                <w:szCs w:val="22"/>
              </w:rPr>
              <w:t>小节的设计要求。</w:t>
            </w:r>
            <w:bookmarkEnd w:id="92"/>
          </w:p>
        </w:tc>
      </w:tr>
      <w:tr w14:paraId="29B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F5EE79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6E840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6F6161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58</w:t>
            </w:r>
            <w:r>
              <w:rPr>
                <w:rFonts w:ascii="宋体" w:hAnsi="宋体"/>
                <w:color w:val="000000"/>
                <w:szCs w:val="22"/>
              </w:rPr>
              <w:t xml:space="preserve">. </w:t>
            </w:r>
            <w:bookmarkStart w:id="93" w:name="_Hlk222822037"/>
            <w:r>
              <w:rPr>
                <w:rFonts w:ascii="宋体" w:hAnsi="宋体"/>
                <w:color w:val="000000"/>
                <w:szCs w:val="22"/>
              </w:rPr>
              <w:t>冷箱应配有独立的置换系统</w:t>
            </w:r>
            <w:r>
              <w:rPr>
                <w:rFonts w:ascii="宋体" w:hAnsi="宋体"/>
                <w:szCs w:val="22"/>
              </w:rPr>
              <w:t>并配有提供完整的抽空和置换说明。</w:t>
            </w:r>
            <w:r>
              <w:rPr>
                <w:rFonts w:ascii="宋体" w:hAnsi="宋体"/>
                <w:color w:val="000000"/>
                <w:szCs w:val="22"/>
              </w:rPr>
              <w:t>相应的技术要求应符合</w:t>
            </w:r>
            <w:r>
              <w:rPr>
                <w:rFonts w:ascii="宋体" w:hAnsi="宋体"/>
                <w:szCs w:val="22"/>
              </w:rPr>
              <w:t>技术规格书7.1</w:t>
            </w:r>
            <w:r>
              <w:rPr>
                <w:rFonts w:hint="eastAsia" w:ascii="宋体" w:hAnsi="宋体"/>
                <w:szCs w:val="22"/>
              </w:rPr>
              <w:t>4</w:t>
            </w:r>
            <w:r>
              <w:rPr>
                <w:rFonts w:ascii="宋体" w:hAnsi="宋体"/>
                <w:szCs w:val="22"/>
              </w:rPr>
              <w:t>小节要求。具体设计要求详见附件技术规格书7.1</w:t>
            </w:r>
            <w:r>
              <w:rPr>
                <w:rFonts w:hint="eastAsia" w:ascii="宋体" w:hAnsi="宋体"/>
                <w:szCs w:val="22"/>
              </w:rPr>
              <w:t>4</w:t>
            </w:r>
            <w:r>
              <w:rPr>
                <w:rFonts w:ascii="宋体" w:hAnsi="宋体"/>
                <w:szCs w:val="22"/>
              </w:rPr>
              <w:t>小节。</w:t>
            </w:r>
            <w:bookmarkEnd w:id="93"/>
          </w:p>
        </w:tc>
      </w:tr>
      <w:tr w14:paraId="2BF8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E69278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31EFA6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67830E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59</w:t>
            </w:r>
            <w:r>
              <w:rPr>
                <w:rFonts w:ascii="宋体" w:hAnsi="宋体"/>
                <w:color w:val="000000"/>
                <w:szCs w:val="22"/>
              </w:rPr>
              <w:t>.</w:t>
            </w:r>
            <w:r>
              <w:rPr>
                <w:rFonts w:ascii="宋体" w:hAnsi="宋体"/>
                <w:szCs w:val="22"/>
              </w:rPr>
              <w:t xml:space="preserve"> </w:t>
            </w:r>
            <w:bookmarkStart w:id="94" w:name="_Hlk222822048"/>
            <w:r>
              <w:rPr>
                <w:rFonts w:ascii="宋体" w:hAnsi="宋体"/>
                <w:color w:val="000000"/>
                <w:szCs w:val="22"/>
              </w:rPr>
              <w:t>冷箱的所有封闭容积应通过安全阀防止超压。保护高于大气压力回路的安全阀出口应尽可能连接到公共总管中，该总管应连接到大气。安全阀选型和管路结构设计</w:t>
            </w:r>
            <w:r>
              <w:rPr>
                <w:rFonts w:ascii="宋体" w:hAnsi="宋体"/>
                <w:szCs w:val="22"/>
              </w:rPr>
              <w:t>应符合技术规格书7.1</w:t>
            </w:r>
            <w:r>
              <w:rPr>
                <w:rFonts w:hint="eastAsia" w:ascii="宋体" w:hAnsi="宋体"/>
                <w:szCs w:val="22"/>
              </w:rPr>
              <w:t>5</w:t>
            </w:r>
            <w:r>
              <w:rPr>
                <w:rFonts w:ascii="宋体" w:hAnsi="宋体"/>
                <w:szCs w:val="22"/>
              </w:rPr>
              <w:t>小节要求。具体设计要求详见附件技术规格书7.1</w:t>
            </w:r>
            <w:r>
              <w:rPr>
                <w:rFonts w:hint="eastAsia" w:ascii="宋体" w:hAnsi="宋体"/>
                <w:szCs w:val="22"/>
              </w:rPr>
              <w:t>5</w:t>
            </w:r>
            <w:r>
              <w:rPr>
                <w:rFonts w:ascii="宋体" w:hAnsi="宋体"/>
                <w:szCs w:val="22"/>
              </w:rPr>
              <w:t>小节。</w:t>
            </w:r>
            <w:bookmarkEnd w:id="94"/>
          </w:p>
        </w:tc>
      </w:tr>
      <w:tr w14:paraId="52D9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7EAD3B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6C859A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F23935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6</w:t>
            </w:r>
            <w:r>
              <w:rPr>
                <w:rFonts w:hint="eastAsia" w:ascii="宋体" w:hAnsi="宋体"/>
                <w:szCs w:val="22"/>
              </w:rPr>
              <w:t>0.</w:t>
            </w:r>
            <w:r>
              <w:rPr>
                <w:rFonts w:ascii="宋体" w:hAnsi="宋体"/>
                <w:szCs w:val="22"/>
              </w:rPr>
              <w:t xml:space="preserve"> </w:t>
            </w:r>
            <w:bookmarkStart w:id="95" w:name="_Hlk222822057"/>
            <w:r>
              <w:rPr>
                <w:rFonts w:hint="eastAsia" w:ascii="宋体" w:hAnsi="宋体"/>
                <w:szCs w:val="22"/>
              </w:rPr>
              <w:t>产品制造商</w:t>
            </w:r>
            <w:r>
              <w:rPr>
                <w:rFonts w:ascii="宋体" w:hAnsi="宋体"/>
                <w:szCs w:val="22"/>
              </w:rPr>
              <w:t>应确保冷箱系统在所有运行模式（包括验收试验、保护、控制和联锁）下有采集和测量手段用于监测其运行状态。冷箱系统中需要采集并记录到控制系统的测量点位布置要满足技术规格书7.1</w:t>
            </w:r>
            <w:r>
              <w:rPr>
                <w:rFonts w:hint="eastAsia" w:ascii="宋体" w:hAnsi="宋体"/>
                <w:szCs w:val="22"/>
              </w:rPr>
              <w:t>6</w:t>
            </w:r>
            <w:r>
              <w:rPr>
                <w:rFonts w:ascii="宋体" w:hAnsi="宋体"/>
                <w:szCs w:val="22"/>
              </w:rPr>
              <w:t>.1小节要求，本地测点应符合7.1</w:t>
            </w:r>
            <w:r>
              <w:rPr>
                <w:rFonts w:hint="eastAsia" w:ascii="宋体" w:hAnsi="宋体"/>
                <w:szCs w:val="22"/>
              </w:rPr>
              <w:t>6</w:t>
            </w:r>
            <w:r>
              <w:rPr>
                <w:rFonts w:ascii="宋体" w:hAnsi="宋体"/>
                <w:szCs w:val="22"/>
              </w:rPr>
              <w:t>.2小节要求。具体设计要求详见附件技术规格书7.1</w:t>
            </w:r>
            <w:r>
              <w:rPr>
                <w:rFonts w:hint="eastAsia" w:ascii="宋体" w:hAnsi="宋体"/>
                <w:szCs w:val="22"/>
              </w:rPr>
              <w:t>6</w:t>
            </w:r>
            <w:r>
              <w:rPr>
                <w:rFonts w:ascii="宋体" w:hAnsi="宋体"/>
                <w:szCs w:val="22"/>
              </w:rPr>
              <w:t>小节。</w:t>
            </w:r>
            <w:bookmarkEnd w:id="95"/>
          </w:p>
        </w:tc>
      </w:tr>
      <w:tr w14:paraId="491B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F8A6E8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CBFE0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80EC15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6</w:t>
            </w:r>
            <w:r>
              <w:rPr>
                <w:rFonts w:hint="eastAsia" w:ascii="宋体" w:hAnsi="宋体"/>
                <w:szCs w:val="22"/>
              </w:rPr>
              <w:t>1</w:t>
            </w:r>
            <w:r>
              <w:rPr>
                <w:rFonts w:ascii="宋体" w:hAnsi="宋体"/>
                <w:szCs w:val="22"/>
              </w:rPr>
              <w:t>.</w:t>
            </w:r>
            <w:bookmarkStart w:id="96" w:name="_Hlk222822069"/>
            <w:r>
              <w:rPr>
                <w:rFonts w:hint="eastAsia" w:ascii="宋体" w:hAnsi="宋体"/>
                <w:szCs w:val="22"/>
              </w:rPr>
              <w:t xml:space="preserve"> </w:t>
            </w:r>
            <w:r>
              <w:rPr>
                <w:rFonts w:ascii="宋体" w:hAnsi="宋体"/>
                <w:szCs w:val="22"/>
              </w:rPr>
              <w:t>投标人所提供的冷箱以及组件应保证密封性，符合技术规格书7.1</w:t>
            </w:r>
            <w:r>
              <w:rPr>
                <w:rFonts w:hint="eastAsia" w:ascii="宋体" w:hAnsi="宋体"/>
                <w:szCs w:val="22"/>
              </w:rPr>
              <w:t>7</w:t>
            </w:r>
            <w:r>
              <w:rPr>
                <w:rFonts w:ascii="宋体" w:hAnsi="宋体"/>
                <w:szCs w:val="22"/>
              </w:rPr>
              <w:t>小节指标要求。具体设计要求详见附件技术规格书7.1</w:t>
            </w:r>
            <w:r>
              <w:rPr>
                <w:rFonts w:hint="eastAsia" w:ascii="宋体" w:hAnsi="宋体"/>
                <w:szCs w:val="22"/>
              </w:rPr>
              <w:t>7</w:t>
            </w:r>
            <w:r>
              <w:rPr>
                <w:rFonts w:ascii="宋体" w:hAnsi="宋体"/>
                <w:szCs w:val="22"/>
              </w:rPr>
              <w:t>小节。</w:t>
            </w:r>
            <w:bookmarkEnd w:id="96"/>
          </w:p>
        </w:tc>
      </w:tr>
      <w:tr w14:paraId="44AB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AF793B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6E9F17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7E198A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szCs w:val="22"/>
              </w:rPr>
              <w:t>▲62</w:t>
            </w:r>
            <w:r>
              <w:rPr>
                <w:rFonts w:ascii="宋体" w:hAnsi="宋体"/>
                <w:szCs w:val="22"/>
              </w:rPr>
              <w:t xml:space="preserve">. </w:t>
            </w:r>
            <w:bookmarkStart w:id="97" w:name="_Hlk222822306"/>
            <w:r>
              <w:rPr>
                <w:rFonts w:hint="eastAsia" w:ascii="宋体" w:hAnsi="宋体"/>
                <w:szCs w:val="22"/>
              </w:rPr>
              <w:t>在设计冷箱时应考虑制冷机各种模式的整体验收的方案，测试过程中，温度、压力、流量应满足测试运行模式下的设计值。整体流程、阀门、测量点位设计应符合技术规格书7.18小节的设计要求</w:t>
            </w:r>
            <w:r>
              <w:rPr>
                <w:rFonts w:hint="eastAsia" w:ascii="宋体" w:hAnsi="宋体"/>
                <w:b/>
                <w:bCs/>
                <w:color w:val="EE0000"/>
                <w:szCs w:val="22"/>
              </w:rPr>
              <w:t>。</w:t>
            </w:r>
            <w:bookmarkEnd w:id="97"/>
          </w:p>
        </w:tc>
      </w:tr>
      <w:tr w14:paraId="54F4D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66B41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BCAB29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A316B7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szCs w:val="22"/>
              </w:rPr>
              <w:t>▲</w:t>
            </w:r>
            <w:r>
              <w:rPr>
                <w:rFonts w:hint="eastAsia" w:ascii="宋体" w:hAnsi="宋体"/>
                <w:color w:val="000000"/>
                <w:szCs w:val="22"/>
              </w:rPr>
              <w:t>63. 投标人应提供冷箱与液氦储罐连接所需的接口</w:t>
            </w:r>
            <w:r>
              <w:rPr>
                <w:rFonts w:ascii="宋体" w:hAnsi="宋体"/>
                <w:color w:val="000000"/>
                <w:szCs w:val="22"/>
              </w:rPr>
              <w:t>条件及设计资料，接口应满足</w:t>
            </w:r>
            <w:r>
              <w:rPr>
                <w:rFonts w:hint="eastAsia" w:ascii="宋体" w:hAnsi="宋体"/>
                <w:color w:val="000000"/>
                <w:szCs w:val="22"/>
              </w:rPr>
              <w:t>技术规格书8.2小节的要求</w:t>
            </w:r>
            <w:r>
              <w:rPr>
                <w:rFonts w:ascii="宋体" w:hAnsi="宋体"/>
                <w:color w:val="000000"/>
                <w:szCs w:val="22"/>
              </w:rPr>
              <w:t>。</w:t>
            </w:r>
            <w:r>
              <w:rPr>
                <w:rFonts w:hint="eastAsia" w:ascii="宋体" w:hAnsi="宋体"/>
                <w:color w:val="000000"/>
                <w:szCs w:val="22"/>
              </w:rPr>
              <w:t>投标人</w:t>
            </w:r>
            <w:r>
              <w:rPr>
                <w:rFonts w:ascii="宋体" w:hAnsi="宋体"/>
                <w:color w:val="000000"/>
                <w:szCs w:val="22"/>
              </w:rPr>
              <w:t>应协助审查储罐及传输管线设计，确认与ACCP的兼容性，完成所需控制信号接口，</w:t>
            </w:r>
            <w:r>
              <w:rPr>
                <w:rFonts w:hint="eastAsia" w:ascii="宋体" w:hAnsi="宋体"/>
                <w:color w:val="000000"/>
                <w:szCs w:val="22"/>
              </w:rPr>
              <w:t>控制接口应满足技术规格书8.3小节的要求。</w:t>
            </w:r>
            <w:r>
              <w:rPr>
                <w:rFonts w:ascii="宋体" w:hAnsi="宋体"/>
                <w:color w:val="000000"/>
                <w:szCs w:val="22"/>
              </w:rPr>
              <w:t>并配合现场连接、检漏、置换、首次充液及联合调试</w:t>
            </w:r>
            <w:r>
              <w:rPr>
                <w:rFonts w:hint="eastAsia" w:ascii="宋体" w:hAnsi="宋体"/>
                <w:color w:val="000000"/>
                <w:szCs w:val="22"/>
              </w:rPr>
              <w:t>，并提供必要技术支持</w:t>
            </w:r>
            <w:r>
              <w:rPr>
                <w:rFonts w:ascii="宋体" w:hAnsi="宋体"/>
                <w:color w:val="000000"/>
                <w:szCs w:val="22"/>
              </w:rPr>
              <w:t>。</w:t>
            </w:r>
          </w:p>
        </w:tc>
      </w:tr>
      <w:tr w14:paraId="5ED9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F2A451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3A84D9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AB50DA5">
            <w:pPr>
              <w:keepNext w:val="0"/>
              <w:keepLines w:val="0"/>
              <w:pageBreakBefore w:val="0"/>
              <w:widowControl w:val="0"/>
              <w:kinsoku/>
              <w:wordWrap/>
              <w:overflowPunct/>
              <w:topLinePunct w:val="0"/>
              <w:autoSpaceDE/>
              <w:autoSpaceDN/>
              <w:bidi w:val="0"/>
              <w:adjustRightInd w:val="0"/>
              <w:snapToGrid w:val="0"/>
              <w:textAlignment w:val="auto"/>
              <w:rPr>
                <w:color w:val="000000"/>
                <w:szCs w:val="22"/>
              </w:rPr>
            </w:pPr>
            <w:bookmarkStart w:id="98" w:name="_Hlk222822337"/>
            <w:r>
              <w:rPr>
                <w:rFonts w:hint="eastAsia" w:ascii="宋体" w:hAnsi="宋体"/>
                <w:szCs w:val="22"/>
              </w:rPr>
              <w:t>▲</w:t>
            </w:r>
            <w:r>
              <w:rPr>
                <w:rFonts w:ascii="宋体" w:hAnsi="宋体"/>
                <w:color w:val="000000"/>
                <w:szCs w:val="22"/>
              </w:rPr>
              <w:t>6</w:t>
            </w:r>
            <w:r>
              <w:rPr>
                <w:rFonts w:hint="eastAsia" w:ascii="宋体" w:hAnsi="宋体"/>
                <w:color w:val="000000"/>
                <w:szCs w:val="22"/>
              </w:rPr>
              <w:t>4</w:t>
            </w:r>
            <w:r>
              <w:rPr>
                <w:rFonts w:ascii="宋体" w:hAnsi="宋体"/>
                <w:color w:val="000000"/>
                <w:szCs w:val="22"/>
              </w:rPr>
              <w:t>.</w:t>
            </w:r>
            <w:r>
              <w:rPr>
                <w:rFonts w:hint="eastAsia" w:ascii="宋体" w:hAnsi="宋体"/>
                <w:color w:val="000000"/>
                <w:szCs w:val="22"/>
              </w:rPr>
              <w:t xml:space="preserve"> </w:t>
            </w:r>
            <w:r>
              <w:rPr>
                <w:rFonts w:hint="eastAsia" w:ascii="宋体" w:hAnsi="宋体"/>
                <w:szCs w:val="22"/>
              </w:rPr>
              <w:t>投标人</w:t>
            </w:r>
            <w:r>
              <w:rPr>
                <w:rFonts w:hint="eastAsia"/>
                <w:color w:val="000000"/>
                <w:szCs w:val="22"/>
              </w:rPr>
              <w:t>应提供所有必要的硬件、软件和文件，以进行检查、调试、验收、故障排除和维护所有由投标人提供的设备。控制系统应优先采用市场主流、成熟可靠且便于长期维护的工业控制方案。</w:t>
            </w:r>
            <w:bookmarkEnd w:id="98"/>
          </w:p>
        </w:tc>
      </w:tr>
      <w:tr w14:paraId="2D3A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DE56E8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5CED9E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B8A8C73">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bookmarkStart w:id="99" w:name="_Hlk222822345"/>
            <w:r>
              <w:rPr>
                <w:rFonts w:hint="eastAsia" w:ascii="宋体" w:hAnsi="宋体"/>
                <w:szCs w:val="22"/>
              </w:rPr>
              <w:t>▲</w:t>
            </w:r>
            <w:r>
              <w:rPr>
                <w:rFonts w:ascii="宋体" w:hAnsi="宋体"/>
                <w:color w:val="000000"/>
                <w:szCs w:val="22"/>
              </w:rPr>
              <w:t>6</w:t>
            </w:r>
            <w:r>
              <w:rPr>
                <w:rFonts w:hint="eastAsia" w:ascii="宋体" w:hAnsi="宋体"/>
                <w:color w:val="000000"/>
                <w:szCs w:val="22"/>
              </w:rPr>
              <w:t>5</w:t>
            </w:r>
            <w:r>
              <w:rPr>
                <w:rFonts w:ascii="宋体" w:hAnsi="宋体"/>
                <w:color w:val="000000"/>
                <w:szCs w:val="22"/>
              </w:rPr>
              <w:t>.</w:t>
            </w:r>
            <w:r>
              <w:rPr>
                <w:rFonts w:hint="eastAsia"/>
                <w:color w:val="000000"/>
                <w:szCs w:val="22"/>
              </w:rPr>
              <w:t xml:space="preserve"> 仪表和控制设备应允许 ACCP 自动、无人值守地长期连续运行，并支持远程控制。控制系统和/或水、电、气等工艺公用设施发生故障时，所有设备应具有自保护功能，并进入预定安全状态。</w:t>
            </w:r>
            <w:bookmarkEnd w:id="99"/>
            <w:r>
              <w:rPr>
                <w:rFonts w:hint="eastAsia"/>
                <w:color w:val="000000"/>
                <w:szCs w:val="22"/>
              </w:rPr>
              <w:t>ACCP 控制系统应采用以 PLC 为核心的控制架构。应协助 IASF 完成数据传输程序功能的开发和调试。传输至总控制器的数据应包括运行所需的全部 I/O 信号点、报警与联锁设定参数及状态数据，以及系统和设备运行状态数据。操作指令应从总控制器传输至ACCP制冷机控制系统。</w:t>
            </w:r>
          </w:p>
        </w:tc>
      </w:tr>
      <w:tr w14:paraId="44CA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4A282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96701A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FB66EED">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b/>
                <w:bCs/>
                <w:color w:val="FF0000"/>
                <w:szCs w:val="22"/>
              </w:rPr>
              <w:t>▲</w:t>
            </w:r>
            <w:r>
              <w:rPr>
                <w:rFonts w:ascii="宋体" w:hAnsi="宋体"/>
                <w:b/>
                <w:bCs/>
                <w:color w:val="FF0000"/>
                <w:szCs w:val="22"/>
              </w:rPr>
              <w:t>6</w:t>
            </w:r>
            <w:r>
              <w:rPr>
                <w:rFonts w:hint="eastAsia" w:ascii="宋体" w:hAnsi="宋体"/>
                <w:b/>
                <w:bCs/>
                <w:color w:val="FF0000"/>
                <w:szCs w:val="22"/>
              </w:rPr>
              <w:t>6</w:t>
            </w:r>
            <w:r>
              <w:rPr>
                <w:rFonts w:ascii="宋体" w:hAnsi="宋体"/>
                <w:b/>
                <w:bCs/>
                <w:color w:val="FF0000"/>
                <w:szCs w:val="22"/>
              </w:rPr>
              <w:t xml:space="preserve">. </w:t>
            </w:r>
            <w:bookmarkStart w:id="100" w:name="_Hlk222822352"/>
            <w:r>
              <w:rPr>
                <w:rFonts w:ascii="宋体" w:hAnsi="宋体"/>
                <w:b/>
                <w:bCs/>
                <w:color w:val="FF0000"/>
                <w:szCs w:val="22"/>
              </w:rPr>
              <w:t>PLC软件代码应有适当的文档记录。</w:t>
            </w:r>
            <w:bookmarkEnd w:id="100"/>
            <w:r>
              <w:rPr>
                <w:rFonts w:hint="eastAsia" w:ascii="宋体" w:hAnsi="宋体"/>
                <w:b/>
                <w:bCs/>
                <w:color w:val="FF0000"/>
                <w:szCs w:val="22"/>
              </w:rPr>
              <w:t>运行源代码应提供给IASF。核心设备制造商的专有控制代码如无法开放，投标时，投标人应在投标文件中明确列出拟排除的代码范围说明（格式自拟）。</w:t>
            </w:r>
          </w:p>
        </w:tc>
      </w:tr>
      <w:tr w14:paraId="7985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6C86D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21C1FF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C03D16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bookmarkStart w:id="101" w:name="_Hlk222822360"/>
            <w:r>
              <w:rPr>
                <w:rFonts w:hint="eastAsia" w:ascii="宋体" w:hAnsi="宋体"/>
                <w:color w:val="000000"/>
                <w:szCs w:val="22"/>
              </w:rPr>
              <w:t xml:space="preserve">67. </w:t>
            </w:r>
            <w:bookmarkEnd w:id="101"/>
            <w:r>
              <w:rPr>
                <w:rFonts w:hint="eastAsia"/>
                <w:color w:val="000000"/>
                <w:szCs w:val="22"/>
              </w:rPr>
              <w:t>应提供 ACCP 控制逻辑的功能分析（FA）文件，说明主要运行模式、顺序控制、控制回路、许可条件、报警、联锁、停机逻辑和故障处理原则等。该文件应在逻辑设计评审阶段提交 IASF 审查。</w:t>
            </w:r>
          </w:p>
        </w:tc>
      </w:tr>
      <w:tr w14:paraId="3F4E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365F75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9CEB70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A5022A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bookmarkStart w:id="102" w:name="_Hlk222822366"/>
            <w:r>
              <w:rPr>
                <w:rFonts w:hint="eastAsia" w:ascii="宋体" w:hAnsi="宋体"/>
                <w:color w:val="000000"/>
                <w:szCs w:val="22"/>
              </w:rPr>
              <w:t>68</w:t>
            </w:r>
            <w:r>
              <w:rPr>
                <w:rFonts w:ascii="宋体" w:hAnsi="宋体"/>
                <w:color w:val="000000"/>
                <w:szCs w:val="22"/>
              </w:rPr>
              <w:t>.</w:t>
            </w:r>
            <w:r>
              <w:rPr>
                <w:rFonts w:hint="eastAsia"/>
                <w:color w:val="000000"/>
                <w:szCs w:val="22"/>
              </w:rPr>
              <w:t xml:space="preserve"> </w:t>
            </w:r>
            <w:r>
              <w:rPr>
                <w:color w:val="000000"/>
                <w:szCs w:val="22"/>
              </w:rPr>
              <w:t>报警、联锁和停机逻辑应在设计阶段形成清单。清单应至少包括信号来源、触发条件、限值、动作结果、复位条件和操作员措施。</w:t>
            </w:r>
            <w:bookmarkEnd w:id="102"/>
          </w:p>
        </w:tc>
      </w:tr>
      <w:tr w14:paraId="5ACF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CC1E61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5A44C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B1AB64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EE0000"/>
                <w:szCs w:val="22"/>
              </w:rPr>
            </w:pPr>
            <w:r>
              <w:rPr>
                <w:rFonts w:hint="eastAsia" w:ascii="宋体" w:hAnsi="宋体"/>
                <w:color w:val="000000"/>
                <w:szCs w:val="22"/>
              </w:rPr>
              <w:t>69</w:t>
            </w:r>
            <w:r>
              <w:rPr>
                <w:rFonts w:ascii="宋体" w:hAnsi="宋体"/>
                <w:color w:val="000000"/>
                <w:szCs w:val="22"/>
              </w:rPr>
              <w:t xml:space="preserve">. </w:t>
            </w:r>
            <w:bookmarkStart w:id="103" w:name="_Hlk222822378"/>
            <w:r>
              <w:rPr>
                <w:rFonts w:hint="eastAsia"/>
                <w:color w:val="000000"/>
                <w:szCs w:val="22"/>
              </w:rPr>
              <w:t>PLC 程序应具有清晰的结构和必要注释，便于调试、维护和故障排查。产品制造商应在设计阶段提交控制逻辑说明、控制回路清单、报警联锁清单和主要顺控说明，</w:t>
            </w:r>
            <w:bookmarkEnd w:id="103"/>
          </w:p>
        </w:tc>
      </w:tr>
      <w:tr w14:paraId="6EFC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2AA6F5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F7E881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438B81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w:t>
            </w:r>
            <w:r>
              <w:rPr>
                <w:rFonts w:ascii="宋体" w:hAnsi="宋体"/>
                <w:color w:val="000000"/>
                <w:szCs w:val="22"/>
              </w:rPr>
              <w:t>7</w:t>
            </w:r>
            <w:r>
              <w:rPr>
                <w:rFonts w:hint="eastAsia" w:ascii="宋体" w:hAnsi="宋体"/>
                <w:color w:val="000000"/>
                <w:szCs w:val="22"/>
              </w:rPr>
              <w:t>0</w:t>
            </w:r>
            <w:r>
              <w:rPr>
                <w:rFonts w:ascii="宋体" w:hAnsi="宋体"/>
                <w:color w:val="000000"/>
                <w:szCs w:val="22"/>
              </w:rPr>
              <w:t xml:space="preserve">. </w:t>
            </w:r>
            <w:bookmarkStart w:id="104" w:name="_Hlk222822390"/>
            <w:r>
              <w:rPr>
                <w:rFonts w:hint="eastAsia" w:ascii="宋体" w:hAnsi="宋体"/>
                <w:color w:val="000000"/>
                <w:szCs w:val="22"/>
              </w:rPr>
              <w:t>ACCP应</w:t>
            </w:r>
            <w:r>
              <w:rPr>
                <w:rFonts w:ascii="宋体" w:hAnsi="宋体"/>
                <w:color w:val="000000"/>
                <w:szCs w:val="22"/>
              </w:rPr>
              <w:t>配备用于开发和监控的计算机。</w:t>
            </w:r>
            <w:r>
              <w:rPr>
                <w:rFonts w:ascii="宋体" w:hAnsi="宋体"/>
                <w:szCs w:val="22"/>
              </w:rPr>
              <w:t>具体设计要求详见附件技术规格书9.</w:t>
            </w:r>
            <w:r>
              <w:rPr>
                <w:rFonts w:hint="eastAsia" w:ascii="宋体" w:hAnsi="宋体"/>
                <w:szCs w:val="22"/>
              </w:rPr>
              <w:t>2</w:t>
            </w:r>
            <w:r>
              <w:rPr>
                <w:rFonts w:ascii="宋体" w:hAnsi="宋体"/>
                <w:szCs w:val="22"/>
              </w:rPr>
              <w:t>小节。</w:t>
            </w:r>
            <w:bookmarkEnd w:id="104"/>
          </w:p>
        </w:tc>
      </w:tr>
      <w:tr w14:paraId="2783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110D8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5E5BA01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C1AB44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1</w:t>
            </w:r>
            <w:r>
              <w:rPr>
                <w:rFonts w:ascii="宋体" w:hAnsi="宋体"/>
                <w:color w:val="000000"/>
                <w:szCs w:val="22"/>
              </w:rPr>
              <w:t xml:space="preserve">. </w:t>
            </w:r>
            <w:bookmarkStart w:id="105" w:name="_Hlk222822399"/>
            <w:r>
              <w:rPr>
                <w:rFonts w:ascii="宋体" w:hAnsi="宋体"/>
                <w:color w:val="000000"/>
                <w:szCs w:val="22"/>
              </w:rPr>
              <w:t>ACCP制冷机控制系统所用PLC可编程逻辑控制器、代码、现场总线、输入输出</w:t>
            </w:r>
            <w:r>
              <w:rPr>
                <w:rFonts w:hint="eastAsia" w:ascii="宋体" w:hAnsi="宋体"/>
                <w:color w:val="000000"/>
                <w:szCs w:val="22"/>
              </w:rPr>
              <w:t>及控制系统文件</w:t>
            </w:r>
            <w:r>
              <w:rPr>
                <w:rFonts w:ascii="宋体" w:hAnsi="宋体"/>
                <w:color w:val="000000"/>
                <w:szCs w:val="22"/>
              </w:rPr>
              <w:t>等设计要求均应满足技术规格书9.4.1-9.4.4小节要求。具体设计要求详见附件技术规格书9.4.1-9.4.4小节。</w:t>
            </w:r>
            <w:bookmarkEnd w:id="105"/>
          </w:p>
        </w:tc>
      </w:tr>
      <w:tr w14:paraId="18DC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C6EB96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ECC305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4A68283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2</w:t>
            </w:r>
            <w:r>
              <w:rPr>
                <w:rFonts w:ascii="宋体" w:hAnsi="宋体"/>
                <w:color w:val="000000"/>
                <w:szCs w:val="22"/>
              </w:rPr>
              <w:t xml:space="preserve">. </w:t>
            </w:r>
            <w:bookmarkStart w:id="106" w:name="_Hlk222822412"/>
            <w:r>
              <w:rPr>
                <w:rFonts w:ascii="宋体" w:hAnsi="宋体"/>
                <w:color w:val="000000"/>
                <w:szCs w:val="22"/>
              </w:rPr>
              <w:t>ACCP制冷机控制系统施工、调试和验收需要满足技术规格书9.5小节要求。</w:t>
            </w:r>
            <w:r>
              <w:rPr>
                <w:rFonts w:ascii="宋体" w:hAnsi="宋体"/>
                <w:szCs w:val="22"/>
              </w:rPr>
              <w:t>具体设计要求详见附件技术规格书</w:t>
            </w:r>
            <w:r>
              <w:rPr>
                <w:rFonts w:ascii="宋体" w:hAnsi="宋体"/>
                <w:color w:val="000000"/>
                <w:szCs w:val="22"/>
              </w:rPr>
              <w:t>9.5小节</w:t>
            </w:r>
            <w:r>
              <w:rPr>
                <w:rFonts w:ascii="宋体" w:hAnsi="宋体"/>
                <w:szCs w:val="22"/>
              </w:rPr>
              <w:t>。</w:t>
            </w:r>
            <w:bookmarkEnd w:id="106"/>
          </w:p>
        </w:tc>
      </w:tr>
      <w:tr w14:paraId="783E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2C4F4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8F2AC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0D78CB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3</w:t>
            </w:r>
            <w:r>
              <w:rPr>
                <w:rFonts w:ascii="宋体" w:hAnsi="宋体"/>
                <w:color w:val="000000"/>
                <w:szCs w:val="22"/>
              </w:rPr>
              <w:t xml:space="preserve">. </w:t>
            </w:r>
            <w:bookmarkStart w:id="107" w:name="_Hlk222822418"/>
            <w:r>
              <w:rPr>
                <w:rFonts w:ascii="宋体" w:hAnsi="宋体"/>
                <w:color w:val="000000"/>
                <w:szCs w:val="22"/>
              </w:rPr>
              <w:t>所有电气相关设备的材料、规范、图纸等应满足技术规格书10.1.1小节要求。</w:t>
            </w:r>
            <w:r>
              <w:rPr>
                <w:rFonts w:ascii="宋体" w:hAnsi="宋体"/>
                <w:szCs w:val="22"/>
              </w:rPr>
              <w:t>具体设计要求详见附件技术规格书</w:t>
            </w:r>
            <w:r>
              <w:rPr>
                <w:rFonts w:ascii="宋体" w:hAnsi="宋体"/>
                <w:color w:val="000000"/>
                <w:szCs w:val="22"/>
              </w:rPr>
              <w:t>10.1.1小节</w:t>
            </w:r>
            <w:r>
              <w:rPr>
                <w:rFonts w:ascii="宋体" w:hAnsi="宋体"/>
                <w:szCs w:val="22"/>
              </w:rPr>
              <w:t>。</w:t>
            </w:r>
            <w:bookmarkEnd w:id="107"/>
          </w:p>
        </w:tc>
      </w:tr>
      <w:tr w14:paraId="262E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424850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0810917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EA8A0D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szCs w:val="22"/>
              </w:rPr>
              <w:t>7</w:t>
            </w:r>
            <w:r>
              <w:rPr>
                <w:rFonts w:hint="eastAsia" w:ascii="宋体" w:hAnsi="宋体"/>
                <w:szCs w:val="22"/>
              </w:rPr>
              <w:t>4</w:t>
            </w:r>
            <w:r>
              <w:rPr>
                <w:rFonts w:ascii="宋体" w:hAnsi="宋体"/>
                <w:szCs w:val="22"/>
              </w:rPr>
              <w:t>.</w:t>
            </w:r>
            <w:r>
              <w:rPr>
                <w:rFonts w:ascii="宋体" w:hAnsi="宋体"/>
                <w:color w:val="000000"/>
                <w:szCs w:val="22"/>
              </w:rPr>
              <w:t xml:space="preserve"> </w:t>
            </w:r>
            <w:bookmarkStart w:id="108" w:name="_Hlk222822492"/>
            <w:r>
              <w:rPr>
                <w:rFonts w:ascii="宋体" w:hAnsi="宋体"/>
                <w:color w:val="000000"/>
                <w:szCs w:val="22"/>
              </w:rPr>
              <w:t>所有ACCP制冷机的电气设备应满足技术规格书10.1.2小节运行要求。</w:t>
            </w:r>
            <w:r>
              <w:rPr>
                <w:rFonts w:ascii="宋体" w:hAnsi="宋体"/>
                <w:szCs w:val="22"/>
              </w:rPr>
              <w:t>具体设计要求详见附件技术规格书</w:t>
            </w:r>
            <w:r>
              <w:rPr>
                <w:rFonts w:ascii="宋体" w:hAnsi="宋体"/>
                <w:color w:val="000000"/>
                <w:szCs w:val="22"/>
              </w:rPr>
              <w:t>10.1.2小节</w:t>
            </w:r>
            <w:r>
              <w:rPr>
                <w:rFonts w:ascii="宋体" w:hAnsi="宋体"/>
                <w:szCs w:val="22"/>
              </w:rPr>
              <w:t>。</w:t>
            </w:r>
            <w:bookmarkEnd w:id="108"/>
          </w:p>
        </w:tc>
      </w:tr>
      <w:tr w14:paraId="6B0C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3D9745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28500D1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213C22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5</w:t>
            </w:r>
            <w:r>
              <w:rPr>
                <w:rFonts w:ascii="宋体" w:hAnsi="宋体"/>
                <w:color w:val="000000"/>
                <w:szCs w:val="22"/>
              </w:rPr>
              <w:t xml:space="preserve">. </w:t>
            </w:r>
            <w:bookmarkStart w:id="109" w:name="_Hlk222822500"/>
            <w:r>
              <w:rPr>
                <w:rFonts w:ascii="宋体" w:hAnsi="宋体"/>
                <w:szCs w:val="22"/>
              </w:rPr>
              <w:t>所有</w:t>
            </w:r>
            <w:r>
              <w:rPr>
                <w:rFonts w:ascii="宋体" w:hAnsi="宋体"/>
                <w:color w:val="000000"/>
                <w:szCs w:val="22"/>
              </w:rPr>
              <w:t>ACCP制冷机控制系统电气设计应满足技术规格书10.1.3小节要求。</w:t>
            </w:r>
            <w:r>
              <w:rPr>
                <w:rFonts w:ascii="宋体" w:hAnsi="宋体"/>
                <w:szCs w:val="22"/>
              </w:rPr>
              <w:t>具体设计要求详见附件技术规格书</w:t>
            </w:r>
            <w:r>
              <w:rPr>
                <w:rFonts w:ascii="宋体" w:hAnsi="宋体"/>
                <w:color w:val="000000"/>
                <w:szCs w:val="22"/>
              </w:rPr>
              <w:t>10.1.3小节</w:t>
            </w:r>
            <w:r>
              <w:rPr>
                <w:rFonts w:ascii="宋体" w:hAnsi="宋体"/>
                <w:szCs w:val="22"/>
              </w:rPr>
              <w:t>。</w:t>
            </w:r>
            <w:bookmarkEnd w:id="109"/>
          </w:p>
        </w:tc>
      </w:tr>
      <w:tr w14:paraId="487A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D96BB6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A9F850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4BF42F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6</w:t>
            </w:r>
            <w:r>
              <w:rPr>
                <w:rFonts w:ascii="宋体" w:hAnsi="宋体"/>
                <w:color w:val="000000"/>
                <w:szCs w:val="22"/>
              </w:rPr>
              <w:t xml:space="preserve">. </w:t>
            </w:r>
            <w:bookmarkStart w:id="110" w:name="_Hlk222822510"/>
            <w:r>
              <w:rPr>
                <w:rFonts w:ascii="宋体" w:hAnsi="宋体"/>
                <w:color w:val="000000"/>
                <w:szCs w:val="22"/>
              </w:rPr>
              <w:t>ACCP制冷机关键测点数量和布置方式应符合技术规格书10.1.4小节要求。</w:t>
            </w:r>
            <w:r>
              <w:rPr>
                <w:rFonts w:ascii="宋体" w:hAnsi="宋体"/>
                <w:szCs w:val="22"/>
              </w:rPr>
              <w:t>具体设计要求详见附件技术规格书</w:t>
            </w:r>
            <w:r>
              <w:rPr>
                <w:rFonts w:ascii="宋体" w:hAnsi="宋体"/>
                <w:color w:val="000000"/>
                <w:szCs w:val="22"/>
              </w:rPr>
              <w:t>10.1.4小节</w:t>
            </w:r>
            <w:r>
              <w:rPr>
                <w:rFonts w:ascii="宋体" w:hAnsi="宋体"/>
                <w:szCs w:val="22"/>
              </w:rPr>
              <w:t>。</w:t>
            </w:r>
            <w:bookmarkEnd w:id="110"/>
          </w:p>
        </w:tc>
      </w:tr>
      <w:tr w14:paraId="28D6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CA03F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AB543B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6F3FA4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77</w:t>
            </w:r>
            <w:r>
              <w:rPr>
                <w:rFonts w:ascii="宋体" w:hAnsi="宋体"/>
                <w:szCs w:val="22"/>
              </w:rPr>
              <w:t>.</w:t>
            </w:r>
            <w:bookmarkStart w:id="111" w:name="_Hlk222822526"/>
            <w:r>
              <w:rPr>
                <w:rFonts w:ascii="宋体" w:hAnsi="宋体"/>
                <w:szCs w:val="22"/>
              </w:rPr>
              <w:t xml:space="preserve"> ACCP制冷机的电气、流量、位置、时间、液位、压力、纯度、转速等信号的测量精度和要求</w:t>
            </w:r>
            <w:r>
              <w:rPr>
                <w:rFonts w:ascii="宋体" w:hAnsi="宋体"/>
                <w:color w:val="000000"/>
                <w:szCs w:val="22"/>
              </w:rPr>
              <w:t>应符合技术规格书10.2小节要求。</w:t>
            </w:r>
            <w:r>
              <w:rPr>
                <w:rFonts w:ascii="宋体" w:hAnsi="宋体"/>
                <w:szCs w:val="22"/>
              </w:rPr>
              <w:t>具体设计要求详见附件技术规格书</w:t>
            </w:r>
            <w:r>
              <w:rPr>
                <w:rFonts w:ascii="宋体" w:hAnsi="宋体"/>
                <w:color w:val="000000"/>
                <w:szCs w:val="22"/>
              </w:rPr>
              <w:t>10.2小节</w:t>
            </w:r>
            <w:r>
              <w:rPr>
                <w:rFonts w:ascii="宋体" w:hAnsi="宋体"/>
                <w:szCs w:val="22"/>
              </w:rPr>
              <w:t>。</w:t>
            </w:r>
            <w:bookmarkEnd w:id="111"/>
          </w:p>
        </w:tc>
      </w:tr>
      <w:tr w14:paraId="3BE3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3C5EE9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B5E29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677C59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 xml:space="preserve">▲78. </w:t>
            </w:r>
            <w:bookmarkStart w:id="112" w:name="_Hlk222822532"/>
            <w:r>
              <w:rPr>
                <w:rFonts w:hint="eastAsia" w:ascii="宋体" w:hAnsi="宋体"/>
                <w:color w:val="000000"/>
                <w:szCs w:val="22"/>
              </w:rPr>
              <w:t>对于冷箱真空容器外的温度测量，应使用校准的A级PT-100传感器。对于冷箱真空容器内的温度测量，在2 K–77K之间需使用CernoxTM 传感器，整体精度优于±0.5%，长期稳定性在 ±25 mK之内；在77 K以上，可使用符合标准的PT-100 A 级传感器，整个量程内的精度应优于± 1%，长期稳定性在±0.1 K之内。整体应符合技术规格书1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2.10</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2.10</w:t>
            </w:r>
            <w:r>
              <w:rPr>
                <w:rFonts w:hint="eastAsia" w:ascii="宋体" w:hAnsi="宋体"/>
                <w:color w:val="000000"/>
                <w:szCs w:val="22"/>
              </w:rPr>
              <w:t>小节。</w:t>
            </w:r>
            <w:bookmarkEnd w:id="112"/>
          </w:p>
        </w:tc>
      </w:tr>
      <w:tr w14:paraId="5F03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4A184F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1375A8B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3D5E01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79</w:t>
            </w:r>
            <w:r>
              <w:rPr>
                <w:rFonts w:ascii="宋体" w:hAnsi="宋体"/>
                <w:color w:val="000000"/>
                <w:szCs w:val="22"/>
              </w:rPr>
              <w:t xml:space="preserve">. </w:t>
            </w:r>
            <w:bookmarkStart w:id="113" w:name="_Hlk222822540"/>
            <w:r>
              <w:rPr>
                <w:rFonts w:ascii="宋体" w:hAnsi="宋体"/>
                <w:color w:val="000000"/>
                <w:szCs w:val="22"/>
              </w:rPr>
              <w:t>ACCP</w:t>
            </w:r>
            <w:r>
              <w:rPr>
                <w:rFonts w:hint="eastAsia" w:ascii="宋体" w:hAnsi="宋体"/>
                <w:color w:val="000000"/>
                <w:szCs w:val="22"/>
              </w:rPr>
              <w:t>制冷机上所有各类阀门的控制和执行机构选型应符合技术规格书1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3</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3</w:t>
            </w:r>
            <w:r>
              <w:rPr>
                <w:rFonts w:hint="eastAsia" w:ascii="宋体" w:hAnsi="宋体"/>
                <w:color w:val="000000"/>
                <w:szCs w:val="22"/>
              </w:rPr>
              <w:t>小节。</w:t>
            </w:r>
            <w:bookmarkEnd w:id="113"/>
          </w:p>
        </w:tc>
      </w:tr>
      <w:tr w14:paraId="7668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37E201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8A1F8E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8D7B5D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0</w:t>
            </w:r>
            <w:r>
              <w:rPr>
                <w:rFonts w:ascii="宋体" w:hAnsi="宋体"/>
                <w:color w:val="000000"/>
                <w:szCs w:val="22"/>
              </w:rPr>
              <w:t xml:space="preserve">. </w:t>
            </w:r>
            <w:bookmarkStart w:id="114" w:name="_Hlk222822547"/>
            <w:r>
              <w:rPr>
                <w:rFonts w:ascii="宋体" w:hAnsi="宋体"/>
                <w:color w:val="000000"/>
                <w:szCs w:val="22"/>
              </w:rPr>
              <w:t>ACCP</w:t>
            </w:r>
            <w:r>
              <w:rPr>
                <w:rFonts w:hint="eastAsia" w:ascii="宋体" w:hAnsi="宋体"/>
                <w:color w:val="000000"/>
                <w:szCs w:val="22"/>
              </w:rPr>
              <w:t>制冷机上所用的各类电加热器的设计和选型应符合技术规格书1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4</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4</w:t>
            </w:r>
            <w:r>
              <w:rPr>
                <w:rFonts w:hint="eastAsia" w:ascii="宋体" w:hAnsi="宋体"/>
                <w:color w:val="000000"/>
                <w:szCs w:val="22"/>
              </w:rPr>
              <w:t>小节。</w:t>
            </w:r>
            <w:bookmarkEnd w:id="114"/>
          </w:p>
        </w:tc>
      </w:tr>
      <w:tr w14:paraId="19DA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7C12B0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89D46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4A2852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1</w:t>
            </w:r>
            <w:r>
              <w:rPr>
                <w:rFonts w:ascii="宋体" w:hAnsi="宋体"/>
                <w:color w:val="000000"/>
                <w:szCs w:val="22"/>
              </w:rPr>
              <w:t xml:space="preserve">. </w:t>
            </w:r>
            <w:bookmarkStart w:id="115" w:name="_Hlk222822554"/>
            <w:r>
              <w:rPr>
                <w:rFonts w:ascii="宋体" w:hAnsi="宋体"/>
                <w:color w:val="000000"/>
                <w:szCs w:val="22"/>
              </w:rPr>
              <w:t>ACCP</w:t>
            </w:r>
            <w:r>
              <w:rPr>
                <w:rFonts w:hint="eastAsia" w:ascii="宋体" w:hAnsi="宋体"/>
                <w:color w:val="000000"/>
                <w:szCs w:val="22"/>
              </w:rPr>
              <w:t>制冷机上所用的电气接口、电气设计和信号接口设计等应符合技术规格书</w:t>
            </w:r>
            <w:r>
              <w:rPr>
                <w:rFonts w:ascii="宋体" w:hAnsi="宋体"/>
                <w:color w:val="000000"/>
                <w:szCs w:val="22"/>
              </w:rPr>
              <w:t>10.5</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5</w:t>
            </w:r>
            <w:r>
              <w:rPr>
                <w:rFonts w:hint="eastAsia" w:ascii="宋体" w:hAnsi="宋体"/>
                <w:color w:val="000000"/>
                <w:szCs w:val="22"/>
              </w:rPr>
              <w:t>小节。</w:t>
            </w:r>
            <w:bookmarkEnd w:id="115"/>
          </w:p>
        </w:tc>
      </w:tr>
      <w:tr w14:paraId="777F8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11D70E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181A81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61B119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b/>
                <w:bCs/>
                <w:color w:val="FF0000"/>
                <w:szCs w:val="22"/>
              </w:rPr>
              <w:t>▲82</w:t>
            </w:r>
            <w:r>
              <w:rPr>
                <w:b/>
                <w:bCs/>
                <w:color w:val="FF0000"/>
                <w:szCs w:val="22"/>
              </w:rPr>
              <w:t xml:space="preserve">. </w:t>
            </w:r>
            <w:bookmarkStart w:id="116" w:name="_Hlk222822564"/>
            <w:r>
              <w:rPr>
                <w:rFonts w:hint="eastAsia"/>
                <w:b/>
                <w:bCs/>
                <w:color w:val="FF0000"/>
                <w:szCs w:val="22"/>
              </w:rPr>
              <w:t>投标时投标人应提出一份认为满足技术规格书第5章所述可靠性要求所需的备件清单（备件分为运行维护备件和关键备件两类，运行维护备件应覆盖ACCP制冷机不少于两年运行、计划维护和常见故障处理所需的备品备件；关键备件需要包括透平膨胀机、冷压缩机及其附属设备）。</w:t>
            </w:r>
            <w:r>
              <w:rPr>
                <w:b/>
                <w:bCs/>
                <w:color w:val="FF0000"/>
                <w:szCs w:val="22"/>
              </w:rPr>
              <w:t>清单至少应包括建议项目、适用设备、备件说明和推荐数量。</w:t>
            </w:r>
            <w:r>
              <w:rPr>
                <w:rFonts w:hint="eastAsia" w:ascii="宋体" w:hAnsi="宋体"/>
                <w:b/>
                <w:bCs/>
                <w:color w:val="FF0000"/>
                <w:szCs w:val="22"/>
              </w:rPr>
              <w:t xml:space="preserve">（格式自拟） </w:t>
            </w:r>
            <w:bookmarkEnd w:id="116"/>
          </w:p>
        </w:tc>
      </w:tr>
      <w:tr w14:paraId="45AA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34D3DB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545F13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744CE4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83</w:t>
            </w:r>
            <w:r>
              <w:rPr>
                <w:rFonts w:ascii="宋体" w:hAnsi="宋体"/>
                <w:color w:val="000000"/>
                <w:szCs w:val="22"/>
              </w:rPr>
              <w:t xml:space="preserve">. </w:t>
            </w:r>
            <w:bookmarkStart w:id="117" w:name="_Hlk222822571"/>
            <w:r>
              <w:rPr>
                <w:rFonts w:ascii="宋体" w:hAnsi="宋体"/>
                <w:color w:val="000000"/>
                <w:szCs w:val="22"/>
              </w:rPr>
              <w:t>ACCP</w:t>
            </w:r>
            <w:r>
              <w:rPr>
                <w:rFonts w:hint="eastAsia" w:ascii="宋体" w:hAnsi="宋体"/>
                <w:color w:val="000000"/>
                <w:szCs w:val="22"/>
              </w:rPr>
              <w:t>制冷机的组件的机械的设计，制造以及安装应按照不少于16000小时的连续运行设计，ACCP应当具备在恢复供电后或失效后尽快重启的能力，整体符合技术规格书12.1小节要求。具体设计要求详见附件技术规格书12.1小节。</w:t>
            </w:r>
            <w:bookmarkEnd w:id="117"/>
          </w:p>
        </w:tc>
      </w:tr>
      <w:tr w14:paraId="353C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D4701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813B29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6B6934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4</w:t>
            </w:r>
            <w:r>
              <w:rPr>
                <w:rFonts w:ascii="宋体" w:hAnsi="宋体"/>
                <w:color w:val="000000"/>
                <w:szCs w:val="22"/>
              </w:rPr>
              <w:t xml:space="preserve">. </w:t>
            </w:r>
            <w:bookmarkStart w:id="118" w:name="_Hlk222822577"/>
            <w:r>
              <w:rPr>
                <w:rFonts w:ascii="宋体" w:hAnsi="宋体"/>
                <w:color w:val="000000"/>
                <w:szCs w:val="22"/>
              </w:rPr>
              <w:t>ACCP</w:t>
            </w:r>
            <w:r>
              <w:rPr>
                <w:rFonts w:hint="eastAsia" w:ascii="宋体" w:hAnsi="宋体"/>
                <w:color w:val="000000"/>
                <w:szCs w:val="22"/>
              </w:rPr>
              <w:t>制冷机涉及压力容器与压力管道的设备设计、制造及安装应符合技术规格书12.2小节。具体设计要求详见附件技术规格书12.2小节。</w:t>
            </w:r>
            <w:bookmarkEnd w:id="118"/>
          </w:p>
        </w:tc>
      </w:tr>
      <w:tr w14:paraId="577E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0A4E8D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185E9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95BF2C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5</w:t>
            </w:r>
            <w:r>
              <w:rPr>
                <w:rFonts w:ascii="宋体" w:hAnsi="宋体"/>
                <w:color w:val="000000"/>
                <w:szCs w:val="22"/>
              </w:rPr>
              <w:t xml:space="preserve">. </w:t>
            </w:r>
            <w:bookmarkStart w:id="119" w:name="_Hlk222822589"/>
            <w:r>
              <w:rPr>
                <w:rFonts w:ascii="宋体" w:hAnsi="宋体"/>
                <w:color w:val="000000"/>
                <w:szCs w:val="22"/>
              </w:rPr>
              <w:t>ACCP</w:t>
            </w:r>
            <w:r>
              <w:rPr>
                <w:rFonts w:hint="eastAsia" w:ascii="宋体" w:hAnsi="宋体"/>
                <w:color w:val="000000"/>
                <w:szCs w:val="22"/>
              </w:rPr>
              <w:t>制冷机组件的机械的设计，制造以及安装所用材料应符合技术规格书12.3小节。具体设计要求详见附件技术规格书12.3小节。</w:t>
            </w:r>
            <w:bookmarkEnd w:id="119"/>
          </w:p>
        </w:tc>
      </w:tr>
      <w:tr w14:paraId="2041E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5AB51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871E22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3FD1CA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6</w:t>
            </w:r>
            <w:r>
              <w:rPr>
                <w:rFonts w:ascii="宋体" w:hAnsi="宋体"/>
                <w:color w:val="000000"/>
                <w:szCs w:val="22"/>
              </w:rPr>
              <w:t xml:space="preserve">. </w:t>
            </w:r>
            <w:bookmarkStart w:id="120" w:name="_Hlk222822596"/>
            <w:r>
              <w:rPr>
                <w:rFonts w:ascii="宋体" w:hAnsi="宋体"/>
                <w:color w:val="000000"/>
                <w:szCs w:val="22"/>
              </w:rPr>
              <w:t>ACCP</w:t>
            </w:r>
            <w:r>
              <w:rPr>
                <w:rFonts w:hint="eastAsia" w:ascii="宋体" w:hAnsi="宋体"/>
                <w:color w:val="000000"/>
                <w:szCs w:val="22"/>
              </w:rPr>
              <w:t>制冷机投标人</w:t>
            </w:r>
            <w:r>
              <w:rPr>
                <w:rFonts w:ascii="宋体" w:hAnsi="宋体"/>
                <w:color w:val="000000"/>
                <w:szCs w:val="22"/>
              </w:rPr>
              <w:t>责任范围内的全部焊接工作应按适用标准执行</w:t>
            </w:r>
            <w:r>
              <w:rPr>
                <w:rFonts w:hint="eastAsia" w:ascii="宋体" w:hAnsi="宋体"/>
                <w:color w:val="000000"/>
                <w:szCs w:val="22"/>
              </w:rPr>
              <w:t>，整体应符合技术规格书12.4小节要求。具体设计要求详见附件技术规格书12.4小节</w:t>
            </w:r>
            <w:bookmarkEnd w:id="120"/>
            <w:r>
              <w:rPr>
                <w:rFonts w:hint="eastAsia" w:ascii="宋体" w:hAnsi="宋体"/>
                <w:color w:val="000000"/>
                <w:szCs w:val="22"/>
              </w:rPr>
              <w:t>。</w:t>
            </w:r>
          </w:p>
        </w:tc>
      </w:tr>
      <w:tr w14:paraId="55C3B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B954C4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99CAD2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AAC0EE2">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szCs w:val="22"/>
              </w:rPr>
              <w:t>▲87</w:t>
            </w:r>
            <w:r>
              <w:rPr>
                <w:rFonts w:ascii="宋体" w:hAnsi="宋体"/>
                <w:szCs w:val="22"/>
              </w:rPr>
              <w:t xml:space="preserve">. </w:t>
            </w:r>
            <w:bookmarkStart w:id="121" w:name="_Hlk222822650"/>
            <w:r>
              <w:rPr>
                <w:rFonts w:ascii="宋体" w:hAnsi="宋体"/>
                <w:szCs w:val="22"/>
              </w:rPr>
              <w:t>ACCP制冷机所用低温管路低温阀门、安全阀或爆破片需在其它同类制冷机项目中测试或应用过。氦循环回路中的阀门应附有漏率证书。</w:t>
            </w:r>
            <w:r>
              <w:rPr>
                <w:rFonts w:hint="eastAsia"/>
                <w:color w:val="000000"/>
                <w:szCs w:val="22"/>
              </w:rPr>
              <w:t>控制阀的可调比应至少为 50:1。除另有专门规定的阀门外，应采用等百分比特性</w:t>
            </w:r>
            <w:r>
              <w:rPr>
                <w:rFonts w:ascii="宋体" w:hAnsi="宋体"/>
                <w:szCs w:val="22"/>
              </w:rPr>
              <w:t>。</w:t>
            </w:r>
            <w:r>
              <w:rPr>
                <w:rFonts w:hint="eastAsia" w:ascii="宋体" w:hAnsi="宋体"/>
                <w:szCs w:val="22"/>
              </w:rPr>
              <w:t>产品制造商</w:t>
            </w:r>
            <w:r>
              <w:rPr>
                <w:rFonts w:ascii="宋体" w:hAnsi="宋体"/>
                <w:szCs w:val="22"/>
              </w:rPr>
              <w:t>应采取措施降低热声振荡风险，并负责发生热声振荡时的纠正措施。所用安全阀或爆破片应进行脱油脱脂处理。</w:t>
            </w:r>
            <w:bookmarkEnd w:id="121"/>
            <w:r>
              <w:rPr>
                <w:rFonts w:hint="eastAsia" w:ascii="宋体" w:hAnsi="宋体"/>
                <w:szCs w:val="22"/>
              </w:rPr>
              <w:t>具体设计要求详见附件技术规格书12.5.1小节。</w:t>
            </w:r>
          </w:p>
        </w:tc>
      </w:tr>
      <w:tr w14:paraId="44A9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0BB2B0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76DE7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E5742C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88</w:t>
            </w:r>
            <w:r>
              <w:rPr>
                <w:rFonts w:ascii="宋体" w:hAnsi="宋体"/>
              </w:rPr>
              <w:t xml:space="preserve">. </w:t>
            </w:r>
            <w:bookmarkStart w:id="122" w:name="_Hlk222822656"/>
            <w:r>
              <w:rPr>
                <w:rFonts w:ascii="宋体" w:hAnsi="宋体"/>
              </w:rPr>
              <w:t>所用常温阀门、低温阀门、安全泄压阀与爆破</w:t>
            </w:r>
            <w:r>
              <w:rPr>
                <w:rFonts w:hint="eastAsia" w:ascii="宋体" w:hAnsi="宋体"/>
              </w:rPr>
              <w:t>片</w:t>
            </w:r>
            <w:r>
              <w:rPr>
                <w:rFonts w:ascii="宋体" w:hAnsi="宋体"/>
              </w:rPr>
              <w:t>等设计和选型</w:t>
            </w:r>
            <w:r>
              <w:rPr>
                <w:rFonts w:hint="eastAsia" w:ascii="宋体" w:hAnsi="宋体"/>
              </w:rPr>
              <w:t>，</w:t>
            </w:r>
            <w:r>
              <w:rPr>
                <w:rFonts w:ascii="宋体" w:hAnsi="宋体"/>
              </w:rPr>
              <w:t>阀门漏率及接头和密封件均应符合技术规格书12.5.2-12.5.</w:t>
            </w:r>
            <w:r>
              <w:rPr>
                <w:rFonts w:hint="eastAsia" w:ascii="宋体" w:hAnsi="宋体"/>
              </w:rPr>
              <w:t>6</w:t>
            </w:r>
            <w:r>
              <w:rPr>
                <w:rFonts w:ascii="宋体" w:hAnsi="宋体"/>
              </w:rPr>
              <w:t>小节要求。</w:t>
            </w:r>
            <w:bookmarkEnd w:id="122"/>
          </w:p>
        </w:tc>
      </w:tr>
      <w:tr w14:paraId="421E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6384B4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bookmarkStart w:id="123" w:name="_Hlk211245497"/>
          </w:p>
        </w:tc>
        <w:tc>
          <w:tcPr>
            <w:tcW w:w="1276" w:type="dxa"/>
            <w:vMerge w:val="continue"/>
            <w:vAlign w:val="center"/>
          </w:tcPr>
          <w:p w14:paraId="58AD0B3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194BCD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89</w:t>
            </w:r>
            <w:r>
              <w:rPr>
                <w:rFonts w:ascii="宋体" w:hAnsi="宋体"/>
              </w:rPr>
              <w:t xml:space="preserve">. </w:t>
            </w:r>
            <w:bookmarkStart w:id="124" w:name="_Hlk222822672"/>
            <w:r>
              <w:rPr>
                <w:rFonts w:ascii="宋体" w:hAnsi="宋体"/>
              </w:rPr>
              <w:t>ACCP制冷机中所用波纹管的设计应符合技术规格书12.6小节要求。具体设计要求详见附件技术规格书12.6小节。</w:t>
            </w:r>
            <w:bookmarkEnd w:id="124"/>
          </w:p>
        </w:tc>
      </w:tr>
      <w:tr w14:paraId="063B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A261F7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3920A7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54A9840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0</w:t>
            </w:r>
            <w:r>
              <w:rPr>
                <w:rFonts w:ascii="宋体" w:hAnsi="宋体"/>
              </w:rPr>
              <w:t xml:space="preserve">. </w:t>
            </w:r>
            <w:bookmarkStart w:id="125" w:name="_Hlk222822684"/>
            <w:r>
              <w:rPr>
                <w:rFonts w:ascii="宋体" w:hAnsi="宋体"/>
              </w:rPr>
              <w:t>ACCP制冷机的清洁与表面处理、氦保护及设备标识，应分别符合技术规格书12.7、12.8及12.9小节要求。</w:t>
            </w:r>
            <w:bookmarkEnd w:id="125"/>
          </w:p>
        </w:tc>
      </w:tr>
      <w:tr w14:paraId="3188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D29280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EF26F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5B37B2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1</w:t>
            </w:r>
            <w:r>
              <w:rPr>
                <w:rFonts w:ascii="宋体" w:hAnsi="宋体"/>
              </w:rPr>
              <w:t xml:space="preserve">. </w:t>
            </w:r>
            <w:bookmarkStart w:id="126" w:name="OLE_LINK13"/>
            <w:bookmarkStart w:id="127" w:name="OLE_LINK12"/>
            <w:r>
              <w:rPr>
                <w:rFonts w:ascii="宋体" w:hAnsi="宋体"/>
              </w:rPr>
              <w:t>ACCP制冷机测试应符合技术规格书13.1小节要求。</w:t>
            </w:r>
            <w:r>
              <w:rPr>
                <w:rFonts w:hint="eastAsia"/>
                <w:color w:val="000000"/>
              </w:rPr>
              <w:t>对于ITP规定需由IASF见证的测试，产品制造商应准备相应的测试程序，</w:t>
            </w:r>
            <w:r>
              <w:rPr>
                <w:rFonts w:ascii="宋体" w:hAnsi="宋体"/>
              </w:rPr>
              <w:t>具体设计要求详见附件技术规格书13.1小节。</w:t>
            </w:r>
            <w:bookmarkEnd w:id="126"/>
            <w:bookmarkEnd w:id="127"/>
          </w:p>
        </w:tc>
      </w:tr>
      <w:tr w14:paraId="205C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F92CBD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DA1D3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74489A8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▲92</w:t>
            </w:r>
            <w:r>
              <w:rPr>
                <w:rFonts w:ascii="宋体" w:hAnsi="宋体"/>
              </w:rPr>
              <w:t xml:space="preserve">. </w:t>
            </w:r>
            <w:bookmarkStart w:id="128" w:name="_Hlk222822697"/>
            <w:r>
              <w:rPr>
                <w:rFonts w:ascii="宋体" w:hAnsi="宋体"/>
              </w:rPr>
              <w:t>ACCP制冷机在工厂测试应包括焊缝检查、压力测试、漏率测试、压缩机测试、透平测试、</w:t>
            </w:r>
            <w:r>
              <w:rPr>
                <w:rFonts w:hint="eastAsia" w:ascii="宋体" w:hAnsi="宋体"/>
              </w:rPr>
              <w:t>冷压缩机测试、</w:t>
            </w:r>
            <w:r>
              <w:rPr>
                <w:rFonts w:ascii="宋体" w:hAnsi="宋体"/>
              </w:rPr>
              <w:t>出厂放行检查等内容，各测试应符合技术规格书13.2小节要求。具体设计要求详见附件技术规格书13.2小节。</w:t>
            </w:r>
            <w:bookmarkEnd w:id="128"/>
          </w:p>
        </w:tc>
      </w:tr>
      <w:tr w14:paraId="4ABB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65D5D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6CDFF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7D9D48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3</w:t>
            </w:r>
            <w:r>
              <w:rPr>
                <w:rFonts w:ascii="宋体" w:hAnsi="宋体"/>
              </w:rPr>
              <w:t xml:space="preserve">. </w:t>
            </w:r>
            <w:bookmarkStart w:id="129" w:name="_Hlk222822703"/>
            <w:r>
              <w:rPr>
                <w:rFonts w:ascii="宋体" w:hAnsi="宋体"/>
              </w:rPr>
              <w:t>ACCP制冷机在采购人现场安装后的测试应包括焊缝检查、</w:t>
            </w:r>
            <w:r>
              <w:rPr>
                <w:rFonts w:hint="eastAsia" w:ascii="宋体" w:hAnsi="宋体"/>
              </w:rPr>
              <w:t>管道清洁度测试、</w:t>
            </w:r>
            <w:r>
              <w:rPr>
                <w:rFonts w:ascii="宋体" w:hAnsi="宋体"/>
              </w:rPr>
              <w:t>压力测试、漏率测试</w:t>
            </w:r>
            <w:r>
              <w:rPr>
                <w:rFonts w:hint="eastAsia" w:ascii="宋体" w:hAnsi="宋体"/>
              </w:rPr>
              <w:t>、电气测试</w:t>
            </w:r>
            <w:r>
              <w:rPr>
                <w:rFonts w:ascii="宋体" w:hAnsi="宋体"/>
              </w:rPr>
              <w:t>，各测试应符合技术规格书13.3小节要求。具体设计要求详见附件技术规格书13.3小节。</w:t>
            </w:r>
            <w:bookmarkEnd w:id="129"/>
          </w:p>
        </w:tc>
      </w:tr>
      <w:tr w14:paraId="322C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70A137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898CB8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8C53FC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4. ACCP制冷机在现场最终验收测试需遵守13.4.1小节总体要求。</w:t>
            </w:r>
            <w:r>
              <w:rPr>
                <w:rFonts w:ascii="宋体" w:hAnsi="宋体"/>
              </w:rPr>
              <w:t>具体设计要求详见附件技术规格书13.</w:t>
            </w:r>
            <w:r>
              <w:rPr>
                <w:rFonts w:hint="eastAsia" w:ascii="宋体" w:hAnsi="宋体"/>
              </w:rPr>
              <w:t>4.1</w:t>
            </w:r>
            <w:r>
              <w:rPr>
                <w:rFonts w:ascii="宋体" w:hAnsi="宋体"/>
              </w:rPr>
              <w:t>小节。</w:t>
            </w:r>
          </w:p>
        </w:tc>
      </w:tr>
      <w:bookmarkEnd w:id="123"/>
      <w:tr w14:paraId="4C02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47E65D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301713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0040AB9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5</w:t>
            </w:r>
            <w:r>
              <w:rPr>
                <w:rFonts w:ascii="宋体" w:hAnsi="宋体"/>
              </w:rPr>
              <w:t xml:space="preserve">. </w:t>
            </w:r>
            <w:bookmarkStart w:id="130" w:name="_Hlk222822708"/>
            <w:r>
              <w:rPr>
                <w:rFonts w:ascii="宋体" w:hAnsi="宋体"/>
              </w:rPr>
              <w:t>ACCP制冷机常温压缩机站完成安装后，应进行功能测试和</w:t>
            </w:r>
            <w:r>
              <w:rPr>
                <w:rFonts w:hint="eastAsia" w:ascii="宋体" w:hAnsi="宋体"/>
              </w:rPr>
              <w:t>性能</w:t>
            </w:r>
            <w:r>
              <w:rPr>
                <w:rFonts w:ascii="宋体" w:hAnsi="宋体"/>
              </w:rPr>
              <w:t>测试，具体要求详见技术规格书13.4.2小节。</w:t>
            </w:r>
            <w:bookmarkEnd w:id="130"/>
          </w:p>
        </w:tc>
      </w:tr>
      <w:tr w14:paraId="336B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45637B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AA50C9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8E1399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▲96</w:t>
            </w:r>
            <w:r>
              <w:rPr>
                <w:rFonts w:ascii="宋体" w:hAnsi="宋体"/>
              </w:rPr>
              <w:t xml:space="preserve">. </w:t>
            </w:r>
            <w:bookmarkStart w:id="131" w:name="_Hlk222822715"/>
            <w:r>
              <w:rPr>
                <w:rFonts w:ascii="宋体" w:hAnsi="宋体"/>
              </w:rPr>
              <w:t>ACCP制冷机应在现场完成安装和调试后，进行整体功能测试和冷量测试。其中冷量测试需完成：</w:t>
            </w:r>
            <w:r>
              <w:rPr>
                <w:rFonts w:hint="eastAsia"/>
                <w:color w:val="000000"/>
              </w:rPr>
              <w:t>液氮预冷设计制冷量模式下，在 2 K 连续运行至少24 h(</w:t>
            </w:r>
            <w:r>
              <w:rPr>
                <w:color w:val="000000"/>
              </w:rPr>
              <w:t>（需液氦杜瓦达到4.5 K温区积液氦</w:t>
            </w:r>
            <w:r>
              <w:rPr>
                <w:rFonts w:hint="eastAsia"/>
                <w:color w:val="000000"/>
              </w:rPr>
              <w:t>达到</w:t>
            </w:r>
            <w:r>
              <w:rPr>
                <w:color w:val="000000"/>
              </w:rPr>
              <w:t>12小时）</w:t>
            </w:r>
            <w:r>
              <w:rPr>
                <w:rFonts w:hint="eastAsia"/>
                <w:color w:val="000000"/>
              </w:rPr>
              <w:t>；2 K 待机模式下运行至少 12 h，并施加 ±10% 的质量流量扰动，以验证控制系统可靠性；</w:t>
            </w:r>
            <w:r>
              <w:rPr>
                <w:rFonts w:hint="eastAsia" w:ascii="宋体" w:hAnsi="宋体"/>
              </w:rPr>
              <w:t>；4.5K待机模式下连续运行12小时； 最大液化模式运行4小时（或者达到杜瓦最大液位）；</w:t>
            </w:r>
            <w:r>
              <w:rPr>
                <w:rFonts w:ascii="宋体" w:hAnsi="宋体"/>
              </w:rPr>
              <w:t>冷箱自动降温及复温</w:t>
            </w:r>
            <w:r>
              <w:rPr>
                <w:rFonts w:hint="eastAsia" w:ascii="宋体" w:hAnsi="宋体"/>
              </w:rPr>
              <w:t>；</w:t>
            </w:r>
            <w:r>
              <w:rPr>
                <w:rFonts w:hint="eastAsia"/>
                <w:color w:val="000000"/>
              </w:rPr>
              <w:t>无液氮预冷的情况下在运行模式下运行4 h</w:t>
            </w:r>
            <w:r>
              <w:rPr>
                <w:rFonts w:ascii="宋体" w:hAnsi="宋体"/>
              </w:rPr>
              <w:t>、及故障处理流程验证。具体要求详见件技术规格书13.4.3小节。</w:t>
            </w:r>
            <w:bookmarkEnd w:id="131"/>
          </w:p>
        </w:tc>
      </w:tr>
      <w:tr w14:paraId="1172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0BE884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88008B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12DBB31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color w:val="000000"/>
              </w:rPr>
              <w:t>▲</w:t>
            </w:r>
            <w:r>
              <w:rPr>
                <w:rFonts w:hint="eastAsia" w:ascii="宋体" w:hAnsi="宋体"/>
              </w:rPr>
              <w:t>97</w:t>
            </w:r>
            <w:r>
              <w:rPr>
                <w:rFonts w:ascii="宋体" w:hAnsi="宋体"/>
              </w:rPr>
              <w:t xml:space="preserve">. </w:t>
            </w:r>
            <w:bookmarkStart w:id="132" w:name="_Hlk222822731"/>
            <w:r>
              <w:rPr>
                <w:rFonts w:ascii="宋体" w:hAnsi="宋体"/>
              </w:rPr>
              <w:t>ACCP制冷机项目执行期间质量管理应满足技术规格书第14章的全部要求。具体设计要求详见附件技术规格书第14章。</w:t>
            </w:r>
            <w:bookmarkEnd w:id="132"/>
          </w:p>
        </w:tc>
      </w:tr>
      <w:tr w14:paraId="39DD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DB1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4A765A8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397ADF8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color w:val="000000"/>
              </w:rPr>
              <w:t>▲</w:t>
            </w:r>
            <w:r>
              <w:rPr>
                <w:rFonts w:hint="eastAsia" w:ascii="宋体" w:hAnsi="宋体"/>
              </w:rPr>
              <w:t>98</w:t>
            </w:r>
            <w:r>
              <w:rPr>
                <w:rFonts w:ascii="宋体" w:hAnsi="宋体"/>
              </w:rPr>
              <w:t xml:space="preserve">. </w:t>
            </w:r>
            <w:bookmarkStart w:id="133" w:name="_Hlk222822737"/>
            <w:r>
              <w:rPr>
                <w:rFonts w:ascii="宋体" w:hAnsi="宋体"/>
              </w:rPr>
              <w:t>ACCP制冷机项目执行期间交付文档应满足技术规格书第15章的全部要求。具体设计要求详见附件技术规格书第15章。</w:t>
            </w:r>
            <w:bookmarkEnd w:id="133"/>
          </w:p>
        </w:tc>
      </w:tr>
      <w:tr w14:paraId="3915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5193FF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64B73BD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6480B7B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000000"/>
              </w:rPr>
            </w:pPr>
            <w:r>
              <w:rPr>
                <w:rFonts w:hint="eastAsia" w:ascii="宋体" w:hAnsi="宋体"/>
                <w:color w:val="000000"/>
              </w:rPr>
              <w:t>▲99</w:t>
            </w:r>
            <w:r>
              <w:rPr>
                <w:rFonts w:ascii="宋体" w:hAnsi="宋体"/>
                <w:color w:val="000000"/>
              </w:rPr>
              <w:t>. ACCP制冷机应包括交付硬件设备、设计服务、现场服务以及配套各类交付文件，整体应符合技术规格书第16章的全部要求。</w:t>
            </w:r>
            <w:r>
              <w:rPr>
                <w:rFonts w:ascii="宋体" w:hAnsi="宋体"/>
              </w:rPr>
              <w:t>具体设计要求详见附件技术规格书</w:t>
            </w:r>
            <w:r>
              <w:rPr>
                <w:rFonts w:ascii="宋体" w:hAnsi="宋体"/>
                <w:color w:val="000000"/>
              </w:rPr>
              <w:t>第16章。</w:t>
            </w:r>
          </w:p>
        </w:tc>
      </w:tr>
      <w:tr w14:paraId="3988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709" w:type="dxa"/>
            <w:vMerge w:val="continue"/>
            <w:vAlign w:val="center"/>
          </w:tcPr>
          <w:p w14:paraId="1B9D37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1276" w:type="dxa"/>
            <w:vMerge w:val="continue"/>
            <w:vAlign w:val="center"/>
          </w:tcPr>
          <w:p w14:paraId="796159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6237" w:type="dxa"/>
            <w:vAlign w:val="center"/>
          </w:tcPr>
          <w:p w14:paraId="26AF98D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rPr>
            </w:pPr>
            <w:r>
              <w:rPr>
                <w:rFonts w:hint="eastAsia"/>
                <w:b/>
                <w:bCs/>
                <w:color w:val="FF0000"/>
                <w:szCs w:val="22"/>
              </w:rPr>
              <w:t>★100</w:t>
            </w:r>
            <w:r>
              <w:rPr>
                <w:b/>
                <w:bCs/>
                <w:color w:val="FF0000"/>
                <w:szCs w:val="22"/>
              </w:rPr>
              <w:t>. 投标人中标后应提供一整套</w:t>
            </w:r>
            <w:r>
              <w:rPr>
                <w:rFonts w:hint="eastAsia"/>
                <w:b/>
                <w:bCs/>
                <w:color w:val="FF0000"/>
                <w:szCs w:val="22"/>
              </w:rPr>
              <w:t>ACCP</w:t>
            </w:r>
            <w:r>
              <w:rPr>
                <w:b/>
                <w:bCs/>
                <w:color w:val="FF0000"/>
                <w:szCs w:val="22"/>
              </w:rPr>
              <w:t>氦制冷系统，</w:t>
            </w:r>
            <w:r>
              <w:rPr>
                <w:rFonts w:hint="eastAsia"/>
                <w:b/>
                <w:bCs/>
                <w:color w:val="FF0000"/>
                <w:szCs w:val="22"/>
              </w:rPr>
              <w:t>至少包括制:常温压缩机站、在线备用压缩机系统、末端除油系统、干燥器、气体管理系统、冷箱系统及附属设备(含透平膨胀机、冷压缩机)、控制系统等设备、备品备件(含运行维护备件和关键备件)等。投标时供应商需提供分项货物报价表格(格式自拟，表头至少包含：设备名称、拟采用厂家、数量、单位、总价)。如涉及分批发货需在表格中标识对应分项是否为制冷机主体部件。</w:t>
            </w:r>
          </w:p>
        </w:tc>
      </w:tr>
      <w:bookmarkEnd w:id="43"/>
    </w:tbl>
    <w:p w14:paraId="7F8B62A2">
      <w:pPr>
        <w:rPr>
          <w:rFonts w:hint="eastAsia" w:asciiTheme="minorEastAsia" w:hAnsiTheme="minorEastAsia" w:eastAsiaTheme="minorEastAsia"/>
          <w:b/>
          <w:szCs w:val="21"/>
        </w:rPr>
      </w:pPr>
    </w:p>
    <w:p w14:paraId="4F15EB6B">
      <w:pPr>
        <w:pStyle w:val="7"/>
        <w:spacing w:before="120" w:beforeLines="50" w:after="120" w:afterLines="50"/>
        <w:rPr>
          <w:rFonts w:hint="eastAsia" w:asciiTheme="minorEastAsia" w:hAnsiTheme="minorEastAsia" w:eastAsiaTheme="minorEastAsia"/>
          <w:szCs w:val="24"/>
        </w:rPr>
      </w:pPr>
      <w:r>
        <w:rPr>
          <w:rFonts w:hint="eastAsia" w:asciiTheme="minorEastAsia" w:hAnsiTheme="minorEastAsia" w:eastAsiaTheme="minorEastAsia"/>
          <w:szCs w:val="24"/>
        </w:rPr>
        <w:t>五、商务要求</w:t>
      </w:r>
    </w:p>
    <w:p w14:paraId="641D4B69">
      <w:pPr>
        <w:ind w:firstLine="422" w:firstLineChars="200"/>
        <w:rPr>
          <w:rFonts w:hint="eastAsia" w:asciiTheme="minorEastAsia" w:hAnsiTheme="minorEastAsia" w:eastAsiaTheme="minorEastAsia"/>
          <w:b/>
        </w:rPr>
      </w:pPr>
      <w:r>
        <w:rPr>
          <w:rFonts w:hint="eastAsia" w:asciiTheme="minorEastAsia" w:hAnsiTheme="minorEastAsia" w:eastAsiaTheme="minorEastAsia"/>
          <w:b/>
          <w:szCs w:val="21"/>
        </w:rPr>
        <w:t>说明：</w:t>
      </w:r>
      <w:r>
        <w:rPr>
          <w:rFonts w:asciiTheme="minorEastAsia" w:hAnsiTheme="minorEastAsia" w:eastAsiaTheme="minorEastAsia"/>
          <w:b/>
        </w:rPr>
        <w:t>1</w:t>
      </w:r>
      <w:r>
        <w:rPr>
          <w:rFonts w:hint="eastAsia" w:asciiTheme="minorEastAsia" w:hAnsiTheme="minorEastAsia" w:eastAsiaTheme="minorEastAsia"/>
          <w:b/>
        </w:rPr>
        <w:t>.评分时，如对一项招标商务要求（以划分框为准）中的内容存在两处（或以上）负偏离的，在评分时只作一项负偏离扣分。</w:t>
      </w:r>
    </w:p>
    <w:p w14:paraId="1DB78652">
      <w:pPr>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2.带★号条款为不可偏离条款，不作为评分准则中的评分内容，如未响应或出现负偏离的，将作投标无效处理；带“</w:t>
      </w:r>
      <w:r>
        <w:rPr>
          <w:rFonts w:asciiTheme="minorEastAsia" w:hAnsiTheme="minorEastAsia" w:eastAsiaTheme="minorEastAsia"/>
        </w:rPr>
        <w:t>▲</w:t>
      </w:r>
      <w:r>
        <w:rPr>
          <w:rFonts w:hint="eastAsia" w:asciiTheme="minorEastAsia" w:hAnsiTheme="minorEastAsia" w:eastAsiaTheme="minorEastAsia"/>
          <w:b/>
          <w:szCs w:val="21"/>
        </w:rPr>
        <w:t>”指标项为重要参数，负偏离时依相关评分准则内容作重点扣分处理。</w:t>
      </w:r>
    </w:p>
    <w:p w14:paraId="1D7A118C">
      <w:pPr>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3.招标商务要求中，用红色加粗字体标注的指标项均要求提供证明资料；其余指标项未要求提供证明资料，无需提供相关证明资料。</w:t>
      </w:r>
    </w:p>
    <w:tbl>
      <w:tblPr>
        <w:tblStyle w:val="43"/>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252"/>
        <w:gridCol w:w="6436"/>
      </w:tblGrid>
      <w:tr w14:paraId="7704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5854DC94">
            <w:pPr>
              <w:widowControl/>
              <w:jc w:val="center"/>
              <w:rPr>
                <w:rFonts w:hint="eastAsia" w:ascii="宋体" w:hAnsi="宋体" w:eastAsia="宋体" w:cs="宋体"/>
                <w:b/>
                <w:bCs/>
                <w:color w:val="000000"/>
                <w:kern w:val="0"/>
                <w:szCs w:val="21"/>
              </w:rPr>
            </w:pPr>
            <w:r>
              <w:rPr>
                <w:rFonts w:hint="eastAsia" w:ascii="宋体" w:hAnsi="宋体" w:eastAsia="宋体" w:cs="宋体"/>
                <w:b/>
                <w:szCs w:val="21"/>
              </w:rPr>
              <w:t>序号</w:t>
            </w:r>
          </w:p>
        </w:tc>
        <w:tc>
          <w:tcPr>
            <w:tcW w:w="1418" w:type="dxa"/>
            <w:vAlign w:val="center"/>
          </w:tcPr>
          <w:p w14:paraId="61C7AEB6">
            <w:pPr>
              <w:widowControl/>
              <w:jc w:val="center"/>
              <w:rPr>
                <w:rFonts w:hint="eastAsia" w:ascii="宋体" w:hAnsi="宋体" w:eastAsia="宋体" w:cs="宋体"/>
                <w:b/>
                <w:bCs/>
                <w:color w:val="000000"/>
                <w:kern w:val="0"/>
                <w:szCs w:val="21"/>
              </w:rPr>
            </w:pPr>
            <w:r>
              <w:rPr>
                <w:rFonts w:hint="eastAsia" w:ascii="宋体" w:hAnsi="宋体" w:eastAsia="宋体" w:cs="宋体"/>
                <w:b/>
                <w:szCs w:val="21"/>
              </w:rPr>
              <w:t>商务需求项</w:t>
            </w:r>
          </w:p>
        </w:tc>
        <w:tc>
          <w:tcPr>
            <w:tcW w:w="6436" w:type="dxa"/>
            <w:noWrap/>
            <w:vAlign w:val="center"/>
          </w:tcPr>
          <w:p w14:paraId="76856871">
            <w:pPr>
              <w:widowControl/>
              <w:jc w:val="center"/>
              <w:rPr>
                <w:rFonts w:hint="eastAsia" w:ascii="宋体" w:hAnsi="宋体" w:eastAsia="宋体" w:cs="宋体"/>
                <w:b/>
                <w:bCs/>
                <w:color w:val="000000"/>
                <w:kern w:val="0"/>
                <w:szCs w:val="21"/>
              </w:rPr>
            </w:pPr>
            <w:r>
              <w:rPr>
                <w:rFonts w:hint="eastAsia" w:ascii="宋体" w:hAnsi="宋体" w:eastAsia="宋体" w:cs="宋体"/>
                <w:b/>
                <w:szCs w:val="21"/>
              </w:rPr>
              <w:t>招标商务要求</w:t>
            </w:r>
          </w:p>
        </w:tc>
      </w:tr>
      <w:tr w14:paraId="7B90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534FA0CD">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418" w:type="dxa"/>
            <w:vMerge w:val="restart"/>
            <w:vAlign w:val="center"/>
          </w:tcPr>
          <w:p w14:paraId="752B752B">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交货要求</w:t>
            </w:r>
          </w:p>
        </w:tc>
        <w:tc>
          <w:tcPr>
            <w:tcW w:w="6436" w:type="dxa"/>
            <w:noWrap/>
            <w:vAlign w:val="center"/>
          </w:tcPr>
          <w:p w14:paraId="0A47B254">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1.1交货期的要求：交货应在以下两个日期中较晚者发生之日起的25个月内完成：（1）中标人收到由其出具并经最终用户签字或盖章的开工会（“KOM”）会议纪要之日；（2）中标人取得本合同项下货物出口许可证之日(如涉及)，但中标人应不迟于合同签订后6个月内完成上述开工会并取得出口许可证（如涉及），若上述两项条件均于该最迟日期前完成，则交货期应自上述条件全部成就之日起算，若上述条件均未能在该最迟日期前完成，且中标人逾期超过3个月仍未完成上述条件的，招标人有权终止合同，合同终止后，中标人应在十五（15）个工作日内全额退还采购人已支付的全部款项。</w:t>
            </w:r>
          </w:p>
        </w:tc>
      </w:tr>
      <w:tr w14:paraId="3214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603A44E">
            <w:pPr>
              <w:widowControl/>
              <w:rPr>
                <w:rFonts w:hint="eastAsia" w:ascii="宋体" w:hAnsi="宋体" w:eastAsia="宋体" w:cs="宋体"/>
                <w:color w:val="000000"/>
                <w:kern w:val="0"/>
                <w:szCs w:val="21"/>
              </w:rPr>
            </w:pPr>
          </w:p>
        </w:tc>
        <w:tc>
          <w:tcPr>
            <w:tcW w:w="1418" w:type="dxa"/>
            <w:vMerge w:val="continue"/>
            <w:vAlign w:val="center"/>
          </w:tcPr>
          <w:p w14:paraId="2FEA83C9">
            <w:pPr>
              <w:widowControl/>
              <w:rPr>
                <w:rFonts w:hint="eastAsia" w:ascii="宋体" w:hAnsi="宋体" w:eastAsia="宋体" w:cs="宋体"/>
                <w:color w:val="000000"/>
                <w:kern w:val="0"/>
                <w:szCs w:val="21"/>
              </w:rPr>
            </w:pPr>
          </w:p>
        </w:tc>
        <w:tc>
          <w:tcPr>
            <w:tcW w:w="6436" w:type="dxa"/>
            <w:noWrap/>
            <w:vAlign w:val="center"/>
          </w:tcPr>
          <w:p w14:paraId="02632F28">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★1.2交货地点：深圳先进光源研究院指定地点。</w:t>
            </w:r>
          </w:p>
        </w:tc>
      </w:tr>
      <w:tr w14:paraId="40FB3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56C0B733">
            <w:pPr>
              <w:widowControl/>
              <w:rPr>
                <w:rFonts w:hint="eastAsia" w:ascii="宋体" w:hAnsi="宋体" w:eastAsia="宋体" w:cs="宋体"/>
                <w:color w:val="000000"/>
                <w:kern w:val="0"/>
                <w:szCs w:val="21"/>
              </w:rPr>
            </w:pPr>
          </w:p>
        </w:tc>
        <w:tc>
          <w:tcPr>
            <w:tcW w:w="1418" w:type="dxa"/>
            <w:vMerge w:val="continue"/>
            <w:vAlign w:val="center"/>
          </w:tcPr>
          <w:p w14:paraId="56D3FABA">
            <w:pPr>
              <w:widowControl/>
              <w:rPr>
                <w:rFonts w:hint="eastAsia" w:ascii="宋体" w:hAnsi="宋体" w:eastAsia="宋体" w:cs="宋体"/>
                <w:color w:val="000000"/>
                <w:kern w:val="0"/>
                <w:szCs w:val="21"/>
              </w:rPr>
            </w:pPr>
          </w:p>
        </w:tc>
        <w:tc>
          <w:tcPr>
            <w:tcW w:w="6436" w:type="dxa"/>
            <w:noWrap/>
            <w:vAlign w:val="center"/>
          </w:tcPr>
          <w:p w14:paraId="62B12592">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1.3商品需用坚固的木箱或纸箱包装，以宜于长途海运、陆运、邮寄或空运及适应气候的变化，并具备良好的防潮抗震能力。由于包装不良而引起的货物损坏或由于防护措施不善而引起货物锈蚀，中标人应赔偿由此而造成的全部损失费用。</w:t>
            </w:r>
          </w:p>
        </w:tc>
      </w:tr>
      <w:tr w14:paraId="65FDD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6A691448">
            <w:pPr>
              <w:widowControl/>
              <w:rPr>
                <w:rFonts w:hint="eastAsia" w:ascii="宋体" w:hAnsi="宋体" w:eastAsia="宋体" w:cs="宋体"/>
                <w:color w:val="000000"/>
                <w:kern w:val="0"/>
                <w:szCs w:val="21"/>
              </w:rPr>
            </w:pPr>
          </w:p>
        </w:tc>
        <w:tc>
          <w:tcPr>
            <w:tcW w:w="1418" w:type="dxa"/>
            <w:vMerge w:val="continue"/>
            <w:vAlign w:val="center"/>
          </w:tcPr>
          <w:p w14:paraId="3678EBA7">
            <w:pPr>
              <w:widowControl/>
              <w:rPr>
                <w:rFonts w:hint="eastAsia" w:ascii="宋体" w:hAnsi="宋体" w:eastAsia="宋体" w:cs="宋体"/>
                <w:color w:val="000000"/>
                <w:kern w:val="0"/>
                <w:szCs w:val="21"/>
              </w:rPr>
            </w:pPr>
          </w:p>
        </w:tc>
        <w:tc>
          <w:tcPr>
            <w:tcW w:w="6436" w:type="dxa"/>
            <w:noWrap/>
            <w:vAlign w:val="center"/>
          </w:tcPr>
          <w:p w14:paraId="013EEC5A">
            <w:pPr>
              <w:widowControl/>
              <w:rPr>
                <w:rFonts w:hint="eastAsia" w:ascii="宋体" w:hAnsi="宋体" w:eastAsia="宋体" w:cs="宋体"/>
                <w:color w:val="000000"/>
                <w:kern w:val="0"/>
                <w:szCs w:val="21"/>
              </w:rPr>
            </w:pPr>
            <w:bookmarkStart w:id="134" w:name="RANGE!J21"/>
            <w:r>
              <w:rPr>
                <w:rFonts w:hint="eastAsia" w:ascii="宋体" w:hAnsi="宋体" w:eastAsia="宋体" w:cs="宋体"/>
                <w:color w:val="000000"/>
                <w:kern w:val="0"/>
                <w:szCs w:val="21"/>
              </w:rPr>
              <w:t xml:space="preserve">1.4中标人应在每个货箱上用不褪色油漆标明箱号、毛重、净重、长、宽、高并书以"防潮"、"小心轻放"、"此面向上" 等字样和装运唛头。 </w:t>
            </w:r>
            <w:bookmarkEnd w:id="134"/>
          </w:p>
        </w:tc>
      </w:tr>
      <w:tr w14:paraId="5F014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66A37D3">
            <w:pPr>
              <w:widowControl/>
              <w:rPr>
                <w:rFonts w:hint="eastAsia" w:ascii="宋体" w:hAnsi="宋体" w:eastAsia="宋体" w:cs="宋体"/>
                <w:color w:val="000000"/>
                <w:kern w:val="0"/>
                <w:szCs w:val="21"/>
              </w:rPr>
            </w:pPr>
          </w:p>
        </w:tc>
        <w:tc>
          <w:tcPr>
            <w:tcW w:w="1418" w:type="dxa"/>
            <w:vMerge w:val="continue"/>
            <w:vAlign w:val="center"/>
          </w:tcPr>
          <w:p w14:paraId="76B1CE79">
            <w:pPr>
              <w:widowControl/>
              <w:rPr>
                <w:rFonts w:hint="eastAsia" w:ascii="宋体" w:hAnsi="宋体" w:eastAsia="宋体" w:cs="宋体"/>
                <w:color w:val="000000"/>
                <w:kern w:val="0"/>
                <w:szCs w:val="21"/>
              </w:rPr>
            </w:pPr>
          </w:p>
        </w:tc>
        <w:tc>
          <w:tcPr>
            <w:tcW w:w="6436" w:type="dxa"/>
            <w:noWrap/>
            <w:vAlign w:val="center"/>
          </w:tcPr>
          <w:p w14:paraId="577FDAFF">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★1.5允许根据实际情况分批发货。若发生货物漏发情形，中标人需免费向招标人补发漏发货物，招标人无需承担补发所产生的任何费用。</w:t>
            </w:r>
          </w:p>
        </w:tc>
      </w:tr>
      <w:tr w14:paraId="6C92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8E518DB">
            <w:pPr>
              <w:widowControl/>
              <w:rPr>
                <w:rFonts w:hint="eastAsia" w:ascii="宋体" w:hAnsi="宋体" w:eastAsia="宋体" w:cs="宋体"/>
                <w:color w:val="000000"/>
                <w:kern w:val="0"/>
                <w:szCs w:val="21"/>
              </w:rPr>
            </w:pPr>
          </w:p>
        </w:tc>
        <w:tc>
          <w:tcPr>
            <w:tcW w:w="1418" w:type="dxa"/>
            <w:vMerge w:val="continue"/>
            <w:vAlign w:val="center"/>
          </w:tcPr>
          <w:p w14:paraId="3C027B5F">
            <w:pPr>
              <w:widowControl/>
              <w:rPr>
                <w:rFonts w:hint="eastAsia" w:ascii="宋体" w:hAnsi="宋体" w:eastAsia="宋体" w:cs="宋体"/>
                <w:color w:val="000000"/>
                <w:kern w:val="0"/>
                <w:szCs w:val="21"/>
              </w:rPr>
            </w:pPr>
          </w:p>
        </w:tc>
        <w:tc>
          <w:tcPr>
            <w:tcW w:w="6436" w:type="dxa"/>
            <w:noWrap/>
            <w:vAlign w:val="center"/>
          </w:tcPr>
          <w:p w14:paraId="4E71533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★1.6中标人应提供相当于合同金额110%的一切险及战争险，并以招标人为受益人。</w:t>
            </w:r>
          </w:p>
        </w:tc>
      </w:tr>
      <w:tr w14:paraId="561FB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4543390B">
            <w:pPr>
              <w:widowControl/>
              <w:rPr>
                <w:rFonts w:hint="eastAsia" w:ascii="宋体" w:hAnsi="宋体" w:eastAsia="宋体" w:cs="宋体"/>
                <w:color w:val="000000"/>
                <w:kern w:val="0"/>
                <w:szCs w:val="21"/>
              </w:rPr>
            </w:pPr>
          </w:p>
        </w:tc>
        <w:tc>
          <w:tcPr>
            <w:tcW w:w="1418" w:type="dxa"/>
            <w:vMerge w:val="continue"/>
            <w:vAlign w:val="center"/>
          </w:tcPr>
          <w:p w14:paraId="2ECC1854">
            <w:pPr>
              <w:widowControl/>
              <w:rPr>
                <w:rFonts w:hint="eastAsia" w:ascii="宋体" w:hAnsi="宋体" w:eastAsia="宋体" w:cs="宋体"/>
                <w:color w:val="000000"/>
                <w:kern w:val="0"/>
                <w:szCs w:val="21"/>
              </w:rPr>
            </w:pPr>
          </w:p>
        </w:tc>
        <w:tc>
          <w:tcPr>
            <w:tcW w:w="6436" w:type="dxa"/>
            <w:noWrap/>
            <w:vAlign w:val="center"/>
          </w:tcPr>
          <w:p w14:paraId="437AB933">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1.7发货单据应包括：（1）商业发票，应注明合同号码；（2）正本装箱单，装箱单应注明合同号码和唛头（如涉及）；（3）运单，收货人为采购人，并注明运费已付。</w:t>
            </w:r>
          </w:p>
        </w:tc>
      </w:tr>
      <w:tr w14:paraId="7960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E1C9EF4">
            <w:pPr>
              <w:widowControl/>
              <w:rPr>
                <w:rFonts w:hint="eastAsia" w:ascii="宋体" w:hAnsi="宋体" w:eastAsia="宋体" w:cs="宋体"/>
                <w:color w:val="000000"/>
                <w:kern w:val="0"/>
                <w:szCs w:val="21"/>
              </w:rPr>
            </w:pPr>
          </w:p>
        </w:tc>
        <w:tc>
          <w:tcPr>
            <w:tcW w:w="1418" w:type="dxa"/>
            <w:vMerge w:val="continue"/>
            <w:vAlign w:val="center"/>
          </w:tcPr>
          <w:p w14:paraId="0C53EF3A">
            <w:pPr>
              <w:widowControl/>
              <w:rPr>
                <w:rFonts w:hint="eastAsia" w:ascii="宋体" w:hAnsi="宋体" w:eastAsia="宋体" w:cs="宋体"/>
                <w:color w:val="000000"/>
                <w:kern w:val="0"/>
                <w:szCs w:val="21"/>
              </w:rPr>
            </w:pPr>
          </w:p>
        </w:tc>
        <w:tc>
          <w:tcPr>
            <w:tcW w:w="6436" w:type="dxa"/>
            <w:noWrap/>
            <w:vAlign w:val="center"/>
          </w:tcPr>
          <w:p w14:paraId="19AF6922">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1.8中标人应在装货后5个工作日内,以电子邮件形式通知采购人发票、装箱单。中标人将货物运至最终目的地时，货物所有权应与货物灭失或损害的风险由中标人转移给采购人【如为进口商品(中标人通过DAP形式将货物交付至深圳先进光源研究院项目现场)，在本合同货物灭失或损害的风险转移的时间点受《国际商会国际贸易术语解释通则2020》约束】。</w:t>
            </w:r>
          </w:p>
        </w:tc>
      </w:tr>
      <w:tr w14:paraId="3FC59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76466EE0">
            <w:pPr>
              <w:widowControl/>
              <w:rPr>
                <w:rFonts w:hint="eastAsia" w:ascii="宋体" w:hAnsi="宋体" w:eastAsia="宋体" w:cs="宋体"/>
                <w:color w:val="000000"/>
                <w:kern w:val="0"/>
                <w:szCs w:val="21"/>
              </w:rPr>
            </w:pPr>
          </w:p>
        </w:tc>
        <w:tc>
          <w:tcPr>
            <w:tcW w:w="1418" w:type="dxa"/>
            <w:vMerge w:val="continue"/>
            <w:vAlign w:val="center"/>
          </w:tcPr>
          <w:p w14:paraId="171B5062">
            <w:pPr>
              <w:widowControl/>
              <w:rPr>
                <w:rFonts w:hint="eastAsia" w:ascii="宋体" w:hAnsi="宋体" w:eastAsia="宋体" w:cs="宋体"/>
                <w:color w:val="000000"/>
                <w:kern w:val="0"/>
                <w:szCs w:val="21"/>
              </w:rPr>
            </w:pPr>
          </w:p>
        </w:tc>
        <w:tc>
          <w:tcPr>
            <w:tcW w:w="6436" w:type="dxa"/>
            <w:noWrap/>
            <w:vAlign w:val="center"/>
          </w:tcPr>
          <w:p w14:paraId="1884F55C">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1.9发货前，制造商应对货物的质量、规格、关键部件的性能和数量或重量作精密全面的检验、出具检验证明书，并说明检验的技术数据和结论符合附件中技术规格书的规定。</w:t>
            </w:r>
          </w:p>
        </w:tc>
      </w:tr>
      <w:tr w14:paraId="160E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4F4A7639">
            <w:pPr>
              <w:widowControl/>
              <w:rPr>
                <w:rFonts w:hint="eastAsia" w:ascii="宋体" w:hAnsi="宋体" w:eastAsia="宋体" w:cs="宋体"/>
                <w:color w:val="000000"/>
                <w:kern w:val="0"/>
                <w:szCs w:val="21"/>
              </w:rPr>
            </w:pPr>
          </w:p>
        </w:tc>
        <w:tc>
          <w:tcPr>
            <w:tcW w:w="1418" w:type="dxa"/>
            <w:vMerge w:val="continue"/>
            <w:vAlign w:val="center"/>
          </w:tcPr>
          <w:p w14:paraId="0794C5A2">
            <w:pPr>
              <w:widowControl/>
              <w:rPr>
                <w:rFonts w:hint="eastAsia" w:ascii="宋体" w:hAnsi="宋体" w:eastAsia="宋体" w:cs="宋体"/>
                <w:color w:val="000000"/>
                <w:kern w:val="0"/>
                <w:szCs w:val="21"/>
              </w:rPr>
            </w:pPr>
          </w:p>
        </w:tc>
        <w:tc>
          <w:tcPr>
            <w:tcW w:w="6436" w:type="dxa"/>
            <w:noWrap/>
            <w:vAlign w:val="center"/>
          </w:tcPr>
          <w:p w14:paraId="19E58AEA">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1.10货物运抵目的地后，若采购人发现货物的质量、规格或数量与本合同不符，采购人可向第三方质量检验公司申请对货物的质量、规格或数量进行复检。除保险公司或承运人应承担的责任外，采购人应在货物到达目的地后三十（30）天内，凭第三方质量检验公司出具的检验证书向中标人提出索赔，或拒收货物。</w:t>
            </w:r>
          </w:p>
        </w:tc>
      </w:tr>
      <w:tr w14:paraId="44F7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661406D8">
            <w:pPr>
              <w:widowControl/>
              <w:rPr>
                <w:rFonts w:hint="eastAsia" w:ascii="宋体" w:hAnsi="宋体" w:eastAsia="宋体" w:cs="宋体"/>
                <w:color w:val="000000"/>
                <w:kern w:val="0"/>
                <w:szCs w:val="21"/>
              </w:rPr>
            </w:pPr>
          </w:p>
        </w:tc>
        <w:tc>
          <w:tcPr>
            <w:tcW w:w="1418" w:type="dxa"/>
            <w:vMerge w:val="continue"/>
            <w:vAlign w:val="center"/>
          </w:tcPr>
          <w:p w14:paraId="3A0BF9DE">
            <w:pPr>
              <w:widowControl/>
              <w:rPr>
                <w:rFonts w:hint="eastAsia" w:ascii="宋体" w:hAnsi="宋体" w:eastAsia="宋体" w:cs="宋体"/>
                <w:color w:val="000000"/>
                <w:kern w:val="0"/>
                <w:szCs w:val="21"/>
              </w:rPr>
            </w:pPr>
          </w:p>
        </w:tc>
        <w:tc>
          <w:tcPr>
            <w:tcW w:w="6436" w:type="dxa"/>
            <w:noWrap/>
            <w:vAlign w:val="center"/>
          </w:tcPr>
          <w:p w14:paraId="56959EBB">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1.11 中标人需按采购文件要求、投标文件响应以及招标后签署的合同技术文件要求完成货物交付。</w:t>
            </w:r>
          </w:p>
        </w:tc>
      </w:tr>
      <w:tr w14:paraId="3589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CD989E3">
            <w:pPr>
              <w:widowControl/>
              <w:rPr>
                <w:rFonts w:hint="eastAsia" w:ascii="宋体" w:hAnsi="宋体" w:eastAsia="宋体" w:cs="宋体"/>
                <w:color w:val="000000"/>
                <w:kern w:val="0"/>
                <w:szCs w:val="21"/>
              </w:rPr>
            </w:pPr>
          </w:p>
        </w:tc>
        <w:tc>
          <w:tcPr>
            <w:tcW w:w="1418" w:type="dxa"/>
            <w:vMerge w:val="continue"/>
            <w:vAlign w:val="center"/>
          </w:tcPr>
          <w:p w14:paraId="0422B900">
            <w:pPr>
              <w:widowControl/>
              <w:rPr>
                <w:rFonts w:hint="eastAsia" w:ascii="宋体" w:hAnsi="宋体" w:eastAsia="宋体" w:cs="宋体"/>
                <w:color w:val="000000"/>
                <w:kern w:val="0"/>
                <w:szCs w:val="21"/>
              </w:rPr>
            </w:pPr>
          </w:p>
        </w:tc>
        <w:tc>
          <w:tcPr>
            <w:tcW w:w="6436" w:type="dxa"/>
            <w:noWrap/>
            <w:vAlign w:val="center"/>
          </w:tcPr>
          <w:p w14:paraId="6169DE7E">
            <w:pPr>
              <w:widowControl/>
              <w:rPr>
                <w:rFonts w:hint="eastAsia" w:ascii="宋体" w:hAnsi="宋体" w:eastAsia="宋体" w:cs="宋体"/>
                <w:color w:val="000000"/>
                <w:kern w:val="0"/>
                <w:szCs w:val="21"/>
              </w:rPr>
            </w:pPr>
            <w:bookmarkStart w:id="135" w:name="RANGE!J29"/>
            <w:r>
              <w:rPr>
                <w:rFonts w:hint="eastAsia" w:ascii="宋体" w:hAnsi="宋体" w:eastAsia="宋体" w:cs="宋体"/>
                <w:color w:val="000000"/>
                <w:kern w:val="0"/>
                <w:szCs w:val="21"/>
              </w:rPr>
              <w:t>1.12 若采购人、最终用户或第三方应履行的义务对中标人履行本合同产生影响，中标人应及时书面通知采购人。中标人应尽合理商业努力与采购人及第三方进行协调、沟通与配合，以尽量减少对项目进度和性能的不利影响。双方应本着诚实信用原则，就项目进度和性能受到的影响进行协商并达成一致。</w:t>
            </w:r>
            <w:bookmarkEnd w:id="135"/>
          </w:p>
        </w:tc>
      </w:tr>
      <w:tr w14:paraId="0E78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540A3C06">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418" w:type="dxa"/>
            <w:vMerge w:val="restart"/>
            <w:vAlign w:val="center"/>
          </w:tcPr>
          <w:p w14:paraId="604C0ADF">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关于验收</w:t>
            </w:r>
          </w:p>
        </w:tc>
        <w:tc>
          <w:tcPr>
            <w:tcW w:w="6436" w:type="dxa"/>
            <w:noWrap/>
            <w:vAlign w:val="center"/>
          </w:tcPr>
          <w:p w14:paraId="0BB088AD">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▲2.1货物的最终验收应按照采购文件要求、投标文件响应以及招标后签署的合同技术文件要求执行。</w:t>
            </w:r>
          </w:p>
        </w:tc>
      </w:tr>
      <w:tr w14:paraId="6A43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7" w:hRule="atLeast"/>
        </w:trPr>
        <w:tc>
          <w:tcPr>
            <w:tcW w:w="709" w:type="dxa"/>
            <w:vMerge w:val="continue"/>
            <w:vAlign w:val="center"/>
          </w:tcPr>
          <w:p w14:paraId="4B1D483E">
            <w:pPr>
              <w:widowControl/>
              <w:rPr>
                <w:rFonts w:hint="eastAsia" w:ascii="宋体" w:hAnsi="宋体" w:eastAsia="宋体" w:cs="宋体"/>
                <w:color w:val="000000"/>
                <w:kern w:val="0"/>
                <w:szCs w:val="21"/>
              </w:rPr>
            </w:pPr>
          </w:p>
        </w:tc>
        <w:tc>
          <w:tcPr>
            <w:tcW w:w="1418" w:type="dxa"/>
            <w:vMerge w:val="continue"/>
            <w:vAlign w:val="center"/>
          </w:tcPr>
          <w:p w14:paraId="1193E38E">
            <w:pPr>
              <w:widowControl/>
              <w:rPr>
                <w:rFonts w:hint="eastAsia" w:ascii="宋体" w:hAnsi="宋体" w:eastAsia="宋体" w:cs="宋体"/>
                <w:color w:val="000000"/>
                <w:kern w:val="0"/>
                <w:szCs w:val="21"/>
              </w:rPr>
            </w:pPr>
          </w:p>
        </w:tc>
        <w:tc>
          <w:tcPr>
            <w:tcW w:w="6436" w:type="dxa"/>
            <w:noWrap/>
            <w:vAlign w:val="center"/>
          </w:tcPr>
          <w:p w14:paraId="2410B20F">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▲2.2 若非中标人的原因，导致ACCP制冷机的现场验收测试未能在下列期限届满前启动，以先到者为准：</w:t>
            </w:r>
          </w:p>
          <w:p w14:paraId="2F8BA5B1">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（1）自交付之日起15个月内；</w:t>
            </w:r>
          </w:p>
          <w:p w14:paraId="1B6052A4">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（2）自备妥交货通知之日起18个月内启动。</w:t>
            </w:r>
          </w:p>
          <w:p w14:paraId="2CB65768">
            <w:pPr>
              <w:rPr>
                <w:rFonts w:hint="eastAsia" w:ascii="宋体" w:hAnsi="宋体" w:eastAsia="宋体" w:cs="宋体"/>
                <w:color w:val="000000"/>
                <w:kern w:val="0"/>
                <w:szCs w:val="21"/>
              </w:rPr>
            </w:pPr>
            <w:r>
              <w:rPr>
                <w:rFonts w:hint="eastAsia" w:ascii="宋体" w:hAnsi="宋体" w:eastAsia="宋体" w:cs="宋体"/>
                <w:color w:val="000000"/>
                <w:kern w:val="0"/>
                <w:szCs w:val="21"/>
              </w:rPr>
              <w:t>出现上述情形的，则货物不被视为通过SAT现场验收，条件满足后仍须进行现场验收测试（SAT），但采购人同意收到中标人发票后支付货款。</w:t>
            </w:r>
          </w:p>
        </w:tc>
      </w:tr>
      <w:tr w14:paraId="77EB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3821DEE">
            <w:pPr>
              <w:widowControl/>
              <w:rPr>
                <w:rFonts w:hint="eastAsia" w:ascii="宋体" w:hAnsi="宋体" w:eastAsia="宋体" w:cs="宋体"/>
                <w:color w:val="000000"/>
                <w:kern w:val="0"/>
                <w:szCs w:val="21"/>
              </w:rPr>
            </w:pPr>
          </w:p>
        </w:tc>
        <w:tc>
          <w:tcPr>
            <w:tcW w:w="1418" w:type="dxa"/>
            <w:vMerge w:val="continue"/>
            <w:vAlign w:val="center"/>
          </w:tcPr>
          <w:p w14:paraId="449BA5D0">
            <w:pPr>
              <w:widowControl/>
              <w:rPr>
                <w:rFonts w:hint="eastAsia" w:ascii="宋体" w:hAnsi="宋体" w:eastAsia="宋体" w:cs="宋体"/>
                <w:color w:val="000000"/>
                <w:kern w:val="0"/>
                <w:szCs w:val="21"/>
              </w:rPr>
            </w:pPr>
          </w:p>
        </w:tc>
        <w:tc>
          <w:tcPr>
            <w:tcW w:w="6436" w:type="dxa"/>
            <w:noWrap/>
            <w:vAlign w:val="center"/>
          </w:tcPr>
          <w:p w14:paraId="54E88961">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2.3 若ACCP制冷机符合采购文件要求、投标文件响应以及招标后签署的合同技术文件要求中规定的现场验收测试（SAT）要求，采购人应于相关SAT完成之日14日内，向中标人出具该货物的通过SAT验收的签署或盖章的证明。</w:t>
            </w:r>
          </w:p>
        </w:tc>
      </w:tr>
      <w:tr w14:paraId="574C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D927D51">
            <w:pPr>
              <w:widowControl/>
              <w:rPr>
                <w:rFonts w:hint="eastAsia" w:ascii="宋体" w:hAnsi="宋体" w:eastAsia="宋体" w:cs="宋体"/>
                <w:color w:val="000000"/>
                <w:kern w:val="0"/>
                <w:szCs w:val="21"/>
              </w:rPr>
            </w:pPr>
          </w:p>
        </w:tc>
        <w:tc>
          <w:tcPr>
            <w:tcW w:w="1418" w:type="dxa"/>
            <w:vMerge w:val="continue"/>
            <w:vAlign w:val="center"/>
          </w:tcPr>
          <w:p w14:paraId="66648D80">
            <w:pPr>
              <w:widowControl/>
              <w:rPr>
                <w:rFonts w:hint="eastAsia" w:ascii="宋体" w:hAnsi="宋体" w:eastAsia="宋体" w:cs="宋体"/>
                <w:color w:val="000000"/>
                <w:kern w:val="0"/>
                <w:szCs w:val="21"/>
              </w:rPr>
            </w:pPr>
          </w:p>
        </w:tc>
        <w:tc>
          <w:tcPr>
            <w:tcW w:w="6436" w:type="dxa"/>
            <w:noWrap/>
            <w:vAlign w:val="center"/>
          </w:tcPr>
          <w:p w14:paraId="12C98050">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2.4工厂验收测试应按照中标后中标人拟定、采购人确认的验收测试方案和计划进行测试。采购人将参与压缩机、冷箱、透平膨胀机（如有）、冷压缩机（如有）在工厂进行的出厂检查和测试以及冷箱内部检查。</w:t>
            </w:r>
          </w:p>
        </w:tc>
      </w:tr>
      <w:tr w14:paraId="05668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442B03D2">
            <w:pPr>
              <w:widowControl/>
              <w:rPr>
                <w:rFonts w:hint="eastAsia" w:ascii="宋体" w:hAnsi="宋体" w:eastAsia="宋体" w:cs="宋体"/>
                <w:color w:val="000000"/>
                <w:kern w:val="0"/>
                <w:szCs w:val="21"/>
              </w:rPr>
            </w:pPr>
          </w:p>
        </w:tc>
        <w:tc>
          <w:tcPr>
            <w:tcW w:w="1418" w:type="dxa"/>
            <w:vMerge w:val="continue"/>
            <w:vAlign w:val="center"/>
          </w:tcPr>
          <w:p w14:paraId="0D261F31">
            <w:pPr>
              <w:widowControl/>
              <w:rPr>
                <w:rFonts w:hint="eastAsia" w:ascii="宋体" w:hAnsi="宋体" w:eastAsia="宋体" w:cs="宋体"/>
                <w:color w:val="000000"/>
                <w:kern w:val="0"/>
                <w:szCs w:val="21"/>
              </w:rPr>
            </w:pPr>
          </w:p>
        </w:tc>
        <w:tc>
          <w:tcPr>
            <w:tcW w:w="6436" w:type="dxa"/>
            <w:noWrap/>
            <w:vAlign w:val="center"/>
          </w:tcPr>
          <w:p w14:paraId="2195A84E">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2.5 若货物未能符合技术规格书中规定的现场验收测试（SAT）要求，且该等不符因中标人原因所致，中标人应迅速采取行动，并在其自身费用下采取一切必要措施予以补救。采购人应向中标人提供协调一致的货物使用条件，以便中标人实施上述措施。</w:t>
            </w:r>
          </w:p>
        </w:tc>
      </w:tr>
      <w:tr w14:paraId="38EF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4AFE5DE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418" w:type="dxa"/>
            <w:vMerge w:val="restart"/>
            <w:vAlign w:val="center"/>
          </w:tcPr>
          <w:p w14:paraId="33B96DA0">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售后服务的要求</w:t>
            </w:r>
          </w:p>
        </w:tc>
        <w:tc>
          <w:tcPr>
            <w:tcW w:w="6436" w:type="dxa"/>
            <w:noWrap/>
            <w:vAlign w:val="center"/>
          </w:tcPr>
          <w:p w14:paraId="66B7EC44">
            <w:pPr>
              <w:widowControl/>
              <w:rPr>
                <w:rFonts w:hint="eastAsia" w:ascii="宋体" w:hAnsi="宋体" w:eastAsia="宋体" w:cs="宋体"/>
                <w:color w:val="000000"/>
                <w:kern w:val="0"/>
                <w:szCs w:val="21"/>
              </w:rPr>
            </w:pPr>
            <w:bookmarkStart w:id="136" w:name="RANGE!J48"/>
            <w:r>
              <w:rPr>
                <w:rFonts w:hint="eastAsia" w:ascii="宋体" w:hAnsi="宋体" w:eastAsia="宋体" w:cs="宋体"/>
                <w:color w:val="000000"/>
                <w:kern w:val="0"/>
                <w:szCs w:val="21"/>
              </w:rPr>
              <w:t>▲3.1质量保证期为24个月，自货物在现场验收之日起算，或自货物通过工厂验收测试（FAT）且备妥交货通知之日起39个月，以两者中较早发生之日为准（“质量保证期”）。但仅针对常温氦气螺杆压缩机系统，其质量保证期为自现场验收之日起36个月，或自工厂验收测试（FAT）且备妥交货通知之日起48个月，以两者中较早发生之日为准。若出现直接且完全归因于中标人的缺陷，采购人应在发现缺陷后十五（15）日内书面通知中标人，并详细说明缺陷情况。若在质量保证期内发生材料或工艺缺陷，且因可归咎于中标人的原因无法及时修复或解决，导致因该缺陷造成的停机时间超过一（1）个月（30天），则质量保证期应作相应顺延。质保范围涵盖包含核心部件在内的整套设备，并视情况提供现场或远程维修或更换服务。</w:t>
            </w:r>
            <w:bookmarkEnd w:id="136"/>
          </w:p>
        </w:tc>
      </w:tr>
      <w:tr w14:paraId="5688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48F39E1">
            <w:pPr>
              <w:widowControl/>
              <w:rPr>
                <w:rFonts w:hint="eastAsia" w:ascii="宋体" w:hAnsi="宋体" w:eastAsia="宋体" w:cs="宋体"/>
                <w:color w:val="000000"/>
                <w:kern w:val="0"/>
                <w:szCs w:val="21"/>
              </w:rPr>
            </w:pPr>
          </w:p>
        </w:tc>
        <w:tc>
          <w:tcPr>
            <w:tcW w:w="1418" w:type="dxa"/>
            <w:vMerge w:val="continue"/>
            <w:vAlign w:val="center"/>
          </w:tcPr>
          <w:p w14:paraId="4358D863">
            <w:pPr>
              <w:widowControl/>
              <w:rPr>
                <w:rFonts w:hint="eastAsia" w:ascii="宋体" w:hAnsi="宋体" w:eastAsia="宋体" w:cs="宋体"/>
                <w:color w:val="000000"/>
                <w:kern w:val="0"/>
                <w:szCs w:val="21"/>
              </w:rPr>
            </w:pPr>
          </w:p>
        </w:tc>
        <w:tc>
          <w:tcPr>
            <w:tcW w:w="6436" w:type="dxa"/>
            <w:noWrap/>
            <w:vAlign w:val="center"/>
          </w:tcPr>
          <w:p w14:paraId="625E4BA1">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3.2在质保期内，设备一旦发生质量问题，供应商保证设备制造商保证在接到通知</w:t>
            </w:r>
            <w:r>
              <w:rPr>
                <w:rFonts w:hint="eastAsia" w:ascii="宋体" w:hAnsi="宋体" w:eastAsia="宋体" w:cs="宋体"/>
                <w:color w:val="000000"/>
                <w:kern w:val="0"/>
                <w:szCs w:val="21"/>
                <w:u w:val="single"/>
              </w:rPr>
              <w:t xml:space="preserve"> 24</w:t>
            </w:r>
            <w:r>
              <w:rPr>
                <w:rFonts w:hint="eastAsia" w:ascii="宋体" w:hAnsi="宋体" w:eastAsia="宋体" w:cs="宋体"/>
                <w:color w:val="000000"/>
                <w:kern w:val="0"/>
                <w:szCs w:val="21"/>
              </w:rPr>
              <w:t>小时内响应，到现场进行维修和更换。</w:t>
            </w:r>
          </w:p>
        </w:tc>
      </w:tr>
      <w:tr w14:paraId="694E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47906D53">
            <w:pPr>
              <w:widowControl/>
              <w:rPr>
                <w:rFonts w:hint="eastAsia" w:ascii="宋体" w:hAnsi="宋体" w:eastAsia="宋体" w:cs="宋体"/>
                <w:color w:val="000000"/>
                <w:kern w:val="0"/>
                <w:szCs w:val="21"/>
              </w:rPr>
            </w:pPr>
          </w:p>
        </w:tc>
        <w:tc>
          <w:tcPr>
            <w:tcW w:w="1418" w:type="dxa"/>
            <w:vMerge w:val="continue"/>
            <w:vAlign w:val="center"/>
          </w:tcPr>
          <w:p w14:paraId="2F37697A">
            <w:pPr>
              <w:widowControl/>
              <w:rPr>
                <w:rFonts w:hint="eastAsia" w:ascii="宋体" w:hAnsi="宋体" w:eastAsia="宋体" w:cs="宋体"/>
                <w:color w:val="000000"/>
                <w:kern w:val="0"/>
                <w:szCs w:val="21"/>
              </w:rPr>
            </w:pPr>
          </w:p>
        </w:tc>
        <w:tc>
          <w:tcPr>
            <w:tcW w:w="6436" w:type="dxa"/>
            <w:noWrap/>
            <w:vAlign w:val="center"/>
          </w:tcPr>
          <w:p w14:paraId="483661B3">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3.3 若在质保期内发生任何故障，中标人应自费对存在缺陷的货物进行维修或更换；除非中标人能证明该故障系因采购人未妥善储存、安装、组装、操作或维护货物所致。货物的正常磨损不属于中标人的保修义务范围，但因材料或工艺缺陷导致的侵蚀及腐蚀除外。</w:t>
            </w:r>
          </w:p>
        </w:tc>
      </w:tr>
      <w:tr w14:paraId="321E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58677853">
            <w:pPr>
              <w:widowControl/>
              <w:rPr>
                <w:rFonts w:hint="eastAsia" w:ascii="宋体" w:hAnsi="宋体" w:eastAsia="宋体" w:cs="宋体"/>
                <w:color w:val="000000"/>
                <w:kern w:val="0"/>
                <w:szCs w:val="21"/>
              </w:rPr>
            </w:pPr>
          </w:p>
        </w:tc>
        <w:tc>
          <w:tcPr>
            <w:tcW w:w="1418" w:type="dxa"/>
            <w:vMerge w:val="continue"/>
            <w:vAlign w:val="center"/>
          </w:tcPr>
          <w:p w14:paraId="64191CB9">
            <w:pPr>
              <w:widowControl/>
              <w:rPr>
                <w:rFonts w:hint="eastAsia" w:ascii="宋体" w:hAnsi="宋体" w:eastAsia="宋体" w:cs="宋体"/>
                <w:color w:val="000000"/>
                <w:kern w:val="0"/>
                <w:szCs w:val="21"/>
              </w:rPr>
            </w:pPr>
          </w:p>
        </w:tc>
        <w:tc>
          <w:tcPr>
            <w:tcW w:w="6436" w:type="dxa"/>
            <w:noWrap/>
            <w:vAlign w:val="center"/>
          </w:tcPr>
          <w:p w14:paraId="10FC1784">
            <w:pPr>
              <w:widowControl/>
              <w:rPr>
                <w:rFonts w:hint="eastAsia" w:ascii="宋体" w:hAnsi="宋体" w:eastAsia="宋体" w:cs="宋体"/>
                <w:b/>
                <w:bCs/>
                <w:color w:val="000000"/>
                <w:kern w:val="0"/>
                <w:szCs w:val="21"/>
              </w:rPr>
            </w:pPr>
            <w:r>
              <w:rPr>
                <w:rFonts w:hint="eastAsia" w:ascii="宋体" w:hAnsi="宋体" w:eastAsia="宋体" w:cs="宋体"/>
                <w:b/>
                <w:bCs/>
                <w:color w:val="FF0000"/>
                <w:kern w:val="0"/>
                <w:szCs w:val="21"/>
              </w:rPr>
              <w:t>▲3.4 若中标人货物为进口产品，则该进口产品的实际境外厂商须与中标人或同等主体共同就货物的质量保证义务承担连带保证责任。投标时，投标人需提供由设备制造商或其在中国境内的授权总代理商签署的有效且具有法律约束力的保修承诺函扫描件。</w:t>
            </w:r>
          </w:p>
        </w:tc>
      </w:tr>
      <w:tr w14:paraId="2FA2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8F0E03E">
            <w:pPr>
              <w:widowControl/>
              <w:rPr>
                <w:rFonts w:hint="eastAsia" w:ascii="宋体" w:hAnsi="宋体" w:eastAsia="宋体" w:cs="宋体"/>
                <w:color w:val="000000"/>
                <w:kern w:val="0"/>
                <w:szCs w:val="21"/>
              </w:rPr>
            </w:pPr>
          </w:p>
        </w:tc>
        <w:tc>
          <w:tcPr>
            <w:tcW w:w="1418" w:type="dxa"/>
            <w:vMerge w:val="continue"/>
            <w:vAlign w:val="center"/>
          </w:tcPr>
          <w:p w14:paraId="0725DCD3">
            <w:pPr>
              <w:widowControl/>
              <w:rPr>
                <w:rFonts w:hint="eastAsia" w:ascii="宋体" w:hAnsi="宋体" w:eastAsia="宋体" w:cs="宋体"/>
                <w:color w:val="000000"/>
                <w:kern w:val="0"/>
                <w:szCs w:val="21"/>
              </w:rPr>
            </w:pPr>
          </w:p>
        </w:tc>
        <w:tc>
          <w:tcPr>
            <w:tcW w:w="6436" w:type="dxa"/>
            <w:noWrap/>
            <w:vAlign w:val="center"/>
          </w:tcPr>
          <w:p w14:paraId="666AF0BB">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3.5 按采购人需求对采购人进行技术培训，并由设备制造商的技术人员对采购人进行操作技术培训，和提供相关技术资料，不额外收费。</w:t>
            </w:r>
          </w:p>
        </w:tc>
      </w:tr>
      <w:tr w14:paraId="2561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4" w:hRule="atLeast"/>
        </w:trPr>
        <w:tc>
          <w:tcPr>
            <w:tcW w:w="709" w:type="dxa"/>
            <w:vMerge w:val="restart"/>
            <w:vAlign w:val="center"/>
          </w:tcPr>
          <w:p w14:paraId="3D8E5803">
            <w:pP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418" w:type="dxa"/>
            <w:vMerge w:val="restart"/>
            <w:vAlign w:val="center"/>
          </w:tcPr>
          <w:p w14:paraId="0434AFDD">
            <w:pPr>
              <w:rPr>
                <w:rFonts w:hint="eastAsia" w:ascii="宋体" w:hAnsi="宋体" w:eastAsia="宋体" w:cs="宋体"/>
                <w:color w:val="000000"/>
                <w:kern w:val="0"/>
                <w:szCs w:val="21"/>
              </w:rPr>
            </w:pPr>
            <w:r>
              <w:rPr>
                <w:rFonts w:hint="eastAsia" w:ascii="宋体" w:hAnsi="宋体" w:eastAsia="宋体" w:cs="宋体"/>
                <w:b/>
                <w:bCs/>
                <w:color w:val="000000"/>
                <w:kern w:val="0"/>
                <w:szCs w:val="21"/>
              </w:rPr>
              <w:t>付款方式及时间安排</w:t>
            </w:r>
          </w:p>
        </w:tc>
        <w:tc>
          <w:tcPr>
            <w:tcW w:w="6436" w:type="dxa"/>
            <w:noWrap/>
            <w:vAlign w:val="center"/>
          </w:tcPr>
          <w:p w14:paraId="033EAAAD">
            <w:pPr>
              <w:widowControl/>
              <w:rPr>
                <w:rFonts w:hint="eastAsia" w:ascii="宋体" w:hAnsi="宋体" w:eastAsia="宋体" w:cs="宋体"/>
                <w:color w:val="000000"/>
                <w:kern w:val="0"/>
                <w:szCs w:val="21"/>
              </w:rPr>
            </w:pPr>
            <w:bookmarkStart w:id="137" w:name="RANGE!J55"/>
            <w:r>
              <w:rPr>
                <w:rFonts w:hint="eastAsia" w:ascii="宋体" w:hAnsi="宋体" w:eastAsia="宋体" w:cs="宋体"/>
                <w:color w:val="000000"/>
                <w:kern w:val="0"/>
                <w:szCs w:val="21"/>
              </w:rPr>
              <w:t>★4.1 如无特殊情况，货款将预计分【五】期支付：</w:t>
            </w:r>
          </w:p>
          <w:bookmarkEnd w:id="137"/>
          <w:p w14:paraId="16266EFE">
            <w:pPr>
              <w:widowControl/>
              <w:rPr>
                <w:rFonts w:hint="eastAsia" w:ascii="宋体" w:hAnsi="宋体" w:eastAsia="宋体" w:cs="宋体"/>
                <w:color w:val="000000"/>
                <w:kern w:val="0"/>
                <w:szCs w:val="21"/>
              </w:rPr>
            </w:pPr>
            <w:bookmarkStart w:id="138" w:name="RANGE!J56"/>
            <w:r>
              <w:rPr>
                <w:rFonts w:hint="eastAsia" w:ascii="宋体" w:hAnsi="宋体" w:eastAsia="宋体" w:cs="宋体"/>
                <w:color w:val="000000"/>
                <w:kern w:val="0"/>
                <w:szCs w:val="21"/>
              </w:rPr>
              <w:t>（1）合同签订后10个工作日内，采购人支付合同含税总价款30%作为首付款的货款；</w:t>
            </w:r>
          </w:p>
          <w:bookmarkEnd w:id="138"/>
          <w:p w14:paraId="5B7CBCF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（2）合同签订后12个月内，供应商完成初步设计评审（PDR），并根据由双方签署盖章的会议纪要后10个工作日内，采购人支付合同含税总价款20%的货款；</w:t>
            </w:r>
          </w:p>
          <w:p w14:paraId="5B6A38DF">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（3）合同签订后21个月内，供应商完成关键设计评审（CDR），并提供由双方签署盖章的会议纪要后10个工作日，采购人支付合同含税总价款20%的货款；</w:t>
            </w:r>
          </w:p>
          <w:p w14:paraId="1514B548">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4）合同签订后33个月内，中标人按合同要求完成出厂验收，且中标人完成交货，或中标人设备出厂验收（FAT）及办妥发货通知3个月后，以两者中较早发生者为准的10个工作日内，凭采购人签字盖章的交货单或FAT报告。采购人支付装运货值20 %的货款；</w:t>
            </w:r>
          </w:p>
          <w:p w14:paraId="3AA6A053">
            <w:pPr>
              <w:rPr>
                <w:rFonts w:hint="eastAsia" w:ascii="宋体" w:hAnsi="宋体" w:eastAsia="宋体" w:cs="宋体"/>
                <w:color w:val="000000"/>
                <w:kern w:val="0"/>
                <w:szCs w:val="21"/>
              </w:rPr>
            </w:pPr>
            <w:r>
              <w:rPr>
                <w:rFonts w:hint="eastAsia" w:ascii="宋体" w:hAnsi="宋体" w:eastAsia="宋体" w:cs="宋体"/>
                <w:color w:val="000000"/>
                <w:kern w:val="0"/>
                <w:szCs w:val="21"/>
              </w:rPr>
              <w:t>（5）自中标人完成设备安装、调试，且按合同要求通过现场验收测试（SAT），且采购人签字盖章现场验收测试报后10个工作日内，采购人支付合同含税总价款的10%的货款。</w:t>
            </w:r>
          </w:p>
        </w:tc>
      </w:tr>
      <w:tr w14:paraId="5CAD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031A874">
            <w:pPr>
              <w:widowControl/>
              <w:rPr>
                <w:rFonts w:hint="eastAsia" w:ascii="宋体" w:hAnsi="宋体" w:eastAsia="宋体" w:cs="宋体"/>
                <w:color w:val="000000"/>
                <w:kern w:val="0"/>
                <w:szCs w:val="21"/>
              </w:rPr>
            </w:pPr>
          </w:p>
        </w:tc>
        <w:tc>
          <w:tcPr>
            <w:tcW w:w="1418" w:type="dxa"/>
            <w:vMerge w:val="continue"/>
            <w:vAlign w:val="center"/>
          </w:tcPr>
          <w:p w14:paraId="380C8AC0">
            <w:pPr>
              <w:widowControl/>
              <w:rPr>
                <w:rFonts w:hint="eastAsia" w:ascii="宋体" w:hAnsi="宋体" w:eastAsia="宋体" w:cs="宋体"/>
                <w:color w:val="000000"/>
                <w:kern w:val="0"/>
                <w:szCs w:val="21"/>
              </w:rPr>
            </w:pPr>
          </w:p>
        </w:tc>
        <w:tc>
          <w:tcPr>
            <w:tcW w:w="6436" w:type="dxa"/>
            <w:noWrap/>
            <w:vAlign w:val="center"/>
          </w:tcPr>
          <w:p w14:paraId="379EA85A">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4.2如进口产品中标，采购人负责办理中国境内的货物进口批文及免税手续，并委托外贸公司代理进口业务。</w:t>
            </w:r>
          </w:p>
        </w:tc>
      </w:tr>
      <w:tr w14:paraId="57F4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22A859EB">
            <w:pPr>
              <w:widowControl/>
              <w:rPr>
                <w:rFonts w:hint="eastAsia" w:ascii="宋体" w:hAnsi="宋体" w:eastAsia="宋体" w:cs="宋体"/>
                <w:color w:val="000000"/>
                <w:kern w:val="0"/>
                <w:szCs w:val="21"/>
              </w:rPr>
            </w:pPr>
          </w:p>
        </w:tc>
        <w:tc>
          <w:tcPr>
            <w:tcW w:w="1418" w:type="dxa"/>
            <w:vMerge w:val="continue"/>
            <w:vAlign w:val="center"/>
          </w:tcPr>
          <w:p w14:paraId="61D2C14D">
            <w:pPr>
              <w:widowControl/>
              <w:rPr>
                <w:rFonts w:hint="eastAsia" w:ascii="宋体" w:hAnsi="宋体" w:eastAsia="宋体" w:cs="宋体"/>
                <w:color w:val="000000"/>
                <w:kern w:val="0"/>
                <w:szCs w:val="21"/>
              </w:rPr>
            </w:pPr>
          </w:p>
        </w:tc>
        <w:tc>
          <w:tcPr>
            <w:tcW w:w="6436" w:type="dxa"/>
            <w:noWrap/>
            <w:vAlign w:val="center"/>
          </w:tcPr>
          <w:p w14:paraId="012A89CB">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4.3 若因非归咎于中标人的原因，中标人未按合同约定收到任何款项，则中标人有权暂停履行其在合同项下的义务。</w:t>
            </w:r>
          </w:p>
        </w:tc>
      </w:tr>
      <w:tr w14:paraId="6644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3E003B5">
            <w:pPr>
              <w:widowControl/>
              <w:rPr>
                <w:rFonts w:hint="eastAsia" w:ascii="宋体" w:hAnsi="宋体" w:eastAsia="宋体" w:cs="宋体"/>
                <w:color w:val="000000"/>
                <w:kern w:val="0"/>
                <w:szCs w:val="21"/>
              </w:rPr>
            </w:pPr>
          </w:p>
        </w:tc>
        <w:tc>
          <w:tcPr>
            <w:tcW w:w="1418" w:type="dxa"/>
            <w:vMerge w:val="continue"/>
            <w:vAlign w:val="center"/>
          </w:tcPr>
          <w:p w14:paraId="78AD71DA">
            <w:pPr>
              <w:widowControl/>
              <w:rPr>
                <w:rFonts w:hint="eastAsia" w:ascii="宋体" w:hAnsi="宋体" w:eastAsia="宋体" w:cs="宋体"/>
                <w:color w:val="000000"/>
                <w:kern w:val="0"/>
                <w:szCs w:val="21"/>
              </w:rPr>
            </w:pPr>
          </w:p>
        </w:tc>
        <w:tc>
          <w:tcPr>
            <w:tcW w:w="6436" w:type="dxa"/>
            <w:noWrap/>
            <w:vAlign w:val="center"/>
          </w:tcPr>
          <w:p w14:paraId="667D0C0E">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4.4 中标人应在每笔付款前提供合格等额的增值税发票；如为进口产品，则须提供合格等额有效的商业发票。未提供或发票不合格的，采购人付款期限相应顺延</w:t>
            </w:r>
          </w:p>
        </w:tc>
      </w:tr>
      <w:tr w14:paraId="502E2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D48614B">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418" w:type="dxa"/>
            <w:vAlign w:val="center"/>
          </w:tcPr>
          <w:p w14:paraId="27F1BCE3">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保密要求</w:t>
            </w:r>
          </w:p>
        </w:tc>
        <w:tc>
          <w:tcPr>
            <w:tcW w:w="6436" w:type="dxa"/>
            <w:noWrap/>
            <w:vAlign w:val="center"/>
          </w:tcPr>
          <w:p w14:paraId="66F7EC39">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除另行许可外，任何一方均承诺其不会在任何时间或在本合同有效期内的任何时间，向任何人披露与对方【或对方所属公司集团的任何成员】的业务、事务、顾客、客户或供应商有关的任何保密信息。</w:t>
            </w:r>
          </w:p>
        </w:tc>
      </w:tr>
      <w:tr w14:paraId="359EA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46BA4518">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418" w:type="dxa"/>
            <w:vMerge w:val="restart"/>
            <w:vAlign w:val="center"/>
          </w:tcPr>
          <w:p w14:paraId="5D515E80">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知识产权</w:t>
            </w:r>
          </w:p>
        </w:tc>
        <w:tc>
          <w:tcPr>
            <w:tcW w:w="6436" w:type="dxa"/>
            <w:noWrap/>
            <w:vAlign w:val="center"/>
          </w:tcPr>
          <w:p w14:paraId="091CEC3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6.1 除最终用户使用和维护本产品所必需的范围外，中标人可以不将与本产品、本产品的设计、制造工艺和/或与之相关的任何专有技术有关的任何专利、许可、版权和/或其他工业或知识产权授予采购人。</w:t>
            </w:r>
          </w:p>
        </w:tc>
      </w:tr>
      <w:tr w14:paraId="6683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6B5DDDEB">
            <w:pPr>
              <w:widowControl/>
              <w:rPr>
                <w:rFonts w:hint="eastAsia" w:ascii="宋体" w:hAnsi="宋体" w:eastAsia="宋体" w:cs="宋体"/>
                <w:color w:val="000000"/>
                <w:kern w:val="0"/>
                <w:szCs w:val="21"/>
              </w:rPr>
            </w:pPr>
          </w:p>
        </w:tc>
        <w:tc>
          <w:tcPr>
            <w:tcW w:w="1418" w:type="dxa"/>
            <w:vMerge w:val="continue"/>
            <w:vAlign w:val="center"/>
          </w:tcPr>
          <w:p w14:paraId="32381A21">
            <w:pPr>
              <w:widowControl/>
              <w:rPr>
                <w:rFonts w:hint="eastAsia" w:ascii="宋体" w:hAnsi="宋体" w:eastAsia="宋体" w:cs="宋体"/>
                <w:color w:val="000000"/>
                <w:kern w:val="0"/>
                <w:szCs w:val="21"/>
              </w:rPr>
            </w:pPr>
          </w:p>
        </w:tc>
        <w:tc>
          <w:tcPr>
            <w:tcW w:w="6436" w:type="dxa"/>
            <w:noWrap/>
            <w:vAlign w:val="center"/>
          </w:tcPr>
          <w:p w14:paraId="2235016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6.2 中标人应同意，如果采购人和最终用户在任何诉讼或程序中声称使用本协议项下提供的产品构成对任何第三方有效知识产权的侵犯，中标人将自费并在下文所述的范围内，保护采购人和最终用户免受采购人和最终用户产生的所有已证明的金额和合理的律师费和开支的损害。前提是采购人或最终用户：（1）及时向中标人提交任何侵权索赔；（2）允许中标人承担或控制该等诉讼的抗辩；（3）提供中标人为进行抗辩而合理要求的所有信息和协助。</w:t>
            </w:r>
          </w:p>
        </w:tc>
      </w:tr>
      <w:tr w14:paraId="46AD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1CA43C12">
            <w:pPr>
              <w:widowControl/>
              <w:rPr>
                <w:rFonts w:hint="eastAsia" w:ascii="宋体" w:hAnsi="宋体" w:eastAsia="宋体" w:cs="宋体"/>
                <w:color w:val="000000"/>
                <w:kern w:val="0"/>
                <w:szCs w:val="21"/>
              </w:rPr>
            </w:pPr>
          </w:p>
        </w:tc>
        <w:tc>
          <w:tcPr>
            <w:tcW w:w="1418" w:type="dxa"/>
            <w:vMerge w:val="continue"/>
            <w:vAlign w:val="center"/>
          </w:tcPr>
          <w:p w14:paraId="52A22F98">
            <w:pPr>
              <w:widowControl/>
              <w:rPr>
                <w:rFonts w:hint="eastAsia" w:ascii="宋体" w:hAnsi="宋体" w:eastAsia="宋体" w:cs="宋体"/>
                <w:color w:val="000000"/>
                <w:kern w:val="0"/>
                <w:szCs w:val="21"/>
              </w:rPr>
            </w:pPr>
          </w:p>
        </w:tc>
        <w:tc>
          <w:tcPr>
            <w:tcW w:w="6436" w:type="dxa"/>
            <w:noWrap/>
            <w:vAlign w:val="center"/>
          </w:tcPr>
          <w:p w14:paraId="626E9094">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6.3 若产品的使用被具有管辖权的法院终局判决认定为侵权并被下达禁令，采购人有权要求中标人自费采取以下措施：（1）获取采购人继续使用该产品的权利；（2）以非侵权产品替代；（3）修改产品使其成为非侵权产品；（4）拆除产品并向采购人退还所有已付款项，并赔偿采购人因此遭受的所有直接损失。</w:t>
            </w:r>
          </w:p>
        </w:tc>
      </w:tr>
      <w:tr w14:paraId="41C9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28977562">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418" w:type="dxa"/>
            <w:vMerge w:val="restart"/>
            <w:vAlign w:val="center"/>
          </w:tcPr>
          <w:p w14:paraId="52FC9641">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违约责任</w:t>
            </w:r>
          </w:p>
        </w:tc>
        <w:tc>
          <w:tcPr>
            <w:tcW w:w="6436" w:type="dxa"/>
            <w:noWrap/>
            <w:vAlign w:val="center"/>
          </w:tcPr>
          <w:p w14:paraId="43EBA296">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7.1如中标人不能按合同规定的时间交货，且该延迟完全由中标人原因所致，采购人同意接受延迟交货并给予中标人3个月宽限期。如中标人延迟超过该宽限期，中标人应支付违约金。该违约金应按超过宽限期届满后每天按延迟交付所涉货物总价值的0.1%计算。但违约金总额不超过投标总价的百分之五（5%）。</w:t>
            </w:r>
          </w:p>
        </w:tc>
      </w:tr>
      <w:tr w14:paraId="77E0A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30BA1E5">
            <w:pPr>
              <w:widowControl/>
              <w:rPr>
                <w:rFonts w:hint="eastAsia" w:ascii="宋体" w:hAnsi="宋体" w:eastAsia="宋体" w:cs="宋体"/>
                <w:color w:val="000000"/>
                <w:kern w:val="0"/>
                <w:szCs w:val="21"/>
              </w:rPr>
            </w:pPr>
          </w:p>
        </w:tc>
        <w:tc>
          <w:tcPr>
            <w:tcW w:w="1418" w:type="dxa"/>
            <w:vMerge w:val="continue"/>
            <w:vAlign w:val="center"/>
          </w:tcPr>
          <w:p w14:paraId="5B0626B7">
            <w:pPr>
              <w:widowControl/>
              <w:rPr>
                <w:rFonts w:hint="eastAsia" w:ascii="宋体" w:hAnsi="宋体" w:eastAsia="宋体" w:cs="宋体"/>
                <w:color w:val="000000"/>
                <w:kern w:val="0"/>
                <w:szCs w:val="21"/>
              </w:rPr>
            </w:pPr>
          </w:p>
        </w:tc>
        <w:tc>
          <w:tcPr>
            <w:tcW w:w="6436" w:type="dxa"/>
            <w:noWrap/>
            <w:vAlign w:val="center"/>
          </w:tcPr>
          <w:p w14:paraId="5BDE3D40">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7.2如中标人交货延迟超过合同交货期限5个月，采购人和中标人可进一步协商确定合理的宽限期，相关违约金按相关所涉货物总价值的的0.1%每日历日计算，最高不超过合同总价的百分之五（5%）。如中标人在双方协商的额外宽限期届满后仍未交付货物，或采购人和中标人未就该额外宽限期达成一致，则该事项应由采购人和中标人协商解决。</w:t>
            </w:r>
          </w:p>
        </w:tc>
      </w:tr>
      <w:tr w14:paraId="4256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E1C36F2">
            <w:pPr>
              <w:widowControl/>
              <w:rPr>
                <w:rFonts w:hint="eastAsia" w:ascii="宋体" w:hAnsi="宋体" w:eastAsia="宋体" w:cs="宋体"/>
                <w:color w:val="000000"/>
                <w:kern w:val="0"/>
                <w:szCs w:val="21"/>
              </w:rPr>
            </w:pPr>
          </w:p>
        </w:tc>
        <w:tc>
          <w:tcPr>
            <w:tcW w:w="1418" w:type="dxa"/>
            <w:vMerge w:val="continue"/>
            <w:vAlign w:val="center"/>
          </w:tcPr>
          <w:p w14:paraId="509B6CF7">
            <w:pPr>
              <w:widowControl/>
              <w:rPr>
                <w:rFonts w:hint="eastAsia" w:ascii="宋体" w:hAnsi="宋体" w:eastAsia="宋体" w:cs="宋体"/>
                <w:color w:val="000000"/>
                <w:kern w:val="0"/>
                <w:szCs w:val="21"/>
              </w:rPr>
            </w:pPr>
          </w:p>
        </w:tc>
        <w:tc>
          <w:tcPr>
            <w:tcW w:w="6436" w:type="dxa"/>
            <w:noWrap/>
            <w:vAlign w:val="center"/>
          </w:tcPr>
          <w:p w14:paraId="016CB489">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7.3由于超出中标人合理控制的原因造成延期交货，如发生不可抗力事件、出口限制或采购人延迟付款，中标人不承担迟交货罚款。由于采购人的原因导致中标人不能按时交货或安装，因此造成的仓储费用另行约定。</w:t>
            </w:r>
          </w:p>
        </w:tc>
      </w:tr>
      <w:tr w14:paraId="7611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749F1776">
            <w:pPr>
              <w:widowControl/>
              <w:rPr>
                <w:rFonts w:hint="eastAsia" w:ascii="宋体" w:hAnsi="宋体" w:eastAsia="宋体" w:cs="宋体"/>
                <w:color w:val="000000"/>
                <w:kern w:val="0"/>
                <w:szCs w:val="21"/>
              </w:rPr>
            </w:pPr>
          </w:p>
        </w:tc>
        <w:tc>
          <w:tcPr>
            <w:tcW w:w="1418" w:type="dxa"/>
            <w:vMerge w:val="continue"/>
            <w:vAlign w:val="center"/>
          </w:tcPr>
          <w:p w14:paraId="036C7E34">
            <w:pPr>
              <w:widowControl/>
              <w:rPr>
                <w:rFonts w:hint="eastAsia" w:ascii="宋体" w:hAnsi="宋体" w:eastAsia="宋体" w:cs="宋体"/>
                <w:color w:val="000000"/>
                <w:kern w:val="0"/>
                <w:szCs w:val="21"/>
              </w:rPr>
            </w:pPr>
          </w:p>
        </w:tc>
        <w:tc>
          <w:tcPr>
            <w:tcW w:w="6436" w:type="dxa"/>
            <w:noWrap/>
            <w:vAlign w:val="center"/>
          </w:tcPr>
          <w:p w14:paraId="111F3A71">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▲7.4 若在现场验收测试中取得的任一项性能指标未能达到采购文件要求、投标文件响应以及招标后签署的合同技术文件约定响应的保证值的97% ，则构成对本合同的重大违约。在此情况下，采购人有权自行选择行使以下救济权利：(a) 单方解除本合同。合同解除后，中标人应退还采购人就货物已支付的所有款项中超出截至终止前因合法且已完成履行而应得的无争议金额的部分及相应利息，并赔偿采购人因此遭受的损失；或(b) 要求中标人在双方共同商定的合理时间内自费消除该等缺陷（包括但不限于整改费用、运输费及重新测试费用等）。若中标人经整改后仍未能达到保证性能，但整改后至少达到保证性能的97%，则中标人需支付违约金（违约金费率为：每低于保证值1%（按完整百分点计算），支付相应合同金额的1%。针对各项性能指标的违约金总额不得超过相关合同金额的3%。）。如中标人在整改后仍未至少达到保证性能的97%，采购人应有权单方解除本合同，并要求中标人退还超出截至终止前因合法且已完成履行而应得的无争议金额的所有已付款项，并赔偿损失。</w:t>
            </w:r>
          </w:p>
        </w:tc>
      </w:tr>
      <w:tr w14:paraId="349C4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9" w:type="dxa"/>
            <w:vMerge w:val="continue"/>
            <w:vAlign w:val="center"/>
          </w:tcPr>
          <w:p w14:paraId="2DD74B88">
            <w:pPr>
              <w:widowControl/>
              <w:rPr>
                <w:rFonts w:hint="eastAsia" w:ascii="宋体" w:hAnsi="宋体" w:eastAsia="宋体" w:cs="宋体"/>
                <w:color w:val="000000"/>
                <w:kern w:val="0"/>
                <w:szCs w:val="21"/>
              </w:rPr>
            </w:pPr>
          </w:p>
        </w:tc>
        <w:tc>
          <w:tcPr>
            <w:tcW w:w="1418" w:type="dxa"/>
            <w:vMerge w:val="continue"/>
            <w:vAlign w:val="center"/>
          </w:tcPr>
          <w:p w14:paraId="44A13C69">
            <w:pPr>
              <w:widowControl/>
              <w:rPr>
                <w:rFonts w:hint="eastAsia" w:ascii="宋体" w:hAnsi="宋体" w:eastAsia="宋体" w:cs="宋体"/>
                <w:color w:val="000000"/>
                <w:kern w:val="0"/>
                <w:szCs w:val="21"/>
              </w:rPr>
            </w:pPr>
          </w:p>
        </w:tc>
        <w:tc>
          <w:tcPr>
            <w:tcW w:w="6436" w:type="dxa"/>
            <w:noWrap/>
            <w:vAlign w:val="center"/>
          </w:tcPr>
          <w:p w14:paraId="208F4D7C">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7.5 如违约方严重违反本合同的重大条款或条件，守约方有权在收到守约方书面通知后的三十天内发出书面通知终止本合同，前提是违约方在收到守约方书面通知后未在规定期限内作出补救，该期限不得少于九十天。</w:t>
            </w:r>
          </w:p>
        </w:tc>
      </w:tr>
      <w:tr w14:paraId="1AE1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1262C530">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418" w:type="dxa"/>
            <w:vMerge w:val="restart"/>
            <w:vAlign w:val="center"/>
          </w:tcPr>
          <w:p w14:paraId="561FB8C9">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不可抗力</w:t>
            </w:r>
          </w:p>
        </w:tc>
        <w:tc>
          <w:tcPr>
            <w:tcW w:w="6436" w:type="dxa"/>
            <w:noWrap/>
            <w:vAlign w:val="center"/>
          </w:tcPr>
          <w:p w14:paraId="6DCE355A">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8.1 若因战争、地震、任何法律或法规的变更、新法律或法规的颁布，或任何政府当局的决定或行为（包括拒绝、撤销或不予续签与货物销售或制造相关的出口/进口许可证及其他政府授权，以及实施进出口管制、禁令、贸易制裁或海关清关限制，如涉及），以及其他超出采购人和中标人合理控制范围的原因（统称“不可抗力”），导致一方未能履行其在本合同项下的义务、延迟交付或未能交付货物，受影响的一方应在知悉该事件后立即将此等事件的发生以书面形式通知另一方，并提供相关官方证明文件，同时采取一切合理措施以减轻不可抗力事件造成的影响。在不可抗力事项得到证实后，另一方有权根据该事件对合同履行的实际影响程度，部分或全部免除受影响方的违约责任。如不可抗力事件的发生、持续或加重可归因于一方未采取合理措施减轻影响或该方的过错，则该方不得免除其在本条项下的责任，并应赔偿另一方因此遭受的损失。</w:t>
            </w:r>
          </w:p>
        </w:tc>
      </w:tr>
      <w:tr w14:paraId="00423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3A7ECC58">
            <w:pPr>
              <w:widowControl/>
              <w:rPr>
                <w:rFonts w:hint="eastAsia" w:ascii="宋体" w:hAnsi="宋体" w:eastAsia="宋体" w:cs="宋体"/>
                <w:color w:val="000000"/>
                <w:kern w:val="0"/>
                <w:szCs w:val="21"/>
              </w:rPr>
            </w:pPr>
          </w:p>
        </w:tc>
        <w:tc>
          <w:tcPr>
            <w:tcW w:w="1418" w:type="dxa"/>
            <w:vMerge w:val="continue"/>
            <w:vAlign w:val="center"/>
          </w:tcPr>
          <w:p w14:paraId="30A08852">
            <w:pPr>
              <w:widowControl/>
              <w:rPr>
                <w:rFonts w:hint="eastAsia" w:ascii="宋体" w:hAnsi="宋体" w:eastAsia="宋体" w:cs="宋体"/>
                <w:color w:val="000000"/>
                <w:kern w:val="0"/>
                <w:szCs w:val="21"/>
              </w:rPr>
            </w:pPr>
          </w:p>
        </w:tc>
        <w:tc>
          <w:tcPr>
            <w:tcW w:w="6436" w:type="dxa"/>
            <w:noWrap/>
            <w:vAlign w:val="center"/>
          </w:tcPr>
          <w:p w14:paraId="60282C8E">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8.2 若不可抗力事件持续超过180天，任何一方均有权终止本合同。任何一方均无权就该终止向另一方主张损害赔偿、违约金或补偿。合同终止后的款项结算和货物处置应由采购人与中标人协商解决。</w:t>
            </w:r>
          </w:p>
        </w:tc>
      </w:tr>
      <w:tr w14:paraId="1189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2BD810AA">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418" w:type="dxa"/>
            <w:vMerge w:val="restart"/>
            <w:vAlign w:val="center"/>
          </w:tcPr>
          <w:p w14:paraId="1CC98F28">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适用法律与争议解决</w:t>
            </w:r>
          </w:p>
        </w:tc>
        <w:tc>
          <w:tcPr>
            <w:tcW w:w="6436" w:type="dxa"/>
            <w:noWrap/>
            <w:vAlign w:val="center"/>
          </w:tcPr>
          <w:p w14:paraId="2E0F06F0">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9.1 中标人、采购人之间所有与合同有关或在执行合同过程中发生的纠纷应通过友好协商的方式解决。</w:t>
            </w:r>
          </w:p>
        </w:tc>
      </w:tr>
      <w:tr w14:paraId="2924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04123D28">
            <w:pPr>
              <w:widowControl/>
              <w:rPr>
                <w:rFonts w:hint="eastAsia" w:ascii="宋体" w:hAnsi="宋体" w:eastAsia="宋体" w:cs="宋体"/>
                <w:color w:val="000000"/>
                <w:kern w:val="0"/>
                <w:szCs w:val="21"/>
              </w:rPr>
            </w:pPr>
          </w:p>
        </w:tc>
        <w:tc>
          <w:tcPr>
            <w:tcW w:w="1418" w:type="dxa"/>
            <w:vMerge w:val="continue"/>
            <w:vAlign w:val="center"/>
          </w:tcPr>
          <w:p w14:paraId="551A413A">
            <w:pPr>
              <w:widowControl/>
              <w:rPr>
                <w:rFonts w:hint="eastAsia" w:ascii="宋体" w:hAnsi="宋体" w:eastAsia="宋体" w:cs="宋体"/>
                <w:color w:val="000000"/>
                <w:kern w:val="0"/>
                <w:szCs w:val="21"/>
              </w:rPr>
            </w:pPr>
          </w:p>
        </w:tc>
        <w:tc>
          <w:tcPr>
            <w:tcW w:w="6436" w:type="dxa"/>
            <w:noWrap/>
            <w:vAlign w:val="center"/>
          </w:tcPr>
          <w:p w14:paraId="72FE8442">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9.2 合同履行期间如发生任何争议，应优先协商解决；协商不成的，任何一方均有权提交仲裁解决，仲裁机构具体以合同签订为准</w:t>
            </w:r>
          </w:p>
        </w:tc>
      </w:tr>
      <w:tr w14:paraId="1C2C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restart"/>
            <w:vAlign w:val="center"/>
          </w:tcPr>
          <w:p w14:paraId="2CA1C9DF">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418" w:type="dxa"/>
            <w:vMerge w:val="restart"/>
            <w:vAlign w:val="center"/>
          </w:tcPr>
          <w:p w14:paraId="08AD5D6F">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其它商务条款</w:t>
            </w:r>
          </w:p>
        </w:tc>
        <w:tc>
          <w:tcPr>
            <w:tcW w:w="6436" w:type="dxa"/>
            <w:noWrap/>
            <w:vAlign w:val="center"/>
          </w:tcPr>
          <w:p w14:paraId="1A21C26E">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10.1 就招标货物提供或相关的设备、备件、材料和技术数据，各方必须遵守限制性法律，且不得为任何受限人员的利益从事任何贸易、商业或其他活动，前提是该等活动根据适用的限制性法律被禁止或限制，或需要取得许可、授权或批准；亦不得以其他方式实施违反限制性法律或导致其被指定为受限人员的行为。</w:t>
            </w:r>
          </w:p>
        </w:tc>
      </w:tr>
      <w:tr w14:paraId="15DD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Merge w:val="continue"/>
            <w:vAlign w:val="center"/>
          </w:tcPr>
          <w:p w14:paraId="48BA2D52">
            <w:pPr>
              <w:widowControl/>
              <w:rPr>
                <w:rFonts w:hint="eastAsia" w:ascii="宋体" w:hAnsi="宋体" w:eastAsia="宋体" w:cs="宋体"/>
                <w:color w:val="000000"/>
                <w:kern w:val="0"/>
                <w:szCs w:val="21"/>
              </w:rPr>
            </w:pPr>
          </w:p>
        </w:tc>
        <w:tc>
          <w:tcPr>
            <w:tcW w:w="1418" w:type="dxa"/>
            <w:vMerge w:val="continue"/>
            <w:vAlign w:val="center"/>
          </w:tcPr>
          <w:p w14:paraId="0208AB43">
            <w:pPr>
              <w:widowControl/>
              <w:rPr>
                <w:rFonts w:hint="eastAsia" w:ascii="宋体" w:hAnsi="宋体" w:eastAsia="宋体" w:cs="宋体"/>
                <w:color w:val="000000"/>
                <w:kern w:val="0"/>
                <w:szCs w:val="21"/>
              </w:rPr>
            </w:pPr>
          </w:p>
        </w:tc>
        <w:tc>
          <w:tcPr>
            <w:tcW w:w="6436" w:type="dxa"/>
            <w:noWrap/>
            <w:vAlign w:val="center"/>
          </w:tcPr>
          <w:p w14:paraId="7B415EC4">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10.2 中标人依本合同出具的发票、装箱单及其他单据，应严格与本合同相符。同时，中标人依本合同交付的货物，应严格与发票及装箱单相符。中标人违反本约定的，应自行承担由此产生的一切后果。</w:t>
            </w:r>
          </w:p>
        </w:tc>
      </w:tr>
      <w:tr w14:paraId="5BE5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4" w:hRule="atLeast"/>
        </w:trPr>
        <w:tc>
          <w:tcPr>
            <w:tcW w:w="709" w:type="dxa"/>
            <w:vMerge w:val="restart"/>
            <w:vAlign w:val="center"/>
          </w:tcPr>
          <w:p w14:paraId="3DBDD488">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418" w:type="dxa"/>
            <w:vMerge w:val="restart"/>
            <w:vAlign w:val="center"/>
          </w:tcPr>
          <w:p w14:paraId="72A7A84A">
            <w:pPr>
              <w:widowControl/>
              <w:rPr>
                <w:rFonts w:hint="eastAsia" w:ascii="宋体" w:hAnsi="宋体" w:eastAsia="宋体" w:cs="宋体"/>
                <w:color w:val="000000"/>
                <w:kern w:val="0"/>
                <w:szCs w:val="21"/>
              </w:rPr>
            </w:pPr>
            <w:r>
              <w:rPr>
                <w:rFonts w:hint="eastAsia" w:ascii="宋体" w:hAnsi="宋体" w:eastAsia="宋体" w:cs="宋体"/>
                <w:b/>
                <w:bCs/>
                <w:color w:val="000000"/>
                <w:kern w:val="0"/>
                <w:szCs w:val="21"/>
              </w:rPr>
              <w:t>报价方式：</w:t>
            </w:r>
          </w:p>
        </w:tc>
        <w:tc>
          <w:tcPr>
            <w:tcW w:w="6436" w:type="dxa"/>
            <w:noWrap/>
            <w:vAlign w:val="center"/>
          </w:tcPr>
          <w:p w14:paraId="17F148E9">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国产货物：人民币含税报价，投标人所报价格为包干总价，该包干总价为中标人按照采购文件及合同约定完成全部义务后所适用的总价格，包括但不限于购买仪器设备货物的价款、货物零配件和随机配套工具的费用、各类税费、配套资料费、包装、运输、装卸、安装、调试费用、安装材料费、验收时的试剂耗材、强制性第三方监督检验机构的验收检验费用、技术指导、培训、咨询、服务、保险、检测、人工、验收合格交付使用之前以及技术和售后服务、质保期退运返修等其他所有费用。如货物还含有软件类产品的，则该总价亦包含了购买软件的全部费用、软件加密装置及升级服务包和补丁的费用、软件安装和调试费、软件使用培训费及各种软件售后服务费、税费等。</w:t>
            </w:r>
          </w:p>
          <w:p w14:paraId="07C99853">
            <w:pPr>
              <w:rPr>
                <w:rFonts w:hint="eastAsia" w:ascii="宋体" w:hAnsi="宋体" w:eastAsia="宋体" w:cs="宋体"/>
                <w:color w:val="000000"/>
                <w:kern w:val="0"/>
                <w:szCs w:val="21"/>
              </w:rPr>
            </w:pPr>
            <w:r>
              <w:rPr>
                <w:rFonts w:hint="eastAsia" w:ascii="宋体" w:hAnsi="宋体" w:eastAsia="宋体" w:cs="宋体"/>
                <w:color w:val="000000"/>
                <w:kern w:val="0"/>
                <w:szCs w:val="21"/>
              </w:rPr>
              <w:t>★进口货物：人民币报价（如为免税或不含税价须特别标注；）总金额为固定包干总价，已包含采购人购买货物及服务所发生的所有费用，包括但不限于：购买货物的费用、货物零配件和随机配套工具的费用、配套资料费、包装、运输及保险（境内、外）、协助安装、调试费用、验收时的必要耗材（但氦气、液氮除外）、强制性第三方监督检验机构的验收检验费用、技术服务培训、检测、质保期内设备及部件故障的更换及维修、采购人外贸代理费，以及其他所有服务费用。</w:t>
            </w:r>
          </w:p>
        </w:tc>
      </w:tr>
      <w:tr w14:paraId="4552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2" w:hRule="atLeast"/>
        </w:trPr>
        <w:tc>
          <w:tcPr>
            <w:tcW w:w="709" w:type="dxa"/>
            <w:vMerge w:val="continue"/>
            <w:vAlign w:val="center"/>
          </w:tcPr>
          <w:p w14:paraId="6967709A">
            <w:pPr>
              <w:widowControl/>
              <w:rPr>
                <w:rFonts w:hint="eastAsia" w:ascii="宋体" w:hAnsi="宋体" w:eastAsia="宋体" w:cs="宋体"/>
                <w:color w:val="000000"/>
                <w:kern w:val="0"/>
                <w:szCs w:val="21"/>
              </w:rPr>
            </w:pPr>
          </w:p>
        </w:tc>
        <w:tc>
          <w:tcPr>
            <w:tcW w:w="1418" w:type="dxa"/>
            <w:vMerge w:val="continue"/>
            <w:vAlign w:val="center"/>
          </w:tcPr>
          <w:p w14:paraId="02CD1923">
            <w:pPr>
              <w:widowControl/>
              <w:rPr>
                <w:rFonts w:hint="eastAsia" w:ascii="宋体" w:hAnsi="宋体" w:eastAsia="宋体" w:cs="宋体"/>
                <w:color w:val="000000"/>
                <w:kern w:val="0"/>
                <w:szCs w:val="21"/>
              </w:rPr>
            </w:pPr>
          </w:p>
        </w:tc>
        <w:tc>
          <w:tcPr>
            <w:tcW w:w="6436" w:type="dxa"/>
            <w:noWrap/>
            <w:vAlign w:val="center"/>
          </w:tcPr>
          <w:p w14:paraId="0AE4F88E">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▲报价其它说明：</w:t>
            </w:r>
          </w:p>
          <w:p w14:paraId="0D2013F7">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1）若本项目需要使用外币结算时，则按付款当日中国银行发布的现汇卖出价人民币兑外汇的实时汇率作为结算汇率，汇率风险由中标人承担。</w:t>
            </w:r>
          </w:p>
          <w:p w14:paraId="22AA9CEF">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2）根据中华人民共和国现行税法，中国政府就本合同向采购人（包括采购人代理）征收的所有税费应由采购人承担（但因中标人未将氦制冷机主体部分以单一商品品名和单一HS编码申报进入综合保税区而产生的税费应由中标人承担）；中国政府就本合同向中标人（包括中标人在中国境内的实体）征收的所有相关税费应由中标人自行承担。本合同项下在中国人民共和国境外征收的所有税费应由中标人承担。尽管有上述规定，如因采购人丧失免税资格而由海关当局对本合同项下货物征收关税或相关税费，则该等税费应由采购人承担；如因中标人未办理免税手续或中标人造成的清关程序延误而导致任何税费产生或增加，则该等税费应完全由中标人承担。</w:t>
            </w:r>
          </w:p>
          <w:p w14:paraId="06534B21">
            <w:pPr>
              <w:widowControl/>
              <w:rPr>
                <w:rFonts w:hint="eastAsia" w:ascii="宋体" w:hAnsi="宋体" w:eastAsia="宋体" w:cs="宋体"/>
                <w:color w:val="000000"/>
                <w:kern w:val="0"/>
                <w:szCs w:val="21"/>
              </w:rPr>
            </w:pPr>
            <w:r>
              <w:rPr>
                <w:rFonts w:hint="eastAsia" w:ascii="宋体" w:hAnsi="宋体" w:eastAsia="宋体" w:cs="宋体"/>
                <w:color w:val="000000"/>
                <w:kern w:val="0"/>
                <w:szCs w:val="21"/>
              </w:rPr>
              <w:t>3）依据国家相关法律法规，项目中不可免税部分清单报人民币含税价格。</w:t>
            </w:r>
          </w:p>
          <w:p w14:paraId="5E38D510">
            <w:pPr>
              <w:rPr>
                <w:rFonts w:hint="eastAsia" w:ascii="宋体" w:hAnsi="宋体" w:eastAsia="宋体" w:cs="宋体"/>
                <w:color w:val="000000"/>
                <w:kern w:val="0"/>
                <w:szCs w:val="21"/>
              </w:rPr>
            </w:pPr>
            <w:r>
              <w:rPr>
                <w:rFonts w:hint="eastAsia" w:ascii="宋体" w:hAnsi="宋体" w:eastAsia="宋体" w:cs="宋体"/>
                <w:color w:val="000000"/>
                <w:kern w:val="0"/>
                <w:szCs w:val="21"/>
              </w:rPr>
              <w:t>4）若投标人所投产品产地为国外，且在国家加征关税范围内的，则投标人报价中须包含此项费用，采购人不再另行支付。</w:t>
            </w:r>
          </w:p>
        </w:tc>
      </w:tr>
    </w:tbl>
    <w:p w14:paraId="3470A772">
      <w:pPr>
        <w:pStyle w:val="3"/>
      </w:pPr>
    </w:p>
    <w:p w14:paraId="3441E484">
      <w:pPr>
        <w:pStyle w:val="3"/>
      </w:pPr>
    </w:p>
    <w:p w14:paraId="230B6186">
      <w:pPr>
        <w:pStyle w:val="7"/>
        <w:spacing w:before="120" w:beforeLines="50" w:after="120" w:afterLines="50"/>
        <w:rPr>
          <w:rFonts w:hint="eastAsia" w:asciiTheme="minorEastAsia" w:hAnsiTheme="minorEastAsia" w:eastAsiaTheme="minorEastAsia"/>
          <w:szCs w:val="24"/>
        </w:rPr>
      </w:pPr>
      <w:r>
        <w:rPr>
          <w:rFonts w:hint="eastAsia" w:asciiTheme="minorEastAsia" w:hAnsiTheme="minorEastAsia" w:eastAsiaTheme="minorEastAsia"/>
          <w:szCs w:val="24"/>
        </w:rPr>
        <w:t>六、其他重要条款</w:t>
      </w:r>
    </w:p>
    <w:p w14:paraId="01E422CC">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3BC099B">
      <w:pPr>
        <w:pStyle w:val="9"/>
        <w:ind w:firstLine="392" w:firstLineChars="187"/>
        <w:rPr>
          <w:rFonts w:hint="eastAsia" w:asciiTheme="minorEastAsia" w:hAnsiTheme="minorEastAsia" w:eastAsiaTheme="minorEastAsia"/>
          <w:szCs w:val="21"/>
        </w:rPr>
      </w:pPr>
      <w:r>
        <w:rPr>
          <w:rFonts w:asciiTheme="minorEastAsia" w:hAnsiTheme="minorEastAsia" w:eastAsiaTheme="minorEastAsia"/>
          <w:bCs/>
          <w:szCs w:val="21"/>
        </w:rPr>
        <w:t>2</w:t>
      </w:r>
      <w:r>
        <w:rPr>
          <w:rFonts w:hint="eastAsia" w:asciiTheme="minorEastAsia" w:hAnsiTheme="minorEastAsia" w:eastAsiaTheme="minorEastAsia"/>
          <w:bCs/>
          <w:szCs w:val="21"/>
        </w:rPr>
        <w:t>.投标人应充分了解项目的位置、情况、道路及任何其它足以影响投标报价的情况，任何因忽视或误解项目情况而导致的索赔或服务期限延长申请将不获批准。</w:t>
      </w:r>
    </w:p>
    <w:p w14:paraId="3E2FF39F">
      <w:pPr>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3</w:t>
      </w:r>
      <w:r>
        <w:rPr>
          <w:rFonts w:hint="eastAsia" w:asciiTheme="minorEastAsia" w:hAnsiTheme="minorEastAsia" w:eastAsiaTheme="minor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6C1E07D9">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4.除政府采购合同继续履行将损害国家利益和社会公共利益外，双方当事人不得擅自变更、中止或者终止合同。</w:t>
      </w:r>
    </w:p>
    <w:p w14:paraId="3993085E">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5.“信用中国”中“信用服务”栏的“重大税收违法失信主体”“失信被执行人”，“中国政府采购网”中的“政府采购严重违法失信行为记录名单”，“深圳市政府采购监管网”以及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szCs w:val="21"/>
        </w:rPr>
        <w:t>深圳市、区</w:t>
      </w:r>
      <w:r>
        <w:rPr>
          <w:rFonts w:hint="eastAsia" w:asciiTheme="minorEastAsia" w:hAnsiTheme="minorEastAsia" w:eastAsiaTheme="minorEastAsia"/>
          <w:bCs/>
          <w:szCs w:val="21"/>
        </w:rPr>
        <w:t>财政部门认可的“供应商诚信档案库”为供应商信用信息的查询渠道，相关信息以开标当日的查询结果为准。</w:t>
      </w:r>
    </w:p>
    <w:p w14:paraId="46D54FA5">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6.本项目需求涉及的各项规范、标准，如国家和行业有最新的修改版或停用的，则按最新规定执行。</w:t>
      </w:r>
    </w:p>
    <w:p w14:paraId="759269AE">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7.采购文件所要求的证书、资质等材料，如有有效期限制的，供应商所提供的资质、证书等材料均应处于有效期内，否则按无效材料处理。</w:t>
      </w:r>
    </w:p>
    <w:p w14:paraId="4135CA16">
      <w:pPr>
        <w:widowControl/>
        <w:jc w:val="left"/>
        <w:rPr>
          <w:rFonts w:hint="eastAsia" w:ascii="宋体" w:hAnsi="宋体"/>
        </w:rPr>
      </w:pPr>
      <w:r>
        <w:rPr>
          <w:rFonts w:ascii="宋体" w:hAnsi="宋体"/>
        </w:rPr>
        <w:br w:type="page"/>
      </w:r>
    </w:p>
    <w:p w14:paraId="39E88773">
      <w:pPr>
        <w:pStyle w:val="7"/>
        <w:rPr>
          <w:rFonts w:hint="eastAsia"/>
          <w:sz w:val="28"/>
          <w:szCs w:val="28"/>
        </w:rPr>
      </w:pPr>
      <w:r>
        <w:rPr>
          <w:rFonts w:hint="eastAsia"/>
          <w:sz w:val="28"/>
          <w:szCs w:val="28"/>
        </w:rPr>
        <w:t>第四章</w:t>
      </w:r>
      <w:r>
        <w:rPr>
          <w:sz w:val="28"/>
          <w:szCs w:val="28"/>
        </w:rPr>
        <w:t xml:space="preserve"> </w:t>
      </w:r>
      <w:r>
        <w:rPr>
          <w:rFonts w:hint="eastAsia"/>
          <w:sz w:val="28"/>
          <w:szCs w:val="28"/>
        </w:rPr>
        <w:t xml:space="preserve"> 投标文件组成要求及格式</w:t>
      </w:r>
    </w:p>
    <w:p w14:paraId="71673DCA">
      <w:pPr>
        <w:rPr>
          <w:rStyle w:val="67"/>
          <w:sz w:val="24"/>
        </w:rPr>
      </w:pPr>
      <w:r>
        <w:rPr>
          <w:rStyle w:val="67"/>
          <w:rFonts w:hint="eastAsia"/>
          <w:sz w:val="24"/>
        </w:rPr>
        <w:t>特别提醒：</w:t>
      </w:r>
    </w:p>
    <w:p w14:paraId="5AD008E0">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1CCE5B77">
      <w:pPr>
        <w:ind w:firstLine="480" w:firstLineChars="200"/>
        <w:rPr>
          <w:rFonts w:ascii="仿宋_GB2312" w:eastAsia="仿宋_GB2312"/>
          <w:sz w:val="24"/>
        </w:rPr>
      </w:pPr>
      <w:r>
        <w:rPr>
          <w:rFonts w:hint="eastAsia" w:ascii="仿宋_GB2312" w:eastAsia="仿宋_GB2312"/>
          <w:sz w:val="24"/>
        </w:rPr>
        <w:t>投标文件正文（信息公开部分）必须编制于“正文（公开部分）”，投标文件附件（非信息公开部分）必须编制于“附件（不公开部分）”，如下图所示。</w:t>
      </w:r>
    </w:p>
    <w:p w14:paraId="0EA30F59">
      <w:pPr>
        <w:widowControl/>
        <w:jc w:val="left"/>
        <w:rPr>
          <w:rFonts w:hint="eastAsia" w:ascii="宋体" w:hAnsi="宋体" w:cs="宋体"/>
          <w:kern w:val="0"/>
          <w:sz w:val="24"/>
        </w:rPr>
      </w:pPr>
      <w:r>
        <w:drawing>
          <wp:inline distT="0" distB="0" distL="114300" distR="114300">
            <wp:extent cx="5247005" cy="4076700"/>
            <wp:effectExtent l="0" t="0" r="0" b="0"/>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7"/>
                    <a:stretch>
                      <a:fillRect/>
                    </a:stretch>
                  </pic:blipFill>
                  <pic:spPr>
                    <a:xfrm>
                      <a:off x="0" y="0"/>
                      <a:ext cx="5253363" cy="4081857"/>
                    </a:xfrm>
                    <a:prstGeom prst="rect">
                      <a:avLst/>
                    </a:prstGeom>
                  </pic:spPr>
                </pic:pic>
              </a:graphicData>
            </a:graphic>
          </wp:inline>
        </w:drawing>
      </w:r>
    </w:p>
    <w:p w14:paraId="59B366BE">
      <w:pPr>
        <w:ind w:firstLine="480" w:firstLineChars="200"/>
        <w:rPr>
          <w:rFonts w:ascii="仿宋_GB2312" w:eastAsia="仿宋_GB2312"/>
          <w:sz w:val="24"/>
        </w:rPr>
      </w:pPr>
      <w:bookmarkStart w:id="139"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139"/>
    <w:p w14:paraId="006517AA">
      <w:pPr>
        <w:rPr>
          <w:rStyle w:val="67"/>
          <w:sz w:val="28"/>
          <w:szCs w:val="28"/>
        </w:rPr>
      </w:pPr>
      <w:r>
        <w:rPr>
          <w:rStyle w:val="67"/>
          <w:rFonts w:hint="eastAsia"/>
          <w:sz w:val="28"/>
          <w:szCs w:val="28"/>
        </w:rPr>
        <w:br w:type="page"/>
      </w:r>
    </w:p>
    <w:p w14:paraId="5DCC4B30">
      <w:pPr>
        <w:rPr>
          <w:rStyle w:val="67"/>
          <w:sz w:val="28"/>
          <w:szCs w:val="28"/>
        </w:rPr>
      </w:pPr>
      <w:r>
        <w:rPr>
          <w:rStyle w:val="67"/>
          <w:rFonts w:hint="eastAsia"/>
          <w:sz w:val="28"/>
          <w:szCs w:val="28"/>
        </w:rPr>
        <w:t>投标文件组成：</w:t>
      </w:r>
    </w:p>
    <w:p w14:paraId="71797B78">
      <w:pPr>
        <w:ind w:firstLine="1200" w:firstLineChars="500"/>
        <w:rPr>
          <w:rFonts w:hint="eastAsia" w:asciiTheme="minorEastAsia" w:hAnsiTheme="minorEastAsia" w:eastAsiaTheme="minorEastAsia"/>
          <w:sz w:val="24"/>
        </w:rPr>
      </w:pPr>
      <w:bookmarkStart w:id="140" w:name="_Hlk72257253"/>
    </w:p>
    <w:bookmarkEnd w:id="140"/>
    <w:p w14:paraId="6E41B80F">
      <w:pPr>
        <w:ind w:firstLine="1200" w:firstLineChars="500"/>
        <w:rPr>
          <w:rFonts w:hint="eastAsia" w:asciiTheme="minorEastAsia" w:hAnsiTheme="minorEastAsia" w:eastAsiaTheme="minorEastAsia"/>
          <w:sz w:val="24"/>
        </w:rPr>
      </w:pPr>
      <w:r>
        <w:rPr>
          <w:rFonts w:hint="eastAsia" w:asciiTheme="minorEastAsia" w:hAnsiTheme="minorEastAsia" w:eastAsiaTheme="minorEastAsia"/>
          <w:sz w:val="24"/>
        </w:rPr>
        <w:t>1.投标文件正文</w:t>
      </w:r>
      <w:r>
        <w:rPr>
          <w:rFonts w:hint="eastAsia" w:asciiTheme="minorEastAsia" w:hAnsiTheme="minorEastAsia" w:eastAsiaTheme="minorEastAsia"/>
          <w:b/>
          <w:color w:val="FF0000"/>
          <w:sz w:val="24"/>
        </w:rPr>
        <w:t>（信息公开部分）</w:t>
      </w:r>
      <w:r>
        <w:rPr>
          <w:rFonts w:hint="eastAsia" w:asciiTheme="minorEastAsia" w:hAnsiTheme="minorEastAsia" w:eastAsiaTheme="minorEastAsia"/>
          <w:sz w:val="24"/>
        </w:rPr>
        <w:t>，主要包括以下内容：</w:t>
      </w:r>
    </w:p>
    <w:p w14:paraId="3D5E1087">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141" w:name="_Hlk72070784"/>
      <w:r>
        <w:rPr>
          <w:rFonts w:hint="eastAsia" w:asciiTheme="minorEastAsia" w:hAnsiTheme="minorEastAsia" w:eastAsiaTheme="minorEastAsia"/>
          <w:szCs w:val="21"/>
        </w:rPr>
        <w:t>投标函</w:t>
      </w:r>
      <w:bookmarkEnd w:id="141"/>
    </w:p>
    <w:p w14:paraId="4AB60BBB">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142" w:name="_Hlk72062521"/>
      <w:r>
        <w:rPr>
          <w:rFonts w:hint="eastAsia" w:asciiTheme="minorEastAsia" w:hAnsiTheme="minorEastAsia" w:eastAsiaTheme="minorEastAsia"/>
          <w:szCs w:val="21"/>
        </w:rPr>
        <w:t>政府采购投标及履约承诺函</w:t>
      </w:r>
      <w:bookmarkEnd w:id="142"/>
    </w:p>
    <w:p w14:paraId="5FA6F034">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）投标人情况及资格证明文件</w:t>
      </w:r>
    </w:p>
    <w:p w14:paraId="021BD10E">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分项报价表</w:t>
      </w:r>
    </w:p>
    <w:p w14:paraId="27BBB783">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（5）投标人认为需要加以说明的其他内容（格式自拟）</w:t>
      </w:r>
    </w:p>
    <w:p w14:paraId="758645A2">
      <w:pPr>
        <w:ind w:firstLine="1200" w:firstLineChars="500"/>
        <w:rPr>
          <w:rFonts w:hint="eastAsia" w:asciiTheme="minorEastAsia" w:hAnsiTheme="minorEastAsia" w:eastAsiaTheme="minorEastAsia"/>
          <w:sz w:val="24"/>
        </w:rPr>
      </w:pPr>
    </w:p>
    <w:p w14:paraId="34710A45">
      <w:pPr>
        <w:ind w:firstLine="1200" w:firstLineChars="500"/>
        <w:rPr>
          <w:rFonts w:hint="eastAsia" w:asciiTheme="minorEastAsia" w:hAnsiTheme="minorEastAsia" w:eastAsiaTheme="minorEastAsia"/>
          <w:sz w:val="24"/>
        </w:rPr>
      </w:pPr>
      <w:r>
        <w:rPr>
          <w:rFonts w:hint="eastAsia" w:asciiTheme="minorEastAsia" w:hAnsiTheme="minorEastAsia" w:eastAsiaTheme="minorEastAsia"/>
          <w:sz w:val="24"/>
        </w:rPr>
        <w:t>2.投标文件附件</w:t>
      </w:r>
      <w:r>
        <w:rPr>
          <w:rFonts w:hint="eastAsia" w:asciiTheme="minorEastAsia" w:hAnsiTheme="minorEastAsia" w:eastAsiaTheme="minorEastAsia"/>
          <w:b/>
          <w:color w:val="FF0000"/>
          <w:sz w:val="24"/>
        </w:rPr>
        <w:t>（信息不公开部分）</w:t>
      </w:r>
      <w:r>
        <w:rPr>
          <w:rFonts w:hint="eastAsia" w:asciiTheme="minorEastAsia" w:hAnsiTheme="minorEastAsia" w:eastAsiaTheme="minorEastAsia"/>
          <w:sz w:val="24"/>
        </w:rPr>
        <w:t>，主要包括以下内容：</w:t>
      </w:r>
    </w:p>
    <w:p w14:paraId="7C4DF409">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（1）供应商基本情况表</w:t>
      </w:r>
    </w:p>
    <w:p w14:paraId="05600D01">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（2）法定代表人（负责人）证明书</w:t>
      </w:r>
    </w:p>
    <w:p w14:paraId="3E1E2ABB">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（3）投标文件签署授权委托书</w:t>
      </w:r>
    </w:p>
    <w:p w14:paraId="29FC4D0B">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所投产品信息及其他报价清单</w:t>
      </w:r>
    </w:p>
    <w:p w14:paraId="4F41164D">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（5）实质性条款响应情况表</w:t>
      </w:r>
    </w:p>
    <w:p w14:paraId="550906E2">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szCs w:val="21"/>
        </w:rPr>
        <w:t>技术要</w:t>
      </w:r>
      <w:r>
        <w:rPr>
          <w:rFonts w:hint="eastAsia" w:asciiTheme="minorEastAsia" w:hAnsiTheme="minorEastAsia" w:eastAsiaTheme="minorEastAsia"/>
          <w:szCs w:val="21"/>
        </w:rPr>
        <w:t>求偏离情况</w:t>
      </w:r>
    </w:p>
    <w:p w14:paraId="7AC69D67">
      <w:pPr>
        <w:ind w:left="718" w:leftChars="342" w:firstLine="1417" w:firstLineChars="675"/>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（7）</w:t>
      </w:r>
      <w:r>
        <w:rPr>
          <w:rFonts w:hint="eastAsia" w:asciiTheme="minorEastAsia" w:hAnsiTheme="minorEastAsia" w:eastAsiaTheme="minorEastAsia"/>
          <w:szCs w:val="21"/>
          <w:lang w:val="en-US" w:eastAsia="zh-CN"/>
        </w:rPr>
        <w:t>商务要求偏离情况</w:t>
      </w:r>
    </w:p>
    <w:p w14:paraId="1625F5DF">
      <w:pPr>
        <w:ind w:left="718" w:leftChars="342" w:firstLine="1417" w:firstLineChars="675"/>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人员保障</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6FEFA16C">
      <w:pPr>
        <w:ind w:left="718" w:leftChars="342" w:firstLine="1417" w:firstLineChars="675"/>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9</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制冷机设计方案</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3CF9FBBB">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进度计划</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71637370">
      <w:pPr>
        <w:ind w:left="718" w:leftChars="342" w:firstLine="1417" w:firstLineChars="675"/>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11</w:t>
      </w:r>
      <w:r>
        <w:rPr>
          <w:rFonts w:hint="eastAsia" w:asciiTheme="minorEastAsia" w:hAnsiTheme="minorEastAsia" w:eastAsiaTheme="minorEastAsia"/>
          <w:szCs w:val="21"/>
          <w:lang w:eastAsia="zh-CN"/>
        </w:rPr>
        <w:t>）</w:t>
      </w:r>
      <w:r>
        <w:rPr>
          <w:rFonts w:ascii="宋体" w:hAnsi="宋体"/>
          <w:szCs w:val="21"/>
        </w:rPr>
        <w:t>制造过程关键工艺质量控制</w:t>
      </w:r>
      <w:r>
        <w:rPr>
          <w:rFonts w:hint="eastAsia" w:ascii="宋体" w:hAnsi="宋体"/>
          <w:szCs w:val="21"/>
        </w:rPr>
        <w:t>规程性</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6837BB83">
      <w:pPr>
        <w:ind w:left="718" w:leftChars="342" w:firstLine="1417" w:firstLineChars="675"/>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12</w:t>
      </w:r>
      <w:r>
        <w:rPr>
          <w:rFonts w:hint="eastAsia" w:asciiTheme="minorEastAsia" w:hAnsiTheme="minorEastAsia" w:eastAsiaTheme="minorEastAsia"/>
          <w:szCs w:val="21"/>
          <w:lang w:eastAsia="zh-CN"/>
        </w:rPr>
        <w:t>）</w:t>
      </w:r>
      <w:r>
        <w:rPr>
          <w:rFonts w:hint="eastAsia"/>
        </w:rPr>
        <w:t>关键部件的技术路线说明</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2E3B3E70">
      <w:pPr>
        <w:ind w:left="718" w:leftChars="342" w:firstLine="1417" w:firstLineChars="675"/>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13</w:t>
      </w:r>
      <w:r>
        <w:rPr>
          <w:rFonts w:hint="eastAsia" w:asciiTheme="minorEastAsia" w:hAnsiTheme="minorEastAsia" w:eastAsiaTheme="minorEastAsia"/>
          <w:szCs w:val="21"/>
          <w:lang w:eastAsia="zh-CN"/>
        </w:rPr>
        <w:t>）</w:t>
      </w:r>
      <w:r>
        <w:rPr>
          <w:rFonts w:hint="eastAsia" w:ascii="宋体" w:hAnsi="宋体" w:cs="宋体"/>
          <w:szCs w:val="21"/>
        </w:rPr>
        <w:t>同类业绩</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4AEC71C4">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14</w:t>
      </w:r>
      <w:r>
        <w:rPr>
          <w:rFonts w:hint="eastAsia" w:asciiTheme="minorEastAsia" w:hAnsiTheme="minorEastAsia" w:eastAsiaTheme="minorEastAsia"/>
          <w:szCs w:val="21"/>
        </w:rPr>
        <w:t>）投标人认为需要加以说明的其他内容</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4C797D03">
      <w:pPr>
        <w:ind w:firstLine="426" w:firstLineChars="202"/>
        <w:rPr>
          <w:rFonts w:hint="eastAsia" w:ascii="宋体" w:hAnsi="宋体"/>
          <w:b/>
          <w:szCs w:val="21"/>
        </w:rPr>
      </w:pPr>
      <w:bookmarkStart w:id="143" w:name="_Hlk72257771"/>
    </w:p>
    <w:p w14:paraId="59BA8FED">
      <w:pPr>
        <w:ind w:firstLine="426" w:firstLineChars="202"/>
        <w:rPr>
          <w:rFonts w:hint="eastAsia" w:ascii="宋体" w:hAnsi="宋体"/>
          <w:b/>
          <w:szCs w:val="21"/>
        </w:rPr>
      </w:pPr>
      <w:r>
        <w:rPr>
          <w:rFonts w:hint="eastAsia" w:ascii="宋体" w:hAnsi="宋体"/>
          <w:b/>
          <w:szCs w:val="21"/>
        </w:rPr>
        <w:t>备注：</w:t>
      </w:r>
    </w:p>
    <w:p w14:paraId="7790ED44">
      <w:pPr>
        <w:ind w:firstLine="426" w:firstLineChars="202"/>
        <w:rPr>
          <w:rFonts w:hint="eastAsia"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4E62A92C">
      <w:pPr>
        <w:ind w:firstLine="422" w:firstLineChars="200"/>
        <w:rPr>
          <w:rFonts w:hint="eastAsia" w:ascii="宋体" w:hAnsi="宋体"/>
          <w:color w:val="FF0000"/>
          <w:sz w:val="24"/>
        </w:rPr>
      </w:pPr>
      <w:bookmarkStart w:id="144" w:name="_Hlk72263559"/>
      <w:r>
        <w:rPr>
          <w:rFonts w:hint="eastAsia" w:ascii="宋体" w:hAnsi="宋体"/>
          <w:b/>
          <w:szCs w:val="21"/>
        </w:rPr>
        <w:t>2.关于填写“开标一览表”的说明：“开标一览表”中除“投标总价”外，其他信息不作评审依据。</w:t>
      </w:r>
      <w:bookmarkEnd w:id="143"/>
      <w:bookmarkEnd w:id="144"/>
    </w:p>
    <w:p w14:paraId="2C19DACE">
      <w:pPr>
        <w:widowControl/>
        <w:jc w:val="left"/>
        <w:rPr>
          <w:rFonts w:hint="eastAsia" w:ascii="宋体" w:hAnsi="宋体"/>
          <w:color w:val="FF0000"/>
          <w:sz w:val="24"/>
        </w:rPr>
      </w:pPr>
      <w:r>
        <w:rPr>
          <w:rFonts w:ascii="宋体" w:hAnsi="宋体"/>
          <w:color w:val="FF0000"/>
          <w:sz w:val="24"/>
        </w:rPr>
        <w:br w:type="page"/>
      </w:r>
    </w:p>
    <w:p w14:paraId="49A59378">
      <w:pPr>
        <w:outlineLvl w:val="1"/>
        <w:rPr>
          <w:rFonts w:hint="eastAsia" w:ascii="宋体" w:hAnsi="宋体"/>
          <w:b/>
          <w:color w:val="FF0000"/>
          <w:sz w:val="28"/>
          <w:szCs w:val="28"/>
        </w:rPr>
      </w:pPr>
      <w:r>
        <w:rPr>
          <w:rFonts w:hint="eastAsia" w:ascii="宋体" w:hAnsi="宋体"/>
          <w:b/>
          <w:color w:val="FF0000"/>
          <w:sz w:val="28"/>
          <w:szCs w:val="28"/>
        </w:rPr>
        <w:t>投标文件正文（信息公开部分）</w:t>
      </w:r>
    </w:p>
    <w:p w14:paraId="63309E97">
      <w:pPr>
        <w:pStyle w:val="5"/>
        <w:jc w:val="center"/>
        <w:rPr>
          <w:rFonts w:hint="eastAsia" w:ascii="黑体" w:eastAsia="黑体"/>
          <w:b w:val="0"/>
          <w:sz w:val="24"/>
        </w:rPr>
      </w:pPr>
      <w:r>
        <w:rPr>
          <w:rFonts w:hint="eastAsia" w:ascii="黑体" w:eastAsia="黑体"/>
          <w:b w:val="0"/>
          <w:sz w:val="24"/>
        </w:rPr>
        <w:t>一、投标函</w:t>
      </w:r>
    </w:p>
    <w:p w14:paraId="68BD3410">
      <w:pPr>
        <w:rPr>
          <w:rFonts w:hint="eastAsia" w:asciiTheme="minorEastAsia" w:hAnsiTheme="minorEastAsia" w:eastAsiaTheme="minorEastAsia"/>
          <w:szCs w:val="21"/>
        </w:rPr>
      </w:pPr>
      <w:bookmarkStart w:id="145" w:name="_Hlk72257506"/>
      <w:r>
        <w:rPr>
          <w:rFonts w:hint="eastAsia" w:asciiTheme="minorEastAsia" w:hAnsiTheme="minorEastAsia" w:eastAsiaTheme="minorEastAsia"/>
          <w:szCs w:val="21"/>
        </w:rPr>
        <w:t>致：深圳公共资源交易中心</w:t>
      </w:r>
    </w:p>
    <w:p w14:paraId="0E4C84D3">
      <w:pPr>
        <w:ind w:firstLine="420" w:firstLineChars="200"/>
        <w:rPr>
          <w:rFonts w:hint="eastAsia" w:asciiTheme="minorEastAsia" w:hAnsiTheme="minorEastAsia" w:eastAsiaTheme="minorEastAsia"/>
          <w:szCs w:val="21"/>
        </w:rPr>
      </w:pPr>
      <w:bookmarkStart w:id="146" w:name="_Hlk73818812"/>
      <w:r>
        <w:rPr>
          <w:rFonts w:hint="eastAsia" w:asciiTheme="minorEastAsia" w:hAnsiTheme="minorEastAsia" w:eastAsiaTheme="minorEastAsia"/>
          <w:szCs w:val="21"/>
        </w:rPr>
        <w:t>1.根据已收到贵单位的项目编号为</w:t>
      </w:r>
      <w:r>
        <w:rPr>
          <w:rFonts w:hint="eastAsia" w:asciiTheme="minorEastAsia" w:hAnsiTheme="minorEastAsia" w:eastAsiaTheme="minorEastAsia"/>
          <w:szCs w:val="21"/>
          <w:u w:val="thick"/>
        </w:rPr>
        <w:t xml:space="preserve">         </w:t>
      </w:r>
      <w:r>
        <w:rPr>
          <w:rFonts w:hint="eastAsia" w:asciiTheme="minorEastAsia" w:hAnsiTheme="minorEastAsia" w:eastAsiaTheme="minorEastAsia"/>
          <w:szCs w:val="21"/>
        </w:rPr>
        <w:t>的</w:t>
      </w:r>
      <w:r>
        <w:rPr>
          <w:rFonts w:hint="eastAsia" w:asciiTheme="minorEastAsia" w:hAnsiTheme="minorEastAsia" w:eastAsiaTheme="minorEastAsia"/>
          <w:szCs w:val="21"/>
          <w:u w:val="thick"/>
        </w:rPr>
        <w:t xml:space="preserve">     （项目名称）     </w:t>
      </w:r>
      <w:r>
        <w:rPr>
          <w:rFonts w:hint="eastAsia" w:asciiTheme="minorEastAsia" w:hAnsiTheme="minorEastAsia" w:eastAsiaTheme="minorEastAsia"/>
          <w:szCs w:val="21"/>
        </w:rPr>
        <w:t>项目的招标文件，遵照《深圳经济特区政府采购条例》和《深圳网上政府采购管理暂行办法》等有关规定，我单位经研究上述招标文件的专用条款及通用条款后，</w:t>
      </w:r>
      <w:bookmarkStart w:id="147" w:name="_Hlk72263588"/>
      <w:r>
        <w:rPr>
          <w:rFonts w:hint="eastAsia" w:asciiTheme="minorEastAsia" w:hAnsiTheme="minorEastAsia" w:eastAsiaTheme="minorEastAsia"/>
          <w:szCs w:val="21"/>
        </w:rPr>
        <w:t>愿意按照招标文件要求承包上述项目并修补其任何缺陷。</w:t>
      </w:r>
      <w:bookmarkEnd w:id="147"/>
    </w:p>
    <w:p w14:paraId="2D8CD7A2">
      <w:pPr>
        <w:ind w:firstLine="420" w:firstLineChars="200"/>
        <w:rPr>
          <w:rFonts w:hint="eastAsia" w:asciiTheme="minorEastAsia" w:hAnsiTheme="minorEastAsia" w:eastAsiaTheme="minorEastAsia"/>
          <w:szCs w:val="21"/>
        </w:rPr>
      </w:pPr>
      <w:r>
        <w:rPr>
          <w:rFonts w:asciiTheme="minorEastAsia" w:hAnsiTheme="minorEastAsia" w:eastAsiaTheme="minorEastAsia"/>
          <w:szCs w:val="21"/>
        </w:rPr>
        <w:t>2</w:t>
      </w:r>
      <w:bookmarkStart w:id="148" w:name="_Hlk73819847"/>
      <w:r>
        <w:rPr>
          <w:rFonts w:hint="eastAsia" w:asciiTheme="minorEastAsia" w:hAnsiTheme="minorEastAsia" w:eastAsiaTheme="minorEastAsia"/>
          <w:szCs w:val="21"/>
        </w:rPr>
        <w:t>.投标价格见投标书编制软件中《开标一览表》中填写的投标总价。</w:t>
      </w:r>
      <w:bookmarkEnd w:id="148"/>
    </w:p>
    <w:p w14:paraId="55C1F443">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3.如果我单位中标，我单位将按照招标文件的要求足额提交履约担保。</w:t>
      </w:r>
    </w:p>
    <w:p w14:paraId="21495B7C">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4.我单位同意所递交的投标文件在“对通用条款的补充内容”中明确的投标有效期内有效，在此期间内我单位的投标有可能中标，我方将受此约束。</w:t>
      </w:r>
    </w:p>
    <w:p w14:paraId="4B4A77F1">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5.除非另外达成协议并生效，贵单位的中标通知书和本投标文件将构成合同的重要内容。</w:t>
      </w:r>
    </w:p>
    <w:p w14:paraId="7DB5110D">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6.我单位理解贵单位将不受必须接受所收到的最低报价或其它任何投标文件的约束。</w:t>
      </w:r>
      <w:bookmarkEnd w:id="146"/>
    </w:p>
    <w:p w14:paraId="7F6F88A2">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7.如我单位提交样品，且未在规定时间内取回样品的，视为放弃对样品的所有权，同意深圳公共资源交易中心对我单位提交的样品进行清理处置。</w:t>
      </w:r>
    </w:p>
    <w:p w14:paraId="081CBD87">
      <w:pPr>
        <w:ind w:firstLine="422" w:firstLineChars="200"/>
        <w:rPr>
          <w:rFonts w:hint="eastAsia" w:asciiTheme="minorEastAsia" w:hAnsiTheme="minorEastAsia" w:eastAsiaTheme="minorEastAsia"/>
          <w:b/>
          <w:szCs w:val="21"/>
        </w:rPr>
      </w:pPr>
    </w:p>
    <w:p w14:paraId="3ED2BC52">
      <w:pPr>
        <w:ind w:firstLine="420" w:firstLineChars="200"/>
        <w:rPr>
          <w:rFonts w:hint="eastAsia" w:asciiTheme="minorEastAsia" w:hAnsiTheme="minorEastAsia" w:eastAsiaTheme="minorEastAsia"/>
          <w:b/>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1B117877">
      <w:pPr>
        <w:ind w:firstLine="420" w:firstLineChars="200"/>
        <w:rPr>
          <w:rFonts w:hint="eastAsia" w:asciiTheme="minorEastAsia" w:hAnsiTheme="minorEastAsia" w:eastAsiaTheme="minorEastAsia"/>
          <w:b/>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03965709">
      <w:pPr>
        <w:ind w:firstLine="420" w:firstLineChars="200"/>
        <w:rPr>
          <w:szCs w:val="21"/>
        </w:rPr>
      </w:pPr>
      <w:r>
        <w:rPr>
          <w:rFonts w:hint="eastAsia"/>
          <w:szCs w:val="21"/>
        </w:rPr>
        <w:t>电话：</w:t>
      </w:r>
      <w:r>
        <w:rPr>
          <w:rFonts w:hint="eastAsia"/>
          <w:szCs w:val="21"/>
          <w:u w:val="thick"/>
        </w:rPr>
        <w:t xml:space="preserve">                            </w:t>
      </w:r>
      <w:r>
        <w:rPr>
          <w:rFonts w:hint="eastAsia"/>
          <w:szCs w:val="21"/>
        </w:rPr>
        <w:t>；</w:t>
      </w:r>
    </w:p>
    <w:p w14:paraId="30D14394">
      <w:pPr>
        <w:ind w:firstLine="420" w:firstLineChars="200"/>
        <w:rPr>
          <w:rFonts w:hint="eastAsia" w:asciiTheme="minorEastAsia" w:hAnsiTheme="minorEastAsia" w:eastAsiaTheme="minorEastAsia"/>
          <w:b/>
          <w:szCs w:val="21"/>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p>
    <w:p w14:paraId="2DD0F973">
      <w:pPr>
        <w:rPr>
          <w:rFonts w:hint="eastAsia" w:ascii="黑体" w:hAnsi="宋体" w:eastAsia="黑体"/>
        </w:rPr>
      </w:pPr>
    </w:p>
    <w:bookmarkEnd w:id="145"/>
    <w:p w14:paraId="28B464FF">
      <w:pPr>
        <w:pStyle w:val="5"/>
        <w:jc w:val="center"/>
        <w:rPr>
          <w:rFonts w:hint="eastAsia" w:ascii="黑体" w:eastAsia="黑体"/>
          <w:b w:val="0"/>
          <w:sz w:val="24"/>
        </w:rPr>
      </w:pPr>
      <w:r>
        <w:rPr>
          <w:rFonts w:hint="eastAsia" w:ascii="黑体" w:eastAsia="黑体"/>
          <w:b w:val="0"/>
          <w:sz w:val="24"/>
        </w:rPr>
        <w:t>二、政府采购投标及履约承诺函</w:t>
      </w:r>
    </w:p>
    <w:p w14:paraId="033FB249">
      <w:pPr>
        <w:rPr>
          <w:rFonts w:hint="eastAsia" w:asciiTheme="minorEastAsia" w:hAnsiTheme="minorEastAsia" w:eastAsiaTheme="minorEastAsia"/>
        </w:rPr>
      </w:pPr>
      <w:bookmarkStart w:id="149" w:name="_Hlk72257530"/>
      <w:r>
        <w:rPr>
          <w:rFonts w:hint="eastAsia" w:asciiTheme="minorEastAsia" w:hAnsiTheme="minorEastAsia" w:eastAsiaTheme="minorEastAsia"/>
        </w:rPr>
        <w:t>致：深圳公共资源交易中心</w:t>
      </w:r>
    </w:p>
    <w:p w14:paraId="69B36B81">
      <w:pPr>
        <w:ind w:right="-815"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我单位承诺：</w:t>
      </w:r>
    </w:p>
    <w:p w14:paraId="68EDA223">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1.我单位参与本项目符合资格条件关于联合体、进口产品的要求</w:t>
      </w:r>
      <w:r>
        <w:rPr>
          <w:rFonts w:hint="eastAsia" w:asciiTheme="minorEastAsia" w:hAnsiTheme="minorEastAsia" w:eastAsiaTheme="minorEastAsia"/>
        </w:rPr>
        <w:t>。</w:t>
      </w:r>
    </w:p>
    <w:p w14:paraId="47320DC1">
      <w:pPr>
        <w:ind w:firstLine="420" w:firstLineChars="200"/>
        <w:rPr>
          <w:rFonts w:hint="eastAsia" w:asciiTheme="minorEastAsia" w:hAnsiTheme="minorEastAsia" w:eastAsiaTheme="minorEastAsia"/>
          <w:b/>
          <w:szCs w:val="21"/>
        </w:rPr>
      </w:pPr>
      <w:r>
        <w:rPr>
          <w:rFonts w:hint="eastAsia" w:asciiTheme="minorEastAsia" w:hAnsiTheme="minorEastAsia" w:eastAsiaTheme="minorEastAsia"/>
          <w:bCs/>
          <w:szCs w:val="21"/>
        </w:rPr>
        <w:t>2.我单位参与本项目所投标（响应）的货物、工程或服务，不存在侵犯知识产权的情况。</w:t>
      </w:r>
    </w:p>
    <w:p w14:paraId="221ACD96">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3.我单位参与本项目</w:t>
      </w:r>
      <w:r>
        <w:rPr>
          <w:rFonts w:hint="eastAsia" w:asciiTheme="minorEastAsia" w:hAnsiTheme="minorEastAsia" w:eastAsiaTheme="minorEastAsia"/>
        </w:rPr>
        <w:t>政府采购活动时不存在被有关部门禁止参与政府采购活动且在有效期内的情况。</w:t>
      </w:r>
    </w:p>
    <w:p w14:paraId="7F4B53C1">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4.我单位具备《中华人民共和国政府采购法》第二十二条第一款规定的六项条件。</w:t>
      </w:r>
    </w:p>
    <w:p w14:paraId="371180D3">
      <w:pPr>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5.我单位</w:t>
      </w:r>
      <w:r>
        <w:rPr>
          <w:rFonts w:hint="eastAsia" w:asciiTheme="minorEastAsia" w:hAnsiTheme="minorEastAsia" w:eastAsiaTheme="minorEastAsia"/>
        </w:rPr>
        <w:t>未被列入失信被执行人、重大税收违法案件当事人名单、政府采购严重违法失信行为记录名单。</w:t>
      </w:r>
    </w:p>
    <w:p w14:paraId="636D77E7">
      <w:pPr>
        <w:ind w:firstLine="420" w:firstLineChars="200"/>
        <w:rPr>
          <w:rFonts w:hint="eastAsia" w:asciiTheme="minorEastAsia" w:hAnsiTheme="minorEastAsia" w:eastAsiaTheme="minorEastAsia"/>
        </w:rPr>
      </w:pPr>
      <w:r>
        <w:rPr>
          <w:rFonts w:hint="eastAsia" w:asciiTheme="minorEastAsia" w:hAnsiTheme="minorEastAsia" w:eastAsiaTheme="minorEastAsia"/>
        </w:rPr>
        <w:t>6.我单位不存在《深圳市财政局政府采购供应商信用信息管理办法》（深财规〔2023〕3号）列明的严重违法失信行为。</w:t>
      </w:r>
    </w:p>
    <w:p w14:paraId="39169A2A">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7.</w:t>
      </w:r>
      <w:bookmarkStart w:id="150" w:name="_Hlk72587269"/>
      <w:bookmarkStart w:id="151" w:name="_Hlk72587299"/>
      <w:r>
        <w:rPr>
          <w:rFonts w:hint="eastAsia" w:asciiTheme="minorEastAsia" w:hAnsiTheme="minorEastAsia" w:eastAsiaTheme="minorEastAsia"/>
        </w:rPr>
        <w:t>我单位参与该项目投标，严格遵守政府</w:t>
      </w:r>
      <w:r>
        <w:rPr>
          <w:rFonts w:hint="eastAsia" w:asciiTheme="minorEastAsia" w:hAnsiTheme="minorEastAsia" w:eastAsiaTheme="minorEastAsia"/>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150"/>
      <w:r>
        <w:rPr>
          <w:rFonts w:hint="eastAsia" w:asciiTheme="minorEastAsia" w:hAnsiTheme="minorEastAsia" w:eastAsiaTheme="minorEastAsia"/>
          <w:szCs w:val="21"/>
        </w:rPr>
        <w:t>。</w:t>
      </w:r>
    </w:p>
    <w:bookmarkEnd w:id="151"/>
    <w:p w14:paraId="2EE61B69">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13EF16C1">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913EB93">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如我单位中标，投标文件所提供的材料，如果有效期（包括需要年审、继续教育等完成后才能执业的行政许可、人员证书等情形）未能覆盖项目（包组）合同履行期的，将提前按规定办理延期手续，确保合同顺利履行。</w:t>
      </w:r>
    </w:p>
    <w:p w14:paraId="3772E31B">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10.我单位承诺中标后项目不转包，未经采购人同意不进行分包。</w:t>
      </w:r>
    </w:p>
    <w:p w14:paraId="05C2792F">
      <w:pPr>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11</w:t>
      </w:r>
      <w:r>
        <w:rPr>
          <w:rFonts w:asciiTheme="minorEastAsia" w:hAnsiTheme="minorEastAsia" w:eastAsiaTheme="minorEastAsia"/>
          <w:szCs w:val="21"/>
        </w:rPr>
        <w:t>.</w:t>
      </w:r>
      <w:r>
        <w:rPr>
          <w:rFonts w:hint="eastAsia" w:asciiTheme="minorEastAsia" w:hAnsiTheme="minorEastAsia" w:eastAsiaTheme="minor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244BA3F7">
      <w:pPr>
        <w:ind w:firstLine="420" w:firstLineChars="200"/>
        <w:rPr>
          <w:rFonts w:hint="eastAsia" w:asciiTheme="minorEastAsia" w:hAnsiTheme="minorEastAsia" w:eastAsiaTheme="minorEastAsia"/>
        </w:rPr>
      </w:pPr>
      <w:r>
        <w:rPr>
          <w:rFonts w:hint="eastAsia" w:asciiTheme="minorEastAsia" w:hAnsiTheme="minorEastAsia" w:eastAsiaTheme="minorEastAsia"/>
        </w:rPr>
        <w:t>12</w:t>
      </w:r>
      <w:r>
        <w:rPr>
          <w:rFonts w:asciiTheme="minorEastAsia" w:hAnsiTheme="minorEastAsia" w:eastAsiaTheme="minorEastAsia"/>
        </w:rPr>
        <w:t>.</w:t>
      </w:r>
      <w:r>
        <w:rPr>
          <w:rFonts w:hint="eastAsia" w:asciiTheme="minorEastAsia" w:hAnsiTheme="minorEastAsia" w:eastAsiaTheme="minorEastAsia"/>
        </w:rPr>
        <w:t>我单位保证，若所投货物涉及</w:t>
      </w:r>
      <w:r>
        <w:rPr>
          <w:rFonts w:asciiTheme="minorEastAsia" w:hAnsiTheme="minorEastAsia" w:eastAsiaTheme="minorEastAsia"/>
        </w:rPr>
        <w:t>《</w:t>
      </w:r>
      <w:r>
        <w:rPr>
          <w:rFonts w:hint="eastAsia" w:asciiTheme="minorEastAsia" w:hAnsiTheme="minorEastAsia" w:eastAsiaTheme="minorEastAsia"/>
        </w:rPr>
        <w:t>关于印发节能产品政府采购品目清单的通知》（财库〔20</w:t>
      </w:r>
      <w:r>
        <w:rPr>
          <w:rFonts w:asciiTheme="minorEastAsia" w:hAnsiTheme="minorEastAsia" w:eastAsiaTheme="minorEastAsia"/>
        </w:rPr>
        <w:t>19</w:t>
      </w: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号）列明的政府采购强制产品，则所投该产品符合节能产品的认证要求。若所投产品涉及国家强制性标准的，所投产品应符合国家强制性标准相关要求。</w:t>
      </w:r>
    </w:p>
    <w:p w14:paraId="146763C8">
      <w:pPr>
        <w:ind w:firstLine="420" w:firstLineChars="200"/>
        <w:rPr>
          <w:rFonts w:hint="eastAsia" w:asciiTheme="minorEastAsia" w:hAnsiTheme="minorEastAsia" w:eastAsiaTheme="minorEastAsia"/>
        </w:rPr>
      </w:pPr>
      <w:r>
        <w:rPr>
          <w:rFonts w:hint="eastAsia" w:cs="宋体" w:asciiTheme="minorEastAsia" w:hAnsiTheme="minorEastAsia" w:eastAsiaTheme="minorEastAsia"/>
          <w:bCs/>
          <w:kern w:val="0"/>
          <w:szCs w:val="21"/>
        </w:rPr>
        <w:t>13.</w:t>
      </w:r>
      <w:r>
        <w:rPr>
          <w:rFonts w:hint="eastAsia" w:asciiTheme="minorEastAsia" w:hAnsiTheme="minorEastAsia" w:eastAsiaTheme="minorEastAsia"/>
          <w:bCs/>
        </w:rPr>
        <w:t>我单位</w:t>
      </w:r>
      <w:r>
        <w:rPr>
          <w:rFonts w:hint="eastAsia" w:asciiTheme="minorEastAsia" w:hAnsiTheme="minorEastAsia" w:eastAsiaTheme="minorEastAsia"/>
        </w:rPr>
        <w:t>已知悉并同意中标（成交）结果信息公示（公开）的内容。</w:t>
      </w:r>
    </w:p>
    <w:p w14:paraId="5A87CDAA">
      <w:pPr>
        <w:ind w:firstLine="420" w:firstLineChars="200"/>
        <w:rPr>
          <w:rFonts w:hint="eastAsia" w:asciiTheme="minorEastAsia" w:hAnsiTheme="minorEastAsia" w:eastAsiaTheme="minorEastAsia"/>
        </w:rPr>
      </w:pPr>
      <w:r>
        <w:rPr>
          <w:rFonts w:hint="eastAsia" w:asciiTheme="minorEastAsia" w:hAnsiTheme="minorEastAsia" w:eastAsiaTheme="minorEastAsia"/>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32AD219A">
      <w:pPr>
        <w:ind w:firstLine="420" w:firstLineChars="200"/>
        <w:rPr>
          <w:rFonts w:hint="eastAsia" w:asciiTheme="minorEastAsia" w:hAnsiTheme="minorEastAsia" w:eastAsiaTheme="minorEastAsia"/>
        </w:rPr>
      </w:pPr>
      <w:r>
        <w:rPr>
          <w:rFonts w:hint="eastAsia" w:asciiTheme="minorEastAsia" w:hAnsiTheme="minorEastAsia" w:eastAsiaTheme="minorEastAsia"/>
        </w:rPr>
        <w:t>15.我单位清楚，如存在违反投标承诺行为情节严重的，将根据《深圳市财政局关于印发&lt;深圳市财政局政府采购供应商信用信息管理办法&gt;的通知》，依法被列入失信信息。</w:t>
      </w:r>
    </w:p>
    <w:p w14:paraId="2F73439F">
      <w:pPr>
        <w:ind w:firstLine="420" w:firstLineChars="200"/>
        <w:rPr>
          <w:rFonts w:hint="eastAsia" w:asciiTheme="minorEastAsia" w:hAnsiTheme="minorEastAsia" w:eastAsiaTheme="minorEastAsia"/>
        </w:rPr>
      </w:pPr>
    </w:p>
    <w:p w14:paraId="14D653F4">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以上承诺，如有违反，愿</w:t>
      </w:r>
      <w:r>
        <w:rPr>
          <w:rFonts w:hint="eastAsia" w:asciiTheme="minorEastAsia" w:hAnsiTheme="minorEastAsia" w:eastAsiaTheme="minorEastAsia"/>
          <w:szCs w:val="21"/>
        </w:rPr>
        <w:t>依照国家相关法律法规处理，并承担由此给采购人带来的损失。</w:t>
      </w:r>
    </w:p>
    <w:p w14:paraId="73451AF0">
      <w:pPr>
        <w:spacing w:before="60" w:beforeLines="25" w:after="60" w:afterLines="25"/>
        <w:ind w:firstLine="5460" w:firstLineChars="2600"/>
        <w:rPr>
          <w:rFonts w:hint="eastAsia" w:ascii="宋体" w:hAnsi="宋体"/>
          <w:szCs w:val="21"/>
        </w:rPr>
      </w:pPr>
      <w:r>
        <w:rPr>
          <w:rFonts w:hint="eastAsia" w:ascii="宋体" w:hAnsi="宋体"/>
          <w:szCs w:val="21"/>
        </w:rPr>
        <w:t xml:space="preserve">                                    </w:t>
      </w:r>
    </w:p>
    <w:bookmarkEnd w:id="149"/>
    <w:p w14:paraId="4AC431BC">
      <w:pPr>
        <w:spacing w:before="60" w:beforeLines="25" w:after="60" w:afterLines="25"/>
        <w:ind w:firstLine="5460" w:firstLineChars="2600"/>
        <w:rPr>
          <w:color w:val="auto"/>
        </w:rPr>
      </w:pPr>
      <w:r>
        <w:rPr>
          <w:rFonts w:hint="eastAsia"/>
          <w:color w:val="auto"/>
          <w:szCs w:val="21"/>
        </w:rPr>
        <w:t>投标人：</w:t>
      </w:r>
      <w:r>
        <w:rPr>
          <w:rFonts w:hint="eastAsia"/>
          <w:color w:val="auto"/>
          <w:szCs w:val="21"/>
          <w:u w:val="thick"/>
        </w:rPr>
        <w:t xml:space="preserve">                           </w:t>
      </w:r>
      <w:r>
        <w:rPr>
          <w:rFonts w:hint="eastAsia"/>
          <w:color w:val="auto"/>
          <w:szCs w:val="21"/>
        </w:rPr>
        <w:t>.</w:t>
      </w:r>
    </w:p>
    <w:p w14:paraId="773899F6">
      <w:pPr>
        <w:ind w:right="630" w:firstLine="645"/>
        <w:jc w:val="right"/>
        <w:rPr>
          <w:rFonts w:hint="eastAsia" w:ascii="宋体" w:hAnsi="宋体"/>
          <w:color w:val="auto"/>
          <w:szCs w:val="21"/>
        </w:rPr>
      </w:pPr>
      <w:r>
        <w:rPr>
          <w:rFonts w:hint="eastAsia" w:ascii="宋体" w:hAnsi="宋体"/>
          <w:color w:val="auto"/>
          <w:szCs w:val="21"/>
        </w:rPr>
        <w:t>日期：</w:t>
      </w:r>
      <w:r>
        <w:rPr>
          <w:rFonts w:hint="eastAsia"/>
          <w:color w:val="auto"/>
          <w:szCs w:val="21"/>
          <w:u w:val="thick"/>
        </w:rPr>
        <w:t xml:space="preserve">        </w:t>
      </w:r>
      <w:r>
        <w:rPr>
          <w:rFonts w:hint="eastAsia" w:ascii="宋体" w:hAnsi="宋体"/>
          <w:color w:val="auto"/>
          <w:szCs w:val="21"/>
        </w:rPr>
        <w:t>年</w:t>
      </w:r>
      <w:r>
        <w:rPr>
          <w:rFonts w:hint="eastAsia"/>
          <w:color w:val="auto"/>
          <w:szCs w:val="21"/>
          <w:u w:val="thick"/>
        </w:rPr>
        <w:t xml:space="preserve">       </w:t>
      </w:r>
      <w:r>
        <w:rPr>
          <w:rFonts w:hint="eastAsia" w:ascii="宋体" w:hAnsi="宋体"/>
          <w:color w:val="auto"/>
          <w:szCs w:val="21"/>
        </w:rPr>
        <w:t>月</w:t>
      </w:r>
      <w:r>
        <w:rPr>
          <w:rFonts w:hint="eastAsia"/>
          <w:color w:val="auto"/>
          <w:szCs w:val="21"/>
          <w:u w:val="thick"/>
        </w:rPr>
        <w:t xml:space="preserve">       </w:t>
      </w:r>
      <w:r>
        <w:rPr>
          <w:rFonts w:hint="eastAsia" w:ascii="宋体" w:hAnsi="宋体"/>
          <w:color w:val="auto"/>
          <w:szCs w:val="21"/>
        </w:rPr>
        <w:t>日</w:t>
      </w:r>
    </w:p>
    <w:p w14:paraId="6161F153">
      <w:pPr>
        <w:rPr>
          <w:rFonts w:hint="eastAsia" w:hAnsi="宋体"/>
          <w:b/>
          <w:bCs/>
          <w:sz w:val="24"/>
        </w:rPr>
      </w:pPr>
    </w:p>
    <w:p w14:paraId="56316FB5">
      <w:pPr>
        <w:pStyle w:val="5"/>
        <w:jc w:val="center"/>
        <w:rPr>
          <w:rFonts w:hint="eastAsia" w:ascii="黑体" w:eastAsia="黑体"/>
          <w:b w:val="0"/>
          <w:sz w:val="24"/>
          <w:szCs w:val="24"/>
        </w:rPr>
      </w:pPr>
      <w:r>
        <w:rPr>
          <w:rFonts w:hint="eastAsia" w:ascii="黑体" w:eastAsia="黑体"/>
          <w:b w:val="0"/>
          <w:sz w:val="24"/>
          <w:szCs w:val="24"/>
        </w:rPr>
        <w:t>三、投标人情况及资格证明文件</w:t>
      </w:r>
    </w:p>
    <w:p w14:paraId="6CC520DD">
      <w:pPr>
        <w:jc w:val="center"/>
        <w:rPr>
          <w:rFonts w:hint="eastAsia" w:ascii="黑体" w:hAnsi="宋体" w:eastAsia="黑体"/>
          <w:bCs/>
          <w:kern w:val="0"/>
          <w:sz w:val="24"/>
          <w:szCs w:val="32"/>
        </w:rPr>
      </w:pPr>
      <w:bookmarkStart w:id="152" w:name="_Hlk72257590"/>
      <w:r>
        <w:rPr>
          <w:rFonts w:hint="eastAsia" w:ascii="黑体" w:hAnsi="宋体" w:eastAsia="黑体"/>
          <w:bCs/>
          <w:kern w:val="0"/>
          <w:sz w:val="24"/>
          <w:szCs w:val="32"/>
        </w:rPr>
        <w:t>（一）投标人资格证明文件</w:t>
      </w:r>
    </w:p>
    <w:p w14:paraId="4B363CE5">
      <w:pPr>
        <w:ind w:firstLine="420" w:firstLineChars="200"/>
        <w:rPr>
          <w:rFonts w:hint="eastAsia" w:ascii="黑体" w:hAnsi="黑体" w:eastAsia="黑体"/>
          <w:color w:val="FF0000"/>
          <w:szCs w:val="21"/>
        </w:rPr>
      </w:pPr>
      <w:r>
        <w:rPr>
          <w:rFonts w:hint="eastAsia" w:ascii="黑体" w:hAnsi="黑体" w:eastAsia="黑体"/>
          <w:color w:val="FF0000"/>
          <w:szCs w:val="21"/>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71AEAB97">
      <w:pPr>
        <w:rPr>
          <w:b/>
          <w:bCs/>
          <w:sz w:val="24"/>
        </w:rPr>
      </w:pPr>
    </w:p>
    <w:p w14:paraId="36D3ED29">
      <w:pPr>
        <w:jc w:val="center"/>
        <w:rPr>
          <w:rFonts w:hint="eastAsia" w:ascii="黑体" w:hAnsi="宋体" w:eastAsia="黑体"/>
          <w:bCs/>
          <w:kern w:val="0"/>
          <w:sz w:val="24"/>
          <w:szCs w:val="32"/>
        </w:rPr>
      </w:pPr>
      <w:bookmarkStart w:id="153" w:name="_Hlk72257908"/>
      <w:r>
        <w:rPr>
          <w:rFonts w:hint="eastAsia" w:ascii="黑体" w:hAnsi="宋体" w:eastAsia="黑体"/>
          <w:bCs/>
          <w:kern w:val="0"/>
          <w:sz w:val="24"/>
          <w:szCs w:val="32"/>
        </w:rPr>
        <w:t>（二）中小企业声明函、残疾人福利性单位声明函及监狱企业声明函</w:t>
      </w:r>
    </w:p>
    <w:bookmarkEnd w:id="152"/>
    <w:p w14:paraId="28FC842B">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填写指引：</w:t>
      </w:r>
    </w:p>
    <w:p w14:paraId="7F567403">
      <w:pPr>
        <w:ind w:firstLine="420" w:firstLineChars="200"/>
        <w:rPr>
          <w:rFonts w:hint="eastAsia"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535BE3AE">
      <w:pPr>
        <w:ind w:firstLine="420" w:firstLineChars="200"/>
        <w:rPr>
          <w:rFonts w:hint="eastAsia" w:ascii="黑体" w:hAnsi="黑体" w:eastAsia="黑体"/>
          <w:color w:val="FF0000"/>
          <w:szCs w:val="21"/>
        </w:rPr>
      </w:pPr>
      <w:r>
        <w:rPr>
          <w:rFonts w:hint="eastAsia" w:ascii="黑体" w:hAnsi="黑体" w:eastAsia="黑体"/>
          <w:color w:val="FF0000"/>
          <w:szCs w:val="21"/>
        </w:rPr>
        <w:t>2.该部分内容填写需要参考的相关文件：</w:t>
      </w:r>
    </w:p>
    <w:p w14:paraId="07F5D371">
      <w:pPr>
        <w:ind w:firstLine="420" w:firstLineChars="200"/>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28DDA777">
      <w:pPr>
        <w:ind w:firstLine="420" w:firstLineChars="200"/>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p>
    <w:p w14:paraId="3B085324">
      <w:pPr>
        <w:ind w:firstLine="420" w:firstLineChars="200"/>
        <w:rPr>
          <w:rFonts w:hint="eastAsia"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38397C83">
      <w:pPr>
        <w:ind w:firstLine="420" w:firstLineChars="200"/>
        <w:rPr>
          <w:rFonts w:hint="eastAsia"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6758612B">
      <w:pPr>
        <w:ind w:firstLine="420" w:firstLineChars="200"/>
        <w:rPr>
          <w:rFonts w:hint="eastAsia"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279B12F8">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01ED87FA">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4.声明函具体填写要求：</w:t>
      </w:r>
    </w:p>
    <w:p w14:paraId="348B17E1">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351BAC89">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603CF74D">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733F5D5B">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需求明细”的“货物名称”一栏为准）；如果涉及多项货物（标的）为同一企业制造，“标的名称”下划线处可以如实填写多项货物；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3D00FA6B">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货物需求明细”的“标的所属行业”一栏为准），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71B8445">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货物制造商名称。</w:t>
      </w:r>
      <w:r>
        <w:rPr>
          <w:rFonts w:hint="eastAsia" w:ascii="黑体" w:hAnsi="宋体" w:eastAsia="黑体"/>
          <w:bCs/>
          <w:color w:val="FF0000"/>
          <w:kern w:val="0"/>
          <w:szCs w:val="21"/>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03DC9A9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228F89ED">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货物制造商是否属于采购文件所属行业的中型企业/小型企业/微型企业。</w:t>
      </w:r>
    </w:p>
    <w:p w14:paraId="12219813">
      <w:pPr>
        <w:pStyle w:val="61"/>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35A134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（3）事业单位、社会组织等非企业主体不享受中小企业扶持政策，但事业单位、社会组织等非企业主体提供全部由中小企业制造的货物参加货物采购项目的除外。</w:t>
      </w:r>
    </w:p>
    <w:p w14:paraId="223E1EBB">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5B8BEE2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0335A838">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谈判小组判定声明函无效，相关供应商不享受价格扣除（但不作应答无效处理）。</w:t>
      </w:r>
    </w:p>
    <w:p w14:paraId="395B023C">
      <w:pPr>
        <w:pStyle w:val="61"/>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655E0082">
      <w:pPr>
        <w:pStyle w:val="61"/>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7.根据</w:t>
      </w:r>
      <w:r>
        <w:rPr>
          <w:rFonts w:hint="eastAsia" w:ascii="黑体" w:hAnsi="黑体" w:eastAsia="黑体"/>
          <w:color w:val="FF0000"/>
          <w:szCs w:val="21"/>
        </w:rPr>
        <w:t>《政府采购促进中小企业发展管理办法》（财库〔2020〕46号）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7745C8FF">
      <w:pPr>
        <w:ind w:firstLine="420" w:firstLineChars="200"/>
      </w:pPr>
    </w:p>
    <w:p w14:paraId="03BFF078">
      <w:pPr>
        <w:jc w:val="center"/>
        <w:rPr>
          <w:rFonts w:hint="eastAsia"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中小企业声明函（货物）</w:t>
      </w:r>
    </w:p>
    <w:p w14:paraId="2A25E41D">
      <w:pPr>
        <w:pStyle w:val="3"/>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rPr>
        <w:t xml:space="preserve">    （单位名称）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rPr>
        <w:t xml:space="preserve">    （项目名称）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FEA0736">
      <w:pPr>
        <w:pStyle w:val="3"/>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bCs/>
          <w:i/>
          <w:iCs/>
          <w:sz w:val="21"/>
          <w:szCs w:val="21"/>
          <w:u w:val="single"/>
        </w:rPr>
        <w:t xml:space="preserve">    （标的名称）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rPr>
        <w:t xml:space="preserve">    （采购文件中明确的所属行业）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rPr>
        <w:t xml:space="preserve">    （中型企业、小型企业、微型企业）    </w:t>
      </w:r>
      <w:r>
        <w:rPr>
          <w:rFonts w:hint="eastAsia" w:asciiTheme="minorEastAsia" w:hAnsiTheme="minorEastAsia" w:eastAsiaTheme="minorEastAsia" w:cstheme="minorEastAsia"/>
          <w:sz w:val="21"/>
          <w:szCs w:val="21"/>
        </w:rPr>
        <w:t>；</w:t>
      </w:r>
    </w:p>
    <w:p w14:paraId="308F909E">
      <w:pPr>
        <w:pStyle w:val="3"/>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b/>
          <w:bCs/>
          <w:i/>
          <w:iCs/>
          <w:sz w:val="21"/>
          <w:szCs w:val="21"/>
          <w:u w:val="single"/>
        </w:rPr>
        <w:t xml:space="preserve">    （标的名称）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rPr>
        <w:t xml:space="preserve">    （采购文件中明确的所属行业）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rPr>
        <w:t xml:space="preserve">    （中型企业、小型企业、微型企业）    </w:t>
      </w:r>
      <w:r>
        <w:rPr>
          <w:rFonts w:hint="eastAsia" w:asciiTheme="minorEastAsia" w:hAnsiTheme="minorEastAsia" w:eastAsiaTheme="minorEastAsia" w:cstheme="minorEastAsia"/>
          <w:sz w:val="21"/>
          <w:szCs w:val="21"/>
        </w:rPr>
        <w:t>；</w:t>
      </w:r>
    </w:p>
    <w:p w14:paraId="67FBC55E">
      <w:pPr>
        <w:pStyle w:val="3"/>
        <w:spacing w:line="24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14:paraId="6CA8311F">
      <w:pPr>
        <w:pStyle w:val="3"/>
        <w:spacing w:line="240" w:lineRule="auto"/>
        <w:ind w:firstLine="420" w:firstLineChars="200"/>
        <w:rPr>
          <w:rFonts w:hint="eastAsia" w:asciiTheme="minorEastAsia" w:hAnsiTheme="minorEastAsia" w:eastAsiaTheme="minorEastAsia" w:cstheme="minorEastAsia"/>
          <w:sz w:val="21"/>
          <w:szCs w:val="21"/>
        </w:rPr>
      </w:pPr>
    </w:p>
    <w:p w14:paraId="6398774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54EEBDD1">
      <w:pPr>
        <w:ind w:firstLine="420" w:firstLineChars="200"/>
        <w:rPr>
          <w:rFonts w:hint="eastAsia" w:asciiTheme="minorEastAsia" w:hAnsiTheme="minorEastAsia" w:eastAsiaTheme="minorEastAsia" w:cstheme="minorEastAsia"/>
          <w:szCs w:val="21"/>
        </w:rPr>
      </w:pPr>
      <w:bookmarkStart w:id="154" w:name="_Hlk73562203"/>
      <w:r>
        <w:rPr>
          <w:rFonts w:hint="eastAsia" w:asciiTheme="minorEastAsia" w:hAnsiTheme="minorEastAsia" w:eastAsiaTheme="minorEastAsia" w:cstheme="minorEastAsia"/>
          <w:szCs w:val="21"/>
        </w:rPr>
        <w:t>本投标人对上述声明内容的真实性负责。如有虚假，将依法承担相应责任。</w:t>
      </w:r>
    </w:p>
    <w:p w14:paraId="32458870">
      <w:pPr>
        <w:ind w:firstLine="420" w:firstLineChars="200"/>
        <w:rPr>
          <w:sz w:val="24"/>
        </w:rPr>
      </w:pPr>
      <w:r>
        <w:rPr>
          <w:rFonts w:hint="eastAsia" w:asciiTheme="minorEastAsia" w:hAnsiTheme="minorEastAsia" w:eastAsiaTheme="minorEastAsia" w:cstheme="minorEastAsia"/>
          <w:szCs w:val="21"/>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154"/>
    </w:p>
    <w:p w14:paraId="3C7B14B8"/>
    <w:p w14:paraId="41ABC770">
      <w:pPr>
        <w:jc w:val="center"/>
        <w:rPr>
          <w:rFonts w:hint="eastAsia" w:asciiTheme="minorEastAsia" w:hAnsiTheme="minorEastAsia" w:eastAsiaTheme="minorEastAsia"/>
          <w:b/>
          <w:sz w:val="24"/>
        </w:rPr>
      </w:pPr>
      <w:r>
        <w:rPr>
          <w:rFonts w:hint="eastAsia" w:asciiTheme="minorEastAsia" w:hAnsiTheme="minorEastAsia" w:eastAsiaTheme="minorEastAsia"/>
          <w:b/>
          <w:sz w:val="24"/>
        </w:rPr>
        <w:t>2.残疾人福利性单位声明函（货物类）</w:t>
      </w:r>
    </w:p>
    <w:p w14:paraId="78D359B7">
      <w:pPr>
        <w:ind w:firstLine="420" w:firstLineChars="200"/>
        <w:rPr>
          <w:rFonts w:hint="eastAsia" w:asciiTheme="minorEastAsia" w:hAnsiTheme="minorEastAsia" w:eastAsiaTheme="minorEastAsia" w:cstheme="minorEastAsia"/>
          <w:szCs w:val="21"/>
        </w:rPr>
      </w:pPr>
      <w:bookmarkStart w:id="155" w:name="_Hlk73562331"/>
      <w:bookmarkStart w:id="156" w:name="_Hlk73562245"/>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项目采购活动提供本单位制造的货物（由本单位承担工程/提供服务），或者提供其他残疾人福利性单位制造的货物（不包括使用非残疾人福利性单位注册商标的货物）。</w:t>
      </w:r>
    </w:p>
    <w:p w14:paraId="57C8F5A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4A0E918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bookmarkEnd w:id="155"/>
    </w:p>
    <w:bookmarkEnd w:id="156"/>
    <w:p w14:paraId="7F35563E">
      <w:pPr>
        <w:rPr>
          <w:rFonts w:hint="eastAsia" w:ascii="宋体" w:hAnsi="宋体"/>
          <w:szCs w:val="21"/>
        </w:rPr>
      </w:pPr>
    </w:p>
    <w:p w14:paraId="1E947B47">
      <w:pPr>
        <w:jc w:val="center"/>
        <w:rPr>
          <w:rFonts w:hint="eastAsia" w:asciiTheme="minorEastAsia" w:hAnsiTheme="minorEastAsia" w:eastAsiaTheme="minorEastAsia"/>
          <w:b/>
          <w:sz w:val="24"/>
        </w:rPr>
      </w:pPr>
      <w:r>
        <w:rPr>
          <w:rFonts w:hint="eastAsia" w:asciiTheme="minorEastAsia" w:hAnsiTheme="minorEastAsia" w:eastAsiaTheme="minorEastAsia"/>
          <w:b/>
          <w:sz w:val="24"/>
        </w:rPr>
        <w:t>3.监狱企业声明函【货物类，提供监狱企业货物的供应商如需享受优惠政策，还须另行提供省级以上监狱管理局、戒毒管理局（含新疆生产建设兵团）出具的监狱企业证明文件】</w:t>
      </w:r>
    </w:p>
    <w:p w14:paraId="59854D8F">
      <w:pPr>
        <w:ind w:firstLine="420" w:firstLineChars="200"/>
        <w:rPr>
          <w:rFonts w:hint="eastAsia"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i/>
          <w:iCs/>
          <w:szCs w:val="21"/>
          <w:u w:val="single"/>
        </w:rPr>
        <w:t>（</w:t>
      </w:r>
      <w:r>
        <w:rPr>
          <w:rFonts w:hint="eastAsia" w:ascii="宋体" w:hAnsi="宋体"/>
          <w:b/>
          <w:bCs/>
          <w:i/>
          <w:iCs/>
          <w:szCs w:val="21"/>
          <w:u w:val="single"/>
        </w:rPr>
        <w:t>采购人</w:t>
      </w:r>
      <w:r>
        <w:rPr>
          <w:rFonts w:ascii="宋体" w:hAnsi="宋体"/>
          <w:b/>
          <w:bCs/>
          <w:i/>
          <w:iCs/>
          <w:szCs w:val="21"/>
          <w:u w:val="single"/>
        </w:rPr>
        <w:t>名称）</w:t>
      </w:r>
      <w:r>
        <w:rPr>
          <w:rFonts w:ascii="宋体" w:hAnsi="宋体"/>
          <w:szCs w:val="21"/>
        </w:rPr>
        <w:t>的</w:t>
      </w:r>
      <w:r>
        <w:rPr>
          <w:rFonts w:ascii="宋体" w:hAnsi="宋体"/>
          <w:b/>
          <w:bCs/>
          <w:i/>
          <w:iCs/>
          <w:szCs w:val="21"/>
          <w:u w:val="single"/>
        </w:rPr>
        <w:t>（项目名称）</w:t>
      </w:r>
      <w:r>
        <w:rPr>
          <w:rFonts w:ascii="宋体" w:hAnsi="宋体"/>
          <w:szCs w:val="21"/>
        </w:rPr>
        <w:t>采购活动，提供的货物全部由符合政策要求的</w:t>
      </w:r>
      <w:r>
        <w:rPr>
          <w:rFonts w:hint="eastAsia" w:ascii="宋体" w:hAnsi="宋体"/>
          <w:szCs w:val="21"/>
        </w:rPr>
        <w:t>监狱企业</w:t>
      </w:r>
      <w:r>
        <w:rPr>
          <w:rFonts w:ascii="宋体" w:hAnsi="宋体"/>
          <w:szCs w:val="21"/>
        </w:rPr>
        <w:t>制造。相关</w:t>
      </w:r>
      <w:r>
        <w:rPr>
          <w:rFonts w:hint="eastAsia" w:ascii="宋体" w:hAnsi="宋体"/>
          <w:szCs w:val="21"/>
        </w:rPr>
        <w:t>监狱企业</w:t>
      </w:r>
      <w:r>
        <w:rPr>
          <w:rFonts w:ascii="宋体" w:hAnsi="宋体"/>
          <w:szCs w:val="21"/>
        </w:rPr>
        <w:t>的具体情况如下：</w:t>
      </w:r>
    </w:p>
    <w:p w14:paraId="2E61EE79">
      <w:pPr>
        <w:ind w:firstLine="420" w:firstLineChars="200"/>
        <w:rPr>
          <w:rFonts w:hint="eastAsia" w:ascii="宋体" w:hAnsi="宋体"/>
          <w:szCs w:val="21"/>
        </w:rPr>
      </w:pPr>
      <w:r>
        <w:rPr>
          <w:rFonts w:ascii="宋体" w:hAnsi="宋体"/>
          <w:szCs w:val="21"/>
        </w:rPr>
        <w:t>1.</w:t>
      </w:r>
      <w:r>
        <w:rPr>
          <w:rFonts w:ascii="宋体" w:hAnsi="宋体"/>
          <w:b/>
          <w:bCs/>
          <w:i/>
          <w:iCs/>
          <w:szCs w:val="21"/>
          <w:u w:val="single"/>
        </w:rPr>
        <w:t xml:space="preserve"> </w:t>
      </w:r>
      <w:r>
        <w:rPr>
          <w:rFonts w:hint="eastAsia" w:ascii="宋体" w:hAnsi="宋体"/>
          <w:b/>
          <w:bCs/>
          <w:i/>
          <w:iCs/>
          <w:szCs w:val="21"/>
          <w:u w:val="single"/>
        </w:rPr>
        <w:t xml:space="preserve">   </w:t>
      </w:r>
      <w:r>
        <w:rPr>
          <w:rFonts w:ascii="宋体" w:hAnsi="宋体"/>
          <w:b/>
          <w:bCs/>
          <w:i/>
          <w:iCs/>
          <w:szCs w:val="21"/>
          <w:u w:val="single"/>
        </w:rPr>
        <w:t>（标的名称）</w:t>
      </w:r>
      <w:r>
        <w:rPr>
          <w:rFonts w:hint="eastAsia" w:ascii="宋体" w:hAnsi="宋体"/>
          <w:b/>
          <w:bCs/>
          <w:i/>
          <w:iCs/>
          <w:szCs w:val="21"/>
          <w:u w:val="single"/>
        </w:rPr>
        <w:t xml:space="preserve">    </w:t>
      </w:r>
      <w:r>
        <w:rPr>
          <w:rFonts w:hint="eastAsia" w:ascii="宋体" w:hAnsi="宋体"/>
          <w:szCs w:val="21"/>
        </w:rPr>
        <w:t>，</w:t>
      </w:r>
      <w:r>
        <w:rPr>
          <w:rFonts w:ascii="宋体" w:hAnsi="宋体"/>
          <w:szCs w:val="21"/>
        </w:rPr>
        <w:t>制造商为</w:t>
      </w:r>
      <w:r>
        <w:rPr>
          <w:rFonts w:hint="eastAsia" w:ascii="宋体" w:hAnsi="宋体"/>
          <w:szCs w:val="21"/>
          <w:u w:val="single"/>
        </w:rPr>
        <w:t xml:space="preserve">    </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hint="eastAsia" w:ascii="宋体" w:hAnsi="宋体"/>
          <w:b/>
          <w:bCs/>
          <w:i/>
          <w:iCs/>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b/>
          <w:bCs/>
          <w:szCs w:val="21"/>
          <w:u w:val="single"/>
        </w:rPr>
        <w:t xml:space="preserve">监狱企业  </w:t>
      </w:r>
      <w:r>
        <w:rPr>
          <w:rFonts w:ascii="宋体" w:hAnsi="宋体"/>
          <w:szCs w:val="21"/>
        </w:rPr>
        <w:t>；</w:t>
      </w:r>
    </w:p>
    <w:p w14:paraId="5FBD27EF">
      <w:pPr>
        <w:ind w:firstLine="420" w:firstLineChars="200"/>
        <w:rPr>
          <w:rFonts w:hint="eastAsia" w:ascii="宋体" w:hAnsi="宋体"/>
          <w:szCs w:val="21"/>
        </w:rPr>
      </w:pPr>
      <w:r>
        <w:rPr>
          <w:rFonts w:ascii="宋体" w:hAnsi="宋体"/>
          <w:szCs w:val="21"/>
        </w:rPr>
        <w:t>2.</w:t>
      </w:r>
      <w:r>
        <w:rPr>
          <w:rFonts w:ascii="宋体" w:hAnsi="宋体"/>
          <w:b/>
          <w:bCs/>
          <w:i/>
          <w:iCs/>
          <w:szCs w:val="21"/>
          <w:u w:val="single"/>
        </w:rPr>
        <w:t xml:space="preserve"> </w:t>
      </w:r>
      <w:r>
        <w:rPr>
          <w:rFonts w:hint="eastAsia" w:ascii="宋体" w:hAnsi="宋体"/>
          <w:b/>
          <w:bCs/>
          <w:i/>
          <w:iCs/>
          <w:szCs w:val="21"/>
          <w:u w:val="single"/>
        </w:rPr>
        <w:t xml:space="preserve">   </w:t>
      </w:r>
      <w:r>
        <w:rPr>
          <w:rFonts w:ascii="宋体" w:hAnsi="宋体"/>
          <w:b/>
          <w:bCs/>
          <w:i/>
          <w:iCs/>
          <w:szCs w:val="21"/>
          <w:u w:val="single"/>
        </w:rPr>
        <w:t>（标的名称）</w:t>
      </w:r>
      <w:r>
        <w:rPr>
          <w:rFonts w:hint="eastAsia" w:ascii="宋体" w:hAnsi="宋体"/>
          <w:b/>
          <w:bCs/>
          <w:i/>
          <w:iCs/>
          <w:szCs w:val="21"/>
          <w:u w:val="single"/>
        </w:rPr>
        <w:t xml:space="preserve">    </w:t>
      </w:r>
      <w:r>
        <w:rPr>
          <w:rFonts w:hint="eastAsia" w:ascii="宋体" w:hAnsi="宋体"/>
          <w:szCs w:val="21"/>
        </w:rPr>
        <w:t>，</w:t>
      </w:r>
      <w:r>
        <w:rPr>
          <w:rFonts w:ascii="宋体" w:hAnsi="宋体"/>
          <w:szCs w:val="21"/>
        </w:rPr>
        <w:t>制造商为</w:t>
      </w:r>
      <w:r>
        <w:rPr>
          <w:rFonts w:hint="eastAsia" w:ascii="宋体" w:hAnsi="宋体"/>
          <w:szCs w:val="21"/>
          <w:u w:val="single"/>
        </w:rPr>
        <w:t xml:space="preserve">    </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hint="eastAsia" w:ascii="宋体" w:hAnsi="宋体"/>
          <w:b/>
          <w:bCs/>
          <w:i/>
          <w:iCs/>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b/>
          <w:bCs/>
          <w:szCs w:val="21"/>
          <w:u w:val="single"/>
        </w:rPr>
        <w:t xml:space="preserve">监狱企业  </w:t>
      </w:r>
      <w:r>
        <w:rPr>
          <w:rFonts w:hint="eastAsia" w:ascii="宋体" w:hAnsi="宋体"/>
          <w:szCs w:val="21"/>
        </w:rPr>
        <w:t>。</w:t>
      </w:r>
    </w:p>
    <w:p w14:paraId="6FF282A9">
      <w:pPr>
        <w:ind w:firstLine="420" w:firstLineChars="200"/>
        <w:rPr>
          <w:rFonts w:hint="eastAsia" w:ascii="宋体" w:hAnsi="宋体"/>
          <w:szCs w:val="21"/>
        </w:rPr>
      </w:pPr>
      <w:r>
        <w:rPr>
          <w:rFonts w:ascii="宋体" w:hAnsi="宋体"/>
          <w:szCs w:val="21"/>
        </w:rPr>
        <w:t xml:space="preserve">…… </w:t>
      </w:r>
    </w:p>
    <w:p w14:paraId="39ACD15A">
      <w:pPr>
        <w:ind w:firstLine="420" w:firstLineChars="200"/>
        <w:rPr>
          <w:rFonts w:hint="eastAsia"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473F8892">
      <w:pPr>
        <w:ind w:firstLine="420" w:firstLineChars="200"/>
        <w:rPr>
          <w:b/>
          <w:bCs/>
          <w:color w:val="FF0000"/>
          <w:szCs w:val="21"/>
        </w:rPr>
      </w:pPr>
      <w:r>
        <w:rPr>
          <w:rFonts w:hint="eastAsia" w:ascii="宋体" w:hAnsi="宋体"/>
          <w:szCs w:val="21"/>
        </w:rPr>
        <w:t>附：省级以上监狱管理局、戒毒管理局（含新疆生产建设兵团）出具的监狱企业证明文件。</w:t>
      </w:r>
      <w:bookmarkEnd w:id="153"/>
    </w:p>
    <w:p w14:paraId="4AFAD12A">
      <w:pPr>
        <w:rPr>
          <w:b/>
          <w:bCs/>
        </w:rPr>
      </w:pPr>
      <w:bookmarkStart w:id="157" w:name="_Hlk72259976"/>
    </w:p>
    <w:p w14:paraId="0CB671A7">
      <w:pPr>
        <w:jc w:val="center"/>
        <w:rPr>
          <w:rFonts w:hint="eastAsia" w:ascii="黑体" w:hAnsi="宋体" w:eastAsia="黑体"/>
          <w:bCs/>
          <w:kern w:val="0"/>
          <w:sz w:val="24"/>
          <w:szCs w:val="32"/>
        </w:rPr>
      </w:pPr>
      <w:r>
        <w:rPr>
          <w:rFonts w:hint="eastAsia" w:ascii="黑体" w:hAnsi="宋体" w:eastAsia="黑体"/>
          <w:bCs/>
          <w:kern w:val="0"/>
          <w:sz w:val="24"/>
          <w:szCs w:val="32"/>
        </w:rPr>
        <w:t>（三）本国产品声明函</w:t>
      </w:r>
    </w:p>
    <w:p w14:paraId="0D410878">
      <w:pPr>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填写指引：</w:t>
      </w:r>
    </w:p>
    <w:p w14:paraId="01CAE65D">
      <w:pPr>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2CD2FB5B">
      <w:pPr>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2.该部分内容填写需要参考的相关文件：</w:t>
      </w:r>
    </w:p>
    <w:p w14:paraId="375B2ADF">
      <w:pPr>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(1)《国务院办公厅关于在政府采购中实施本国产品标准及相关政策的通知》（国办发〔2025〕34号）</w:t>
      </w:r>
    </w:p>
    <w:p w14:paraId="0AAFF90E">
      <w:pPr>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16CD531F">
      <w:pPr>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3.请依照提供的格式和内容填写声明函，不要随意变更格式；声明函可以不盖章或签字。</w:t>
      </w:r>
    </w:p>
    <w:p w14:paraId="4F9F534E">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4.声明函具体填写要求：</w:t>
      </w:r>
    </w:p>
    <w:p w14:paraId="7EE3AE2A">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（1）产品如有型号，请在“产品名称”栏一并填写。</w:t>
      </w:r>
    </w:p>
    <w:p w14:paraId="240AD55D">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（2）生产厂名与厂址应与生产厂营业执照载明的相关信息保持一致。</w:t>
      </w:r>
    </w:p>
    <w:p w14:paraId="1AF91F10">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（3）该产品的中国境内生产的组件成本占比相关要求实施前，“规定比例”栏可不填，下同。</w:t>
      </w:r>
    </w:p>
    <w:p w14:paraId="6395280B">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（4）该产品的关键组件要求实施前，“关键组件”栏可不填，下同。</w:t>
      </w:r>
    </w:p>
    <w:p w14:paraId="18AAA84A">
      <w:pPr>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（5）该产品的关键工序要求实施前，“关键工序”栏可不填，下同。</w:t>
      </w:r>
    </w:p>
    <w:p w14:paraId="7FDC73BA">
      <w:pPr>
        <w:ind w:firstLine="422" w:firstLineChars="200"/>
        <w:rPr>
          <w:rFonts w:hint="eastAsia" w:asciiTheme="minorEastAsia" w:hAnsiTheme="minorEastAsia" w:eastAsiaTheme="minorEastAsia"/>
          <w:color w:val="FF0000"/>
        </w:rPr>
      </w:pPr>
      <w:r>
        <w:rPr>
          <w:rFonts w:hint="eastAsia" w:asciiTheme="minorEastAsia" w:hAnsiTheme="minorEastAsia" w:eastAsiaTheme="minorEastAsia"/>
          <w:b/>
          <w:bCs/>
          <w:color w:val="FF0000"/>
          <w:szCs w:val="21"/>
        </w:rPr>
        <w:t>（6）必须在“具体比例”栏如实填写提供所有符合本国产品标准的产品成本之和占提供的全部产品成本之和的具体比例。</w:t>
      </w:r>
      <w:r>
        <w:rPr>
          <w:rFonts w:hint="eastAsia" w:asciiTheme="minorEastAsia" w:hAnsiTheme="minorEastAsia" w:eastAsiaTheme="minorEastAsia"/>
          <w:color w:val="FF0000"/>
          <w:szCs w:val="21"/>
        </w:rPr>
        <w:t>根据《国务院办公厅关于在政府采购中实施本国产品标准及相关政策的通知》（国办发〔2025〕34号）的</w:t>
      </w:r>
      <w:r>
        <w:rPr>
          <w:rFonts w:hint="eastAsia" w:asciiTheme="minorEastAsia" w:hAnsiTheme="minorEastAsia" w:eastAsiaTheme="minorEastAsia"/>
          <w:color w:val="FF0000"/>
        </w:rPr>
        <w:t>规定，当采购项目或者采购包中含有多种产品，供应商为该采购项目或者采购包提供的符合本国产品标准的产品成本之和占该供应商提供的全部产品成本之和的比例达到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b/>
          <w:bCs/>
          <w:color w:val="FF0000"/>
        </w:rPr>
        <w:t>80%以上</w:t>
      </w:r>
      <w:r>
        <w:rPr>
          <w:rFonts w:hint="eastAsia" w:asciiTheme="minorEastAsia" w:hAnsiTheme="minorEastAsia" w:eastAsiaTheme="minorEastAsia"/>
          <w:color w:val="FF0000"/>
        </w:rPr>
        <w:t>时，依法对该供应商提供的全部产品给予20%价格评审优惠。</w:t>
      </w:r>
    </w:p>
    <w:p w14:paraId="0CB57D82">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争议处理：</w:t>
      </w:r>
    </w:p>
    <w:p w14:paraId="39294D64">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5A77C2A3">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580F0903">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51FC6125">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79A0949">
      <w:pPr>
        <w:pStyle w:val="61"/>
        <w:ind w:firstLine="420" w:firstLineChars="200"/>
        <w:rPr>
          <w:rFonts w:hint="eastAsia"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6</w:t>
      </w:r>
      <w:r>
        <w:rPr>
          <w:rFonts w:hint="eastAsia" w:asciiTheme="minorEastAsia" w:hAnsiTheme="minorEastAsia" w:eastAsiaTheme="minor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1A356928">
      <w:pPr>
        <w:pStyle w:val="61"/>
      </w:pPr>
    </w:p>
    <w:p w14:paraId="7CCF4B81">
      <w:pPr>
        <w:pStyle w:val="61"/>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7EAD65A3">
      <w:pPr>
        <w:widowControl/>
        <w:shd w:val="clear" w:color="auto" w:fill="FFFFFF"/>
        <w:ind w:firstLine="420" w:firstLineChars="200"/>
        <w:jc w:val="left"/>
        <w:rPr>
          <w:rFonts w:hint="eastAsia"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本公司（单位）郑重声明，根据《国务院办公厅关于在政府采购中实施本国产品标准及相关政策的通知》（国办发〔</w:t>
      </w:r>
      <w:r>
        <w:rPr>
          <w:rFonts w:cs="Calibri" w:asciiTheme="minorEastAsia" w:hAnsiTheme="minorEastAsia" w:eastAsiaTheme="minorEastAsia"/>
          <w:color w:val="000000"/>
          <w:szCs w:val="21"/>
          <w:shd w:val="clear" w:color="auto" w:fill="FFFFFF"/>
        </w:rPr>
        <w:t>2025</w:t>
      </w:r>
      <w:r>
        <w:rPr>
          <w:rFonts w:hint="eastAsia" w:cs="宋体" w:asciiTheme="minorEastAsia" w:hAnsiTheme="minorEastAsia" w:eastAsiaTheme="minorEastAsia"/>
          <w:color w:val="000000"/>
          <w:szCs w:val="21"/>
          <w:shd w:val="clear" w:color="auto" w:fill="FFFFFF"/>
        </w:rPr>
        <w:t>〕</w:t>
      </w:r>
      <w:r>
        <w:rPr>
          <w:rFonts w:cs="Calibri" w:asciiTheme="minorEastAsia" w:hAnsiTheme="minorEastAsia" w:eastAsiaTheme="minorEastAsia"/>
          <w:color w:val="000000"/>
          <w:szCs w:val="21"/>
          <w:shd w:val="clear" w:color="auto" w:fill="FFFFFF"/>
        </w:rPr>
        <w:t>34</w:t>
      </w:r>
      <w:r>
        <w:rPr>
          <w:rFonts w:hint="eastAsia" w:cs="宋体" w:asciiTheme="minorEastAsia" w:hAnsiTheme="minorEastAsia" w:eastAsiaTheme="minorEastAsia"/>
          <w:color w:val="000000"/>
          <w:szCs w:val="21"/>
          <w:shd w:val="clear" w:color="auto" w:fill="FFFFFF"/>
        </w:rPr>
        <w:t>号）的规定，本公司（单位）提供的以下产品属于本国产品。具体情况如下：</w:t>
      </w:r>
    </w:p>
    <w:p w14:paraId="3BB5A973">
      <w:pPr>
        <w:widowControl/>
        <w:shd w:val="clear" w:color="auto" w:fill="FFFFFF"/>
        <w:ind w:firstLine="420" w:firstLineChars="200"/>
        <w:jc w:val="left"/>
        <w:rPr>
          <w:rFonts w:hint="eastAsia" w:ascii="宋体" w:hAnsi="宋体" w:cs="宋体"/>
          <w:color w:val="000000"/>
          <w:szCs w:val="21"/>
        </w:rPr>
      </w:pPr>
      <w:r>
        <w:rPr>
          <w:rFonts w:ascii="Calibri" w:hAnsi="Calibri" w:cs="Calibri"/>
          <w:color w:val="000000"/>
          <w:szCs w:val="21"/>
          <w:shd w:val="clear" w:color="auto" w:fill="FFFFFF"/>
        </w:rPr>
        <w:t>1.</w:t>
      </w:r>
      <w:r>
        <w:rPr>
          <w:rFonts w:hint="eastAsia" w:ascii="宋体" w:hAnsi="宋体"/>
          <w:b/>
          <w:bCs/>
          <w:i/>
          <w:iCs/>
          <w:szCs w:val="21"/>
          <w:u w:val="single"/>
        </w:rPr>
        <w:t>（产品名称</w:t>
      </w:r>
      <w:r>
        <w:rPr>
          <w:rFonts w:ascii="宋体" w:hAnsi="宋体"/>
          <w:b/>
          <w:bCs/>
          <w:i/>
          <w:iCs/>
          <w:szCs w:val="21"/>
          <w:u w:val="single"/>
        </w:rPr>
        <w:t>1</w:t>
      </w:r>
      <w:r>
        <w:rPr>
          <w:rFonts w:hint="eastAsia" w:ascii="宋体" w:hAnsi="宋体"/>
          <w:b/>
          <w:bCs/>
          <w:i/>
          <w:iCs/>
          <w:szCs w:val="21"/>
          <w:u w:val="single"/>
        </w:rPr>
        <w:t>）</w:t>
      </w:r>
      <w:r>
        <w:rPr>
          <w:rFonts w:ascii="Calibri" w:hAnsi="Calibri" w:cs="Calibri"/>
          <w:color w:val="FF0000"/>
          <w:szCs w:val="21"/>
          <w:shd w:val="clear" w:color="auto" w:fill="FFFFFF"/>
        </w:rPr>
        <w:t>1</w:t>
      </w:r>
      <w:r>
        <w:rPr>
          <w:rFonts w:hint="eastAsia" w:ascii="宋体" w:hAnsi="宋体" w:cs="宋体"/>
          <w:color w:val="000000"/>
          <w:szCs w:val="21"/>
          <w:shd w:val="clear" w:color="auto" w:fill="FFFFFF"/>
        </w:rPr>
        <w:t>，生产厂为</w:t>
      </w:r>
      <w:r>
        <w:rPr>
          <w:rFonts w:hint="eastAsia" w:ascii="宋体" w:hAnsi="宋体"/>
          <w:b/>
          <w:bCs/>
          <w:i/>
          <w:iCs/>
          <w:szCs w:val="21"/>
          <w:u w:val="single"/>
        </w:rPr>
        <w:t>（厂名）</w:t>
      </w:r>
      <w:r>
        <w:rPr>
          <w:rFonts w:ascii="Calibri" w:hAnsi="Calibri" w:cs="Calibri"/>
          <w:color w:val="FF0000"/>
          <w:szCs w:val="21"/>
          <w:shd w:val="clear" w:color="auto" w:fill="FFFFFF"/>
        </w:rPr>
        <w:t>2</w:t>
      </w:r>
      <w:r>
        <w:rPr>
          <w:rFonts w:hint="eastAsia" w:ascii="宋体" w:hAnsi="宋体" w:cs="宋体"/>
          <w:color w:val="000000"/>
          <w:szCs w:val="21"/>
          <w:shd w:val="clear" w:color="auto" w:fill="FFFFFF"/>
        </w:rPr>
        <w:t>，厂址为</w:t>
      </w:r>
      <w:r>
        <w:rPr>
          <w:rFonts w:hint="eastAsia" w:ascii="宋体" w:hAnsi="宋体"/>
          <w:b/>
          <w:bCs/>
          <w:i/>
          <w:iCs/>
          <w:szCs w:val="21"/>
          <w:u w:val="single"/>
        </w:rPr>
        <w:t>（生产厂址）</w:t>
      </w:r>
      <w:r>
        <w:rPr>
          <w:rFonts w:hint="eastAsia" w:ascii="Calibri" w:hAnsi="Calibri" w:cs="Calibri"/>
          <w:color w:val="000000"/>
          <w:szCs w:val="21"/>
          <w:shd w:val="clear" w:color="auto" w:fill="FFFFFF"/>
        </w:rPr>
        <w:t>。</w:t>
      </w:r>
      <w:r>
        <w:rPr>
          <w:rFonts w:hint="eastAsia" w:ascii="宋体" w:hAnsi="宋体"/>
          <w:b/>
          <w:bCs/>
          <w:i/>
          <w:iCs/>
          <w:szCs w:val="21"/>
          <w:u w:val="single"/>
        </w:rPr>
        <w:t>（产品名称</w:t>
      </w:r>
      <w:r>
        <w:rPr>
          <w:rFonts w:ascii="宋体" w:hAnsi="宋体"/>
          <w:b/>
          <w:bCs/>
          <w:i/>
          <w:iCs/>
          <w:szCs w:val="21"/>
          <w:u w:val="single"/>
        </w:rPr>
        <w:t>1</w:t>
      </w:r>
      <w:r>
        <w:rPr>
          <w:rFonts w:hint="eastAsia" w:ascii="宋体" w:hAnsi="宋体"/>
          <w:b/>
          <w:bCs/>
          <w:i/>
          <w:iCs/>
          <w:szCs w:val="21"/>
          <w:u w:val="single"/>
        </w:rPr>
        <w:t>）</w:t>
      </w:r>
      <w:r>
        <w:rPr>
          <w:rFonts w:hint="eastAsia" w:ascii="宋体" w:hAnsi="宋体" w:cs="宋体"/>
          <w:color w:val="000000"/>
          <w:szCs w:val="21"/>
          <w:shd w:val="clear" w:color="auto" w:fill="FFFFFF"/>
        </w:rPr>
        <w:t>的中国境内生产的组件成本占比≥</w:t>
      </w:r>
      <w:r>
        <w:rPr>
          <w:rFonts w:hint="eastAsia" w:ascii="宋体" w:hAnsi="宋体"/>
          <w:b/>
          <w:bCs/>
          <w:i/>
          <w:iCs/>
          <w:szCs w:val="21"/>
          <w:u w:val="single"/>
        </w:rPr>
        <w:t>（规定比例）</w:t>
      </w:r>
      <w:r>
        <w:rPr>
          <w:rFonts w:ascii="Calibri" w:hAnsi="Calibri" w:cs="Calibri"/>
          <w:color w:val="FF0000"/>
          <w:szCs w:val="21"/>
          <w:shd w:val="clear" w:color="auto" w:fill="FFFFFF"/>
        </w:rPr>
        <w:t>3</w:t>
      </w:r>
      <w:r>
        <w:rPr>
          <w:rFonts w:hint="eastAsia" w:ascii="宋体" w:hAnsi="宋体" w:cs="宋体"/>
          <w:color w:val="000000"/>
          <w:szCs w:val="21"/>
          <w:shd w:val="clear" w:color="auto" w:fill="FFFFFF"/>
        </w:rPr>
        <w:t>。</w:t>
      </w:r>
      <w:r>
        <w:rPr>
          <w:rFonts w:hint="eastAsia" w:ascii="宋体" w:hAnsi="宋体"/>
          <w:b/>
          <w:bCs/>
          <w:i/>
          <w:iCs/>
          <w:szCs w:val="21"/>
          <w:u w:val="single"/>
        </w:rPr>
        <w:t>（产品名称</w:t>
      </w:r>
      <w:r>
        <w:rPr>
          <w:rFonts w:ascii="宋体" w:hAnsi="宋体"/>
          <w:b/>
          <w:bCs/>
          <w:i/>
          <w:iCs/>
          <w:szCs w:val="21"/>
          <w:u w:val="single"/>
        </w:rPr>
        <w:t>1</w:t>
      </w:r>
      <w:r>
        <w:rPr>
          <w:rFonts w:hint="eastAsia" w:ascii="宋体" w:hAnsi="宋体"/>
          <w:b/>
          <w:bCs/>
          <w:i/>
          <w:iCs/>
          <w:szCs w:val="21"/>
          <w:u w:val="single"/>
        </w:rPr>
        <w:t>）</w:t>
      </w:r>
      <w:r>
        <w:rPr>
          <w:rFonts w:hint="eastAsia" w:ascii="宋体" w:hAnsi="宋体" w:cs="宋体"/>
          <w:color w:val="000000"/>
          <w:szCs w:val="21"/>
          <w:shd w:val="clear" w:color="auto" w:fill="FFFFFF"/>
        </w:rPr>
        <w:t>的</w:t>
      </w:r>
      <w:r>
        <w:rPr>
          <w:rFonts w:hint="eastAsia" w:ascii="宋体" w:hAnsi="宋体"/>
          <w:b/>
          <w:bCs/>
          <w:i/>
          <w:iCs/>
          <w:szCs w:val="21"/>
          <w:u w:val="single"/>
        </w:rPr>
        <w:t>（关键组件）</w:t>
      </w:r>
      <w:r>
        <w:rPr>
          <w:rFonts w:ascii="Calibri" w:hAnsi="Calibri" w:cs="Calibri"/>
          <w:color w:val="FF0000"/>
          <w:szCs w:val="21"/>
          <w:shd w:val="clear" w:color="auto" w:fill="FFFFFF"/>
        </w:rPr>
        <w:t>4</w:t>
      </w:r>
      <w:r>
        <w:rPr>
          <w:rFonts w:hint="eastAsia" w:ascii="宋体" w:hAnsi="宋体" w:cs="宋体"/>
          <w:color w:val="000000"/>
          <w:szCs w:val="21"/>
          <w:shd w:val="clear" w:color="auto" w:fill="FFFFFF"/>
        </w:rPr>
        <w:t>在中国境内生产。</w:t>
      </w:r>
      <w:r>
        <w:rPr>
          <w:rFonts w:hint="eastAsia" w:ascii="宋体" w:hAnsi="宋体"/>
          <w:b/>
          <w:bCs/>
          <w:i/>
          <w:iCs/>
          <w:szCs w:val="21"/>
          <w:u w:val="single"/>
        </w:rPr>
        <w:t>（产品名称</w:t>
      </w:r>
      <w:r>
        <w:rPr>
          <w:rFonts w:ascii="宋体" w:hAnsi="宋体"/>
          <w:b/>
          <w:bCs/>
          <w:i/>
          <w:iCs/>
          <w:szCs w:val="21"/>
          <w:u w:val="single"/>
        </w:rPr>
        <w:t>1</w:t>
      </w:r>
      <w:r>
        <w:rPr>
          <w:rFonts w:hint="eastAsia" w:ascii="宋体" w:hAnsi="宋体"/>
          <w:b/>
          <w:bCs/>
          <w:i/>
          <w:iCs/>
          <w:szCs w:val="21"/>
          <w:u w:val="single"/>
        </w:rPr>
        <w:t>）</w:t>
      </w:r>
      <w:r>
        <w:rPr>
          <w:rFonts w:hint="eastAsia" w:ascii="宋体" w:hAnsi="宋体" w:cs="宋体"/>
          <w:color w:val="000000"/>
          <w:szCs w:val="21"/>
          <w:shd w:val="clear" w:color="auto" w:fill="FFFFFF"/>
        </w:rPr>
        <w:t>的</w:t>
      </w:r>
      <w:r>
        <w:rPr>
          <w:rFonts w:hint="eastAsia" w:ascii="宋体" w:hAnsi="宋体"/>
          <w:b/>
          <w:bCs/>
          <w:i/>
          <w:iCs/>
          <w:szCs w:val="21"/>
          <w:u w:val="single"/>
        </w:rPr>
        <w:t>（关键工序）</w:t>
      </w:r>
      <w:r>
        <w:rPr>
          <w:rFonts w:ascii="Calibri" w:hAnsi="Calibri" w:cs="Calibri"/>
          <w:color w:val="FF0000"/>
          <w:szCs w:val="21"/>
          <w:shd w:val="clear" w:color="auto" w:fill="FFFFFF"/>
        </w:rPr>
        <w:t>5</w:t>
      </w:r>
      <w:r>
        <w:rPr>
          <w:rFonts w:hint="eastAsia" w:ascii="宋体" w:hAnsi="宋体" w:cs="宋体"/>
          <w:color w:val="000000"/>
          <w:szCs w:val="21"/>
          <w:shd w:val="clear" w:color="auto" w:fill="FFFFFF"/>
        </w:rPr>
        <w:t>在中国境内完成。</w:t>
      </w:r>
    </w:p>
    <w:p w14:paraId="240A8B54">
      <w:pPr>
        <w:widowControl/>
        <w:shd w:val="clear" w:color="auto" w:fill="FFFFFF"/>
        <w:ind w:firstLine="420" w:firstLineChars="200"/>
        <w:jc w:val="left"/>
        <w:rPr>
          <w:rFonts w:hint="eastAsia" w:ascii="宋体" w:hAnsi="宋体" w:cs="宋体"/>
          <w:color w:val="000000"/>
          <w:szCs w:val="21"/>
        </w:rPr>
      </w:pPr>
      <w:r>
        <w:rPr>
          <w:rFonts w:hint="eastAsia" w:ascii="Calibri" w:hAnsi="Calibri" w:cs="Calibri"/>
          <w:color w:val="000000"/>
          <w:szCs w:val="21"/>
          <w:shd w:val="clear" w:color="auto" w:fill="FFFFFF"/>
        </w:rPr>
        <w:t>2</w:t>
      </w:r>
      <w:r>
        <w:rPr>
          <w:rFonts w:ascii="Calibri" w:hAnsi="Calibri" w:cs="Calibri"/>
          <w:color w:val="000000"/>
          <w:szCs w:val="21"/>
          <w:shd w:val="clear" w:color="auto" w:fill="FFFFFF"/>
        </w:rPr>
        <w:t>.</w:t>
      </w:r>
      <w:r>
        <w:rPr>
          <w:rFonts w:hint="eastAsia" w:ascii="宋体" w:hAnsi="宋体"/>
          <w:b/>
          <w:bCs/>
          <w:i/>
          <w:iCs/>
          <w:szCs w:val="21"/>
          <w:u w:val="single"/>
        </w:rPr>
        <w:t>（产品名称2）</w:t>
      </w:r>
      <w:r>
        <w:rPr>
          <w:rFonts w:hint="eastAsia" w:ascii="宋体" w:hAnsi="宋体" w:cs="宋体"/>
          <w:color w:val="000000"/>
          <w:szCs w:val="21"/>
          <w:shd w:val="clear" w:color="auto" w:fill="FFFFFF"/>
        </w:rPr>
        <w:t>，生产厂为</w:t>
      </w:r>
      <w:r>
        <w:rPr>
          <w:rFonts w:hint="eastAsia" w:ascii="宋体" w:hAnsi="宋体"/>
          <w:b/>
          <w:bCs/>
          <w:i/>
          <w:iCs/>
          <w:szCs w:val="21"/>
          <w:u w:val="single"/>
        </w:rPr>
        <w:t>（厂名）</w:t>
      </w:r>
      <w:r>
        <w:rPr>
          <w:rFonts w:hint="eastAsia" w:ascii="宋体" w:hAnsi="宋体" w:cs="宋体"/>
          <w:color w:val="000000"/>
          <w:szCs w:val="21"/>
          <w:shd w:val="clear" w:color="auto" w:fill="FFFFFF"/>
        </w:rPr>
        <w:t>，厂址为</w:t>
      </w:r>
      <w:r>
        <w:rPr>
          <w:rFonts w:hint="eastAsia" w:ascii="宋体" w:hAnsi="宋体"/>
          <w:b/>
          <w:bCs/>
          <w:i/>
          <w:iCs/>
          <w:szCs w:val="21"/>
          <w:u w:val="single"/>
        </w:rPr>
        <w:t>（生产厂址）</w:t>
      </w:r>
      <w:r>
        <w:rPr>
          <w:rFonts w:hint="eastAsia" w:ascii="宋体" w:hAnsi="宋体" w:cs="宋体"/>
          <w:color w:val="000000"/>
          <w:szCs w:val="21"/>
          <w:shd w:val="clear" w:color="auto" w:fill="FFFFFF"/>
        </w:rPr>
        <w:t>。</w:t>
      </w:r>
      <w:r>
        <w:rPr>
          <w:rFonts w:hint="eastAsia" w:ascii="宋体" w:hAnsi="宋体"/>
          <w:b/>
          <w:bCs/>
          <w:i/>
          <w:iCs/>
          <w:szCs w:val="21"/>
          <w:u w:val="single"/>
        </w:rPr>
        <w:t>（产品名称2）</w:t>
      </w:r>
      <w:r>
        <w:rPr>
          <w:rFonts w:hint="eastAsia" w:ascii="宋体" w:hAnsi="宋体" w:cs="宋体"/>
          <w:color w:val="000000"/>
          <w:szCs w:val="21"/>
          <w:shd w:val="clear" w:color="auto" w:fill="FFFFFF"/>
        </w:rPr>
        <w:t>的中国境内生产的组件成本占比≥</w:t>
      </w:r>
      <w:r>
        <w:rPr>
          <w:rFonts w:hint="eastAsia" w:ascii="宋体" w:hAnsi="宋体"/>
          <w:b/>
          <w:bCs/>
          <w:i/>
          <w:iCs/>
          <w:szCs w:val="21"/>
          <w:u w:val="single"/>
        </w:rPr>
        <w:t>（规定比例）</w:t>
      </w:r>
      <w:r>
        <w:rPr>
          <w:rFonts w:hint="eastAsia" w:ascii="宋体" w:hAnsi="宋体" w:cs="宋体"/>
          <w:color w:val="000000"/>
          <w:szCs w:val="21"/>
          <w:shd w:val="clear" w:color="auto" w:fill="FFFFFF"/>
        </w:rPr>
        <w:t>。</w:t>
      </w:r>
      <w:r>
        <w:rPr>
          <w:rFonts w:hint="eastAsia" w:ascii="宋体" w:hAnsi="宋体"/>
          <w:b/>
          <w:bCs/>
          <w:i/>
          <w:iCs/>
          <w:szCs w:val="21"/>
          <w:u w:val="single"/>
        </w:rPr>
        <w:t>（产品名称2）</w:t>
      </w:r>
      <w:r>
        <w:rPr>
          <w:rFonts w:hint="eastAsia" w:ascii="宋体" w:hAnsi="宋体" w:cs="宋体"/>
          <w:color w:val="000000"/>
          <w:szCs w:val="21"/>
          <w:shd w:val="clear" w:color="auto" w:fill="FFFFFF"/>
        </w:rPr>
        <w:t>的</w:t>
      </w:r>
      <w:r>
        <w:rPr>
          <w:rFonts w:hint="eastAsia" w:ascii="宋体" w:hAnsi="宋体"/>
          <w:b/>
          <w:bCs/>
          <w:i/>
          <w:iCs/>
          <w:szCs w:val="21"/>
          <w:u w:val="single"/>
        </w:rPr>
        <w:t>（关键组件）</w:t>
      </w:r>
      <w:r>
        <w:rPr>
          <w:rFonts w:hint="eastAsia" w:ascii="宋体" w:hAnsi="宋体" w:cs="宋体"/>
          <w:color w:val="000000"/>
          <w:szCs w:val="21"/>
          <w:shd w:val="clear" w:color="auto" w:fill="FFFFFF"/>
        </w:rPr>
        <w:t>在中国境内生产。</w:t>
      </w:r>
      <w:r>
        <w:rPr>
          <w:rFonts w:hint="eastAsia" w:ascii="宋体" w:hAnsi="宋体"/>
          <w:b/>
          <w:bCs/>
          <w:i/>
          <w:iCs/>
          <w:szCs w:val="21"/>
          <w:u w:val="single"/>
        </w:rPr>
        <w:t>（产品名称2）</w:t>
      </w:r>
      <w:r>
        <w:rPr>
          <w:rFonts w:hint="eastAsia" w:ascii="宋体" w:hAnsi="宋体" w:cs="宋体"/>
          <w:color w:val="000000"/>
          <w:szCs w:val="21"/>
          <w:shd w:val="clear" w:color="auto" w:fill="FFFFFF"/>
        </w:rPr>
        <w:t>的</w:t>
      </w:r>
      <w:r>
        <w:rPr>
          <w:rFonts w:hint="eastAsia" w:ascii="宋体" w:hAnsi="宋体"/>
          <w:b/>
          <w:bCs/>
          <w:i/>
          <w:iCs/>
          <w:szCs w:val="21"/>
          <w:u w:val="single"/>
        </w:rPr>
        <w:t>（关键工序）</w:t>
      </w:r>
      <w:r>
        <w:rPr>
          <w:rFonts w:hint="eastAsia" w:ascii="宋体" w:hAnsi="宋体" w:cs="宋体"/>
          <w:color w:val="000000"/>
          <w:szCs w:val="21"/>
          <w:shd w:val="clear" w:color="auto" w:fill="FFFFFF"/>
        </w:rPr>
        <w:t>在中国境内完成。</w:t>
      </w:r>
    </w:p>
    <w:p w14:paraId="0DA8891D">
      <w:pPr>
        <w:widowControl/>
        <w:shd w:val="clear" w:color="auto" w:fill="FFFFFF"/>
        <w:ind w:firstLine="420" w:firstLineChars="200"/>
        <w:jc w:val="left"/>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w:t>
      </w:r>
    </w:p>
    <w:p w14:paraId="6B611316">
      <w:pPr>
        <w:widowControl/>
        <w:shd w:val="clear" w:color="auto" w:fill="FFFFFF"/>
        <w:ind w:firstLine="422" w:firstLineChars="200"/>
        <w:jc w:val="left"/>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b/>
          <w:bCs/>
          <w:color w:val="000000" w:themeColor="text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szCs w:val="21"/>
          <w:u w:val="single"/>
          <w14:textFill>
            <w14:solidFill>
              <w14:schemeClr w14:val="tx1"/>
            </w14:solidFill>
          </w14:textFill>
        </w:rPr>
        <w:t>（具体比例）</w:t>
      </w:r>
      <w:r>
        <w:rPr>
          <w:rFonts w:hint="eastAsia" w:ascii="宋体" w:hAnsi="宋体" w:cs="宋体"/>
          <w:b/>
          <w:bCs/>
          <w:color w:val="FF0000"/>
          <w:szCs w:val="21"/>
          <w:shd w:val="clear" w:color="auto" w:fill="FFFFFF"/>
        </w:rPr>
        <w:t>6</w:t>
      </w:r>
      <w:r>
        <w:rPr>
          <w:rFonts w:hint="eastAsia" w:ascii="宋体" w:hAnsi="宋体" w:cs="宋体"/>
          <w:b/>
          <w:bCs/>
          <w:color w:val="000000" w:themeColor="text1"/>
          <w:szCs w:val="21"/>
          <w:shd w:val="clear" w:color="auto" w:fill="FFFFFF"/>
          <w14:textFill>
            <w14:solidFill>
              <w14:schemeClr w14:val="tx1"/>
            </w14:solidFill>
          </w14:textFill>
        </w:rPr>
        <w:t>。</w:t>
      </w:r>
    </w:p>
    <w:p w14:paraId="1E1D23F1">
      <w:pPr>
        <w:widowControl/>
        <w:shd w:val="clear" w:color="auto" w:fill="FFFFFF"/>
        <w:ind w:firstLine="420" w:firstLineChars="200"/>
        <w:jc w:val="left"/>
        <w:rPr>
          <w:rFonts w:hint="eastAsia" w:ascii="宋体" w:hAnsi="宋体" w:cs="宋体"/>
          <w:color w:val="000000"/>
          <w:szCs w:val="21"/>
        </w:rPr>
      </w:pPr>
      <w:r>
        <w:rPr>
          <w:rFonts w:hint="eastAsia" w:ascii="宋体" w:hAnsi="宋体" w:cs="宋体"/>
          <w:color w:val="000000"/>
          <w:szCs w:val="21"/>
          <w:shd w:val="clear" w:color="auto" w:fill="FFFFFF"/>
        </w:rPr>
        <w:t>本公司（单位）对上述声明内容的真实性负责。如有虚假，愿承担相应法律责任。</w:t>
      </w:r>
    </w:p>
    <w:p w14:paraId="6BA1F34A">
      <w:pPr>
        <w:widowControl/>
        <w:shd w:val="clear" w:color="auto" w:fill="FFFFFF"/>
        <w:ind w:right="840" w:rightChars="400"/>
        <w:jc w:val="right"/>
        <w:rPr>
          <w:rFonts w:hint="eastAsia" w:ascii="宋体" w:hAnsi="宋体" w:cs="宋体"/>
          <w:color w:val="000000"/>
          <w:szCs w:val="21"/>
          <w:shd w:val="clear" w:color="auto" w:fill="FFFFFF"/>
        </w:rPr>
      </w:pPr>
    </w:p>
    <w:p w14:paraId="415BE068">
      <w:pPr>
        <w:widowControl/>
        <w:shd w:val="clear" w:color="auto" w:fill="FFFFFF"/>
        <w:ind w:right="840" w:rightChars="400"/>
        <w:jc w:val="right"/>
        <w:rPr>
          <w:rFonts w:hint="eastAsia" w:ascii="宋体" w:hAnsi="宋体" w:cs="宋体"/>
          <w:color w:val="000000"/>
          <w:szCs w:val="21"/>
        </w:rPr>
      </w:pPr>
      <w:r>
        <w:rPr>
          <w:rFonts w:hint="eastAsia" w:ascii="宋体" w:hAnsi="宋体" w:cs="宋体"/>
          <w:color w:val="000000"/>
          <w:szCs w:val="21"/>
          <w:shd w:val="clear" w:color="auto" w:fill="FFFFFF"/>
        </w:rPr>
        <w:t>公司（单位）名称：</w:t>
      </w:r>
    </w:p>
    <w:p w14:paraId="4355C39F">
      <w:pPr>
        <w:widowControl/>
        <w:shd w:val="clear" w:color="auto" w:fill="FFFFFF"/>
        <w:ind w:right="840" w:rightChars="400"/>
        <w:jc w:val="right"/>
        <w:rPr>
          <w:rFonts w:hint="eastAsia" w:ascii="宋体" w:hAnsi="宋体" w:cs="宋体"/>
          <w:color w:val="000000"/>
          <w:szCs w:val="21"/>
        </w:rPr>
      </w:pPr>
      <w:r>
        <w:rPr>
          <w:rFonts w:hint="eastAsia" w:ascii="宋体" w:hAnsi="宋体" w:cs="宋体"/>
          <w:color w:val="000000"/>
          <w:szCs w:val="21"/>
          <w:shd w:val="clear" w:color="auto" w:fill="FFFFFF"/>
        </w:rPr>
        <w:t>日期：    年  月  日</w:t>
      </w:r>
    </w:p>
    <w:p w14:paraId="59084338">
      <w:pPr>
        <w:pStyle w:val="61"/>
      </w:pPr>
    </w:p>
    <w:p w14:paraId="01A078F0">
      <w:pPr>
        <w:pStyle w:val="5"/>
        <w:jc w:val="center"/>
        <w:rPr>
          <w:rFonts w:hint="eastAsia" w:ascii="黑体" w:eastAsia="黑体"/>
          <w:b w:val="0"/>
          <w:sz w:val="24"/>
          <w:szCs w:val="24"/>
        </w:rPr>
      </w:pPr>
      <w:r>
        <w:rPr>
          <w:rFonts w:hint="eastAsia" w:ascii="黑体" w:eastAsia="黑体"/>
          <w:b w:val="0"/>
          <w:sz w:val="24"/>
          <w:szCs w:val="24"/>
        </w:rPr>
        <w:t>四、分项报价表</w:t>
      </w:r>
    </w:p>
    <w:tbl>
      <w:tblPr>
        <w:tblStyle w:val="43"/>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
        <w:gridCol w:w="1672"/>
        <w:gridCol w:w="935"/>
        <w:gridCol w:w="828"/>
        <w:gridCol w:w="519"/>
        <w:gridCol w:w="429"/>
        <w:gridCol w:w="636"/>
        <w:gridCol w:w="637"/>
        <w:gridCol w:w="2238"/>
      </w:tblGrid>
      <w:tr w14:paraId="6718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7" w:type="pct"/>
            <w:vAlign w:val="center"/>
          </w:tcPr>
          <w:p w14:paraId="57DB1D16">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序号</w:t>
            </w:r>
          </w:p>
        </w:tc>
        <w:tc>
          <w:tcPr>
            <w:tcW w:w="1003" w:type="pct"/>
            <w:vAlign w:val="center"/>
          </w:tcPr>
          <w:p w14:paraId="029EF32C">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货物名称</w:t>
            </w:r>
          </w:p>
        </w:tc>
        <w:tc>
          <w:tcPr>
            <w:tcW w:w="561" w:type="pct"/>
            <w:vAlign w:val="center"/>
          </w:tcPr>
          <w:p w14:paraId="1263E278">
            <w:pPr>
              <w:jc w:val="center"/>
              <w:rPr>
                <w:rFonts w:hint="eastAsia" w:asciiTheme="minorEastAsia" w:hAnsiTheme="minorEastAsia" w:eastAsiaTheme="minorEastAsia"/>
                <w:bCs/>
                <w:szCs w:val="21"/>
              </w:rPr>
            </w:pPr>
            <w:r>
              <w:rPr>
                <w:rFonts w:hint="eastAsia" w:asciiTheme="minorEastAsia" w:hAnsiTheme="minorEastAsia" w:eastAsiaTheme="minorEastAsia"/>
                <w:szCs w:val="21"/>
              </w:rPr>
              <w:t>品牌</w:t>
            </w:r>
          </w:p>
        </w:tc>
        <w:tc>
          <w:tcPr>
            <w:tcW w:w="497" w:type="pct"/>
            <w:vAlign w:val="center"/>
          </w:tcPr>
          <w:p w14:paraId="7C511402">
            <w:pPr>
              <w:jc w:val="center"/>
              <w:rPr>
                <w:rFonts w:hint="eastAsia" w:asciiTheme="minorEastAsia" w:hAnsiTheme="minorEastAsia" w:eastAsiaTheme="minorEastAsia"/>
                <w:bCs/>
                <w:szCs w:val="21"/>
              </w:rPr>
            </w:pPr>
            <w:r>
              <w:rPr>
                <w:rFonts w:hint="eastAsia" w:asciiTheme="minorEastAsia" w:hAnsiTheme="minorEastAsia" w:eastAsiaTheme="minorEastAsia"/>
                <w:szCs w:val="21"/>
              </w:rPr>
              <w:t>规格/型号</w:t>
            </w:r>
          </w:p>
        </w:tc>
        <w:tc>
          <w:tcPr>
            <w:tcW w:w="312" w:type="pct"/>
            <w:vAlign w:val="center"/>
          </w:tcPr>
          <w:p w14:paraId="34F2D778">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数量</w:t>
            </w:r>
          </w:p>
        </w:tc>
        <w:tc>
          <w:tcPr>
            <w:tcW w:w="258" w:type="pct"/>
            <w:vAlign w:val="center"/>
          </w:tcPr>
          <w:p w14:paraId="04539E6B">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单位</w:t>
            </w:r>
          </w:p>
        </w:tc>
        <w:tc>
          <w:tcPr>
            <w:tcW w:w="380" w:type="pct"/>
            <w:vAlign w:val="center"/>
          </w:tcPr>
          <w:p w14:paraId="0214AD1C">
            <w:pPr>
              <w:jc w:val="center"/>
              <w:rPr>
                <w:rFonts w:hint="eastAsia" w:asciiTheme="minorEastAsia" w:hAnsiTheme="minorEastAsia" w:eastAsiaTheme="minorEastAsia"/>
                <w:bCs/>
                <w:szCs w:val="21"/>
              </w:rPr>
            </w:pPr>
            <w:r>
              <w:rPr>
                <w:rFonts w:hint="eastAsia" w:asciiTheme="minorEastAsia" w:hAnsiTheme="minorEastAsia" w:eastAsiaTheme="minorEastAsia"/>
                <w:szCs w:val="21"/>
              </w:rPr>
              <w:t>单价(元)</w:t>
            </w:r>
          </w:p>
        </w:tc>
        <w:tc>
          <w:tcPr>
            <w:tcW w:w="380" w:type="pct"/>
            <w:vAlign w:val="center"/>
          </w:tcPr>
          <w:p w14:paraId="32041B8D">
            <w:pPr>
              <w:jc w:val="center"/>
              <w:rPr>
                <w:rFonts w:hint="eastAsia" w:asciiTheme="minorEastAsia" w:hAnsiTheme="minorEastAsia" w:eastAsiaTheme="minorEastAsia"/>
                <w:bCs/>
                <w:szCs w:val="21"/>
              </w:rPr>
            </w:pPr>
            <w:r>
              <w:rPr>
                <w:rFonts w:hint="eastAsia" w:asciiTheme="minorEastAsia" w:hAnsiTheme="minorEastAsia" w:eastAsiaTheme="minorEastAsia"/>
                <w:szCs w:val="21"/>
              </w:rPr>
              <w:t>合价(元)</w:t>
            </w:r>
          </w:p>
        </w:tc>
        <w:tc>
          <w:tcPr>
            <w:tcW w:w="2238" w:type="dxa"/>
            <w:vAlign w:val="center"/>
          </w:tcPr>
          <w:p w14:paraId="7CA51F0E">
            <w:pPr>
              <w:jc w:val="center"/>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lang w:val="en-US" w:eastAsia="zh-CN"/>
              </w:rPr>
              <w:t>最高限价（元）</w:t>
            </w:r>
          </w:p>
        </w:tc>
      </w:tr>
      <w:tr w14:paraId="25AC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77EF6D76">
            <w:pPr>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1</w:t>
            </w:r>
          </w:p>
        </w:tc>
        <w:tc>
          <w:tcPr>
            <w:tcW w:w="1003" w:type="pct"/>
            <w:vAlign w:val="center"/>
          </w:tcPr>
          <w:p w14:paraId="2CCE0341">
            <w:pPr>
              <w:jc w:val="center"/>
              <w:rPr>
                <w:rFonts w:hint="eastAsia" w:asciiTheme="minorEastAsia" w:hAnsiTheme="minorEastAsia" w:eastAsiaTheme="minorEastAsia"/>
                <w:bCs/>
                <w:szCs w:val="21"/>
              </w:rPr>
            </w:pPr>
            <w:r>
              <w:t>ACCP</w:t>
            </w:r>
            <w:r>
              <w:rPr>
                <w:rFonts w:hint="eastAsia"/>
              </w:rPr>
              <w:t>制冷机</w:t>
            </w:r>
          </w:p>
        </w:tc>
        <w:tc>
          <w:tcPr>
            <w:tcW w:w="561" w:type="pct"/>
            <w:vAlign w:val="center"/>
          </w:tcPr>
          <w:p w14:paraId="6771B229">
            <w:pPr>
              <w:jc w:val="center"/>
              <w:rPr>
                <w:rFonts w:hint="eastAsia" w:asciiTheme="minorEastAsia" w:hAnsiTheme="minorEastAsia" w:eastAsiaTheme="minorEastAsia"/>
                <w:bCs/>
                <w:szCs w:val="21"/>
              </w:rPr>
            </w:pPr>
          </w:p>
        </w:tc>
        <w:tc>
          <w:tcPr>
            <w:tcW w:w="497" w:type="pct"/>
            <w:vAlign w:val="center"/>
          </w:tcPr>
          <w:p w14:paraId="112E615C">
            <w:pPr>
              <w:jc w:val="center"/>
              <w:rPr>
                <w:rFonts w:hint="eastAsia" w:asciiTheme="minorEastAsia" w:hAnsiTheme="minorEastAsia" w:eastAsiaTheme="minorEastAsia"/>
                <w:bCs/>
                <w:szCs w:val="21"/>
              </w:rPr>
            </w:pPr>
          </w:p>
        </w:tc>
        <w:tc>
          <w:tcPr>
            <w:tcW w:w="519" w:type="dxa"/>
            <w:vAlign w:val="center"/>
          </w:tcPr>
          <w:p w14:paraId="2323DE50">
            <w:pPr>
              <w:jc w:val="center"/>
              <w:rPr>
                <w:rFonts w:hint="eastAsia" w:asciiTheme="minorEastAsia" w:hAnsiTheme="minorEastAsia" w:eastAsiaTheme="minorEastAsia"/>
                <w:bCs/>
                <w:szCs w:val="21"/>
              </w:rPr>
            </w:pPr>
            <w:r>
              <w:rPr>
                <w:rFonts w:hint="eastAsia" w:ascii="宋体" w:hAnsi="宋体" w:cs="宋体"/>
                <w:color w:val="000000"/>
                <w:szCs w:val="21"/>
              </w:rPr>
              <w:t>1</w:t>
            </w:r>
          </w:p>
        </w:tc>
        <w:tc>
          <w:tcPr>
            <w:tcW w:w="429" w:type="dxa"/>
            <w:vAlign w:val="center"/>
          </w:tcPr>
          <w:p w14:paraId="432D649D">
            <w:pPr>
              <w:jc w:val="center"/>
              <w:rPr>
                <w:rFonts w:hint="eastAsia" w:asciiTheme="minorEastAsia" w:hAnsiTheme="minorEastAsia" w:eastAsiaTheme="minorEastAsia"/>
                <w:bCs/>
                <w:szCs w:val="21"/>
              </w:rPr>
            </w:pPr>
            <w:r>
              <w:rPr>
                <w:rFonts w:hint="eastAsia" w:ascii="宋体" w:hAnsi="宋体" w:cs="宋体"/>
                <w:color w:val="000000"/>
                <w:szCs w:val="21"/>
              </w:rPr>
              <w:t>套</w:t>
            </w:r>
          </w:p>
        </w:tc>
        <w:tc>
          <w:tcPr>
            <w:tcW w:w="380" w:type="pct"/>
            <w:vAlign w:val="center"/>
          </w:tcPr>
          <w:p w14:paraId="2FECA82A">
            <w:pPr>
              <w:jc w:val="center"/>
              <w:rPr>
                <w:rFonts w:hint="eastAsia" w:asciiTheme="minorEastAsia" w:hAnsiTheme="minorEastAsia" w:eastAsiaTheme="minorEastAsia"/>
                <w:bCs/>
                <w:szCs w:val="21"/>
              </w:rPr>
            </w:pPr>
          </w:p>
        </w:tc>
        <w:tc>
          <w:tcPr>
            <w:tcW w:w="380" w:type="pct"/>
            <w:vAlign w:val="center"/>
          </w:tcPr>
          <w:p w14:paraId="54DFE4DC">
            <w:pPr>
              <w:jc w:val="center"/>
              <w:rPr>
                <w:rFonts w:hint="eastAsia" w:asciiTheme="minorEastAsia" w:hAnsiTheme="minorEastAsia" w:eastAsiaTheme="minorEastAsia"/>
                <w:bCs/>
                <w:szCs w:val="21"/>
              </w:rPr>
            </w:pPr>
          </w:p>
        </w:tc>
        <w:tc>
          <w:tcPr>
            <w:tcW w:w="2238" w:type="dxa"/>
            <w:vAlign w:val="center"/>
          </w:tcPr>
          <w:p w14:paraId="1196413E">
            <w:pPr>
              <w:jc w:val="center"/>
              <w:rPr>
                <w:rFonts w:hint="eastAsia" w:asciiTheme="minorEastAsia" w:hAnsiTheme="minorEastAsia" w:eastAsiaTheme="minorEastAsia"/>
                <w:b/>
                <w:bCs/>
                <w:color w:val="FF0000"/>
                <w:szCs w:val="21"/>
              </w:rPr>
            </w:pPr>
            <w:r>
              <w:rPr>
                <w:rFonts w:hint="default" w:asciiTheme="minorEastAsia" w:hAnsiTheme="minorEastAsia" w:eastAsiaTheme="minorEastAsia"/>
                <w:b/>
                <w:bCs/>
                <w:color w:val="FF0000"/>
                <w:szCs w:val="21"/>
                <w:lang w:val="en-US" w:eastAsia="zh-CN"/>
              </w:rPr>
              <w:t>234</w:t>
            </w:r>
            <w:r>
              <w:rPr>
                <w:rFonts w:hint="eastAsia" w:asciiTheme="minorEastAsia" w:hAnsiTheme="minorEastAsia" w:eastAsiaTheme="minorEastAsia"/>
                <w:b/>
                <w:bCs/>
                <w:color w:val="FF0000"/>
                <w:szCs w:val="21"/>
                <w:lang w:val="en-US" w:eastAsia="zh-CN"/>
              </w:rPr>
              <w:t>,</w:t>
            </w:r>
            <w:r>
              <w:rPr>
                <w:rFonts w:hint="default" w:asciiTheme="minorEastAsia" w:hAnsiTheme="minorEastAsia" w:eastAsiaTheme="minorEastAsia"/>
                <w:b/>
                <w:bCs/>
                <w:color w:val="FF0000"/>
                <w:szCs w:val="21"/>
                <w:lang w:val="en-US" w:eastAsia="zh-CN"/>
              </w:rPr>
              <w:t>350</w:t>
            </w:r>
            <w:r>
              <w:rPr>
                <w:rFonts w:hint="eastAsia" w:asciiTheme="minorEastAsia" w:hAnsiTheme="minorEastAsia" w:eastAsiaTheme="minorEastAsia"/>
                <w:b/>
                <w:bCs/>
                <w:color w:val="FF0000"/>
                <w:szCs w:val="21"/>
                <w:lang w:val="en-US" w:eastAsia="zh-CN"/>
              </w:rPr>
              <w:t>,</w:t>
            </w:r>
            <w:r>
              <w:rPr>
                <w:rFonts w:hint="default" w:asciiTheme="minorEastAsia" w:hAnsiTheme="minorEastAsia" w:eastAsiaTheme="minorEastAsia"/>
                <w:b/>
                <w:bCs/>
                <w:color w:val="FF0000"/>
                <w:szCs w:val="21"/>
                <w:lang w:val="en-US" w:eastAsia="zh-CN"/>
              </w:rPr>
              <w:t xml:space="preserve">000.00元 </w:t>
            </w:r>
          </w:p>
        </w:tc>
      </w:tr>
      <w:tr w14:paraId="5F02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9"/>
            <w:vAlign w:val="center"/>
          </w:tcPr>
          <w:p w14:paraId="587651C0">
            <w:pPr>
              <w:jc w:val="left"/>
              <w:rPr>
                <w:rFonts w:hint="eastAsia" w:asciiTheme="minorEastAsia" w:hAnsiTheme="minorEastAsia" w:eastAsiaTheme="minorEastAsia"/>
                <w:b/>
                <w:bCs/>
                <w:color w:val="FF0000"/>
                <w:szCs w:val="21"/>
              </w:rPr>
            </w:pPr>
            <w:r>
              <w:rPr>
                <w:rFonts w:hint="eastAsia" w:asciiTheme="minorEastAsia" w:hAnsiTheme="minorEastAsia" w:eastAsiaTheme="minorEastAsia"/>
                <w:bCs/>
                <w:szCs w:val="21"/>
              </w:rPr>
              <w:t>合计（即投标总价；币种：人民币；单位：元） 小写：            大写：</w:t>
            </w:r>
          </w:p>
        </w:tc>
      </w:tr>
    </w:tbl>
    <w:p w14:paraId="2DFC2B06">
      <w:pPr>
        <w:ind w:firstLine="482" w:firstLineChars="200"/>
        <w:rPr>
          <w:rFonts w:hint="eastAsia" w:asciiTheme="minorEastAsia" w:hAnsiTheme="minorEastAsia" w:eastAsiaTheme="minorEastAsia"/>
          <w:b/>
          <w:sz w:val="24"/>
        </w:rPr>
      </w:pPr>
      <w:r>
        <w:rPr>
          <w:rFonts w:hint="eastAsia" w:asciiTheme="minorEastAsia" w:hAnsiTheme="minorEastAsia" w:eastAsiaTheme="minorEastAsia"/>
          <w:b/>
          <w:sz w:val="24"/>
        </w:rPr>
        <w:t>注：1.本表可按同样格式扩展。</w:t>
      </w:r>
    </w:p>
    <w:p w14:paraId="23F40106">
      <w:pPr>
        <w:ind w:firstLine="472" w:firstLineChars="196"/>
        <w:rPr>
          <w:rFonts w:hint="eastAsia" w:asciiTheme="minorEastAsia" w:hAnsiTheme="minorEastAsia" w:eastAsiaTheme="minorEastAsia"/>
          <w:b/>
          <w:sz w:val="24"/>
        </w:rPr>
      </w:pPr>
      <w:r>
        <w:rPr>
          <w:rFonts w:hint="eastAsia" w:asciiTheme="minorEastAsia" w:hAnsiTheme="minorEastAsia" w:eastAsiaTheme="minorEastAsia"/>
          <w:b/>
          <w:sz w:val="24"/>
        </w:rPr>
        <w:t>2</w:t>
      </w:r>
      <w:r>
        <w:rPr>
          <w:rFonts w:asciiTheme="minorEastAsia" w:hAnsiTheme="minorEastAsia" w:eastAsiaTheme="minorEastAsia"/>
          <w:b/>
          <w:sz w:val="24"/>
        </w:rPr>
        <w:t>.</w:t>
      </w:r>
      <w:r>
        <w:rPr>
          <w:rFonts w:hint="eastAsia" w:asciiTheme="minorEastAsia" w:hAnsiTheme="minorEastAsia" w:eastAsiaTheme="minorEastAsia"/>
          <w:b/>
          <w:sz w:val="24"/>
        </w:rPr>
        <w:t>“品牌”可以与商标一致，也可以填写便于区分其他公司商品的制造商简称或者制造商认可的品牌名称。此类填写错误或缺漏的不利后果由供应商承担。经评审委员会认定，在使用综合评分法的项目中一项此类填写错误或缺漏将按照一项普通招标技术要求（一般参数/普通参数）负偏离扣分处理。</w:t>
      </w:r>
    </w:p>
    <w:p w14:paraId="7E9D919C">
      <w:pPr>
        <w:ind w:firstLine="472" w:firstLineChars="196"/>
        <w:rPr>
          <w:rFonts w:hint="eastAsia" w:asciiTheme="minorEastAsia" w:hAnsiTheme="minorEastAsia" w:eastAsiaTheme="minorEastAsia"/>
          <w:b/>
          <w:sz w:val="24"/>
        </w:rPr>
      </w:pPr>
      <w:r>
        <w:rPr>
          <w:rFonts w:hint="eastAsia" w:asciiTheme="minorEastAsia" w:hAnsiTheme="minorEastAsia" w:eastAsiaTheme="minorEastAsia"/>
          <w:b/>
          <w:sz w:val="24"/>
        </w:rPr>
        <w:t>3.如所投货物属于定制类的非量产货物或无具体型号的货物，可以在“规格/型号”栏目仅填写规格信息而不填型号信息（型号信息用“定制”描述即可）；此类填写错误或缺漏（所投货物为定制类的非量产货物但供应商却错误填报了型号）的不利后果由供应商承担。经评审委员会认定，在使用综合评分法的项目中一项此类填写错误或缺漏将按照一项普通招标技术要求（一般参数/普通参数）负偏离扣分处理。</w:t>
      </w:r>
    </w:p>
    <w:p w14:paraId="02CFC0E6">
      <w:pPr>
        <w:ind w:firstLine="482" w:firstLineChars="200"/>
        <w:rPr>
          <w:rFonts w:hint="eastAsia" w:asciiTheme="minorEastAsia" w:hAnsiTheme="minorEastAsia" w:eastAsiaTheme="minorEastAsia"/>
          <w:b/>
          <w:sz w:val="24"/>
        </w:rPr>
      </w:pPr>
      <w:r>
        <w:rPr>
          <w:rFonts w:hint="eastAsia" w:asciiTheme="minorEastAsia" w:hAnsiTheme="minorEastAsia" w:eastAsiaTheme="minorEastAsia"/>
          <w:b/>
          <w:sz w:val="24"/>
        </w:rPr>
        <w:t>4.以上分项报价表的投标总价应当与开标一览表的投标总价一致。</w:t>
      </w:r>
    </w:p>
    <w:p w14:paraId="11C43768">
      <w:pPr>
        <w:ind w:firstLine="482" w:firstLineChars="200"/>
        <w:rPr>
          <w:rFonts w:hint="eastAsia" w:asciiTheme="minorEastAsia" w:hAnsiTheme="minorEastAsia" w:eastAsiaTheme="minorEastAsia"/>
          <w:b/>
          <w:sz w:val="24"/>
        </w:rPr>
      </w:pPr>
      <w:r>
        <w:rPr>
          <w:rFonts w:hint="eastAsia" w:asciiTheme="minorEastAsia" w:hAnsiTheme="minorEastAsia" w:eastAsiaTheme="minorEastAsia"/>
          <w:b/>
          <w:sz w:val="24"/>
        </w:rPr>
        <w:t>5.单价、合价和投标总价为包干价，即三者均应包含货物的价款、包装、运输、装卸、安装、调试、技术指导、培训、咨询、服务、保险、税费、检测、验收合格交付使用之前以及技术和售后服务等其他各项有关费用。</w:t>
      </w:r>
    </w:p>
    <w:p w14:paraId="43A2964C">
      <w:pPr>
        <w:ind w:firstLine="482" w:firstLineChars="200"/>
        <w:rPr>
          <w:rFonts w:hint="eastAsia" w:asciiTheme="minorEastAsia" w:hAnsiTheme="minorEastAsia" w:eastAsiaTheme="minorEastAsia"/>
          <w:b/>
          <w:sz w:val="24"/>
        </w:rPr>
      </w:pPr>
      <w:r>
        <w:rPr>
          <w:rFonts w:hint="eastAsia" w:asciiTheme="minorEastAsia" w:hAnsiTheme="minorEastAsia" w:eastAsiaTheme="minorEastAsia"/>
          <w:b/>
          <w:sz w:val="24"/>
        </w:rPr>
        <w:t>6.所有价格应按“招标文件”中规定的货币单位填写；投标总价应为以上各分项价格之和；投标总价和项目报价表中单个采购预算条目报价均不得超过对应的财政预算限额，否则将导致投标无效。</w:t>
      </w:r>
    </w:p>
    <w:p w14:paraId="7DA31B57">
      <w:pPr>
        <w:pStyle w:val="61"/>
      </w:pPr>
    </w:p>
    <w:p w14:paraId="21B30730">
      <w:pPr>
        <w:pStyle w:val="5"/>
        <w:jc w:val="center"/>
      </w:pPr>
      <w:r>
        <w:rPr>
          <w:rFonts w:hint="eastAsia" w:ascii="黑体" w:eastAsia="黑体"/>
          <w:b w:val="0"/>
          <w:sz w:val="24"/>
          <w:szCs w:val="24"/>
        </w:rPr>
        <w:t>五、投标人认为需要加以说明的其他内容（格式自拟）</w:t>
      </w:r>
    </w:p>
    <w:p w14:paraId="3F9420D9">
      <w:pPr>
        <w:ind w:firstLine="723" w:firstLineChars="300"/>
        <w:rPr>
          <w:b/>
          <w:color w:val="FF0000"/>
          <w:sz w:val="24"/>
        </w:rPr>
      </w:pPr>
      <w:r>
        <w:rPr>
          <w:rFonts w:hint="eastAsia"/>
          <w:b/>
          <w:color w:val="FF0000"/>
          <w:sz w:val="24"/>
        </w:rPr>
        <w:t>（信息公开部分的内容到此为止！以下为信息不公开部分。）</w:t>
      </w:r>
    </w:p>
    <w:bookmarkEnd w:id="157"/>
    <w:p w14:paraId="3BD9405C">
      <w:r>
        <w:br w:type="page"/>
      </w:r>
    </w:p>
    <w:p w14:paraId="576A4813">
      <w:pPr>
        <w:outlineLvl w:val="1"/>
        <w:rPr>
          <w:rFonts w:hint="eastAsia" w:ascii="宋体" w:hAnsi="宋体"/>
          <w:b/>
          <w:color w:val="FF0000"/>
          <w:sz w:val="28"/>
          <w:szCs w:val="28"/>
        </w:rPr>
      </w:pPr>
      <w:bookmarkStart w:id="158" w:name="_Hlk72260530"/>
      <w:r>
        <w:rPr>
          <w:rFonts w:hint="eastAsia" w:ascii="宋体" w:hAnsi="宋体"/>
          <w:b/>
          <w:color w:val="FF0000"/>
          <w:sz w:val="28"/>
          <w:szCs w:val="28"/>
        </w:rPr>
        <w:t>投标文件附件（信息不公开部分）</w:t>
      </w:r>
    </w:p>
    <w:p w14:paraId="75A37BE3">
      <w:pPr>
        <w:pStyle w:val="5"/>
        <w:jc w:val="center"/>
        <w:rPr>
          <w:rFonts w:hint="eastAsia" w:ascii="黑体" w:eastAsia="黑体"/>
          <w:b w:val="0"/>
          <w:sz w:val="24"/>
        </w:rPr>
      </w:pPr>
      <w:r>
        <w:rPr>
          <w:rFonts w:hint="eastAsia" w:ascii="黑体" w:eastAsia="黑体"/>
          <w:b w:val="0"/>
          <w:sz w:val="24"/>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627"/>
        <w:gridCol w:w="1489"/>
        <w:gridCol w:w="880"/>
        <w:gridCol w:w="732"/>
        <w:gridCol w:w="1116"/>
        <w:gridCol w:w="1391"/>
        <w:gridCol w:w="1383"/>
      </w:tblGrid>
      <w:tr w14:paraId="1FD3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7B1924B5">
            <w:pPr>
              <w:rPr>
                <w:rFonts w:hint="eastAsia" w:ascii="宋体" w:hAnsi="宋体" w:cs="宋体"/>
                <w:szCs w:val="21"/>
              </w:rPr>
            </w:pPr>
            <w:r>
              <w:rPr>
                <w:rFonts w:hint="eastAsia" w:ascii="宋体" w:hAnsi="宋体" w:cs="宋体"/>
                <w:szCs w:val="21"/>
              </w:rPr>
              <w:t>投标（响应）供应商</w:t>
            </w:r>
          </w:p>
        </w:tc>
        <w:tc>
          <w:tcPr>
            <w:tcW w:w="1427" w:type="pct"/>
            <w:gridSpan w:val="2"/>
            <w:vAlign w:val="center"/>
          </w:tcPr>
          <w:p w14:paraId="51E2A126">
            <w:pPr>
              <w:jc w:val="center"/>
              <w:rPr>
                <w:rFonts w:hint="eastAsia" w:ascii="宋体" w:hAnsi="宋体" w:cs="宋体"/>
                <w:szCs w:val="21"/>
              </w:rPr>
            </w:pPr>
          </w:p>
        </w:tc>
        <w:tc>
          <w:tcPr>
            <w:tcW w:w="1113" w:type="pct"/>
            <w:gridSpan w:val="2"/>
            <w:vAlign w:val="center"/>
          </w:tcPr>
          <w:p w14:paraId="0BD1C0E1">
            <w:pPr>
              <w:jc w:val="center"/>
              <w:rPr>
                <w:rFonts w:hint="eastAsia" w:ascii="宋体" w:hAnsi="宋体" w:cs="宋体"/>
                <w:szCs w:val="21"/>
              </w:rPr>
            </w:pPr>
            <w:r>
              <w:rPr>
                <w:rFonts w:hint="eastAsia" w:ascii="宋体" w:hAnsi="宋体" w:cs="宋体"/>
                <w:szCs w:val="21"/>
              </w:rPr>
              <w:t>项目名称及编号</w:t>
            </w:r>
          </w:p>
        </w:tc>
        <w:tc>
          <w:tcPr>
            <w:tcW w:w="1669" w:type="pct"/>
            <w:gridSpan w:val="2"/>
            <w:vAlign w:val="center"/>
          </w:tcPr>
          <w:p w14:paraId="1841B1CC">
            <w:pPr>
              <w:jc w:val="center"/>
              <w:rPr>
                <w:rFonts w:hint="eastAsia" w:ascii="宋体" w:hAnsi="宋体" w:cs="宋体"/>
                <w:szCs w:val="21"/>
              </w:rPr>
            </w:pPr>
          </w:p>
        </w:tc>
      </w:tr>
      <w:tr w14:paraId="62B2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F113986">
            <w:pPr>
              <w:jc w:val="center"/>
              <w:rPr>
                <w:rFonts w:hint="eastAsia" w:ascii="宋体" w:hAnsi="宋体" w:cs="宋体"/>
                <w:szCs w:val="21"/>
              </w:rPr>
            </w:pPr>
            <w:r>
              <w:rPr>
                <w:rFonts w:hint="eastAsia" w:ascii="宋体" w:hAnsi="宋体" w:cs="宋体"/>
                <w:b/>
                <w:bCs/>
                <w:szCs w:val="21"/>
              </w:rPr>
              <w:t>投标（响应）供应商相关人员情况</w:t>
            </w:r>
          </w:p>
        </w:tc>
      </w:tr>
      <w:tr w14:paraId="4C50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2D1A65E1">
            <w:pPr>
              <w:snapToGrid w:val="0"/>
              <w:jc w:val="center"/>
              <w:rPr>
                <w:rFonts w:hint="eastAsia"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49591986">
            <w:pPr>
              <w:jc w:val="center"/>
              <w:rPr>
                <w:rFonts w:hint="eastAsia"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0114B47F">
            <w:pPr>
              <w:jc w:val="center"/>
              <w:rPr>
                <w:rFonts w:hint="eastAsia"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7955E952">
            <w:pPr>
              <w:jc w:val="center"/>
              <w:rPr>
                <w:rFonts w:hint="eastAsia"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47C1A79D">
            <w:pPr>
              <w:snapToGrid w:val="0"/>
              <w:jc w:val="center"/>
              <w:rPr>
                <w:rFonts w:hint="eastAsia" w:ascii="宋体" w:hAnsi="宋体" w:cs="宋体"/>
                <w:szCs w:val="21"/>
              </w:rPr>
            </w:pPr>
            <w:r>
              <w:rPr>
                <w:rFonts w:hint="eastAsia" w:ascii="宋体" w:hAnsi="宋体" w:cs="宋体"/>
                <w:szCs w:val="21"/>
              </w:rPr>
              <w:t>劳动合同</w:t>
            </w:r>
          </w:p>
          <w:p w14:paraId="3759C43D">
            <w:pPr>
              <w:snapToGrid w:val="0"/>
              <w:jc w:val="center"/>
              <w:rPr>
                <w:rFonts w:hint="eastAsia"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5DE8BF2D">
            <w:pPr>
              <w:snapToGrid w:val="0"/>
              <w:jc w:val="center"/>
              <w:rPr>
                <w:rFonts w:hint="eastAsia" w:ascii="宋体" w:hAnsi="宋体" w:cs="宋体"/>
                <w:szCs w:val="21"/>
              </w:rPr>
            </w:pPr>
            <w:r>
              <w:rPr>
                <w:rFonts w:hint="eastAsia" w:ascii="宋体" w:hAnsi="宋体" w:cs="宋体"/>
                <w:szCs w:val="21"/>
              </w:rPr>
              <w:t>缴纳社会</w:t>
            </w:r>
          </w:p>
          <w:p w14:paraId="019568CD">
            <w:pPr>
              <w:snapToGrid w:val="0"/>
              <w:jc w:val="center"/>
              <w:rPr>
                <w:rFonts w:hint="eastAsia" w:ascii="宋体" w:hAnsi="宋体" w:cs="宋体"/>
                <w:szCs w:val="21"/>
              </w:rPr>
            </w:pPr>
            <w:r>
              <w:rPr>
                <w:rFonts w:hint="eastAsia" w:ascii="宋体" w:hAnsi="宋体" w:cs="宋体"/>
                <w:szCs w:val="21"/>
              </w:rPr>
              <w:t>保险单位</w:t>
            </w:r>
          </w:p>
        </w:tc>
      </w:tr>
      <w:tr w14:paraId="6A55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798A2468">
            <w:pPr>
              <w:jc w:val="center"/>
              <w:rPr>
                <w:rFonts w:hint="eastAsia"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57C8A065">
            <w:pPr>
              <w:spacing w:line="460" w:lineRule="exact"/>
              <w:jc w:val="center"/>
              <w:rPr>
                <w:rFonts w:hint="eastAsia"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1D661D77">
            <w:pPr>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25EA93FA">
            <w:pPr>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128507F7">
            <w:pPr>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2DD3E334">
            <w:pPr>
              <w:jc w:val="center"/>
              <w:rPr>
                <w:rFonts w:hint="eastAsia" w:ascii="宋体" w:hAnsi="宋体" w:cs="宋体"/>
                <w:szCs w:val="21"/>
              </w:rPr>
            </w:pPr>
          </w:p>
        </w:tc>
      </w:tr>
      <w:tr w14:paraId="034B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1124732C">
            <w:pPr>
              <w:jc w:val="center"/>
              <w:rPr>
                <w:rFonts w:hint="eastAsia"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3EFAA7B5">
            <w:pPr>
              <w:jc w:val="center"/>
              <w:rPr>
                <w:rFonts w:hint="eastAsia"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0D0489DE">
            <w:pPr>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0EC65934">
            <w:pPr>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3E6B2B1E">
            <w:pPr>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77C3F542">
            <w:pPr>
              <w:jc w:val="center"/>
              <w:rPr>
                <w:rFonts w:hint="eastAsia" w:ascii="宋体" w:hAnsi="宋体" w:cs="宋体"/>
                <w:szCs w:val="21"/>
              </w:rPr>
            </w:pPr>
          </w:p>
        </w:tc>
      </w:tr>
      <w:tr w14:paraId="44F8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68033C7B">
            <w:pPr>
              <w:jc w:val="center"/>
              <w:rPr>
                <w:rFonts w:hint="eastAsia" w:ascii="宋体" w:hAnsi="宋体" w:cs="宋体"/>
                <w:szCs w:val="21"/>
              </w:rPr>
            </w:pPr>
            <w:r>
              <w:rPr>
                <w:rFonts w:hint="eastAsia" w:ascii="宋体" w:hAnsi="宋体" w:cs="宋体"/>
                <w:szCs w:val="21"/>
                <w:lang w:bidi="ar"/>
              </w:rPr>
              <w:t>3</w:t>
            </w:r>
          </w:p>
        </w:tc>
        <w:tc>
          <w:tcPr>
            <w:tcW w:w="1275" w:type="pct"/>
            <w:gridSpan w:val="2"/>
            <w:tcBorders>
              <w:top w:val="single" w:color="auto" w:sz="4" w:space="0"/>
            </w:tcBorders>
            <w:vAlign w:val="center"/>
          </w:tcPr>
          <w:p w14:paraId="2B7F1E94">
            <w:pPr>
              <w:jc w:val="center"/>
              <w:rPr>
                <w:rFonts w:hint="eastAsia"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274AFFCF">
            <w:pPr>
              <w:jc w:val="center"/>
              <w:rPr>
                <w:rFonts w:hint="eastAsia" w:ascii="宋体" w:hAnsi="宋体" w:cs="宋体"/>
                <w:szCs w:val="21"/>
              </w:rPr>
            </w:pPr>
          </w:p>
        </w:tc>
        <w:tc>
          <w:tcPr>
            <w:tcW w:w="1113" w:type="pct"/>
            <w:gridSpan w:val="2"/>
            <w:tcBorders>
              <w:top w:val="single" w:color="auto" w:sz="4" w:space="0"/>
            </w:tcBorders>
            <w:vAlign w:val="center"/>
          </w:tcPr>
          <w:p w14:paraId="75781EAC">
            <w:pPr>
              <w:jc w:val="center"/>
              <w:rPr>
                <w:rFonts w:hint="eastAsia" w:ascii="宋体" w:hAnsi="宋体" w:cs="宋体"/>
                <w:szCs w:val="21"/>
              </w:rPr>
            </w:pPr>
          </w:p>
        </w:tc>
        <w:tc>
          <w:tcPr>
            <w:tcW w:w="838" w:type="pct"/>
            <w:tcBorders>
              <w:top w:val="single" w:color="auto" w:sz="4" w:space="0"/>
            </w:tcBorders>
            <w:vAlign w:val="center"/>
          </w:tcPr>
          <w:p w14:paraId="46C44E70">
            <w:pPr>
              <w:jc w:val="center"/>
              <w:rPr>
                <w:rFonts w:hint="eastAsia" w:ascii="宋体" w:hAnsi="宋体" w:cs="宋体"/>
                <w:szCs w:val="21"/>
              </w:rPr>
            </w:pPr>
          </w:p>
        </w:tc>
        <w:tc>
          <w:tcPr>
            <w:tcW w:w="830" w:type="pct"/>
            <w:tcBorders>
              <w:top w:val="single" w:color="auto" w:sz="4" w:space="0"/>
            </w:tcBorders>
            <w:vAlign w:val="center"/>
          </w:tcPr>
          <w:p w14:paraId="290B8FAD">
            <w:pPr>
              <w:jc w:val="center"/>
              <w:rPr>
                <w:rFonts w:hint="eastAsia" w:ascii="宋体" w:hAnsi="宋体" w:cs="宋体"/>
                <w:szCs w:val="21"/>
              </w:rPr>
            </w:pPr>
          </w:p>
        </w:tc>
      </w:tr>
      <w:tr w14:paraId="492C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67CC850">
            <w:pPr>
              <w:jc w:val="center"/>
              <w:rPr>
                <w:rFonts w:hint="eastAsia" w:ascii="宋体" w:hAnsi="宋体" w:cs="宋体"/>
                <w:szCs w:val="21"/>
              </w:rPr>
            </w:pPr>
            <w:r>
              <w:rPr>
                <w:rFonts w:hint="eastAsia" w:ascii="宋体" w:hAnsi="宋体" w:cs="宋体"/>
                <w:szCs w:val="21"/>
                <w:lang w:bidi="ar"/>
              </w:rPr>
              <w:t>4</w:t>
            </w:r>
          </w:p>
        </w:tc>
        <w:tc>
          <w:tcPr>
            <w:tcW w:w="1275" w:type="pct"/>
            <w:gridSpan w:val="2"/>
            <w:vAlign w:val="center"/>
          </w:tcPr>
          <w:p w14:paraId="5E99A3EE">
            <w:pPr>
              <w:jc w:val="center"/>
              <w:rPr>
                <w:rFonts w:hint="eastAsia" w:ascii="宋体" w:hAnsi="宋体" w:cs="宋体"/>
                <w:szCs w:val="21"/>
              </w:rPr>
            </w:pPr>
            <w:r>
              <w:rPr>
                <w:rFonts w:hint="eastAsia" w:ascii="宋体" w:hAnsi="宋体" w:cs="宋体"/>
                <w:szCs w:val="21"/>
              </w:rPr>
              <w:t>主要技术人员</w:t>
            </w:r>
          </w:p>
        </w:tc>
        <w:tc>
          <w:tcPr>
            <w:tcW w:w="529" w:type="pct"/>
            <w:vAlign w:val="center"/>
          </w:tcPr>
          <w:p w14:paraId="664B2E92">
            <w:pPr>
              <w:jc w:val="center"/>
              <w:rPr>
                <w:rFonts w:hint="eastAsia" w:ascii="宋体" w:hAnsi="宋体" w:cs="宋体"/>
                <w:szCs w:val="21"/>
              </w:rPr>
            </w:pPr>
          </w:p>
        </w:tc>
        <w:tc>
          <w:tcPr>
            <w:tcW w:w="1113" w:type="pct"/>
            <w:gridSpan w:val="2"/>
            <w:vAlign w:val="center"/>
          </w:tcPr>
          <w:p w14:paraId="42B63E74">
            <w:pPr>
              <w:jc w:val="center"/>
              <w:rPr>
                <w:rFonts w:hint="eastAsia" w:ascii="宋体" w:hAnsi="宋体" w:cs="宋体"/>
                <w:szCs w:val="21"/>
              </w:rPr>
            </w:pPr>
          </w:p>
        </w:tc>
        <w:tc>
          <w:tcPr>
            <w:tcW w:w="838" w:type="pct"/>
            <w:vAlign w:val="center"/>
          </w:tcPr>
          <w:p w14:paraId="0E8CD537">
            <w:pPr>
              <w:jc w:val="center"/>
              <w:rPr>
                <w:rFonts w:hint="eastAsia" w:ascii="宋体" w:hAnsi="宋体" w:cs="宋体"/>
                <w:szCs w:val="21"/>
              </w:rPr>
            </w:pPr>
          </w:p>
        </w:tc>
        <w:tc>
          <w:tcPr>
            <w:tcW w:w="830" w:type="pct"/>
            <w:vAlign w:val="center"/>
          </w:tcPr>
          <w:p w14:paraId="34D90046">
            <w:pPr>
              <w:jc w:val="center"/>
              <w:rPr>
                <w:rFonts w:hint="eastAsia" w:ascii="宋体" w:hAnsi="宋体" w:cs="宋体"/>
                <w:szCs w:val="21"/>
              </w:rPr>
            </w:pPr>
          </w:p>
        </w:tc>
      </w:tr>
      <w:tr w14:paraId="620F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7255A8D">
            <w:pPr>
              <w:jc w:val="center"/>
              <w:rPr>
                <w:rFonts w:hint="eastAsia" w:ascii="宋体" w:hAnsi="宋体" w:cs="宋体"/>
                <w:szCs w:val="21"/>
              </w:rPr>
            </w:pPr>
            <w:r>
              <w:rPr>
                <w:rFonts w:hint="eastAsia" w:ascii="宋体" w:hAnsi="宋体" w:cs="宋体"/>
                <w:szCs w:val="21"/>
                <w:lang w:bidi="ar"/>
              </w:rPr>
              <w:t>5</w:t>
            </w:r>
          </w:p>
        </w:tc>
        <w:tc>
          <w:tcPr>
            <w:tcW w:w="1275" w:type="pct"/>
            <w:gridSpan w:val="2"/>
            <w:vAlign w:val="center"/>
          </w:tcPr>
          <w:p w14:paraId="02F976D7">
            <w:pPr>
              <w:snapToGrid w:val="0"/>
              <w:jc w:val="center"/>
              <w:rPr>
                <w:rFonts w:hint="eastAsia" w:ascii="宋体" w:hAnsi="宋体" w:cs="宋体"/>
                <w:szCs w:val="21"/>
              </w:rPr>
            </w:pPr>
            <w:r>
              <w:rPr>
                <w:rFonts w:hint="eastAsia" w:ascii="宋体" w:hAnsi="宋体" w:cs="宋体"/>
                <w:szCs w:val="21"/>
              </w:rPr>
              <w:t>投标文件编制人员</w:t>
            </w:r>
          </w:p>
        </w:tc>
        <w:tc>
          <w:tcPr>
            <w:tcW w:w="529" w:type="pct"/>
            <w:vAlign w:val="center"/>
          </w:tcPr>
          <w:p w14:paraId="1A473FC0">
            <w:pPr>
              <w:jc w:val="center"/>
              <w:rPr>
                <w:rFonts w:hint="eastAsia" w:ascii="宋体" w:hAnsi="宋体" w:cs="宋体"/>
                <w:szCs w:val="21"/>
              </w:rPr>
            </w:pPr>
          </w:p>
        </w:tc>
        <w:tc>
          <w:tcPr>
            <w:tcW w:w="1113" w:type="pct"/>
            <w:gridSpan w:val="2"/>
            <w:vAlign w:val="center"/>
          </w:tcPr>
          <w:p w14:paraId="271EB8A4">
            <w:pPr>
              <w:jc w:val="center"/>
              <w:rPr>
                <w:rFonts w:hint="eastAsia" w:ascii="宋体" w:hAnsi="宋体" w:cs="宋体"/>
                <w:szCs w:val="21"/>
              </w:rPr>
            </w:pPr>
          </w:p>
        </w:tc>
        <w:tc>
          <w:tcPr>
            <w:tcW w:w="838" w:type="pct"/>
            <w:vAlign w:val="center"/>
          </w:tcPr>
          <w:p w14:paraId="70ECEAC3">
            <w:pPr>
              <w:jc w:val="center"/>
              <w:rPr>
                <w:rFonts w:hint="eastAsia" w:ascii="宋体" w:hAnsi="宋体" w:cs="宋体"/>
                <w:szCs w:val="21"/>
              </w:rPr>
            </w:pPr>
          </w:p>
        </w:tc>
        <w:tc>
          <w:tcPr>
            <w:tcW w:w="830" w:type="pct"/>
            <w:vAlign w:val="center"/>
          </w:tcPr>
          <w:p w14:paraId="0E0D42EE">
            <w:pPr>
              <w:jc w:val="center"/>
              <w:rPr>
                <w:rFonts w:hint="eastAsia" w:ascii="宋体" w:hAnsi="宋体" w:cs="宋体"/>
                <w:szCs w:val="21"/>
              </w:rPr>
            </w:pPr>
          </w:p>
        </w:tc>
      </w:tr>
      <w:tr w14:paraId="73E7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63406851">
            <w:pPr>
              <w:rPr>
                <w:rFonts w:hint="eastAsia" w:ascii="宋体" w:hAnsi="宋体" w:cs="宋体"/>
                <w:szCs w:val="21"/>
              </w:rPr>
            </w:pPr>
            <w:r>
              <w:rPr>
                <w:rFonts w:hint="eastAsia" w:ascii="宋体" w:hAnsi="宋体" w:cs="宋体"/>
                <w:b/>
                <w:bCs/>
                <w:szCs w:val="21"/>
              </w:rPr>
              <w:t>说明：同一职务有多人担任（如主要技术人员），应分行填写。</w:t>
            </w:r>
          </w:p>
        </w:tc>
      </w:tr>
      <w:tr w14:paraId="51D4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023FC6E6">
            <w:pPr>
              <w:jc w:val="center"/>
              <w:rPr>
                <w:rFonts w:hint="eastAsia" w:ascii="宋体" w:hAnsi="宋体" w:cs="宋体"/>
                <w:b/>
                <w:bCs/>
                <w:szCs w:val="21"/>
              </w:rPr>
            </w:pPr>
            <w:r>
              <w:rPr>
                <w:rFonts w:hint="eastAsia" w:ascii="宋体" w:hAnsi="宋体" w:cs="宋体"/>
                <w:b/>
                <w:bCs/>
                <w:szCs w:val="21"/>
              </w:rPr>
              <w:t>投标（响应）供应商关联关系情况</w:t>
            </w:r>
          </w:p>
        </w:tc>
      </w:tr>
      <w:tr w14:paraId="785F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4DC2EEB0">
            <w:pPr>
              <w:jc w:val="center"/>
              <w:rPr>
                <w:rFonts w:hint="eastAsia" w:ascii="宋体" w:hAnsi="宋体" w:cs="宋体"/>
                <w:szCs w:val="21"/>
                <w:lang w:bidi="ar"/>
              </w:rPr>
            </w:pPr>
            <w:r>
              <w:rPr>
                <w:rFonts w:hint="eastAsia" w:ascii="宋体" w:hAnsi="宋体" w:cs="宋体"/>
                <w:szCs w:val="21"/>
                <w:lang w:bidi="ar"/>
              </w:rPr>
              <w:t>序号</w:t>
            </w:r>
          </w:p>
        </w:tc>
        <w:tc>
          <w:tcPr>
            <w:tcW w:w="1275" w:type="pct"/>
            <w:gridSpan w:val="2"/>
            <w:tcBorders>
              <w:bottom w:val="single" w:color="auto" w:sz="4" w:space="0"/>
            </w:tcBorders>
            <w:vAlign w:val="center"/>
          </w:tcPr>
          <w:p w14:paraId="1D89836D">
            <w:pPr>
              <w:jc w:val="center"/>
              <w:rPr>
                <w:rFonts w:hint="eastAsia"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1FD7C69E">
            <w:pPr>
              <w:jc w:val="center"/>
              <w:rPr>
                <w:rFonts w:hint="eastAsia"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7ACDA0A0">
            <w:pPr>
              <w:jc w:val="center"/>
              <w:rPr>
                <w:rFonts w:hint="eastAsia" w:ascii="宋体" w:hAnsi="宋体" w:cs="宋体"/>
                <w:szCs w:val="21"/>
              </w:rPr>
            </w:pPr>
            <w:r>
              <w:rPr>
                <w:rFonts w:hint="eastAsia" w:ascii="宋体" w:hAnsi="宋体" w:cs="宋体"/>
                <w:szCs w:val="21"/>
              </w:rPr>
              <w:t>备注</w:t>
            </w:r>
          </w:p>
        </w:tc>
      </w:tr>
      <w:tr w14:paraId="7B45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70429662">
            <w:pPr>
              <w:jc w:val="center"/>
              <w:rPr>
                <w:rFonts w:hint="eastAsia" w:ascii="宋体" w:hAnsi="宋体" w:cs="宋体"/>
                <w:szCs w:val="21"/>
                <w:lang w:bidi="ar"/>
              </w:rPr>
            </w:pPr>
            <w:r>
              <w:rPr>
                <w:rFonts w:hint="eastAsia" w:ascii="宋体" w:hAnsi="宋体" w:cs="宋体"/>
                <w:szCs w:val="21"/>
                <w:lang w:bidi="ar"/>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3ACFFB59">
            <w:pPr>
              <w:jc w:val="center"/>
              <w:rPr>
                <w:rFonts w:hint="eastAsia"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06233A27">
            <w:pPr>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75C8D0C8">
            <w:pPr>
              <w:snapToGrid w:val="0"/>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2E9EB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5A41AAD4">
            <w:pPr>
              <w:jc w:val="center"/>
              <w:rPr>
                <w:rFonts w:hint="eastAsia" w:ascii="宋体" w:hAnsi="宋体" w:cs="宋体"/>
                <w:szCs w:val="21"/>
                <w:lang w:bidi="ar"/>
              </w:rPr>
            </w:pPr>
            <w:r>
              <w:rPr>
                <w:rFonts w:hint="eastAsia" w:ascii="宋体" w:hAnsi="宋体" w:cs="宋体"/>
                <w:szCs w:val="21"/>
                <w:lang w:bidi="ar"/>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418D81AC">
            <w:pPr>
              <w:jc w:val="center"/>
              <w:rPr>
                <w:rFonts w:hint="eastAsia"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2E3E27C9">
            <w:pPr>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2188F447">
            <w:pPr>
              <w:snapToGrid w:val="0"/>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14:paraId="1A31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9A200F3">
            <w:pPr>
              <w:snapToGrid w:val="0"/>
              <w:rPr>
                <w:rFonts w:hint="eastAsia" w:ascii="宋体" w:hAnsi="宋体" w:cs="宋体"/>
                <w:szCs w:val="21"/>
              </w:rPr>
            </w:pPr>
            <w:r>
              <w:rPr>
                <w:rFonts w:hint="eastAsia" w:ascii="宋体" w:hAnsi="宋体" w:cs="宋体"/>
                <w:b/>
                <w:bCs/>
                <w:szCs w:val="21"/>
              </w:rPr>
              <w:t>说明：同一关联关系类型有多个主体的，应分行填写。</w:t>
            </w:r>
          </w:p>
        </w:tc>
      </w:tr>
    </w:tbl>
    <w:p w14:paraId="019A6862">
      <w:pPr>
        <w:pStyle w:val="61"/>
        <w:rPr>
          <w:rFonts w:hint="eastAsia" w:ascii="宋体" w:hAnsi="宋体"/>
          <w:b/>
          <w:color w:val="FF0000"/>
          <w:sz w:val="28"/>
          <w:szCs w:val="28"/>
        </w:rPr>
      </w:pPr>
    </w:p>
    <w:p w14:paraId="3E8FAD11">
      <w:pPr>
        <w:pStyle w:val="61"/>
        <w:rPr>
          <w:rFonts w:hint="eastAsia" w:ascii="宋体" w:hAnsi="宋体"/>
          <w:b/>
          <w:color w:val="FF0000"/>
          <w:sz w:val="28"/>
          <w:szCs w:val="28"/>
        </w:rPr>
      </w:pPr>
      <w:r>
        <w:rPr>
          <w:rFonts w:hint="eastAsia" w:ascii="黑体" w:hAnsi="黑体" w:eastAsia="黑体" w:cs="黑体"/>
          <w:b/>
          <w:bCs/>
          <w:color w:val="FF0000"/>
          <w:sz w:val="24"/>
          <w:szCs w:val="24"/>
        </w:rPr>
        <w:t>温馨提示：</w:t>
      </w:r>
      <w:r>
        <w:rPr>
          <w:rFonts w:hint="eastAsia" w:ascii="Times New Roman" w:hAnsi="Times New Roman"/>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3519F1E7">
      <w:pPr>
        <w:widowControl/>
        <w:jc w:val="left"/>
        <w:rPr>
          <w:rFonts w:hint="eastAsia" w:ascii="宋体" w:hAnsi="宋体"/>
          <w:b/>
          <w:color w:val="FF0000"/>
          <w:sz w:val="28"/>
          <w:szCs w:val="28"/>
        </w:rPr>
      </w:pPr>
      <w:r>
        <w:rPr>
          <w:rFonts w:ascii="宋体" w:hAnsi="宋体"/>
          <w:b/>
          <w:color w:val="FF0000"/>
          <w:sz w:val="28"/>
          <w:szCs w:val="28"/>
        </w:rPr>
        <w:br w:type="page"/>
      </w:r>
    </w:p>
    <w:p w14:paraId="42C71A51">
      <w:pPr>
        <w:pStyle w:val="5"/>
        <w:jc w:val="center"/>
        <w:rPr>
          <w:rFonts w:hint="eastAsia" w:ascii="黑体" w:eastAsia="黑体"/>
          <w:b w:val="0"/>
          <w:sz w:val="24"/>
        </w:rPr>
      </w:pPr>
      <w:r>
        <w:rPr>
          <w:rFonts w:hint="eastAsia" w:ascii="黑体" w:eastAsia="黑体"/>
          <w:b w:val="0"/>
          <w:sz w:val="24"/>
        </w:rPr>
        <w:t>二、</w:t>
      </w:r>
      <w:bookmarkStart w:id="159" w:name="_Hlk72092499"/>
      <w:r>
        <w:rPr>
          <w:rFonts w:hint="eastAsia" w:ascii="黑体" w:eastAsia="黑体"/>
          <w:b w:val="0"/>
          <w:sz w:val="24"/>
        </w:rPr>
        <w:t>法定代表人（负责人）证明书</w:t>
      </w:r>
      <w:bookmarkEnd w:id="159"/>
    </w:p>
    <w:p w14:paraId="6A966106">
      <w:pPr>
        <w:rPr>
          <w:sz w:val="24"/>
        </w:rPr>
      </w:pPr>
    </w:p>
    <w:p w14:paraId="1A2B1A8C">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4B2ED83">
      <w:pPr>
        <w:spacing w:line="360" w:lineRule="auto"/>
        <w:ind w:firstLine="420" w:firstLineChars="200"/>
        <w:rPr>
          <w:szCs w:val="21"/>
        </w:rPr>
      </w:pPr>
      <w:r>
        <w:rPr>
          <w:rFonts w:hint="eastAsia"/>
          <w:szCs w:val="21"/>
        </w:rPr>
        <w:t>特此证明。</w:t>
      </w:r>
    </w:p>
    <w:p w14:paraId="6B750F29">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说明：1.法定代表人为投标人（企业事业单位、国家机关、社会团体）的主要行政负责人。</w:t>
      </w:r>
    </w:p>
    <w:p w14:paraId="4FD39A75">
      <w:pPr>
        <w:spacing w:line="360" w:lineRule="auto"/>
        <w:ind w:firstLine="422" w:firstLineChars="200"/>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t>2.</w:t>
      </w:r>
      <w:r>
        <w:rPr>
          <w:rFonts w:hint="eastAsia" w:asciiTheme="minorEastAsia" w:hAnsiTheme="minorEastAsia" w:eastAsiaTheme="minorEastAsia"/>
          <w:b/>
          <w:color w:val="FF0000"/>
          <w:szCs w:val="21"/>
          <w:lang w:eastAsia="zh-Hans"/>
        </w:rPr>
        <w:t>本证明书</w:t>
      </w:r>
      <w:r>
        <w:rPr>
          <w:rFonts w:hint="eastAsia" w:asciiTheme="minorEastAsia" w:hAnsiTheme="minorEastAsia" w:eastAsiaTheme="minorEastAsia"/>
          <w:b/>
          <w:color w:val="FF0000"/>
          <w:szCs w:val="21"/>
        </w:rPr>
        <w:t>需提</w:t>
      </w:r>
      <w:r>
        <w:rPr>
          <w:rFonts w:hint="eastAsia" w:asciiTheme="minorEastAsia" w:hAnsiTheme="minorEastAsia" w:eastAsiaTheme="minorEastAsia"/>
          <w:b/>
          <w:color w:val="FF0000"/>
          <w:szCs w:val="21"/>
          <w:lang w:eastAsia="zh-Hans"/>
        </w:rPr>
        <w:t>供法定代表人（负责人）</w:t>
      </w:r>
      <w:r>
        <w:rPr>
          <w:rFonts w:hint="eastAsia" w:asciiTheme="minorEastAsia" w:hAnsiTheme="minorEastAsia" w:eastAsiaTheme="minorEastAsia"/>
          <w:b/>
          <w:color w:val="FF0000"/>
          <w:szCs w:val="21"/>
        </w:rPr>
        <w:t>相关身份证明文件：身份证扫描件（正反两面）；港澳台居民可提供来往通行证扫描件；非中国国籍管辖范围人员，可提供公安部门认可的身份证明材料扫描件。</w:t>
      </w:r>
    </w:p>
    <w:p w14:paraId="012E126F">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Hans"/>
        </w:rPr>
        <w:t>本项目投标授权代表为法定代表人（负责人）的，无需提供</w:t>
      </w:r>
      <w:r>
        <w:rPr>
          <w:rFonts w:hint="eastAsia" w:asciiTheme="minorEastAsia" w:hAnsiTheme="minorEastAsia" w:eastAsiaTheme="minorEastAsia"/>
          <w:szCs w:val="21"/>
        </w:rPr>
        <w:t>《投标文件签署授权委托书》</w:t>
      </w:r>
      <w:r>
        <w:rPr>
          <w:rFonts w:hint="eastAsia" w:asciiTheme="minorEastAsia" w:hAnsiTheme="minorEastAsia" w:eastAsiaTheme="minorEastAsia"/>
          <w:szCs w:val="21"/>
          <w:lang w:eastAsia="zh-Hans"/>
        </w:rPr>
        <w:t>。</w:t>
      </w:r>
    </w:p>
    <w:p w14:paraId="0FC7B039">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B0D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37AA0FD4">
            <w:pPr>
              <w:jc w:val="center"/>
            </w:pPr>
            <w:r>
              <w:rPr>
                <w:rFonts w:hint="eastAsia"/>
              </w:rPr>
              <w:t>证件扫描件正面</w:t>
            </w:r>
          </w:p>
          <w:p w14:paraId="54C17A09">
            <w:pPr>
              <w:pStyle w:val="2"/>
              <w:jc w:val="center"/>
            </w:pPr>
          </w:p>
          <w:p w14:paraId="2FB6FDAA">
            <w:pPr>
              <w:pStyle w:val="3"/>
              <w:jc w:val="center"/>
            </w:pPr>
          </w:p>
          <w:p w14:paraId="78753B52">
            <w:pPr>
              <w:pStyle w:val="3"/>
              <w:jc w:val="center"/>
            </w:pPr>
          </w:p>
          <w:p w14:paraId="7BCB509A">
            <w:pPr>
              <w:pStyle w:val="3"/>
              <w:jc w:val="center"/>
            </w:pPr>
          </w:p>
        </w:tc>
        <w:tc>
          <w:tcPr>
            <w:tcW w:w="4265" w:type="dxa"/>
          </w:tcPr>
          <w:p w14:paraId="32560207">
            <w:pPr>
              <w:jc w:val="center"/>
            </w:pPr>
            <w:r>
              <w:rPr>
                <w:rFonts w:hint="eastAsia"/>
              </w:rPr>
              <w:t>证件扫描件反面</w:t>
            </w:r>
          </w:p>
          <w:p w14:paraId="0E1FB2EF">
            <w:pPr>
              <w:pStyle w:val="2"/>
              <w:jc w:val="center"/>
            </w:pPr>
          </w:p>
          <w:p w14:paraId="147168D7">
            <w:pPr>
              <w:pStyle w:val="3"/>
              <w:jc w:val="center"/>
            </w:pPr>
          </w:p>
        </w:tc>
      </w:tr>
    </w:tbl>
    <w:p w14:paraId="7A872239">
      <w:pPr>
        <w:rPr>
          <w:sz w:val="24"/>
        </w:rPr>
      </w:pPr>
    </w:p>
    <w:p w14:paraId="03A4F92A">
      <w:pPr>
        <w:pStyle w:val="61"/>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00FD640A">
      <w:pPr>
        <w:widowControl/>
        <w:jc w:val="left"/>
        <w:rPr>
          <w:rFonts w:ascii="Calibri" w:hAnsi="Calibri"/>
          <w:sz w:val="24"/>
          <w:szCs w:val="22"/>
        </w:rPr>
      </w:pPr>
      <w:r>
        <w:rPr>
          <w:sz w:val="24"/>
        </w:rPr>
        <w:br w:type="page"/>
      </w:r>
    </w:p>
    <w:p w14:paraId="5E82EFF6">
      <w:pPr>
        <w:pStyle w:val="5"/>
        <w:jc w:val="center"/>
        <w:rPr>
          <w:rFonts w:hint="eastAsia" w:ascii="黑体" w:eastAsia="黑体"/>
          <w:b w:val="0"/>
          <w:sz w:val="24"/>
        </w:rPr>
      </w:pPr>
      <w:r>
        <w:rPr>
          <w:rFonts w:hint="eastAsia" w:ascii="黑体" w:eastAsia="黑体"/>
          <w:b w:val="0"/>
          <w:sz w:val="24"/>
        </w:rPr>
        <w:t>三、投标文件签署授权委托书</w:t>
      </w:r>
    </w:p>
    <w:p w14:paraId="2844EDBC">
      <w:pPr>
        <w:spacing w:line="360" w:lineRule="auto"/>
        <w:ind w:firstLine="420" w:firstLineChars="200"/>
        <w:rPr>
          <w:szCs w:val="21"/>
        </w:rPr>
      </w:pPr>
    </w:p>
    <w:p w14:paraId="5A27CDE8">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66BA00C">
      <w:pPr>
        <w:spacing w:line="360" w:lineRule="auto"/>
        <w:ind w:firstLine="420" w:firstLineChars="200"/>
        <w:rPr>
          <w:szCs w:val="21"/>
        </w:rPr>
      </w:pPr>
      <w:r>
        <w:rPr>
          <w:rFonts w:hint="eastAsia"/>
          <w:szCs w:val="21"/>
        </w:rPr>
        <w:t>代理人无转委托权，特此委托。</w:t>
      </w:r>
    </w:p>
    <w:p w14:paraId="4E23B42C">
      <w:pPr>
        <w:spacing w:line="360" w:lineRule="auto"/>
        <w:ind w:firstLine="420" w:firstLineChars="200"/>
        <w:rPr>
          <w:szCs w:val="21"/>
        </w:rPr>
      </w:pPr>
    </w:p>
    <w:p w14:paraId="24B9C1FC">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5AB9EC5D">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0898D243">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19CCEAF5">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7C1C6DBB">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216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4" w:type="dxa"/>
          </w:tcPr>
          <w:p w14:paraId="57A45AC7">
            <w:pPr>
              <w:jc w:val="center"/>
            </w:pPr>
            <w:r>
              <w:rPr>
                <w:rFonts w:hint="eastAsia"/>
              </w:rPr>
              <w:t>证件扫描件正面</w:t>
            </w:r>
          </w:p>
          <w:p w14:paraId="52F5047B">
            <w:pPr>
              <w:pStyle w:val="2"/>
              <w:jc w:val="center"/>
            </w:pPr>
          </w:p>
          <w:p w14:paraId="10B8696F">
            <w:pPr>
              <w:pStyle w:val="3"/>
              <w:jc w:val="center"/>
            </w:pPr>
          </w:p>
          <w:p w14:paraId="1C1B96D0">
            <w:pPr>
              <w:pStyle w:val="3"/>
              <w:jc w:val="center"/>
            </w:pPr>
          </w:p>
          <w:p w14:paraId="5508659A">
            <w:pPr>
              <w:pStyle w:val="3"/>
              <w:jc w:val="center"/>
            </w:pPr>
          </w:p>
        </w:tc>
        <w:tc>
          <w:tcPr>
            <w:tcW w:w="4265" w:type="dxa"/>
          </w:tcPr>
          <w:p w14:paraId="432824F9">
            <w:pPr>
              <w:jc w:val="center"/>
            </w:pPr>
            <w:r>
              <w:rPr>
                <w:rFonts w:hint="eastAsia"/>
              </w:rPr>
              <w:t>证件扫描件反面</w:t>
            </w:r>
          </w:p>
          <w:p w14:paraId="7AB9603D">
            <w:pPr>
              <w:pStyle w:val="2"/>
              <w:jc w:val="center"/>
            </w:pPr>
          </w:p>
          <w:p w14:paraId="0E69F479">
            <w:pPr>
              <w:pStyle w:val="3"/>
              <w:jc w:val="center"/>
            </w:pPr>
          </w:p>
        </w:tc>
      </w:tr>
    </w:tbl>
    <w:p w14:paraId="3B153EEB">
      <w:pPr>
        <w:rPr>
          <w:rFonts w:hint="eastAsia" w:ascii="黑体" w:hAnsi="黑体" w:eastAsia="黑体" w:cs="黑体"/>
          <w:b/>
          <w:bCs/>
          <w:sz w:val="24"/>
        </w:rPr>
      </w:pPr>
    </w:p>
    <w:p w14:paraId="22757BAB">
      <w:pPr>
        <w:rPr>
          <w:rFonts w:ascii="Calibri" w:hAnsi="Calibri"/>
          <w:szCs w:val="22"/>
        </w:rPr>
      </w:pPr>
      <w:r>
        <w:rPr>
          <w:rFonts w:hint="eastAsia" w:ascii="黑体" w:hAnsi="黑体" w:eastAsia="黑体" w:cs="黑体"/>
          <w:b/>
          <w:bCs/>
          <w:sz w:val="24"/>
        </w:rPr>
        <w:t>温馨提示</w:t>
      </w:r>
      <w:r>
        <w:rPr>
          <w:rFonts w:hint="eastAsia" w:ascii="黑体" w:hAnsi="黑体" w:eastAsia="黑体" w:cs="黑体"/>
          <w:sz w:val="24"/>
        </w:rPr>
        <w:t>：</w:t>
      </w:r>
      <w:r>
        <w:rPr>
          <w:rFonts w:hint="eastAsia"/>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0AFA6A98">
      <w:pPr>
        <w:rPr>
          <w:rFonts w:ascii="Calibri" w:hAnsi="Calibri"/>
          <w:szCs w:val="22"/>
        </w:rPr>
      </w:pPr>
    </w:p>
    <w:p w14:paraId="355ABBAD">
      <w:pPr>
        <w:widowControl/>
        <w:jc w:val="left"/>
        <w:rPr>
          <w:rFonts w:ascii="Calibri" w:hAnsi="Calibri"/>
          <w:szCs w:val="22"/>
        </w:rPr>
      </w:pPr>
      <w:r>
        <w:rPr>
          <w:rFonts w:ascii="Calibri" w:hAnsi="Calibri"/>
          <w:szCs w:val="22"/>
        </w:rPr>
        <w:br w:type="page"/>
      </w:r>
    </w:p>
    <w:p w14:paraId="0B5FCD94">
      <w:pPr>
        <w:pStyle w:val="5"/>
        <w:jc w:val="center"/>
        <w:rPr>
          <w:rFonts w:hint="eastAsia" w:ascii="黑体" w:eastAsia="黑体"/>
          <w:b w:val="0"/>
          <w:sz w:val="24"/>
        </w:rPr>
      </w:pPr>
      <w:r>
        <w:rPr>
          <w:rFonts w:hint="eastAsia" w:ascii="黑体" w:eastAsia="黑体"/>
          <w:b w:val="0"/>
          <w:sz w:val="24"/>
        </w:rPr>
        <w:t>四、所投产品信息及其他报价清单</w:t>
      </w:r>
    </w:p>
    <w:p w14:paraId="10BE6765">
      <w:pPr>
        <w:tabs>
          <w:tab w:val="left" w:pos="720"/>
        </w:tabs>
        <w:jc w:val="center"/>
        <w:rPr>
          <w:b/>
          <w:sz w:val="24"/>
        </w:rPr>
      </w:pPr>
      <w:r>
        <w:rPr>
          <w:rFonts w:hint="eastAsia"/>
          <w:b/>
          <w:sz w:val="24"/>
        </w:rPr>
        <w:t>（一）所投产品生产主体及产地信息</w:t>
      </w:r>
    </w:p>
    <w:tbl>
      <w:tblPr>
        <w:tblStyle w:val="43"/>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922"/>
        <w:gridCol w:w="1448"/>
        <w:gridCol w:w="1448"/>
        <w:gridCol w:w="1449"/>
      </w:tblGrid>
      <w:tr w14:paraId="1C42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pct"/>
            <w:vAlign w:val="center"/>
          </w:tcPr>
          <w:p w14:paraId="4AAF1BBD">
            <w:pPr>
              <w:jc w:val="center"/>
              <w:rPr>
                <w:bCs/>
                <w:szCs w:val="21"/>
              </w:rPr>
            </w:pPr>
            <w:r>
              <w:rPr>
                <w:rFonts w:hint="eastAsia"/>
                <w:bCs/>
                <w:szCs w:val="21"/>
              </w:rPr>
              <w:t>序号</w:t>
            </w:r>
          </w:p>
        </w:tc>
        <w:tc>
          <w:tcPr>
            <w:tcW w:w="1810" w:type="pct"/>
            <w:vAlign w:val="center"/>
          </w:tcPr>
          <w:p w14:paraId="220B9B11">
            <w:pPr>
              <w:jc w:val="center"/>
              <w:rPr>
                <w:bCs/>
                <w:szCs w:val="21"/>
                <w:highlight w:val="cyan"/>
              </w:rPr>
            </w:pPr>
            <w:r>
              <w:rPr>
                <w:rFonts w:hint="eastAsia"/>
                <w:bCs/>
                <w:szCs w:val="21"/>
              </w:rPr>
              <w:t>货物名称</w:t>
            </w:r>
          </w:p>
        </w:tc>
        <w:tc>
          <w:tcPr>
            <w:tcW w:w="897" w:type="pct"/>
            <w:vAlign w:val="center"/>
          </w:tcPr>
          <w:p w14:paraId="58B10021">
            <w:pPr>
              <w:jc w:val="center"/>
              <w:rPr>
                <w:szCs w:val="21"/>
              </w:rPr>
            </w:pPr>
            <w:r>
              <w:rPr>
                <w:rFonts w:hint="eastAsia"/>
                <w:szCs w:val="21"/>
              </w:rPr>
              <w:t>制造商名称</w:t>
            </w:r>
          </w:p>
        </w:tc>
        <w:tc>
          <w:tcPr>
            <w:tcW w:w="897" w:type="pct"/>
            <w:vAlign w:val="center"/>
          </w:tcPr>
          <w:p w14:paraId="64F0A77B">
            <w:pPr>
              <w:jc w:val="center"/>
              <w:rPr>
                <w:szCs w:val="21"/>
              </w:rPr>
            </w:pPr>
            <w:r>
              <w:rPr>
                <w:rFonts w:hint="eastAsia"/>
                <w:szCs w:val="21"/>
              </w:rPr>
              <w:t>代工厂商</w:t>
            </w:r>
          </w:p>
        </w:tc>
        <w:tc>
          <w:tcPr>
            <w:tcW w:w="897" w:type="pct"/>
            <w:vAlign w:val="center"/>
          </w:tcPr>
          <w:p w14:paraId="013A6D4E">
            <w:pPr>
              <w:jc w:val="center"/>
              <w:rPr>
                <w:bCs/>
                <w:szCs w:val="21"/>
              </w:rPr>
            </w:pPr>
            <w:r>
              <w:rPr>
                <w:rFonts w:hint="eastAsia"/>
                <w:bCs/>
                <w:szCs w:val="21"/>
              </w:rPr>
              <w:t>产地</w:t>
            </w:r>
          </w:p>
        </w:tc>
      </w:tr>
      <w:tr w14:paraId="40C8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 w:type="pct"/>
            <w:vAlign w:val="center"/>
          </w:tcPr>
          <w:p w14:paraId="6E358038">
            <w:pPr>
              <w:jc w:val="center"/>
              <w:rPr>
                <w:bCs/>
                <w:szCs w:val="21"/>
              </w:rPr>
            </w:pPr>
            <w:r>
              <w:rPr>
                <w:rFonts w:hint="eastAsia"/>
                <w:bCs/>
                <w:szCs w:val="21"/>
              </w:rPr>
              <w:t>1</w:t>
            </w:r>
          </w:p>
        </w:tc>
        <w:tc>
          <w:tcPr>
            <w:tcW w:w="1810" w:type="pct"/>
            <w:vAlign w:val="center"/>
          </w:tcPr>
          <w:p w14:paraId="7F276F94">
            <w:pPr>
              <w:jc w:val="center"/>
              <w:rPr>
                <w:bCs/>
                <w:szCs w:val="21"/>
              </w:rPr>
            </w:pPr>
            <w:r>
              <w:t>ACCP</w:t>
            </w:r>
            <w:r>
              <w:rPr>
                <w:rFonts w:hint="eastAsia"/>
              </w:rPr>
              <w:t>制冷机</w:t>
            </w:r>
          </w:p>
        </w:tc>
        <w:tc>
          <w:tcPr>
            <w:tcW w:w="897" w:type="pct"/>
            <w:vAlign w:val="center"/>
          </w:tcPr>
          <w:p w14:paraId="41945307">
            <w:pPr>
              <w:jc w:val="center"/>
              <w:rPr>
                <w:bCs/>
                <w:szCs w:val="21"/>
              </w:rPr>
            </w:pPr>
          </w:p>
        </w:tc>
        <w:tc>
          <w:tcPr>
            <w:tcW w:w="897" w:type="pct"/>
            <w:vAlign w:val="center"/>
          </w:tcPr>
          <w:p w14:paraId="629F5A19">
            <w:pPr>
              <w:jc w:val="center"/>
              <w:rPr>
                <w:bCs/>
                <w:szCs w:val="21"/>
              </w:rPr>
            </w:pPr>
          </w:p>
        </w:tc>
        <w:tc>
          <w:tcPr>
            <w:tcW w:w="897" w:type="pct"/>
            <w:vAlign w:val="center"/>
          </w:tcPr>
          <w:p w14:paraId="01901560">
            <w:pPr>
              <w:jc w:val="center"/>
              <w:rPr>
                <w:bCs/>
                <w:szCs w:val="21"/>
              </w:rPr>
            </w:pPr>
          </w:p>
        </w:tc>
      </w:tr>
    </w:tbl>
    <w:p w14:paraId="634CA06E">
      <w:pPr>
        <w:ind w:firstLine="482" w:firstLineChars="200"/>
        <w:rPr>
          <w:rFonts w:hint="eastAsia" w:ascii="宋体" w:hAnsi="宋体"/>
          <w:b/>
          <w:sz w:val="24"/>
        </w:rPr>
      </w:pPr>
    </w:p>
    <w:p w14:paraId="2DA58D77">
      <w:pPr>
        <w:ind w:firstLine="482" w:firstLineChars="200"/>
        <w:rPr>
          <w:rFonts w:hint="eastAsia" w:ascii="宋体" w:hAnsi="宋体"/>
          <w:b/>
          <w:sz w:val="24"/>
        </w:rPr>
      </w:pPr>
      <w:r>
        <w:rPr>
          <w:rFonts w:hint="eastAsia" w:ascii="宋体" w:hAnsi="宋体"/>
          <w:b/>
          <w:sz w:val="24"/>
        </w:rPr>
        <w:t>注：1.本表可按同样格式扩展。</w:t>
      </w:r>
    </w:p>
    <w:p w14:paraId="012BB28C">
      <w:pPr>
        <w:pStyle w:val="61"/>
        <w:ind w:firstLine="481"/>
        <w:rPr>
          <w:rFonts w:hint="eastAsia" w:ascii="宋体" w:hAnsi="宋体"/>
          <w:b/>
          <w:sz w:val="24"/>
        </w:rPr>
      </w:pPr>
      <w:r>
        <w:rPr>
          <w:rFonts w:hint="eastAsia" w:ascii="宋体" w:hAnsi="宋体"/>
          <w:b/>
          <w:sz w:val="24"/>
        </w:rPr>
        <w:t>2</w:t>
      </w:r>
      <w:r>
        <w:rPr>
          <w:rFonts w:ascii="宋体" w:hAnsi="宋体"/>
          <w:b/>
          <w:sz w:val="24"/>
        </w:rPr>
        <w:t>.</w:t>
      </w:r>
      <w:r>
        <w:rPr>
          <w:rFonts w:hint="eastAsia" w:ascii="宋体" w:hAnsi="宋体"/>
          <w:b/>
          <w:sz w:val="24"/>
        </w:rPr>
        <w:t>“制造商”是指产品品牌厂商。此类填写错误或缺漏的不利后果由供应商承担。经评审委员会认定，在使用综合评分法的项目中一项此类填写错误或缺漏将按照一项普通招标技术要求（一般参数/普通参数）负偏离扣分处理。</w:t>
      </w:r>
    </w:p>
    <w:p w14:paraId="1EFE5FA0">
      <w:pPr>
        <w:ind w:firstLine="472" w:firstLineChars="196"/>
        <w:rPr>
          <w:rFonts w:hint="eastAsia" w:ascii="宋体" w:hAnsi="宋体"/>
          <w:b/>
          <w:sz w:val="24"/>
        </w:rPr>
      </w:pPr>
      <w:r>
        <w:rPr>
          <w:rFonts w:hint="eastAsia" w:ascii="宋体" w:hAnsi="宋体"/>
          <w:b/>
          <w:sz w:val="24"/>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6AAAED05">
      <w:pPr>
        <w:ind w:firstLine="472" w:firstLineChars="196"/>
        <w:rPr>
          <w:rFonts w:hint="eastAsia" w:ascii="宋体" w:hAnsi="宋体"/>
          <w:b/>
          <w:sz w:val="24"/>
        </w:rPr>
      </w:pPr>
      <w:r>
        <w:rPr>
          <w:rFonts w:hint="eastAsia" w:ascii="宋体" w:hAnsi="宋体"/>
          <w:b/>
          <w:sz w:val="24"/>
        </w:rPr>
        <w:t>4.“产地”是指货物的实际生产加工</w:t>
      </w:r>
      <w:r>
        <w:rPr>
          <w:rFonts w:ascii="宋体" w:hAnsi="宋体"/>
          <w:b/>
          <w:sz w:val="24"/>
        </w:rPr>
        <w:t>地</w:t>
      </w:r>
      <w:r>
        <w:rPr>
          <w:rFonts w:hint="eastAsia" w:ascii="宋体" w:hAnsi="宋体"/>
          <w:b/>
          <w:sz w:val="24"/>
        </w:rPr>
        <w:t>，非品牌所在地。“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66CDDE69">
      <w:pPr>
        <w:ind w:firstLine="482" w:firstLineChars="200"/>
        <w:rPr>
          <w:rFonts w:hint="eastAsia" w:ascii="宋体" w:hAnsi="宋体"/>
          <w:b/>
          <w:sz w:val="24"/>
        </w:rPr>
      </w:pPr>
    </w:p>
    <w:p w14:paraId="514DEBCD">
      <w:pPr>
        <w:tabs>
          <w:tab w:val="left" w:pos="720"/>
        </w:tabs>
        <w:jc w:val="center"/>
        <w:rPr>
          <w:b/>
          <w:sz w:val="24"/>
        </w:rPr>
      </w:pPr>
      <w:r>
        <w:rPr>
          <w:rFonts w:hint="eastAsia"/>
          <w:b/>
          <w:sz w:val="24"/>
        </w:rPr>
        <w:t>（二）核心产品品牌</w:t>
      </w:r>
    </w:p>
    <w:p w14:paraId="24870C77">
      <w:pPr>
        <w:ind w:firstLine="482" w:firstLineChars="200"/>
        <w:rPr>
          <w:rFonts w:hint="eastAsia" w:ascii="宋体" w:hAnsi="宋体"/>
          <w:b/>
          <w:color w:val="FF0000"/>
          <w:sz w:val="24"/>
        </w:rPr>
      </w:pPr>
    </w:p>
    <w:p w14:paraId="6BEEC96D">
      <w:pPr>
        <w:ind w:firstLine="482" w:firstLineChars="200"/>
        <w:rPr>
          <w:rFonts w:hint="eastAsia" w:ascii="宋体" w:hAnsi="宋体"/>
          <w:b/>
          <w:sz w:val="24"/>
        </w:rPr>
      </w:pPr>
      <w:r>
        <w:rPr>
          <w:rFonts w:hint="eastAsia"/>
          <w:b/>
          <w:sz w:val="24"/>
        </w:rPr>
        <w:t>我单位所投核心产品的</w:t>
      </w:r>
      <w:r>
        <w:rPr>
          <w:rFonts w:hint="eastAsia"/>
          <w:b/>
          <w:color w:val="FF0000"/>
          <w:sz w:val="24"/>
        </w:rPr>
        <w:t>品牌</w:t>
      </w:r>
      <w:r>
        <w:rPr>
          <w:rFonts w:hint="eastAsia"/>
          <w:b/>
          <w:sz w:val="24"/>
        </w:rPr>
        <w:t>为：</w:t>
      </w:r>
      <w:r>
        <w:rPr>
          <w:rFonts w:hint="eastAsia"/>
          <w:b/>
          <w:sz w:val="24"/>
          <w:u w:val="single"/>
        </w:rPr>
        <w:t xml:space="preserve">               </w:t>
      </w:r>
      <w:r>
        <w:rPr>
          <w:rFonts w:hint="eastAsia"/>
          <w:b/>
          <w:sz w:val="24"/>
        </w:rPr>
        <w:t>。</w:t>
      </w:r>
    </w:p>
    <w:p w14:paraId="74AAC4D8">
      <w:pPr>
        <w:ind w:firstLine="482" w:firstLineChars="200"/>
        <w:rPr>
          <w:rFonts w:hint="eastAsia" w:ascii="宋体" w:hAnsi="宋体"/>
          <w:b/>
          <w:color w:val="FF0000"/>
          <w:sz w:val="24"/>
        </w:rPr>
      </w:pPr>
    </w:p>
    <w:p w14:paraId="4D5EEE7A">
      <w:pPr>
        <w:ind w:firstLine="480" w:firstLineChars="200"/>
        <w:rPr>
          <w:rFonts w:hint="eastAsia" w:ascii="宋体" w:hAnsi="宋体"/>
          <w:sz w:val="24"/>
        </w:rPr>
      </w:pPr>
      <w:r>
        <w:rPr>
          <w:rFonts w:hint="eastAsia" w:ascii="宋体" w:hAnsi="宋体"/>
          <w:sz w:val="24"/>
        </w:rPr>
        <w:t>备注：单一产品采购项目，核心产品即为该单一产品。</w:t>
      </w:r>
    </w:p>
    <w:p w14:paraId="454B3A30">
      <w:pPr>
        <w:rPr>
          <w:rFonts w:hint="eastAsia" w:ascii="宋体" w:hAnsi="宋体"/>
          <w:b/>
          <w:color w:val="FF0000"/>
          <w:sz w:val="24"/>
        </w:rPr>
      </w:pPr>
    </w:p>
    <w:p w14:paraId="425A1B0A">
      <w:pPr>
        <w:rPr>
          <w:b/>
          <w:sz w:val="24"/>
        </w:rPr>
      </w:pPr>
    </w:p>
    <w:p w14:paraId="3C533A42">
      <w:pPr>
        <w:tabs>
          <w:tab w:val="left" w:pos="720"/>
        </w:tabs>
        <w:ind w:firstLine="1928" w:firstLineChars="800"/>
        <w:rPr>
          <w:b/>
          <w:sz w:val="24"/>
        </w:rPr>
      </w:pPr>
      <w:r>
        <w:rPr>
          <w:rFonts w:hint="eastAsia"/>
          <w:b/>
          <w:sz w:val="24"/>
        </w:rPr>
        <w:t>（三）可选配件报价清单（不包括在总报价内）</w:t>
      </w:r>
    </w:p>
    <w:p w14:paraId="20BFB954">
      <w:pPr>
        <w:ind w:firstLine="422" w:firstLineChars="200"/>
        <w:rPr>
          <w:rFonts w:hint="eastAsia" w:hAnsi="宋体"/>
          <w:b/>
          <w:bCs/>
          <w:szCs w:val="21"/>
        </w:rPr>
      </w:pPr>
      <w:r>
        <w:rPr>
          <w:rFonts w:hint="eastAsia" w:hAnsi="宋体"/>
          <w:b/>
          <w:bCs/>
          <w:szCs w:val="21"/>
        </w:rPr>
        <w:t>注：格式可以参照《（一）分项报价表》表格，并提供相应的品牌/规格/型号、产地、制造商信息（没有品牌、型号的，用“定制”描述即可）、单价等详细信息</w:t>
      </w:r>
    </w:p>
    <w:p w14:paraId="074F1FE0">
      <w:pPr>
        <w:ind w:firstLine="482" w:firstLineChars="200"/>
        <w:rPr>
          <w:rFonts w:hint="eastAsia" w:hAnsi="宋体"/>
          <w:b/>
          <w:bCs/>
          <w:sz w:val="24"/>
        </w:rPr>
      </w:pPr>
    </w:p>
    <w:p w14:paraId="72D12C47">
      <w:pPr>
        <w:ind w:firstLine="482" w:firstLineChars="200"/>
        <w:rPr>
          <w:rFonts w:hint="eastAsia" w:hAnsi="宋体"/>
          <w:b/>
          <w:bCs/>
          <w:sz w:val="24"/>
        </w:rPr>
      </w:pPr>
    </w:p>
    <w:p w14:paraId="3B2E0C94">
      <w:pPr>
        <w:numPr>
          <w:ilvl w:val="0"/>
          <w:numId w:val="7"/>
        </w:numPr>
        <w:tabs>
          <w:tab w:val="left" w:pos="720"/>
        </w:tabs>
        <w:jc w:val="center"/>
        <w:rPr>
          <w:b/>
          <w:sz w:val="24"/>
        </w:rPr>
      </w:pPr>
      <w:r>
        <w:rPr>
          <w:rFonts w:hint="eastAsia"/>
          <w:b/>
          <w:sz w:val="24"/>
        </w:rPr>
        <w:t>投标人认为需要涉及的其他内容报价清单</w:t>
      </w:r>
    </w:p>
    <w:p w14:paraId="55AEF831">
      <w:pPr>
        <w:pStyle w:val="2"/>
      </w:pPr>
    </w:p>
    <w:p w14:paraId="4DF935D4">
      <w:pPr>
        <w:pStyle w:val="5"/>
        <w:jc w:val="center"/>
        <w:rPr>
          <w:rFonts w:hint="eastAsia" w:ascii="黑体" w:eastAsia="黑体"/>
          <w:b w:val="0"/>
          <w:sz w:val="24"/>
        </w:rPr>
      </w:pPr>
      <w:r>
        <w:rPr>
          <w:rFonts w:hint="eastAsia" w:ascii="黑体" w:eastAsia="黑体"/>
          <w:b w:val="0"/>
          <w:sz w:val="24"/>
        </w:rPr>
        <w:t>五、</w:t>
      </w:r>
      <w:bookmarkStart w:id="160" w:name="_Hlk72092634"/>
      <w:r>
        <w:rPr>
          <w:rFonts w:hint="eastAsia" w:ascii="黑体" w:eastAsia="黑体"/>
          <w:b w:val="0"/>
          <w:sz w:val="24"/>
        </w:rPr>
        <w:t>实质性条款响应情况表</w:t>
      </w:r>
      <w:bookmarkEnd w:id="160"/>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4376"/>
        <w:gridCol w:w="1063"/>
        <w:gridCol w:w="1337"/>
        <w:gridCol w:w="736"/>
      </w:tblGrid>
      <w:tr w14:paraId="1B7BF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vAlign w:val="center"/>
          </w:tcPr>
          <w:p w14:paraId="183E3930">
            <w:pPr>
              <w:adjustRightInd w:val="0"/>
              <w:snapToGrid w:val="0"/>
              <w:spacing w:line="240" w:lineRule="auto"/>
              <w:jc w:val="center"/>
              <w:rPr>
                <w:rFonts w:hint="eastAsia" w:asciiTheme="minorEastAsia" w:hAnsiTheme="minorEastAsia" w:eastAsiaTheme="minorEastAsia"/>
                <w:kern w:val="0"/>
                <w:szCs w:val="21"/>
              </w:rPr>
            </w:pPr>
            <w:bookmarkStart w:id="161" w:name="_Hlk72092651"/>
            <w:r>
              <w:rPr>
                <w:rFonts w:hint="eastAsia" w:asciiTheme="minorEastAsia" w:hAnsiTheme="minorEastAsia" w:eastAsiaTheme="minorEastAsia"/>
                <w:kern w:val="0"/>
                <w:szCs w:val="21"/>
              </w:rPr>
              <w:t>序号</w:t>
            </w:r>
          </w:p>
        </w:tc>
        <w:tc>
          <w:tcPr>
            <w:tcW w:w="4376" w:type="dxa"/>
            <w:vAlign w:val="center"/>
          </w:tcPr>
          <w:p w14:paraId="61AE4BF3">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实质性条款具体内容</w:t>
            </w:r>
          </w:p>
        </w:tc>
        <w:tc>
          <w:tcPr>
            <w:tcW w:w="1063" w:type="dxa"/>
            <w:vAlign w:val="center"/>
          </w:tcPr>
          <w:p w14:paraId="3834638D">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rPr>
              <w:t>投标响应</w:t>
            </w:r>
          </w:p>
        </w:tc>
        <w:tc>
          <w:tcPr>
            <w:tcW w:w="1337" w:type="dxa"/>
            <w:vAlign w:val="center"/>
          </w:tcPr>
          <w:p w14:paraId="4E436162">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rPr>
              <w:t>偏离情况</w:t>
            </w:r>
          </w:p>
        </w:tc>
        <w:tc>
          <w:tcPr>
            <w:tcW w:w="736" w:type="dxa"/>
            <w:vAlign w:val="center"/>
          </w:tcPr>
          <w:p w14:paraId="0D4CFDA3">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rPr>
              <w:t>说明</w:t>
            </w:r>
          </w:p>
        </w:tc>
      </w:tr>
      <w:bookmarkEnd w:id="161"/>
      <w:tr w14:paraId="2D79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40766B47">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4376" w:type="dxa"/>
            <w:vAlign w:val="center"/>
          </w:tcPr>
          <w:p w14:paraId="3F776CBE">
            <w:pPr>
              <w:adjustRightInd w:val="0"/>
              <w:snapToGrid w:val="0"/>
              <w:spacing w:line="24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具体以采购文件中带“★”的需求项为准。</w:t>
            </w:r>
          </w:p>
        </w:tc>
        <w:tc>
          <w:tcPr>
            <w:tcW w:w="1063" w:type="dxa"/>
            <w:vAlign w:val="center"/>
          </w:tcPr>
          <w:p w14:paraId="42C0A84B">
            <w:pPr>
              <w:adjustRightInd w:val="0"/>
              <w:snapToGrid w:val="0"/>
              <w:spacing w:line="240" w:lineRule="auto"/>
              <w:jc w:val="center"/>
              <w:rPr>
                <w:rFonts w:hint="eastAsia" w:asciiTheme="minorEastAsia" w:hAnsiTheme="minorEastAsia" w:eastAsiaTheme="minorEastAsia"/>
                <w:kern w:val="0"/>
                <w:szCs w:val="21"/>
              </w:rPr>
            </w:pPr>
          </w:p>
        </w:tc>
        <w:tc>
          <w:tcPr>
            <w:tcW w:w="1337" w:type="dxa"/>
            <w:vAlign w:val="center"/>
          </w:tcPr>
          <w:p w14:paraId="53505DD9">
            <w:pPr>
              <w:adjustRightInd w:val="0"/>
              <w:snapToGrid w:val="0"/>
              <w:spacing w:line="240" w:lineRule="auto"/>
              <w:jc w:val="center"/>
              <w:rPr>
                <w:rFonts w:hint="eastAsia" w:asciiTheme="minorEastAsia" w:hAnsiTheme="minorEastAsia" w:eastAsiaTheme="minorEastAsia"/>
                <w:kern w:val="0"/>
                <w:szCs w:val="21"/>
              </w:rPr>
            </w:pPr>
          </w:p>
        </w:tc>
        <w:tc>
          <w:tcPr>
            <w:tcW w:w="736" w:type="dxa"/>
            <w:vAlign w:val="center"/>
          </w:tcPr>
          <w:p w14:paraId="5EF30656">
            <w:pPr>
              <w:adjustRightInd w:val="0"/>
              <w:snapToGrid w:val="0"/>
              <w:spacing w:line="240" w:lineRule="auto"/>
              <w:jc w:val="center"/>
              <w:rPr>
                <w:rFonts w:hint="eastAsia" w:asciiTheme="minorEastAsia" w:hAnsiTheme="minorEastAsia" w:eastAsiaTheme="minorEastAsia"/>
                <w:kern w:val="0"/>
                <w:szCs w:val="21"/>
              </w:rPr>
            </w:pPr>
          </w:p>
        </w:tc>
      </w:tr>
    </w:tbl>
    <w:p w14:paraId="23EDE191">
      <w:pPr>
        <w:ind w:firstLine="482" w:firstLineChars="200"/>
        <w:rPr>
          <w:rFonts w:hint="eastAsia" w:asciiTheme="minorEastAsia" w:hAnsiTheme="minorEastAsia" w:eastAsiaTheme="minorEastAsia"/>
          <w:b/>
          <w:sz w:val="24"/>
          <w:szCs w:val="22"/>
        </w:rPr>
      </w:pPr>
    </w:p>
    <w:p w14:paraId="36F8F2BD">
      <w:pPr>
        <w:ind w:firstLine="482" w:firstLineChars="200"/>
        <w:rPr>
          <w:rFonts w:hint="eastAsia" w:asciiTheme="minorEastAsia" w:hAnsiTheme="minorEastAsia" w:eastAsiaTheme="minorEastAsia"/>
          <w:b/>
          <w:sz w:val="24"/>
          <w:szCs w:val="22"/>
        </w:rPr>
      </w:pPr>
      <w:r>
        <w:rPr>
          <w:rFonts w:hint="eastAsia" w:asciiTheme="minorEastAsia" w:hAnsiTheme="minorEastAsia" w:eastAsiaTheme="minorEastAsia"/>
          <w:b/>
          <w:sz w:val="24"/>
          <w:szCs w:val="22"/>
        </w:rPr>
        <w:t>注：1.上表所列各项均为不可负偏离条款。</w:t>
      </w:r>
    </w:p>
    <w:p w14:paraId="3F335A32">
      <w:pPr>
        <w:ind w:firstLine="482" w:firstLineChars="200"/>
        <w:rPr>
          <w:rFonts w:hint="eastAsia" w:asciiTheme="minorEastAsia" w:hAnsiTheme="minorEastAsia" w:eastAsiaTheme="minorEastAsia"/>
          <w:b/>
          <w:sz w:val="24"/>
          <w:szCs w:val="22"/>
        </w:rPr>
      </w:pPr>
      <w:r>
        <w:rPr>
          <w:rFonts w:hint="eastAsia" w:asciiTheme="minorEastAsia" w:hAnsiTheme="minorEastAsia" w:eastAsiaTheme="minorEastAsia"/>
          <w:b/>
          <w:sz w:val="24"/>
          <w:szCs w:val="22"/>
        </w:rPr>
        <w:t>2.“投标响应”一栏应当详细填写投标人自身响应情况，而不能不合理照搬照抄实质性条款具体内容。</w:t>
      </w:r>
    </w:p>
    <w:p w14:paraId="30B0CFA0">
      <w:pPr>
        <w:ind w:firstLine="482" w:firstLineChars="200"/>
        <w:rPr>
          <w:rFonts w:hint="eastAsia" w:asciiTheme="minorEastAsia" w:hAnsiTheme="minorEastAsia" w:eastAsiaTheme="minorEastAsia"/>
          <w:b/>
          <w:sz w:val="24"/>
          <w:szCs w:val="22"/>
        </w:rPr>
      </w:pPr>
      <w:r>
        <w:rPr>
          <w:rFonts w:hint="eastAsia" w:asciiTheme="minorEastAsia" w:hAnsiTheme="minorEastAsia" w:eastAsiaTheme="minorEastAsia"/>
          <w:b/>
          <w:sz w:val="24"/>
          <w:szCs w:val="22"/>
        </w:rPr>
        <w:t>3</w:t>
      </w:r>
      <w:r>
        <w:rPr>
          <w:rFonts w:asciiTheme="minorEastAsia" w:hAnsiTheme="minorEastAsia" w:eastAsiaTheme="minorEastAsia"/>
          <w:b/>
          <w:sz w:val="24"/>
          <w:szCs w:val="22"/>
        </w:rPr>
        <w:t>.</w:t>
      </w:r>
      <w:r>
        <w:rPr>
          <w:rFonts w:hint="eastAsia" w:asciiTheme="minorEastAsia" w:hAnsiTheme="minorEastAsia" w:eastAsiaTheme="minorEastAsia"/>
          <w:b/>
          <w:sz w:val="24"/>
          <w:szCs w:val="22"/>
        </w:rPr>
        <w:t>“偏离情况”一栏应填写“正偏离”、“负偏离”或“无偏离”，</w:t>
      </w:r>
      <w:r>
        <w:rPr>
          <w:rFonts w:hint="eastAsia" w:asciiTheme="minorEastAsia" w:hAnsiTheme="minorEastAsia" w:eastAsiaTheme="minorEastAsia"/>
          <w:b/>
          <w:sz w:val="24"/>
        </w:rPr>
        <w:t>“正偏离”表示“投标响应优于实质性条款具体内容要求”，“负偏离”表示“投标响应不满足实质性条款具体内容要求”，“无偏离”表示“投标响应与实质性条款具体内容要求一致”。</w:t>
      </w:r>
    </w:p>
    <w:p w14:paraId="53507559">
      <w:pPr>
        <w:ind w:firstLine="482" w:firstLineChars="200"/>
        <w:rPr>
          <w:rFonts w:hint="eastAsia"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评审委员会有权对投标响应情况作出判断（作出评审结论）。</w:t>
      </w:r>
    </w:p>
    <w:p w14:paraId="317D7040">
      <w:pPr>
        <w:ind w:firstLine="482" w:firstLineChars="200"/>
        <w:rPr>
          <w:rFonts w:hint="eastAsia" w:asciiTheme="minorEastAsia" w:hAnsiTheme="minorEastAsia" w:eastAsiaTheme="minorEastAsia"/>
          <w:b/>
          <w:sz w:val="24"/>
          <w:szCs w:val="22"/>
        </w:rPr>
      </w:pPr>
      <w:r>
        <w:rPr>
          <w:rFonts w:asciiTheme="minorEastAsia" w:hAnsiTheme="minorEastAsia" w:eastAsiaTheme="minorEastAsia"/>
          <w:b/>
          <w:sz w:val="24"/>
          <w:szCs w:val="22"/>
        </w:rPr>
        <w:t>5</w:t>
      </w:r>
      <w:r>
        <w:rPr>
          <w:rFonts w:hint="eastAsia" w:asciiTheme="minorEastAsia" w:hAnsiTheme="minorEastAsia" w:eastAsiaTheme="minorEastAsia"/>
          <w:b/>
          <w:sz w:val="24"/>
          <w:szCs w:val="22"/>
        </w:rPr>
        <w:t>.</w:t>
      </w:r>
      <w:bookmarkEnd w:id="158"/>
      <w:r>
        <w:rPr>
          <w:rFonts w:hint="eastAsia" w:asciiTheme="minorEastAsia" w:hAnsiTheme="minorEastAsia" w:eastAsiaTheme="minorEastAsia"/>
          <w:b/>
          <w:sz w:val="24"/>
          <w:szCs w:val="22"/>
        </w:rPr>
        <w:t>要求提供证明资料，在“说明”一栏中列明证明资料的位置，以便评审；未要求提供证明材料的，投标人可以不提供。</w:t>
      </w:r>
    </w:p>
    <w:p w14:paraId="026E84ED"/>
    <w:p w14:paraId="3D83EF4C">
      <w:pPr>
        <w:pStyle w:val="5"/>
        <w:jc w:val="center"/>
        <w:rPr>
          <w:rFonts w:hint="eastAsia" w:ascii="黑体" w:eastAsia="黑体"/>
          <w:b w:val="0"/>
          <w:sz w:val="24"/>
        </w:rPr>
      </w:pPr>
      <w:r>
        <w:rPr>
          <w:rFonts w:hint="eastAsia" w:ascii="黑体" w:eastAsia="黑体"/>
          <w:b w:val="0"/>
          <w:sz w:val="24"/>
        </w:rPr>
        <w:t>六、技术要求偏离表</w:t>
      </w:r>
    </w:p>
    <w:tbl>
      <w:tblPr>
        <w:tblStyle w:val="43"/>
        <w:tblW w:w="8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20"/>
        <w:gridCol w:w="3780"/>
        <w:gridCol w:w="1057"/>
        <w:gridCol w:w="1057"/>
        <w:gridCol w:w="871"/>
      </w:tblGrid>
      <w:tr w14:paraId="2121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BEF203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hint="eastAsia" w:ascii="宋体" w:hAnsi="宋体"/>
                <w:color w:val="000000"/>
                <w:szCs w:val="22"/>
              </w:rPr>
              <w:t>序号</w:t>
            </w:r>
          </w:p>
        </w:tc>
        <w:tc>
          <w:tcPr>
            <w:tcW w:w="820" w:type="dxa"/>
            <w:vAlign w:val="center"/>
          </w:tcPr>
          <w:p w14:paraId="028146A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hint="eastAsia" w:ascii="宋体" w:hAnsi="宋体"/>
                <w:color w:val="000000"/>
                <w:szCs w:val="22"/>
              </w:rPr>
              <w:t>货物名称</w:t>
            </w:r>
          </w:p>
        </w:tc>
        <w:tc>
          <w:tcPr>
            <w:tcW w:w="3780" w:type="dxa"/>
            <w:vAlign w:val="center"/>
          </w:tcPr>
          <w:p w14:paraId="037E075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hint="eastAsia" w:ascii="宋体" w:hAnsi="宋体"/>
                <w:color w:val="000000"/>
                <w:szCs w:val="22"/>
              </w:rPr>
              <w:t>技术参数要求</w:t>
            </w:r>
          </w:p>
        </w:tc>
        <w:tc>
          <w:tcPr>
            <w:tcW w:w="1057" w:type="dxa"/>
            <w:vAlign w:val="center"/>
          </w:tcPr>
          <w:p w14:paraId="0FA132A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宋体" w:hAnsi="宋体" w:eastAsia="宋体"/>
                <w:color w:val="000000"/>
                <w:szCs w:val="22"/>
                <w:lang w:val="en-US" w:eastAsia="zh-CN"/>
              </w:rPr>
            </w:pPr>
            <w:r>
              <w:rPr>
                <w:rFonts w:hint="eastAsia" w:ascii="宋体" w:hAnsi="宋体"/>
                <w:color w:val="000000"/>
                <w:szCs w:val="22"/>
                <w:lang w:val="en-US" w:eastAsia="zh-CN"/>
              </w:rPr>
              <w:t>投标技术响应</w:t>
            </w:r>
          </w:p>
        </w:tc>
        <w:tc>
          <w:tcPr>
            <w:tcW w:w="1057" w:type="dxa"/>
            <w:vAlign w:val="center"/>
          </w:tcPr>
          <w:p w14:paraId="127E419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宋体" w:hAnsi="宋体"/>
                <w:color w:val="000000"/>
                <w:szCs w:val="22"/>
                <w:lang w:val="en-US" w:eastAsia="zh-CN"/>
              </w:rPr>
            </w:pPr>
            <w:r>
              <w:rPr>
                <w:rFonts w:hint="eastAsia" w:ascii="宋体" w:hAnsi="宋体"/>
                <w:color w:val="000000"/>
                <w:szCs w:val="22"/>
                <w:lang w:val="en-US" w:eastAsia="zh-CN"/>
              </w:rPr>
              <w:t>偏离情况</w:t>
            </w:r>
          </w:p>
        </w:tc>
        <w:tc>
          <w:tcPr>
            <w:tcW w:w="871" w:type="dxa"/>
            <w:vAlign w:val="center"/>
          </w:tcPr>
          <w:p w14:paraId="3DDFBF9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宋体" w:hAnsi="宋体"/>
                <w:color w:val="000000"/>
                <w:szCs w:val="22"/>
                <w:lang w:val="en-US" w:eastAsia="zh-CN"/>
              </w:rPr>
            </w:pPr>
            <w:r>
              <w:rPr>
                <w:rFonts w:hint="eastAsia" w:ascii="宋体" w:hAnsi="宋体"/>
                <w:color w:val="000000"/>
                <w:szCs w:val="22"/>
                <w:lang w:val="en-US" w:eastAsia="zh-CN"/>
              </w:rPr>
              <w:t>说明</w:t>
            </w:r>
          </w:p>
        </w:tc>
      </w:tr>
      <w:tr w14:paraId="2C34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vAlign w:val="center"/>
          </w:tcPr>
          <w:p w14:paraId="3B955A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ascii="宋体" w:hAnsi="宋体"/>
                <w:color w:val="000000"/>
                <w:szCs w:val="22"/>
              </w:rPr>
              <w:t>1</w:t>
            </w:r>
          </w:p>
        </w:tc>
        <w:tc>
          <w:tcPr>
            <w:tcW w:w="820" w:type="dxa"/>
            <w:vMerge w:val="restart"/>
            <w:vAlign w:val="center"/>
          </w:tcPr>
          <w:p w14:paraId="5D9DE5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r>
              <w:rPr>
                <w:rFonts w:ascii="宋体" w:hAnsi="宋体"/>
                <w:color w:val="000000"/>
                <w:szCs w:val="22"/>
              </w:rPr>
              <w:t>ACCP制冷机</w:t>
            </w:r>
          </w:p>
        </w:tc>
        <w:tc>
          <w:tcPr>
            <w:tcW w:w="3780" w:type="dxa"/>
            <w:vAlign w:val="center"/>
          </w:tcPr>
          <w:p w14:paraId="0C29CC9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▲1.投标人提供的ACCP制冷机设备应符合现场</w:t>
            </w:r>
            <w:r>
              <w:rPr>
                <w:rFonts w:hint="eastAsia" w:ascii="宋体" w:hAnsi="宋体"/>
                <w:color w:val="000000"/>
                <w:szCs w:val="22"/>
              </w:rPr>
              <w:t>工艺</w:t>
            </w:r>
            <w:r>
              <w:rPr>
                <w:rFonts w:ascii="宋体" w:hAnsi="宋体"/>
                <w:color w:val="000000"/>
                <w:szCs w:val="22"/>
              </w:rPr>
              <w:t>条件。现场场地条件详见技术规格书第4章。</w:t>
            </w:r>
          </w:p>
        </w:tc>
        <w:tc>
          <w:tcPr>
            <w:tcW w:w="1057" w:type="dxa"/>
            <w:vAlign w:val="center"/>
          </w:tcPr>
          <w:p w14:paraId="0B78184A">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2A01C2D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7A2E85CC">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7CB2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5ABD38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D97D3C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13407C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s="Segoe UI Symbol"/>
                <w:color w:val="000000"/>
                <w:szCs w:val="22"/>
              </w:rPr>
              <w:t>★</w:t>
            </w:r>
            <w:r>
              <w:rPr>
                <w:rFonts w:ascii="宋体" w:hAnsi="宋体"/>
                <w:color w:val="000000"/>
                <w:szCs w:val="22"/>
              </w:rPr>
              <w:t>2.</w:t>
            </w:r>
            <w:r>
              <w:rPr>
                <w:rFonts w:hint="eastAsia" w:ascii="宋体" w:hAnsi="宋体"/>
                <w:bCs/>
                <w:szCs w:val="22"/>
              </w:rPr>
              <w:t>ACCP制冷机应</w:t>
            </w:r>
            <w:r>
              <w:rPr>
                <w:rFonts w:ascii="宋体" w:hAnsi="宋体"/>
                <w:b/>
                <w:bCs/>
                <w:color w:val="000000"/>
                <w:szCs w:val="22"/>
              </w:rPr>
              <w:t>采用液氮预冷</w:t>
            </w:r>
            <w:r>
              <w:rPr>
                <w:rFonts w:hint="eastAsia" w:ascii="宋体" w:hAnsi="宋体"/>
                <w:b/>
                <w:bCs/>
                <w:color w:val="000000"/>
                <w:szCs w:val="22"/>
              </w:rPr>
              <w:t>设计</w:t>
            </w:r>
            <w:r>
              <w:rPr>
                <w:rFonts w:ascii="宋体" w:hAnsi="宋体"/>
                <w:szCs w:val="22"/>
              </w:rPr>
              <w:t>。</w:t>
            </w:r>
          </w:p>
        </w:tc>
        <w:tc>
          <w:tcPr>
            <w:tcW w:w="1057" w:type="dxa"/>
            <w:vAlign w:val="center"/>
          </w:tcPr>
          <w:p w14:paraId="7257B0A4">
            <w:pPr>
              <w:keepNext w:val="0"/>
              <w:keepLines w:val="0"/>
              <w:pageBreakBefore w:val="0"/>
              <w:widowControl w:val="0"/>
              <w:kinsoku/>
              <w:wordWrap/>
              <w:overflowPunct/>
              <w:topLinePunct w:val="0"/>
              <w:autoSpaceDE/>
              <w:autoSpaceDN/>
              <w:bidi w:val="0"/>
              <w:adjustRightInd w:val="0"/>
              <w:snapToGrid w:val="0"/>
              <w:textAlignment w:val="auto"/>
              <w:rPr>
                <w:rFonts w:ascii="宋体" w:hAnsi="宋体" w:cs="Segoe UI Symbol"/>
                <w:color w:val="000000"/>
                <w:szCs w:val="22"/>
              </w:rPr>
            </w:pPr>
          </w:p>
        </w:tc>
        <w:tc>
          <w:tcPr>
            <w:tcW w:w="1057" w:type="dxa"/>
            <w:vAlign w:val="center"/>
          </w:tcPr>
          <w:p w14:paraId="3B1F14CB">
            <w:pPr>
              <w:keepNext w:val="0"/>
              <w:keepLines w:val="0"/>
              <w:pageBreakBefore w:val="0"/>
              <w:widowControl w:val="0"/>
              <w:kinsoku/>
              <w:wordWrap/>
              <w:overflowPunct/>
              <w:topLinePunct w:val="0"/>
              <w:autoSpaceDE/>
              <w:autoSpaceDN/>
              <w:bidi w:val="0"/>
              <w:adjustRightInd w:val="0"/>
              <w:snapToGrid w:val="0"/>
              <w:textAlignment w:val="auto"/>
              <w:rPr>
                <w:rFonts w:ascii="宋体" w:hAnsi="宋体" w:cs="Segoe UI Symbol"/>
                <w:color w:val="000000"/>
                <w:szCs w:val="22"/>
              </w:rPr>
            </w:pPr>
          </w:p>
        </w:tc>
        <w:tc>
          <w:tcPr>
            <w:tcW w:w="871" w:type="dxa"/>
            <w:vAlign w:val="center"/>
          </w:tcPr>
          <w:p w14:paraId="7590AC6F">
            <w:pPr>
              <w:keepNext w:val="0"/>
              <w:keepLines w:val="0"/>
              <w:pageBreakBefore w:val="0"/>
              <w:widowControl w:val="0"/>
              <w:kinsoku/>
              <w:wordWrap/>
              <w:overflowPunct/>
              <w:topLinePunct w:val="0"/>
              <w:autoSpaceDE/>
              <w:autoSpaceDN/>
              <w:bidi w:val="0"/>
              <w:adjustRightInd w:val="0"/>
              <w:snapToGrid w:val="0"/>
              <w:textAlignment w:val="auto"/>
              <w:rPr>
                <w:rFonts w:ascii="宋体" w:hAnsi="宋体" w:cs="Segoe UI Symbol"/>
                <w:color w:val="000000"/>
                <w:szCs w:val="22"/>
              </w:rPr>
            </w:pPr>
          </w:p>
        </w:tc>
      </w:tr>
      <w:tr w14:paraId="08DD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F8B683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57EFB8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15F1A8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3. ACCP应使用基于两级压缩的制冷循环系统</w:t>
            </w:r>
            <w:r>
              <w:rPr>
                <w:rFonts w:hint="eastAsia" w:ascii="宋体" w:hAnsi="宋体"/>
                <w:color w:val="000000"/>
                <w:szCs w:val="22"/>
              </w:rPr>
              <w:t>，高压压力需要小于</w:t>
            </w:r>
            <w:r>
              <w:rPr>
                <w:rFonts w:ascii="宋体" w:hAnsi="宋体"/>
                <w:color w:val="000000"/>
                <w:szCs w:val="22"/>
              </w:rPr>
              <w:t>2</w:t>
            </w:r>
            <w:r>
              <w:rPr>
                <w:rFonts w:hint="eastAsia" w:ascii="宋体" w:hAnsi="宋体"/>
                <w:color w:val="000000"/>
                <w:szCs w:val="22"/>
              </w:rPr>
              <w:t>2</w:t>
            </w:r>
            <w:r>
              <w:rPr>
                <w:rFonts w:ascii="宋体" w:hAnsi="宋体"/>
                <w:color w:val="000000"/>
                <w:szCs w:val="22"/>
              </w:rPr>
              <w:t>. 5 bar</w:t>
            </w:r>
            <w:r>
              <w:rPr>
                <w:rFonts w:hint="eastAsia" w:ascii="宋体" w:hAnsi="宋体"/>
                <w:color w:val="000000"/>
                <w:szCs w:val="22"/>
              </w:rPr>
              <w:t>。</w:t>
            </w:r>
          </w:p>
        </w:tc>
        <w:tc>
          <w:tcPr>
            <w:tcW w:w="1057" w:type="dxa"/>
            <w:vAlign w:val="center"/>
          </w:tcPr>
          <w:p w14:paraId="2AF7A1E1">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01EF6E3B">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29B96995">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1B9A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81649F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A51D71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E3F398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w:t>
            </w:r>
            <w:r>
              <w:rPr>
                <w:rFonts w:ascii="宋体" w:hAnsi="宋体"/>
                <w:szCs w:val="22"/>
              </w:rPr>
              <w:t>.</w:t>
            </w:r>
            <w:r>
              <w:rPr>
                <w:rFonts w:hint="eastAsia" w:ascii="宋体" w:hAnsi="宋体"/>
                <w:bCs/>
                <w:szCs w:val="22"/>
              </w:rPr>
              <w:t>为实现负压循环获得2 K温度，ACCP制冷机应采用基于多级冷压缩机与室温负压压缩机搭配的混合增压流程。</w:t>
            </w:r>
          </w:p>
        </w:tc>
        <w:tc>
          <w:tcPr>
            <w:tcW w:w="1057" w:type="dxa"/>
            <w:vAlign w:val="center"/>
          </w:tcPr>
          <w:p w14:paraId="6986156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43C5792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15249B2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3F946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050FD9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3121B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D1C2EB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w:t>
            </w:r>
            <w:r>
              <w:rPr>
                <w:rFonts w:ascii="宋体" w:hAnsi="宋体"/>
                <w:szCs w:val="22"/>
              </w:rPr>
              <w:t>.</w:t>
            </w:r>
            <w:r>
              <w:rPr>
                <w:rFonts w:hint="eastAsia" w:ascii="宋体" w:hAnsi="宋体"/>
                <w:szCs w:val="22"/>
              </w:rPr>
              <w:t>ACCP控制系统需设计为在所有运行模式下全自动运行。此外，控制系统需够处理所有瞬态运行模式，且尽量少用操作员干预。从一种运行模式到另一种运行模式的过渡应是自动和连续的。</w:t>
            </w:r>
          </w:p>
        </w:tc>
        <w:tc>
          <w:tcPr>
            <w:tcW w:w="1057" w:type="dxa"/>
            <w:vAlign w:val="center"/>
          </w:tcPr>
          <w:p w14:paraId="4E8DDD9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784902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0DA024B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2C22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8E3A72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F1D2D4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A424F9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▲6</w:t>
            </w:r>
            <w:r>
              <w:rPr>
                <w:rFonts w:ascii="宋体" w:hAnsi="宋体"/>
                <w:szCs w:val="22"/>
              </w:rPr>
              <w:t xml:space="preserve">. </w:t>
            </w:r>
            <w:r>
              <w:rPr>
                <w:rFonts w:hint="eastAsia" w:ascii="宋体" w:hAnsi="宋体"/>
                <w:szCs w:val="22"/>
              </w:rPr>
              <w:t>投标人提供的</w:t>
            </w:r>
            <w:r>
              <w:rPr>
                <w:rFonts w:ascii="宋体" w:hAnsi="宋体"/>
                <w:color w:val="000000"/>
                <w:szCs w:val="22"/>
              </w:rPr>
              <w:t>ACCP制冷机</w:t>
            </w:r>
            <w:r>
              <w:rPr>
                <w:rFonts w:hint="eastAsia" w:ascii="宋体" w:hAnsi="宋体"/>
                <w:szCs w:val="22"/>
              </w:rPr>
              <w:t>包括常规设计模式、常规运行模式、2 K待机模式、4.5 K待机模式、有液氮预冷的液化模式、无液氮预冷的运行模式。</w:t>
            </w:r>
            <w:r>
              <w:rPr>
                <w:rFonts w:hint="eastAsia"/>
                <w:color w:val="000000"/>
                <w:szCs w:val="22"/>
              </w:rPr>
              <w:t>2 K 回气压力控制系统应具备维持 2 K 稳定运行所需负压的能力。在稳态运行条件下且冷箱与 CDS 断开连接时，压力控制系统应设计为能够将压力稳定性保持在规定压力设定值的±10 Pa范围内。当冷箱与 CDS 连接时，应协助 IASF 达到上述压力稳定性。</w:t>
            </w:r>
            <w:r>
              <w:rPr>
                <w:rFonts w:hint="eastAsia" w:ascii="宋体" w:hAnsi="宋体"/>
                <w:szCs w:val="22"/>
              </w:rPr>
              <w:t>整体</w:t>
            </w:r>
            <w:r>
              <w:rPr>
                <w:rFonts w:ascii="宋体" w:hAnsi="宋体"/>
                <w:szCs w:val="22"/>
              </w:rPr>
              <w:t>满足技术规格书5.3.1小节总体要求。</w:t>
            </w:r>
          </w:p>
        </w:tc>
        <w:tc>
          <w:tcPr>
            <w:tcW w:w="1057" w:type="dxa"/>
            <w:vAlign w:val="center"/>
          </w:tcPr>
          <w:p w14:paraId="10BCA49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E84A41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219768B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6F10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83E3C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E22ECC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79AAE1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s="Segoe UI Symbol"/>
                <w:b/>
                <w:bCs/>
                <w:color w:val="EE0000"/>
                <w:szCs w:val="22"/>
              </w:rPr>
              <w:t>★7</w:t>
            </w:r>
            <w:r>
              <w:rPr>
                <w:rFonts w:ascii="宋体" w:hAnsi="宋体"/>
                <w:b/>
                <w:bCs/>
                <w:color w:val="EE0000"/>
                <w:szCs w:val="22"/>
              </w:rPr>
              <w:t>.</w:t>
            </w:r>
            <w:r>
              <w:rPr>
                <w:rFonts w:hint="eastAsia" w:ascii="宋体" w:hAnsi="宋体"/>
                <w:b/>
                <w:bCs/>
                <w:color w:val="EE0000"/>
                <w:szCs w:val="22"/>
              </w:rPr>
              <w:t>常规</w:t>
            </w:r>
            <w:r>
              <w:rPr>
                <w:rFonts w:ascii="宋体" w:hAnsi="宋体"/>
                <w:b/>
                <w:bCs/>
                <w:color w:val="EE0000"/>
                <w:szCs w:val="22"/>
              </w:rPr>
              <w:t>设计模式下ACCP所需的最高冷却能力应达到：2 K回路</w:t>
            </w:r>
            <w:r>
              <w:rPr>
                <w:rFonts w:hint="eastAsia" w:ascii="宋体" w:hAnsi="宋体"/>
                <w:b/>
                <w:bCs/>
                <w:color w:val="EE0000"/>
                <w:szCs w:val="22"/>
              </w:rPr>
              <w:t>制冷量</w:t>
            </w:r>
            <w:r>
              <w:rPr>
                <w:rFonts w:ascii="宋体" w:hAnsi="宋体"/>
                <w:b/>
                <w:bCs/>
                <w:color w:val="EE0000"/>
                <w:szCs w:val="22"/>
              </w:rPr>
              <w:t>≥</w:t>
            </w:r>
            <w:r>
              <w:rPr>
                <w:rFonts w:hint="eastAsia" w:ascii="宋体" w:hAnsi="宋体"/>
                <w:b/>
                <w:bCs/>
                <w:color w:val="EE0000"/>
                <w:szCs w:val="22"/>
              </w:rPr>
              <w:t>4400</w:t>
            </w:r>
            <w:r>
              <w:rPr>
                <w:rFonts w:ascii="宋体" w:hAnsi="宋体"/>
                <w:b/>
                <w:bCs/>
                <w:color w:val="EE0000"/>
                <w:szCs w:val="22"/>
              </w:rPr>
              <w:t xml:space="preserve"> W（供气温度≤4.6K</w:t>
            </w:r>
            <w:r>
              <w:rPr>
                <w:rFonts w:hint="eastAsia" w:ascii="宋体" w:hAnsi="宋体"/>
                <w:b/>
                <w:bCs/>
                <w:color w:val="EE0000"/>
                <w:szCs w:val="22"/>
              </w:rPr>
              <w:t>，</w:t>
            </w:r>
            <w:r>
              <w:rPr>
                <w:rFonts w:ascii="宋体" w:hAnsi="宋体"/>
                <w:b/>
                <w:bCs/>
                <w:color w:val="EE0000"/>
                <w:szCs w:val="22"/>
              </w:rPr>
              <w:t>压力3-3.5bar）、4.5-8K回路</w:t>
            </w:r>
            <w:r>
              <w:rPr>
                <w:rFonts w:hint="eastAsia" w:ascii="宋体" w:hAnsi="宋体"/>
                <w:b/>
                <w:bCs/>
                <w:color w:val="EE0000"/>
                <w:szCs w:val="22"/>
              </w:rPr>
              <w:t>制冷量</w:t>
            </w:r>
            <w:r>
              <w:rPr>
                <w:rFonts w:ascii="宋体" w:hAnsi="宋体"/>
                <w:b/>
                <w:bCs/>
                <w:color w:val="EE0000"/>
                <w:szCs w:val="22"/>
              </w:rPr>
              <w:t>≥</w:t>
            </w:r>
            <w:r>
              <w:rPr>
                <w:rFonts w:hint="eastAsia" w:ascii="宋体" w:hAnsi="宋体"/>
                <w:b/>
                <w:bCs/>
                <w:color w:val="EE0000"/>
                <w:szCs w:val="22"/>
              </w:rPr>
              <w:t>1500</w:t>
            </w:r>
            <w:r>
              <w:rPr>
                <w:rFonts w:ascii="宋体" w:hAnsi="宋体"/>
                <w:b/>
                <w:bCs/>
                <w:color w:val="EE0000"/>
                <w:szCs w:val="22"/>
              </w:rPr>
              <w:t>W （供气温度≤4.6K</w:t>
            </w:r>
            <w:r>
              <w:rPr>
                <w:rFonts w:hint="eastAsia" w:ascii="宋体" w:hAnsi="宋体"/>
                <w:b/>
                <w:bCs/>
                <w:color w:val="EE0000"/>
                <w:szCs w:val="22"/>
              </w:rPr>
              <w:t>，</w:t>
            </w:r>
            <w:r>
              <w:rPr>
                <w:rFonts w:ascii="宋体" w:hAnsi="宋体"/>
                <w:b/>
                <w:bCs/>
                <w:color w:val="EE0000"/>
                <w:szCs w:val="22"/>
              </w:rPr>
              <w:t>压力3-3.5bar）、40-80K回路制冷量≥</w:t>
            </w:r>
            <w:r>
              <w:rPr>
                <w:rFonts w:hint="eastAsia" w:ascii="宋体" w:hAnsi="宋体"/>
                <w:b/>
                <w:bCs/>
                <w:color w:val="EE0000"/>
                <w:szCs w:val="22"/>
              </w:rPr>
              <w:t>15000</w:t>
            </w:r>
            <w:r>
              <w:rPr>
                <w:rFonts w:ascii="宋体" w:hAnsi="宋体"/>
                <w:b/>
                <w:bCs/>
                <w:color w:val="EE0000"/>
                <w:szCs w:val="22"/>
              </w:rPr>
              <w:t>W。</w:t>
            </w:r>
            <w:r>
              <w:rPr>
                <w:rFonts w:hint="eastAsia" w:ascii="宋体" w:hAnsi="宋体"/>
                <w:b/>
                <w:bCs/>
                <w:color w:val="EE0000"/>
                <w:szCs w:val="22"/>
              </w:rPr>
              <w:t>投标时</w:t>
            </w:r>
            <w:r>
              <w:rPr>
                <w:rFonts w:ascii="宋体" w:hAnsi="宋体"/>
                <w:b/>
                <w:bCs/>
                <w:color w:val="EE0000"/>
                <w:szCs w:val="22"/>
              </w:rPr>
              <w:t>需要提供该模式流程说明文件包括：满足上述运行和验收的制冷机流程PFD图</w:t>
            </w:r>
            <w:r>
              <w:rPr>
                <w:rFonts w:hint="eastAsia" w:ascii="宋体" w:hAnsi="宋体"/>
                <w:b/>
                <w:bCs/>
                <w:color w:val="EE0000"/>
                <w:szCs w:val="22"/>
              </w:rPr>
              <w:t>和</w:t>
            </w:r>
            <w:r>
              <w:rPr>
                <w:rFonts w:ascii="宋体" w:hAnsi="宋体"/>
                <w:b/>
                <w:bCs/>
                <w:color w:val="EE0000"/>
                <w:szCs w:val="22"/>
              </w:rPr>
              <w:t>T-S图和设计响应参数（格式自拟）。</w:t>
            </w:r>
            <w:r>
              <w:rPr>
                <w:rFonts w:hint="eastAsia" w:ascii="宋体" w:hAnsi="宋体"/>
                <w:b/>
                <w:bCs/>
                <w:color w:val="EE0000"/>
                <w:szCs w:val="22"/>
              </w:rPr>
              <w:t>常规</w:t>
            </w:r>
            <w:r>
              <w:rPr>
                <w:rFonts w:ascii="宋体" w:hAnsi="宋体"/>
                <w:b/>
                <w:bCs/>
                <w:color w:val="EE0000"/>
                <w:szCs w:val="22"/>
              </w:rPr>
              <w:t>设计模式要求详见附件技术规格书5.3.2小节。</w:t>
            </w:r>
          </w:p>
        </w:tc>
        <w:tc>
          <w:tcPr>
            <w:tcW w:w="1057" w:type="dxa"/>
            <w:vAlign w:val="center"/>
          </w:tcPr>
          <w:p w14:paraId="0A5AF2E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b/>
                <w:bCs/>
                <w:color w:val="EE0000"/>
                <w:szCs w:val="22"/>
              </w:rPr>
            </w:pPr>
          </w:p>
        </w:tc>
        <w:tc>
          <w:tcPr>
            <w:tcW w:w="1057" w:type="dxa"/>
            <w:vAlign w:val="center"/>
          </w:tcPr>
          <w:p w14:paraId="70AE227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b/>
                <w:bCs/>
                <w:color w:val="EE0000"/>
                <w:szCs w:val="22"/>
              </w:rPr>
            </w:pPr>
          </w:p>
        </w:tc>
        <w:tc>
          <w:tcPr>
            <w:tcW w:w="871" w:type="dxa"/>
            <w:vAlign w:val="center"/>
          </w:tcPr>
          <w:p w14:paraId="7903896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b/>
                <w:bCs/>
                <w:color w:val="EE0000"/>
                <w:szCs w:val="22"/>
              </w:rPr>
            </w:pPr>
          </w:p>
        </w:tc>
      </w:tr>
      <w:tr w14:paraId="6240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537D8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AA7B25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5373EB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b/>
                <w:bCs/>
                <w:color w:val="EE0000"/>
                <w:szCs w:val="22"/>
              </w:rPr>
              <w:t>8</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w:t>
            </w:r>
            <w:r>
              <w:rPr>
                <w:rFonts w:hint="eastAsia" w:ascii="宋体" w:hAnsi="宋体"/>
                <w:b/>
                <w:bCs/>
                <w:color w:val="FF0000"/>
                <w:szCs w:val="22"/>
              </w:rPr>
              <w:t>有</w:t>
            </w:r>
            <w:r>
              <w:rPr>
                <w:rFonts w:hint="eastAsia"/>
                <w:b/>
                <w:bCs/>
                <w:color w:val="FF0000"/>
                <w:szCs w:val="22"/>
              </w:rPr>
              <w:t>常规</w:t>
            </w:r>
            <w:r>
              <w:rPr>
                <w:rFonts w:hint="eastAsia" w:ascii="宋体" w:hAnsi="宋体"/>
                <w:b/>
                <w:bCs/>
                <w:color w:val="FF0000"/>
                <w:szCs w:val="22"/>
              </w:rPr>
              <w:t>运行</w:t>
            </w:r>
            <w:r>
              <w:rPr>
                <w:rFonts w:hint="eastAsia" w:ascii="宋体" w:hAnsi="宋体"/>
                <w:b/>
                <w:bCs/>
                <w:color w:val="EE0000"/>
                <w:szCs w:val="22"/>
              </w:rPr>
              <w:t>工况模式，投标时需要提供该模式流程说明文件包括：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.3小节要求。</w:t>
            </w:r>
          </w:p>
        </w:tc>
        <w:tc>
          <w:tcPr>
            <w:tcW w:w="1057" w:type="dxa"/>
            <w:vAlign w:val="center"/>
          </w:tcPr>
          <w:p w14:paraId="535D991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1057" w:type="dxa"/>
            <w:vAlign w:val="center"/>
          </w:tcPr>
          <w:p w14:paraId="70075DC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871" w:type="dxa"/>
            <w:vAlign w:val="center"/>
          </w:tcPr>
          <w:p w14:paraId="306D2BF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r>
      <w:tr w14:paraId="132F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3F6C9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70D7D0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533BFC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▲9</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具有2 K待机工况模式</w:t>
            </w:r>
            <w:r>
              <w:rPr>
                <w:rFonts w:ascii="宋体" w:hAnsi="宋体"/>
                <w:b/>
                <w:bCs/>
                <w:color w:val="EE0000"/>
                <w:szCs w:val="22"/>
              </w:rPr>
              <w:t>，</w:t>
            </w:r>
            <w:r>
              <w:rPr>
                <w:rFonts w:hint="eastAsia" w:ascii="宋体" w:hAnsi="宋体"/>
                <w:b/>
                <w:bCs/>
                <w:color w:val="EE0000"/>
                <w:szCs w:val="22"/>
              </w:rPr>
              <w:t>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4</w:t>
            </w:r>
            <w:r>
              <w:rPr>
                <w:rFonts w:hint="eastAsia" w:ascii="宋体" w:hAnsi="宋体"/>
                <w:b/>
                <w:bCs/>
                <w:color w:val="EE0000"/>
                <w:szCs w:val="22"/>
              </w:rPr>
              <w:t>小节要求。</w:t>
            </w:r>
          </w:p>
        </w:tc>
        <w:tc>
          <w:tcPr>
            <w:tcW w:w="1057" w:type="dxa"/>
            <w:vAlign w:val="center"/>
          </w:tcPr>
          <w:p w14:paraId="26B42AB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1057" w:type="dxa"/>
            <w:vAlign w:val="center"/>
          </w:tcPr>
          <w:p w14:paraId="39BA663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871" w:type="dxa"/>
            <w:vAlign w:val="center"/>
          </w:tcPr>
          <w:p w14:paraId="21CCBF9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r>
      <w:tr w14:paraId="58B2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85830D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AFF0DF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9F889B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b/>
                <w:bCs/>
                <w:color w:val="EE0000"/>
                <w:szCs w:val="22"/>
              </w:rPr>
              <w:t>▲10</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具有应对</w:t>
            </w:r>
            <w:r>
              <w:rPr>
                <w:rFonts w:ascii="宋体" w:hAnsi="宋体"/>
                <w:b/>
                <w:bCs/>
                <w:color w:val="EE0000"/>
                <w:szCs w:val="22"/>
              </w:rPr>
              <w:t>4.5 K</w:t>
            </w:r>
            <w:r>
              <w:rPr>
                <w:rFonts w:hint="eastAsia" w:ascii="宋体" w:hAnsi="宋体"/>
                <w:b/>
                <w:bCs/>
                <w:color w:val="EE0000"/>
                <w:szCs w:val="22"/>
              </w:rPr>
              <w:t>待机模式热负荷的工况模式，投标时投标人需要提供该模式流程说明文件包括：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5</w:t>
            </w:r>
            <w:r>
              <w:rPr>
                <w:rFonts w:hint="eastAsia" w:ascii="宋体" w:hAnsi="宋体"/>
                <w:b/>
                <w:bCs/>
                <w:color w:val="EE0000"/>
                <w:szCs w:val="22"/>
              </w:rPr>
              <w:t>小节要求。</w:t>
            </w:r>
          </w:p>
        </w:tc>
        <w:tc>
          <w:tcPr>
            <w:tcW w:w="1057" w:type="dxa"/>
            <w:vAlign w:val="center"/>
          </w:tcPr>
          <w:p w14:paraId="6D6B01D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1057" w:type="dxa"/>
            <w:vAlign w:val="center"/>
          </w:tcPr>
          <w:p w14:paraId="3E73434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871" w:type="dxa"/>
            <w:vAlign w:val="center"/>
          </w:tcPr>
          <w:p w14:paraId="6ED70A2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r>
      <w:tr w14:paraId="353CD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1DFA3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D6A1B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0762EF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ascii="宋体" w:hAnsi="宋体"/>
                <w:b/>
                <w:bCs/>
                <w:color w:val="EE0000"/>
                <w:szCs w:val="22"/>
              </w:rPr>
              <w:t>1</w:t>
            </w:r>
            <w:r>
              <w:rPr>
                <w:rFonts w:hint="eastAsia" w:ascii="宋体" w:hAnsi="宋体"/>
                <w:b/>
                <w:bCs/>
                <w:color w:val="EE0000"/>
                <w:szCs w:val="22"/>
              </w:rPr>
              <w:t>1</w:t>
            </w:r>
            <w:r>
              <w:rPr>
                <w:rFonts w:ascii="宋体" w:hAnsi="宋体"/>
                <w:b/>
                <w:bCs/>
                <w:color w:val="EE0000"/>
                <w:szCs w:val="22"/>
              </w:rPr>
              <w:t>.</w:t>
            </w:r>
            <w:r>
              <w:rPr>
                <w:rFonts w:hint="eastAsia" w:ascii="宋体" w:hAnsi="宋体"/>
                <w:b/>
                <w:bCs/>
                <w:color w:val="EE0000"/>
                <w:szCs w:val="22"/>
              </w:rPr>
              <w:t>投标人提供的</w:t>
            </w:r>
            <w:r>
              <w:rPr>
                <w:rFonts w:ascii="宋体" w:hAnsi="宋体"/>
                <w:b/>
                <w:bCs/>
                <w:color w:val="EE0000"/>
                <w:szCs w:val="22"/>
              </w:rPr>
              <w:t>ACCP制冷机</w:t>
            </w:r>
            <w:r>
              <w:rPr>
                <w:rFonts w:hint="eastAsia" w:ascii="宋体" w:hAnsi="宋体"/>
                <w:b/>
                <w:bCs/>
                <w:color w:val="EE0000"/>
                <w:szCs w:val="22"/>
              </w:rPr>
              <w:t>具有氦液化运行模式，满足制冷机的日常使用，在液氦消耗量较低工况下，</w:t>
            </w:r>
            <w:r>
              <w:rPr>
                <w:rFonts w:ascii="宋体" w:hAnsi="宋体"/>
                <w:b/>
                <w:bCs/>
                <w:color w:val="EE0000"/>
                <w:szCs w:val="22"/>
              </w:rPr>
              <w:t>ACCP</w:t>
            </w:r>
            <w:r>
              <w:rPr>
                <w:rFonts w:hint="eastAsia" w:ascii="宋体" w:hAnsi="宋体"/>
                <w:b/>
                <w:bCs/>
                <w:color w:val="EE0000"/>
                <w:szCs w:val="22"/>
              </w:rPr>
              <w:t>应自动降低其性能，而无需操作员主动操作强制降低运行负荷。投标时投标人需要提供该模式流程说明文件包括： T-S图和设计响应参数（格式自拟）。要求详见附件技术规格书5.</w:t>
            </w:r>
            <w:r>
              <w:rPr>
                <w:rFonts w:ascii="宋体" w:hAnsi="宋体"/>
                <w:b/>
                <w:bCs/>
                <w:color w:val="EE0000"/>
                <w:szCs w:val="22"/>
              </w:rPr>
              <w:t>3</w:t>
            </w:r>
            <w:r>
              <w:rPr>
                <w:rFonts w:hint="eastAsia" w:ascii="宋体" w:hAnsi="宋体"/>
                <w:b/>
                <w:bCs/>
                <w:color w:val="EE0000"/>
                <w:szCs w:val="22"/>
              </w:rPr>
              <w:t>.</w:t>
            </w:r>
            <w:r>
              <w:rPr>
                <w:rFonts w:ascii="宋体" w:hAnsi="宋体"/>
                <w:b/>
                <w:bCs/>
                <w:color w:val="EE0000"/>
                <w:szCs w:val="22"/>
              </w:rPr>
              <w:t>6</w:t>
            </w:r>
            <w:r>
              <w:rPr>
                <w:rFonts w:hint="eastAsia" w:ascii="宋体" w:hAnsi="宋体"/>
                <w:b/>
                <w:bCs/>
                <w:color w:val="EE0000"/>
                <w:szCs w:val="22"/>
              </w:rPr>
              <w:t>小节要求。</w:t>
            </w:r>
          </w:p>
        </w:tc>
        <w:tc>
          <w:tcPr>
            <w:tcW w:w="1057" w:type="dxa"/>
            <w:vAlign w:val="center"/>
          </w:tcPr>
          <w:p w14:paraId="003DAA46">
            <w:pPr>
              <w:keepNext w:val="0"/>
              <w:keepLines w:val="0"/>
              <w:pageBreakBefore w:val="0"/>
              <w:widowControl w:val="0"/>
              <w:kinsoku/>
              <w:wordWrap/>
              <w:overflowPunct/>
              <w:topLinePunct w:val="0"/>
              <w:autoSpaceDE/>
              <w:autoSpaceDN/>
              <w:bidi w:val="0"/>
              <w:adjustRightInd w:val="0"/>
              <w:snapToGrid w:val="0"/>
              <w:textAlignment w:val="auto"/>
              <w:rPr>
                <w:rFonts w:ascii="宋体" w:hAnsi="宋体"/>
                <w:b/>
                <w:bCs/>
                <w:color w:val="EE0000"/>
                <w:szCs w:val="22"/>
              </w:rPr>
            </w:pPr>
          </w:p>
        </w:tc>
        <w:tc>
          <w:tcPr>
            <w:tcW w:w="1057" w:type="dxa"/>
            <w:vAlign w:val="center"/>
          </w:tcPr>
          <w:p w14:paraId="131D5281">
            <w:pPr>
              <w:keepNext w:val="0"/>
              <w:keepLines w:val="0"/>
              <w:pageBreakBefore w:val="0"/>
              <w:widowControl w:val="0"/>
              <w:kinsoku/>
              <w:wordWrap/>
              <w:overflowPunct/>
              <w:topLinePunct w:val="0"/>
              <w:autoSpaceDE/>
              <w:autoSpaceDN/>
              <w:bidi w:val="0"/>
              <w:adjustRightInd w:val="0"/>
              <w:snapToGrid w:val="0"/>
              <w:textAlignment w:val="auto"/>
              <w:rPr>
                <w:rFonts w:ascii="宋体" w:hAnsi="宋体"/>
                <w:b/>
                <w:bCs/>
                <w:color w:val="EE0000"/>
                <w:szCs w:val="22"/>
              </w:rPr>
            </w:pPr>
          </w:p>
        </w:tc>
        <w:tc>
          <w:tcPr>
            <w:tcW w:w="871" w:type="dxa"/>
            <w:vAlign w:val="center"/>
          </w:tcPr>
          <w:p w14:paraId="70FEF555">
            <w:pPr>
              <w:keepNext w:val="0"/>
              <w:keepLines w:val="0"/>
              <w:pageBreakBefore w:val="0"/>
              <w:widowControl w:val="0"/>
              <w:kinsoku/>
              <w:wordWrap/>
              <w:overflowPunct/>
              <w:topLinePunct w:val="0"/>
              <w:autoSpaceDE/>
              <w:autoSpaceDN/>
              <w:bidi w:val="0"/>
              <w:adjustRightInd w:val="0"/>
              <w:snapToGrid w:val="0"/>
              <w:textAlignment w:val="auto"/>
              <w:rPr>
                <w:rFonts w:ascii="宋体" w:hAnsi="宋体"/>
                <w:b/>
                <w:bCs/>
                <w:color w:val="EE0000"/>
                <w:szCs w:val="22"/>
              </w:rPr>
            </w:pPr>
          </w:p>
        </w:tc>
      </w:tr>
      <w:tr w14:paraId="1D3F5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C822F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31761B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BDF9B9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b/>
                <w:bCs/>
                <w:szCs w:val="22"/>
              </w:rPr>
              <w:t>▲</w:t>
            </w:r>
            <w:r>
              <w:rPr>
                <w:rFonts w:ascii="宋体" w:hAnsi="宋体"/>
                <w:szCs w:val="22"/>
              </w:rPr>
              <w:t>1</w:t>
            </w:r>
            <w:r>
              <w:rPr>
                <w:rFonts w:hint="eastAsia" w:ascii="宋体" w:hAnsi="宋体"/>
                <w:szCs w:val="22"/>
              </w:rPr>
              <w:t xml:space="preserve">2. </w:t>
            </w:r>
            <w:r>
              <w:rPr>
                <w:rFonts w:hint="eastAsia"/>
                <w:color w:val="000000"/>
                <w:szCs w:val="22"/>
              </w:rPr>
              <w:t>ACCP制冷机冷箱需要具备单独降温、为IASF分配系统和模组降温、与分配系统和低温模组共同降温的功能</w:t>
            </w:r>
            <w:r>
              <w:rPr>
                <w:rFonts w:hint="eastAsia" w:ascii="宋体" w:hAnsi="宋体"/>
                <w:szCs w:val="22"/>
              </w:rPr>
              <w:t>，产品制造商</w:t>
            </w:r>
            <w:r>
              <w:rPr>
                <w:rFonts w:ascii="宋体" w:hAnsi="宋体"/>
                <w:szCs w:val="22"/>
              </w:rPr>
              <w:t>在设计ACCP制冷机时，应</w:t>
            </w:r>
            <w:r>
              <w:rPr>
                <w:rFonts w:hint="eastAsia" w:ascii="宋体" w:hAnsi="宋体"/>
                <w:szCs w:val="22"/>
              </w:rPr>
              <w:t>考虑几种</w:t>
            </w:r>
            <w:r>
              <w:rPr>
                <w:rFonts w:ascii="宋体" w:hAnsi="宋体"/>
                <w:szCs w:val="22"/>
              </w:rPr>
              <w:t>降温</w:t>
            </w:r>
            <w:r>
              <w:rPr>
                <w:rFonts w:hint="eastAsia" w:ascii="宋体" w:hAnsi="宋体"/>
                <w:szCs w:val="22"/>
              </w:rPr>
              <w:t>复温工况</w:t>
            </w:r>
            <w:r>
              <w:rPr>
                <w:rFonts w:ascii="宋体" w:hAnsi="宋体"/>
                <w:szCs w:val="22"/>
              </w:rPr>
              <w:t>。技术要求详见技术规格书5.4.</w:t>
            </w:r>
            <w:r>
              <w:rPr>
                <w:rFonts w:hint="eastAsia" w:ascii="宋体" w:hAnsi="宋体"/>
                <w:szCs w:val="22"/>
              </w:rPr>
              <w:t>2和5.4.4</w:t>
            </w:r>
            <w:r>
              <w:rPr>
                <w:rFonts w:ascii="宋体" w:hAnsi="宋体"/>
                <w:szCs w:val="22"/>
              </w:rPr>
              <w:t>小节。</w:t>
            </w:r>
          </w:p>
        </w:tc>
        <w:tc>
          <w:tcPr>
            <w:tcW w:w="1057" w:type="dxa"/>
            <w:vAlign w:val="center"/>
          </w:tcPr>
          <w:p w14:paraId="76FAFEE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c>
          <w:tcPr>
            <w:tcW w:w="1057" w:type="dxa"/>
            <w:vAlign w:val="center"/>
          </w:tcPr>
          <w:p w14:paraId="5D54FE1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c>
          <w:tcPr>
            <w:tcW w:w="871" w:type="dxa"/>
            <w:vAlign w:val="center"/>
          </w:tcPr>
          <w:p w14:paraId="40E82DF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r>
      <w:tr w14:paraId="652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16E1AB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81D86D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F20F3D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b/>
                <w:bCs/>
                <w:szCs w:val="22"/>
              </w:rPr>
              <w:t>▲</w:t>
            </w:r>
            <w:r>
              <w:rPr>
                <w:rFonts w:ascii="宋体" w:hAnsi="宋体"/>
                <w:szCs w:val="22"/>
              </w:rPr>
              <w:t>1</w:t>
            </w:r>
            <w:r>
              <w:rPr>
                <w:rFonts w:hint="eastAsia" w:ascii="宋体" w:hAnsi="宋体"/>
                <w:szCs w:val="22"/>
              </w:rPr>
              <w:t>3</w:t>
            </w:r>
            <w:r>
              <w:rPr>
                <w:rFonts w:hint="eastAsia" w:ascii="宋体" w:hAnsi="宋体"/>
                <w:color w:val="000000"/>
                <w:szCs w:val="22"/>
              </w:rPr>
              <w:t xml:space="preserve">. </w:t>
            </w:r>
            <w:r>
              <w:rPr>
                <w:rFonts w:ascii="宋体" w:hAnsi="宋体"/>
                <w:color w:val="000000"/>
                <w:szCs w:val="22"/>
              </w:rPr>
              <w:t>ACCP</w:t>
            </w:r>
            <w:r>
              <w:rPr>
                <w:rFonts w:hint="eastAsia" w:ascii="宋体" w:hAnsi="宋体"/>
                <w:color w:val="000000"/>
                <w:szCs w:val="22"/>
              </w:rPr>
              <w:t xml:space="preserve">制冷机需要实现2 </w:t>
            </w:r>
            <w:r>
              <w:rPr>
                <w:rFonts w:hint="eastAsia" w:ascii="宋体" w:hAnsi="宋体"/>
                <w:i/>
                <w:iCs/>
                <w:color w:val="000000"/>
                <w:szCs w:val="22"/>
              </w:rPr>
              <w:t>K</w:t>
            </w:r>
            <w:r>
              <w:rPr>
                <w:rFonts w:hint="eastAsia" w:ascii="宋体" w:hAnsi="宋体"/>
                <w:color w:val="000000"/>
                <w:szCs w:val="22"/>
              </w:rPr>
              <w:t>降温模式，</w:t>
            </w:r>
            <w:r>
              <w:rPr>
                <w:rFonts w:hint="eastAsia"/>
                <w:color w:val="000000"/>
                <w:szCs w:val="22"/>
              </w:rPr>
              <w:t>该模式用于低温分配系统和低温模组已完成 4.5 K 降温及积液后，将 2 K 回路从 4.5 K 饱和状态减压降温至 2 K 运行状态。本设备设计应选择合理的减压降温方法，并能处理不同的抽空容积。</w:t>
            </w:r>
            <w:r>
              <w:rPr>
                <w:rFonts w:hint="eastAsia" w:ascii="宋体" w:hAnsi="宋体"/>
                <w:color w:val="000000"/>
                <w:szCs w:val="22"/>
              </w:rPr>
              <w:t>产品制造商</w:t>
            </w:r>
            <w:r>
              <w:rPr>
                <w:rFonts w:ascii="宋体" w:hAnsi="宋体"/>
                <w:color w:val="000000"/>
                <w:szCs w:val="22"/>
              </w:rPr>
              <w:t>在设计ACCP制冷机时，应</w:t>
            </w:r>
            <w:r>
              <w:rPr>
                <w:rFonts w:hint="eastAsia" w:ascii="宋体" w:hAnsi="宋体"/>
                <w:color w:val="000000"/>
                <w:szCs w:val="22"/>
              </w:rPr>
              <w:t>考虑</w:t>
            </w:r>
            <w:r>
              <w:rPr>
                <w:rFonts w:ascii="宋体" w:hAnsi="宋体"/>
                <w:color w:val="000000"/>
                <w:szCs w:val="22"/>
              </w:rPr>
              <w:t>2 K</w:t>
            </w:r>
            <w:r>
              <w:rPr>
                <w:rFonts w:hint="eastAsia" w:ascii="宋体" w:hAnsi="宋体"/>
                <w:color w:val="000000"/>
                <w:szCs w:val="22"/>
              </w:rPr>
              <w:t>减压降温模式和2 K再降温模式工况</w:t>
            </w:r>
            <w:r>
              <w:rPr>
                <w:rFonts w:ascii="宋体" w:hAnsi="宋体"/>
                <w:color w:val="000000"/>
                <w:szCs w:val="22"/>
              </w:rPr>
              <w:t>。</w:t>
            </w:r>
            <w:r>
              <w:rPr>
                <w:rFonts w:hint="eastAsia" w:ascii="宋体" w:hAnsi="宋体"/>
                <w:color w:val="000000"/>
                <w:szCs w:val="22"/>
              </w:rPr>
              <w:t>2 K</w:t>
            </w:r>
            <w:r>
              <w:rPr>
                <w:rFonts w:ascii="宋体" w:hAnsi="宋体"/>
                <w:color w:val="000000"/>
                <w:szCs w:val="22"/>
              </w:rPr>
              <w:t>降温技术要求详见技术规格书5.4.</w:t>
            </w:r>
            <w:r>
              <w:rPr>
                <w:rFonts w:hint="eastAsia" w:ascii="宋体" w:hAnsi="宋体"/>
                <w:color w:val="000000"/>
                <w:szCs w:val="22"/>
              </w:rPr>
              <w:t>3</w:t>
            </w:r>
            <w:r>
              <w:rPr>
                <w:rFonts w:ascii="宋体" w:hAnsi="宋体"/>
                <w:color w:val="000000"/>
                <w:szCs w:val="22"/>
              </w:rPr>
              <w:t>小节。</w:t>
            </w:r>
          </w:p>
        </w:tc>
        <w:tc>
          <w:tcPr>
            <w:tcW w:w="1057" w:type="dxa"/>
            <w:vAlign w:val="center"/>
          </w:tcPr>
          <w:p w14:paraId="34AA696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c>
          <w:tcPr>
            <w:tcW w:w="1057" w:type="dxa"/>
            <w:vAlign w:val="center"/>
          </w:tcPr>
          <w:p w14:paraId="1906E98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c>
          <w:tcPr>
            <w:tcW w:w="871" w:type="dxa"/>
            <w:vAlign w:val="center"/>
          </w:tcPr>
          <w:p w14:paraId="1C83E5E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p>
        </w:tc>
      </w:tr>
      <w:tr w14:paraId="6DEF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91FBB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32B7DC0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1860CB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color w:val="000000"/>
                <w:szCs w:val="22"/>
              </w:rPr>
              <w:t>1</w:t>
            </w:r>
            <w:r>
              <w:rPr>
                <w:rFonts w:hint="eastAsia" w:ascii="宋体" w:hAnsi="宋体"/>
                <w:color w:val="000000"/>
                <w:szCs w:val="22"/>
              </w:rPr>
              <w:t>4</w:t>
            </w:r>
            <w:r>
              <w:rPr>
                <w:rFonts w:ascii="宋体" w:hAnsi="宋体"/>
                <w:color w:val="000000"/>
                <w:szCs w:val="22"/>
              </w:rPr>
              <w:t xml:space="preserve">. </w:t>
            </w:r>
            <w:r>
              <w:rPr>
                <w:rFonts w:hint="eastAsia" w:ascii="宋体" w:hAnsi="宋体"/>
                <w:color w:val="000000"/>
                <w:szCs w:val="22"/>
              </w:rPr>
              <w:t>产品制造商应考虑设置快速降温模式(FCD模式)，该模式下</w:t>
            </w:r>
            <w:r>
              <w:rPr>
                <w:rFonts w:ascii="宋体" w:hAnsi="宋体"/>
                <w:color w:val="000000"/>
                <w:szCs w:val="22"/>
              </w:rPr>
              <w:t>ACCP</w:t>
            </w:r>
            <w:r>
              <w:rPr>
                <w:rFonts w:hint="eastAsia" w:ascii="宋体" w:hAnsi="宋体"/>
                <w:color w:val="000000"/>
                <w:szCs w:val="22"/>
              </w:rPr>
              <w:t>制冷机需保持冷屏路负荷下，单个模组至少提供</w:t>
            </w:r>
            <w:r>
              <w:rPr>
                <w:rFonts w:ascii="宋体" w:hAnsi="宋体"/>
                <w:color w:val="000000"/>
                <w:szCs w:val="22"/>
              </w:rPr>
              <w:t>80</w:t>
            </w:r>
            <w:r>
              <w:rPr>
                <w:rFonts w:hint="eastAsia" w:ascii="宋体" w:hAnsi="宋体"/>
                <w:color w:val="000000"/>
                <w:szCs w:val="22"/>
              </w:rPr>
              <w:t xml:space="preserve"> g/s 液氦流量。投标人需要在验收试验期间，证明系统能满足上述要求。FCD模式的要求详见附件技术规格书5.</w:t>
            </w:r>
            <w:r>
              <w:rPr>
                <w:rFonts w:ascii="宋体" w:hAnsi="宋体"/>
                <w:color w:val="000000"/>
                <w:szCs w:val="22"/>
              </w:rPr>
              <w:t>4</w:t>
            </w:r>
            <w:r>
              <w:rPr>
                <w:rFonts w:hint="eastAsia" w:ascii="宋体" w:hAnsi="宋体"/>
                <w:color w:val="000000"/>
                <w:szCs w:val="22"/>
              </w:rPr>
              <w:t>.5小节。</w:t>
            </w:r>
          </w:p>
        </w:tc>
        <w:tc>
          <w:tcPr>
            <w:tcW w:w="1057" w:type="dxa"/>
            <w:vAlign w:val="center"/>
          </w:tcPr>
          <w:p w14:paraId="60EAC42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506B265F">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71F39A44">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0278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C153B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137440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DE5EA6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1</w:t>
            </w:r>
            <w:r>
              <w:rPr>
                <w:rFonts w:hint="eastAsia" w:ascii="宋体" w:hAnsi="宋体"/>
                <w:szCs w:val="22"/>
              </w:rPr>
              <w:t>5</w:t>
            </w:r>
            <w:r>
              <w:rPr>
                <w:rFonts w:ascii="宋体" w:hAnsi="宋体"/>
                <w:szCs w:val="22"/>
              </w:rPr>
              <w:t>. ACCP</w:t>
            </w:r>
            <w:r>
              <w:rPr>
                <w:rFonts w:hint="eastAsia" w:ascii="宋体" w:hAnsi="宋体"/>
                <w:szCs w:val="22"/>
              </w:rPr>
              <w:t>制冷机需能应对平台运行中的故障工况，产品制造商在设计ACCP制冷机时需充分考虑并提出应对方案，具体工况详见附件技术规格书5.</w:t>
            </w:r>
            <w:r>
              <w:rPr>
                <w:rFonts w:ascii="宋体" w:hAnsi="宋体"/>
                <w:szCs w:val="22"/>
              </w:rPr>
              <w:t>4</w:t>
            </w:r>
            <w:r>
              <w:rPr>
                <w:rFonts w:hint="eastAsia" w:ascii="宋体" w:hAnsi="宋体"/>
                <w:szCs w:val="22"/>
              </w:rPr>
              <w:t>.6和5.5小节。</w:t>
            </w:r>
          </w:p>
        </w:tc>
        <w:tc>
          <w:tcPr>
            <w:tcW w:w="1057" w:type="dxa"/>
            <w:vAlign w:val="center"/>
          </w:tcPr>
          <w:p w14:paraId="2E8A72AF">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F7333F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6DF108B8">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6996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361B73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93CD82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AF7B14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▲16</w:t>
            </w:r>
            <w:r>
              <w:rPr>
                <w:rFonts w:ascii="宋体" w:hAnsi="宋体"/>
                <w:b/>
                <w:bCs/>
                <w:color w:val="EE0000"/>
                <w:szCs w:val="22"/>
              </w:rPr>
              <w:t>. 投标人提供的</w:t>
            </w:r>
            <w:r>
              <w:rPr>
                <w:rFonts w:hint="eastAsia" w:ascii="宋体" w:hAnsi="宋体"/>
                <w:b/>
                <w:bCs/>
                <w:color w:val="EE0000"/>
                <w:szCs w:val="22"/>
              </w:rPr>
              <w:t>常温压缩机站应满足采购人的供货范围要求。供货</w:t>
            </w:r>
            <w:r>
              <w:rPr>
                <w:rFonts w:ascii="宋体" w:hAnsi="宋体"/>
                <w:b/>
                <w:bCs/>
                <w:color w:val="EE0000"/>
                <w:szCs w:val="22"/>
              </w:rPr>
              <w:t>设备尺寸、运输、地基等要求应符合采购人提供的现场条件。具体要求详见技术规格书</w:t>
            </w:r>
            <w:r>
              <w:rPr>
                <w:rFonts w:hint="eastAsia" w:ascii="宋体" w:hAnsi="宋体"/>
                <w:b/>
                <w:bCs/>
                <w:color w:val="EE0000"/>
                <w:szCs w:val="22"/>
              </w:rPr>
              <w:t>6.1和</w:t>
            </w:r>
            <w:r>
              <w:rPr>
                <w:rFonts w:ascii="宋体" w:hAnsi="宋体"/>
                <w:b/>
                <w:bCs/>
                <w:color w:val="EE0000"/>
                <w:szCs w:val="22"/>
              </w:rPr>
              <w:t>6.2小节。</w:t>
            </w:r>
            <w:r>
              <w:rPr>
                <w:rFonts w:hint="eastAsia" w:ascii="宋体" w:hAnsi="宋体"/>
                <w:b/>
                <w:bCs/>
                <w:color w:val="EE0000"/>
                <w:szCs w:val="22"/>
              </w:rPr>
              <w:t>投标时</w:t>
            </w:r>
            <w:r>
              <w:rPr>
                <w:rFonts w:ascii="宋体" w:hAnsi="宋体"/>
                <w:b/>
                <w:bCs/>
                <w:color w:val="EE0000"/>
                <w:szCs w:val="22"/>
              </w:rPr>
              <w:t>需提供</w:t>
            </w:r>
            <w:r>
              <w:rPr>
                <w:rFonts w:hint="eastAsia" w:ascii="宋体" w:hAnsi="宋体"/>
                <w:b/>
                <w:bCs/>
                <w:color w:val="EE0000"/>
                <w:szCs w:val="22"/>
              </w:rPr>
              <w:t>压缩机</w:t>
            </w:r>
            <w:r>
              <w:rPr>
                <w:rFonts w:ascii="宋体" w:hAnsi="宋体"/>
                <w:b/>
                <w:bCs/>
                <w:color w:val="EE0000"/>
                <w:szCs w:val="22"/>
              </w:rPr>
              <w:t>及其附属设备</w:t>
            </w:r>
            <w:r>
              <w:rPr>
                <w:rFonts w:hint="eastAsia" w:ascii="宋体" w:hAnsi="宋体"/>
                <w:b/>
                <w:bCs/>
                <w:color w:val="EE0000"/>
                <w:szCs w:val="22"/>
              </w:rPr>
              <w:t>初步</w:t>
            </w:r>
            <w:r>
              <w:rPr>
                <w:rFonts w:ascii="宋体" w:hAnsi="宋体"/>
                <w:b/>
                <w:bCs/>
                <w:color w:val="EE0000"/>
                <w:szCs w:val="22"/>
              </w:rPr>
              <w:t>图纸，标明尺寸。</w:t>
            </w:r>
          </w:p>
        </w:tc>
        <w:tc>
          <w:tcPr>
            <w:tcW w:w="1057" w:type="dxa"/>
            <w:vAlign w:val="center"/>
          </w:tcPr>
          <w:p w14:paraId="6C0F167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1057" w:type="dxa"/>
            <w:vAlign w:val="center"/>
          </w:tcPr>
          <w:p w14:paraId="3FE3831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871" w:type="dxa"/>
            <w:vAlign w:val="center"/>
          </w:tcPr>
          <w:p w14:paraId="5AFE1AA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r>
      <w:tr w14:paraId="383D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05F461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47FFA6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A2E876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s="Segoe UI Symbol"/>
                <w:color w:val="000000"/>
                <w:szCs w:val="22"/>
              </w:rPr>
              <w:t>★17</w:t>
            </w:r>
            <w:r>
              <w:rPr>
                <w:rFonts w:ascii="宋体" w:hAnsi="宋体"/>
                <w:szCs w:val="22"/>
              </w:rPr>
              <w:t xml:space="preserve">. </w:t>
            </w:r>
            <w:r>
              <w:rPr>
                <w:rFonts w:hint="eastAsia" w:ascii="宋体" w:hAnsi="宋体"/>
                <w:szCs w:val="22"/>
              </w:rPr>
              <w:t>ACCP制冷机流程中需包括负压（VLP）、低压(LP)、中压(MP)及高压(HP)四个压力等级。</w:t>
            </w:r>
          </w:p>
        </w:tc>
        <w:tc>
          <w:tcPr>
            <w:tcW w:w="1057" w:type="dxa"/>
            <w:vAlign w:val="center"/>
          </w:tcPr>
          <w:p w14:paraId="0D064FF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color w:val="000000"/>
                <w:szCs w:val="22"/>
              </w:rPr>
            </w:pPr>
          </w:p>
        </w:tc>
        <w:tc>
          <w:tcPr>
            <w:tcW w:w="1057" w:type="dxa"/>
            <w:vAlign w:val="center"/>
          </w:tcPr>
          <w:p w14:paraId="251D7B1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color w:val="000000"/>
                <w:szCs w:val="22"/>
              </w:rPr>
            </w:pPr>
          </w:p>
        </w:tc>
        <w:tc>
          <w:tcPr>
            <w:tcW w:w="871" w:type="dxa"/>
            <w:vAlign w:val="center"/>
          </w:tcPr>
          <w:p w14:paraId="2D0A68A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s="Segoe UI Symbol"/>
                <w:color w:val="000000"/>
                <w:szCs w:val="22"/>
              </w:rPr>
            </w:pPr>
          </w:p>
        </w:tc>
      </w:tr>
      <w:tr w14:paraId="7534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5F4EEF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EA51E7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5E5FCE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▲18</w:t>
            </w:r>
            <w:r>
              <w:rPr>
                <w:rFonts w:ascii="宋体" w:hAnsi="宋体"/>
                <w:szCs w:val="22"/>
              </w:rPr>
              <w:t>.</w:t>
            </w:r>
            <w:r>
              <w:rPr>
                <w:rFonts w:hint="eastAsia" w:ascii="宋体" w:hAnsi="宋体"/>
                <w:szCs w:val="22"/>
              </w:rPr>
              <w:t>各级所需的压缩机数量应由产品制造商确定。同一级内的所有压缩机应具有相同的进气压力和排气压力，优先采用相同规格。</w:t>
            </w:r>
            <w:r>
              <w:rPr>
                <w:szCs w:val="22"/>
              </w:rPr>
              <w:t>压缩机站应以撬装形式组装供货。所有螺杆压缩机不得采用未经工程验证的试验性设备。</w:t>
            </w:r>
          </w:p>
        </w:tc>
        <w:tc>
          <w:tcPr>
            <w:tcW w:w="1057" w:type="dxa"/>
            <w:vAlign w:val="center"/>
          </w:tcPr>
          <w:p w14:paraId="7D28C20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0F3AC76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7C7140E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6559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B902A9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F20830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5B01EC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szCs w:val="22"/>
              </w:rPr>
              <w:t>19</w:t>
            </w:r>
            <w:r>
              <w:rPr>
                <w:rFonts w:ascii="宋体" w:hAnsi="宋体"/>
                <w:szCs w:val="22"/>
              </w:rPr>
              <w:t xml:space="preserve">. </w:t>
            </w:r>
            <w:r>
              <w:rPr>
                <w:rFonts w:hint="eastAsia" w:ascii="宋体" w:hAnsi="宋体"/>
                <w:szCs w:val="22"/>
              </w:rPr>
              <w:t>所有压缩机均应采用10kV供电。所有高压级压缩机都需要配备独立的变频器，未配备变频器的压缩机需采用软启动。具体工况详见附件技术规格书6.3.2小节。</w:t>
            </w:r>
          </w:p>
        </w:tc>
        <w:tc>
          <w:tcPr>
            <w:tcW w:w="1057" w:type="dxa"/>
            <w:vAlign w:val="center"/>
          </w:tcPr>
          <w:p w14:paraId="1A64BB3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07C8C10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19D9BBB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0F84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6FD298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12939C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1D9B5B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▲20</w:t>
            </w:r>
            <w:r>
              <w:rPr>
                <w:rFonts w:ascii="宋体" w:hAnsi="宋体"/>
                <w:szCs w:val="22"/>
              </w:rPr>
              <w:t xml:space="preserve">. </w:t>
            </w:r>
            <w:r>
              <w:rPr>
                <w:rFonts w:hint="eastAsia" w:ascii="宋体" w:hAnsi="宋体"/>
                <w:szCs w:val="22"/>
              </w:rPr>
              <w:t>压缩机站流程设计时应充分考虑ACCP制冷机运行工况。</w:t>
            </w:r>
          </w:p>
        </w:tc>
        <w:tc>
          <w:tcPr>
            <w:tcW w:w="1057" w:type="dxa"/>
            <w:vAlign w:val="center"/>
          </w:tcPr>
          <w:p w14:paraId="7CA6B38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09B0F00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19FBE9A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3BAD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9B2C73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6A65C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C13FAC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1</w:t>
            </w:r>
            <w:r>
              <w:rPr>
                <w:rFonts w:ascii="宋体" w:hAnsi="宋体"/>
                <w:szCs w:val="22"/>
              </w:rPr>
              <w:t>. 压缩机设计选型时应符合下列基本要求：</w:t>
            </w:r>
            <w:r>
              <w:rPr>
                <w:rFonts w:hint="eastAsia" w:ascii="宋体" w:hAnsi="宋体"/>
                <w:szCs w:val="22"/>
              </w:rPr>
              <w:t>排气温度不高于313 K，配有必要的</w:t>
            </w:r>
            <w:r>
              <w:rPr>
                <w:rFonts w:ascii="宋体" w:hAnsi="宋体"/>
                <w:szCs w:val="22"/>
              </w:rPr>
              <w:t>隔离阀、止回阀、抽空置换接口、排油接口、</w:t>
            </w:r>
            <w:r>
              <w:rPr>
                <w:rFonts w:hint="eastAsia" w:ascii="宋体" w:hAnsi="宋体"/>
                <w:szCs w:val="22"/>
              </w:rPr>
              <w:t>水冷冷却器和管道</w:t>
            </w:r>
            <w:r>
              <w:rPr>
                <w:rFonts w:ascii="宋体" w:hAnsi="宋体"/>
                <w:szCs w:val="22"/>
              </w:rPr>
              <w:t>等。压缩机的设计要求详见附件技术规格书6.3.</w:t>
            </w:r>
            <w:r>
              <w:rPr>
                <w:rFonts w:hint="eastAsia" w:ascii="宋体" w:hAnsi="宋体"/>
                <w:szCs w:val="22"/>
              </w:rPr>
              <w:t>3</w:t>
            </w:r>
            <w:r>
              <w:rPr>
                <w:rFonts w:ascii="宋体" w:hAnsi="宋体"/>
                <w:szCs w:val="22"/>
              </w:rPr>
              <w:t>小节。</w:t>
            </w:r>
          </w:p>
        </w:tc>
        <w:tc>
          <w:tcPr>
            <w:tcW w:w="1057" w:type="dxa"/>
            <w:vAlign w:val="center"/>
          </w:tcPr>
          <w:p w14:paraId="7DA7EAC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62BBCD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BB5E0B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F32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32A2ED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35DB62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57ECB4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2. 压</w:t>
            </w:r>
            <w:r>
              <w:rPr>
                <w:rFonts w:ascii="宋体" w:hAnsi="宋体"/>
                <w:szCs w:val="22"/>
              </w:rPr>
              <w:t>缩机</w:t>
            </w:r>
            <w:r>
              <w:rPr>
                <w:rFonts w:hint="eastAsia" w:ascii="宋体" w:hAnsi="宋体"/>
                <w:szCs w:val="22"/>
              </w:rPr>
              <w:t>电机应满足启动电流要求，电机功率满足要求，具备温度监控和保护功能。</w:t>
            </w:r>
            <w:r>
              <w:rPr>
                <w:rFonts w:ascii="宋体" w:hAnsi="宋体"/>
                <w:szCs w:val="22"/>
              </w:rPr>
              <w:t>要求详见附件技术规格书6.3.</w:t>
            </w:r>
            <w:r>
              <w:rPr>
                <w:rFonts w:hint="eastAsia" w:ascii="宋体" w:hAnsi="宋体"/>
                <w:szCs w:val="22"/>
              </w:rPr>
              <w:t>4</w:t>
            </w:r>
            <w:r>
              <w:rPr>
                <w:rFonts w:ascii="宋体" w:hAnsi="宋体"/>
                <w:szCs w:val="22"/>
              </w:rPr>
              <w:t>小节。</w:t>
            </w:r>
          </w:p>
        </w:tc>
        <w:tc>
          <w:tcPr>
            <w:tcW w:w="1057" w:type="dxa"/>
            <w:vAlign w:val="center"/>
          </w:tcPr>
          <w:p w14:paraId="3E867FC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A26DF6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2B6E66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49BE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38AC9C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C2A9EF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C4ABF9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3.压缩机油在任何温度下均应无吸水性，且在压缩机温度升高时应性质稳定且无毒。</w:t>
            </w:r>
            <w:r>
              <w:rPr>
                <w:rFonts w:hint="eastAsia" w:ascii="宋体" w:hAnsi="宋体"/>
                <w:color w:val="000000"/>
                <w:szCs w:val="22"/>
              </w:rPr>
              <w:t>应去除油中所有大于 25 μm 的固体颗粒，油中含水量应低于 500 ppmw</w:t>
            </w:r>
            <w:r>
              <w:rPr>
                <w:rFonts w:hint="eastAsia" w:ascii="宋体" w:hAnsi="宋体"/>
                <w:szCs w:val="22"/>
              </w:rPr>
              <w:t>。压缩机本身应具备粗级油过滤，</w:t>
            </w:r>
            <w:r>
              <w:rPr>
                <w:rFonts w:hint="eastAsia"/>
                <w:color w:val="000000"/>
                <w:szCs w:val="22"/>
              </w:rPr>
              <w:t>压缩机出口氦气的设计含油量应低于 100 ppmw，整体</w:t>
            </w:r>
            <w:r>
              <w:rPr>
                <w:rFonts w:ascii="宋体" w:hAnsi="宋体"/>
                <w:szCs w:val="22"/>
              </w:rPr>
              <w:t>要求详见附件技术规格书6.3.</w:t>
            </w:r>
            <w:r>
              <w:rPr>
                <w:rFonts w:hint="eastAsia" w:ascii="宋体" w:hAnsi="宋体"/>
                <w:szCs w:val="22"/>
              </w:rPr>
              <w:t>5</w:t>
            </w:r>
            <w:r>
              <w:rPr>
                <w:rFonts w:ascii="宋体" w:hAnsi="宋体"/>
                <w:szCs w:val="22"/>
              </w:rPr>
              <w:t>小节。</w:t>
            </w:r>
          </w:p>
        </w:tc>
        <w:tc>
          <w:tcPr>
            <w:tcW w:w="1057" w:type="dxa"/>
            <w:vAlign w:val="center"/>
          </w:tcPr>
          <w:p w14:paraId="0E85AA5C">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9C6930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0E4DB70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A3BC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7DE8CB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A9CE2B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D040CA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4. 压</w:t>
            </w:r>
            <w:r>
              <w:rPr>
                <w:rFonts w:ascii="宋体" w:hAnsi="宋体"/>
                <w:szCs w:val="22"/>
              </w:rPr>
              <w:t>缩机</w:t>
            </w:r>
            <w:r>
              <w:rPr>
                <w:rFonts w:hint="eastAsia" w:ascii="宋体" w:hAnsi="宋体"/>
                <w:szCs w:val="22"/>
              </w:rPr>
              <w:t>设计需要考虑震动和噪音，运行控制需要配备足够仪器仪表和控制系统。</w:t>
            </w:r>
            <w:r>
              <w:rPr>
                <w:rFonts w:ascii="宋体" w:hAnsi="宋体"/>
                <w:szCs w:val="22"/>
              </w:rPr>
              <w:t>要求详见附件技术规格书6.3.</w:t>
            </w:r>
            <w:r>
              <w:rPr>
                <w:rFonts w:hint="eastAsia" w:ascii="宋体" w:hAnsi="宋体"/>
                <w:szCs w:val="22"/>
              </w:rPr>
              <w:t>6</w:t>
            </w:r>
            <w:r>
              <w:rPr>
                <w:rFonts w:ascii="宋体" w:hAnsi="宋体"/>
                <w:szCs w:val="22"/>
              </w:rPr>
              <w:t>小节。</w:t>
            </w:r>
          </w:p>
        </w:tc>
        <w:tc>
          <w:tcPr>
            <w:tcW w:w="1057" w:type="dxa"/>
            <w:vAlign w:val="center"/>
          </w:tcPr>
          <w:p w14:paraId="23FADA9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9D7E0C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5FFFB56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53E9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E3E7F6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152A35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280AF2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▲25</w:t>
            </w:r>
            <w:r>
              <w:rPr>
                <w:rFonts w:ascii="宋体" w:hAnsi="宋体"/>
                <w:szCs w:val="22"/>
              </w:rPr>
              <w:t xml:space="preserve">. </w:t>
            </w:r>
            <w:r>
              <w:rPr>
                <w:rFonts w:hint="eastAsia" w:ascii="宋体" w:hAnsi="宋体"/>
                <w:szCs w:val="22"/>
              </w:rPr>
              <w:t>压缩机下游，应设计末端除油系统，其尺寸应确保通过过滤器元件气体速度足够低，留有至少10%的余量，设计运行时间至少为</w:t>
            </w:r>
            <w:r>
              <w:rPr>
                <w:rFonts w:ascii="宋体" w:hAnsi="宋体"/>
                <w:szCs w:val="22"/>
              </w:rPr>
              <w:t>1</w:t>
            </w:r>
            <w:r>
              <w:rPr>
                <w:rFonts w:hint="eastAsia" w:ascii="宋体" w:hAnsi="宋体"/>
                <w:szCs w:val="22"/>
              </w:rPr>
              <w:t>6</w:t>
            </w:r>
            <w:r>
              <w:rPr>
                <w:rFonts w:ascii="宋体" w:hAnsi="宋体"/>
                <w:szCs w:val="22"/>
              </w:rPr>
              <w:t>000</w:t>
            </w:r>
            <w:r>
              <w:rPr>
                <w:rFonts w:hint="eastAsia" w:ascii="宋体" w:hAnsi="宋体"/>
                <w:szCs w:val="22"/>
              </w:rPr>
              <w:t>小时，且出口杂质的质量含量不超过</w:t>
            </w:r>
            <w:r>
              <w:rPr>
                <w:rFonts w:ascii="宋体" w:hAnsi="宋体"/>
                <w:szCs w:val="22"/>
              </w:rPr>
              <w:t>0.01 ppm</w:t>
            </w:r>
            <w:r>
              <w:rPr>
                <w:rFonts w:hint="eastAsia" w:ascii="宋体" w:hAnsi="宋体"/>
                <w:szCs w:val="22"/>
              </w:rPr>
              <w:t>w。</w:t>
            </w:r>
            <w:r>
              <w:rPr>
                <w:rFonts w:ascii="宋体" w:hAnsi="宋体"/>
                <w:szCs w:val="22"/>
              </w:rPr>
              <w:t>具体设计要求详见附件技术规格书6.</w:t>
            </w:r>
            <w:r>
              <w:rPr>
                <w:rFonts w:hint="eastAsia" w:ascii="宋体" w:hAnsi="宋体"/>
                <w:szCs w:val="22"/>
              </w:rPr>
              <w:t>4</w:t>
            </w:r>
            <w:r>
              <w:rPr>
                <w:rFonts w:ascii="宋体" w:hAnsi="宋体"/>
                <w:szCs w:val="22"/>
              </w:rPr>
              <w:t>.1小节。</w:t>
            </w:r>
          </w:p>
        </w:tc>
        <w:tc>
          <w:tcPr>
            <w:tcW w:w="1057" w:type="dxa"/>
            <w:vAlign w:val="center"/>
          </w:tcPr>
          <w:p w14:paraId="37D4CC5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EE2E25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708DDFE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5C1A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BC27FA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BE31A5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655F61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6</w:t>
            </w:r>
            <w:r>
              <w:rPr>
                <w:rFonts w:ascii="宋体" w:hAnsi="宋体"/>
                <w:szCs w:val="22"/>
              </w:rPr>
              <w:t xml:space="preserve">. </w:t>
            </w:r>
            <w:r>
              <w:rPr>
                <w:rFonts w:hint="eastAsia" w:ascii="宋体" w:hAnsi="宋体"/>
                <w:szCs w:val="22"/>
              </w:rPr>
              <w:t>凝聚式油过滤器</w:t>
            </w:r>
            <w:r>
              <w:rPr>
                <w:rFonts w:ascii="宋体" w:hAnsi="宋体"/>
                <w:szCs w:val="22"/>
              </w:rPr>
              <w:t>的设计、材料、阀门布置应符合技术规格书6.</w:t>
            </w:r>
            <w:r>
              <w:rPr>
                <w:rFonts w:hint="eastAsia" w:ascii="宋体" w:hAnsi="宋体"/>
                <w:szCs w:val="22"/>
              </w:rPr>
              <w:t>4</w:t>
            </w:r>
            <w:r>
              <w:rPr>
                <w:rFonts w:ascii="宋体" w:hAnsi="宋体"/>
                <w:szCs w:val="22"/>
              </w:rPr>
              <w:t>.2小节要求。具体设计要求详见附件技术规格书6.</w:t>
            </w:r>
            <w:r>
              <w:rPr>
                <w:rFonts w:hint="eastAsia" w:ascii="宋体" w:hAnsi="宋体"/>
                <w:szCs w:val="22"/>
              </w:rPr>
              <w:t>4</w:t>
            </w:r>
            <w:r>
              <w:rPr>
                <w:rFonts w:ascii="宋体" w:hAnsi="宋体"/>
                <w:szCs w:val="22"/>
              </w:rPr>
              <w:t>.2小节。</w:t>
            </w:r>
          </w:p>
        </w:tc>
        <w:tc>
          <w:tcPr>
            <w:tcW w:w="1057" w:type="dxa"/>
            <w:vAlign w:val="center"/>
          </w:tcPr>
          <w:p w14:paraId="50FAEEC2">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0DFDF39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68827B6E">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274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FF24B8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63FD1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D29AE6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2</w:t>
            </w:r>
            <w:r>
              <w:rPr>
                <w:rFonts w:hint="eastAsia" w:ascii="宋体" w:hAnsi="宋体"/>
                <w:szCs w:val="22"/>
              </w:rPr>
              <w:t>7</w:t>
            </w:r>
            <w:r>
              <w:rPr>
                <w:rFonts w:ascii="宋体" w:hAnsi="宋体"/>
                <w:szCs w:val="22"/>
              </w:rPr>
              <w:t>. 吸附器的设计、材料、阀门布置应符合技术规格书6.</w:t>
            </w:r>
            <w:r>
              <w:rPr>
                <w:rFonts w:hint="eastAsia" w:ascii="宋体" w:hAnsi="宋体"/>
                <w:szCs w:val="22"/>
              </w:rPr>
              <w:t>4</w:t>
            </w:r>
            <w:r>
              <w:rPr>
                <w:rFonts w:ascii="宋体" w:hAnsi="宋体"/>
                <w:szCs w:val="22"/>
              </w:rPr>
              <w:t>.3小节要求。具体设计要求详见附件技术规格书6.</w:t>
            </w:r>
            <w:r>
              <w:rPr>
                <w:rFonts w:hint="eastAsia" w:ascii="宋体" w:hAnsi="宋体"/>
                <w:szCs w:val="22"/>
              </w:rPr>
              <w:t>4</w:t>
            </w:r>
            <w:r>
              <w:rPr>
                <w:rFonts w:ascii="宋体" w:hAnsi="宋体"/>
                <w:szCs w:val="22"/>
              </w:rPr>
              <w:t>.3小节。</w:t>
            </w:r>
          </w:p>
        </w:tc>
        <w:tc>
          <w:tcPr>
            <w:tcW w:w="1057" w:type="dxa"/>
            <w:vAlign w:val="center"/>
          </w:tcPr>
          <w:p w14:paraId="63850EB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65965EB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2F0F46C8">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42388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36045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8F06B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0B2356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▲28. ACCP应配置一套在线备用螺杆压缩机系</w:t>
            </w:r>
            <w:r>
              <w:rPr>
                <w:rFonts w:ascii="宋体" w:hAnsi="宋体"/>
                <w:szCs w:val="22"/>
              </w:rPr>
              <w:t>统，能够替代任一已安装螺杆压缩机，</w:t>
            </w:r>
            <w:r>
              <w:rPr>
                <w:rFonts w:hint="eastAsia"/>
                <w:color w:val="000000"/>
                <w:szCs w:val="22"/>
              </w:rPr>
              <w:t>支持已安装压缩机故障或计划维护期间的连续运行。备用螺杆压缩机需</w:t>
            </w:r>
            <w:r>
              <w:rPr>
                <w:rFonts w:ascii="宋体" w:hAnsi="宋体"/>
                <w:szCs w:val="22"/>
              </w:rPr>
              <w:t>配置变频器、独立切换管路及自动控制进出口开关阀，纳入ACCP控制系统。具体要求详见技术规格书6.5.1小节。</w:t>
            </w:r>
          </w:p>
        </w:tc>
        <w:tc>
          <w:tcPr>
            <w:tcW w:w="1057" w:type="dxa"/>
            <w:vAlign w:val="center"/>
          </w:tcPr>
          <w:p w14:paraId="0FCA9AD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48C6669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3482A43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7851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5F785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2F8DC1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943C2A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r>
              <w:rPr>
                <w:rFonts w:hint="eastAsia" w:ascii="宋体" w:hAnsi="宋体"/>
                <w:b/>
                <w:bCs/>
                <w:color w:val="FF0000"/>
                <w:szCs w:val="22"/>
              </w:rPr>
              <w:t>▲29. 任一已安装螺杆压缩机跳机或故障停机时，</w:t>
            </w:r>
            <w:r>
              <w:rPr>
                <w:rFonts w:ascii="宋体" w:hAnsi="宋体"/>
                <w:b/>
                <w:bCs/>
                <w:color w:val="FF0000"/>
                <w:szCs w:val="22"/>
              </w:rPr>
              <w:t>备用压缩机应能在2 h内投入运行，使ACCP恢复至可维持的运行模式。</w:t>
            </w:r>
            <w:r>
              <w:rPr>
                <w:rFonts w:hint="eastAsia" w:ascii="宋体" w:hAnsi="宋体"/>
                <w:b/>
                <w:bCs/>
                <w:color w:val="FF0000"/>
                <w:szCs w:val="22"/>
              </w:rPr>
              <w:t>投标时</w:t>
            </w:r>
            <w:r>
              <w:rPr>
                <w:rFonts w:ascii="宋体" w:hAnsi="宋体"/>
                <w:b/>
                <w:bCs/>
                <w:color w:val="FF0000"/>
                <w:szCs w:val="22"/>
              </w:rPr>
              <w:t>投标人应说明适用压力等级、运行限制及故障和计划维护时的</w:t>
            </w:r>
            <w:r>
              <w:rPr>
                <w:rFonts w:hint="eastAsia" w:ascii="宋体" w:hAnsi="宋体"/>
                <w:b/>
                <w:bCs/>
                <w:color w:val="FF0000"/>
                <w:szCs w:val="22"/>
              </w:rPr>
              <w:t>初步</w:t>
            </w:r>
            <w:r>
              <w:rPr>
                <w:rFonts w:ascii="宋体" w:hAnsi="宋体"/>
                <w:b/>
                <w:bCs/>
                <w:color w:val="FF0000"/>
                <w:szCs w:val="22"/>
              </w:rPr>
              <w:t>切换方案。具体要求详见技术规格书6.5.2小节。</w:t>
            </w:r>
          </w:p>
        </w:tc>
        <w:tc>
          <w:tcPr>
            <w:tcW w:w="1057" w:type="dxa"/>
            <w:vAlign w:val="center"/>
          </w:tcPr>
          <w:p w14:paraId="64A1F98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c>
          <w:tcPr>
            <w:tcW w:w="1057" w:type="dxa"/>
            <w:vAlign w:val="center"/>
          </w:tcPr>
          <w:p w14:paraId="3E2EBE2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c>
          <w:tcPr>
            <w:tcW w:w="871" w:type="dxa"/>
            <w:vAlign w:val="center"/>
          </w:tcPr>
          <w:p w14:paraId="0BBF2DB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r>
      <w:tr w14:paraId="580BA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43982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3376DA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288715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▲30. 备用压缩机应配备现场性能测试所需的阀门</w:t>
            </w:r>
            <w:r>
              <w:rPr>
                <w:rFonts w:ascii="宋体" w:hAnsi="宋体"/>
                <w:szCs w:val="22"/>
              </w:rPr>
              <w:t>、测点及测试接口，并在现场验收中验证不同压力等级配置下的运行、切换、变频调节及保护联锁功能。具体要求详见技术规格书6.5.3小节。</w:t>
            </w:r>
          </w:p>
        </w:tc>
        <w:tc>
          <w:tcPr>
            <w:tcW w:w="1057" w:type="dxa"/>
            <w:vAlign w:val="center"/>
          </w:tcPr>
          <w:p w14:paraId="311766B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6E5C05B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3E8BED5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00E3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25D2319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4DBC26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56A064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1</w:t>
            </w:r>
            <w:r>
              <w:rPr>
                <w:rFonts w:ascii="宋体" w:hAnsi="宋体"/>
                <w:szCs w:val="22"/>
              </w:rPr>
              <w:t>. 干燥器的设计、材料、阀门布置应符合技术规格书6.6小节要求，干燥器全流量时最大允许压降是50 kPa，出口水杂质体积含量应小于1 ppm。具体设计要求详见附件技术规格书6.6小节。</w:t>
            </w:r>
          </w:p>
        </w:tc>
        <w:tc>
          <w:tcPr>
            <w:tcW w:w="1057" w:type="dxa"/>
            <w:vAlign w:val="center"/>
          </w:tcPr>
          <w:p w14:paraId="5F5B534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031BE45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58A790B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2151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D2557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5618EB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01B8EB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w:t>
            </w:r>
            <w:r>
              <w:rPr>
                <w:rFonts w:ascii="宋体" w:hAnsi="宋体"/>
                <w:szCs w:val="22"/>
              </w:rPr>
              <w:t>3</w:t>
            </w:r>
            <w:r>
              <w:rPr>
                <w:rFonts w:hint="eastAsia" w:ascii="宋体" w:hAnsi="宋体"/>
                <w:szCs w:val="22"/>
              </w:rPr>
              <w:t>2</w:t>
            </w:r>
            <w:r>
              <w:rPr>
                <w:rFonts w:ascii="宋体" w:hAnsi="宋体"/>
                <w:szCs w:val="22"/>
              </w:rPr>
              <w:t xml:space="preserve">. </w:t>
            </w:r>
            <w:r>
              <w:rPr>
                <w:rFonts w:hint="eastAsia" w:ascii="宋体" w:hAnsi="宋体"/>
                <w:szCs w:val="22"/>
              </w:rPr>
              <w:t>所有用于压缩机系统过程控制的阀门和相关管道终端应归类设计安装在统一的气体管理面板上，</w:t>
            </w:r>
            <w:r>
              <w:rPr>
                <w:rFonts w:ascii="宋体" w:hAnsi="宋体"/>
                <w:color w:val="000000"/>
                <w:szCs w:val="22"/>
              </w:rPr>
              <w:t>LP 与 VLP 回路之间的旁通阀可设置在现场</w:t>
            </w:r>
            <w:r>
              <w:rPr>
                <w:rFonts w:hint="eastAsia" w:ascii="宋体" w:hAnsi="宋体"/>
                <w:szCs w:val="22"/>
              </w:rPr>
              <w:t>。气体管理面板设计、选型、阀门布置应符合技术规格书6.</w:t>
            </w:r>
            <w:r>
              <w:rPr>
                <w:rFonts w:ascii="宋体" w:hAnsi="宋体"/>
                <w:szCs w:val="22"/>
              </w:rPr>
              <w:t>7</w:t>
            </w:r>
            <w:r>
              <w:rPr>
                <w:rFonts w:hint="eastAsia" w:ascii="宋体" w:hAnsi="宋体"/>
                <w:szCs w:val="22"/>
              </w:rPr>
              <w:t>小节要求，保证运行时氦气的加载和卸载以及压力稳定控制。</w:t>
            </w:r>
            <w:r>
              <w:rPr>
                <w:rFonts w:ascii="宋体" w:hAnsi="宋体"/>
                <w:color w:val="000000"/>
                <w:szCs w:val="22"/>
              </w:rPr>
              <w:t>气体管理面板</w:t>
            </w:r>
            <w:r>
              <w:rPr>
                <w:rFonts w:ascii="宋体" w:hAnsi="宋体"/>
                <w:szCs w:val="22"/>
              </w:rPr>
              <w:t>应被设计成可以准确调节高低压压力。制冷机稳定运行时，</w:t>
            </w:r>
            <w:r>
              <w:rPr>
                <w:rFonts w:hint="eastAsia"/>
                <w:color w:val="000000"/>
                <w:szCs w:val="22"/>
              </w:rPr>
              <w:t xml:space="preserve">压缩机吸气低压的波动应控制在 </w:t>
            </w:r>
            <w:r>
              <w:rPr>
                <w:b/>
                <w:bCs/>
                <w:color w:val="000000"/>
                <w:szCs w:val="22"/>
              </w:rPr>
              <w:t>±</w:t>
            </w:r>
            <w:r>
              <w:rPr>
                <w:color w:val="000000"/>
                <w:szCs w:val="22"/>
              </w:rPr>
              <w:t>10</w:t>
            </w:r>
            <w:r>
              <w:rPr>
                <w:b/>
                <w:bCs/>
                <w:color w:val="000000"/>
                <w:szCs w:val="22"/>
              </w:rPr>
              <w:t xml:space="preserve"> mbar</w:t>
            </w:r>
            <w:r>
              <w:rPr>
                <w:rFonts w:hint="eastAsia"/>
                <w:color w:val="000000"/>
                <w:szCs w:val="22"/>
              </w:rPr>
              <w:t xml:space="preserve"> 范围内</w:t>
            </w:r>
            <w:r>
              <w:rPr>
                <w:rFonts w:ascii="宋体" w:hAnsi="宋体"/>
                <w:szCs w:val="22"/>
              </w:rPr>
              <w:t>。</w:t>
            </w:r>
            <w:r>
              <w:rPr>
                <w:rFonts w:hint="eastAsia" w:ascii="宋体" w:hAnsi="宋体"/>
                <w:szCs w:val="22"/>
              </w:rPr>
              <w:t>具体设计要求详见附件技术规格书6.</w:t>
            </w:r>
            <w:r>
              <w:rPr>
                <w:rFonts w:ascii="宋体" w:hAnsi="宋体"/>
                <w:szCs w:val="22"/>
              </w:rPr>
              <w:t>7</w:t>
            </w:r>
            <w:r>
              <w:rPr>
                <w:rFonts w:hint="eastAsia" w:ascii="宋体" w:hAnsi="宋体"/>
                <w:szCs w:val="22"/>
              </w:rPr>
              <w:t>小节。</w:t>
            </w:r>
          </w:p>
        </w:tc>
        <w:tc>
          <w:tcPr>
            <w:tcW w:w="1057" w:type="dxa"/>
            <w:vAlign w:val="center"/>
          </w:tcPr>
          <w:p w14:paraId="2F4F382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27D6847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6B25CF3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59B0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94FBE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D2F2F6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69AC37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3</w:t>
            </w:r>
            <w:r>
              <w:rPr>
                <w:rFonts w:ascii="宋体" w:hAnsi="宋体"/>
                <w:szCs w:val="22"/>
              </w:rPr>
              <w:t xml:space="preserve">. </w:t>
            </w:r>
            <w:r>
              <w:rPr>
                <w:rFonts w:ascii="宋体" w:hAnsi="宋体"/>
                <w:color w:val="000000"/>
                <w:szCs w:val="22"/>
              </w:rPr>
              <w:t>压缩机系统所有可能超过设计压力的部件应通过安全阀进行超压保护。安全阀选型和管路结构设计</w:t>
            </w:r>
            <w:r>
              <w:rPr>
                <w:rFonts w:ascii="宋体" w:hAnsi="宋体"/>
                <w:szCs w:val="22"/>
              </w:rPr>
              <w:t>应符合技术规格书6.8小节要求。具体设计要求详见附件技术规格书6.8小节。</w:t>
            </w:r>
          </w:p>
        </w:tc>
        <w:tc>
          <w:tcPr>
            <w:tcW w:w="1057" w:type="dxa"/>
            <w:vAlign w:val="center"/>
          </w:tcPr>
          <w:p w14:paraId="189F078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2B7CC0B2">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6083377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61E4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A22612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3778FF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66FE97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color w:val="000000"/>
                <w:szCs w:val="22"/>
              </w:rPr>
              <w:t>3</w:t>
            </w:r>
            <w:r>
              <w:rPr>
                <w:rFonts w:hint="eastAsia" w:ascii="宋体" w:hAnsi="宋体"/>
                <w:color w:val="000000"/>
                <w:szCs w:val="22"/>
              </w:rPr>
              <w:t>4</w:t>
            </w:r>
            <w:r>
              <w:rPr>
                <w:rFonts w:ascii="宋体" w:hAnsi="宋体"/>
                <w:color w:val="000000"/>
                <w:szCs w:val="22"/>
              </w:rPr>
              <w:t>. 压缩机系统应留有气体分析仪采样接口，</w:t>
            </w:r>
            <w:r>
              <w:rPr>
                <w:rFonts w:hint="eastAsia" w:ascii="宋体" w:hAnsi="宋体"/>
                <w:color w:val="000000"/>
                <w:szCs w:val="22"/>
              </w:rPr>
              <w:t>分析仪信号采集应接入ACCP控制系统</w:t>
            </w:r>
            <w:r>
              <w:rPr>
                <w:rFonts w:ascii="宋体" w:hAnsi="宋体"/>
                <w:color w:val="000000"/>
                <w:szCs w:val="22"/>
              </w:rPr>
              <w:t>且符合</w:t>
            </w:r>
            <w:r>
              <w:rPr>
                <w:rFonts w:ascii="宋体" w:hAnsi="宋体"/>
                <w:szCs w:val="22"/>
              </w:rPr>
              <w:t>技术规格书6.9小节要求。具体设计要求详见附件技术规格书6.9小节。</w:t>
            </w:r>
          </w:p>
        </w:tc>
        <w:tc>
          <w:tcPr>
            <w:tcW w:w="1057" w:type="dxa"/>
            <w:vAlign w:val="center"/>
          </w:tcPr>
          <w:p w14:paraId="0EB2D4B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5CF4DB5A">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5A55440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0839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DB4EE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339F0D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099BE1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5</w:t>
            </w:r>
            <w:r>
              <w:rPr>
                <w:rFonts w:ascii="宋体" w:hAnsi="宋体"/>
                <w:szCs w:val="22"/>
              </w:rPr>
              <w:t xml:space="preserve">. </w:t>
            </w:r>
            <w:r>
              <w:rPr>
                <w:rFonts w:ascii="宋体" w:hAnsi="宋体"/>
                <w:color w:val="000000"/>
                <w:szCs w:val="22"/>
              </w:rPr>
              <w:t>投标人应负责协助采购人设计压缩机撬装之间的油和氦管道并安装指导。压缩机系统管道系统设计</w:t>
            </w:r>
            <w:r>
              <w:rPr>
                <w:rFonts w:ascii="宋体" w:hAnsi="宋体"/>
                <w:szCs w:val="22"/>
              </w:rPr>
              <w:t>应符合技术规格书6.10小节要求。具体设计要求详见附件技术规格书6.10小节。</w:t>
            </w:r>
          </w:p>
        </w:tc>
        <w:tc>
          <w:tcPr>
            <w:tcW w:w="1057" w:type="dxa"/>
            <w:vAlign w:val="center"/>
          </w:tcPr>
          <w:p w14:paraId="7EBC9EE1">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19E9F8D">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790618C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7D68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554983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E9560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4D8726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6</w:t>
            </w:r>
            <w:r>
              <w:rPr>
                <w:rFonts w:ascii="宋体" w:hAnsi="宋体"/>
                <w:szCs w:val="22"/>
              </w:rPr>
              <w:t xml:space="preserve">. </w:t>
            </w:r>
            <w:r>
              <w:rPr>
                <w:rFonts w:hint="eastAsia" w:ascii="宋体" w:hAnsi="宋体"/>
                <w:szCs w:val="22"/>
              </w:rPr>
              <w:t>投标人应确保压缩机系统能在所有运行模式（包括验收试验、保护、控制和联锁）下有足够的安全、有效的采集和测量手段，用于监测其运行状态。压缩机系统采集和测量点位布置要满足技术规格书6.1</w:t>
            </w:r>
            <w:r>
              <w:rPr>
                <w:rFonts w:ascii="宋体" w:hAnsi="宋体"/>
                <w:szCs w:val="22"/>
              </w:rPr>
              <w:t>1</w:t>
            </w:r>
            <w:r>
              <w:rPr>
                <w:rFonts w:hint="eastAsia" w:ascii="宋体" w:hAnsi="宋体"/>
                <w:szCs w:val="22"/>
              </w:rPr>
              <w:t>小节要求。需分类列明压缩机自带测量点位和系统运行所需的测量点类型和数量。具体设计要求详见附件技术规格书6.1</w:t>
            </w:r>
            <w:r>
              <w:rPr>
                <w:rFonts w:ascii="宋体" w:hAnsi="宋体"/>
                <w:szCs w:val="22"/>
              </w:rPr>
              <w:t>1</w:t>
            </w:r>
            <w:r>
              <w:rPr>
                <w:rFonts w:hint="eastAsia" w:ascii="宋体" w:hAnsi="宋体"/>
                <w:szCs w:val="22"/>
              </w:rPr>
              <w:t>小节。</w:t>
            </w:r>
          </w:p>
        </w:tc>
        <w:tc>
          <w:tcPr>
            <w:tcW w:w="1057" w:type="dxa"/>
            <w:vAlign w:val="center"/>
          </w:tcPr>
          <w:p w14:paraId="56CC411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0D27666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1475D62">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1B7A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1C6CD1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4642E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CC567B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3</w:t>
            </w:r>
            <w:r>
              <w:rPr>
                <w:rFonts w:hint="eastAsia" w:ascii="宋体" w:hAnsi="宋体"/>
                <w:szCs w:val="22"/>
              </w:rPr>
              <w:t>7</w:t>
            </w:r>
            <w:r>
              <w:rPr>
                <w:rFonts w:ascii="宋体" w:hAnsi="宋体"/>
                <w:szCs w:val="22"/>
              </w:rPr>
              <w:t xml:space="preserve">. </w:t>
            </w:r>
            <w:r>
              <w:rPr>
                <w:rFonts w:hint="eastAsia" w:ascii="宋体" w:hAnsi="宋体"/>
                <w:szCs w:val="22"/>
              </w:rPr>
              <w:t>投标人所提供的压缩机及其附属系统应保证优良的密封性，符合技术规格书6.1</w:t>
            </w:r>
            <w:r>
              <w:rPr>
                <w:rFonts w:ascii="宋体" w:hAnsi="宋体"/>
                <w:szCs w:val="22"/>
              </w:rPr>
              <w:t>2</w:t>
            </w:r>
            <w:r>
              <w:rPr>
                <w:rFonts w:hint="eastAsia" w:ascii="宋体" w:hAnsi="宋体"/>
                <w:szCs w:val="22"/>
              </w:rPr>
              <w:t>小节指标要求。具体设计要求详见附件技术规格书6.1</w:t>
            </w:r>
            <w:r>
              <w:rPr>
                <w:rFonts w:ascii="宋体" w:hAnsi="宋体"/>
                <w:szCs w:val="22"/>
              </w:rPr>
              <w:t>2</w:t>
            </w:r>
            <w:r>
              <w:rPr>
                <w:rFonts w:hint="eastAsia" w:ascii="宋体" w:hAnsi="宋体"/>
                <w:szCs w:val="22"/>
              </w:rPr>
              <w:t>小节。</w:t>
            </w:r>
          </w:p>
        </w:tc>
        <w:tc>
          <w:tcPr>
            <w:tcW w:w="1057" w:type="dxa"/>
            <w:vAlign w:val="center"/>
          </w:tcPr>
          <w:p w14:paraId="4DE8AF42">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51A669FD">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13A82B3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42D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52F165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75703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AD2226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szCs w:val="22"/>
              </w:rPr>
            </w:pPr>
            <w:r>
              <w:rPr>
                <w:rFonts w:hint="eastAsia" w:ascii="宋体" w:hAnsi="宋体"/>
                <w:b/>
                <w:bCs/>
                <w:color w:val="EE0000"/>
                <w:szCs w:val="22"/>
              </w:rPr>
              <w:t>▲38</w:t>
            </w:r>
            <w:r>
              <w:rPr>
                <w:rFonts w:ascii="宋体" w:hAnsi="宋体"/>
                <w:b/>
                <w:bCs/>
                <w:color w:val="EE0000"/>
                <w:szCs w:val="22"/>
              </w:rPr>
              <w:t>. 投标人提供的冷箱及其附属设备尺寸、运输、地基等要求应符合采购人提供的现场条件。</w:t>
            </w:r>
            <w:r>
              <w:rPr>
                <w:rFonts w:hint="eastAsia" w:ascii="宋体" w:hAnsi="宋体"/>
                <w:b/>
                <w:bCs/>
                <w:color w:val="EE0000"/>
                <w:szCs w:val="22"/>
              </w:rPr>
              <w:t>投标时</w:t>
            </w:r>
            <w:r>
              <w:rPr>
                <w:rFonts w:ascii="宋体" w:hAnsi="宋体"/>
                <w:b/>
                <w:bCs/>
                <w:color w:val="EE0000"/>
                <w:szCs w:val="22"/>
              </w:rPr>
              <w:t>需提供冷箱及其附属设备</w:t>
            </w:r>
            <w:r>
              <w:rPr>
                <w:rFonts w:hint="eastAsia" w:ascii="宋体" w:hAnsi="宋体"/>
                <w:b/>
                <w:bCs/>
                <w:color w:val="EE0000"/>
                <w:szCs w:val="22"/>
              </w:rPr>
              <w:t>初步</w:t>
            </w:r>
            <w:r>
              <w:rPr>
                <w:rFonts w:ascii="宋体" w:hAnsi="宋体"/>
                <w:b/>
                <w:bCs/>
                <w:color w:val="EE0000"/>
                <w:szCs w:val="22"/>
              </w:rPr>
              <w:t>图纸，标明尺寸。具体要求详见技术规格书</w:t>
            </w:r>
            <w:r>
              <w:rPr>
                <w:rFonts w:hint="eastAsia" w:ascii="宋体" w:hAnsi="宋体"/>
                <w:b/>
                <w:bCs/>
                <w:color w:val="EE0000"/>
                <w:szCs w:val="22"/>
              </w:rPr>
              <w:t>7.1-</w:t>
            </w:r>
            <w:r>
              <w:rPr>
                <w:rFonts w:ascii="宋体" w:hAnsi="宋体"/>
                <w:b/>
                <w:bCs/>
                <w:color w:val="EE0000"/>
                <w:szCs w:val="22"/>
              </w:rPr>
              <w:t>7.2小节。</w:t>
            </w:r>
          </w:p>
        </w:tc>
        <w:tc>
          <w:tcPr>
            <w:tcW w:w="1057" w:type="dxa"/>
            <w:vAlign w:val="center"/>
          </w:tcPr>
          <w:p w14:paraId="489A63C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1057" w:type="dxa"/>
            <w:vAlign w:val="center"/>
          </w:tcPr>
          <w:p w14:paraId="47E46B4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c>
          <w:tcPr>
            <w:tcW w:w="871" w:type="dxa"/>
            <w:vAlign w:val="center"/>
          </w:tcPr>
          <w:p w14:paraId="62D15D3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p>
        </w:tc>
      </w:tr>
      <w:tr w14:paraId="02A4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C18B7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B6CC2F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DC4B3F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39. 冷箱壳体的尺寸长度、材质、表面处理应符合技术规格书7.3小节要求。</w:t>
            </w:r>
            <w:r>
              <w:rPr>
                <w:rFonts w:ascii="宋体" w:hAnsi="宋体"/>
                <w:szCs w:val="22"/>
              </w:rPr>
              <w:t>具体设计要求详见附件技术规格书</w:t>
            </w:r>
            <w:r>
              <w:rPr>
                <w:rFonts w:hint="eastAsia" w:ascii="宋体" w:hAnsi="宋体"/>
                <w:szCs w:val="22"/>
              </w:rPr>
              <w:t>7.3</w:t>
            </w:r>
            <w:r>
              <w:rPr>
                <w:rFonts w:ascii="宋体" w:hAnsi="宋体"/>
                <w:szCs w:val="22"/>
              </w:rPr>
              <w:t>小节。</w:t>
            </w:r>
          </w:p>
        </w:tc>
        <w:tc>
          <w:tcPr>
            <w:tcW w:w="1057" w:type="dxa"/>
            <w:vAlign w:val="center"/>
          </w:tcPr>
          <w:p w14:paraId="3CA6741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63A1E77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62C1FBA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1321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8CA267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A183D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177D60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▲40</w:t>
            </w:r>
            <w:r>
              <w:rPr>
                <w:rFonts w:ascii="宋体" w:hAnsi="宋体"/>
                <w:szCs w:val="22"/>
              </w:rPr>
              <w:t>. 投标人应</w:t>
            </w:r>
            <w:r>
              <w:rPr>
                <w:rFonts w:hint="eastAsia" w:ascii="宋体" w:hAnsi="宋体"/>
                <w:szCs w:val="22"/>
              </w:rPr>
              <w:t>在项目执行阶段提供</w:t>
            </w:r>
            <w:r>
              <w:rPr>
                <w:rFonts w:ascii="宋体" w:hAnsi="宋体"/>
                <w:szCs w:val="22"/>
              </w:rPr>
              <w:t>采用换热器的制造商、设计标准、设计压力、设计温度、清洁等级和检漏方法。</w:t>
            </w:r>
            <w:r>
              <w:rPr>
                <w:rFonts w:hint="eastAsia"/>
                <w:color w:val="000000"/>
                <w:szCs w:val="22"/>
              </w:rPr>
              <w:t>板翅式换热器应采用真空钎焊焊接。需提供拟采用的铝-不锈钢转接过渡件的类型和来源。</w:t>
            </w:r>
          </w:p>
        </w:tc>
        <w:tc>
          <w:tcPr>
            <w:tcW w:w="1057" w:type="dxa"/>
            <w:vAlign w:val="center"/>
          </w:tcPr>
          <w:p w14:paraId="357084F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75306F7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5E3F56E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5764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4842B9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F3A0FB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D89317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▲41</w:t>
            </w:r>
            <w:r>
              <w:rPr>
                <w:rFonts w:ascii="宋体" w:hAnsi="宋体"/>
                <w:szCs w:val="22"/>
              </w:rPr>
              <w:t>.</w:t>
            </w:r>
            <w:r>
              <w:rPr>
                <w:rFonts w:hint="eastAsia"/>
                <w:color w:val="000000"/>
                <w:szCs w:val="22"/>
              </w:rPr>
              <w:t>投标人应保证所有换热器及关键部件的设计均充分考虑合理压降，以确保ACCP 性能及 2 K 回路稳定性。在项目执行期间，中标人应提供包含T-S 图的流程说明，详细列明各运行模式的性能汇总及接口流程工况。该说明应包含表示常规设计运行工况主要热力学节点的T-S 图，以替代提供专有的部件级压降数据或各换热器参数。</w:t>
            </w:r>
          </w:p>
        </w:tc>
        <w:tc>
          <w:tcPr>
            <w:tcW w:w="1057" w:type="dxa"/>
            <w:vAlign w:val="center"/>
          </w:tcPr>
          <w:p w14:paraId="6F608BD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4D26576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51F0A0A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02DD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760023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C8E92D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33531B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▲42</w:t>
            </w:r>
            <w:r>
              <w:rPr>
                <w:rFonts w:ascii="宋体" w:hAnsi="宋体"/>
                <w:szCs w:val="22"/>
              </w:rPr>
              <w:t xml:space="preserve">. </w:t>
            </w:r>
            <w:r>
              <w:rPr>
                <w:rFonts w:hint="eastAsia" w:ascii="宋体" w:hAnsi="宋体"/>
                <w:szCs w:val="22"/>
              </w:rPr>
              <w:t>所有在20 K以下运行的换热器或部分在20 K以下运行的换热器应垂直布置，且热端朝上，否则，布置时应与IASF商定。在20 K以上运行的换热器应水平布置。</w:t>
            </w:r>
          </w:p>
        </w:tc>
        <w:tc>
          <w:tcPr>
            <w:tcW w:w="1057" w:type="dxa"/>
            <w:vAlign w:val="center"/>
          </w:tcPr>
          <w:p w14:paraId="4224464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0BBA50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6F03CBA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558A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85C5E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F0F941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E9995E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3</w:t>
            </w:r>
            <w:r>
              <w:rPr>
                <w:rFonts w:ascii="宋体" w:hAnsi="宋体"/>
                <w:szCs w:val="22"/>
              </w:rPr>
              <w:t>. 换热器设计时应符合</w:t>
            </w:r>
            <w:r>
              <w:rPr>
                <w:rFonts w:hint="eastAsia" w:ascii="宋体" w:hAnsi="宋体"/>
                <w:szCs w:val="22"/>
              </w:rPr>
              <w:t>设计制造</w:t>
            </w:r>
            <w:r>
              <w:rPr>
                <w:rFonts w:ascii="宋体" w:hAnsi="宋体"/>
                <w:szCs w:val="22"/>
              </w:rPr>
              <w:t>标准</w:t>
            </w:r>
            <w:r>
              <w:rPr>
                <w:rFonts w:hint="eastAsia" w:ascii="宋体" w:hAnsi="宋体"/>
                <w:szCs w:val="22"/>
              </w:rPr>
              <w:t>。</w:t>
            </w:r>
            <w:r>
              <w:rPr>
                <w:rFonts w:ascii="宋体" w:hAnsi="宋体"/>
                <w:szCs w:val="22"/>
              </w:rPr>
              <w:t>所有换热器的</w:t>
            </w:r>
            <w:r>
              <w:rPr>
                <w:rFonts w:hint="eastAsia" w:ascii="宋体" w:hAnsi="宋体"/>
                <w:szCs w:val="22"/>
              </w:rPr>
              <w:t>传热面积应在不同运行模式计算出的所需最大换热面积基础上留有10%以上裕量，且符合技术规格书7.</w:t>
            </w:r>
            <w:r>
              <w:rPr>
                <w:rFonts w:ascii="宋体" w:hAnsi="宋体"/>
                <w:szCs w:val="22"/>
              </w:rPr>
              <w:t>4</w:t>
            </w:r>
            <w:r>
              <w:rPr>
                <w:rFonts w:hint="eastAsia" w:ascii="宋体" w:hAnsi="宋体"/>
                <w:szCs w:val="22"/>
              </w:rPr>
              <w:t>.2小节设计要求。具体要求详见技术规格书7.</w:t>
            </w:r>
            <w:r>
              <w:rPr>
                <w:rFonts w:ascii="宋体" w:hAnsi="宋体"/>
                <w:szCs w:val="22"/>
              </w:rPr>
              <w:t>4</w:t>
            </w:r>
            <w:r>
              <w:rPr>
                <w:rFonts w:hint="eastAsia" w:ascii="宋体" w:hAnsi="宋体"/>
                <w:szCs w:val="22"/>
              </w:rPr>
              <w:t>.2小节。</w:t>
            </w:r>
          </w:p>
        </w:tc>
        <w:tc>
          <w:tcPr>
            <w:tcW w:w="1057" w:type="dxa"/>
            <w:vAlign w:val="center"/>
          </w:tcPr>
          <w:p w14:paraId="1684945C">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612369ED">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79D7355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0853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FB09D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3F7D8C7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76AA24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4</w:t>
            </w:r>
            <w:r>
              <w:rPr>
                <w:rFonts w:ascii="宋体" w:hAnsi="宋体"/>
                <w:szCs w:val="22"/>
              </w:rPr>
              <w:t xml:space="preserve">. </w:t>
            </w:r>
            <w:r>
              <w:rPr>
                <w:rFonts w:hint="eastAsia" w:ascii="宋体" w:hAnsi="宋体"/>
                <w:szCs w:val="22"/>
              </w:rPr>
              <w:t>为保证液氮预冷级高效、稳定、可靠运行，</w:t>
            </w:r>
            <w:r>
              <w:rPr>
                <w:rFonts w:ascii="宋体" w:hAnsi="宋体"/>
                <w:color w:val="000000"/>
                <w:szCs w:val="22"/>
              </w:rPr>
              <w:t>液氮预冷级换热器可采用液氮浴、热虹吸或</w:t>
            </w:r>
            <w:r>
              <w:rPr>
                <w:rFonts w:hint="eastAsia" w:ascii="宋体" w:hAnsi="宋体"/>
                <w:color w:val="000000"/>
                <w:szCs w:val="22"/>
              </w:rPr>
              <w:t>产品制造商</w:t>
            </w:r>
            <w:r>
              <w:rPr>
                <w:rFonts w:ascii="宋体" w:hAnsi="宋体"/>
                <w:color w:val="000000"/>
                <w:szCs w:val="22"/>
              </w:rPr>
              <w:t>已有成熟应用的其他结构。</w:t>
            </w:r>
            <w:r>
              <w:rPr>
                <w:rFonts w:hint="eastAsia" w:ascii="宋体" w:hAnsi="宋体"/>
                <w:szCs w:val="22"/>
              </w:rPr>
              <w:t>整体符合技术规格书7.</w:t>
            </w:r>
            <w:r>
              <w:rPr>
                <w:rFonts w:ascii="宋体" w:hAnsi="宋体"/>
                <w:szCs w:val="22"/>
              </w:rPr>
              <w:t>4</w:t>
            </w:r>
            <w:r>
              <w:rPr>
                <w:rFonts w:hint="eastAsia" w:ascii="宋体" w:hAnsi="宋体"/>
                <w:szCs w:val="22"/>
              </w:rPr>
              <w:t>.3小节设计要求。具体要求详见技术规格书7.</w:t>
            </w:r>
            <w:r>
              <w:rPr>
                <w:rFonts w:ascii="宋体" w:hAnsi="宋体"/>
                <w:szCs w:val="22"/>
              </w:rPr>
              <w:t>4</w:t>
            </w:r>
            <w:r>
              <w:rPr>
                <w:rFonts w:hint="eastAsia" w:ascii="宋体" w:hAnsi="宋体"/>
                <w:szCs w:val="22"/>
              </w:rPr>
              <w:t>.3小节。</w:t>
            </w:r>
          </w:p>
        </w:tc>
        <w:tc>
          <w:tcPr>
            <w:tcW w:w="1057" w:type="dxa"/>
            <w:vAlign w:val="center"/>
          </w:tcPr>
          <w:p w14:paraId="3165BB0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73E9701F">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2B834DC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4719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7DAFD0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9380D1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7610D77">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color w:val="000000"/>
                <w:szCs w:val="22"/>
              </w:rPr>
              <w:t>▲45</w:t>
            </w:r>
            <w:r>
              <w:rPr>
                <w:rFonts w:ascii="宋体" w:hAnsi="宋体"/>
                <w:color w:val="000000"/>
                <w:szCs w:val="22"/>
              </w:rPr>
              <w:t>. 透平膨胀机应采用气体支撑轴承，设计工况下一级透平膨胀机效率应大于75%。</w:t>
            </w:r>
            <w:r>
              <w:rPr>
                <w:rFonts w:hint="eastAsia" w:ascii="宋体" w:hAnsi="宋体"/>
                <w:color w:val="000000"/>
                <w:szCs w:val="22"/>
              </w:rPr>
              <w:t>投标人所用透平膨胀机需为具备长期运行可靠运行记录，</w:t>
            </w:r>
            <w:r>
              <w:rPr>
                <w:rFonts w:hint="eastAsia"/>
                <w:color w:val="000000"/>
                <w:szCs w:val="22"/>
              </w:rPr>
              <w:t>每台透平膨胀机应在发货前进行低温测试，并向提供测试报告。在项目执行期间提供透平膨胀机的运行限值。</w:t>
            </w:r>
          </w:p>
        </w:tc>
        <w:tc>
          <w:tcPr>
            <w:tcW w:w="1057" w:type="dxa"/>
            <w:vAlign w:val="center"/>
          </w:tcPr>
          <w:p w14:paraId="1DFEC7C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6970E61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42792A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3FC8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EAADB2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3BAE85A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1FF119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4</w:t>
            </w:r>
            <w:r>
              <w:rPr>
                <w:rFonts w:hint="eastAsia" w:ascii="宋体" w:hAnsi="宋体"/>
                <w:szCs w:val="22"/>
              </w:rPr>
              <w:t>6</w:t>
            </w:r>
            <w:r>
              <w:rPr>
                <w:rFonts w:ascii="宋体" w:hAnsi="宋体"/>
                <w:szCs w:val="22"/>
              </w:rPr>
              <w:t>. 投标人提供的透平膨胀机性能应兼顾所有要求的运行模式，高效稳定运行，整体符合技术规格书7.5.2小节设计要求。具体要求详见技术规格书7.5.2小节。</w:t>
            </w:r>
          </w:p>
        </w:tc>
        <w:tc>
          <w:tcPr>
            <w:tcW w:w="1057" w:type="dxa"/>
            <w:vAlign w:val="center"/>
          </w:tcPr>
          <w:p w14:paraId="5119AD5E">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1653409E">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0EA85D3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0694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C383CA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6EFE08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BBD4AA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▲47</w:t>
            </w:r>
            <w:r>
              <w:rPr>
                <w:rFonts w:ascii="宋体" w:hAnsi="宋体"/>
                <w:color w:val="000000"/>
                <w:szCs w:val="22"/>
              </w:rPr>
              <w:t xml:space="preserve">. </w:t>
            </w:r>
            <w:r>
              <w:rPr>
                <w:rFonts w:hint="eastAsia"/>
                <w:color w:val="000000"/>
                <w:szCs w:val="22"/>
              </w:rPr>
              <w:t>冷压缩机应使用主动电磁悬浮轴承支撑，高速变频电机直接驱动。所用冷压缩机需在其它近似低温工况下测试或被应用过。平均效率大于70%。</w:t>
            </w:r>
          </w:p>
        </w:tc>
        <w:tc>
          <w:tcPr>
            <w:tcW w:w="1057" w:type="dxa"/>
            <w:vAlign w:val="center"/>
          </w:tcPr>
          <w:p w14:paraId="1CC1BFD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054ABB2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7BFC19F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2DA7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4E59DA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722BD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B510A8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w:t>
            </w:r>
            <w:r>
              <w:rPr>
                <w:rFonts w:hint="eastAsia" w:ascii="宋体" w:hAnsi="宋体"/>
                <w:szCs w:val="22"/>
              </w:rPr>
              <w:t>48</w:t>
            </w:r>
            <w:r>
              <w:rPr>
                <w:rFonts w:ascii="宋体" w:hAnsi="宋体"/>
                <w:szCs w:val="22"/>
              </w:rPr>
              <w:t>. 投标人提供的</w:t>
            </w:r>
            <w:r>
              <w:rPr>
                <w:rFonts w:hint="eastAsia" w:ascii="宋体" w:hAnsi="宋体"/>
                <w:szCs w:val="22"/>
              </w:rPr>
              <w:t>冷压缩机电驱动和控制需</w:t>
            </w:r>
            <w:r>
              <w:rPr>
                <w:rFonts w:ascii="宋体" w:hAnsi="宋体"/>
                <w:szCs w:val="22"/>
              </w:rPr>
              <w:t>整体符合技术规格书7.6.2小节设计要求</w:t>
            </w:r>
            <w:r>
              <w:rPr>
                <w:rFonts w:hint="eastAsia" w:ascii="宋体" w:hAnsi="宋体"/>
                <w:szCs w:val="22"/>
              </w:rPr>
              <w:t>，设计、结构、仪表和控制需</w:t>
            </w:r>
            <w:r>
              <w:rPr>
                <w:rFonts w:ascii="宋体" w:hAnsi="宋体"/>
                <w:szCs w:val="22"/>
              </w:rPr>
              <w:t>整体符合技术规格书</w:t>
            </w:r>
            <w:r>
              <w:rPr>
                <w:rFonts w:hint="eastAsia" w:ascii="宋体" w:hAnsi="宋体"/>
                <w:szCs w:val="22"/>
              </w:rPr>
              <w:t>7</w:t>
            </w:r>
            <w:r>
              <w:rPr>
                <w:rFonts w:ascii="宋体" w:hAnsi="宋体"/>
                <w:szCs w:val="22"/>
              </w:rPr>
              <w:t>.6.3小节设计要求。具体要求详见技术规格书7.6.2小节</w:t>
            </w:r>
            <w:r>
              <w:rPr>
                <w:rFonts w:hint="eastAsia" w:ascii="宋体" w:hAnsi="宋体"/>
                <w:szCs w:val="22"/>
              </w:rPr>
              <w:t>和7</w:t>
            </w:r>
            <w:r>
              <w:rPr>
                <w:rFonts w:ascii="宋体" w:hAnsi="宋体"/>
                <w:szCs w:val="22"/>
              </w:rPr>
              <w:t>.6.3小节。</w:t>
            </w:r>
          </w:p>
        </w:tc>
        <w:tc>
          <w:tcPr>
            <w:tcW w:w="1057" w:type="dxa"/>
            <w:vAlign w:val="center"/>
          </w:tcPr>
          <w:p w14:paraId="51D60CD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5ADF64C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51A4E7D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3712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D2018C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740615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C5C336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▲49</w:t>
            </w:r>
            <w:r>
              <w:rPr>
                <w:rFonts w:ascii="宋体" w:hAnsi="宋体"/>
                <w:szCs w:val="22"/>
              </w:rPr>
              <w:t>. 对于80K温区吸附器，</w:t>
            </w:r>
            <w:r>
              <w:rPr>
                <w:rFonts w:hint="eastAsia" w:ascii="宋体" w:hAnsi="宋体"/>
                <w:szCs w:val="22"/>
              </w:rPr>
              <w:t>产品制造商</w:t>
            </w:r>
            <w:r>
              <w:rPr>
                <w:rFonts w:ascii="宋体" w:hAnsi="宋体"/>
                <w:szCs w:val="22"/>
              </w:rPr>
              <w:t>应设计安装两个可切换的并联吸附器。当</w:t>
            </w:r>
            <w:r>
              <w:rPr>
                <w:rFonts w:hint="eastAsia" w:ascii="宋体" w:hAnsi="宋体"/>
                <w:szCs w:val="22"/>
              </w:rPr>
              <w:t>ACCP</w:t>
            </w:r>
            <w:r>
              <w:rPr>
                <w:rFonts w:ascii="宋体" w:hAnsi="宋体"/>
                <w:szCs w:val="22"/>
              </w:rPr>
              <w:t>以最大负荷运行时，单个吸附器应能在72小时内再生并重新冷却。单个吸附器在最大设计允许杂质下连续运行时间要大于</w:t>
            </w:r>
            <w:r>
              <w:rPr>
                <w:rFonts w:hint="eastAsia" w:ascii="宋体" w:hAnsi="宋体"/>
                <w:szCs w:val="22"/>
              </w:rPr>
              <w:t>120</w:t>
            </w:r>
            <w:r>
              <w:rPr>
                <w:rFonts w:ascii="宋体" w:hAnsi="宋体"/>
                <w:szCs w:val="22"/>
              </w:rPr>
              <w:t>小时。吸附器的再生和切换应符合技术规格书7.7.1小节的设计要求。具体要求详见技术规格书7.7.1小节。</w:t>
            </w:r>
          </w:p>
        </w:tc>
        <w:tc>
          <w:tcPr>
            <w:tcW w:w="1057" w:type="dxa"/>
            <w:vAlign w:val="center"/>
          </w:tcPr>
          <w:p w14:paraId="1619805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4DD8799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75E2723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77C8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6288A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19496A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F30C5B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▲50</w:t>
            </w:r>
            <w:r>
              <w:rPr>
                <w:rFonts w:ascii="宋体" w:hAnsi="宋体"/>
                <w:szCs w:val="22"/>
              </w:rPr>
              <w:t>. 对于20K温区吸附器，流程设计和控制应确保该吸附器在稳态运行模式（包括最大液化模式）下的工作温度均低于25 K。并应针对设计20 K吸附器的在线再生方案，预留相应的旁通管线、抽气和置换接口。应符合技术规格书7.7.2小节的设计要求。具体要求详见技术规格书7.7.2小节。</w:t>
            </w:r>
          </w:p>
        </w:tc>
        <w:tc>
          <w:tcPr>
            <w:tcW w:w="1057" w:type="dxa"/>
            <w:vAlign w:val="center"/>
          </w:tcPr>
          <w:p w14:paraId="2D86966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54C5656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050AC31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2DE3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F41576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2769C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CEDEB8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1</w:t>
            </w:r>
            <w:r>
              <w:rPr>
                <w:rFonts w:ascii="宋体" w:hAnsi="宋体"/>
                <w:szCs w:val="22"/>
              </w:rPr>
              <w:t xml:space="preserve">. </w:t>
            </w:r>
            <w:r>
              <w:rPr>
                <w:rFonts w:hint="eastAsia" w:ascii="宋体" w:hAnsi="宋体"/>
                <w:szCs w:val="22"/>
              </w:rPr>
              <w:t>产品制造商</w:t>
            </w:r>
            <w:r>
              <w:rPr>
                <w:rFonts w:ascii="宋体" w:hAnsi="宋体"/>
                <w:szCs w:val="22"/>
              </w:rPr>
              <w:t>应在合适的位置布置过滤器，用以防护杂质。</w:t>
            </w:r>
            <w:r>
              <w:rPr>
                <w:rFonts w:hint="eastAsia" w:ascii="宋体" w:hAnsi="宋体"/>
                <w:szCs w:val="22"/>
              </w:rPr>
              <w:t>所有</w:t>
            </w:r>
            <w:r>
              <w:rPr>
                <w:rFonts w:hint="eastAsia"/>
                <w:color w:val="000000"/>
                <w:szCs w:val="22"/>
              </w:rPr>
              <w:t>过滤器应按常规设计模式确定尺寸。</w:t>
            </w:r>
            <w:r>
              <w:rPr>
                <w:rFonts w:ascii="宋体" w:hAnsi="宋体"/>
                <w:szCs w:val="22"/>
              </w:rPr>
              <w:t>相关设计及尺寸位置要求应符合技术规格书7.8小节的设计要求。具体要求详见技术规格书7.8小节。</w:t>
            </w:r>
          </w:p>
        </w:tc>
        <w:tc>
          <w:tcPr>
            <w:tcW w:w="1057" w:type="dxa"/>
            <w:vAlign w:val="center"/>
          </w:tcPr>
          <w:p w14:paraId="501DC9CB">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2F11ECB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5921EFFC">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F789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6FBF3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6F4878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38DB520">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2</w:t>
            </w:r>
            <w:r>
              <w:rPr>
                <w:rFonts w:ascii="宋体" w:hAnsi="宋体"/>
                <w:szCs w:val="22"/>
              </w:rPr>
              <w:t>. 冷箱应配备至少一个配有4.5 K液氦过冷换热器的相分离器</w:t>
            </w:r>
            <w:r>
              <w:rPr>
                <w:rFonts w:hint="eastAsia" w:ascii="宋体" w:hAnsi="宋体"/>
                <w:szCs w:val="22"/>
              </w:rPr>
              <w:t>以及一个2</w:t>
            </w:r>
            <w:r>
              <w:rPr>
                <w:rFonts w:ascii="宋体" w:hAnsi="宋体"/>
                <w:szCs w:val="22"/>
              </w:rPr>
              <w:t xml:space="preserve"> K</w:t>
            </w:r>
            <w:r>
              <w:rPr>
                <w:rFonts w:hint="eastAsia" w:ascii="宋体" w:hAnsi="宋体"/>
                <w:szCs w:val="22"/>
              </w:rPr>
              <w:t>相分离器</w:t>
            </w:r>
            <w:r>
              <w:rPr>
                <w:rFonts w:ascii="宋体" w:hAnsi="宋体"/>
                <w:szCs w:val="22"/>
              </w:rPr>
              <w:t>并配有相应接口。其设计压力、设计形式和接口应符合技术规格书7.9小节的设计要求。具体要求详见技术规格书7.9小节。</w:t>
            </w:r>
          </w:p>
        </w:tc>
        <w:tc>
          <w:tcPr>
            <w:tcW w:w="1057" w:type="dxa"/>
            <w:vAlign w:val="center"/>
          </w:tcPr>
          <w:p w14:paraId="02FA4B4E">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0FA7F978">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C0CB1F2">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015E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F691FD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962E25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16F32B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3</w:t>
            </w:r>
            <w:r>
              <w:rPr>
                <w:rFonts w:ascii="宋体" w:hAnsi="宋体"/>
                <w:szCs w:val="22"/>
              </w:rPr>
              <w:t>. 冷箱内部需要安装电加热器，满足各种模式验收和运行需求。安装位置及相关设计应符合技术规格书7.10小节的设计要求。具体要求详见技术规格书7.10小节。</w:t>
            </w:r>
          </w:p>
        </w:tc>
        <w:tc>
          <w:tcPr>
            <w:tcW w:w="1057" w:type="dxa"/>
            <w:vAlign w:val="center"/>
          </w:tcPr>
          <w:p w14:paraId="75E8F1F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3B796FD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6C03278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655E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21DDCB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AA749D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D77875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4</w:t>
            </w:r>
            <w:r>
              <w:rPr>
                <w:rFonts w:ascii="宋体" w:hAnsi="宋体"/>
                <w:szCs w:val="22"/>
              </w:rPr>
              <w:t>. 冷箱上与压缩机站相连接的接口管道应留有隔断阀、减压阀、就地的压力表、压力变送器和安全阀以及末端焊接接口。</w:t>
            </w:r>
            <w:r>
              <w:rPr>
                <w:rFonts w:hint="eastAsia" w:ascii="宋体" w:hAnsi="宋体"/>
                <w:szCs w:val="22"/>
              </w:rPr>
              <w:t>常规设计模式下，</w:t>
            </w:r>
            <w:r>
              <w:rPr>
                <w:rFonts w:ascii="宋体" w:hAnsi="宋体"/>
                <w:szCs w:val="22"/>
              </w:rPr>
              <w:t>接口管道的尺寸需要按压降要求</w:t>
            </w:r>
            <w:r>
              <w:rPr>
                <w:rFonts w:hint="eastAsia" w:ascii="宋体" w:hAnsi="宋体"/>
                <w:szCs w:val="22"/>
              </w:rPr>
              <w:t>不超过低压管道供气绝对压力值的2%，不超过高压管道供气绝对压力值的0.5%，不超过中压管道供气绝对压力值的1%，不超过负压管道供气压力绝对值的1%。</w:t>
            </w:r>
            <w:r>
              <w:rPr>
                <w:rFonts w:ascii="宋体" w:hAnsi="宋体"/>
                <w:szCs w:val="22"/>
              </w:rPr>
              <w:t>相关设计要求应符合技术规格书7.11.1小节的设计要求。具体要求详见技术规格书7.11.1小节。</w:t>
            </w:r>
          </w:p>
        </w:tc>
        <w:tc>
          <w:tcPr>
            <w:tcW w:w="1057" w:type="dxa"/>
            <w:vAlign w:val="center"/>
          </w:tcPr>
          <w:p w14:paraId="63B373E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3715257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7C94F44D">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9A37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C531F3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DAC99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FAB4EC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ascii="宋体" w:hAnsi="宋体"/>
                <w:szCs w:val="22"/>
              </w:rPr>
              <w:t>5</w:t>
            </w:r>
            <w:r>
              <w:rPr>
                <w:rFonts w:hint="eastAsia" w:ascii="宋体" w:hAnsi="宋体"/>
                <w:szCs w:val="22"/>
              </w:rPr>
              <w:t>5</w:t>
            </w:r>
            <w:r>
              <w:rPr>
                <w:rFonts w:ascii="宋体" w:hAnsi="宋体"/>
                <w:szCs w:val="22"/>
              </w:rPr>
              <w:t xml:space="preserve">. </w:t>
            </w:r>
            <w:r>
              <w:rPr>
                <w:rFonts w:hint="eastAsia" w:ascii="宋体" w:hAnsi="宋体"/>
                <w:szCs w:val="22"/>
              </w:rPr>
              <w:t>在设计冷箱上与低温分配系统相连接的接口时，冷箱的真空容器应配备一个多通道接口用于低温分配系统（CDS）和冷箱连接，</w:t>
            </w:r>
            <w:r>
              <w:rPr>
                <w:rFonts w:ascii="宋体" w:hAnsi="宋体"/>
                <w:szCs w:val="22"/>
              </w:rPr>
              <w:t>包括4.5 K供、8 K回、40 K供</w:t>
            </w:r>
            <w:r>
              <w:rPr>
                <w:rFonts w:hint="eastAsia" w:ascii="宋体" w:hAnsi="宋体"/>
                <w:szCs w:val="22"/>
              </w:rPr>
              <w:t>、</w:t>
            </w:r>
            <w:r>
              <w:rPr>
                <w:rFonts w:ascii="宋体" w:hAnsi="宋体"/>
                <w:szCs w:val="22"/>
              </w:rPr>
              <w:t>80 K回</w:t>
            </w:r>
            <w:r>
              <w:rPr>
                <w:rFonts w:hint="eastAsia" w:ascii="宋体" w:hAnsi="宋体"/>
                <w:szCs w:val="22"/>
              </w:rPr>
              <w:t>及2</w:t>
            </w:r>
            <w:r>
              <w:rPr>
                <w:rFonts w:ascii="宋体" w:hAnsi="宋体"/>
                <w:szCs w:val="22"/>
              </w:rPr>
              <w:t>K</w:t>
            </w:r>
            <w:r>
              <w:rPr>
                <w:rFonts w:hint="eastAsia" w:ascii="宋体" w:hAnsi="宋体"/>
                <w:szCs w:val="22"/>
              </w:rPr>
              <w:t>回</w:t>
            </w:r>
            <w:r>
              <w:rPr>
                <w:rFonts w:ascii="宋体" w:hAnsi="宋体"/>
                <w:szCs w:val="22"/>
              </w:rPr>
              <w:t>流管线</w:t>
            </w:r>
            <w:r>
              <w:rPr>
                <w:rFonts w:hint="eastAsia" w:ascii="宋体" w:hAnsi="宋体"/>
                <w:szCs w:val="22"/>
              </w:rPr>
              <w:t>。为便于连接，冷端应垂直于真空容器，方向向上。</w:t>
            </w:r>
            <w:r>
              <w:rPr>
                <w:rFonts w:ascii="宋体" w:hAnsi="宋体"/>
                <w:szCs w:val="22"/>
              </w:rPr>
              <w:t>上述所有管线都应各自配备远程操作控制阀用以将冷箱与分配系统断开。相关接口的尺寸、阀门、结构设计应符合技术规格书7.11.2小节的设计要求。</w:t>
            </w:r>
          </w:p>
        </w:tc>
        <w:tc>
          <w:tcPr>
            <w:tcW w:w="1057" w:type="dxa"/>
            <w:vAlign w:val="center"/>
          </w:tcPr>
          <w:p w14:paraId="7D4F7345">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646B840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57698F90">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49B7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A1CCBF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A9909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699647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5</w:t>
            </w:r>
            <w:r>
              <w:rPr>
                <w:rFonts w:hint="eastAsia" w:ascii="宋体" w:hAnsi="宋体"/>
                <w:szCs w:val="22"/>
              </w:rPr>
              <w:t>6</w:t>
            </w:r>
            <w:r>
              <w:rPr>
                <w:rFonts w:ascii="宋体" w:hAnsi="宋体"/>
                <w:szCs w:val="22"/>
              </w:rPr>
              <w:t>. 冷箱与液氦储罐、室温加热器、液氮供应及出口</w:t>
            </w:r>
            <w:r>
              <w:rPr>
                <w:rFonts w:hint="eastAsia" w:ascii="宋体" w:hAnsi="宋体"/>
                <w:szCs w:val="22"/>
              </w:rPr>
              <w:t>、气体分析仪</w:t>
            </w:r>
            <w:r>
              <w:rPr>
                <w:rFonts w:ascii="宋体" w:hAnsi="宋体"/>
                <w:szCs w:val="22"/>
              </w:rPr>
              <w:t>的接口和连接管道应兼顾各种运行模式要求，且整体接口的尺寸、阀门、结构设计应符合技术规格书7.11.3-7.11.6小节的设计要求。具体要求详见技术规格书7.11.3-7.11.6小节。</w:t>
            </w:r>
          </w:p>
        </w:tc>
        <w:tc>
          <w:tcPr>
            <w:tcW w:w="1057" w:type="dxa"/>
            <w:vAlign w:val="center"/>
          </w:tcPr>
          <w:p w14:paraId="6E87DC1C">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06A5699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5C35A59">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7739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7EA23D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7B731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8854FB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szCs w:val="22"/>
              </w:rPr>
              <w:t>57</w:t>
            </w:r>
            <w:r>
              <w:rPr>
                <w:rFonts w:ascii="宋体" w:hAnsi="宋体"/>
                <w:szCs w:val="22"/>
              </w:rPr>
              <w:t>. 冷箱的真空</w:t>
            </w:r>
            <w:r>
              <w:rPr>
                <w:rFonts w:hint="eastAsia" w:ascii="宋体" w:hAnsi="宋体"/>
                <w:szCs w:val="22"/>
              </w:rPr>
              <w:t>绝热系统设计</w:t>
            </w:r>
            <w:r>
              <w:rPr>
                <w:rFonts w:ascii="宋体" w:hAnsi="宋体"/>
                <w:szCs w:val="22"/>
              </w:rPr>
              <w:t>应符合技术规格书7.</w:t>
            </w:r>
            <w:r>
              <w:rPr>
                <w:rFonts w:hint="eastAsia" w:ascii="宋体" w:hAnsi="宋体"/>
                <w:szCs w:val="22"/>
              </w:rPr>
              <w:t>13</w:t>
            </w:r>
            <w:r>
              <w:rPr>
                <w:rFonts w:ascii="宋体" w:hAnsi="宋体"/>
                <w:szCs w:val="22"/>
              </w:rPr>
              <w:t>小节的设计要求。</w:t>
            </w:r>
          </w:p>
        </w:tc>
        <w:tc>
          <w:tcPr>
            <w:tcW w:w="1057" w:type="dxa"/>
            <w:vAlign w:val="center"/>
          </w:tcPr>
          <w:p w14:paraId="2206F64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3D2A8A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123CB76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446C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11A4E8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A0CCE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CFDC50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58</w:t>
            </w:r>
            <w:r>
              <w:rPr>
                <w:rFonts w:ascii="宋体" w:hAnsi="宋体"/>
                <w:color w:val="000000"/>
                <w:szCs w:val="22"/>
              </w:rPr>
              <w:t>. 冷箱应配有独立的置换系统</w:t>
            </w:r>
            <w:r>
              <w:rPr>
                <w:rFonts w:ascii="宋体" w:hAnsi="宋体"/>
                <w:szCs w:val="22"/>
              </w:rPr>
              <w:t>并配有提供完整的抽空和置换说明。</w:t>
            </w:r>
            <w:r>
              <w:rPr>
                <w:rFonts w:ascii="宋体" w:hAnsi="宋体"/>
                <w:color w:val="000000"/>
                <w:szCs w:val="22"/>
              </w:rPr>
              <w:t>相应的技术要求应符合</w:t>
            </w:r>
            <w:r>
              <w:rPr>
                <w:rFonts w:ascii="宋体" w:hAnsi="宋体"/>
                <w:szCs w:val="22"/>
              </w:rPr>
              <w:t>技术规格书7.1</w:t>
            </w:r>
            <w:r>
              <w:rPr>
                <w:rFonts w:hint="eastAsia" w:ascii="宋体" w:hAnsi="宋体"/>
                <w:szCs w:val="22"/>
              </w:rPr>
              <w:t>4</w:t>
            </w:r>
            <w:r>
              <w:rPr>
                <w:rFonts w:ascii="宋体" w:hAnsi="宋体"/>
                <w:szCs w:val="22"/>
              </w:rPr>
              <w:t>小节要求。具体设计要求详见附件技术规格书7.1</w:t>
            </w:r>
            <w:r>
              <w:rPr>
                <w:rFonts w:hint="eastAsia" w:ascii="宋体" w:hAnsi="宋体"/>
                <w:szCs w:val="22"/>
              </w:rPr>
              <w:t>4</w:t>
            </w:r>
            <w:r>
              <w:rPr>
                <w:rFonts w:ascii="宋体" w:hAnsi="宋体"/>
                <w:szCs w:val="22"/>
              </w:rPr>
              <w:t>小节。</w:t>
            </w:r>
          </w:p>
        </w:tc>
        <w:tc>
          <w:tcPr>
            <w:tcW w:w="1057" w:type="dxa"/>
            <w:vAlign w:val="center"/>
          </w:tcPr>
          <w:p w14:paraId="1354165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284BD7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49CF3CC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1790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2BE32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5B5F7A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F2E6FA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59</w:t>
            </w:r>
            <w:r>
              <w:rPr>
                <w:rFonts w:ascii="宋体" w:hAnsi="宋体"/>
                <w:color w:val="000000"/>
                <w:szCs w:val="22"/>
              </w:rPr>
              <w:t>.</w:t>
            </w:r>
            <w:r>
              <w:rPr>
                <w:rFonts w:ascii="宋体" w:hAnsi="宋体"/>
                <w:szCs w:val="22"/>
              </w:rPr>
              <w:t xml:space="preserve"> </w:t>
            </w:r>
            <w:r>
              <w:rPr>
                <w:rFonts w:ascii="宋体" w:hAnsi="宋体"/>
                <w:color w:val="000000"/>
                <w:szCs w:val="22"/>
              </w:rPr>
              <w:t>冷箱的所有封闭容积应通过安全阀防止超压。保护高于大气压力回路的安全阀出口应尽可能连接到公共总管中，该总管应连接到大气。安全阀选型和管路结构设计</w:t>
            </w:r>
            <w:r>
              <w:rPr>
                <w:rFonts w:ascii="宋体" w:hAnsi="宋体"/>
                <w:szCs w:val="22"/>
              </w:rPr>
              <w:t>应符合技术规格书7.1</w:t>
            </w:r>
            <w:r>
              <w:rPr>
                <w:rFonts w:hint="eastAsia" w:ascii="宋体" w:hAnsi="宋体"/>
                <w:szCs w:val="22"/>
              </w:rPr>
              <w:t>5</w:t>
            </w:r>
            <w:r>
              <w:rPr>
                <w:rFonts w:ascii="宋体" w:hAnsi="宋体"/>
                <w:szCs w:val="22"/>
              </w:rPr>
              <w:t>小节要求。具体设计要求详见附件技术规格书7.1</w:t>
            </w:r>
            <w:r>
              <w:rPr>
                <w:rFonts w:hint="eastAsia" w:ascii="宋体" w:hAnsi="宋体"/>
                <w:szCs w:val="22"/>
              </w:rPr>
              <w:t>5</w:t>
            </w:r>
            <w:r>
              <w:rPr>
                <w:rFonts w:ascii="宋体" w:hAnsi="宋体"/>
                <w:szCs w:val="22"/>
              </w:rPr>
              <w:t>小节。</w:t>
            </w:r>
          </w:p>
        </w:tc>
        <w:tc>
          <w:tcPr>
            <w:tcW w:w="1057" w:type="dxa"/>
            <w:vAlign w:val="center"/>
          </w:tcPr>
          <w:p w14:paraId="7ED21EC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13DF1EF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00EDDC0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652F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82CC9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C1F113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2021D2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6</w:t>
            </w:r>
            <w:r>
              <w:rPr>
                <w:rFonts w:hint="eastAsia" w:ascii="宋体" w:hAnsi="宋体"/>
                <w:szCs w:val="22"/>
              </w:rPr>
              <w:t>0.</w:t>
            </w:r>
            <w:r>
              <w:rPr>
                <w:rFonts w:ascii="宋体" w:hAnsi="宋体"/>
                <w:szCs w:val="22"/>
              </w:rPr>
              <w:t xml:space="preserve"> </w:t>
            </w:r>
            <w:r>
              <w:rPr>
                <w:rFonts w:hint="eastAsia" w:ascii="宋体" w:hAnsi="宋体"/>
                <w:szCs w:val="22"/>
              </w:rPr>
              <w:t>产品制造商</w:t>
            </w:r>
            <w:r>
              <w:rPr>
                <w:rFonts w:ascii="宋体" w:hAnsi="宋体"/>
                <w:szCs w:val="22"/>
              </w:rPr>
              <w:t>应确保冷箱系统在所有运行模式（包括验收试验、保护、控制和联锁）下有采集和测量手段用于监测其运行状态。冷箱系统中需要采集并记录到控制系统的测量点位布置要满足技术规格书7.1</w:t>
            </w:r>
            <w:r>
              <w:rPr>
                <w:rFonts w:hint="eastAsia" w:ascii="宋体" w:hAnsi="宋体"/>
                <w:szCs w:val="22"/>
              </w:rPr>
              <w:t>6</w:t>
            </w:r>
            <w:r>
              <w:rPr>
                <w:rFonts w:ascii="宋体" w:hAnsi="宋体"/>
                <w:szCs w:val="22"/>
              </w:rPr>
              <w:t>.1小节要求，本地测点应符合7.1</w:t>
            </w:r>
            <w:r>
              <w:rPr>
                <w:rFonts w:hint="eastAsia" w:ascii="宋体" w:hAnsi="宋体"/>
                <w:szCs w:val="22"/>
              </w:rPr>
              <w:t>6</w:t>
            </w:r>
            <w:r>
              <w:rPr>
                <w:rFonts w:ascii="宋体" w:hAnsi="宋体"/>
                <w:szCs w:val="22"/>
              </w:rPr>
              <w:t>.2小节要求。具体设计要求详见附件技术规格书7.1</w:t>
            </w:r>
            <w:r>
              <w:rPr>
                <w:rFonts w:hint="eastAsia" w:ascii="宋体" w:hAnsi="宋体"/>
                <w:szCs w:val="22"/>
              </w:rPr>
              <w:t>6</w:t>
            </w:r>
            <w:r>
              <w:rPr>
                <w:rFonts w:ascii="宋体" w:hAnsi="宋体"/>
                <w:szCs w:val="22"/>
              </w:rPr>
              <w:t>小节。</w:t>
            </w:r>
          </w:p>
        </w:tc>
        <w:tc>
          <w:tcPr>
            <w:tcW w:w="1057" w:type="dxa"/>
            <w:vAlign w:val="center"/>
          </w:tcPr>
          <w:p w14:paraId="7C6954D4">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6B845D1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51BE4AA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396A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2A06C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3E63E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612EB9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ascii="宋体" w:hAnsi="宋体"/>
                <w:szCs w:val="22"/>
              </w:rPr>
              <w:t>6</w:t>
            </w:r>
            <w:r>
              <w:rPr>
                <w:rFonts w:hint="eastAsia" w:ascii="宋体" w:hAnsi="宋体"/>
                <w:szCs w:val="22"/>
              </w:rPr>
              <w:t>1</w:t>
            </w:r>
            <w:r>
              <w:rPr>
                <w:rFonts w:ascii="宋体" w:hAnsi="宋体"/>
                <w:szCs w:val="22"/>
              </w:rPr>
              <w:t>.</w:t>
            </w:r>
            <w:r>
              <w:rPr>
                <w:rFonts w:hint="eastAsia" w:ascii="宋体" w:hAnsi="宋体"/>
                <w:szCs w:val="22"/>
              </w:rPr>
              <w:t xml:space="preserve"> </w:t>
            </w:r>
            <w:r>
              <w:rPr>
                <w:rFonts w:ascii="宋体" w:hAnsi="宋体"/>
                <w:szCs w:val="22"/>
              </w:rPr>
              <w:t>投标人所提供的冷箱以及组件应保证密封性，符合技术规格书7.1</w:t>
            </w:r>
            <w:r>
              <w:rPr>
                <w:rFonts w:hint="eastAsia" w:ascii="宋体" w:hAnsi="宋体"/>
                <w:szCs w:val="22"/>
              </w:rPr>
              <w:t>7</w:t>
            </w:r>
            <w:r>
              <w:rPr>
                <w:rFonts w:ascii="宋体" w:hAnsi="宋体"/>
                <w:szCs w:val="22"/>
              </w:rPr>
              <w:t>小节指标要求。具体设计要求详见附件技术规格书7.1</w:t>
            </w:r>
            <w:r>
              <w:rPr>
                <w:rFonts w:hint="eastAsia" w:ascii="宋体" w:hAnsi="宋体"/>
                <w:szCs w:val="22"/>
              </w:rPr>
              <w:t>7</w:t>
            </w:r>
            <w:r>
              <w:rPr>
                <w:rFonts w:ascii="宋体" w:hAnsi="宋体"/>
                <w:szCs w:val="22"/>
              </w:rPr>
              <w:t>小节。</w:t>
            </w:r>
          </w:p>
        </w:tc>
        <w:tc>
          <w:tcPr>
            <w:tcW w:w="1057" w:type="dxa"/>
            <w:vAlign w:val="center"/>
          </w:tcPr>
          <w:p w14:paraId="61DA24A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47C08B18">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661FD2F6">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7592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4DEF92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991AF3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76F8AF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ascii="宋体" w:hAnsi="宋体"/>
                <w:szCs w:val="22"/>
              </w:rPr>
              <w:t>▲62</w:t>
            </w:r>
            <w:r>
              <w:rPr>
                <w:rFonts w:ascii="宋体" w:hAnsi="宋体"/>
                <w:szCs w:val="22"/>
              </w:rPr>
              <w:t xml:space="preserve">. </w:t>
            </w:r>
            <w:r>
              <w:rPr>
                <w:rFonts w:hint="eastAsia" w:ascii="宋体" w:hAnsi="宋体"/>
                <w:szCs w:val="22"/>
              </w:rPr>
              <w:t>在设计冷箱时应考虑制冷机各种模式的整体验收的方案，测试过程中，温度、压力、流量应满足测试运行模式下的设计值。整体流程、阀门、测量点位设计应符合技术规格书7.18小节的设计要求</w:t>
            </w:r>
            <w:r>
              <w:rPr>
                <w:rFonts w:hint="eastAsia" w:ascii="宋体" w:hAnsi="宋体"/>
                <w:b/>
                <w:bCs/>
                <w:color w:val="EE0000"/>
                <w:szCs w:val="22"/>
              </w:rPr>
              <w:t>。</w:t>
            </w:r>
          </w:p>
        </w:tc>
        <w:tc>
          <w:tcPr>
            <w:tcW w:w="1057" w:type="dxa"/>
            <w:vAlign w:val="center"/>
          </w:tcPr>
          <w:p w14:paraId="6CEABC5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58E9708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4DA2A68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4FA3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DB3969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9FC29C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B33A88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szCs w:val="22"/>
              </w:rPr>
              <w:t>▲</w:t>
            </w:r>
            <w:r>
              <w:rPr>
                <w:rFonts w:hint="eastAsia" w:ascii="宋体" w:hAnsi="宋体"/>
                <w:color w:val="000000"/>
                <w:szCs w:val="22"/>
              </w:rPr>
              <w:t>63. 投标人应提供冷箱与液氦储罐连接所需的接口</w:t>
            </w:r>
            <w:r>
              <w:rPr>
                <w:rFonts w:ascii="宋体" w:hAnsi="宋体"/>
                <w:color w:val="000000"/>
                <w:szCs w:val="22"/>
              </w:rPr>
              <w:t>条件及设计资料，接口应满足</w:t>
            </w:r>
            <w:r>
              <w:rPr>
                <w:rFonts w:hint="eastAsia" w:ascii="宋体" w:hAnsi="宋体"/>
                <w:color w:val="000000"/>
                <w:szCs w:val="22"/>
              </w:rPr>
              <w:t>技术规格书8.2小节的要求</w:t>
            </w:r>
            <w:r>
              <w:rPr>
                <w:rFonts w:ascii="宋体" w:hAnsi="宋体"/>
                <w:color w:val="000000"/>
                <w:szCs w:val="22"/>
              </w:rPr>
              <w:t>。</w:t>
            </w:r>
            <w:r>
              <w:rPr>
                <w:rFonts w:hint="eastAsia" w:ascii="宋体" w:hAnsi="宋体"/>
                <w:color w:val="000000"/>
                <w:szCs w:val="22"/>
              </w:rPr>
              <w:t>投标人</w:t>
            </w:r>
            <w:r>
              <w:rPr>
                <w:rFonts w:ascii="宋体" w:hAnsi="宋体"/>
                <w:color w:val="000000"/>
                <w:szCs w:val="22"/>
              </w:rPr>
              <w:t>应协助审查储罐及传输管线设计，确认与ACCP的兼容性，完成所需控制信号接口，</w:t>
            </w:r>
            <w:r>
              <w:rPr>
                <w:rFonts w:hint="eastAsia" w:ascii="宋体" w:hAnsi="宋体"/>
                <w:color w:val="000000"/>
                <w:szCs w:val="22"/>
              </w:rPr>
              <w:t>控制接口应满足技术规格书8.3小节的要求。</w:t>
            </w:r>
            <w:r>
              <w:rPr>
                <w:rFonts w:ascii="宋体" w:hAnsi="宋体"/>
                <w:color w:val="000000"/>
                <w:szCs w:val="22"/>
              </w:rPr>
              <w:t>并配合现场连接、检漏、置换、首次充液及联合调试</w:t>
            </w:r>
            <w:r>
              <w:rPr>
                <w:rFonts w:hint="eastAsia" w:ascii="宋体" w:hAnsi="宋体"/>
                <w:color w:val="000000"/>
                <w:szCs w:val="22"/>
              </w:rPr>
              <w:t>，并提供必要技术支持</w:t>
            </w:r>
            <w:r>
              <w:rPr>
                <w:rFonts w:ascii="宋体" w:hAnsi="宋体"/>
                <w:color w:val="000000"/>
                <w:szCs w:val="22"/>
              </w:rPr>
              <w:t>。</w:t>
            </w:r>
          </w:p>
        </w:tc>
        <w:tc>
          <w:tcPr>
            <w:tcW w:w="1057" w:type="dxa"/>
            <w:vAlign w:val="center"/>
          </w:tcPr>
          <w:p w14:paraId="041F932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61588CF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6804031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6F3CD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4A770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964B83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B919B86">
            <w:pPr>
              <w:keepNext w:val="0"/>
              <w:keepLines w:val="0"/>
              <w:pageBreakBefore w:val="0"/>
              <w:widowControl w:val="0"/>
              <w:kinsoku/>
              <w:wordWrap/>
              <w:overflowPunct/>
              <w:topLinePunct w:val="0"/>
              <w:autoSpaceDE/>
              <w:autoSpaceDN/>
              <w:bidi w:val="0"/>
              <w:adjustRightInd w:val="0"/>
              <w:snapToGrid w:val="0"/>
              <w:textAlignment w:val="auto"/>
              <w:rPr>
                <w:color w:val="000000"/>
                <w:szCs w:val="22"/>
              </w:rPr>
            </w:pPr>
            <w:r>
              <w:rPr>
                <w:rFonts w:hint="eastAsia" w:ascii="宋体" w:hAnsi="宋体"/>
                <w:szCs w:val="22"/>
              </w:rPr>
              <w:t>▲</w:t>
            </w:r>
            <w:r>
              <w:rPr>
                <w:rFonts w:ascii="宋体" w:hAnsi="宋体"/>
                <w:color w:val="000000"/>
                <w:szCs w:val="22"/>
              </w:rPr>
              <w:t>6</w:t>
            </w:r>
            <w:r>
              <w:rPr>
                <w:rFonts w:hint="eastAsia" w:ascii="宋体" w:hAnsi="宋体"/>
                <w:color w:val="000000"/>
                <w:szCs w:val="22"/>
              </w:rPr>
              <w:t>4</w:t>
            </w:r>
            <w:r>
              <w:rPr>
                <w:rFonts w:ascii="宋体" w:hAnsi="宋体"/>
                <w:color w:val="000000"/>
                <w:szCs w:val="22"/>
              </w:rPr>
              <w:t>.</w:t>
            </w:r>
            <w:r>
              <w:rPr>
                <w:rFonts w:hint="eastAsia" w:ascii="宋体" w:hAnsi="宋体"/>
                <w:color w:val="000000"/>
                <w:szCs w:val="22"/>
              </w:rPr>
              <w:t xml:space="preserve"> </w:t>
            </w:r>
            <w:r>
              <w:rPr>
                <w:rFonts w:hint="eastAsia" w:ascii="宋体" w:hAnsi="宋体"/>
                <w:szCs w:val="22"/>
              </w:rPr>
              <w:t>投标人</w:t>
            </w:r>
            <w:r>
              <w:rPr>
                <w:rFonts w:hint="eastAsia"/>
                <w:color w:val="000000"/>
                <w:szCs w:val="22"/>
              </w:rPr>
              <w:t>应提供所有必要的硬件、软件和文件，以进行检查、调试、验收、故障排除和维护所有由投标人提供的设备。控制系统应优先采用市场主流、成熟可靠且便于长期维护的工业控制方案。</w:t>
            </w:r>
          </w:p>
        </w:tc>
        <w:tc>
          <w:tcPr>
            <w:tcW w:w="1057" w:type="dxa"/>
            <w:vAlign w:val="center"/>
          </w:tcPr>
          <w:p w14:paraId="7B63962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1325FD4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7CFAF63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0282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D71B71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52A3A5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647D71F">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szCs w:val="22"/>
              </w:rPr>
              <w:t>▲</w:t>
            </w:r>
            <w:r>
              <w:rPr>
                <w:rFonts w:ascii="宋体" w:hAnsi="宋体"/>
                <w:color w:val="000000"/>
                <w:szCs w:val="22"/>
              </w:rPr>
              <w:t>6</w:t>
            </w:r>
            <w:r>
              <w:rPr>
                <w:rFonts w:hint="eastAsia" w:ascii="宋体" w:hAnsi="宋体"/>
                <w:color w:val="000000"/>
                <w:szCs w:val="22"/>
              </w:rPr>
              <w:t>5</w:t>
            </w:r>
            <w:r>
              <w:rPr>
                <w:rFonts w:ascii="宋体" w:hAnsi="宋体"/>
                <w:color w:val="000000"/>
                <w:szCs w:val="22"/>
              </w:rPr>
              <w:t>.</w:t>
            </w:r>
            <w:r>
              <w:rPr>
                <w:rFonts w:hint="eastAsia"/>
                <w:color w:val="000000"/>
                <w:szCs w:val="22"/>
              </w:rPr>
              <w:t xml:space="preserve"> 仪表和控制设备应允许 ACCP 自动、无人值守地长期连续运行，并支持远程控制。控制系统和/或水、电、气等工艺公用设施发生故障时，所有设备应具有自保护功能，并进入预定安全状态。ACCP 控制系统应采用以 PLC 为核心的控制架构。应协助 IASF 完成数据传输程序功能的开发和调试。传输至总控制器的数据应包括运行所需的全部 I/O 信号点、报警与联锁设定参数及状态数据，以及系统和设备运行状态数据。操作指令应从总控制器传输至ACCP制冷机控制系统。</w:t>
            </w:r>
          </w:p>
        </w:tc>
        <w:tc>
          <w:tcPr>
            <w:tcW w:w="1057" w:type="dxa"/>
            <w:vAlign w:val="center"/>
          </w:tcPr>
          <w:p w14:paraId="35E39DD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64943CA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1B65C29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41ED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63C7F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086EC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1F54ECD">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b/>
                <w:bCs/>
                <w:color w:val="FF0000"/>
                <w:szCs w:val="22"/>
              </w:rPr>
              <w:t>▲</w:t>
            </w:r>
            <w:r>
              <w:rPr>
                <w:rFonts w:ascii="宋体" w:hAnsi="宋体"/>
                <w:b/>
                <w:bCs/>
                <w:color w:val="FF0000"/>
                <w:szCs w:val="22"/>
              </w:rPr>
              <w:t>6</w:t>
            </w:r>
            <w:r>
              <w:rPr>
                <w:rFonts w:hint="eastAsia" w:ascii="宋体" w:hAnsi="宋体"/>
                <w:b/>
                <w:bCs/>
                <w:color w:val="FF0000"/>
                <w:szCs w:val="22"/>
              </w:rPr>
              <w:t>6</w:t>
            </w:r>
            <w:r>
              <w:rPr>
                <w:rFonts w:ascii="宋体" w:hAnsi="宋体"/>
                <w:b/>
                <w:bCs/>
                <w:color w:val="FF0000"/>
                <w:szCs w:val="22"/>
              </w:rPr>
              <w:t>. PLC软件代码应有适当的文档记录。</w:t>
            </w:r>
            <w:r>
              <w:rPr>
                <w:rFonts w:hint="eastAsia" w:ascii="宋体" w:hAnsi="宋体"/>
                <w:b/>
                <w:bCs/>
                <w:color w:val="FF0000"/>
                <w:szCs w:val="22"/>
              </w:rPr>
              <w:t>运行源代码应提供给IASF。核心设备制造商的专有控制代码如无法开放，投标时，投标人应在投标文件中明确列出拟排除的代码范围说明（格式自拟）。</w:t>
            </w:r>
          </w:p>
        </w:tc>
        <w:tc>
          <w:tcPr>
            <w:tcW w:w="1057" w:type="dxa"/>
            <w:vAlign w:val="center"/>
          </w:tcPr>
          <w:p w14:paraId="580344C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c>
          <w:tcPr>
            <w:tcW w:w="1057" w:type="dxa"/>
            <w:vAlign w:val="center"/>
          </w:tcPr>
          <w:p w14:paraId="704CC49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c>
          <w:tcPr>
            <w:tcW w:w="871" w:type="dxa"/>
            <w:vAlign w:val="center"/>
          </w:tcPr>
          <w:p w14:paraId="224A1C3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FF0000"/>
                <w:szCs w:val="22"/>
              </w:rPr>
            </w:pPr>
          </w:p>
        </w:tc>
      </w:tr>
      <w:tr w14:paraId="2723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1C5E66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1E3372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8BB395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r>
              <w:rPr>
                <w:rFonts w:hint="eastAsia" w:ascii="宋体" w:hAnsi="宋体"/>
                <w:color w:val="000000"/>
                <w:szCs w:val="22"/>
              </w:rPr>
              <w:t xml:space="preserve">67. </w:t>
            </w:r>
            <w:r>
              <w:rPr>
                <w:rFonts w:hint="eastAsia"/>
                <w:color w:val="000000"/>
                <w:szCs w:val="22"/>
              </w:rPr>
              <w:t>应提供 ACCP 控制逻辑的功能分析（FA）文件，说明主要运行模式、顺序控制、控制回路、许可条件、报警、联锁、停机逻辑和故障处理原则等。该文件应在逻辑设计评审阶段提交 IASF 审查。</w:t>
            </w:r>
          </w:p>
        </w:tc>
        <w:tc>
          <w:tcPr>
            <w:tcW w:w="1057" w:type="dxa"/>
            <w:vAlign w:val="center"/>
          </w:tcPr>
          <w:p w14:paraId="1AAD11F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3225F1E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6AF0CBD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4FB0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42D531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8C6C7E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91F12E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68</w:t>
            </w:r>
            <w:r>
              <w:rPr>
                <w:rFonts w:ascii="宋体" w:hAnsi="宋体"/>
                <w:color w:val="000000"/>
                <w:szCs w:val="22"/>
              </w:rPr>
              <w:t>.</w:t>
            </w:r>
            <w:r>
              <w:rPr>
                <w:rFonts w:hint="eastAsia"/>
                <w:color w:val="000000"/>
                <w:szCs w:val="22"/>
              </w:rPr>
              <w:t xml:space="preserve"> </w:t>
            </w:r>
            <w:r>
              <w:rPr>
                <w:color w:val="000000"/>
                <w:szCs w:val="22"/>
              </w:rPr>
              <w:t>报警、联锁和停机逻辑应在设计阶段形成清单。清单应至少包括信号来源、触发条件、限值、动作结果、复位条件和操作员措施。</w:t>
            </w:r>
          </w:p>
        </w:tc>
        <w:tc>
          <w:tcPr>
            <w:tcW w:w="1057" w:type="dxa"/>
            <w:vAlign w:val="center"/>
          </w:tcPr>
          <w:p w14:paraId="7927D5D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53C07D9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3D681BF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62586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2DA9C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B38C41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CFA3613">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EE0000"/>
                <w:szCs w:val="22"/>
              </w:rPr>
            </w:pPr>
            <w:r>
              <w:rPr>
                <w:rFonts w:hint="eastAsia" w:ascii="宋体" w:hAnsi="宋体"/>
                <w:color w:val="000000"/>
                <w:szCs w:val="22"/>
              </w:rPr>
              <w:t>69</w:t>
            </w:r>
            <w:r>
              <w:rPr>
                <w:rFonts w:ascii="宋体" w:hAnsi="宋体"/>
                <w:color w:val="000000"/>
                <w:szCs w:val="22"/>
              </w:rPr>
              <w:t xml:space="preserve">. </w:t>
            </w:r>
            <w:r>
              <w:rPr>
                <w:rFonts w:hint="eastAsia"/>
                <w:color w:val="000000"/>
                <w:szCs w:val="22"/>
              </w:rPr>
              <w:t>PLC 程序应具有清晰的结构和必要注释，便于调试、维护和故障排查。产品制造商应在设计阶段提交控制逻辑说明、控制回路清单、报警联锁清单和主要顺控说明，</w:t>
            </w:r>
          </w:p>
        </w:tc>
        <w:tc>
          <w:tcPr>
            <w:tcW w:w="1057" w:type="dxa"/>
            <w:vAlign w:val="center"/>
          </w:tcPr>
          <w:p w14:paraId="7CD2084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6D82911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4E259C9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5576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C4D89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90DEFD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A0A46F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w:t>
            </w:r>
            <w:r>
              <w:rPr>
                <w:rFonts w:ascii="宋体" w:hAnsi="宋体"/>
                <w:color w:val="000000"/>
                <w:szCs w:val="22"/>
              </w:rPr>
              <w:t>7</w:t>
            </w:r>
            <w:r>
              <w:rPr>
                <w:rFonts w:hint="eastAsia" w:ascii="宋体" w:hAnsi="宋体"/>
                <w:color w:val="000000"/>
                <w:szCs w:val="22"/>
              </w:rPr>
              <w:t>0</w:t>
            </w:r>
            <w:r>
              <w:rPr>
                <w:rFonts w:ascii="宋体" w:hAnsi="宋体"/>
                <w:color w:val="000000"/>
                <w:szCs w:val="22"/>
              </w:rPr>
              <w:t xml:space="preserve">. </w:t>
            </w:r>
            <w:r>
              <w:rPr>
                <w:rFonts w:hint="eastAsia" w:ascii="宋体" w:hAnsi="宋体"/>
                <w:color w:val="000000"/>
                <w:szCs w:val="22"/>
              </w:rPr>
              <w:t>ACCP应</w:t>
            </w:r>
            <w:r>
              <w:rPr>
                <w:rFonts w:ascii="宋体" w:hAnsi="宋体"/>
                <w:color w:val="000000"/>
                <w:szCs w:val="22"/>
              </w:rPr>
              <w:t>配备用于开发和监控的计算机。</w:t>
            </w:r>
            <w:r>
              <w:rPr>
                <w:rFonts w:ascii="宋体" w:hAnsi="宋体"/>
                <w:szCs w:val="22"/>
              </w:rPr>
              <w:t>具体设计要求详见附件技术规格书9.</w:t>
            </w:r>
            <w:r>
              <w:rPr>
                <w:rFonts w:hint="eastAsia" w:ascii="宋体" w:hAnsi="宋体"/>
                <w:szCs w:val="22"/>
              </w:rPr>
              <w:t>2</w:t>
            </w:r>
            <w:r>
              <w:rPr>
                <w:rFonts w:ascii="宋体" w:hAnsi="宋体"/>
                <w:szCs w:val="22"/>
              </w:rPr>
              <w:t>小节。</w:t>
            </w:r>
          </w:p>
        </w:tc>
        <w:tc>
          <w:tcPr>
            <w:tcW w:w="1057" w:type="dxa"/>
            <w:vAlign w:val="center"/>
          </w:tcPr>
          <w:p w14:paraId="03D1ECB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27EDB24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1CD303F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365E9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69131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4E317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B01027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1</w:t>
            </w:r>
            <w:r>
              <w:rPr>
                <w:rFonts w:ascii="宋体" w:hAnsi="宋体"/>
                <w:color w:val="000000"/>
                <w:szCs w:val="22"/>
              </w:rPr>
              <w:t>. ACCP制冷机控制系统所用PLC可编程逻辑控制器、代码、现场总线、输入输出</w:t>
            </w:r>
            <w:r>
              <w:rPr>
                <w:rFonts w:hint="eastAsia" w:ascii="宋体" w:hAnsi="宋体"/>
                <w:color w:val="000000"/>
                <w:szCs w:val="22"/>
              </w:rPr>
              <w:t>及控制系统文件</w:t>
            </w:r>
            <w:r>
              <w:rPr>
                <w:rFonts w:ascii="宋体" w:hAnsi="宋体"/>
                <w:color w:val="000000"/>
                <w:szCs w:val="22"/>
              </w:rPr>
              <w:t>等设计要求均应满足技术规格书9.4.1-9.4.4小节要求。具体设计要求详见附件技术规格书9.4.1-9.4.4小节。</w:t>
            </w:r>
          </w:p>
        </w:tc>
        <w:tc>
          <w:tcPr>
            <w:tcW w:w="1057" w:type="dxa"/>
            <w:vAlign w:val="center"/>
          </w:tcPr>
          <w:p w14:paraId="1D3E8DAC">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2072BCB3">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69DB9B3E">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11EC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BD1BA5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CAA5F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6F4983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2</w:t>
            </w:r>
            <w:r>
              <w:rPr>
                <w:rFonts w:ascii="宋体" w:hAnsi="宋体"/>
                <w:color w:val="000000"/>
                <w:szCs w:val="22"/>
              </w:rPr>
              <w:t>. ACCP制冷机控制系统施工、调试和验收需要满足技术规格书9.5小节要求。</w:t>
            </w:r>
            <w:r>
              <w:rPr>
                <w:rFonts w:ascii="宋体" w:hAnsi="宋体"/>
                <w:szCs w:val="22"/>
              </w:rPr>
              <w:t>具体设计要求详见附件技术规格书</w:t>
            </w:r>
            <w:r>
              <w:rPr>
                <w:rFonts w:ascii="宋体" w:hAnsi="宋体"/>
                <w:color w:val="000000"/>
                <w:szCs w:val="22"/>
              </w:rPr>
              <w:t>9.5小节</w:t>
            </w:r>
            <w:r>
              <w:rPr>
                <w:rFonts w:ascii="宋体" w:hAnsi="宋体"/>
                <w:szCs w:val="22"/>
              </w:rPr>
              <w:t>。</w:t>
            </w:r>
          </w:p>
        </w:tc>
        <w:tc>
          <w:tcPr>
            <w:tcW w:w="1057" w:type="dxa"/>
            <w:vAlign w:val="center"/>
          </w:tcPr>
          <w:p w14:paraId="005468C5">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5F589A38">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156B931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47817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B6AA71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38B378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ACBE4B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3</w:t>
            </w:r>
            <w:r>
              <w:rPr>
                <w:rFonts w:ascii="宋体" w:hAnsi="宋体"/>
                <w:color w:val="000000"/>
                <w:szCs w:val="22"/>
              </w:rPr>
              <w:t>. 所有电气相关设备的材料、规范、图纸等应满足技术规格书10.1.1小节要求。</w:t>
            </w:r>
            <w:r>
              <w:rPr>
                <w:rFonts w:ascii="宋体" w:hAnsi="宋体"/>
                <w:szCs w:val="22"/>
              </w:rPr>
              <w:t>具体设计要求详见附件技术规格书</w:t>
            </w:r>
            <w:r>
              <w:rPr>
                <w:rFonts w:ascii="宋体" w:hAnsi="宋体"/>
                <w:color w:val="000000"/>
                <w:szCs w:val="22"/>
              </w:rPr>
              <w:t>10.1.1小节</w:t>
            </w:r>
            <w:r>
              <w:rPr>
                <w:rFonts w:ascii="宋体" w:hAnsi="宋体"/>
                <w:szCs w:val="22"/>
              </w:rPr>
              <w:t>。</w:t>
            </w:r>
          </w:p>
        </w:tc>
        <w:tc>
          <w:tcPr>
            <w:tcW w:w="1057" w:type="dxa"/>
            <w:vAlign w:val="center"/>
          </w:tcPr>
          <w:p w14:paraId="5CF219C2">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6A01D8C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030B6E7F">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4A22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AE64AD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C43DB2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714744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szCs w:val="22"/>
              </w:rPr>
              <w:t>7</w:t>
            </w:r>
            <w:r>
              <w:rPr>
                <w:rFonts w:hint="eastAsia" w:ascii="宋体" w:hAnsi="宋体"/>
                <w:szCs w:val="22"/>
              </w:rPr>
              <w:t>4</w:t>
            </w:r>
            <w:r>
              <w:rPr>
                <w:rFonts w:ascii="宋体" w:hAnsi="宋体"/>
                <w:szCs w:val="22"/>
              </w:rPr>
              <w:t>.</w:t>
            </w:r>
            <w:r>
              <w:rPr>
                <w:rFonts w:ascii="宋体" w:hAnsi="宋体"/>
                <w:color w:val="000000"/>
                <w:szCs w:val="22"/>
              </w:rPr>
              <w:t xml:space="preserve"> 所有ACCP制冷机的电气设备应满足技术规格书10.1.2小节运行要求。</w:t>
            </w:r>
            <w:r>
              <w:rPr>
                <w:rFonts w:ascii="宋体" w:hAnsi="宋体"/>
                <w:szCs w:val="22"/>
              </w:rPr>
              <w:t>具体设计要求详见附件技术规格书</w:t>
            </w:r>
            <w:r>
              <w:rPr>
                <w:rFonts w:ascii="宋体" w:hAnsi="宋体"/>
                <w:color w:val="000000"/>
                <w:szCs w:val="22"/>
              </w:rPr>
              <w:t>10.1.2小节</w:t>
            </w:r>
            <w:r>
              <w:rPr>
                <w:rFonts w:ascii="宋体" w:hAnsi="宋体"/>
                <w:szCs w:val="22"/>
              </w:rPr>
              <w:t>。</w:t>
            </w:r>
          </w:p>
        </w:tc>
        <w:tc>
          <w:tcPr>
            <w:tcW w:w="1057" w:type="dxa"/>
            <w:vAlign w:val="center"/>
          </w:tcPr>
          <w:p w14:paraId="7129980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1057" w:type="dxa"/>
            <w:vAlign w:val="center"/>
          </w:tcPr>
          <w:p w14:paraId="43861617">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c>
          <w:tcPr>
            <w:tcW w:w="871" w:type="dxa"/>
            <w:vAlign w:val="center"/>
          </w:tcPr>
          <w:p w14:paraId="4901C4BA">
            <w:pPr>
              <w:keepNext w:val="0"/>
              <w:keepLines w:val="0"/>
              <w:pageBreakBefore w:val="0"/>
              <w:widowControl w:val="0"/>
              <w:kinsoku/>
              <w:wordWrap/>
              <w:overflowPunct/>
              <w:topLinePunct w:val="0"/>
              <w:autoSpaceDE/>
              <w:autoSpaceDN/>
              <w:bidi w:val="0"/>
              <w:adjustRightInd w:val="0"/>
              <w:snapToGrid w:val="0"/>
              <w:textAlignment w:val="auto"/>
              <w:rPr>
                <w:rFonts w:ascii="宋体" w:hAnsi="宋体"/>
                <w:szCs w:val="22"/>
              </w:rPr>
            </w:pPr>
          </w:p>
        </w:tc>
      </w:tr>
      <w:tr w14:paraId="11D98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0B99B2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0E963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7D0235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5</w:t>
            </w:r>
            <w:r>
              <w:rPr>
                <w:rFonts w:ascii="宋体" w:hAnsi="宋体"/>
                <w:color w:val="000000"/>
                <w:szCs w:val="22"/>
              </w:rPr>
              <w:t xml:space="preserve">. </w:t>
            </w:r>
            <w:r>
              <w:rPr>
                <w:rFonts w:ascii="宋体" w:hAnsi="宋体"/>
                <w:szCs w:val="22"/>
              </w:rPr>
              <w:t>所有</w:t>
            </w:r>
            <w:r>
              <w:rPr>
                <w:rFonts w:ascii="宋体" w:hAnsi="宋体"/>
                <w:color w:val="000000"/>
                <w:szCs w:val="22"/>
              </w:rPr>
              <w:t>ACCP制冷机控制系统电气设计应满足技术规格书10.1.3小节要求。</w:t>
            </w:r>
            <w:r>
              <w:rPr>
                <w:rFonts w:ascii="宋体" w:hAnsi="宋体"/>
                <w:szCs w:val="22"/>
              </w:rPr>
              <w:t>具体设计要求详见附件技术规格书</w:t>
            </w:r>
            <w:r>
              <w:rPr>
                <w:rFonts w:ascii="宋体" w:hAnsi="宋体"/>
                <w:color w:val="000000"/>
                <w:szCs w:val="22"/>
              </w:rPr>
              <w:t>10.1.3小节</w:t>
            </w:r>
            <w:r>
              <w:rPr>
                <w:rFonts w:ascii="宋体" w:hAnsi="宋体"/>
                <w:szCs w:val="22"/>
              </w:rPr>
              <w:t>。</w:t>
            </w:r>
          </w:p>
        </w:tc>
        <w:tc>
          <w:tcPr>
            <w:tcW w:w="1057" w:type="dxa"/>
            <w:vAlign w:val="center"/>
          </w:tcPr>
          <w:p w14:paraId="626239C3">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0DB748A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439B9D13">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105E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020F80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BA825A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770CA1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7</w:t>
            </w:r>
            <w:r>
              <w:rPr>
                <w:rFonts w:hint="eastAsia" w:ascii="宋体" w:hAnsi="宋体"/>
                <w:color w:val="000000"/>
                <w:szCs w:val="22"/>
              </w:rPr>
              <w:t>6</w:t>
            </w:r>
            <w:r>
              <w:rPr>
                <w:rFonts w:ascii="宋体" w:hAnsi="宋体"/>
                <w:color w:val="000000"/>
                <w:szCs w:val="22"/>
              </w:rPr>
              <w:t>. ACCP制冷机关键测点数量和布置方式应符合技术规格书10.1.4小节要求。</w:t>
            </w:r>
            <w:r>
              <w:rPr>
                <w:rFonts w:ascii="宋体" w:hAnsi="宋体"/>
                <w:szCs w:val="22"/>
              </w:rPr>
              <w:t>具体设计要求详见附件技术规格书</w:t>
            </w:r>
            <w:r>
              <w:rPr>
                <w:rFonts w:ascii="宋体" w:hAnsi="宋体"/>
                <w:color w:val="000000"/>
                <w:szCs w:val="22"/>
              </w:rPr>
              <w:t>10.1.4小节</w:t>
            </w:r>
            <w:r>
              <w:rPr>
                <w:rFonts w:ascii="宋体" w:hAnsi="宋体"/>
                <w:szCs w:val="22"/>
              </w:rPr>
              <w:t>。</w:t>
            </w:r>
          </w:p>
        </w:tc>
        <w:tc>
          <w:tcPr>
            <w:tcW w:w="1057" w:type="dxa"/>
            <w:vAlign w:val="center"/>
          </w:tcPr>
          <w:p w14:paraId="1FFEE3A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0E06322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2500AC5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346B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A56150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F7C395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01EAA5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77</w:t>
            </w:r>
            <w:r>
              <w:rPr>
                <w:rFonts w:ascii="宋体" w:hAnsi="宋体"/>
                <w:szCs w:val="22"/>
              </w:rPr>
              <w:t>. ACCP制冷机的电气、流量、位置、时间、液位、压力、纯度、转速等信号的测量精度和要求</w:t>
            </w:r>
            <w:r>
              <w:rPr>
                <w:rFonts w:ascii="宋体" w:hAnsi="宋体"/>
                <w:color w:val="000000"/>
                <w:szCs w:val="22"/>
              </w:rPr>
              <w:t>应符合技术规格书10.2小节要求。</w:t>
            </w:r>
            <w:r>
              <w:rPr>
                <w:rFonts w:ascii="宋体" w:hAnsi="宋体"/>
                <w:szCs w:val="22"/>
              </w:rPr>
              <w:t>具体设计要求详见附件技术规格书</w:t>
            </w:r>
            <w:r>
              <w:rPr>
                <w:rFonts w:ascii="宋体" w:hAnsi="宋体"/>
                <w:color w:val="000000"/>
                <w:szCs w:val="22"/>
              </w:rPr>
              <w:t>10.2小节</w:t>
            </w:r>
            <w:r>
              <w:rPr>
                <w:rFonts w:ascii="宋体" w:hAnsi="宋体"/>
                <w:szCs w:val="22"/>
              </w:rPr>
              <w:t>。</w:t>
            </w:r>
          </w:p>
        </w:tc>
        <w:tc>
          <w:tcPr>
            <w:tcW w:w="1057" w:type="dxa"/>
            <w:vAlign w:val="center"/>
          </w:tcPr>
          <w:p w14:paraId="1DB3878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08319EE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1DD98C3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74D6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F04DFB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458DE5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E5B382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▲78. 对于冷箱真空容器外的温度测量，应使用校准的A级PT-100传感器。对于冷箱真空容器内的温度测量，在2 K–77K之间需使用CernoxTM 传感器，整体精度优于±0.5%，长期稳定性在 ±25 mK之内；在77 K以上，可使用符合标准的PT-100 A 级传感器，整个量程内的精度应优于± 1%，长期稳定性在±0.1 K之内。整体应符合技术规格书1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2.10</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2.10</w:t>
            </w:r>
            <w:r>
              <w:rPr>
                <w:rFonts w:hint="eastAsia" w:ascii="宋体" w:hAnsi="宋体"/>
                <w:color w:val="000000"/>
                <w:szCs w:val="22"/>
              </w:rPr>
              <w:t>小节。</w:t>
            </w:r>
          </w:p>
        </w:tc>
        <w:tc>
          <w:tcPr>
            <w:tcW w:w="1057" w:type="dxa"/>
            <w:vAlign w:val="center"/>
          </w:tcPr>
          <w:p w14:paraId="098C219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0BAFE1C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7A0CAF58">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3834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EE2ABE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0F102F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99CDC6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79</w:t>
            </w:r>
            <w:r>
              <w:rPr>
                <w:rFonts w:ascii="宋体" w:hAnsi="宋体"/>
                <w:color w:val="000000"/>
                <w:szCs w:val="22"/>
              </w:rPr>
              <w:t>. ACCP</w:t>
            </w:r>
            <w:r>
              <w:rPr>
                <w:rFonts w:hint="eastAsia" w:ascii="宋体" w:hAnsi="宋体"/>
                <w:color w:val="000000"/>
                <w:szCs w:val="22"/>
              </w:rPr>
              <w:t>制冷机上所有各类阀门的控制和执行机构选型应符合技术规格书1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3</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3</w:t>
            </w:r>
            <w:r>
              <w:rPr>
                <w:rFonts w:hint="eastAsia" w:ascii="宋体" w:hAnsi="宋体"/>
                <w:color w:val="000000"/>
                <w:szCs w:val="22"/>
              </w:rPr>
              <w:t>小节。</w:t>
            </w:r>
          </w:p>
        </w:tc>
        <w:tc>
          <w:tcPr>
            <w:tcW w:w="1057" w:type="dxa"/>
            <w:vAlign w:val="center"/>
          </w:tcPr>
          <w:p w14:paraId="1822570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5FFFB9A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1A93CC8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62A8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20E7A2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59947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9332AC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0</w:t>
            </w:r>
            <w:r>
              <w:rPr>
                <w:rFonts w:ascii="宋体" w:hAnsi="宋体"/>
                <w:color w:val="000000"/>
                <w:szCs w:val="22"/>
              </w:rPr>
              <w:t>. ACCP</w:t>
            </w:r>
            <w:r>
              <w:rPr>
                <w:rFonts w:hint="eastAsia" w:ascii="宋体" w:hAnsi="宋体"/>
                <w:color w:val="000000"/>
                <w:szCs w:val="22"/>
              </w:rPr>
              <w:t>制冷机上所用的各类电加热器的设计和选型应符合技术规格书1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4</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4</w:t>
            </w:r>
            <w:r>
              <w:rPr>
                <w:rFonts w:hint="eastAsia" w:ascii="宋体" w:hAnsi="宋体"/>
                <w:color w:val="000000"/>
                <w:szCs w:val="22"/>
              </w:rPr>
              <w:t>小节。</w:t>
            </w:r>
          </w:p>
        </w:tc>
        <w:tc>
          <w:tcPr>
            <w:tcW w:w="1057" w:type="dxa"/>
            <w:vAlign w:val="center"/>
          </w:tcPr>
          <w:p w14:paraId="7DF3FC6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3DA5B332">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19EBF345">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17CA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5EBC9F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B7D799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5881C3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1</w:t>
            </w:r>
            <w:r>
              <w:rPr>
                <w:rFonts w:ascii="宋体" w:hAnsi="宋体"/>
                <w:color w:val="000000"/>
                <w:szCs w:val="22"/>
              </w:rPr>
              <w:t>. ACCP</w:t>
            </w:r>
            <w:r>
              <w:rPr>
                <w:rFonts w:hint="eastAsia" w:ascii="宋体" w:hAnsi="宋体"/>
                <w:color w:val="000000"/>
                <w:szCs w:val="22"/>
              </w:rPr>
              <w:t>制冷机上所用的电气接口、电气设计和信号接口设计等应符合技术规格书</w:t>
            </w:r>
            <w:r>
              <w:rPr>
                <w:rFonts w:ascii="宋体" w:hAnsi="宋体"/>
                <w:color w:val="000000"/>
                <w:szCs w:val="22"/>
              </w:rPr>
              <w:t>10.5</w:t>
            </w:r>
            <w:r>
              <w:rPr>
                <w:rFonts w:hint="eastAsia" w:ascii="宋体" w:hAnsi="宋体"/>
                <w:color w:val="000000"/>
                <w:szCs w:val="22"/>
              </w:rPr>
              <w:t>小节要求。具体设计要求详见附件技术规格书1</w:t>
            </w:r>
            <w:r>
              <w:rPr>
                <w:rFonts w:ascii="宋体" w:hAnsi="宋体"/>
                <w:color w:val="000000"/>
                <w:szCs w:val="22"/>
              </w:rPr>
              <w:t>0</w:t>
            </w:r>
            <w:r>
              <w:rPr>
                <w:rFonts w:hint="eastAsia" w:ascii="宋体" w:hAnsi="宋体"/>
                <w:color w:val="000000"/>
                <w:szCs w:val="22"/>
              </w:rPr>
              <w:t>.</w:t>
            </w:r>
            <w:r>
              <w:rPr>
                <w:rFonts w:ascii="宋体" w:hAnsi="宋体"/>
                <w:color w:val="000000"/>
                <w:szCs w:val="22"/>
              </w:rPr>
              <w:t>5</w:t>
            </w:r>
            <w:r>
              <w:rPr>
                <w:rFonts w:hint="eastAsia" w:ascii="宋体" w:hAnsi="宋体"/>
                <w:color w:val="000000"/>
                <w:szCs w:val="22"/>
              </w:rPr>
              <w:t>小节。</w:t>
            </w:r>
          </w:p>
        </w:tc>
        <w:tc>
          <w:tcPr>
            <w:tcW w:w="1057" w:type="dxa"/>
            <w:vAlign w:val="center"/>
          </w:tcPr>
          <w:p w14:paraId="2FA52A0C">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62437BC5">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1C188EA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1317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1884C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5991049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3CFD983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szCs w:val="22"/>
              </w:rPr>
            </w:pPr>
            <w:r>
              <w:rPr>
                <w:rFonts w:hint="eastAsia"/>
                <w:b/>
                <w:bCs/>
                <w:color w:val="FF0000"/>
                <w:szCs w:val="22"/>
              </w:rPr>
              <w:t>▲82</w:t>
            </w:r>
            <w:r>
              <w:rPr>
                <w:b/>
                <w:bCs/>
                <w:color w:val="FF0000"/>
                <w:szCs w:val="22"/>
              </w:rPr>
              <w:t xml:space="preserve">. </w:t>
            </w:r>
            <w:r>
              <w:rPr>
                <w:rFonts w:hint="eastAsia"/>
                <w:b/>
                <w:bCs/>
                <w:color w:val="FF0000"/>
                <w:szCs w:val="22"/>
              </w:rPr>
              <w:t>投标时投标人应提出一份认为满足技术规格书第5章所述可靠性要求所需的备件清单（备件分为运行维护备件和关键备件两类，运行维护备件应覆盖ACCP制冷机不少于两年运行、计划维护和常见故障处理所需的备品备件；关键备件需要包括透平膨胀机、冷压缩机及其附属设备）。</w:t>
            </w:r>
            <w:r>
              <w:rPr>
                <w:b/>
                <w:bCs/>
                <w:color w:val="FF0000"/>
                <w:szCs w:val="22"/>
              </w:rPr>
              <w:t>清单至少应包括建议项目、适用设备、备件说明和推荐数量。</w:t>
            </w:r>
            <w:r>
              <w:rPr>
                <w:rFonts w:hint="eastAsia" w:ascii="宋体" w:hAnsi="宋体"/>
                <w:b/>
                <w:bCs/>
                <w:color w:val="FF0000"/>
                <w:szCs w:val="22"/>
              </w:rPr>
              <w:t xml:space="preserve">（格式自拟） </w:t>
            </w:r>
          </w:p>
        </w:tc>
        <w:tc>
          <w:tcPr>
            <w:tcW w:w="1057" w:type="dxa"/>
            <w:vAlign w:val="center"/>
          </w:tcPr>
          <w:p w14:paraId="1B06963A">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c>
          <w:tcPr>
            <w:tcW w:w="1057" w:type="dxa"/>
            <w:vAlign w:val="center"/>
          </w:tcPr>
          <w:p w14:paraId="17FE656E">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c>
          <w:tcPr>
            <w:tcW w:w="871" w:type="dxa"/>
            <w:vAlign w:val="center"/>
          </w:tcPr>
          <w:p w14:paraId="00450175">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r>
      <w:tr w14:paraId="1502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8D0EA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4FB3C26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5D432E3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hint="eastAsia" w:ascii="宋体" w:hAnsi="宋体"/>
                <w:color w:val="000000"/>
                <w:szCs w:val="22"/>
              </w:rPr>
              <w:t>83</w:t>
            </w:r>
            <w:r>
              <w:rPr>
                <w:rFonts w:ascii="宋体" w:hAnsi="宋体"/>
                <w:color w:val="000000"/>
                <w:szCs w:val="22"/>
              </w:rPr>
              <w:t>. ACCP</w:t>
            </w:r>
            <w:r>
              <w:rPr>
                <w:rFonts w:hint="eastAsia" w:ascii="宋体" w:hAnsi="宋体"/>
                <w:color w:val="000000"/>
                <w:szCs w:val="22"/>
              </w:rPr>
              <w:t>制冷机的组件的机械的设计，制造以及安装应按照不少于16000小时的连续运行设计，ACCP应当具备在恢复供电后或失效后尽快重启的能力，整体符合技术规格书12.1小节要求。具体设计要求详见附件技术规格书12.1小节。</w:t>
            </w:r>
          </w:p>
        </w:tc>
        <w:tc>
          <w:tcPr>
            <w:tcW w:w="1057" w:type="dxa"/>
            <w:vAlign w:val="center"/>
          </w:tcPr>
          <w:p w14:paraId="24EB381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1057" w:type="dxa"/>
            <w:vAlign w:val="center"/>
          </w:tcPr>
          <w:p w14:paraId="25B12C8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c>
          <w:tcPr>
            <w:tcW w:w="871" w:type="dxa"/>
            <w:vAlign w:val="center"/>
          </w:tcPr>
          <w:p w14:paraId="429BA8A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p>
        </w:tc>
      </w:tr>
      <w:tr w14:paraId="75EC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9F5F93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A2271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FF8753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4</w:t>
            </w:r>
            <w:r>
              <w:rPr>
                <w:rFonts w:ascii="宋体" w:hAnsi="宋体"/>
                <w:color w:val="000000"/>
                <w:szCs w:val="22"/>
              </w:rPr>
              <w:t>. ACCP</w:t>
            </w:r>
            <w:r>
              <w:rPr>
                <w:rFonts w:hint="eastAsia" w:ascii="宋体" w:hAnsi="宋体"/>
                <w:color w:val="000000"/>
                <w:szCs w:val="22"/>
              </w:rPr>
              <w:t>制冷机涉及压力容器与压力管道的设备设计、制造及安装应符合技术规格书12.2小节。具体设计要求详见附件技术规格书12.2小节。</w:t>
            </w:r>
          </w:p>
        </w:tc>
        <w:tc>
          <w:tcPr>
            <w:tcW w:w="1057" w:type="dxa"/>
            <w:vAlign w:val="center"/>
          </w:tcPr>
          <w:p w14:paraId="7CF8B79E">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3BC8FCA5">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3B4BCBE0">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463E9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EB6035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BDDD1D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30BD03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5</w:t>
            </w:r>
            <w:r>
              <w:rPr>
                <w:rFonts w:ascii="宋体" w:hAnsi="宋体"/>
                <w:color w:val="000000"/>
                <w:szCs w:val="22"/>
              </w:rPr>
              <w:t>. ACCP</w:t>
            </w:r>
            <w:r>
              <w:rPr>
                <w:rFonts w:hint="eastAsia" w:ascii="宋体" w:hAnsi="宋体"/>
                <w:color w:val="000000"/>
                <w:szCs w:val="22"/>
              </w:rPr>
              <w:t>制冷机组件的机械的设计，制造以及安装所用材料应符合技术规格书12.3小节。具体设计要求详见附件技术规格书12.3小节。</w:t>
            </w:r>
          </w:p>
        </w:tc>
        <w:tc>
          <w:tcPr>
            <w:tcW w:w="1057" w:type="dxa"/>
            <w:vAlign w:val="center"/>
          </w:tcPr>
          <w:p w14:paraId="4B873D30">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01874304">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7AD194DE">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309C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A95C4A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436CA7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652717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szCs w:val="22"/>
              </w:rPr>
            </w:pPr>
            <w:r>
              <w:rPr>
                <w:rFonts w:ascii="宋体" w:hAnsi="宋体"/>
                <w:color w:val="000000"/>
                <w:szCs w:val="22"/>
              </w:rPr>
              <w:t>8</w:t>
            </w:r>
            <w:r>
              <w:rPr>
                <w:rFonts w:hint="eastAsia" w:ascii="宋体" w:hAnsi="宋体"/>
                <w:color w:val="000000"/>
                <w:szCs w:val="22"/>
              </w:rPr>
              <w:t>6</w:t>
            </w:r>
            <w:r>
              <w:rPr>
                <w:rFonts w:ascii="宋体" w:hAnsi="宋体"/>
                <w:color w:val="000000"/>
                <w:szCs w:val="22"/>
              </w:rPr>
              <w:t>. ACCP</w:t>
            </w:r>
            <w:r>
              <w:rPr>
                <w:rFonts w:hint="eastAsia" w:ascii="宋体" w:hAnsi="宋体"/>
                <w:color w:val="000000"/>
                <w:szCs w:val="22"/>
              </w:rPr>
              <w:t>制冷机投标人</w:t>
            </w:r>
            <w:r>
              <w:rPr>
                <w:rFonts w:ascii="宋体" w:hAnsi="宋体"/>
                <w:color w:val="000000"/>
                <w:szCs w:val="22"/>
              </w:rPr>
              <w:t>责任范围内的全部焊接工作应按适用标准执行</w:t>
            </w:r>
            <w:r>
              <w:rPr>
                <w:rFonts w:hint="eastAsia" w:ascii="宋体" w:hAnsi="宋体"/>
                <w:color w:val="000000"/>
                <w:szCs w:val="22"/>
              </w:rPr>
              <w:t>，整体应符合技术规格书12.4小节要求。具体设计要求详见附件技术规格书12.4小节。</w:t>
            </w:r>
          </w:p>
        </w:tc>
        <w:tc>
          <w:tcPr>
            <w:tcW w:w="1057" w:type="dxa"/>
            <w:vAlign w:val="center"/>
          </w:tcPr>
          <w:p w14:paraId="4C0F0D46">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1057" w:type="dxa"/>
            <w:vAlign w:val="center"/>
          </w:tcPr>
          <w:p w14:paraId="751CD76D">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c>
          <w:tcPr>
            <w:tcW w:w="871" w:type="dxa"/>
            <w:vAlign w:val="center"/>
          </w:tcPr>
          <w:p w14:paraId="04A245F7">
            <w:pPr>
              <w:keepNext w:val="0"/>
              <w:keepLines w:val="0"/>
              <w:pageBreakBefore w:val="0"/>
              <w:widowControl w:val="0"/>
              <w:kinsoku/>
              <w:wordWrap/>
              <w:overflowPunct/>
              <w:topLinePunct w:val="0"/>
              <w:autoSpaceDE/>
              <w:autoSpaceDN/>
              <w:bidi w:val="0"/>
              <w:adjustRightInd w:val="0"/>
              <w:snapToGrid w:val="0"/>
              <w:textAlignment w:val="auto"/>
              <w:rPr>
                <w:rFonts w:ascii="宋体" w:hAnsi="宋体"/>
                <w:color w:val="000000"/>
                <w:szCs w:val="22"/>
              </w:rPr>
            </w:pPr>
          </w:p>
        </w:tc>
      </w:tr>
      <w:tr w14:paraId="0950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4B6FD09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691DD3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084C98C1">
            <w:pPr>
              <w:keepNext w:val="0"/>
              <w:keepLines w:val="0"/>
              <w:pageBreakBefore w:val="0"/>
              <w:widowControl w:val="0"/>
              <w:kinsoku/>
              <w:wordWrap/>
              <w:overflowPunct/>
              <w:topLinePunct w:val="0"/>
              <w:autoSpaceDE/>
              <w:autoSpaceDN/>
              <w:bidi w:val="0"/>
              <w:adjustRightInd w:val="0"/>
              <w:snapToGrid w:val="0"/>
              <w:textAlignment w:val="auto"/>
              <w:rPr>
                <w:rFonts w:ascii="Calibri" w:hAnsi="Calibri"/>
                <w:color w:val="000000"/>
                <w:szCs w:val="22"/>
              </w:rPr>
            </w:pPr>
            <w:r>
              <w:rPr>
                <w:rFonts w:hint="eastAsia" w:ascii="宋体" w:hAnsi="宋体"/>
                <w:szCs w:val="22"/>
              </w:rPr>
              <w:t>▲87</w:t>
            </w:r>
            <w:r>
              <w:rPr>
                <w:rFonts w:ascii="宋体" w:hAnsi="宋体"/>
                <w:szCs w:val="22"/>
              </w:rPr>
              <w:t>. ACCP制冷机所用低温管路低温阀门、安全阀或爆破片需在其它同类制冷机项目中测试或应用过。氦循环回路中的阀门应附有漏率证书。</w:t>
            </w:r>
            <w:r>
              <w:rPr>
                <w:rFonts w:hint="eastAsia"/>
                <w:color w:val="000000"/>
                <w:szCs w:val="22"/>
              </w:rPr>
              <w:t>控制阀的可调比应至少为 50:1。除另有专门规定的阀门外，应采用等百分比特性</w:t>
            </w:r>
            <w:r>
              <w:rPr>
                <w:rFonts w:ascii="宋体" w:hAnsi="宋体"/>
                <w:szCs w:val="22"/>
              </w:rPr>
              <w:t>。</w:t>
            </w:r>
            <w:r>
              <w:rPr>
                <w:rFonts w:hint="eastAsia" w:ascii="宋体" w:hAnsi="宋体"/>
                <w:szCs w:val="22"/>
              </w:rPr>
              <w:t>产品制造商</w:t>
            </w:r>
            <w:r>
              <w:rPr>
                <w:rFonts w:ascii="宋体" w:hAnsi="宋体"/>
                <w:szCs w:val="22"/>
              </w:rPr>
              <w:t>应采取措施降低热声振荡风险，并负责发生热声振荡时的纠正措施。所用安全阀或爆破片应进行脱油脱脂处理。</w:t>
            </w:r>
            <w:r>
              <w:rPr>
                <w:rFonts w:hint="eastAsia" w:ascii="宋体" w:hAnsi="宋体"/>
                <w:szCs w:val="22"/>
              </w:rPr>
              <w:t>具体设计要求详见附件技术规格书12.5.1小节。</w:t>
            </w:r>
          </w:p>
        </w:tc>
        <w:tc>
          <w:tcPr>
            <w:tcW w:w="1057" w:type="dxa"/>
            <w:vAlign w:val="center"/>
          </w:tcPr>
          <w:p w14:paraId="6E99D0F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1057" w:type="dxa"/>
            <w:vAlign w:val="center"/>
          </w:tcPr>
          <w:p w14:paraId="77C2898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c>
          <w:tcPr>
            <w:tcW w:w="871" w:type="dxa"/>
            <w:vAlign w:val="center"/>
          </w:tcPr>
          <w:p w14:paraId="2D4569A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szCs w:val="22"/>
              </w:rPr>
            </w:pPr>
          </w:p>
        </w:tc>
      </w:tr>
      <w:tr w14:paraId="430B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5BD7D0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F49DE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0F005A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88</w:t>
            </w:r>
            <w:r>
              <w:rPr>
                <w:rFonts w:ascii="宋体" w:hAnsi="宋体"/>
              </w:rPr>
              <w:t>. 所用常温阀门、低温阀门、安全泄压阀与爆破</w:t>
            </w:r>
            <w:r>
              <w:rPr>
                <w:rFonts w:hint="eastAsia" w:ascii="宋体" w:hAnsi="宋体"/>
              </w:rPr>
              <w:t>片</w:t>
            </w:r>
            <w:r>
              <w:rPr>
                <w:rFonts w:ascii="宋体" w:hAnsi="宋体"/>
              </w:rPr>
              <w:t>等设计和选型</w:t>
            </w:r>
            <w:r>
              <w:rPr>
                <w:rFonts w:hint="eastAsia" w:ascii="宋体" w:hAnsi="宋体"/>
              </w:rPr>
              <w:t>，</w:t>
            </w:r>
            <w:r>
              <w:rPr>
                <w:rFonts w:ascii="宋体" w:hAnsi="宋体"/>
              </w:rPr>
              <w:t>阀门漏率及接头和密封件均应符合技术规格书12.5.2-12.5.</w:t>
            </w:r>
            <w:r>
              <w:rPr>
                <w:rFonts w:hint="eastAsia" w:ascii="宋体" w:hAnsi="宋体"/>
              </w:rPr>
              <w:t>6</w:t>
            </w:r>
            <w:r>
              <w:rPr>
                <w:rFonts w:ascii="宋体" w:hAnsi="宋体"/>
              </w:rPr>
              <w:t>小节要求。</w:t>
            </w:r>
          </w:p>
        </w:tc>
        <w:tc>
          <w:tcPr>
            <w:tcW w:w="1057" w:type="dxa"/>
            <w:vAlign w:val="center"/>
          </w:tcPr>
          <w:p w14:paraId="29928A8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1057" w:type="dxa"/>
            <w:vAlign w:val="center"/>
          </w:tcPr>
          <w:p w14:paraId="11C12FB9">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871" w:type="dxa"/>
            <w:vAlign w:val="center"/>
          </w:tcPr>
          <w:p w14:paraId="302F43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r>
      <w:tr w14:paraId="541B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AD421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0E469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8E0213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89</w:t>
            </w:r>
            <w:r>
              <w:rPr>
                <w:rFonts w:ascii="宋体" w:hAnsi="宋体"/>
              </w:rPr>
              <w:t>. ACCP制冷机中所用波纹管的设计应符合技术规格书12.6小节要求。具体设计要求详见附件技术规格书12.6小节。</w:t>
            </w:r>
          </w:p>
        </w:tc>
        <w:tc>
          <w:tcPr>
            <w:tcW w:w="1057" w:type="dxa"/>
            <w:vAlign w:val="center"/>
          </w:tcPr>
          <w:p w14:paraId="2296947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1057" w:type="dxa"/>
            <w:vAlign w:val="center"/>
          </w:tcPr>
          <w:p w14:paraId="2C2F1CA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871" w:type="dxa"/>
            <w:vAlign w:val="center"/>
          </w:tcPr>
          <w:p w14:paraId="5C0F895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r>
      <w:tr w14:paraId="220C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4780AA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1D3EDD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369FD0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0</w:t>
            </w:r>
            <w:r>
              <w:rPr>
                <w:rFonts w:ascii="宋体" w:hAnsi="宋体"/>
              </w:rPr>
              <w:t>. ACCP制冷机的清洁与表面处理、氦保护及设备标识，应分别符合技术规格书12.7、12.8及12.9小节要求。</w:t>
            </w:r>
          </w:p>
        </w:tc>
        <w:tc>
          <w:tcPr>
            <w:tcW w:w="1057" w:type="dxa"/>
            <w:vAlign w:val="center"/>
          </w:tcPr>
          <w:p w14:paraId="5CD983A0">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1057" w:type="dxa"/>
            <w:vAlign w:val="center"/>
          </w:tcPr>
          <w:p w14:paraId="318B720F">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871" w:type="dxa"/>
            <w:vAlign w:val="center"/>
          </w:tcPr>
          <w:p w14:paraId="4511B3A7">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r>
      <w:tr w14:paraId="0623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552133C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9110FF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1811FD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1</w:t>
            </w:r>
            <w:r>
              <w:rPr>
                <w:rFonts w:ascii="宋体" w:hAnsi="宋体"/>
              </w:rPr>
              <w:t>. ACCP制冷机测试应符合技术规格书13.1小节要求。</w:t>
            </w:r>
            <w:r>
              <w:rPr>
                <w:rFonts w:hint="eastAsia"/>
                <w:color w:val="000000"/>
              </w:rPr>
              <w:t>对于ITP规定需由IASF见证的测试，产品制造商应准备相应的测试程序，</w:t>
            </w:r>
            <w:r>
              <w:rPr>
                <w:rFonts w:ascii="宋体" w:hAnsi="宋体"/>
              </w:rPr>
              <w:t>具体设计要求详见附件技术规格书13.1小节。</w:t>
            </w:r>
          </w:p>
        </w:tc>
        <w:tc>
          <w:tcPr>
            <w:tcW w:w="1057" w:type="dxa"/>
            <w:vAlign w:val="center"/>
          </w:tcPr>
          <w:p w14:paraId="682041C0">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1057" w:type="dxa"/>
            <w:vAlign w:val="center"/>
          </w:tcPr>
          <w:p w14:paraId="0E5607C5">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871" w:type="dxa"/>
            <w:vAlign w:val="center"/>
          </w:tcPr>
          <w:p w14:paraId="1BCF8416">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r>
      <w:tr w14:paraId="00E2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7107D70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1FC23E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BE4DA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▲92</w:t>
            </w:r>
            <w:r>
              <w:rPr>
                <w:rFonts w:ascii="宋体" w:hAnsi="宋体"/>
              </w:rPr>
              <w:t>. ACCP制冷机在工厂测试应包括焊缝检查、压力测试、漏率测试、压缩机测试、透平测试、</w:t>
            </w:r>
            <w:r>
              <w:rPr>
                <w:rFonts w:hint="eastAsia" w:ascii="宋体" w:hAnsi="宋体"/>
              </w:rPr>
              <w:t>冷压缩机测试、</w:t>
            </w:r>
            <w:r>
              <w:rPr>
                <w:rFonts w:ascii="宋体" w:hAnsi="宋体"/>
              </w:rPr>
              <w:t>出厂放行检查等内容，各测试应符合技术规格书13.2小节要求。具体设计要求详见附件技术规格书13.2小节。</w:t>
            </w:r>
          </w:p>
        </w:tc>
        <w:tc>
          <w:tcPr>
            <w:tcW w:w="1057" w:type="dxa"/>
            <w:vAlign w:val="center"/>
          </w:tcPr>
          <w:p w14:paraId="51D7480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1057" w:type="dxa"/>
            <w:vAlign w:val="center"/>
          </w:tcPr>
          <w:p w14:paraId="201D8B5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871" w:type="dxa"/>
            <w:vAlign w:val="center"/>
          </w:tcPr>
          <w:p w14:paraId="0F04100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r>
      <w:tr w14:paraId="73CF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E6680F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E9C42D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6C789922">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3</w:t>
            </w:r>
            <w:r>
              <w:rPr>
                <w:rFonts w:ascii="宋体" w:hAnsi="宋体"/>
              </w:rPr>
              <w:t>. ACCP制冷机在采购人现场安装后的测试应包括焊缝检查、</w:t>
            </w:r>
            <w:r>
              <w:rPr>
                <w:rFonts w:hint="eastAsia" w:ascii="宋体" w:hAnsi="宋体"/>
              </w:rPr>
              <w:t>管道清洁度测试、</w:t>
            </w:r>
            <w:r>
              <w:rPr>
                <w:rFonts w:ascii="宋体" w:hAnsi="宋体"/>
              </w:rPr>
              <w:t>压力测试、漏率测试</w:t>
            </w:r>
            <w:r>
              <w:rPr>
                <w:rFonts w:hint="eastAsia" w:ascii="宋体" w:hAnsi="宋体"/>
              </w:rPr>
              <w:t>、电气测试</w:t>
            </w:r>
            <w:r>
              <w:rPr>
                <w:rFonts w:ascii="宋体" w:hAnsi="宋体"/>
              </w:rPr>
              <w:t>，各测试应符合技术规格书13.3小节要求。具体设计要求详见附件技术规格书13.3小节。</w:t>
            </w:r>
          </w:p>
        </w:tc>
        <w:tc>
          <w:tcPr>
            <w:tcW w:w="1057" w:type="dxa"/>
            <w:vAlign w:val="center"/>
          </w:tcPr>
          <w:p w14:paraId="6C4FAB46">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1057" w:type="dxa"/>
            <w:vAlign w:val="center"/>
          </w:tcPr>
          <w:p w14:paraId="4451B672">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871" w:type="dxa"/>
            <w:vAlign w:val="center"/>
          </w:tcPr>
          <w:p w14:paraId="4344E949">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r>
      <w:tr w14:paraId="5480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0E90BB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63D0610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F9FA14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4. ACCP制冷机在现场最终验收测试需遵守13.4.1小节总体要求。</w:t>
            </w:r>
            <w:r>
              <w:rPr>
                <w:rFonts w:ascii="宋体" w:hAnsi="宋体"/>
              </w:rPr>
              <w:t>具体设计要求详见附件技术规格书13.</w:t>
            </w:r>
            <w:r>
              <w:rPr>
                <w:rFonts w:hint="eastAsia" w:ascii="宋体" w:hAnsi="宋体"/>
              </w:rPr>
              <w:t>4.1</w:t>
            </w:r>
            <w:r>
              <w:rPr>
                <w:rFonts w:ascii="宋体" w:hAnsi="宋体"/>
              </w:rPr>
              <w:t>小节。</w:t>
            </w:r>
          </w:p>
        </w:tc>
        <w:tc>
          <w:tcPr>
            <w:tcW w:w="1057" w:type="dxa"/>
            <w:vAlign w:val="center"/>
          </w:tcPr>
          <w:p w14:paraId="108909F3">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1057" w:type="dxa"/>
            <w:vAlign w:val="center"/>
          </w:tcPr>
          <w:p w14:paraId="627D62DC">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871" w:type="dxa"/>
            <w:vAlign w:val="center"/>
          </w:tcPr>
          <w:p w14:paraId="5EAFA364">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r>
      <w:tr w14:paraId="5E51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E7B3C2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1DAD457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36F91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ascii="宋体" w:hAnsi="宋体"/>
              </w:rPr>
              <w:t>9</w:t>
            </w:r>
            <w:r>
              <w:rPr>
                <w:rFonts w:hint="eastAsia" w:ascii="宋体" w:hAnsi="宋体"/>
              </w:rPr>
              <w:t>5</w:t>
            </w:r>
            <w:r>
              <w:rPr>
                <w:rFonts w:ascii="宋体" w:hAnsi="宋体"/>
              </w:rPr>
              <w:t>. ACCP制冷机常温压缩机站完成安装后，应进行功能测试和</w:t>
            </w:r>
            <w:r>
              <w:rPr>
                <w:rFonts w:hint="eastAsia" w:ascii="宋体" w:hAnsi="宋体"/>
              </w:rPr>
              <w:t>性能</w:t>
            </w:r>
            <w:r>
              <w:rPr>
                <w:rFonts w:ascii="宋体" w:hAnsi="宋体"/>
              </w:rPr>
              <w:t>测试，具体要求详见技术规格书13.4.2小节。</w:t>
            </w:r>
          </w:p>
        </w:tc>
        <w:tc>
          <w:tcPr>
            <w:tcW w:w="1057" w:type="dxa"/>
            <w:vAlign w:val="center"/>
          </w:tcPr>
          <w:p w14:paraId="53500E70">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1057" w:type="dxa"/>
            <w:vAlign w:val="center"/>
          </w:tcPr>
          <w:p w14:paraId="231BF78E">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c>
          <w:tcPr>
            <w:tcW w:w="871" w:type="dxa"/>
            <w:vAlign w:val="center"/>
          </w:tcPr>
          <w:p w14:paraId="799829E7">
            <w:pPr>
              <w:keepNext w:val="0"/>
              <w:keepLines w:val="0"/>
              <w:pageBreakBefore w:val="0"/>
              <w:widowControl w:val="0"/>
              <w:kinsoku/>
              <w:wordWrap/>
              <w:overflowPunct/>
              <w:topLinePunct w:val="0"/>
              <w:autoSpaceDE/>
              <w:autoSpaceDN/>
              <w:bidi w:val="0"/>
              <w:adjustRightInd w:val="0"/>
              <w:snapToGrid w:val="0"/>
              <w:textAlignment w:val="auto"/>
              <w:rPr>
                <w:rFonts w:ascii="宋体" w:hAnsi="宋体"/>
              </w:rPr>
            </w:pPr>
          </w:p>
        </w:tc>
      </w:tr>
      <w:tr w14:paraId="24FF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131A2C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F72AAE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708CE5C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rPr>
              <w:t>▲96</w:t>
            </w:r>
            <w:r>
              <w:rPr>
                <w:rFonts w:ascii="宋体" w:hAnsi="宋体"/>
              </w:rPr>
              <w:t>. ACCP制冷机应在现场完成安装和调试后，进行整体功能测试和冷量测试。其中冷量测试需完成：</w:t>
            </w:r>
            <w:r>
              <w:rPr>
                <w:rFonts w:hint="eastAsia"/>
                <w:color w:val="000000"/>
              </w:rPr>
              <w:t>液氮预冷设计制冷量模式下，在 2 K 连续运行至少24 h(</w:t>
            </w:r>
            <w:r>
              <w:rPr>
                <w:color w:val="000000"/>
              </w:rPr>
              <w:t>（需液氦杜瓦达到4.5 K温区积液氦</w:t>
            </w:r>
            <w:r>
              <w:rPr>
                <w:rFonts w:hint="eastAsia"/>
                <w:color w:val="000000"/>
              </w:rPr>
              <w:t>达到</w:t>
            </w:r>
            <w:r>
              <w:rPr>
                <w:color w:val="000000"/>
              </w:rPr>
              <w:t>12小时）</w:t>
            </w:r>
            <w:r>
              <w:rPr>
                <w:rFonts w:hint="eastAsia"/>
                <w:color w:val="000000"/>
              </w:rPr>
              <w:t>；2 K 待机模式下运行至少 12 h，并施加 ±10% 的质量流量扰动，以验证控制系统可靠性；</w:t>
            </w:r>
            <w:r>
              <w:rPr>
                <w:rFonts w:hint="eastAsia" w:ascii="宋体" w:hAnsi="宋体"/>
              </w:rPr>
              <w:t>；4.5K待机模式下连续运行12小时； 最大液化模式运行4小时（或者达到杜瓦最大液位）；</w:t>
            </w:r>
            <w:r>
              <w:rPr>
                <w:rFonts w:ascii="宋体" w:hAnsi="宋体"/>
              </w:rPr>
              <w:t>冷箱自动降温及复温</w:t>
            </w:r>
            <w:r>
              <w:rPr>
                <w:rFonts w:hint="eastAsia" w:ascii="宋体" w:hAnsi="宋体"/>
              </w:rPr>
              <w:t>；</w:t>
            </w:r>
            <w:r>
              <w:rPr>
                <w:rFonts w:hint="eastAsia"/>
                <w:color w:val="000000"/>
              </w:rPr>
              <w:t>无液氮预冷的情况下在运行模式下运行4 h</w:t>
            </w:r>
            <w:r>
              <w:rPr>
                <w:rFonts w:ascii="宋体" w:hAnsi="宋体"/>
              </w:rPr>
              <w:t>、及故障处理流程验证。具体要求详见件技术规格书13.4.3小节。</w:t>
            </w:r>
          </w:p>
        </w:tc>
        <w:tc>
          <w:tcPr>
            <w:tcW w:w="1057" w:type="dxa"/>
            <w:vAlign w:val="center"/>
          </w:tcPr>
          <w:p w14:paraId="0D55BF27">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1057" w:type="dxa"/>
            <w:vAlign w:val="center"/>
          </w:tcPr>
          <w:p w14:paraId="643A6B8B">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c>
          <w:tcPr>
            <w:tcW w:w="871" w:type="dxa"/>
            <w:vAlign w:val="center"/>
          </w:tcPr>
          <w:p w14:paraId="4175E7B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p>
        </w:tc>
      </w:tr>
      <w:tr w14:paraId="3913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E7BCBD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9A9A4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78BF9A5">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color w:val="000000"/>
              </w:rPr>
              <w:t>▲</w:t>
            </w:r>
            <w:r>
              <w:rPr>
                <w:rFonts w:hint="eastAsia" w:ascii="宋体" w:hAnsi="宋体"/>
              </w:rPr>
              <w:t>97</w:t>
            </w:r>
            <w:r>
              <w:rPr>
                <w:rFonts w:ascii="宋体" w:hAnsi="宋体"/>
              </w:rPr>
              <w:t>. ACCP制冷机项目执行期间质量管理应满足技术规格书第14章的全部要求。具体设计要求详见附件技术规格书第14章。</w:t>
            </w:r>
          </w:p>
        </w:tc>
        <w:tc>
          <w:tcPr>
            <w:tcW w:w="1057" w:type="dxa"/>
            <w:vAlign w:val="center"/>
          </w:tcPr>
          <w:p w14:paraId="2C87D09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1057" w:type="dxa"/>
            <w:vAlign w:val="center"/>
          </w:tcPr>
          <w:p w14:paraId="321A59D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871" w:type="dxa"/>
            <w:vAlign w:val="center"/>
          </w:tcPr>
          <w:p w14:paraId="3D1BCF14">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r>
      <w:tr w14:paraId="02C6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6886A2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7F2BC9A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4BF4562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rPr>
            </w:pPr>
            <w:r>
              <w:rPr>
                <w:rFonts w:hint="eastAsia" w:ascii="宋体" w:hAnsi="宋体"/>
                <w:color w:val="000000"/>
              </w:rPr>
              <w:t>▲</w:t>
            </w:r>
            <w:r>
              <w:rPr>
                <w:rFonts w:hint="eastAsia" w:ascii="宋体" w:hAnsi="宋体"/>
              </w:rPr>
              <w:t>98</w:t>
            </w:r>
            <w:r>
              <w:rPr>
                <w:rFonts w:ascii="宋体" w:hAnsi="宋体"/>
              </w:rPr>
              <w:t>. ACCP制冷机项目执行期间交付文档应满足技术规格书第15章的全部要求。具体设计要求详见附件技术规格书第15章。</w:t>
            </w:r>
          </w:p>
        </w:tc>
        <w:tc>
          <w:tcPr>
            <w:tcW w:w="1057" w:type="dxa"/>
            <w:vAlign w:val="center"/>
          </w:tcPr>
          <w:p w14:paraId="3E802CDC">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1057" w:type="dxa"/>
            <w:vAlign w:val="center"/>
          </w:tcPr>
          <w:p w14:paraId="092FB6CD">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871" w:type="dxa"/>
            <w:vAlign w:val="center"/>
          </w:tcPr>
          <w:p w14:paraId="2415A30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r>
      <w:tr w14:paraId="2C0E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vAlign w:val="center"/>
          </w:tcPr>
          <w:p w14:paraId="30B5896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2840801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128EE58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000000"/>
              </w:rPr>
            </w:pPr>
            <w:r>
              <w:rPr>
                <w:rFonts w:hint="eastAsia" w:ascii="宋体" w:hAnsi="宋体"/>
                <w:color w:val="000000"/>
              </w:rPr>
              <w:t>▲99</w:t>
            </w:r>
            <w:r>
              <w:rPr>
                <w:rFonts w:ascii="宋体" w:hAnsi="宋体"/>
                <w:color w:val="000000"/>
              </w:rPr>
              <w:t>. ACCP制冷机应包括交付硬件设备、设计服务、现场服务以及配套各类交付文件，整体应符合技术规格书第16章的全部要求。</w:t>
            </w:r>
            <w:r>
              <w:rPr>
                <w:rFonts w:ascii="宋体" w:hAnsi="宋体"/>
              </w:rPr>
              <w:t>具体设计要求详见附件技术规格书</w:t>
            </w:r>
            <w:r>
              <w:rPr>
                <w:rFonts w:ascii="宋体" w:hAnsi="宋体"/>
                <w:color w:val="000000"/>
              </w:rPr>
              <w:t>第16章。</w:t>
            </w:r>
          </w:p>
        </w:tc>
        <w:tc>
          <w:tcPr>
            <w:tcW w:w="1057" w:type="dxa"/>
            <w:vAlign w:val="center"/>
          </w:tcPr>
          <w:p w14:paraId="2283035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1057" w:type="dxa"/>
            <w:vAlign w:val="center"/>
          </w:tcPr>
          <w:p w14:paraId="0EA7E27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c>
          <w:tcPr>
            <w:tcW w:w="871" w:type="dxa"/>
            <w:vAlign w:val="center"/>
          </w:tcPr>
          <w:p w14:paraId="6AE1B6CF">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color w:val="000000"/>
              </w:rPr>
            </w:pPr>
          </w:p>
        </w:tc>
      </w:tr>
      <w:tr w14:paraId="4CC7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709" w:type="dxa"/>
            <w:vMerge w:val="continue"/>
            <w:vAlign w:val="center"/>
          </w:tcPr>
          <w:p w14:paraId="774C1BC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820" w:type="dxa"/>
            <w:vMerge w:val="continue"/>
            <w:vAlign w:val="center"/>
          </w:tcPr>
          <w:p w14:paraId="0417AF5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000000"/>
                <w:szCs w:val="22"/>
              </w:rPr>
            </w:pPr>
          </w:p>
        </w:tc>
        <w:tc>
          <w:tcPr>
            <w:tcW w:w="3780" w:type="dxa"/>
            <w:vAlign w:val="center"/>
          </w:tcPr>
          <w:p w14:paraId="291ADC6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bCs/>
                <w:color w:val="EE0000"/>
              </w:rPr>
            </w:pPr>
            <w:r>
              <w:rPr>
                <w:rFonts w:hint="eastAsia"/>
                <w:b/>
                <w:bCs/>
                <w:color w:val="FF0000"/>
                <w:szCs w:val="22"/>
              </w:rPr>
              <w:t>★100</w:t>
            </w:r>
            <w:r>
              <w:rPr>
                <w:b/>
                <w:bCs/>
                <w:color w:val="FF0000"/>
                <w:szCs w:val="22"/>
              </w:rPr>
              <w:t>. 投标人中标后应提供一整套</w:t>
            </w:r>
            <w:r>
              <w:rPr>
                <w:rFonts w:hint="eastAsia"/>
                <w:b/>
                <w:bCs/>
                <w:color w:val="FF0000"/>
                <w:szCs w:val="22"/>
              </w:rPr>
              <w:t>ACCP</w:t>
            </w:r>
            <w:r>
              <w:rPr>
                <w:b/>
                <w:bCs/>
                <w:color w:val="FF0000"/>
                <w:szCs w:val="22"/>
              </w:rPr>
              <w:t>氦制冷系统，</w:t>
            </w:r>
            <w:r>
              <w:rPr>
                <w:rFonts w:hint="eastAsia"/>
                <w:b/>
                <w:bCs/>
                <w:color w:val="FF0000"/>
                <w:szCs w:val="22"/>
              </w:rPr>
              <w:t>至少包括制:常温压缩机站、在线备用压缩机系统、末端除油系统、干燥器、气体管理系统、冷箱系统及附属设备(含透平膨胀机、冷压缩机)、控制系统等设备、备品备件(含运行维护备件和关键备件)等。投标时供应商需提供分项货物报价表格(格式自拟，表头至少包含：设备名称、拟采用厂家、数量、单位、总价)。如涉及分批发货需在表格中标识对应分项是否为制冷机主体部件。</w:t>
            </w:r>
          </w:p>
        </w:tc>
        <w:tc>
          <w:tcPr>
            <w:tcW w:w="1057" w:type="dxa"/>
            <w:vAlign w:val="center"/>
          </w:tcPr>
          <w:p w14:paraId="3717223E">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c>
          <w:tcPr>
            <w:tcW w:w="1057" w:type="dxa"/>
            <w:vAlign w:val="center"/>
          </w:tcPr>
          <w:p w14:paraId="366EA6EF">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c>
          <w:tcPr>
            <w:tcW w:w="871" w:type="dxa"/>
            <w:vAlign w:val="center"/>
          </w:tcPr>
          <w:p w14:paraId="6D4291C1">
            <w:pPr>
              <w:keepNext w:val="0"/>
              <w:keepLines w:val="0"/>
              <w:pageBreakBefore w:val="0"/>
              <w:widowControl w:val="0"/>
              <w:kinsoku/>
              <w:wordWrap/>
              <w:overflowPunct/>
              <w:topLinePunct w:val="0"/>
              <w:autoSpaceDE/>
              <w:autoSpaceDN/>
              <w:bidi w:val="0"/>
              <w:adjustRightInd w:val="0"/>
              <w:snapToGrid w:val="0"/>
              <w:textAlignment w:val="auto"/>
              <w:rPr>
                <w:rFonts w:hint="eastAsia"/>
                <w:b/>
                <w:bCs/>
                <w:color w:val="FF0000"/>
                <w:szCs w:val="22"/>
              </w:rPr>
            </w:pPr>
          </w:p>
        </w:tc>
      </w:tr>
    </w:tbl>
    <w:p w14:paraId="27B16473">
      <w:pPr>
        <w:rPr>
          <w:rFonts w:hint="eastAsia" w:asciiTheme="minorEastAsia" w:hAnsiTheme="minorEastAsia" w:eastAsiaTheme="minorEastAsia"/>
          <w:sz w:val="24"/>
        </w:rPr>
      </w:pPr>
    </w:p>
    <w:p w14:paraId="571C010A">
      <w:pPr>
        <w:rPr>
          <w:rFonts w:hint="eastAsia" w:asciiTheme="minorEastAsia" w:hAnsiTheme="minorEastAsia" w:eastAsiaTheme="minorEastAsia"/>
          <w:szCs w:val="21"/>
        </w:rPr>
      </w:pPr>
      <w:bookmarkStart w:id="162" w:name="_Hlk72095977"/>
      <w:r>
        <w:rPr>
          <w:rFonts w:hint="eastAsia" w:asciiTheme="minorEastAsia" w:hAnsiTheme="minorEastAsia" w:eastAsiaTheme="minorEastAsia"/>
          <w:szCs w:val="21"/>
        </w:rPr>
        <w:t>证明资料【如有的话，提供的证明资料应统一编号（排序），格式自定】</w:t>
      </w:r>
      <w:bookmarkEnd w:id="162"/>
      <w:r>
        <w:rPr>
          <w:rFonts w:hint="eastAsia" w:asciiTheme="minorEastAsia" w:hAnsiTheme="minorEastAsia" w:eastAsiaTheme="minorEastAsia"/>
          <w:szCs w:val="21"/>
        </w:rPr>
        <w:t>：</w:t>
      </w:r>
    </w:p>
    <w:p w14:paraId="03C4E2F7">
      <w:pPr>
        <w:ind w:firstLine="422" w:firstLineChars="200"/>
        <w:rPr>
          <w:rFonts w:hint="eastAsia" w:asciiTheme="minorEastAsia" w:hAnsiTheme="minorEastAsia" w:eastAsiaTheme="minorEastAsia"/>
          <w:b/>
          <w:szCs w:val="21"/>
        </w:rPr>
      </w:pPr>
    </w:p>
    <w:p w14:paraId="2FF14643">
      <w:pPr>
        <w:ind w:firstLine="422" w:firstLineChars="200"/>
        <w:rPr>
          <w:rFonts w:hint="eastAsia" w:asciiTheme="minorEastAsia" w:hAnsiTheme="minorEastAsia" w:eastAsiaTheme="minorEastAsia"/>
          <w:b/>
          <w:szCs w:val="21"/>
        </w:rPr>
      </w:pPr>
    </w:p>
    <w:p w14:paraId="2AE81B09">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《技术要求偏离表》编制指引：</w:t>
      </w:r>
    </w:p>
    <w:p w14:paraId="7EAF3183">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1.技术要求偏离表的序号、货物名称、招标技术要求等栏目</w:t>
      </w:r>
      <w:bookmarkStart w:id="163" w:name="_Hlk72094407"/>
      <w:r>
        <w:rPr>
          <w:rFonts w:hint="eastAsia" w:asciiTheme="minorEastAsia" w:hAnsiTheme="minorEastAsia" w:eastAsiaTheme="minorEastAsia"/>
          <w:bCs/>
          <w:szCs w:val="21"/>
        </w:rPr>
        <w:t>对应“用户需求书”中的“技术要求”章节</w:t>
      </w:r>
      <w:bookmarkEnd w:id="163"/>
      <w:r>
        <w:rPr>
          <w:rFonts w:hint="eastAsia" w:asciiTheme="minorEastAsia" w:hAnsiTheme="minorEastAsia" w:eastAsiaTheme="minorEastAsia"/>
          <w:bCs/>
          <w:szCs w:val="21"/>
        </w:rPr>
        <w:t>相关内容。</w:t>
      </w:r>
    </w:p>
    <w:p w14:paraId="32C07D40">
      <w:pPr>
        <w:pStyle w:val="38"/>
        <w:widowControl/>
        <w:spacing w:beforeAutospacing="0" w:afterAutospacing="0"/>
        <w:ind w:firstLine="420" w:firstLineChars="200"/>
        <w:jc w:val="both"/>
        <w:rPr>
          <w:rFonts w:hint="eastAsia" w:asciiTheme="minorEastAsia" w:hAnsiTheme="minorEastAsia" w:eastAsiaTheme="minorEastAsia"/>
          <w:bCs/>
          <w:color w:val="FF0000"/>
          <w:kern w:val="2"/>
          <w:sz w:val="21"/>
          <w:szCs w:val="21"/>
        </w:rPr>
      </w:pPr>
      <w:r>
        <w:rPr>
          <w:rFonts w:asciiTheme="minorEastAsia" w:hAnsiTheme="minorEastAsia" w:eastAsiaTheme="minorEastAsia"/>
          <w:bCs/>
          <w:sz w:val="21"/>
          <w:szCs w:val="21"/>
        </w:rPr>
        <w:t>2</w:t>
      </w:r>
      <w:r>
        <w:rPr>
          <w:rFonts w:hint="eastAsia" w:asciiTheme="minorEastAsia" w:hAnsiTheme="minorEastAsia" w:eastAsiaTheme="minorEastAsia"/>
          <w:bCs/>
          <w:sz w:val="21"/>
          <w:szCs w:val="21"/>
        </w:rPr>
        <w:t>.“投标技术响应”一栏必须一一对照“招标技术要求”，详细填写投标人自身投标货物的具体参数，而不能不合理照搬照抄招标文件的技术要求，以体现具体响应情况。</w:t>
      </w:r>
      <w:r>
        <w:rPr>
          <w:rFonts w:hint="eastAsia" w:asciiTheme="minorEastAsia" w:hAnsiTheme="minorEastAsia" w:eastAsiaTheme="minorEastAsia"/>
          <w:bCs/>
          <w:color w:val="FF0000"/>
          <w:kern w:val="2"/>
          <w:sz w:val="21"/>
          <w:szCs w:val="21"/>
        </w:rPr>
        <w:t>“投标技术响应”必须与所投产品客观实际保持一致，响应不实且情节严重的，经查实，将依法记入供应商诚信档案或受到行政处罚。</w:t>
      </w:r>
    </w:p>
    <w:p w14:paraId="47B9C605">
      <w:pPr>
        <w:ind w:firstLine="420" w:firstLineChars="200"/>
        <w:rPr>
          <w:rFonts w:hint="eastAsia" w:asciiTheme="minorEastAsia" w:hAnsiTheme="minorEastAsia" w:eastAsiaTheme="minorEastAsia"/>
          <w:bCs/>
          <w:color w:val="FF0000"/>
          <w:szCs w:val="21"/>
        </w:rPr>
      </w:pPr>
      <w:r>
        <w:rPr>
          <w:rFonts w:asciiTheme="minorEastAsia" w:hAnsiTheme="minorEastAsia" w:eastAsiaTheme="minorEastAsia"/>
          <w:bCs/>
          <w:szCs w:val="21"/>
        </w:rPr>
        <w:t>3</w:t>
      </w:r>
      <w:bookmarkStart w:id="164" w:name="_Hlk72158270"/>
      <w:r>
        <w:rPr>
          <w:rFonts w:hint="eastAsia" w:asciiTheme="minorEastAsia" w:hAnsiTheme="minorEastAsia" w:eastAsiaTheme="minorEastAsia"/>
          <w:bCs/>
          <w:szCs w:val="21"/>
        </w:rPr>
        <w:t>.“偏离情况”</w:t>
      </w:r>
      <w:bookmarkEnd w:id="164"/>
      <w:r>
        <w:rPr>
          <w:rFonts w:hint="eastAsia" w:asciiTheme="minorEastAsia" w:hAnsiTheme="minorEastAsia" w:eastAsiaTheme="minorEastAsia"/>
          <w:bCs/>
          <w:szCs w:val="21"/>
        </w:rPr>
        <w:t>一栏填写如实填写“正偏离”、“负偏离”或“无偏离”，其中：</w:t>
      </w:r>
      <w:bookmarkStart w:id="165" w:name="_Hlk72093866"/>
      <w:r>
        <w:rPr>
          <w:rFonts w:hint="eastAsia" w:asciiTheme="minorEastAsia" w:hAnsiTheme="minorEastAsia" w:eastAsiaTheme="minorEastAsia"/>
          <w:bCs/>
          <w:szCs w:val="21"/>
        </w:rPr>
        <w:t>“正偏离”表示“投标响应优于招标技术要求”，“负偏离”表示“投标响应不满足招标技术要求”，“无偏离”表示“投标响应与招标技术要求一致”</w:t>
      </w:r>
      <w:bookmarkEnd w:id="165"/>
      <w:r>
        <w:rPr>
          <w:rFonts w:hint="eastAsia" w:asciiTheme="minorEastAsia" w:hAnsiTheme="minorEastAsia" w:eastAsiaTheme="minorEastAsia"/>
          <w:bCs/>
          <w:szCs w:val="21"/>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asciiTheme="minorEastAsia" w:hAnsiTheme="minorEastAsia" w:eastAsiaTheme="minorEastAsia"/>
          <w:bCs/>
          <w:color w:val="FF0000"/>
          <w:szCs w:val="21"/>
        </w:rPr>
        <w:t>“偏离情况”必须与所投产品客观实际保持一致，响应不实且情节严重的，经查实，将依法记入供应商诚信档案或受到行政处罚。</w:t>
      </w:r>
    </w:p>
    <w:p w14:paraId="418A0184">
      <w:pPr>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4</w:t>
      </w:r>
      <w:r>
        <w:rPr>
          <w:rFonts w:hint="eastAsia" w:asciiTheme="minorEastAsia" w:hAnsiTheme="minorEastAsia" w:eastAsiaTheme="minorEastAsia"/>
          <w:bCs/>
          <w:szCs w:val="21"/>
        </w:rPr>
        <w:t>.未要求提供证明资料的招标技术要求，可以不提供证明资料（如实响应即可）。</w:t>
      </w:r>
    </w:p>
    <w:p w14:paraId="20471836">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5</w:t>
      </w:r>
      <w:bookmarkStart w:id="166" w:name="_Hlk72096106"/>
      <w:r>
        <w:rPr>
          <w:rFonts w:hint="eastAsia" w:asciiTheme="minorEastAsia" w:hAnsiTheme="minorEastAsia" w:eastAsiaTheme="minorEastAsia"/>
          <w:bCs/>
          <w:szCs w:val="21"/>
        </w:rPr>
        <w:t>.证明资料条款响应要求</w:t>
      </w:r>
      <w:bookmarkEnd w:id="166"/>
      <w:r>
        <w:rPr>
          <w:rFonts w:hint="eastAsia" w:asciiTheme="minorEastAsia" w:hAnsiTheme="minorEastAsia" w:eastAsiaTheme="minorEastAsia"/>
          <w:bCs/>
          <w:szCs w:val="21"/>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167" w:name="_Hlk73558782"/>
      <w:r>
        <w:rPr>
          <w:rFonts w:hint="eastAsia" w:asciiTheme="minorEastAsia" w:hAnsiTheme="minorEastAsia" w:eastAsiaTheme="minorEastAsia"/>
          <w:bCs/>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168" w:name="_Hlk73558164"/>
      <w:r>
        <w:rPr>
          <w:rFonts w:hint="eastAsia" w:asciiTheme="minorEastAsia" w:hAnsiTheme="minorEastAsia" w:eastAsiaTheme="minorEastAsia"/>
          <w:bCs/>
          <w:szCs w:val="21"/>
        </w:rPr>
        <w:t>且投标人在“偏离情况”一栏响应为“正偏离”或“无偏离”的，经评审委员会认定，将判定为负偏离。</w:t>
      </w:r>
      <w:bookmarkEnd w:id="167"/>
      <w:bookmarkEnd w:id="168"/>
    </w:p>
    <w:p w14:paraId="7598CC46">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6</w:t>
      </w:r>
      <w:bookmarkStart w:id="169" w:name="_Hlk72096137"/>
      <w:r>
        <w:rPr>
          <w:rFonts w:hint="eastAsia" w:asciiTheme="minorEastAsia" w:hAnsiTheme="minorEastAsia" w:eastAsiaTheme="minorEastAsia"/>
          <w:bCs/>
          <w:szCs w:val="21"/>
        </w:rPr>
        <w:t>.表后“证明资料”部分内容的编制</w:t>
      </w:r>
      <w:bookmarkEnd w:id="169"/>
      <w:r>
        <w:rPr>
          <w:rFonts w:hint="eastAsia" w:asciiTheme="minorEastAsia" w:hAnsiTheme="minorEastAsia" w:eastAsiaTheme="minorEastAsia"/>
          <w:bCs/>
          <w:szCs w:val="21"/>
        </w:rPr>
        <w:t>：提供的所有证明资料应当统一编号（排序），且证明资料的编号（顺序）、数量和名称（形式）均应与“说明”一栏所填内容保持一致（一一对应），以便评审委员会查看。</w:t>
      </w:r>
      <w:bookmarkStart w:id="170" w:name="_Hlk73558180"/>
      <w:r>
        <w:rPr>
          <w:rFonts w:hint="eastAsia" w:asciiTheme="minorEastAsia" w:hAnsiTheme="minorEastAsia" w:eastAsiaTheme="minorEastAsia"/>
          <w:bCs/>
          <w:szCs w:val="21"/>
        </w:rPr>
        <w:t>未按照招标文件要求在表后放置证明材料的供应商将承担不利后果，经评审委员会认定，相关技术要求将判定为负偏离。</w:t>
      </w:r>
      <w:bookmarkEnd w:id="170"/>
    </w:p>
    <w:p w14:paraId="7DE9B21D">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7</w:t>
      </w:r>
      <w:bookmarkStart w:id="171" w:name="_Hlk72096176"/>
      <w:r>
        <w:rPr>
          <w:rFonts w:hint="eastAsia" w:asciiTheme="minorEastAsia" w:hAnsiTheme="minorEastAsia" w:eastAsiaTheme="minorEastAsia"/>
          <w:bCs/>
          <w:szCs w:val="21"/>
        </w:rPr>
        <w:t>.证明资料的形式及其它具体要求</w:t>
      </w:r>
      <w:bookmarkEnd w:id="171"/>
      <w:r>
        <w:rPr>
          <w:rFonts w:hint="eastAsia" w:asciiTheme="minorEastAsia" w:hAnsiTheme="minorEastAsia" w:eastAsiaTheme="minorEastAsia"/>
          <w:bCs/>
          <w:szCs w:val="21"/>
        </w:rPr>
        <w:t>：</w:t>
      </w:r>
    </w:p>
    <w:p w14:paraId="37BCFC45">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（1）除照片、图片（截图）及不需加盖公章的文字说明（技术说明）外，其它证明资料均要求为原件扫描件；</w:t>
      </w:r>
    </w:p>
    <w:p w14:paraId="6ADC228F">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照要求的形式、内容提供证明资料；</w:t>
      </w:r>
    </w:p>
    <w:p w14:paraId="47FE8F44">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46E84F49">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我国政府机构出具的产品检验和核准证件应为证件正面、背面和附件标注的全部具体内容；产品检验和核准证件的尺寸和清晰度应该能够在电脑上被阅读、识别和判断；</w:t>
      </w:r>
    </w:p>
    <w:p w14:paraId="4B7951D9">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361D35B7">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其它证明资料的形式要求参照以上要求执行；</w:t>
      </w:r>
    </w:p>
    <w:p w14:paraId="1D417D76">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（4）证明资料均要求原件备查。</w:t>
      </w:r>
    </w:p>
    <w:p w14:paraId="5923A09A">
      <w:pPr>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8.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08C12BB0">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9.其它注意事项：</w:t>
      </w:r>
    </w:p>
    <w:p w14:paraId="68493165">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（1）评审委员会有权对投标人的响应情况作出判断（评审结论）；</w:t>
      </w:r>
    </w:p>
    <w:p w14:paraId="32190ED8">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（2）</w:t>
      </w:r>
      <w:bookmarkStart w:id="172" w:name="_Hlk72158213"/>
      <w:r>
        <w:rPr>
          <w:rFonts w:hint="eastAsia" w:asciiTheme="minorEastAsia" w:hAnsiTheme="minorEastAsia" w:eastAsiaTheme="minorEastAsia"/>
          <w:bCs/>
          <w:szCs w:val="21"/>
        </w:rPr>
        <w:t>评审委员会有权对以谋取中标为目的的技术规格模糊响应（如有意不合理照搬照抄招标文件的技术要求）或虚假响应予以认定，并视情况经政府集中采购机构报主管部门进行处理。</w:t>
      </w:r>
      <w:bookmarkEnd w:id="172"/>
    </w:p>
    <w:p w14:paraId="51F33A9D">
      <w:pPr>
        <w:ind w:firstLine="422" w:firstLineChars="200"/>
        <w:rPr>
          <w:rFonts w:hint="eastAsia" w:asciiTheme="minorEastAsia" w:hAnsiTheme="minorEastAsia" w:eastAsiaTheme="minorEastAsia"/>
          <w:b/>
          <w:color w:val="FF0000"/>
          <w:sz w:val="24"/>
        </w:rPr>
      </w:pPr>
      <w:r>
        <w:rPr>
          <w:rFonts w:hint="eastAsia" w:ascii="宋体" w:hAnsi="宋体" w:cs="宋体"/>
          <w:b/>
          <w:bCs/>
          <w:color w:val="FF0000"/>
          <w:highlight w:val="yellow"/>
        </w:rPr>
        <w:t>（3）附件技术规格书中所要求提供的各类材料均为中标后提供，投标阶段，投标文件中所需提供的材料以招标文件要求为准。</w:t>
      </w:r>
    </w:p>
    <w:p w14:paraId="23748123">
      <w:pPr>
        <w:rPr>
          <w:sz w:val="24"/>
        </w:rPr>
      </w:pPr>
    </w:p>
    <w:p w14:paraId="08BF7081">
      <w:pPr>
        <w:rPr>
          <w:rFonts w:hint="eastAsia" w:ascii="黑体" w:eastAsia="黑体"/>
          <w:b w:val="0"/>
          <w:sz w:val="24"/>
        </w:rPr>
      </w:pPr>
      <w:r>
        <w:rPr>
          <w:rFonts w:hint="eastAsia" w:ascii="黑体" w:eastAsia="黑体"/>
          <w:b w:val="0"/>
          <w:sz w:val="24"/>
        </w:rPr>
        <w:br w:type="page"/>
      </w:r>
    </w:p>
    <w:p w14:paraId="1C820CD9">
      <w:pPr>
        <w:pStyle w:val="5"/>
        <w:jc w:val="center"/>
        <w:rPr>
          <w:rFonts w:hint="eastAsia" w:ascii="黑体" w:eastAsia="黑体"/>
          <w:b w:val="0"/>
          <w:sz w:val="24"/>
        </w:rPr>
      </w:pPr>
      <w:r>
        <w:rPr>
          <w:rFonts w:hint="eastAsia" w:ascii="黑体" w:eastAsia="黑体"/>
          <w:b w:val="0"/>
          <w:sz w:val="24"/>
        </w:rPr>
        <w:t>七、商务要求偏离表</w:t>
      </w:r>
    </w:p>
    <w:tbl>
      <w:tblPr>
        <w:tblStyle w:val="43"/>
        <w:tblW w:w="8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1008"/>
        <w:gridCol w:w="3540"/>
        <w:gridCol w:w="1596"/>
        <w:gridCol w:w="1152"/>
        <w:gridCol w:w="720"/>
      </w:tblGrid>
      <w:tr w14:paraId="7B217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Align w:val="center"/>
          </w:tcPr>
          <w:p w14:paraId="1BCAD6E0">
            <w:pPr>
              <w:widowControl/>
              <w:jc w:val="center"/>
              <w:rPr>
                <w:rFonts w:hint="eastAsia" w:ascii="宋体" w:hAnsi="宋体" w:cs="宋体"/>
                <w:b/>
                <w:bCs/>
                <w:color w:val="000000"/>
                <w:kern w:val="0"/>
                <w:szCs w:val="21"/>
              </w:rPr>
            </w:pPr>
            <w:r>
              <w:rPr>
                <w:rFonts w:hint="eastAsia" w:ascii="宋体" w:hAnsi="宋体"/>
                <w:b/>
                <w:szCs w:val="21"/>
              </w:rPr>
              <w:t>序号</w:t>
            </w:r>
          </w:p>
        </w:tc>
        <w:tc>
          <w:tcPr>
            <w:tcW w:w="1008" w:type="dxa"/>
            <w:vAlign w:val="center"/>
          </w:tcPr>
          <w:p w14:paraId="1F7E295B">
            <w:pPr>
              <w:widowControl/>
              <w:jc w:val="center"/>
              <w:rPr>
                <w:rFonts w:hint="eastAsia" w:ascii="宋体" w:hAnsi="宋体" w:cs="宋体"/>
                <w:b/>
                <w:bCs/>
                <w:color w:val="000000"/>
                <w:kern w:val="0"/>
                <w:szCs w:val="21"/>
              </w:rPr>
            </w:pPr>
            <w:r>
              <w:rPr>
                <w:rFonts w:hint="eastAsia" w:ascii="宋体" w:hAnsi="宋体"/>
                <w:b/>
                <w:szCs w:val="21"/>
              </w:rPr>
              <w:t>商务需求项</w:t>
            </w:r>
          </w:p>
        </w:tc>
        <w:tc>
          <w:tcPr>
            <w:tcW w:w="3540" w:type="dxa"/>
            <w:noWrap/>
            <w:vAlign w:val="center"/>
          </w:tcPr>
          <w:p w14:paraId="33F4878E">
            <w:pPr>
              <w:widowControl/>
              <w:jc w:val="center"/>
              <w:rPr>
                <w:rFonts w:hint="eastAsia" w:ascii="宋体" w:hAnsi="宋体" w:cs="宋体"/>
                <w:b/>
                <w:bCs/>
                <w:color w:val="000000"/>
                <w:kern w:val="0"/>
                <w:szCs w:val="21"/>
              </w:rPr>
            </w:pPr>
            <w:r>
              <w:rPr>
                <w:rFonts w:hint="eastAsia" w:ascii="宋体" w:hAnsi="宋体"/>
                <w:b/>
                <w:szCs w:val="21"/>
              </w:rPr>
              <w:t>招标商务要求</w:t>
            </w:r>
          </w:p>
        </w:tc>
        <w:tc>
          <w:tcPr>
            <w:tcW w:w="1596" w:type="dxa"/>
            <w:noWrap/>
            <w:vAlign w:val="center"/>
          </w:tcPr>
          <w:p w14:paraId="088E57DA">
            <w:pPr>
              <w:widowControl/>
              <w:jc w:val="center"/>
              <w:rPr>
                <w:rFonts w:hint="default" w:ascii="宋体" w:hAnsi="宋体" w:eastAsia="宋体"/>
                <w:b/>
                <w:szCs w:val="21"/>
                <w:lang w:val="en-US" w:eastAsia="zh-CN"/>
              </w:rPr>
            </w:pPr>
            <w:r>
              <w:rPr>
                <w:rFonts w:hint="eastAsia" w:ascii="宋体" w:hAnsi="宋体"/>
                <w:b/>
                <w:szCs w:val="21"/>
                <w:lang w:val="en-US" w:eastAsia="zh-CN"/>
              </w:rPr>
              <w:t>投标商务响应</w:t>
            </w:r>
          </w:p>
        </w:tc>
        <w:tc>
          <w:tcPr>
            <w:tcW w:w="1152" w:type="dxa"/>
            <w:noWrap/>
            <w:vAlign w:val="center"/>
          </w:tcPr>
          <w:p w14:paraId="13590D86">
            <w:pPr>
              <w:widowControl/>
              <w:jc w:val="center"/>
              <w:rPr>
                <w:rFonts w:hint="default" w:ascii="宋体" w:hAnsi="宋体"/>
                <w:b/>
                <w:szCs w:val="21"/>
                <w:lang w:val="en-US" w:eastAsia="zh-CN"/>
              </w:rPr>
            </w:pPr>
            <w:r>
              <w:rPr>
                <w:rFonts w:hint="eastAsia" w:ascii="宋体" w:hAnsi="宋体"/>
                <w:b/>
                <w:szCs w:val="21"/>
                <w:lang w:val="en-US" w:eastAsia="zh-CN"/>
              </w:rPr>
              <w:t>偏离情况</w:t>
            </w:r>
          </w:p>
        </w:tc>
        <w:tc>
          <w:tcPr>
            <w:tcW w:w="720" w:type="dxa"/>
            <w:noWrap/>
            <w:vAlign w:val="center"/>
          </w:tcPr>
          <w:p w14:paraId="799DA9A5">
            <w:pPr>
              <w:widowControl/>
              <w:jc w:val="center"/>
              <w:rPr>
                <w:rFonts w:hint="default" w:ascii="宋体" w:hAnsi="宋体"/>
                <w:b/>
                <w:szCs w:val="21"/>
                <w:lang w:val="en-US" w:eastAsia="zh-CN"/>
              </w:rPr>
            </w:pPr>
            <w:r>
              <w:rPr>
                <w:rFonts w:hint="eastAsia" w:ascii="宋体" w:hAnsi="宋体"/>
                <w:b/>
                <w:szCs w:val="21"/>
                <w:lang w:val="en-US" w:eastAsia="zh-CN"/>
              </w:rPr>
              <w:t>说明</w:t>
            </w:r>
          </w:p>
        </w:tc>
      </w:tr>
      <w:tr w14:paraId="2BD0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6B69836C">
            <w:pPr>
              <w:widowControl/>
              <w:jc w:val="center"/>
              <w:rPr>
                <w:rFonts w:hint="eastAsia" w:ascii="宋体" w:hAnsi="宋体" w:cs="宋体"/>
                <w:color w:val="000000"/>
                <w:kern w:val="0"/>
                <w:szCs w:val="21"/>
              </w:rPr>
            </w:pPr>
            <w:r>
              <w:rPr>
                <w:rFonts w:hint="eastAsia" w:ascii="宋体" w:hAnsi="宋体" w:cs="宋体"/>
                <w:color w:val="000000"/>
                <w:kern w:val="0"/>
                <w:szCs w:val="21"/>
              </w:rPr>
              <w:t>1</w:t>
            </w:r>
          </w:p>
        </w:tc>
        <w:tc>
          <w:tcPr>
            <w:tcW w:w="1008" w:type="dxa"/>
            <w:vMerge w:val="restart"/>
            <w:vAlign w:val="center"/>
          </w:tcPr>
          <w:p w14:paraId="23EB276E">
            <w:pPr>
              <w:widowControl/>
              <w:jc w:val="center"/>
              <w:rPr>
                <w:rFonts w:hint="eastAsia" w:ascii="宋体" w:hAnsi="宋体" w:cs="宋体"/>
                <w:color w:val="000000"/>
                <w:kern w:val="0"/>
                <w:szCs w:val="21"/>
              </w:rPr>
            </w:pPr>
            <w:r>
              <w:rPr>
                <w:rFonts w:hint="eastAsia" w:ascii="宋体" w:hAnsi="宋体" w:cs="宋体"/>
                <w:b/>
                <w:bCs/>
                <w:color w:val="000000"/>
                <w:kern w:val="0"/>
                <w:szCs w:val="21"/>
              </w:rPr>
              <w:t>交货要求</w:t>
            </w:r>
          </w:p>
        </w:tc>
        <w:tc>
          <w:tcPr>
            <w:tcW w:w="3540" w:type="dxa"/>
            <w:noWrap/>
            <w:vAlign w:val="center"/>
          </w:tcPr>
          <w:p w14:paraId="16B18270">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1.1</w:t>
            </w:r>
            <w:r>
              <w:rPr>
                <w:rFonts w:hint="eastAsia" w:ascii="宋体" w:hAnsi="宋体" w:cs="宋体"/>
                <w:color w:val="000000"/>
                <w:kern w:val="0"/>
                <w:szCs w:val="21"/>
              </w:rPr>
              <w:t>交货期的要求：交货应在以下两个日期中较晚者发生之日起的25个月内完成：（1）中标人收到由其出具并经最终用户签字或盖章的开工会（“KOM”）会议纪要之日；（2）中标人取得本合同项下货物出口许可证之日(如涉及)，但中标人应不迟于合同签订后6个月内完成上述开工会并取得出口许可证（如涉及），若上述两项条件均于该最迟日期前完成，则交货期应自上述条件全部成就之日起算，若上述条件均未能在该最迟日期前完成，且中标人逾期超过3个月仍未完成上述条件的，招标人有权终止合同，合同终止后，中标人应在十五（15）个工作日内全额退还采购人已支付的全部款项。</w:t>
            </w:r>
          </w:p>
        </w:tc>
        <w:tc>
          <w:tcPr>
            <w:tcW w:w="1596" w:type="dxa"/>
            <w:noWrap/>
            <w:vAlign w:val="center"/>
          </w:tcPr>
          <w:p w14:paraId="42542C55">
            <w:pPr>
              <w:widowControl/>
              <w:rPr>
                <w:rFonts w:hint="eastAsia" w:ascii="宋体" w:hAnsi="宋体" w:cs="宋体"/>
                <w:color w:val="000000"/>
                <w:kern w:val="0"/>
                <w:szCs w:val="21"/>
              </w:rPr>
            </w:pPr>
          </w:p>
        </w:tc>
        <w:tc>
          <w:tcPr>
            <w:tcW w:w="1152" w:type="dxa"/>
            <w:noWrap/>
            <w:vAlign w:val="center"/>
          </w:tcPr>
          <w:p w14:paraId="43ECA94F">
            <w:pPr>
              <w:widowControl/>
              <w:rPr>
                <w:rFonts w:hint="eastAsia" w:ascii="宋体" w:hAnsi="宋体" w:cs="宋体"/>
                <w:color w:val="000000"/>
                <w:kern w:val="0"/>
                <w:szCs w:val="21"/>
              </w:rPr>
            </w:pPr>
          </w:p>
        </w:tc>
        <w:tc>
          <w:tcPr>
            <w:tcW w:w="720" w:type="dxa"/>
            <w:noWrap/>
            <w:vAlign w:val="center"/>
          </w:tcPr>
          <w:p w14:paraId="34DCB19F">
            <w:pPr>
              <w:widowControl/>
              <w:rPr>
                <w:rFonts w:hint="eastAsia" w:ascii="宋体" w:hAnsi="宋体" w:cs="宋体"/>
                <w:color w:val="000000"/>
                <w:kern w:val="0"/>
                <w:szCs w:val="21"/>
              </w:rPr>
            </w:pPr>
          </w:p>
        </w:tc>
      </w:tr>
      <w:tr w14:paraId="292C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27794B8">
            <w:pPr>
              <w:widowControl/>
              <w:jc w:val="center"/>
              <w:rPr>
                <w:rFonts w:ascii="Segoe UI Symbol" w:hAnsi="Segoe UI Symbol" w:eastAsia="等线" w:cs="宋体"/>
                <w:color w:val="000000"/>
                <w:kern w:val="0"/>
                <w:szCs w:val="21"/>
              </w:rPr>
            </w:pPr>
          </w:p>
        </w:tc>
        <w:tc>
          <w:tcPr>
            <w:tcW w:w="1008" w:type="dxa"/>
            <w:vMerge w:val="continue"/>
            <w:vAlign w:val="center"/>
          </w:tcPr>
          <w:p w14:paraId="53A4F5C3">
            <w:pPr>
              <w:widowControl/>
              <w:jc w:val="center"/>
              <w:rPr>
                <w:rFonts w:ascii="Segoe UI Symbol" w:hAnsi="Segoe UI Symbol" w:eastAsia="等线" w:cs="宋体"/>
                <w:color w:val="000000"/>
                <w:kern w:val="0"/>
                <w:szCs w:val="21"/>
              </w:rPr>
            </w:pPr>
          </w:p>
        </w:tc>
        <w:tc>
          <w:tcPr>
            <w:tcW w:w="3540" w:type="dxa"/>
            <w:noWrap/>
            <w:vAlign w:val="center"/>
          </w:tcPr>
          <w:p w14:paraId="01A48DE2">
            <w:pPr>
              <w:widowControl/>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eastAsia="等线"/>
                <w:color w:val="000000"/>
                <w:kern w:val="0"/>
                <w:szCs w:val="21"/>
              </w:rPr>
              <w:t>1.2</w:t>
            </w:r>
            <w:r>
              <w:rPr>
                <w:rFonts w:hint="eastAsia" w:ascii="宋体" w:hAnsi="宋体" w:cs="宋体"/>
                <w:color w:val="000000"/>
                <w:kern w:val="0"/>
                <w:szCs w:val="21"/>
              </w:rPr>
              <w:t>交货地点：深圳先进光源研究院指定地点。</w:t>
            </w:r>
          </w:p>
        </w:tc>
        <w:tc>
          <w:tcPr>
            <w:tcW w:w="1596" w:type="dxa"/>
            <w:noWrap/>
            <w:vAlign w:val="center"/>
          </w:tcPr>
          <w:p w14:paraId="3ED2125B">
            <w:pPr>
              <w:widowControl/>
              <w:rPr>
                <w:rFonts w:ascii="Segoe UI Symbol" w:hAnsi="Segoe UI Symbol" w:eastAsia="等线" w:cs="宋体"/>
                <w:color w:val="000000"/>
                <w:kern w:val="0"/>
                <w:szCs w:val="21"/>
              </w:rPr>
            </w:pPr>
          </w:p>
        </w:tc>
        <w:tc>
          <w:tcPr>
            <w:tcW w:w="1152" w:type="dxa"/>
            <w:noWrap/>
            <w:vAlign w:val="center"/>
          </w:tcPr>
          <w:p w14:paraId="34B2AE9F">
            <w:pPr>
              <w:widowControl/>
              <w:rPr>
                <w:rFonts w:ascii="Segoe UI Symbol" w:hAnsi="Segoe UI Symbol" w:eastAsia="等线" w:cs="宋体"/>
                <w:color w:val="000000"/>
                <w:kern w:val="0"/>
                <w:szCs w:val="21"/>
              </w:rPr>
            </w:pPr>
          </w:p>
        </w:tc>
        <w:tc>
          <w:tcPr>
            <w:tcW w:w="720" w:type="dxa"/>
            <w:noWrap/>
            <w:vAlign w:val="center"/>
          </w:tcPr>
          <w:p w14:paraId="38ED6A15">
            <w:pPr>
              <w:widowControl/>
              <w:rPr>
                <w:rFonts w:ascii="Segoe UI Symbol" w:hAnsi="Segoe UI Symbol" w:eastAsia="等线" w:cs="宋体"/>
                <w:color w:val="000000"/>
                <w:kern w:val="0"/>
                <w:szCs w:val="21"/>
              </w:rPr>
            </w:pPr>
          </w:p>
        </w:tc>
      </w:tr>
      <w:tr w14:paraId="39DF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3E77420">
            <w:pPr>
              <w:widowControl/>
              <w:jc w:val="center"/>
              <w:rPr>
                <w:rFonts w:eastAsia="等线"/>
                <w:color w:val="000000"/>
                <w:kern w:val="0"/>
                <w:szCs w:val="21"/>
              </w:rPr>
            </w:pPr>
          </w:p>
        </w:tc>
        <w:tc>
          <w:tcPr>
            <w:tcW w:w="1008" w:type="dxa"/>
            <w:vMerge w:val="continue"/>
            <w:vAlign w:val="center"/>
          </w:tcPr>
          <w:p w14:paraId="2DE4C672">
            <w:pPr>
              <w:widowControl/>
              <w:jc w:val="center"/>
              <w:rPr>
                <w:rFonts w:eastAsia="等线"/>
                <w:color w:val="000000"/>
                <w:kern w:val="0"/>
                <w:szCs w:val="21"/>
              </w:rPr>
            </w:pPr>
          </w:p>
        </w:tc>
        <w:tc>
          <w:tcPr>
            <w:tcW w:w="3540" w:type="dxa"/>
            <w:noWrap/>
            <w:vAlign w:val="center"/>
          </w:tcPr>
          <w:p w14:paraId="39113940">
            <w:pPr>
              <w:widowControl/>
              <w:rPr>
                <w:rFonts w:eastAsia="等线"/>
                <w:color w:val="000000"/>
                <w:kern w:val="0"/>
                <w:szCs w:val="21"/>
              </w:rPr>
            </w:pPr>
            <w:r>
              <w:rPr>
                <w:rFonts w:eastAsia="等线"/>
                <w:color w:val="000000"/>
                <w:kern w:val="0"/>
                <w:szCs w:val="21"/>
              </w:rPr>
              <w:t>1.3</w:t>
            </w:r>
            <w:r>
              <w:rPr>
                <w:rFonts w:hint="eastAsia" w:ascii="宋体" w:hAnsi="宋体"/>
                <w:color w:val="000000"/>
                <w:kern w:val="0"/>
                <w:szCs w:val="21"/>
              </w:rPr>
              <w:t>商品需用坚固的木箱或纸箱包装，以宜于长途海运、陆运、邮寄或空运及适应气候的变化，并具备良好的防潮抗震能力。由于包装不良而引起的货物损坏或由于防护措施不善而引起货物锈蚀，中标人应赔偿由此而造成的全部损失费用。</w:t>
            </w:r>
          </w:p>
        </w:tc>
        <w:tc>
          <w:tcPr>
            <w:tcW w:w="1596" w:type="dxa"/>
            <w:noWrap/>
            <w:vAlign w:val="center"/>
          </w:tcPr>
          <w:p w14:paraId="06C12B52">
            <w:pPr>
              <w:widowControl/>
              <w:rPr>
                <w:rFonts w:eastAsia="等线"/>
                <w:color w:val="000000"/>
                <w:kern w:val="0"/>
                <w:szCs w:val="21"/>
              </w:rPr>
            </w:pPr>
          </w:p>
        </w:tc>
        <w:tc>
          <w:tcPr>
            <w:tcW w:w="1152" w:type="dxa"/>
            <w:noWrap/>
            <w:vAlign w:val="center"/>
          </w:tcPr>
          <w:p w14:paraId="05B7D4B5">
            <w:pPr>
              <w:widowControl/>
              <w:rPr>
                <w:rFonts w:eastAsia="等线"/>
                <w:color w:val="000000"/>
                <w:kern w:val="0"/>
                <w:szCs w:val="21"/>
              </w:rPr>
            </w:pPr>
          </w:p>
        </w:tc>
        <w:tc>
          <w:tcPr>
            <w:tcW w:w="720" w:type="dxa"/>
            <w:noWrap/>
            <w:vAlign w:val="center"/>
          </w:tcPr>
          <w:p w14:paraId="129046C3">
            <w:pPr>
              <w:widowControl/>
              <w:rPr>
                <w:rFonts w:eastAsia="等线"/>
                <w:color w:val="000000"/>
                <w:kern w:val="0"/>
                <w:szCs w:val="21"/>
              </w:rPr>
            </w:pPr>
          </w:p>
        </w:tc>
      </w:tr>
      <w:tr w14:paraId="3AAD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5629FA12">
            <w:pPr>
              <w:widowControl/>
              <w:jc w:val="center"/>
              <w:rPr>
                <w:rFonts w:eastAsia="等线"/>
                <w:color w:val="000000"/>
                <w:kern w:val="0"/>
                <w:szCs w:val="21"/>
              </w:rPr>
            </w:pPr>
          </w:p>
        </w:tc>
        <w:tc>
          <w:tcPr>
            <w:tcW w:w="1008" w:type="dxa"/>
            <w:vMerge w:val="continue"/>
            <w:vAlign w:val="center"/>
          </w:tcPr>
          <w:p w14:paraId="0281769F">
            <w:pPr>
              <w:widowControl/>
              <w:jc w:val="center"/>
              <w:rPr>
                <w:rFonts w:eastAsia="等线"/>
                <w:color w:val="000000"/>
                <w:kern w:val="0"/>
                <w:szCs w:val="21"/>
              </w:rPr>
            </w:pPr>
          </w:p>
        </w:tc>
        <w:tc>
          <w:tcPr>
            <w:tcW w:w="3540" w:type="dxa"/>
            <w:noWrap/>
            <w:vAlign w:val="center"/>
          </w:tcPr>
          <w:p w14:paraId="68C664DF">
            <w:pPr>
              <w:widowControl/>
              <w:rPr>
                <w:rFonts w:eastAsia="等线"/>
                <w:color w:val="000000"/>
                <w:kern w:val="0"/>
                <w:szCs w:val="21"/>
              </w:rPr>
            </w:pPr>
            <w:r>
              <w:rPr>
                <w:rFonts w:eastAsia="等线"/>
                <w:color w:val="000000"/>
                <w:kern w:val="0"/>
                <w:szCs w:val="21"/>
              </w:rPr>
              <w:t>1.4</w:t>
            </w:r>
            <w:r>
              <w:rPr>
                <w:rFonts w:hint="eastAsia" w:ascii="宋体" w:hAnsi="宋体"/>
                <w:color w:val="000000"/>
                <w:kern w:val="0"/>
                <w:szCs w:val="21"/>
              </w:rPr>
              <w:t>中标人应在每个货箱上用不褪色油漆标明箱号、毛重、净重、长、宽、高并书以</w:t>
            </w:r>
            <w:r>
              <w:rPr>
                <w:rFonts w:eastAsia="等线"/>
                <w:color w:val="000000"/>
                <w:kern w:val="0"/>
                <w:szCs w:val="21"/>
              </w:rPr>
              <w:t>"</w:t>
            </w:r>
            <w:r>
              <w:rPr>
                <w:rFonts w:hint="eastAsia" w:ascii="宋体" w:hAnsi="宋体"/>
                <w:color w:val="000000"/>
                <w:kern w:val="0"/>
                <w:szCs w:val="21"/>
              </w:rPr>
              <w:t>防潮</w:t>
            </w:r>
            <w:r>
              <w:rPr>
                <w:rFonts w:eastAsia="等线"/>
                <w:color w:val="000000"/>
                <w:kern w:val="0"/>
                <w:szCs w:val="21"/>
              </w:rPr>
              <w:t>"</w:t>
            </w:r>
            <w:r>
              <w:rPr>
                <w:rFonts w:hint="eastAsia" w:ascii="宋体" w:hAnsi="宋体"/>
                <w:color w:val="000000"/>
                <w:kern w:val="0"/>
                <w:szCs w:val="21"/>
              </w:rPr>
              <w:t>、</w:t>
            </w:r>
            <w:r>
              <w:rPr>
                <w:rFonts w:eastAsia="等线"/>
                <w:color w:val="000000"/>
                <w:kern w:val="0"/>
                <w:szCs w:val="21"/>
              </w:rPr>
              <w:t>"</w:t>
            </w:r>
            <w:r>
              <w:rPr>
                <w:rFonts w:hint="eastAsia" w:ascii="宋体" w:hAnsi="宋体"/>
                <w:color w:val="000000"/>
                <w:kern w:val="0"/>
                <w:szCs w:val="21"/>
              </w:rPr>
              <w:t>小心轻放</w:t>
            </w:r>
            <w:r>
              <w:rPr>
                <w:rFonts w:eastAsia="等线"/>
                <w:color w:val="000000"/>
                <w:kern w:val="0"/>
                <w:szCs w:val="21"/>
              </w:rPr>
              <w:t>"</w:t>
            </w:r>
            <w:r>
              <w:rPr>
                <w:rFonts w:hint="eastAsia" w:ascii="宋体" w:hAnsi="宋体"/>
                <w:color w:val="000000"/>
                <w:kern w:val="0"/>
                <w:szCs w:val="21"/>
              </w:rPr>
              <w:t>、</w:t>
            </w:r>
            <w:r>
              <w:rPr>
                <w:rFonts w:eastAsia="等线"/>
                <w:color w:val="000000"/>
                <w:kern w:val="0"/>
                <w:szCs w:val="21"/>
              </w:rPr>
              <w:t>"</w:t>
            </w:r>
            <w:r>
              <w:rPr>
                <w:rFonts w:hint="eastAsia" w:ascii="宋体" w:hAnsi="宋体"/>
                <w:color w:val="000000"/>
                <w:kern w:val="0"/>
                <w:szCs w:val="21"/>
              </w:rPr>
              <w:t>此面向上</w:t>
            </w:r>
            <w:r>
              <w:rPr>
                <w:rFonts w:eastAsia="等线"/>
                <w:color w:val="000000"/>
                <w:kern w:val="0"/>
                <w:szCs w:val="21"/>
              </w:rPr>
              <w:t xml:space="preserve">" </w:t>
            </w:r>
            <w:r>
              <w:rPr>
                <w:rFonts w:hint="eastAsia" w:ascii="宋体" w:hAnsi="宋体"/>
                <w:color w:val="000000"/>
                <w:kern w:val="0"/>
                <w:szCs w:val="21"/>
              </w:rPr>
              <w:t>等字样和装运唛头。</w:t>
            </w:r>
            <w:r>
              <w:rPr>
                <w:rFonts w:eastAsia="等线"/>
                <w:color w:val="000000"/>
                <w:kern w:val="0"/>
                <w:szCs w:val="21"/>
              </w:rPr>
              <w:t xml:space="preserve"> </w:t>
            </w:r>
          </w:p>
        </w:tc>
        <w:tc>
          <w:tcPr>
            <w:tcW w:w="1596" w:type="dxa"/>
            <w:noWrap/>
            <w:vAlign w:val="center"/>
          </w:tcPr>
          <w:p w14:paraId="2ACFFE8A">
            <w:pPr>
              <w:widowControl/>
              <w:rPr>
                <w:rFonts w:eastAsia="等线"/>
                <w:color w:val="000000"/>
                <w:kern w:val="0"/>
                <w:szCs w:val="21"/>
              </w:rPr>
            </w:pPr>
          </w:p>
        </w:tc>
        <w:tc>
          <w:tcPr>
            <w:tcW w:w="1152" w:type="dxa"/>
            <w:noWrap/>
            <w:vAlign w:val="center"/>
          </w:tcPr>
          <w:p w14:paraId="3EAA89DA">
            <w:pPr>
              <w:widowControl/>
              <w:rPr>
                <w:rFonts w:eastAsia="等线"/>
                <w:color w:val="000000"/>
                <w:kern w:val="0"/>
                <w:szCs w:val="21"/>
              </w:rPr>
            </w:pPr>
          </w:p>
        </w:tc>
        <w:tc>
          <w:tcPr>
            <w:tcW w:w="720" w:type="dxa"/>
            <w:noWrap/>
            <w:vAlign w:val="center"/>
          </w:tcPr>
          <w:p w14:paraId="0D0A06CC">
            <w:pPr>
              <w:widowControl/>
              <w:rPr>
                <w:rFonts w:eastAsia="等线"/>
                <w:color w:val="000000"/>
                <w:kern w:val="0"/>
                <w:szCs w:val="21"/>
              </w:rPr>
            </w:pPr>
          </w:p>
        </w:tc>
      </w:tr>
      <w:tr w14:paraId="6EDA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CC1C2AF">
            <w:pPr>
              <w:widowControl/>
              <w:jc w:val="center"/>
              <w:rPr>
                <w:rFonts w:ascii="Segoe UI Symbol" w:hAnsi="Segoe UI Symbol" w:eastAsia="等线" w:cs="宋体"/>
                <w:color w:val="000000"/>
                <w:kern w:val="0"/>
                <w:szCs w:val="21"/>
              </w:rPr>
            </w:pPr>
          </w:p>
        </w:tc>
        <w:tc>
          <w:tcPr>
            <w:tcW w:w="1008" w:type="dxa"/>
            <w:vMerge w:val="continue"/>
            <w:vAlign w:val="center"/>
          </w:tcPr>
          <w:p w14:paraId="3A498906">
            <w:pPr>
              <w:widowControl/>
              <w:jc w:val="center"/>
              <w:rPr>
                <w:rFonts w:ascii="Segoe UI Symbol" w:hAnsi="Segoe UI Symbol" w:eastAsia="等线" w:cs="宋体"/>
                <w:color w:val="000000"/>
                <w:kern w:val="0"/>
                <w:szCs w:val="21"/>
              </w:rPr>
            </w:pPr>
          </w:p>
        </w:tc>
        <w:tc>
          <w:tcPr>
            <w:tcW w:w="3540" w:type="dxa"/>
            <w:noWrap/>
            <w:vAlign w:val="center"/>
          </w:tcPr>
          <w:p w14:paraId="5FDA79FA">
            <w:pPr>
              <w:widowControl/>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eastAsia="等线"/>
                <w:color w:val="000000"/>
                <w:kern w:val="0"/>
                <w:szCs w:val="21"/>
              </w:rPr>
              <w:t>1.5</w:t>
            </w:r>
            <w:r>
              <w:rPr>
                <w:rFonts w:hint="eastAsia" w:ascii="Gungsuh" w:hAnsi="Gungsuh" w:eastAsia="Gungsuh" w:cs="宋体"/>
                <w:color w:val="000000"/>
                <w:kern w:val="0"/>
                <w:szCs w:val="21"/>
              </w:rPr>
              <w:t>允</w:t>
            </w:r>
            <w:r>
              <w:rPr>
                <w:rFonts w:hint="eastAsia" w:ascii="宋体" w:hAnsi="宋体" w:cs="宋体"/>
                <w:color w:val="000000"/>
                <w:kern w:val="0"/>
                <w:szCs w:val="21"/>
              </w:rPr>
              <w:t>许</w:t>
            </w:r>
            <w:r>
              <w:rPr>
                <w:rFonts w:hint="eastAsia" w:ascii="等线" w:hAnsi="等线" w:eastAsia="等线" w:cs="宋体"/>
                <w:color w:val="000000"/>
                <w:kern w:val="0"/>
                <w:szCs w:val="21"/>
              </w:rPr>
              <w:t>根据</w:t>
            </w:r>
            <w:r>
              <w:rPr>
                <w:rFonts w:hint="eastAsia" w:ascii="宋体" w:hAnsi="宋体" w:cs="宋体"/>
                <w:color w:val="000000"/>
                <w:kern w:val="0"/>
                <w:szCs w:val="21"/>
              </w:rPr>
              <w:t>实际情况</w:t>
            </w:r>
            <w:r>
              <w:rPr>
                <w:rFonts w:hint="eastAsia" w:ascii="Gungsuh" w:hAnsi="Gungsuh" w:eastAsia="Gungsuh" w:cs="宋体"/>
                <w:color w:val="000000"/>
                <w:kern w:val="0"/>
                <w:szCs w:val="21"/>
              </w:rPr>
              <w:t>分批</w:t>
            </w:r>
            <w:r>
              <w:rPr>
                <w:rFonts w:hint="eastAsia" w:ascii="宋体" w:hAnsi="宋体" w:cs="宋体"/>
                <w:color w:val="000000"/>
                <w:kern w:val="0"/>
                <w:szCs w:val="21"/>
              </w:rPr>
              <w:t>发货</w:t>
            </w:r>
            <w:r>
              <w:rPr>
                <w:rFonts w:hint="eastAsia" w:ascii="等线" w:hAnsi="等线" w:eastAsia="等线" w:cs="宋体"/>
                <w:color w:val="000000"/>
                <w:kern w:val="0"/>
                <w:szCs w:val="21"/>
              </w:rPr>
              <w:t>。</w:t>
            </w:r>
            <w:r>
              <w:rPr>
                <w:rFonts w:hint="eastAsia" w:ascii="宋体" w:hAnsi="宋体" w:cs="宋体"/>
                <w:color w:val="000000"/>
                <w:kern w:val="0"/>
                <w:szCs w:val="21"/>
              </w:rPr>
              <w:t>若发生货物漏发情形，中标人需免费向招标人补发漏发货物，招标人无需承担补发所产生的任何费用。</w:t>
            </w:r>
          </w:p>
        </w:tc>
        <w:tc>
          <w:tcPr>
            <w:tcW w:w="1596" w:type="dxa"/>
            <w:noWrap/>
            <w:vAlign w:val="center"/>
          </w:tcPr>
          <w:p w14:paraId="7064AFD8">
            <w:pPr>
              <w:widowControl/>
              <w:rPr>
                <w:rFonts w:ascii="Segoe UI Symbol" w:hAnsi="Segoe UI Symbol" w:eastAsia="等线" w:cs="宋体"/>
                <w:color w:val="000000"/>
                <w:kern w:val="0"/>
                <w:szCs w:val="21"/>
              </w:rPr>
            </w:pPr>
          </w:p>
        </w:tc>
        <w:tc>
          <w:tcPr>
            <w:tcW w:w="1152" w:type="dxa"/>
            <w:noWrap/>
            <w:vAlign w:val="center"/>
          </w:tcPr>
          <w:p w14:paraId="1602FEC0">
            <w:pPr>
              <w:widowControl/>
              <w:rPr>
                <w:rFonts w:ascii="Segoe UI Symbol" w:hAnsi="Segoe UI Symbol" w:eastAsia="等线" w:cs="宋体"/>
                <w:color w:val="000000"/>
                <w:kern w:val="0"/>
                <w:szCs w:val="21"/>
              </w:rPr>
            </w:pPr>
          </w:p>
        </w:tc>
        <w:tc>
          <w:tcPr>
            <w:tcW w:w="720" w:type="dxa"/>
            <w:noWrap/>
            <w:vAlign w:val="center"/>
          </w:tcPr>
          <w:p w14:paraId="7060A4FD">
            <w:pPr>
              <w:widowControl/>
              <w:rPr>
                <w:rFonts w:ascii="Segoe UI Symbol" w:hAnsi="Segoe UI Symbol" w:eastAsia="等线" w:cs="宋体"/>
                <w:color w:val="000000"/>
                <w:kern w:val="0"/>
                <w:szCs w:val="21"/>
              </w:rPr>
            </w:pPr>
          </w:p>
        </w:tc>
      </w:tr>
      <w:tr w14:paraId="6194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7F6590F3">
            <w:pPr>
              <w:widowControl/>
              <w:jc w:val="center"/>
              <w:rPr>
                <w:rFonts w:ascii="Segoe UI Symbol" w:hAnsi="Segoe UI Symbol" w:eastAsia="等线" w:cs="宋体"/>
                <w:color w:val="000000"/>
                <w:kern w:val="0"/>
                <w:szCs w:val="21"/>
              </w:rPr>
            </w:pPr>
          </w:p>
        </w:tc>
        <w:tc>
          <w:tcPr>
            <w:tcW w:w="1008" w:type="dxa"/>
            <w:vMerge w:val="continue"/>
            <w:vAlign w:val="center"/>
          </w:tcPr>
          <w:p w14:paraId="245B2080">
            <w:pPr>
              <w:widowControl/>
              <w:jc w:val="center"/>
              <w:rPr>
                <w:rFonts w:ascii="Segoe UI Symbol" w:hAnsi="Segoe UI Symbol" w:eastAsia="等线" w:cs="宋体"/>
                <w:color w:val="000000"/>
                <w:kern w:val="0"/>
                <w:szCs w:val="21"/>
              </w:rPr>
            </w:pPr>
          </w:p>
        </w:tc>
        <w:tc>
          <w:tcPr>
            <w:tcW w:w="3540" w:type="dxa"/>
            <w:noWrap/>
            <w:vAlign w:val="center"/>
          </w:tcPr>
          <w:p w14:paraId="6C374073">
            <w:pPr>
              <w:widowControl/>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eastAsia="等线"/>
                <w:color w:val="000000"/>
                <w:kern w:val="0"/>
                <w:szCs w:val="21"/>
              </w:rPr>
              <w:t>1.6</w:t>
            </w:r>
            <w:r>
              <w:rPr>
                <w:rFonts w:hint="eastAsia" w:ascii="宋体" w:hAnsi="宋体" w:cs="宋体"/>
                <w:color w:val="000000"/>
                <w:kern w:val="0"/>
                <w:szCs w:val="21"/>
              </w:rPr>
              <w:t>中标人应提供相当于合同金额</w:t>
            </w:r>
            <w:r>
              <w:rPr>
                <w:rFonts w:eastAsia="等线"/>
                <w:color w:val="000000"/>
                <w:kern w:val="0"/>
                <w:szCs w:val="21"/>
              </w:rPr>
              <w:t>110%</w:t>
            </w:r>
            <w:r>
              <w:rPr>
                <w:rFonts w:hint="eastAsia" w:ascii="宋体" w:hAnsi="宋体" w:cs="宋体"/>
                <w:color w:val="000000"/>
                <w:kern w:val="0"/>
                <w:szCs w:val="21"/>
              </w:rPr>
              <w:t>的一切险及战争险，并以招标人为受益人。</w:t>
            </w:r>
          </w:p>
        </w:tc>
        <w:tc>
          <w:tcPr>
            <w:tcW w:w="1596" w:type="dxa"/>
            <w:noWrap/>
            <w:vAlign w:val="center"/>
          </w:tcPr>
          <w:p w14:paraId="23FA7327">
            <w:pPr>
              <w:widowControl/>
              <w:rPr>
                <w:rFonts w:ascii="Segoe UI Symbol" w:hAnsi="Segoe UI Symbol" w:eastAsia="等线" w:cs="宋体"/>
                <w:color w:val="000000"/>
                <w:kern w:val="0"/>
                <w:szCs w:val="21"/>
              </w:rPr>
            </w:pPr>
          </w:p>
        </w:tc>
        <w:tc>
          <w:tcPr>
            <w:tcW w:w="1152" w:type="dxa"/>
            <w:noWrap/>
            <w:vAlign w:val="center"/>
          </w:tcPr>
          <w:p w14:paraId="18B106CB">
            <w:pPr>
              <w:widowControl/>
              <w:rPr>
                <w:rFonts w:ascii="Segoe UI Symbol" w:hAnsi="Segoe UI Symbol" w:eastAsia="等线" w:cs="宋体"/>
                <w:color w:val="000000"/>
                <w:kern w:val="0"/>
                <w:szCs w:val="21"/>
              </w:rPr>
            </w:pPr>
          </w:p>
        </w:tc>
        <w:tc>
          <w:tcPr>
            <w:tcW w:w="720" w:type="dxa"/>
            <w:noWrap/>
            <w:vAlign w:val="center"/>
          </w:tcPr>
          <w:p w14:paraId="6B9FD0EF">
            <w:pPr>
              <w:widowControl/>
              <w:rPr>
                <w:rFonts w:ascii="Segoe UI Symbol" w:hAnsi="Segoe UI Symbol" w:eastAsia="等线" w:cs="宋体"/>
                <w:color w:val="000000"/>
                <w:kern w:val="0"/>
                <w:szCs w:val="21"/>
              </w:rPr>
            </w:pPr>
          </w:p>
        </w:tc>
      </w:tr>
      <w:tr w14:paraId="14E8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D11F45D">
            <w:pPr>
              <w:widowControl/>
              <w:jc w:val="center"/>
              <w:rPr>
                <w:rFonts w:eastAsia="等线"/>
                <w:color w:val="000000"/>
                <w:kern w:val="0"/>
                <w:szCs w:val="21"/>
              </w:rPr>
            </w:pPr>
          </w:p>
        </w:tc>
        <w:tc>
          <w:tcPr>
            <w:tcW w:w="1008" w:type="dxa"/>
            <w:vMerge w:val="continue"/>
            <w:vAlign w:val="center"/>
          </w:tcPr>
          <w:p w14:paraId="73694794">
            <w:pPr>
              <w:widowControl/>
              <w:jc w:val="center"/>
              <w:rPr>
                <w:rFonts w:eastAsia="等线"/>
                <w:color w:val="000000"/>
                <w:kern w:val="0"/>
                <w:szCs w:val="21"/>
              </w:rPr>
            </w:pPr>
          </w:p>
        </w:tc>
        <w:tc>
          <w:tcPr>
            <w:tcW w:w="3540" w:type="dxa"/>
            <w:noWrap/>
            <w:vAlign w:val="center"/>
          </w:tcPr>
          <w:p w14:paraId="674B9F6F">
            <w:pPr>
              <w:widowControl/>
              <w:rPr>
                <w:rFonts w:eastAsia="等线"/>
                <w:color w:val="000000"/>
                <w:kern w:val="0"/>
                <w:szCs w:val="21"/>
              </w:rPr>
            </w:pPr>
            <w:r>
              <w:rPr>
                <w:rFonts w:eastAsia="等线"/>
                <w:color w:val="000000"/>
                <w:kern w:val="0"/>
                <w:szCs w:val="21"/>
              </w:rPr>
              <w:t>1.7</w:t>
            </w:r>
            <w:r>
              <w:rPr>
                <w:rFonts w:hint="eastAsia" w:ascii="宋体" w:hAnsi="宋体"/>
                <w:color w:val="000000"/>
                <w:kern w:val="0"/>
                <w:szCs w:val="21"/>
              </w:rPr>
              <w:t>发货单据应包括：（</w:t>
            </w:r>
            <w:r>
              <w:rPr>
                <w:rFonts w:eastAsia="等线"/>
                <w:color w:val="000000"/>
                <w:kern w:val="0"/>
                <w:szCs w:val="21"/>
              </w:rPr>
              <w:t>1</w:t>
            </w:r>
            <w:r>
              <w:rPr>
                <w:rFonts w:hint="eastAsia" w:ascii="宋体" w:hAnsi="宋体"/>
                <w:color w:val="000000"/>
                <w:kern w:val="0"/>
                <w:szCs w:val="21"/>
              </w:rPr>
              <w:t>）商业发票，应注明合同号码；（</w:t>
            </w:r>
            <w:r>
              <w:rPr>
                <w:rFonts w:eastAsia="等线"/>
                <w:color w:val="000000"/>
                <w:kern w:val="0"/>
                <w:szCs w:val="21"/>
              </w:rPr>
              <w:t>2</w:t>
            </w:r>
            <w:r>
              <w:rPr>
                <w:rFonts w:hint="eastAsia" w:ascii="宋体" w:hAnsi="宋体"/>
                <w:color w:val="000000"/>
                <w:kern w:val="0"/>
                <w:szCs w:val="21"/>
              </w:rPr>
              <w:t>）正本装箱单，装箱单应注明合同号码和唛头（如涉及）；（</w:t>
            </w:r>
            <w:r>
              <w:rPr>
                <w:rFonts w:eastAsia="等线"/>
                <w:color w:val="000000"/>
                <w:kern w:val="0"/>
                <w:szCs w:val="21"/>
              </w:rPr>
              <w:t>3</w:t>
            </w:r>
            <w:r>
              <w:rPr>
                <w:rFonts w:hint="eastAsia" w:ascii="宋体" w:hAnsi="宋体"/>
                <w:color w:val="000000"/>
                <w:kern w:val="0"/>
                <w:szCs w:val="21"/>
              </w:rPr>
              <w:t>）运单，收货人为采购人，并注明运费已付。</w:t>
            </w:r>
          </w:p>
        </w:tc>
        <w:tc>
          <w:tcPr>
            <w:tcW w:w="1596" w:type="dxa"/>
            <w:noWrap/>
            <w:vAlign w:val="center"/>
          </w:tcPr>
          <w:p w14:paraId="2F1D7E4C">
            <w:pPr>
              <w:widowControl/>
              <w:rPr>
                <w:rFonts w:eastAsia="等线"/>
                <w:color w:val="000000"/>
                <w:kern w:val="0"/>
                <w:szCs w:val="21"/>
              </w:rPr>
            </w:pPr>
          </w:p>
        </w:tc>
        <w:tc>
          <w:tcPr>
            <w:tcW w:w="1152" w:type="dxa"/>
            <w:noWrap/>
            <w:vAlign w:val="center"/>
          </w:tcPr>
          <w:p w14:paraId="282AFCED">
            <w:pPr>
              <w:widowControl/>
              <w:rPr>
                <w:rFonts w:eastAsia="等线"/>
                <w:color w:val="000000"/>
                <w:kern w:val="0"/>
                <w:szCs w:val="21"/>
              </w:rPr>
            </w:pPr>
          </w:p>
        </w:tc>
        <w:tc>
          <w:tcPr>
            <w:tcW w:w="720" w:type="dxa"/>
            <w:noWrap/>
            <w:vAlign w:val="center"/>
          </w:tcPr>
          <w:p w14:paraId="7DA56A30">
            <w:pPr>
              <w:widowControl/>
              <w:rPr>
                <w:rFonts w:eastAsia="等线"/>
                <w:color w:val="000000"/>
                <w:kern w:val="0"/>
                <w:szCs w:val="21"/>
              </w:rPr>
            </w:pPr>
          </w:p>
        </w:tc>
      </w:tr>
      <w:tr w14:paraId="544D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70F35DB0">
            <w:pPr>
              <w:widowControl/>
              <w:jc w:val="center"/>
              <w:rPr>
                <w:rFonts w:eastAsia="等线"/>
                <w:color w:val="000000"/>
                <w:kern w:val="0"/>
                <w:szCs w:val="21"/>
              </w:rPr>
            </w:pPr>
          </w:p>
        </w:tc>
        <w:tc>
          <w:tcPr>
            <w:tcW w:w="1008" w:type="dxa"/>
            <w:vMerge w:val="continue"/>
            <w:vAlign w:val="center"/>
          </w:tcPr>
          <w:p w14:paraId="45391800">
            <w:pPr>
              <w:widowControl/>
              <w:jc w:val="center"/>
              <w:rPr>
                <w:rFonts w:eastAsia="等线"/>
                <w:color w:val="000000"/>
                <w:kern w:val="0"/>
                <w:szCs w:val="21"/>
              </w:rPr>
            </w:pPr>
          </w:p>
        </w:tc>
        <w:tc>
          <w:tcPr>
            <w:tcW w:w="3540" w:type="dxa"/>
            <w:noWrap/>
            <w:vAlign w:val="center"/>
          </w:tcPr>
          <w:p w14:paraId="7000917B">
            <w:pPr>
              <w:widowControl/>
              <w:rPr>
                <w:rFonts w:eastAsia="等线"/>
                <w:color w:val="000000"/>
                <w:kern w:val="0"/>
                <w:szCs w:val="21"/>
              </w:rPr>
            </w:pPr>
            <w:r>
              <w:rPr>
                <w:rFonts w:eastAsia="等线"/>
                <w:color w:val="000000"/>
                <w:kern w:val="0"/>
                <w:szCs w:val="21"/>
              </w:rPr>
              <w:t>1.8</w:t>
            </w:r>
            <w:r>
              <w:rPr>
                <w:rFonts w:hint="eastAsia" w:ascii="宋体" w:hAnsi="宋体"/>
                <w:color w:val="000000"/>
                <w:kern w:val="0"/>
                <w:szCs w:val="21"/>
              </w:rPr>
              <w:t>中标人应在装货后</w:t>
            </w:r>
            <w:r>
              <w:rPr>
                <w:rFonts w:eastAsia="等线"/>
                <w:color w:val="000000"/>
                <w:kern w:val="0"/>
                <w:szCs w:val="21"/>
              </w:rPr>
              <w:t>5</w:t>
            </w:r>
            <w:r>
              <w:rPr>
                <w:rFonts w:hint="eastAsia" w:ascii="宋体" w:hAnsi="宋体"/>
                <w:color w:val="000000"/>
                <w:kern w:val="0"/>
                <w:szCs w:val="21"/>
              </w:rPr>
              <w:t>个工作日内</w:t>
            </w:r>
            <w:r>
              <w:rPr>
                <w:rFonts w:eastAsia="等线"/>
                <w:color w:val="000000"/>
                <w:kern w:val="0"/>
                <w:szCs w:val="21"/>
              </w:rPr>
              <w:t>,</w:t>
            </w:r>
            <w:r>
              <w:rPr>
                <w:rFonts w:hint="eastAsia" w:ascii="宋体" w:hAnsi="宋体"/>
                <w:color w:val="000000"/>
                <w:kern w:val="0"/>
                <w:szCs w:val="21"/>
              </w:rPr>
              <w:t>以电子邮件形式通知采购人发票、装箱单。中标人将货物运至最终目的地时，货物所有权应与货物灭失或损害的风险由中标人转移给采购人【如为进口商品</w:t>
            </w:r>
            <w:r>
              <w:rPr>
                <w:rFonts w:eastAsia="等线"/>
                <w:color w:val="000000"/>
                <w:kern w:val="0"/>
                <w:szCs w:val="21"/>
              </w:rPr>
              <w:t>(</w:t>
            </w:r>
            <w:r>
              <w:rPr>
                <w:rFonts w:hint="eastAsia" w:ascii="宋体" w:hAnsi="宋体"/>
                <w:color w:val="000000"/>
                <w:kern w:val="0"/>
                <w:szCs w:val="21"/>
              </w:rPr>
              <w:t>中标人通过</w:t>
            </w:r>
            <w:r>
              <w:rPr>
                <w:rFonts w:eastAsia="等线"/>
                <w:color w:val="000000"/>
                <w:kern w:val="0"/>
                <w:szCs w:val="21"/>
              </w:rPr>
              <w:t>DAP</w:t>
            </w:r>
            <w:r>
              <w:rPr>
                <w:rFonts w:hint="eastAsia" w:ascii="宋体" w:hAnsi="宋体"/>
                <w:color w:val="000000"/>
                <w:kern w:val="0"/>
                <w:szCs w:val="21"/>
              </w:rPr>
              <w:t>形式将货物交付至深圳先进光源研究院项目现场</w:t>
            </w:r>
            <w:r>
              <w:rPr>
                <w:rFonts w:eastAsia="等线"/>
                <w:color w:val="000000"/>
                <w:kern w:val="0"/>
                <w:szCs w:val="21"/>
              </w:rPr>
              <w:t>)</w:t>
            </w:r>
            <w:r>
              <w:rPr>
                <w:rFonts w:hint="eastAsia" w:ascii="宋体" w:hAnsi="宋体"/>
                <w:color w:val="000000"/>
                <w:kern w:val="0"/>
                <w:szCs w:val="21"/>
              </w:rPr>
              <w:t>，在本合同货物灭失或损害的风险转移的时间点受《国际商会国际贸易术语解释通则</w:t>
            </w:r>
            <w:r>
              <w:rPr>
                <w:rFonts w:eastAsia="等线"/>
                <w:color w:val="000000"/>
                <w:kern w:val="0"/>
                <w:szCs w:val="21"/>
              </w:rPr>
              <w:t>2020</w:t>
            </w:r>
            <w:r>
              <w:rPr>
                <w:rFonts w:hint="eastAsia" w:ascii="宋体" w:hAnsi="宋体"/>
                <w:color w:val="000000"/>
                <w:kern w:val="0"/>
                <w:szCs w:val="21"/>
              </w:rPr>
              <w:t>》约束】。</w:t>
            </w:r>
          </w:p>
        </w:tc>
        <w:tc>
          <w:tcPr>
            <w:tcW w:w="1596" w:type="dxa"/>
            <w:noWrap/>
            <w:vAlign w:val="center"/>
          </w:tcPr>
          <w:p w14:paraId="2BD38EAF">
            <w:pPr>
              <w:widowControl/>
              <w:rPr>
                <w:rFonts w:eastAsia="等线"/>
                <w:color w:val="000000"/>
                <w:kern w:val="0"/>
                <w:szCs w:val="21"/>
              </w:rPr>
            </w:pPr>
          </w:p>
        </w:tc>
        <w:tc>
          <w:tcPr>
            <w:tcW w:w="1152" w:type="dxa"/>
            <w:noWrap/>
            <w:vAlign w:val="center"/>
          </w:tcPr>
          <w:p w14:paraId="7F7A343F">
            <w:pPr>
              <w:widowControl/>
              <w:rPr>
                <w:rFonts w:eastAsia="等线"/>
                <w:color w:val="000000"/>
                <w:kern w:val="0"/>
                <w:szCs w:val="21"/>
              </w:rPr>
            </w:pPr>
          </w:p>
        </w:tc>
        <w:tc>
          <w:tcPr>
            <w:tcW w:w="720" w:type="dxa"/>
            <w:noWrap/>
            <w:vAlign w:val="center"/>
          </w:tcPr>
          <w:p w14:paraId="3ED61D05">
            <w:pPr>
              <w:widowControl/>
              <w:rPr>
                <w:rFonts w:eastAsia="等线"/>
                <w:color w:val="000000"/>
                <w:kern w:val="0"/>
                <w:szCs w:val="21"/>
              </w:rPr>
            </w:pPr>
          </w:p>
        </w:tc>
      </w:tr>
      <w:tr w14:paraId="6ABC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17D44CC6">
            <w:pPr>
              <w:widowControl/>
              <w:jc w:val="center"/>
              <w:rPr>
                <w:rFonts w:eastAsia="等线"/>
                <w:color w:val="000000"/>
                <w:kern w:val="0"/>
                <w:szCs w:val="21"/>
              </w:rPr>
            </w:pPr>
          </w:p>
        </w:tc>
        <w:tc>
          <w:tcPr>
            <w:tcW w:w="1008" w:type="dxa"/>
            <w:vMerge w:val="continue"/>
            <w:vAlign w:val="center"/>
          </w:tcPr>
          <w:p w14:paraId="2973721D">
            <w:pPr>
              <w:widowControl/>
              <w:jc w:val="center"/>
              <w:rPr>
                <w:rFonts w:eastAsia="等线"/>
                <w:color w:val="000000"/>
                <w:kern w:val="0"/>
                <w:szCs w:val="21"/>
              </w:rPr>
            </w:pPr>
          </w:p>
        </w:tc>
        <w:tc>
          <w:tcPr>
            <w:tcW w:w="3540" w:type="dxa"/>
            <w:noWrap/>
            <w:vAlign w:val="center"/>
          </w:tcPr>
          <w:p w14:paraId="0384EF65">
            <w:pPr>
              <w:widowControl/>
              <w:rPr>
                <w:rFonts w:eastAsia="等线"/>
                <w:color w:val="000000"/>
                <w:kern w:val="0"/>
                <w:szCs w:val="21"/>
              </w:rPr>
            </w:pPr>
            <w:r>
              <w:rPr>
                <w:rFonts w:eastAsia="等线"/>
                <w:color w:val="000000"/>
                <w:kern w:val="0"/>
                <w:szCs w:val="21"/>
              </w:rPr>
              <w:t>1.9</w:t>
            </w:r>
            <w:r>
              <w:rPr>
                <w:rFonts w:hint="eastAsia" w:ascii="宋体" w:hAnsi="宋体"/>
                <w:color w:val="000000"/>
                <w:kern w:val="0"/>
                <w:szCs w:val="21"/>
              </w:rPr>
              <w:t>发货前，制造商应对货物的质量、规格、关键部件的性能和数量或重量作精密全面的检验、出具检验证明书，并说明检验的技术数据和结论符合附件中技术规格书的规定。</w:t>
            </w:r>
          </w:p>
        </w:tc>
        <w:tc>
          <w:tcPr>
            <w:tcW w:w="1596" w:type="dxa"/>
            <w:noWrap/>
            <w:vAlign w:val="center"/>
          </w:tcPr>
          <w:p w14:paraId="40D7B5C0">
            <w:pPr>
              <w:widowControl/>
              <w:rPr>
                <w:rFonts w:eastAsia="等线"/>
                <w:color w:val="000000"/>
                <w:kern w:val="0"/>
                <w:szCs w:val="21"/>
              </w:rPr>
            </w:pPr>
          </w:p>
        </w:tc>
        <w:tc>
          <w:tcPr>
            <w:tcW w:w="1152" w:type="dxa"/>
            <w:noWrap/>
            <w:vAlign w:val="center"/>
          </w:tcPr>
          <w:p w14:paraId="058BFDC4">
            <w:pPr>
              <w:widowControl/>
              <w:rPr>
                <w:rFonts w:eastAsia="等线"/>
                <w:color w:val="000000"/>
                <w:kern w:val="0"/>
                <w:szCs w:val="21"/>
              </w:rPr>
            </w:pPr>
          </w:p>
        </w:tc>
        <w:tc>
          <w:tcPr>
            <w:tcW w:w="720" w:type="dxa"/>
            <w:noWrap/>
            <w:vAlign w:val="center"/>
          </w:tcPr>
          <w:p w14:paraId="7113D5EC">
            <w:pPr>
              <w:widowControl/>
              <w:rPr>
                <w:rFonts w:eastAsia="等线"/>
                <w:color w:val="000000"/>
                <w:kern w:val="0"/>
                <w:szCs w:val="21"/>
              </w:rPr>
            </w:pPr>
          </w:p>
        </w:tc>
      </w:tr>
      <w:tr w14:paraId="4F78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F4AD082">
            <w:pPr>
              <w:widowControl/>
              <w:jc w:val="center"/>
              <w:rPr>
                <w:rFonts w:eastAsia="等线"/>
                <w:color w:val="000000"/>
                <w:kern w:val="0"/>
                <w:szCs w:val="21"/>
              </w:rPr>
            </w:pPr>
          </w:p>
        </w:tc>
        <w:tc>
          <w:tcPr>
            <w:tcW w:w="1008" w:type="dxa"/>
            <w:vMerge w:val="continue"/>
            <w:vAlign w:val="center"/>
          </w:tcPr>
          <w:p w14:paraId="5B967BEA">
            <w:pPr>
              <w:widowControl/>
              <w:jc w:val="center"/>
              <w:rPr>
                <w:rFonts w:eastAsia="等线"/>
                <w:color w:val="000000"/>
                <w:kern w:val="0"/>
                <w:szCs w:val="21"/>
              </w:rPr>
            </w:pPr>
          </w:p>
        </w:tc>
        <w:tc>
          <w:tcPr>
            <w:tcW w:w="3540" w:type="dxa"/>
            <w:noWrap/>
            <w:vAlign w:val="center"/>
          </w:tcPr>
          <w:p w14:paraId="61BB833E">
            <w:pPr>
              <w:widowControl/>
              <w:rPr>
                <w:rFonts w:eastAsia="等线"/>
                <w:color w:val="000000"/>
                <w:kern w:val="0"/>
                <w:szCs w:val="21"/>
              </w:rPr>
            </w:pPr>
            <w:r>
              <w:rPr>
                <w:rFonts w:eastAsia="等线"/>
                <w:color w:val="000000"/>
                <w:kern w:val="0"/>
                <w:szCs w:val="21"/>
              </w:rPr>
              <w:t>1.10</w:t>
            </w:r>
            <w:r>
              <w:rPr>
                <w:rFonts w:hint="eastAsia" w:ascii="宋体" w:hAnsi="宋体"/>
                <w:color w:val="000000"/>
                <w:kern w:val="0"/>
                <w:szCs w:val="21"/>
              </w:rPr>
              <w:t>货物运抵目的地后，若采购人发现货物的质量、规格或数量与本合同不符，采购人可向第三方质量检验公司申请对货物的质量、规格或数量进行复检。除保险公司或承运人应承担的责任外，采购人应在货物到达目的地后三十（</w:t>
            </w:r>
            <w:r>
              <w:rPr>
                <w:rFonts w:eastAsia="等线"/>
                <w:color w:val="000000"/>
                <w:kern w:val="0"/>
                <w:szCs w:val="21"/>
              </w:rPr>
              <w:t>30</w:t>
            </w:r>
            <w:r>
              <w:rPr>
                <w:rFonts w:hint="eastAsia" w:ascii="宋体" w:hAnsi="宋体"/>
                <w:color w:val="000000"/>
                <w:kern w:val="0"/>
                <w:szCs w:val="21"/>
              </w:rPr>
              <w:t>）天内，凭第三方质量检验公司出具的检验证书向中标人提出索赔，或拒收货物。</w:t>
            </w:r>
          </w:p>
        </w:tc>
        <w:tc>
          <w:tcPr>
            <w:tcW w:w="1596" w:type="dxa"/>
            <w:noWrap/>
            <w:vAlign w:val="center"/>
          </w:tcPr>
          <w:p w14:paraId="25EC8440">
            <w:pPr>
              <w:widowControl/>
              <w:rPr>
                <w:rFonts w:eastAsia="等线"/>
                <w:color w:val="000000"/>
                <w:kern w:val="0"/>
                <w:szCs w:val="21"/>
              </w:rPr>
            </w:pPr>
          </w:p>
        </w:tc>
        <w:tc>
          <w:tcPr>
            <w:tcW w:w="1152" w:type="dxa"/>
            <w:noWrap/>
            <w:vAlign w:val="center"/>
          </w:tcPr>
          <w:p w14:paraId="4EDDD167">
            <w:pPr>
              <w:widowControl/>
              <w:rPr>
                <w:rFonts w:eastAsia="等线"/>
                <w:color w:val="000000"/>
                <w:kern w:val="0"/>
                <w:szCs w:val="21"/>
              </w:rPr>
            </w:pPr>
          </w:p>
        </w:tc>
        <w:tc>
          <w:tcPr>
            <w:tcW w:w="720" w:type="dxa"/>
            <w:noWrap/>
            <w:vAlign w:val="center"/>
          </w:tcPr>
          <w:p w14:paraId="043531C4">
            <w:pPr>
              <w:widowControl/>
              <w:rPr>
                <w:rFonts w:eastAsia="等线"/>
                <w:color w:val="000000"/>
                <w:kern w:val="0"/>
                <w:szCs w:val="21"/>
              </w:rPr>
            </w:pPr>
          </w:p>
        </w:tc>
      </w:tr>
      <w:tr w14:paraId="53AC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72CC0FF">
            <w:pPr>
              <w:widowControl/>
              <w:jc w:val="center"/>
              <w:rPr>
                <w:rFonts w:eastAsia="等线"/>
                <w:color w:val="000000"/>
                <w:kern w:val="0"/>
                <w:szCs w:val="21"/>
              </w:rPr>
            </w:pPr>
          </w:p>
        </w:tc>
        <w:tc>
          <w:tcPr>
            <w:tcW w:w="1008" w:type="dxa"/>
            <w:vMerge w:val="continue"/>
            <w:vAlign w:val="center"/>
          </w:tcPr>
          <w:p w14:paraId="3C05C236">
            <w:pPr>
              <w:widowControl/>
              <w:jc w:val="center"/>
              <w:rPr>
                <w:rFonts w:eastAsia="等线"/>
                <w:color w:val="000000"/>
                <w:kern w:val="0"/>
                <w:szCs w:val="21"/>
              </w:rPr>
            </w:pPr>
          </w:p>
        </w:tc>
        <w:tc>
          <w:tcPr>
            <w:tcW w:w="3540" w:type="dxa"/>
            <w:noWrap/>
            <w:vAlign w:val="center"/>
          </w:tcPr>
          <w:p w14:paraId="2EB5E1F2">
            <w:pPr>
              <w:widowControl/>
              <w:rPr>
                <w:rFonts w:eastAsia="等线"/>
                <w:color w:val="000000"/>
                <w:kern w:val="0"/>
                <w:szCs w:val="21"/>
              </w:rPr>
            </w:pPr>
            <w:r>
              <w:rPr>
                <w:rFonts w:eastAsia="等线"/>
                <w:color w:val="000000"/>
                <w:kern w:val="0"/>
                <w:szCs w:val="21"/>
              </w:rPr>
              <w:t xml:space="preserve">1.11 </w:t>
            </w:r>
            <w:r>
              <w:rPr>
                <w:rFonts w:hint="eastAsia" w:ascii="宋体" w:hAnsi="宋体"/>
                <w:color w:val="000000"/>
                <w:kern w:val="0"/>
                <w:szCs w:val="21"/>
              </w:rPr>
              <w:t>中标人需按采购文件要求、投标文件响应以及招标后签署的合同技术文件要求完成货物交付。</w:t>
            </w:r>
          </w:p>
        </w:tc>
        <w:tc>
          <w:tcPr>
            <w:tcW w:w="1596" w:type="dxa"/>
            <w:noWrap/>
            <w:vAlign w:val="center"/>
          </w:tcPr>
          <w:p w14:paraId="05BBEA3D">
            <w:pPr>
              <w:widowControl/>
              <w:rPr>
                <w:rFonts w:eastAsia="等线"/>
                <w:color w:val="000000"/>
                <w:kern w:val="0"/>
                <w:szCs w:val="21"/>
              </w:rPr>
            </w:pPr>
          </w:p>
        </w:tc>
        <w:tc>
          <w:tcPr>
            <w:tcW w:w="1152" w:type="dxa"/>
            <w:noWrap/>
            <w:vAlign w:val="center"/>
          </w:tcPr>
          <w:p w14:paraId="725E2BD0">
            <w:pPr>
              <w:widowControl/>
              <w:rPr>
                <w:rFonts w:eastAsia="等线"/>
                <w:color w:val="000000"/>
                <w:kern w:val="0"/>
                <w:szCs w:val="21"/>
              </w:rPr>
            </w:pPr>
          </w:p>
        </w:tc>
        <w:tc>
          <w:tcPr>
            <w:tcW w:w="720" w:type="dxa"/>
            <w:noWrap/>
            <w:vAlign w:val="center"/>
          </w:tcPr>
          <w:p w14:paraId="652B300B">
            <w:pPr>
              <w:widowControl/>
              <w:rPr>
                <w:rFonts w:eastAsia="等线"/>
                <w:color w:val="000000"/>
                <w:kern w:val="0"/>
                <w:szCs w:val="21"/>
              </w:rPr>
            </w:pPr>
          </w:p>
        </w:tc>
      </w:tr>
      <w:tr w14:paraId="7F1E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CCCD830">
            <w:pPr>
              <w:widowControl/>
              <w:jc w:val="center"/>
              <w:rPr>
                <w:rFonts w:eastAsia="等线"/>
                <w:color w:val="000000"/>
                <w:kern w:val="0"/>
                <w:szCs w:val="21"/>
              </w:rPr>
            </w:pPr>
          </w:p>
        </w:tc>
        <w:tc>
          <w:tcPr>
            <w:tcW w:w="1008" w:type="dxa"/>
            <w:vMerge w:val="continue"/>
            <w:vAlign w:val="center"/>
          </w:tcPr>
          <w:p w14:paraId="678E7B54">
            <w:pPr>
              <w:widowControl/>
              <w:jc w:val="center"/>
              <w:rPr>
                <w:rFonts w:eastAsia="等线"/>
                <w:color w:val="000000"/>
                <w:kern w:val="0"/>
                <w:szCs w:val="21"/>
              </w:rPr>
            </w:pPr>
          </w:p>
        </w:tc>
        <w:tc>
          <w:tcPr>
            <w:tcW w:w="3540" w:type="dxa"/>
            <w:noWrap/>
            <w:vAlign w:val="center"/>
          </w:tcPr>
          <w:p w14:paraId="5D237D7C">
            <w:pPr>
              <w:widowControl/>
              <w:rPr>
                <w:rFonts w:eastAsia="等线"/>
                <w:color w:val="000000"/>
                <w:kern w:val="0"/>
                <w:szCs w:val="21"/>
              </w:rPr>
            </w:pPr>
            <w:r>
              <w:rPr>
                <w:rFonts w:eastAsia="等线"/>
                <w:color w:val="000000"/>
                <w:kern w:val="0"/>
                <w:szCs w:val="21"/>
              </w:rPr>
              <w:t xml:space="preserve">1.12 </w:t>
            </w:r>
            <w:r>
              <w:rPr>
                <w:rFonts w:hint="eastAsia" w:ascii="宋体" w:hAnsi="宋体"/>
                <w:color w:val="000000"/>
                <w:kern w:val="0"/>
                <w:szCs w:val="21"/>
              </w:rPr>
              <w:t>若采购人、最终用户或第三方应履行的义务对中标人履行本合同产生影响，中标人应及时书面通知采购人。中标人应尽合理商业努力与采购人及第三方进行协调、沟通与配合，以尽量减少对项目进度和性能的不利影响。双方应本着诚实信用原则，就项目进度和性能受到的影响进行协商并达成一致。</w:t>
            </w:r>
          </w:p>
        </w:tc>
        <w:tc>
          <w:tcPr>
            <w:tcW w:w="1596" w:type="dxa"/>
            <w:noWrap/>
            <w:vAlign w:val="center"/>
          </w:tcPr>
          <w:p w14:paraId="7270A5CF">
            <w:pPr>
              <w:widowControl/>
              <w:rPr>
                <w:rFonts w:eastAsia="等线"/>
                <w:color w:val="000000"/>
                <w:kern w:val="0"/>
                <w:szCs w:val="21"/>
              </w:rPr>
            </w:pPr>
          </w:p>
        </w:tc>
        <w:tc>
          <w:tcPr>
            <w:tcW w:w="1152" w:type="dxa"/>
            <w:noWrap/>
            <w:vAlign w:val="center"/>
          </w:tcPr>
          <w:p w14:paraId="3EAC3850">
            <w:pPr>
              <w:widowControl/>
              <w:rPr>
                <w:rFonts w:eastAsia="等线"/>
                <w:color w:val="000000"/>
                <w:kern w:val="0"/>
                <w:szCs w:val="21"/>
              </w:rPr>
            </w:pPr>
          </w:p>
        </w:tc>
        <w:tc>
          <w:tcPr>
            <w:tcW w:w="720" w:type="dxa"/>
            <w:noWrap/>
            <w:vAlign w:val="center"/>
          </w:tcPr>
          <w:p w14:paraId="25423359">
            <w:pPr>
              <w:widowControl/>
              <w:rPr>
                <w:rFonts w:eastAsia="等线"/>
                <w:color w:val="000000"/>
                <w:kern w:val="0"/>
                <w:szCs w:val="21"/>
              </w:rPr>
            </w:pPr>
          </w:p>
        </w:tc>
      </w:tr>
      <w:tr w14:paraId="684A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7DD21AD2">
            <w:pPr>
              <w:widowControl/>
              <w:jc w:val="center"/>
              <w:rPr>
                <w:rFonts w:hint="eastAsia" w:ascii="宋体" w:hAnsi="宋体" w:cs="宋体"/>
                <w:color w:val="000000"/>
                <w:kern w:val="0"/>
                <w:szCs w:val="21"/>
              </w:rPr>
            </w:pPr>
            <w:r>
              <w:rPr>
                <w:rFonts w:hint="eastAsia" w:ascii="宋体" w:hAnsi="宋体" w:cs="宋体"/>
                <w:color w:val="000000"/>
                <w:kern w:val="0"/>
                <w:szCs w:val="21"/>
              </w:rPr>
              <w:t>2</w:t>
            </w:r>
          </w:p>
        </w:tc>
        <w:tc>
          <w:tcPr>
            <w:tcW w:w="1008" w:type="dxa"/>
            <w:vMerge w:val="restart"/>
            <w:vAlign w:val="center"/>
          </w:tcPr>
          <w:p w14:paraId="208B2ECE">
            <w:pPr>
              <w:widowControl/>
              <w:jc w:val="center"/>
              <w:rPr>
                <w:rFonts w:hint="eastAsia" w:ascii="宋体" w:hAnsi="宋体" w:cs="宋体"/>
                <w:color w:val="000000"/>
                <w:kern w:val="0"/>
                <w:szCs w:val="21"/>
              </w:rPr>
            </w:pPr>
            <w:r>
              <w:rPr>
                <w:rFonts w:hint="eastAsia" w:ascii="宋体" w:hAnsi="宋体"/>
                <w:b/>
                <w:bCs/>
                <w:color w:val="000000"/>
                <w:kern w:val="0"/>
                <w:szCs w:val="21"/>
              </w:rPr>
              <w:t>关于验收</w:t>
            </w:r>
          </w:p>
        </w:tc>
        <w:tc>
          <w:tcPr>
            <w:tcW w:w="3540" w:type="dxa"/>
            <w:noWrap/>
            <w:vAlign w:val="center"/>
          </w:tcPr>
          <w:p w14:paraId="208935CA">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2</w:t>
            </w:r>
            <w:r>
              <w:rPr>
                <w:color w:val="000000"/>
                <w:kern w:val="0"/>
                <w:szCs w:val="21"/>
              </w:rPr>
              <w:t>.1</w:t>
            </w:r>
            <w:r>
              <w:rPr>
                <w:rFonts w:hint="eastAsia" w:ascii="宋体" w:hAnsi="宋体" w:cs="宋体"/>
                <w:color w:val="000000"/>
                <w:kern w:val="0"/>
                <w:szCs w:val="21"/>
              </w:rPr>
              <w:t>货物的最终验收应按照采购文件要求、投标文件响应以及招标后签署的合同技术文件要求执行。</w:t>
            </w:r>
          </w:p>
        </w:tc>
        <w:tc>
          <w:tcPr>
            <w:tcW w:w="1596" w:type="dxa"/>
            <w:noWrap/>
            <w:vAlign w:val="center"/>
          </w:tcPr>
          <w:p w14:paraId="5E343ACB">
            <w:pPr>
              <w:widowControl/>
              <w:rPr>
                <w:rFonts w:hint="eastAsia" w:ascii="宋体" w:hAnsi="宋体" w:cs="宋体"/>
                <w:color w:val="000000"/>
                <w:kern w:val="0"/>
                <w:szCs w:val="21"/>
              </w:rPr>
            </w:pPr>
          </w:p>
        </w:tc>
        <w:tc>
          <w:tcPr>
            <w:tcW w:w="1152" w:type="dxa"/>
            <w:noWrap/>
            <w:vAlign w:val="center"/>
          </w:tcPr>
          <w:p w14:paraId="52EA9C03">
            <w:pPr>
              <w:widowControl/>
              <w:rPr>
                <w:rFonts w:hint="eastAsia" w:ascii="宋体" w:hAnsi="宋体" w:cs="宋体"/>
                <w:color w:val="000000"/>
                <w:kern w:val="0"/>
                <w:szCs w:val="21"/>
              </w:rPr>
            </w:pPr>
          </w:p>
        </w:tc>
        <w:tc>
          <w:tcPr>
            <w:tcW w:w="720" w:type="dxa"/>
            <w:noWrap/>
            <w:vAlign w:val="center"/>
          </w:tcPr>
          <w:p w14:paraId="1D836ABD">
            <w:pPr>
              <w:widowControl/>
              <w:rPr>
                <w:rFonts w:hint="eastAsia" w:ascii="宋体" w:hAnsi="宋体" w:cs="宋体"/>
                <w:color w:val="000000"/>
                <w:kern w:val="0"/>
                <w:szCs w:val="21"/>
              </w:rPr>
            </w:pPr>
          </w:p>
        </w:tc>
      </w:tr>
      <w:tr w14:paraId="27C1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7" w:hRule="atLeast"/>
        </w:trPr>
        <w:tc>
          <w:tcPr>
            <w:tcW w:w="475" w:type="dxa"/>
            <w:vMerge w:val="continue"/>
            <w:vAlign w:val="center"/>
          </w:tcPr>
          <w:p w14:paraId="6D39DAC5">
            <w:pPr>
              <w:widowControl/>
              <w:jc w:val="center"/>
              <w:rPr>
                <w:rFonts w:hint="eastAsia" w:ascii="宋体" w:hAnsi="宋体" w:cs="宋体"/>
                <w:color w:val="000000"/>
                <w:kern w:val="0"/>
                <w:szCs w:val="21"/>
              </w:rPr>
            </w:pPr>
          </w:p>
        </w:tc>
        <w:tc>
          <w:tcPr>
            <w:tcW w:w="1008" w:type="dxa"/>
            <w:vMerge w:val="continue"/>
            <w:vAlign w:val="center"/>
          </w:tcPr>
          <w:p w14:paraId="2C4AC7CD">
            <w:pPr>
              <w:widowControl/>
              <w:jc w:val="center"/>
              <w:rPr>
                <w:rFonts w:hint="eastAsia" w:ascii="宋体" w:hAnsi="宋体" w:cs="宋体"/>
                <w:color w:val="000000"/>
                <w:kern w:val="0"/>
                <w:szCs w:val="21"/>
              </w:rPr>
            </w:pPr>
          </w:p>
        </w:tc>
        <w:tc>
          <w:tcPr>
            <w:tcW w:w="3540" w:type="dxa"/>
            <w:noWrap/>
            <w:vAlign w:val="center"/>
          </w:tcPr>
          <w:p w14:paraId="2AB2F0B5">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2</w:t>
            </w:r>
            <w:r>
              <w:rPr>
                <w:color w:val="000000"/>
                <w:kern w:val="0"/>
                <w:szCs w:val="21"/>
              </w:rPr>
              <w:t xml:space="preserve">.2 </w:t>
            </w:r>
            <w:r>
              <w:rPr>
                <w:rFonts w:hint="eastAsia" w:ascii="宋体" w:hAnsi="宋体" w:cs="宋体"/>
                <w:color w:val="000000"/>
                <w:kern w:val="0"/>
                <w:szCs w:val="21"/>
              </w:rPr>
              <w:t>若非中标人的原</w:t>
            </w:r>
            <w:r>
              <w:rPr>
                <w:rFonts w:hint="eastAsia" w:ascii="Gungsuh" w:hAnsi="Gungsuh" w:eastAsia="Gungsuh" w:cs="宋体"/>
                <w:color w:val="000000"/>
                <w:kern w:val="0"/>
                <w:szCs w:val="21"/>
              </w:rPr>
              <w:t>因</w:t>
            </w:r>
            <w:r>
              <w:rPr>
                <w:rFonts w:hint="eastAsia" w:ascii="宋体" w:hAnsi="宋体" w:cs="宋体"/>
                <w:color w:val="000000"/>
                <w:kern w:val="0"/>
                <w:szCs w:val="21"/>
              </w:rPr>
              <w:t>，导致</w:t>
            </w:r>
            <w:r>
              <w:rPr>
                <w:color w:val="000000"/>
                <w:kern w:val="0"/>
                <w:szCs w:val="21"/>
              </w:rPr>
              <w:t>ACCP</w:t>
            </w:r>
            <w:r>
              <w:rPr>
                <w:rFonts w:hint="eastAsia" w:ascii="宋体" w:hAnsi="宋体" w:cs="宋体"/>
                <w:color w:val="000000"/>
                <w:kern w:val="0"/>
                <w:szCs w:val="21"/>
              </w:rPr>
              <w:t>制冷机的现场验收测试未能在下列期限届满前启动，以先到者为准：</w:t>
            </w:r>
          </w:p>
          <w:p w14:paraId="40D4F6AB">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）自交付之日起</w:t>
            </w:r>
            <w:r>
              <w:rPr>
                <w:color w:val="000000"/>
                <w:kern w:val="0"/>
                <w:szCs w:val="21"/>
              </w:rPr>
              <w:t>15</w:t>
            </w:r>
            <w:r>
              <w:rPr>
                <w:rFonts w:hint="eastAsia" w:ascii="宋体" w:hAnsi="宋体" w:cs="宋体"/>
                <w:color w:val="000000"/>
                <w:kern w:val="0"/>
                <w:szCs w:val="21"/>
              </w:rPr>
              <w:t>个月内；</w:t>
            </w:r>
          </w:p>
          <w:p w14:paraId="046248E1">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）自备妥交货通知之日起</w:t>
            </w:r>
            <w:r>
              <w:rPr>
                <w:color w:val="000000"/>
                <w:kern w:val="0"/>
                <w:szCs w:val="21"/>
              </w:rPr>
              <w:t>18</w:t>
            </w:r>
            <w:r>
              <w:rPr>
                <w:rFonts w:hint="eastAsia" w:ascii="宋体" w:hAnsi="宋体" w:cs="宋体"/>
                <w:color w:val="000000"/>
                <w:kern w:val="0"/>
                <w:szCs w:val="21"/>
              </w:rPr>
              <w:t>个月内启动。</w:t>
            </w:r>
          </w:p>
          <w:p w14:paraId="1CF519A4">
            <w:pPr>
              <w:rPr>
                <w:rFonts w:hint="eastAsia" w:ascii="宋体" w:hAnsi="宋体" w:cs="宋体"/>
                <w:color w:val="000000"/>
                <w:kern w:val="0"/>
                <w:szCs w:val="21"/>
              </w:rPr>
            </w:pPr>
            <w:r>
              <w:rPr>
                <w:rFonts w:hint="eastAsia" w:ascii="宋体" w:hAnsi="宋体" w:cs="宋体"/>
                <w:color w:val="000000"/>
                <w:kern w:val="0"/>
                <w:szCs w:val="21"/>
              </w:rPr>
              <w:t>出现上述情形的，则货物不被视为通过</w:t>
            </w:r>
            <w:r>
              <w:rPr>
                <w:color w:val="000000"/>
                <w:kern w:val="0"/>
                <w:szCs w:val="21"/>
              </w:rPr>
              <w:t>SAT</w:t>
            </w:r>
            <w:r>
              <w:rPr>
                <w:rFonts w:hint="eastAsia" w:ascii="宋体" w:hAnsi="宋体" w:cs="宋体"/>
                <w:color w:val="000000"/>
                <w:kern w:val="0"/>
                <w:szCs w:val="21"/>
              </w:rPr>
              <w:t>现场验收，条件满足后仍须进行现场验收测试（</w:t>
            </w:r>
            <w:r>
              <w:rPr>
                <w:color w:val="000000"/>
                <w:kern w:val="0"/>
                <w:szCs w:val="21"/>
              </w:rPr>
              <w:t>SAT</w:t>
            </w:r>
            <w:r>
              <w:rPr>
                <w:rFonts w:hint="eastAsia" w:ascii="宋体" w:hAnsi="宋体" w:cs="宋体"/>
                <w:color w:val="000000"/>
                <w:kern w:val="0"/>
                <w:szCs w:val="21"/>
              </w:rPr>
              <w:t>），但采购人同意收到中标人发票后支付货款。</w:t>
            </w:r>
          </w:p>
        </w:tc>
        <w:tc>
          <w:tcPr>
            <w:tcW w:w="1596" w:type="dxa"/>
            <w:noWrap/>
            <w:vAlign w:val="center"/>
          </w:tcPr>
          <w:p w14:paraId="02673E98">
            <w:pPr>
              <w:rPr>
                <w:rFonts w:hint="eastAsia" w:ascii="宋体" w:hAnsi="宋体" w:cs="宋体"/>
                <w:color w:val="000000"/>
                <w:kern w:val="0"/>
                <w:szCs w:val="21"/>
              </w:rPr>
            </w:pPr>
          </w:p>
        </w:tc>
        <w:tc>
          <w:tcPr>
            <w:tcW w:w="1152" w:type="dxa"/>
            <w:noWrap/>
            <w:vAlign w:val="center"/>
          </w:tcPr>
          <w:p w14:paraId="0762C355">
            <w:pPr>
              <w:rPr>
                <w:rFonts w:hint="eastAsia" w:ascii="宋体" w:hAnsi="宋体" w:cs="宋体"/>
                <w:color w:val="000000"/>
                <w:kern w:val="0"/>
                <w:szCs w:val="21"/>
              </w:rPr>
            </w:pPr>
          </w:p>
        </w:tc>
        <w:tc>
          <w:tcPr>
            <w:tcW w:w="720" w:type="dxa"/>
            <w:noWrap/>
            <w:vAlign w:val="center"/>
          </w:tcPr>
          <w:p w14:paraId="6D2C38E5">
            <w:pPr>
              <w:rPr>
                <w:rFonts w:hint="eastAsia" w:ascii="宋体" w:hAnsi="宋体" w:cs="宋体"/>
                <w:color w:val="000000"/>
                <w:kern w:val="0"/>
                <w:szCs w:val="21"/>
              </w:rPr>
            </w:pPr>
          </w:p>
        </w:tc>
      </w:tr>
      <w:tr w14:paraId="0D7F0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FD155E0">
            <w:pPr>
              <w:widowControl/>
              <w:jc w:val="center"/>
              <w:rPr>
                <w:rFonts w:eastAsia="等线"/>
                <w:color w:val="000000"/>
                <w:kern w:val="0"/>
                <w:szCs w:val="21"/>
              </w:rPr>
            </w:pPr>
          </w:p>
        </w:tc>
        <w:tc>
          <w:tcPr>
            <w:tcW w:w="1008" w:type="dxa"/>
            <w:vMerge w:val="continue"/>
            <w:vAlign w:val="center"/>
          </w:tcPr>
          <w:p w14:paraId="5A495BD2">
            <w:pPr>
              <w:widowControl/>
              <w:jc w:val="center"/>
              <w:rPr>
                <w:rFonts w:eastAsia="等线"/>
                <w:color w:val="000000"/>
                <w:kern w:val="0"/>
                <w:szCs w:val="21"/>
              </w:rPr>
            </w:pPr>
          </w:p>
        </w:tc>
        <w:tc>
          <w:tcPr>
            <w:tcW w:w="3540" w:type="dxa"/>
            <w:noWrap/>
            <w:vAlign w:val="center"/>
          </w:tcPr>
          <w:p w14:paraId="218F4065">
            <w:pPr>
              <w:widowControl/>
              <w:rPr>
                <w:rFonts w:eastAsia="等线"/>
                <w:color w:val="000000"/>
                <w:kern w:val="0"/>
                <w:szCs w:val="21"/>
              </w:rPr>
            </w:pPr>
            <w:r>
              <w:rPr>
                <w:rFonts w:hint="eastAsia" w:eastAsia="等线"/>
                <w:color w:val="000000"/>
                <w:kern w:val="0"/>
                <w:szCs w:val="21"/>
              </w:rPr>
              <w:t>2</w:t>
            </w:r>
            <w:r>
              <w:rPr>
                <w:rFonts w:eastAsia="等线"/>
                <w:color w:val="000000"/>
                <w:kern w:val="0"/>
                <w:szCs w:val="21"/>
              </w:rPr>
              <w:t xml:space="preserve">.3 </w:t>
            </w:r>
            <w:r>
              <w:rPr>
                <w:rFonts w:hint="eastAsia" w:ascii="宋体" w:hAnsi="宋体"/>
                <w:color w:val="000000"/>
                <w:kern w:val="0"/>
                <w:szCs w:val="21"/>
              </w:rPr>
              <w:t>若</w:t>
            </w:r>
            <w:r>
              <w:rPr>
                <w:rFonts w:eastAsia="等线"/>
                <w:color w:val="000000"/>
                <w:kern w:val="0"/>
                <w:szCs w:val="21"/>
              </w:rPr>
              <w:t>ACCP</w:t>
            </w:r>
            <w:r>
              <w:rPr>
                <w:rFonts w:hint="eastAsia" w:ascii="宋体" w:hAnsi="宋体"/>
                <w:color w:val="000000"/>
                <w:kern w:val="0"/>
                <w:szCs w:val="21"/>
              </w:rPr>
              <w:t>制冷机符合采购文件要求、投标文件响应以及招标后签署的合同技术文件要求中规定的现场验收测试（</w:t>
            </w:r>
            <w:r>
              <w:rPr>
                <w:rFonts w:eastAsia="等线"/>
                <w:color w:val="000000"/>
                <w:kern w:val="0"/>
                <w:szCs w:val="21"/>
              </w:rPr>
              <w:t>SAT</w:t>
            </w:r>
            <w:r>
              <w:rPr>
                <w:rFonts w:hint="eastAsia" w:ascii="宋体" w:hAnsi="宋体"/>
                <w:color w:val="000000"/>
                <w:kern w:val="0"/>
                <w:szCs w:val="21"/>
              </w:rPr>
              <w:t>）要求，采购人应于相关</w:t>
            </w:r>
            <w:r>
              <w:rPr>
                <w:rFonts w:eastAsia="等线"/>
                <w:color w:val="000000"/>
                <w:kern w:val="0"/>
                <w:szCs w:val="21"/>
              </w:rPr>
              <w:t>SAT</w:t>
            </w:r>
            <w:r>
              <w:rPr>
                <w:rFonts w:hint="eastAsia" w:ascii="宋体" w:hAnsi="宋体"/>
                <w:color w:val="000000"/>
                <w:kern w:val="0"/>
                <w:szCs w:val="21"/>
              </w:rPr>
              <w:t>完成之日</w:t>
            </w:r>
            <w:r>
              <w:rPr>
                <w:rFonts w:eastAsia="等线"/>
                <w:color w:val="000000"/>
                <w:kern w:val="0"/>
                <w:szCs w:val="21"/>
              </w:rPr>
              <w:t>14</w:t>
            </w:r>
            <w:r>
              <w:rPr>
                <w:rFonts w:hint="eastAsia" w:ascii="宋体" w:hAnsi="宋体"/>
                <w:color w:val="000000"/>
                <w:kern w:val="0"/>
                <w:szCs w:val="21"/>
              </w:rPr>
              <w:t>日内，向中标人出具该货物的通过</w:t>
            </w:r>
            <w:r>
              <w:rPr>
                <w:rFonts w:eastAsia="等线"/>
                <w:color w:val="000000"/>
                <w:kern w:val="0"/>
                <w:szCs w:val="21"/>
              </w:rPr>
              <w:t>SAT</w:t>
            </w:r>
            <w:r>
              <w:rPr>
                <w:rFonts w:hint="eastAsia" w:ascii="宋体" w:hAnsi="宋体"/>
                <w:color w:val="000000"/>
                <w:kern w:val="0"/>
                <w:szCs w:val="21"/>
              </w:rPr>
              <w:t>验收的签署或盖章的证明。</w:t>
            </w:r>
          </w:p>
        </w:tc>
        <w:tc>
          <w:tcPr>
            <w:tcW w:w="1596" w:type="dxa"/>
            <w:noWrap/>
            <w:vAlign w:val="center"/>
          </w:tcPr>
          <w:p w14:paraId="3EA02233">
            <w:pPr>
              <w:widowControl/>
              <w:rPr>
                <w:rFonts w:hint="eastAsia" w:eastAsia="等线"/>
                <w:color w:val="000000"/>
                <w:kern w:val="0"/>
                <w:szCs w:val="21"/>
              </w:rPr>
            </w:pPr>
          </w:p>
        </w:tc>
        <w:tc>
          <w:tcPr>
            <w:tcW w:w="1152" w:type="dxa"/>
            <w:noWrap/>
            <w:vAlign w:val="center"/>
          </w:tcPr>
          <w:p w14:paraId="3A6367C7">
            <w:pPr>
              <w:widowControl/>
              <w:rPr>
                <w:rFonts w:hint="eastAsia" w:eastAsia="等线"/>
                <w:color w:val="000000"/>
                <w:kern w:val="0"/>
                <w:szCs w:val="21"/>
              </w:rPr>
            </w:pPr>
          </w:p>
        </w:tc>
        <w:tc>
          <w:tcPr>
            <w:tcW w:w="720" w:type="dxa"/>
            <w:noWrap/>
            <w:vAlign w:val="center"/>
          </w:tcPr>
          <w:p w14:paraId="0460C5C7">
            <w:pPr>
              <w:widowControl/>
              <w:rPr>
                <w:rFonts w:hint="eastAsia" w:eastAsia="等线"/>
                <w:color w:val="000000"/>
                <w:kern w:val="0"/>
                <w:szCs w:val="21"/>
              </w:rPr>
            </w:pPr>
          </w:p>
        </w:tc>
      </w:tr>
      <w:tr w14:paraId="15D0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6AAA86A6">
            <w:pPr>
              <w:widowControl/>
              <w:jc w:val="center"/>
              <w:rPr>
                <w:rFonts w:eastAsia="等线"/>
                <w:color w:val="000000"/>
                <w:kern w:val="0"/>
                <w:szCs w:val="21"/>
              </w:rPr>
            </w:pPr>
          </w:p>
        </w:tc>
        <w:tc>
          <w:tcPr>
            <w:tcW w:w="1008" w:type="dxa"/>
            <w:vMerge w:val="continue"/>
            <w:vAlign w:val="center"/>
          </w:tcPr>
          <w:p w14:paraId="6A0D357E">
            <w:pPr>
              <w:widowControl/>
              <w:jc w:val="center"/>
              <w:rPr>
                <w:rFonts w:eastAsia="等线"/>
                <w:color w:val="000000"/>
                <w:kern w:val="0"/>
                <w:szCs w:val="21"/>
              </w:rPr>
            </w:pPr>
          </w:p>
        </w:tc>
        <w:tc>
          <w:tcPr>
            <w:tcW w:w="3540" w:type="dxa"/>
            <w:noWrap/>
            <w:vAlign w:val="center"/>
          </w:tcPr>
          <w:p w14:paraId="3AC417B9">
            <w:pPr>
              <w:widowControl/>
              <w:rPr>
                <w:rFonts w:eastAsia="等线"/>
                <w:color w:val="000000"/>
                <w:kern w:val="0"/>
                <w:szCs w:val="21"/>
              </w:rPr>
            </w:pPr>
            <w:r>
              <w:rPr>
                <w:rFonts w:hint="eastAsia" w:eastAsia="等线"/>
                <w:color w:val="000000"/>
                <w:kern w:val="0"/>
                <w:szCs w:val="21"/>
              </w:rPr>
              <w:t>2</w:t>
            </w:r>
            <w:r>
              <w:rPr>
                <w:rFonts w:eastAsia="等线"/>
                <w:color w:val="000000"/>
                <w:kern w:val="0"/>
                <w:szCs w:val="21"/>
              </w:rPr>
              <w:t>.4</w:t>
            </w:r>
            <w:r>
              <w:rPr>
                <w:rFonts w:hint="eastAsia" w:ascii="宋体" w:hAnsi="宋体"/>
                <w:color w:val="000000"/>
                <w:kern w:val="0"/>
                <w:szCs w:val="21"/>
              </w:rPr>
              <w:t>工厂验收测试应按照中标后中标人拟定、采购人确认的验收测试方案和计划进行测试。采购人将参与压缩机、冷箱、透平膨胀机（如有）、冷压缩机（如有）在工厂进行的出厂检查和测试以及冷箱内部检查。</w:t>
            </w:r>
          </w:p>
        </w:tc>
        <w:tc>
          <w:tcPr>
            <w:tcW w:w="1596" w:type="dxa"/>
            <w:noWrap/>
            <w:vAlign w:val="center"/>
          </w:tcPr>
          <w:p w14:paraId="3D774F16">
            <w:pPr>
              <w:widowControl/>
              <w:rPr>
                <w:rFonts w:hint="eastAsia" w:eastAsia="等线"/>
                <w:color w:val="000000"/>
                <w:kern w:val="0"/>
                <w:szCs w:val="21"/>
              </w:rPr>
            </w:pPr>
          </w:p>
        </w:tc>
        <w:tc>
          <w:tcPr>
            <w:tcW w:w="1152" w:type="dxa"/>
            <w:noWrap/>
            <w:vAlign w:val="center"/>
          </w:tcPr>
          <w:p w14:paraId="73D1F962">
            <w:pPr>
              <w:widowControl/>
              <w:rPr>
                <w:rFonts w:hint="eastAsia" w:eastAsia="等线"/>
                <w:color w:val="000000"/>
                <w:kern w:val="0"/>
                <w:szCs w:val="21"/>
              </w:rPr>
            </w:pPr>
          </w:p>
        </w:tc>
        <w:tc>
          <w:tcPr>
            <w:tcW w:w="720" w:type="dxa"/>
            <w:noWrap/>
            <w:vAlign w:val="center"/>
          </w:tcPr>
          <w:p w14:paraId="6A7B82CE">
            <w:pPr>
              <w:widowControl/>
              <w:rPr>
                <w:rFonts w:hint="eastAsia" w:eastAsia="等线"/>
                <w:color w:val="000000"/>
                <w:kern w:val="0"/>
                <w:szCs w:val="21"/>
              </w:rPr>
            </w:pPr>
          </w:p>
        </w:tc>
      </w:tr>
      <w:tr w14:paraId="53B7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2B02B004">
            <w:pPr>
              <w:widowControl/>
              <w:jc w:val="center"/>
              <w:rPr>
                <w:rFonts w:eastAsia="等线"/>
                <w:color w:val="000000"/>
                <w:kern w:val="0"/>
                <w:szCs w:val="21"/>
              </w:rPr>
            </w:pPr>
          </w:p>
        </w:tc>
        <w:tc>
          <w:tcPr>
            <w:tcW w:w="1008" w:type="dxa"/>
            <w:vMerge w:val="continue"/>
            <w:vAlign w:val="center"/>
          </w:tcPr>
          <w:p w14:paraId="090DF0CE">
            <w:pPr>
              <w:widowControl/>
              <w:jc w:val="center"/>
              <w:rPr>
                <w:rFonts w:eastAsia="等线"/>
                <w:color w:val="000000"/>
                <w:kern w:val="0"/>
                <w:szCs w:val="21"/>
              </w:rPr>
            </w:pPr>
          </w:p>
        </w:tc>
        <w:tc>
          <w:tcPr>
            <w:tcW w:w="3540" w:type="dxa"/>
            <w:noWrap/>
            <w:vAlign w:val="center"/>
          </w:tcPr>
          <w:p w14:paraId="1C279AC8">
            <w:pPr>
              <w:widowControl/>
              <w:rPr>
                <w:rFonts w:eastAsia="等线"/>
                <w:color w:val="000000"/>
                <w:kern w:val="0"/>
                <w:szCs w:val="21"/>
              </w:rPr>
            </w:pPr>
            <w:r>
              <w:rPr>
                <w:rFonts w:hint="eastAsia" w:eastAsia="等线"/>
                <w:color w:val="000000"/>
                <w:kern w:val="0"/>
                <w:szCs w:val="21"/>
              </w:rPr>
              <w:t>2</w:t>
            </w:r>
            <w:r>
              <w:rPr>
                <w:rFonts w:eastAsia="等线"/>
                <w:color w:val="000000"/>
                <w:kern w:val="0"/>
                <w:szCs w:val="21"/>
              </w:rPr>
              <w:t xml:space="preserve">.5 </w:t>
            </w:r>
            <w:r>
              <w:rPr>
                <w:rFonts w:hint="eastAsia" w:ascii="宋体" w:hAnsi="宋体"/>
                <w:color w:val="000000"/>
                <w:kern w:val="0"/>
                <w:szCs w:val="21"/>
              </w:rPr>
              <w:t>若货物未能符合技术规格书中规定的现场验收测试（</w:t>
            </w:r>
            <w:r>
              <w:rPr>
                <w:rFonts w:eastAsia="等线"/>
                <w:color w:val="000000"/>
                <w:kern w:val="0"/>
                <w:szCs w:val="21"/>
              </w:rPr>
              <w:t>SAT</w:t>
            </w:r>
            <w:r>
              <w:rPr>
                <w:rFonts w:hint="eastAsia" w:ascii="宋体" w:hAnsi="宋体"/>
                <w:color w:val="000000"/>
                <w:kern w:val="0"/>
                <w:szCs w:val="21"/>
              </w:rPr>
              <w:t>）要求，且该等不符因中标人原因所致，中标人应迅速采取行动，并在其自身费用下采取一切必要措施予以补救。采购人应向中标人提供协调一致的货物使用条件，以便中标人实施上述措施。</w:t>
            </w:r>
          </w:p>
        </w:tc>
        <w:tc>
          <w:tcPr>
            <w:tcW w:w="1596" w:type="dxa"/>
            <w:noWrap/>
            <w:vAlign w:val="center"/>
          </w:tcPr>
          <w:p w14:paraId="50CBE799">
            <w:pPr>
              <w:widowControl/>
              <w:rPr>
                <w:rFonts w:hint="eastAsia" w:eastAsia="等线"/>
                <w:color w:val="000000"/>
                <w:kern w:val="0"/>
                <w:szCs w:val="21"/>
              </w:rPr>
            </w:pPr>
          </w:p>
        </w:tc>
        <w:tc>
          <w:tcPr>
            <w:tcW w:w="1152" w:type="dxa"/>
            <w:noWrap/>
            <w:vAlign w:val="center"/>
          </w:tcPr>
          <w:p w14:paraId="532F9C66">
            <w:pPr>
              <w:widowControl/>
              <w:rPr>
                <w:rFonts w:hint="eastAsia" w:eastAsia="等线"/>
                <w:color w:val="000000"/>
                <w:kern w:val="0"/>
                <w:szCs w:val="21"/>
              </w:rPr>
            </w:pPr>
          </w:p>
        </w:tc>
        <w:tc>
          <w:tcPr>
            <w:tcW w:w="720" w:type="dxa"/>
            <w:noWrap/>
            <w:vAlign w:val="center"/>
          </w:tcPr>
          <w:p w14:paraId="10339CC0">
            <w:pPr>
              <w:widowControl/>
              <w:rPr>
                <w:rFonts w:hint="eastAsia" w:eastAsia="等线"/>
                <w:color w:val="000000"/>
                <w:kern w:val="0"/>
                <w:szCs w:val="21"/>
              </w:rPr>
            </w:pPr>
          </w:p>
        </w:tc>
      </w:tr>
      <w:tr w14:paraId="0446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3E624CF3">
            <w:pPr>
              <w:widowControl/>
              <w:jc w:val="center"/>
              <w:rPr>
                <w:rFonts w:ascii="Segoe UI Symbol" w:hAnsi="Segoe UI Symbol" w:eastAsia="等线" w:cs="宋体"/>
                <w:color w:val="000000"/>
                <w:kern w:val="0"/>
                <w:szCs w:val="21"/>
              </w:rPr>
            </w:pPr>
            <w:r>
              <w:rPr>
                <w:rFonts w:hint="eastAsia" w:ascii="Segoe UI Symbol" w:hAnsi="Segoe UI Symbol" w:eastAsia="等线" w:cs="宋体"/>
                <w:color w:val="000000"/>
                <w:kern w:val="0"/>
                <w:szCs w:val="21"/>
              </w:rPr>
              <w:t>3</w:t>
            </w:r>
          </w:p>
        </w:tc>
        <w:tc>
          <w:tcPr>
            <w:tcW w:w="1008" w:type="dxa"/>
            <w:vMerge w:val="restart"/>
            <w:vAlign w:val="center"/>
          </w:tcPr>
          <w:p w14:paraId="6A3770FD">
            <w:pPr>
              <w:widowControl/>
              <w:jc w:val="center"/>
              <w:rPr>
                <w:rFonts w:ascii="Segoe UI Symbol" w:hAnsi="Segoe UI Symbol" w:eastAsia="等线" w:cs="宋体"/>
                <w:color w:val="000000"/>
                <w:kern w:val="0"/>
                <w:szCs w:val="21"/>
              </w:rPr>
            </w:pPr>
            <w:r>
              <w:rPr>
                <w:rFonts w:hint="eastAsia" w:ascii="宋体" w:hAnsi="宋体"/>
                <w:b/>
                <w:bCs/>
                <w:color w:val="000000"/>
                <w:kern w:val="0"/>
                <w:szCs w:val="21"/>
              </w:rPr>
              <w:t>售后服务的要求</w:t>
            </w:r>
          </w:p>
        </w:tc>
        <w:tc>
          <w:tcPr>
            <w:tcW w:w="3540" w:type="dxa"/>
            <w:noWrap/>
            <w:vAlign w:val="center"/>
          </w:tcPr>
          <w:p w14:paraId="10567E29">
            <w:pPr>
              <w:widowControl/>
              <w:rPr>
                <w:rFonts w:ascii="Segoe UI Symbol" w:hAnsi="Segoe UI Symbol" w:eastAsia="等线" w:cs="宋体"/>
                <w:color w:val="000000"/>
                <w:kern w:val="0"/>
                <w:szCs w:val="21"/>
              </w:rPr>
            </w:pPr>
            <w:r>
              <w:rPr>
                <w:rFonts w:hint="eastAsia" w:ascii="宋体" w:hAnsi="宋体" w:cs="宋体"/>
                <w:color w:val="000000"/>
                <w:kern w:val="0"/>
                <w:szCs w:val="21"/>
              </w:rPr>
              <w:t>▲</w:t>
            </w:r>
            <w:r>
              <w:rPr>
                <w:rFonts w:hint="eastAsia" w:eastAsia="等线"/>
                <w:color w:val="000000"/>
                <w:kern w:val="0"/>
                <w:szCs w:val="21"/>
              </w:rPr>
              <w:t>3</w:t>
            </w:r>
            <w:r>
              <w:rPr>
                <w:rFonts w:eastAsia="等线"/>
                <w:color w:val="000000"/>
                <w:kern w:val="0"/>
                <w:szCs w:val="21"/>
              </w:rPr>
              <w:t>.1</w:t>
            </w:r>
            <w:r>
              <w:rPr>
                <w:rFonts w:hint="eastAsia" w:ascii="宋体" w:hAnsi="宋体" w:cs="宋体"/>
                <w:color w:val="000000"/>
                <w:kern w:val="0"/>
                <w:szCs w:val="21"/>
              </w:rPr>
              <w:t>质量保证期为</w:t>
            </w:r>
            <w:r>
              <w:rPr>
                <w:rFonts w:eastAsia="等线"/>
                <w:color w:val="000000"/>
                <w:kern w:val="0"/>
                <w:szCs w:val="21"/>
              </w:rPr>
              <w:t>24</w:t>
            </w:r>
            <w:r>
              <w:rPr>
                <w:rFonts w:hint="eastAsia" w:ascii="宋体" w:hAnsi="宋体" w:cs="宋体"/>
                <w:color w:val="000000"/>
                <w:kern w:val="0"/>
                <w:szCs w:val="21"/>
              </w:rPr>
              <w:t>个月，自货物在现场验收之日起算，或自货物通过工厂验收测试（</w:t>
            </w:r>
            <w:r>
              <w:rPr>
                <w:rFonts w:eastAsia="等线"/>
                <w:color w:val="000000"/>
                <w:kern w:val="0"/>
                <w:szCs w:val="21"/>
              </w:rPr>
              <w:t>FAT</w:t>
            </w:r>
            <w:r>
              <w:rPr>
                <w:rFonts w:hint="eastAsia" w:ascii="宋体" w:hAnsi="宋体" w:cs="宋体"/>
                <w:color w:val="000000"/>
                <w:kern w:val="0"/>
                <w:szCs w:val="21"/>
              </w:rPr>
              <w:t>）</w:t>
            </w:r>
            <w:r>
              <w:rPr>
                <w:rFonts w:ascii="宋体" w:hAnsi="宋体" w:cs="宋体"/>
                <w:color w:val="000000"/>
                <w:kern w:val="0"/>
                <w:szCs w:val="21"/>
              </w:rPr>
              <w:t>且备妥交货通知</w:t>
            </w:r>
            <w:r>
              <w:rPr>
                <w:rFonts w:hint="eastAsia" w:ascii="宋体" w:hAnsi="宋体" w:cs="宋体"/>
                <w:color w:val="000000"/>
                <w:kern w:val="0"/>
                <w:szCs w:val="21"/>
              </w:rPr>
              <w:t>之日起</w:t>
            </w:r>
            <w:r>
              <w:rPr>
                <w:rFonts w:eastAsia="等线"/>
                <w:color w:val="000000"/>
                <w:kern w:val="0"/>
                <w:szCs w:val="21"/>
              </w:rPr>
              <w:t>3</w:t>
            </w:r>
            <w:r>
              <w:rPr>
                <w:rFonts w:hint="eastAsia" w:eastAsia="等线"/>
                <w:color w:val="000000"/>
                <w:kern w:val="0"/>
                <w:szCs w:val="21"/>
              </w:rPr>
              <w:t>9</w:t>
            </w:r>
            <w:r>
              <w:rPr>
                <w:rFonts w:hint="eastAsia" w:ascii="宋体" w:hAnsi="宋体" w:cs="宋体"/>
                <w:color w:val="000000"/>
                <w:kern w:val="0"/>
                <w:szCs w:val="21"/>
              </w:rPr>
              <w:t>个月，以两者中较早发生之日为准（</w:t>
            </w:r>
            <w:r>
              <w:rPr>
                <w:rFonts w:eastAsia="等线"/>
                <w:color w:val="000000"/>
                <w:kern w:val="0"/>
                <w:szCs w:val="21"/>
              </w:rPr>
              <w:t>“</w:t>
            </w:r>
            <w:r>
              <w:rPr>
                <w:rFonts w:hint="eastAsia" w:ascii="宋体" w:hAnsi="宋体" w:cs="宋体"/>
                <w:color w:val="000000"/>
                <w:kern w:val="0"/>
                <w:szCs w:val="21"/>
              </w:rPr>
              <w:t>质量保证期</w:t>
            </w:r>
            <w:r>
              <w:rPr>
                <w:rFonts w:eastAsia="等线"/>
                <w:color w:val="000000"/>
                <w:kern w:val="0"/>
                <w:szCs w:val="21"/>
              </w:rPr>
              <w:t>”</w:t>
            </w:r>
            <w:r>
              <w:rPr>
                <w:rFonts w:hint="eastAsia" w:ascii="宋体" w:hAnsi="宋体" w:cs="宋体"/>
                <w:color w:val="000000"/>
                <w:kern w:val="0"/>
                <w:szCs w:val="21"/>
              </w:rPr>
              <w:t>）。但仅针对常温氦气螺杆压缩机系统，其质量保证期为自现场验收之日起</w:t>
            </w:r>
            <w:r>
              <w:rPr>
                <w:rFonts w:eastAsia="等线"/>
                <w:color w:val="000000"/>
                <w:kern w:val="0"/>
                <w:szCs w:val="21"/>
              </w:rPr>
              <w:t>36</w:t>
            </w:r>
            <w:r>
              <w:rPr>
                <w:rFonts w:hint="eastAsia" w:ascii="宋体" w:hAnsi="宋体" w:cs="宋体"/>
                <w:color w:val="000000"/>
                <w:kern w:val="0"/>
                <w:szCs w:val="21"/>
              </w:rPr>
              <w:t>个月，或自工厂验收测试（</w:t>
            </w:r>
            <w:r>
              <w:rPr>
                <w:rFonts w:eastAsia="等线"/>
                <w:color w:val="000000"/>
                <w:kern w:val="0"/>
                <w:szCs w:val="21"/>
              </w:rPr>
              <w:t>FAT</w:t>
            </w:r>
            <w:r>
              <w:rPr>
                <w:rFonts w:hint="eastAsia" w:ascii="宋体" w:hAnsi="宋体" w:cs="宋体"/>
                <w:color w:val="000000"/>
                <w:kern w:val="0"/>
                <w:szCs w:val="21"/>
              </w:rPr>
              <w:t>）</w:t>
            </w:r>
            <w:r>
              <w:rPr>
                <w:rFonts w:ascii="宋体" w:hAnsi="宋体" w:cs="宋体"/>
                <w:color w:val="000000"/>
                <w:kern w:val="0"/>
                <w:szCs w:val="21"/>
              </w:rPr>
              <w:t>且备妥交货通知</w:t>
            </w:r>
            <w:r>
              <w:rPr>
                <w:rFonts w:hint="eastAsia" w:ascii="宋体" w:hAnsi="宋体" w:cs="宋体"/>
                <w:color w:val="000000"/>
                <w:kern w:val="0"/>
                <w:szCs w:val="21"/>
              </w:rPr>
              <w:t>之日起</w:t>
            </w:r>
            <w:r>
              <w:rPr>
                <w:rFonts w:eastAsia="等线"/>
                <w:color w:val="000000"/>
                <w:kern w:val="0"/>
                <w:szCs w:val="21"/>
              </w:rPr>
              <w:t>48</w:t>
            </w:r>
            <w:r>
              <w:rPr>
                <w:rFonts w:hint="eastAsia" w:ascii="宋体" w:hAnsi="宋体" w:cs="宋体"/>
                <w:color w:val="000000"/>
                <w:kern w:val="0"/>
                <w:szCs w:val="21"/>
              </w:rPr>
              <w:t>个月，以两者中较早发生之日为准。若出现直接且完全归因于中标人的缺陷，采购人应在发现缺陷后十五（</w:t>
            </w:r>
            <w:r>
              <w:rPr>
                <w:rFonts w:eastAsia="等线"/>
                <w:color w:val="000000"/>
                <w:kern w:val="0"/>
                <w:szCs w:val="21"/>
              </w:rPr>
              <w:t>15</w:t>
            </w:r>
            <w:r>
              <w:rPr>
                <w:rFonts w:hint="eastAsia" w:ascii="宋体" w:hAnsi="宋体" w:cs="宋体"/>
                <w:color w:val="000000"/>
                <w:kern w:val="0"/>
                <w:szCs w:val="21"/>
              </w:rPr>
              <w:t>）日内书面通知中标人，并详细说明缺陷情况。若在质量保证期内发生材料或工艺缺陷，且因可归咎于中标人的原因无法及时修复或解决，导致因该缺陷造成的停机时间超过一（</w:t>
            </w:r>
            <w:r>
              <w:rPr>
                <w:rFonts w:eastAsia="等线"/>
                <w:color w:val="000000"/>
                <w:kern w:val="0"/>
                <w:szCs w:val="21"/>
              </w:rPr>
              <w:t>1</w:t>
            </w:r>
            <w:r>
              <w:rPr>
                <w:rFonts w:hint="eastAsia" w:ascii="宋体" w:hAnsi="宋体" w:cs="宋体"/>
                <w:color w:val="000000"/>
                <w:kern w:val="0"/>
                <w:szCs w:val="21"/>
              </w:rPr>
              <w:t>）个月（</w:t>
            </w:r>
            <w:r>
              <w:rPr>
                <w:rFonts w:eastAsia="等线"/>
                <w:color w:val="000000"/>
                <w:kern w:val="0"/>
                <w:szCs w:val="21"/>
              </w:rPr>
              <w:t>30</w:t>
            </w:r>
            <w:r>
              <w:rPr>
                <w:rFonts w:hint="eastAsia" w:ascii="宋体" w:hAnsi="宋体" w:cs="宋体"/>
                <w:color w:val="000000"/>
                <w:kern w:val="0"/>
                <w:szCs w:val="21"/>
              </w:rPr>
              <w:t>天），则质量保证期应作相应顺延。质保范围涵盖包含核心部件在内的整套设备，并视情况提供现场或远程维修或更换服务。</w:t>
            </w:r>
          </w:p>
        </w:tc>
        <w:tc>
          <w:tcPr>
            <w:tcW w:w="1596" w:type="dxa"/>
            <w:noWrap/>
            <w:vAlign w:val="center"/>
          </w:tcPr>
          <w:p w14:paraId="1B8A641B">
            <w:pPr>
              <w:widowControl/>
              <w:rPr>
                <w:rFonts w:hint="eastAsia" w:ascii="宋体" w:hAnsi="宋体" w:cs="宋体"/>
                <w:color w:val="000000"/>
                <w:kern w:val="0"/>
                <w:szCs w:val="21"/>
              </w:rPr>
            </w:pPr>
          </w:p>
        </w:tc>
        <w:tc>
          <w:tcPr>
            <w:tcW w:w="1152" w:type="dxa"/>
            <w:noWrap/>
            <w:vAlign w:val="center"/>
          </w:tcPr>
          <w:p w14:paraId="467691BA">
            <w:pPr>
              <w:widowControl/>
              <w:rPr>
                <w:rFonts w:hint="eastAsia" w:ascii="宋体" w:hAnsi="宋体" w:cs="宋体"/>
                <w:color w:val="000000"/>
                <w:kern w:val="0"/>
                <w:szCs w:val="21"/>
              </w:rPr>
            </w:pPr>
          </w:p>
        </w:tc>
        <w:tc>
          <w:tcPr>
            <w:tcW w:w="720" w:type="dxa"/>
            <w:noWrap/>
            <w:vAlign w:val="center"/>
          </w:tcPr>
          <w:p w14:paraId="73B149EE">
            <w:pPr>
              <w:widowControl/>
              <w:rPr>
                <w:rFonts w:hint="eastAsia" w:ascii="宋体" w:hAnsi="宋体" w:cs="宋体"/>
                <w:color w:val="000000"/>
                <w:kern w:val="0"/>
                <w:szCs w:val="21"/>
              </w:rPr>
            </w:pPr>
          </w:p>
        </w:tc>
      </w:tr>
      <w:tr w14:paraId="1B8E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4400DCA0">
            <w:pPr>
              <w:widowControl/>
              <w:jc w:val="center"/>
              <w:rPr>
                <w:rFonts w:eastAsia="等线"/>
                <w:color w:val="000000"/>
                <w:kern w:val="0"/>
                <w:szCs w:val="21"/>
              </w:rPr>
            </w:pPr>
          </w:p>
        </w:tc>
        <w:tc>
          <w:tcPr>
            <w:tcW w:w="1008" w:type="dxa"/>
            <w:vMerge w:val="continue"/>
            <w:vAlign w:val="center"/>
          </w:tcPr>
          <w:p w14:paraId="5FABCFE5">
            <w:pPr>
              <w:widowControl/>
              <w:jc w:val="center"/>
              <w:rPr>
                <w:rFonts w:eastAsia="等线"/>
                <w:color w:val="000000"/>
                <w:kern w:val="0"/>
                <w:szCs w:val="21"/>
              </w:rPr>
            </w:pPr>
          </w:p>
        </w:tc>
        <w:tc>
          <w:tcPr>
            <w:tcW w:w="3540" w:type="dxa"/>
            <w:noWrap/>
            <w:vAlign w:val="center"/>
          </w:tcPr>
          <w:p w14:paraId="63F30983">
            <w:pPr>
              <w:widowControl/>
              <w:rPr>
                <w:rFonts w:eastAsia="等线"/>
                <w:color w:val="000000"/>
                <w:kern w:val="0"/>
                <w:szCs w:val="21"/>
              </w:rPr>
            </w:pPr>
            <w:r>
              <w:rPr>
                <w:rFonts w:hint="eastAsia" w:eastAsia="等线"/>
                <w:color w:val="000000"/>
                <w:kern w:val="0"/>
                <w:szCs w:val="21"/>
              </w:rPr>
              <w:t>3</w:t>
            </w:r>
            <w:r>
              <w:rPr>
                <w:rFonts w:eastAsia="等线"/>
                <w:color w:val="000000"/>
                <w:kern w:val="0"/>
                <w:szCs w:val="21"/>
              </w:rPr>
              <w:t>.2</w:t>
            </w:r>
            <w:r>
              <w:rPr>
                <w:rFonts w:hint="eastAsia" w:ascii="宋体" w:hAnsi="宋体"/>
                <w:color w:val="000000"/>
                <w:kern w:val="0"/>
                <w:szCs w:val="21"/>
              </w:rPr>
              <w:t>在质保期内，设备一旦发生质量问题，供应商保证设备制造商保证在接到通知</w:t>
            </w:r>
            <w:r>
              <w:rPr>
                <w:rFonts w:eastAsia="等线"/>
                <w:color w:val="000000"/>
                <w:kern w:val="0"/>
                <w:szCs w:val="21"/>
                <w:u w:val="single"/>
              </w:rPr>
              <w:t xml:space="preserve"> 24</w:t>
            </w:r>
            <w:r>
              <w:rPr>
                <w:rFonts w:hint="eastAsia" w:ascii="宋体" w:hAnsi="宋体"/>
                <w:color w:val="000000"/>
                <w:kern w:val="0"/>
                <w:szCs w:val="21"/>
              </w:rPr>
              <w:t>小时内响应，到现场进行维修和更换。</w:t>
            </w:r>
          </w:p>
        </w:tc>
        <w:tc>
          <w:tcPr>
            <w:tcW w:w="1596" w:type="dxa"/>
            <w:noWrap/>
            <w:vAlign w:val="center"/>
          </w:tcPr>
          <w:p w14:paraId="6D621277">
            <w:pPr>
              <w:widowControl/>
              <w:rPr>
                <w:rFonts w:hint="eastAsia" w:eastAsia="等线"/>
                <w:color w:val="000000"/>
                <w:kern w:val="0"/>
                <w:szCs w:val="21"/>
              </w:rPr>
            </w:pPr>
          </w:p>
        </w:tc>
        <w:tc>
          <w:tcPr>
            <w:tcW w:w="1152" w:type="dxa"/>
            <w:noWrap/>
            <w:vAlign w:val="center"/>
          </w:tcPr>
          <w:p w14:paraId="3B91A19F">
            <w:pPr>
              <w:widowControl/>
              <w:rPr>
                <w:rFonts w:hint="eastAsia" w:eastAsia="等线"/>
                <w:color w:val="000000"/>
                <w:kern w:val="0"/>
                <w:szCs w:val="21"/>
              </w:rPr>
            </w:pPr>
          </w:p>
        </w:tc>
        <w:tc>
          <w:tcPr>
            <w:tcW w:w="720" w:type="dxa"/>
            <w:noWrap/>
            <w:vAlign w:val="center"/>
          </w:tcPr>
          <w:p w14:paraId="24A0D923">
            <w:pPr>
              <w:widowControl/>
              <w:rPr>
                <w:rFonts w:hint="eastAsia" w:eastAsia="等线"/>
                <w:color w:val="000000"/>
                <w:kern w:val="0"/>
                <w:szCs w:val="21"/>
              </w:rPr>
            </w:pPr>
          </w:p>
        </w:tc>
      </w:tr>
      <w:tr w14:paraId="51CD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A247FCD">
            <w:pPr>
              <w:widowControl/>
              <w:jc w:val="center"/>
              <w:rPr>
                <w:rFonts w:eastAsia="等线"/>
                <w:color w:val="000000"/>
                <w:kern w:val="0"/>
                <w:szCs w:val="21"/>
              </w:rPr>
            </w:pPr>
          </w:p>
        </w:tc>
        <w:tc>
          <w:tcPr>
            <w:tcW w:w="1008" w:type="dxa"/>
            <w:vMerge w:val="continue"/>
            <w:vAlign w:val="center"/>
          </w:tcPr>
          <w:p w14:paraId="25ED783B">
            <w:pPr>
              <w:widowControl/>
              <w:jc w:val="center"/>
              <w:rPr>
                <w:rFonts w:eastAsia="等线"/>
                <w:color w:val="000000"/>
                <w:kern w:val="0"/>
                <w:szCs w:val="21"/>
              </w:rPr>
            </w:pPr>
          </w:p>
        </w:tc>
        <w:tc>
          <w:tcPr>
            <w:tcW w:w="3540" w:type="dxa"/>
            <w:noWrap/>
            <w:vAlign w:val="center"/>
          </w:tcPr>
          <w:p w14:paraId="64CFCFCE">
            <w:pPr>
              <w:widowControl/>
              <w:rPr>
                <w:rFonts w:eastAsia="等线"/>
                <w:color w:val="000000"/>
                <w:kern w:val="0"/>
                <w:szCs w:val="21"/>
              </w:rPr>
            </w:pPr>
            <w:r>
              <w:rPr>
                <w:rFonts w:hint="eastAsia" w:eastAsia="等线"/>
                <w:color w:val="000000"/>
                <w:kern w:val="0"/>
                <w:szCs w:val="21"/>
              </w:rPr>
              <w:t>3</w:t>
            </w:r>
            <w:r>
              <w:rPr>
                <w:rFonts w:eastAsia="等线"/>
                <w:color w:val="000000"/>
                <w:kern w:val="0"/>
                <w:szCs w:val="21"/>
              </w:rPr>
              <w:t xml:space="preserve">.3 </w:t>
            </w:r>
            <w:r>
              <w:rPr>
                <w:rFonts w:hint="eastAsia" w:ascii="宋体" w:hAnsi="宋体"/>
                <w:color w:val="000000"/>
                <w:kern w:val="0"/>
                <w:szCs w:val="21"/>
              </w:rPr>
              <w:t>若在质保期内发生任何故障，中标人应自费对存在缺陷的货物进行维修或更换；除非中标人能证明该故障系因采购人未妥善储存、安装、组装、操作或维护货物所致。货物的正常磨损不属于中标人的保修义务范围，但因材料或工艺缺陷导致的侵蚀及腐蚀除外。</w:t>
            </w:r>
          </w:p>
        </w:tc>
        <w:tc>
          <w:tcPr>
            <w:tcW w:w="1596" w:type="dxa"/>
            <w:noWrap/>
            <w:vAlign w:val="center"/>
          </w:tcPr>
          <w:p w14:paraId="378D221B">
            <w:pPr>
              <w:widowControl/>
              <w:rPr>
                <w:rFonts w:hint="eastAsia" w:eastAsia="等线"/>
                <w:color w:val="000000"/>
                <w:kern w:val="0"/>
                <w:szCs w:val="21"/>
              </w:rPr>
            </w:pPr>
          </w:p>
        </w:tc>
        <w:tc>
          <w:tcPr>
            <w:tcW w:w="1152" w:type="dxa"/>
            <w:noWrap/>
            <w:vAlign w:val="center"/>
          </w:tcPr>
          <w:p w14:paraId="1F9A2001">
            <w:pPr>
              <w:widowControl/>
              <w:rPr>
                <w:rFonts w:hint="eastAsia" w:eastAsia="等线"/>
                <w:color w:val="000000"/>
                <w:kern w:val="0"/>
                <w:szCs w:val="21"/>
              </w:rPr>
            </w:pPr>
          </w:p>
        </w:tc>
        <w:tc>
          <w:tcPr>
            <w:tcW w:w="720" w:type="dxa"/>
            <w:noWrap/>
            <w:vAlign w:val="center"/>
          </w:tcPr>
          <w:p w14:paraId="62469A03">
            <w:pPr>
              <w:widowControl/>
              <w:rPr>
                <w:rFonts w:hint="eastAsia" w:eastAsia="等线"/>
                <w:color w:val="000000"/>
                <w:kern w:val="0"/>
                <w:szCs w:val="21"/>
              </w:rPr>
            </w:pPr>
          </w:p>
        </w:tc>
      </w:tr>
      <w:tr w14:paraId="0873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14E98FCF">
            <w:pPr>
              <w:widowControl/>
              <w:jc w:val="center"/>
              <w:rPr>
                <w:rFonts w:hint="eastAsia" w:ascii="宋体" w:hAnsi="宋体" w:cs="宋体"/>
                <w:color w:val="000000"/>
                <w:kern w:val="0"/>
                <w:szCs w:val="21"/>
              </w:rPr>
            </w:pPr>
          </w:p>
        </w:tc>
        <w:tc>
          <w:tcPr>
            <w:tcW w:w="1008" w:type="dxa"/>
            <w:vMerge w:val="continue"/>
            <w:vAlign w:val="center"/>
          </w:tcPr>
          <w:p w14:paraId="5438A52D">
            <w:pPr>
              <w:widowControl/>
              <w:jc w:val="center"/>
              <w:rPr>
                <w:rFonts w:hint="eastAsia" w:ascii="宋体" w:hAnsi="宋体" w:cs="宋体"/>
                <w:color w:val="000000"/>
                <w:kern w:val="0"/>
                <w:szCs w:val="21"/>
              </w:rPr>
            </w:pPr>
          </w:p>
        </w:tc>
        <w:tc>
          <w:tcPr>
            <w:tcW w:w="3540" w:type="dxa"/>
            <w:noWrap/>
            <w:vAlign w:val="center"/>
          </w:tcPr>
          <w:p w14:paraId="27727B3C">
            <w:pPr>
              <w:widowControl/>
              <w:rPr>
                <w:rFonts w:hint="eastAsia" w:ascii="宋体" w:hAnsi="宋体" w:cs="宋体"/>
                <w:b/>
                <w:bCs/>
                <w:color w:val="000000"/>
                <w:kern w:val="0"/>
                <w:szCs w:val="21"/>
              </w:rPr>
            </w:pPr>
            <w:r>
              <w:rPr>
                <w:rFonts w:hint="eastAsia" w:ascii="宋体" w:hAnsi="宋体" w:cs="宋体"/>
                <w:b/>
                <w:bCs/>
                <w:color w:val="FF0000"/>
                <w:kern w:val="0"/>
                <w:szCs w:val="21"/>
              </w:rPr>
              <w:t>▲3</w:t>
            </w:r>
            <w:r>
              <w:rPr>
                <w:b/>
                <w:bCs/>
                <w:color w:val="FF0000"/>
                <w:kern w:val="0"/>
                <w:szCs w:val="21"/>
              </w:rPr>
              <w:t xml:space="preserve">.4 </w:t>
            </w:r>
            <w:r>
              <w:rPr>
                <w:rFonts w:hint="eastAsia" w:ascii="宋体" w:hAnsi="宋体" w:cs="宋体"/>
                <w:b/>
                <w:bCs/>
                <w:color w:val="FF0000"/>
                <w:kern w:val="0"/>
                <w:szCs w:val="21"/>
              </w:rPr>
              <w:t>若中标人货物为进口产品，则该进口产品的实际境外厂商须与中标人或同等主体共同就货物的质量保证义务承担连带保证责任。投标时，投标人需提供由设备制造商或其在中国境内的授权总代理商签署的有效且具有法律约束力的保修承诺函扫描件。</w:t>
            </w:r>
          </w:p>
        </w:tc>
        <w:tc>
          <w:tcPr>
            <w:tcW w:w="1596" w:type="dxa"/>
            <w:noWrap/>
            <w:vAlign w:val="center"/>
          </w:tcPr>
          <w:p w14:paraId="40CE386B">
            <w:pPr>
              <w:widowControl/>
              <w:rPr>
                <w:rFonts w:hint="eastAsia" w:ascii="宋体" w:hAnsi="宋体" w:cs="宋体"/>
                <w:b/>
                <w:bCs/>
                <w:color w:val="FF0000"/>
                <w:kern w:val="0"/>
                <w:szCs w:val="21"/>
              </w:rPr>
            </w:pPr>
          </w:p>
        </w:tc>
        <w:tc>
          <w:tcPr>
            <w:tcW w:w="1152" w:type="dxa"/>
            <w:noWrap/>
            <w:vAlign w:val="center"/>
          </w:tcPr>
          <w:p w14:paraId="695C3A5D">
            <w:pPr>
              <w:widowControl/>
              <w:rPr>
                <w:rFonts w:hint="eastAsia" w:ascii="宋体" w:hAnsi="宋体" w:cs="宋体"/>
                <w:b/>
                <w:bCs/>
                <w:color w:val="FF0000"/>
                <w:kern w:val="0"/>
                <w:szCs w:val="21"/>
              </w:rPr>
            </w:pPr>
          </w:p>
        </w:tc>
        <w:tc>
          <w:tcPr>
            <w:tcW w:w="720" w:type="dxa"/>
            <w:noWrap/>
            <w:vAlign w:val="center"/>
          </w:tcPr>
          <w:p w14:paraId="41F76740">
            <w:pPr>
              <w:widowControl/>
              <w:rPr>
                <w:rFonts w:hint="eastAsia" w:ascii="宋体" w:hAnsi="宋体" w:cs="宋体"/>
                <w:b/>
                <w:bCs/>
                <w:color w:val="FF0000"/>
                <w:kern w:val="0"/>
                <w:szCs w:val="21"/>
              </w:rPr>
            </w:pPr>
          </w:p>
        </w:tc>
      </w:tr>
      <w:tr w14:paraId="2415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1DEB0F45">
            <w:pPr>
              <w:widowControl/>
              <w:jc w:val="center"/>
              <w:rPr>
                <w:rFonts w:eastAsia="等线"/>
                <w:color w:val="000000"/>
                <w:kern w:val="0"/>
                <w:szCs w:val="21"/>
              </w:rPr>
            </w:pPr>
          </w:p>
        </w:tc>
        <w:tc>
          <w:tcPr>
            <w:tcW w:w="1008" w:type="dxa"/>
            <w:vMerge w:val="continue"/>
            <w:vAlign w:val="center"/>
          </w:tcPr>
          <w:p w14:paraId="78E8311A">
            <w:pPr>
              <w:widowControl/>
              <w:jc w:val="center"/>
              <w:rPr>
                <w:rFonts w:eastAsia="等线"/>
                <w:color w:val="000000"/>
                <w:kern w:val="0"/>
                <w:szCs w:val="21"/>
              </w:rPr>
            </w:pPr>
          </w:p>
        </w:tc>
        <w:tc>
          <w:tcPr>
            <w:tcW w:w="3540" w:type="dxa"/>
            <w:noWrap/>
            <w:vAlign w:val="center"/>
          </w:tcPr>
          <w:p w14:paraId="2AE65DB5">
            <w:pPr>
              <w:widowControl/>
              <w:rPr>
                <w:rFonts w:eastAsia="等线"/>
                <w:color w:val="000000"/>
                <w:kern w:val="0"/>
                <w:szCs w:val="21"/>
              </w:rPr>
            </w:pPr>
            <w:r>
              <w:rPr>
                <w:rFonts w:hint="eastAsia" w:eastAsia="等线"/>
                <w:color w:val="000000"/>
                <w:kern w:val="0"/>
                <w:szCs w:val="21"/>
              </w:rPr>
              <w:t>3</w:t>
            </w:r>
            <w:r>
              <w:rPr>
                <w:rFonts w:eastAsia="等线"/>
                <w:color w:val="000000"/>
                <w:kern w:val="0"/>
                <w:szCs w:val="21"/>
              </w:rPr>
              <w:t xml:space="preserve">.5 </w:t>
            </w:r>
            <w:r>
              <w:rPr>
                <w:rFonts w:hint="eastAsia" w:ascii="宋体" w:hAnsi="宋体"/>
                <w:color w:val="000000"/>
                <w:kern w:val="0"/>
                <w:szCs w:val="21"/>
              </w:rPr>
              <w:t>按采购人需求对采购人进行技术培训，并由设备制造商的技术人员对采购人进行操作技术培训，和提供相关技术资料，不额外收费。</w:t>
            </w:r>
          </w:p>
        </w:tc>
        <w:tc>
          <w:tcPr>
            <w:tcW w:w="1596" w:type="dxa"/>
            <w:noWrap/>
            <w:vAlign w:val="center"/>
          </w:tcPr>
          <w:p w14:paraId="518B105C">
            <w:pPr>
              <w:widowControl/>
              <w:rPr>
                <w:rFonts w:hint="eastAsia" w:eastAsia="等线"/>
                <w:color w:val="000000"/>
                <w:kern w:val="0"/>
                <w:szCs w:val="21"/>
              </w:rPr>
            </w:pPr>
          </w:p>
        </w:tc>
        <w:tc>
          <w:tcPr>
            <w:tcW w:w="1152" w:type="dxa"/>
            <w:noWrap/>
            <w:vAlign w:val="center"/>
          </w:tcPr>
          <w:p w14:paraId="639C57F7">
            <w:pPr>
              <w:widowControl/>
              <w:rPr>
                <w:rFonts w:hint="eastAsia" w:eastAsia="等线"/>
                <w:color w:val="000000"/>
                <w:kern w:val="0"/>
                <w:szCs w:val="21"/>
              </w:rPr>
            </w:pPr>
          </w:p>
        </w:tc>
        <w:tc>
          <w:tcPr>
            <w:tcW w:w="720" w:type="dxa"/>
            <w:noWrap/>
            <w:vAlign w:val="center"/>
          </w:tcPr>
          <w:p w14:paraId="43B30222">
            <w:pPr>
              <w:widowControl/>
              <w:rPr>
                <w:rFonts w:hint="eastAsia" w:eastAsia="等线"/>
                <w:color w:val="000000"/>
                <w:kern w:val="0"/>
                <w:szCs w:val="21"/>
              </w:rPr>
            </w:pPr>
          </w:p>
        </w:tc>
      </w:tr>
      <w:tr w14:paraId="5087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43ECD9B2">
            <w:pPr>
              <w:jc w:val="center"/>
              <w:rPr>
                <w:rFonts w:ascii="Segoe UI Symbol" w:hAnsi="Segoe UI Symbol" w:eastAsia="等线" w:cs="宋体"/>
                <w:color w:val="000000"/>
                <w:kern w:val="0"/>
                <w:szCs w:val="21"/>
              </w:rPr>
            </w:pPr>
            <w:r>
              <w:rPr>
                <w:rFonts w:hint="eastAsia" w:ascii="宋体" w:hAnsi="宋体" w:cs="宋体"/>
                <w:color w:val="000000"/>
                <w:kern w:val="0"/>
                <w:szCs w:val="21"/>
              </w:rPr>
              <w:t>4</w:t>
            </w:r>
          </w:p>
        </w:tc>
        <w:tc>
          <w:tcPr>
            <w:tcW w:w="1008" w:type="dxa"/>
            <w:vMerge w:val="restart"/>
            <w:vAlign w:val="center"/>
          </w:tcPr>
          <w:p w14:paraId="588D1F08">
            <w:pPr>
              <w:jc w:val="center"/>
              <w:rPr>
                <w:rFonts w:ascii="Segoe UI Symbol" w:hAnsi="Segoe UI Symbol" w:eastAsia="等线" w:cs="宋体"/>
                <w:color w:val="000000"/>
                <w:kern w:val="0"/>
                <w:szCs w:val="21"/>
              </w:rPr>
            </w:pPr>
            <w:r>
              <w:rPr>
                <w:rFonts w:hint="eastAsia" w:ascii="宋体" w:hAnsi="宋体"/>
                <w:b/>
                <w:bCs/>
                <w:color w:val="000000"/>
                <w:kern w:val="0"/>
                <w:szCs w:val="21"/>
              </w:rPr>
              <w:t>付款方式及时间安排</w:t>
            </w:r>
          </w:p>
        </w:tc>
        <w:tc>
          <w:tcPr>
            <w:tcW w:w="3540" w:type="dxa"/>
            <w:noWrap/>
            <w:vAlign w:val="center"/>
          </w:tcPr>
          <w:p w14:paraId="44D5AE94">
            <w:pPr>
              <w:widowControl/>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hint="eastAsia" w:eastAsia="等线"/>
                <w:color w:val="000000"/>
                <w:kern w:val="0"/>
                <w:szCs w:val="21"/>
              </w:rPr>
              <w:t>4</w:t>
            </w:r>
            <w:r>
              <w:rPr>
                <w:rFonts w:eastAsia="等线"/>
                <w:color w:val="000000"/>
                <w:kern w:val="0"/>
                <w:szCs w:val="21"/>
              </w:rPr>
              <w:t xml:space="preserve">.1 </w:t>
            </w:r>
            <w:r>
              <w:rPr>
                <w:rFonts w:hint="eastAsia" w:ascii="宋体" w:hAnsi="宋体" w:cs="宋体"/>
                <w:color w:val="000000"/>
                <w:kern w:val="0"/>
                <w:szCs w:val="21"/>
              </w:rPr>
              <w:t>如无特殊情况，货款将预计分【五】期支付：</w:t>
            </w:r>
          </w:p>
          <w:p w14:paraId="7F275104">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1</w:t>
            </w:r>
            <w:r>
              <w:rPr>
                <w:rFonts w:hint="eastAsia" w:ascii="宋体" w:hAnsi="宋体" w:cs="宋体"/>
                <w:color w:val="000000"/>
                <w:kern w:val="0"/>
                <w:szCs w:val="21"/>
              </w:rPr>
              <w:t>）合同签订后</w:t>
            </w:r>
            <w:r>
              <w:rPr>
                <w:color w:val="000000"/>
                <w:kern w:val="0"/>
                <w:szCs w:val="21"/>
              </w:rPr>
              <w:t>10</w:t>
            </w:r>
            <w:r>
              <w:rPr>
                <w:rFonts w:hint="eastAsia" w:ascii="宋体" w:hAnsi="宋体" w:cs="宋体"/>
                <w:color w:val="000000"/>
                <w:kern w:val="0"/>
                <w:szCs w:val="21"/>
              </w:rPr>
              <w:t>个工作日内，采购人支付合同含税总价款</w:t>
            </w:r>
            <w:r>
              <w:rPr>
                <w:color w:val="000000"/>
                <w:kern w:val="0"/>
                <w:szCs w:val="21"/>
              </w:rPr>
              <w:t>30%</w:t>
            </w:r>
            <w:r>
              <w:rPr>
                <w:rFonts w:hint="eastAsia" w:ascii="宋体" w:hAnsi="宋体" w:cs="宋体"/>
                <w:color w:val="000000"/>
                <w:kern w:val="0"/>
                <w:szCs w:val="21"/>
              </w:rPr>
              <w:t>作为首付款的货款；</w:t>
            </w:r>
          </w:p>
          <w:p w14:paraId="304E6AD6">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2</w:t>
            </w:r>
            <w:r>
              <w:rPr>
                <w:rFonts w:hint="eastAsia" w:ascii="宋体" w:hAnsi="宋体" w:cs="宋体"/>
                <w:color w:val="000000"/>
                <w:kern w:val="0"/>
                <w:szCs w:val="21"/>
              </w:rPr>
              <w:t>）合同签订后</w:t>
            </w:r>
            <w:r>
              <w:rPr>
                <w:color w:val="000000"/>
                <w:kern w:val="0"/>
                <w:szCs w:val="21"/>
              </w:rPr>
              <w:t>12</w:t>
            </w:r>
            <w:r>
              <w:rPr>
                <w:rFonts w:hint="eastAsia" w:ascii="宋体" w:hAnsi="宋体" w:cs="宋体"/>
                <w:color w:val="000000"/>
                <w:kern w:val="0"/>
                <w:szCs w:val="21"/>
              </w:rPr>
              <w:t>个月内，供应商完成初步设计评审（</w:t>
            </w:r>
            <w:r>
              <w:rPr>
                <w:color w:val="000000"/>
                <w:kern w:val="0"/>
                <w:szCs w:val="21"/>
              </w:rPr>
              <w:t>PDR</w:t>
            </w:r>
            <w:r>
              <w:rPr>
                <w:rFonts w:hint="eastAsia" w:ascii="宋体" w:hAnsi="宋体" w:cs="宋体"/>
                <w:color w:val="000000"/>
                <w:kern w:val="0"/>
                <w:szCs w:val="21"/>
              </w:rPr>
              <w:t>），并根据由双方签</w:t>
            </w:r>
            <w:r>
              <w:rPr>
                <w:rFonts w:hint="eastAsia" w:ascii="Gungsuh" w:hAnsi="Gungsuh" w:eastAsia="Gungsuh" w:cs="Gungsuh"/>
                <w:color w:val="000000"/>
                <w:kern w:val="0"/>
                <w:szCs w:val="21"/>
              </w:rPr>
              <w:t>署盖章的</w:t>
            </w:r>
            <w:r>
              <w:rPr>
                <w:rFonts w:hint="eastAsia" w:ascii="宋体" w:hAnsi="宋体" w:cs="宋体"/>
                <w:color w:val="000000"/>
                <w:kern w:val="0"/>
                <w:szCs w:val="21"/>
              </w:rPr>
              <w:t>会议纪</w:t>
            </w:r>
            <w:r>
              <w:rPr>
                <w:rFonts w:hint="eastAsia" w:ascii="Gungsuh" w:hAnsi="Gungsuh" w:eastAsia="Gungsuh" w:cs="Gungsuh"/>
                <w:color w:val="000000"/>
                <w:kern w:val="0"/>
                <w:szCs w:val="21"/>
              </w:rPr>
              <w:t>要</w:t>
            </w:r>
            <w:r>
              <w:rPr>
                <w:rFonts w:hint="eastAsia" w:ascii="宋体" w:hAnsi="宋体" w:cs="宋体"/>
                <w:color w:val="000000"/>
                <w:kern w:val="0"/>
                <w:szCs w:val="21"/>
              </w:rPr>
              <w:t>后</w:t>
            </w:r>
            <w:r>
              <w:rPr>
                <w:color w:val="000000"/>
                <w:kern w:val="0"/>
                <w:szCs w:val="21"/>
              </w:rPr>
              <w:t>10</w:t>
            </w:r>
            <w:r>
              <w:rPr>
                <w:rFonts w:hint="eastAsia" w:ascii="宋体" w:hAnsi="宋体" w:cs="宋体"/>
                <w:color w:val="000000"/>
                <w:kern w:val="0"/>
                <w:szCs w:val="21"/>
              </w:rPr>
              <w:t>个工作日内，采购人支付合同含税总价款</w:t>
            </w:r>
            <w:r>
              <w:rPr>
                <w:color w:val="000000"/>
                <w:kern w:val="0"/>
                <w:szCs w:val="21"/>
              </w:rPr>
              <w:t>20%</w:t>
            </w:r>
            <w:r>
              <w:rPr>
                <w:rFonts w:hint="eastAsia" w:ascii="宋体" w:hAnsi="宋体" w:cs="宋体"/>
                <w:color w:val="000000"/>
                <w:kern w:val="0"/>
                <w:szCs w:val="21"/>
              </w:rPr>
              <w:t>的货款；</w:t>
            </w:r>
          </w:p>
          <w:p w14:paraId="37E9EA01">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3</w:t>
            </w:r>
            <w:r>
              <w:rPr>
                <w:rFonts w:hint="eastAsia" w:ascii="宋体" w:hAnsi="宋体" w:cs="宋体"/>
                <w:color w:val="000000"/>
                <w:kern w:val="0"/>
                <w:szCs w:val="21"/>
              </w:rPr>
              <w:t>）合同签订后</w:t>
            </w:r>
            <w:r>
              <w:rPr>
                <w:color w:val="000000"/>
                <w:kern w:val="0"/>
                <w:szCs w:val="21"/>
              </w:rPr>
              <w:t>21</w:t>
            </w:r>
            <w:r>
              <w:rPr>
                <w:rFonts w:hint="eastAsia" w:ascii="宋体" w:hAnsi="宋体" w:cs="宋体"/>
                <w:color w:val="000000"/>
                <w:kern w:val="0"/>
                <w:szCs w:val="21"/>
              </w:rPr>
              <w:t>个月内，供应商完成关键设计评审（</w:t>
            </w:r>
            <w:r>
              <w:rPr>
                <w:color w:val="000000"/>
                <w:kern w:val="0"/>
                <w:szCs w:val="21"/>
              </w:rPr>
              <w:t>CDR</w:t>
            </w:r>
            <w:r>
              <w:rPr>
                <w:rFonts w:hint="eastAsia" w:ascii="宋体" w:hAnsi="宋体" w:cs="宋体"/>
                <w:color w:val="000000"/>
                <w:kern w:val="0"/>
                <w:szCs w:val="21"/>
              </w:rPr>
              <w:t>），并提供由双方签</w:t>
            </w:r>
            <w:r>
              <w:rPr>
                <w:rFonts w:hint="eastAsia" w:ascii="Gungsuh" w:hAnsi="Gungsuh" w:eastAsia="Gungsuh" w:cs="Gungsuh"/>
                <w:color w:val="000000"/>
                <w:kern w:val="0"/>
                <w:szCs w:val="21"/>
              </w:rPr>
              <w:t>署盖章的</w:t>
            </w:r>
            <w:r>
              <w:rPr>
                <w:rFonts w:hint="eastAsia" w:ascii="宋体" w:hAnsi="宋体" w:cs="宋体"/>
                <w:color w:val="000000"/>
                <w:kern w:val="0"/>
                <w:szCs w:val="21"/>
              </w:rPr>
              <w:t>会议纪</w:t>
            </w:r>
            <w:r>
              <w:rPr>
                <w:rFonts w:hint="eastAsia" w:ascii="Gungsuh" w:hAnsi="Gungsuh" w:eastAsia="Gungsuh" w:cs="Gungsuh"/>
                <w:color w:val="000000"/>
                <w:kern w:val="0"/>
                <w:szCs w:val="21"/>
              </w:rPr>
              <w:t>要</w:t>
            </w:r>
            <w:r>
              <w:rPr>
                <w:rFonts w:hint="eastAsia" w:ascii="宋体" w:hAnsi="宋体" w:cs="宋体"/>
                <w:color w:val="000000"/>
                <w:kern w:val="0"/>
                <w:szCs w:val="21"/>
              </w:rPr>
              <w:t>后</w:t>
            </w:r>
            <w:r>
              <w:rPr>
                <w:color w:val="000000"/>
                <w:kern w:val="0"/>
                <w:szCs w:val="21"/>
              </w:rPr>
              <w:t>10</w:t>
            </w:r>
            <w:r>
              <w:rPr>
                <w:rFonts w:hint="eastAsia" w:ascii="宋体" w:hAnsi="宋体" w:cs="宋体"/>
                <w:color w:val="000000"/>
                <w:kern w:val="0"/>
                <w:szCs w:val="21"/>
              </w:rPr>
              <w:t>个工作日，采购人支付合同含税总价款</w:t>
            </w:r>
            <w:r>
              <w:rPr>
                <w:color w:val="000000"/>
                <w:kern w:val="0"/>
                <w:szCs w:val="21"/>
              </w:rPr>
              <w:t>20%</w:t>
            </w:r>
            <w:r>
              <w:rPr>
                <w:rFonts w:hint="eastAsia" w:ascii="宋体" w:hAnsi="宋体" w:cs="宋体"/>
                <w:color w:val="000000"/>
                <w:kern w:val="0"/>
                <w:szCs w:val="21"/>
              </w:rPr>
              <w:t>的货款；</w:t>
            </w:r>
          </w:p>
          <w:p w14:paraId="65D25BD7">
            <w:pPr>
              <w:widowControl/>
              <w:rPr>
                <w:rFonts w:hint="eastAsia" w:ascii="宋体" w:hAnsi="宋体" w:cs="宋体"/>
                <w:color w:val="000000"/>
                <w:kern w:val="0"/>
                <w:szCs w:val="21"/>
              </w:rPr>
            </w:pPr>
            <w:r>
              <w:rPr>
                <w:rFonts w:hint="eastAsia" w:ascii="宋体" w:hAnsi="宋体" w:cs="宋体"/>
                <w:color w:val="000000"/>
                <w:kern w:val="0"/>
                <w:szCs w:val="21"/>
              </w:rPr>
              <w:t>（</w:t>
            </w:r>
            <w:r>
              <w:rPr>
                <w:color w:val="000000"/>
                <w:kern w:val="0"/>
                <w:szCs w:val="21"/>
              </w:rPr>
              <w:t>4</w:t>
            </w:r>
            <w:r>
              <w:rPr>
                <w:rFonts w:hint="eastAsia" w:ascii="宋体" w:hAnsi="宋体" w:cs="宋体"/>
                <w:color w:val="000000"/>
                <w:kern w:val="0"/>
                <w:szCs w:val="21"/>
              </w:rPr>
              <w:t>）合同签订后</w:t>
            </w:r>
            <w:r>
              <w:rPr>
                <w:color w:val="000000"/>
                <w:kern w:val="0"/>
                <w:szCs w:val="21"/>
              </w:rPr>
              <w:t>33</w:t>
            </w:r>
            <w:r>
              <w:rPr>
                <w:rFonts w:hint="eastAsia" w:ascii="宋体" w:hAnsi="宋体" w:cs="宋体"/>
                <w:color w:val="000000"/>
                <w:kern w:val="0"/>
                <w:szCs w:val="21"/>
              </w:rPr>
              <w:t>个月内，中标人按合同要求完成出厂验收，且中标人完成交货，或中标人设备出厂验收（</w:t>
            </w:r>
            <w:r>
              <w:rPr>
                <w:color w:val="000000"/>
                <w:kern w:val="0"/>
                <w:szCs w:val="21"/>
              </w:rPr>
              <w:t>FAT</w:t>
            </w:r>
            <w:r>
              <w:rPr>
                <w:rFonts w:hint="eastAsia" w:ascii="宋体" w:hAnsi="宋体" w:cs="宋体"/>
                <w:color w:val="000000"/>
                <w:kern w:val="0"/>
                <w:szCs w:val="21"/>
              </w:rPr>
              <w:t>）及办妥发货通知</w:t>
            </w:r>
            <w:r>
              <w:rPr>
                <w:color w:val="000000"/>
                <w:kern w:val="0"/>
                <w:szCs w:val="21"/>
              </w:rPr>
              <w:t>3</w:t>
            </w:r>
            <w:r>
              <w:rPr>
                <w:rFonts w:hint="eastAsia" w:ascii="宋体" w:hAnsi="宋体" w:cs="宋体"/>
                <w:color w:val="000000"/>
                <w:kern w:val="0"/>
                <w:szCs w:val="21"/>
              </w:rPr>
              <w:t>个月后，以两者中较早发生者为准的</w:t>
            </w:r>
            <w:r>
              <w:rPr>
                <w:color w:val="000000"/>
                <w:kern w:val="0"/>
                <w:szCs w:val="21"/>
              </w:rPr>
              <w:t>10</w:t>
            </w:r>
            <w:r>
              <w:rPr>
                <w:rFonts w:hint="eastAsia" w:ascii="宋体" w:hAnsi="宋体" w:cs="宋体"/>
                <w:color w:val="000000"/>
                <w:kern w:val="0"/>
                <w:szCs w:val="21"/>
              </w:rPr>
              <w:t>个工作日内，凭采购人签字盖章的交货单或</w:t>
            </w:r>
            <w:r>
              <w:rPr>
                <w:color w:val="000000"/>
                <w:kern w:val="0"/>
                <w:szCs w:val="21"/>
              </w:rPr>
              <w:t>FAT</w:t>
            </w:r>
            <w:r>
              <w:rPr>
                <w:rFonts w:hint="eastAsia" w:ascii="宋体" w:hAnsi="宋体" w:cs="宋体"/>
                <w:color w:val="000000"/>
                <w:kern w:val="0"/>
                <w:szCs w:val="21"/>
              </w:rPr>
              <w:t>报告。采购人支付装运货值</w:t>
            </w:r>
            <w:r>
              <w:rPr>
                <w:color w:val="000000"/>
                <w:kern w:val="0"/>
                <w:szCs w:val="21"/>
              </w:rPr>
              <w:t>20 %</w:t>
            </w:r>
            <w:r>
              <w:rPr>
                <w:rFonts w:hint="eastAsia" w:ascii="宋体" w:hAnsi="宋体" w:cs="宋体"/>
                <w:color w:val="000000"/>
                <w:kern w:val="0"/>
                <w:szCs w:val="21"/>
              </w:rPr>
              <w:t>的货款；</w:t>
            </w:r>
          </w:p>
          <w:p w14:paraId="4F81A8C7">
            <w:pPr>
              <w:rPr>
                <w:rFonts w:ascii="Segoe UI Symbol" w:hAnsi="Segoe UI Symbol" w:eastAsia="等线" w:cs="宋体"/>
                <w:color w:val="000000"/>
                <w:kern w:val="0"/>
                <w:szCs w:val="21"/>
              </w:rPr>
            </w:pPr>
            <w:r>
              <w:rPr>
                <w:rFonts w:hint="eastAsia" w:ascii="宋体" w:hAnsi="宋体" w:cs="宋体"/>
                <w:color w:val="000000"/>
                <w:kern w:val="0"/>
                <w:szCs w:val="21"/>
              </w:rPr>
              <w:t>（</w:t>
            </w:r>
            <w:r>
              <w:rPr>
                <w:color w:val="000000"/>
                <w:kern w:val="0"/>
                <w:szCs w:val="21"/>
              </w:rPr>
              <w:t>5</w:t>
            </w:r>
            <w:r>
              <w:rPr>
                <w:rFonts w:hint="eastAsia" w:ascii="宋体" w:hAnsi="宋体" w:cs="宋体"/>
                <w:color w:val="000000"/>
                <w:kern w:val="0"/>
                <w:szCs w:val="21"/>
              </w:rPr>
              <w:t>）自中标人完成设备安装、调试，且按合同要求通过现场验收测试（</w:t>
            </w:r>
            <w:r>
              <w:rPr>
                <w:color w:val="000000"/>
                <w:kern w:val="0"/>
                <w:szCs w:val="21"/>
              </w:rPr>
              <w:t>SAT</w:t>
            </w:r>
            <w:r>
              <w:rPr>
                <w:rFonts w:hint="eastAsia" w:ascii="宋体" w:hAnsi="宋体" w:cs="宋体"/>
                <w:color w:val="000000"/>
                <w:kern w:val="0"/>
                <w:szCs w:val="21"/>
              </w:rPr>
              <w:t>），且采购人签字盖章现场验收测试报后</w:t>
            </w:r>
            <w:r>
              <w:rPr>
                <w:color w:val="000000"/>
                <w:kern w:val="0"/>
                <w:szCs w:val="21"/>
              </w:rPr>
              <w:t>10</w:t>
            </w:r>
            <w:r>
              <w:rPr>
                <w:rFonts w:hint="eastAsia" w:ascii="宋体" w:hAnsi="宋体" w:cs="宋体"/>
                <w:color w:val="000000"/>
                <w:kern w:val="0"/>
                <w:szCs w:val="21"/>
              </w:rPr>
              <w:t>个工作日内，采购人支付合同含税总价款的</w:t>
            </w:r>
            <w:r>
              <w:rPr>
                <w:color w:val="000000"/>
                <w:kern w:val="0"/>
                <w:szCs w:val="21"/>
              </w:rPr>
              <w:t>10%</w:t>
            </w:r>
            <w:r>
              <w:rPr>
                <w:rFonts w:hint="eastAsia" w:ascii="宋体" w:hAnsi="宋体" w:cs="宋体"/>
                <w:color w:val="000000"/>
                <w:kern w:val="0"/>
                <w:szCs w:val="21"/>
              </w:rPr>
              <w:t>的货款。</w:t>
            </w:r>
          </w:p>
        </w:tc>
        <w:tc>
          <w:tcPr>
            <w:tcW w:w="1596" w:type="dxa"/>
            <w:noWrap/>
            <w:vAlign w:val="center"/>
          </w:tcPr>
          <w:p w14:paraId="2724B44D">
            <w:pPr>
              <w:rPr>
                <w:rFonts w:hint="eastAsia" w:ascii="宋体" w:hAnsi="宋体" w:cs="宋体"/>
                <w:color w:val="000000"/>
                <w:kern w:val="0"/>
                <w:szCs w:val="21"/>
              </w:rPr>
            </w:pPr>
          </w:p>
        </w:tc>
        <w:tc>
          <w:tcPr>
            <w:tcW w:w="1152" w:type="dxa"/>
            <w:noWrap/>
            <w:vAlign w:val="center"/>
          </w:tcPr>
          <w:p w14:paraId="0F858677">
            <w:pPr>
              <w:rPr>
                <w:rFonts w:hint="eastAsia" w:ascii="宋体" w:hAnsi="宋体" w:cs="宋体"/>
                <w:color w:val="000000"/>
                <w:kern w:val="0"/>
                <w:szCs w:val="21"/>
              </w:rPr>
            </w:pPr>
          </w:p>
        </w:tc>
        <w:tc>
          <w:tcPr>
            <w:tcW w:w="720" w:type="dxa"/>
            <w:noWrap/>
            <w:vAlign w:val="center"/>
          </w:tcPr>
          <w:p w14:paraId="65EECECA">
            <w:pPr>
              <w:rPr>
                <w:rFonts w:hint="eastAsia" w:ascii="宋体" w:hAnsi="宋体" w:cs="宋体"/>
                <w:color w:val="000000"/>
                <w:kern w:val="0"/>
                <w:szCs w:val="21"/>
              </w:rPr>
            </w:pPr>
          </w:p>
        </w:tc>
      </w:tr>
      <w:tr w14:paraId="4FC49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77261E76">
            <w:pPr>
              <w:widowControl/>
              <w:jc w:val="center"/>
              <w:rPr>
                <w:rFonts w:eastAsia="等线"/>
                <w:color w:val="000000"/>
                <w:kern w:val="0"/>
                <w:szCs w:val="21"/>
              </w:rPr>
            </w:pPr>
          </w:p>
        </w:tc>
        <w:tc>
          <w:tcPr>
            <w:tcW w:w="1008" w:type="dxa"/>
            <w:vMerge w:val="continue"/>
            <w:vAlign w:val="center"/>
          </w:tcPr>
          <w:p w14:paraId="492C1564">
            <w:pPr>
              <w:widowControl/>
              <w:jc w:val="center"/>
              <w:rPr>
                <w:rFonts w:eastAsia="等线"/>
                <w:color w:val="000000"/>
                <w:kern w:val="0"/>
                <w:szCs w:val="21"/>
              </w:rPr>
            </w:pPr>
          </w:p>
        </w:tc>
        <w:tc>
          <w:tcPr>
            <w:tcW w:w="3540" w:type="dxa"/>
            <w:noWrap/>
            <w:vAlign w:val="center"/>
          </w:tcPr>
          <w:p w14:paraId="77D85840">
            <w:pPr>
              <w:widowControl/>
              <w:rPr>
                <w:rFonts w:eastAsia="等线"/>
                <w:color w:val="000000"/>
                <w:kern w:val="0"/>
                <w:szCs w:val="21"/>
              </w:rPr>
            </w:pPr>
            <w:r>
              <w:rPr>
                <w:rFonts w:hint="eastAsia" w:eastAsia="等线"/>
                <w:color w:val="000000"/>
                <w:kern w:val="0"/>
                <w:szCs w:val="21"/>
              </w:rPr>
              <w:t>4</w:t>
            </w:r>
            <w:r>
              <w:rPr>
                <w:rFonts w:eastAsia="等线"/>
                <w:color w:val="000000"/>
                <w:kern w:val="0"/>
                <w:szCs w:val="21"/>
              </w:rPr>
              <w:t>.2</w:t>
            </w:r>
            <w:r>
              <w:rPr>
                <w:rFonts w:hint="eastAsia" w:ascii="宋体" w:hAnsi="宋体"/>
                <w:color w:val="000000"/>
                <w:kern w:val="0"/>
                <w:szCs w:val="21"/>
              </w:rPr>
              <w:t>如进口产品中标，采购人负责办理中国境内的货物进口批文及免税手续，并委托外贸公司代理进口业务。</w:t>
            </w:r>
          </w:p>
        </w:tc>
        <w:tc>
          <w:tcPr>
            <w:tcW w:w="1596" w:type="dxa"/>
            <w:noWrap/>
            <w:vAlign w:val="center"/>
          </w:tcPr>
          <w:p w14:paraId="6E72C59F">
            <w:pPr>
              <w:widowControl/>
              <w:rPr>
                <w:rFonts w:hint="eastAsia" w:eastAsia="等线"/>
                <w:color w:val="000000"/>
                <w:kern w:val="0"/>
                <w:szCs w:val="21"/>
              </w:rPr>
            </w:pPr>
          </w:p>
        </w:tc>
        <w:tc>
          <w:tcPr>
            <w:tcW w:w="1152" w:type="dxa"/>
            <w:noWrap/>
            <w:vAlign w:val="center"/>
          </w:tcPr>
          <w:p w14:paraId="7F93D5F8">
            <w:pPr>
              <w:widowControl/>
              <w:rPr>
                <w:rFonts w:hint="eastAsia" w:eastAsia="等线"/>
                <w:color w:val="000000"/>
                <w:kern w:val="0"/>
                <w:szCs w:val="21"/>
              </w:rPr>
            </w:pPr>
          </w:p>
        </w:tc>
        <w:tc>
          <w:tcPr>
            <w:tcW w:w="720" w:type="dxa"/>
            <w:noWrap/>
            <w:vAlign w:val="center"/>
          </w:tcPr>
          <w:p w14:paraId="51FAD52B">
            <w:pPr>
              <w:widowControl/>
              <w:rPr>
                <w:rFonts w:hint="eastAsia" w:eastAsia="等线"/>
                <w:color w:val="000000"/>
                <w:kern w:val="0"/>
                <w:szCs w:val="21"/>
              </w:rPr>
            </w:pPr>
          </w:p>
        </w:tc>
      </w:tr>
      <w:tr w14:paraId="6310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4039CE00">
            <w:pPr>
              <w:widowControl/>
              <w:jc w:val="center"/>
              <w:rPr>
                <w:rFonts w:eastAsia="等线"/>
                <w:color w:val="000000"/>
                <w:kern w:val="0"/>
                <w:szCs w:val="21"/>
              </w:rPr>
            </w:pPr>
          </w:p>
        </w:tc>
        <w:tc>
          <w:tcPr>
            <w:tcW w:w="1008" w:type="dxa"/>
            <w:vMerge w:val="continue"/>
            <w:vAlign w:val="center"/>
          </w:tcPr>
          <w:p w14:paraId="692C6E6D">
            <w:pPr>
              <w:widowControl/>
              <w:jc w:val="center"/>
              <w:rPr>
                <w:rFonts w:eastAsia="等线"/>
                <w:color w:val="000000"/>
                <w:kern w:val="0"/>
                <w:szCs w:val="21"/>
              </w:rPr>
            </w:pPr>
          </w:p>
        </w:tc>
        <w:tc>
          <w:tcPr>
            <w:tcW w:w="3540" w:type="dxa"/>
            <w:noWrap/>
            <w:vAlign w:val="center"/>
          </w:tcPr>
          <w:p w14:paraId="747ACE92">
            <w:pPr>
              <w:widowControl/>
              <w:rPr>
                <w:rFonts w:eastAsia="等线"/>
                <w:color w:val="000000"/>
                <w:kern w:val="0"/>
                <w:szCs w:val="21"/>
              </w:rPr>
            </w:pPr>
            <w:r>
              <w:rPr>
                <w:rFonts w:hint="eastAsia" w:eastAsia="等线"/>
                <w:color w:val="000000"/>
                <w:kern w:val="0"/>
                <w:szCs w:val="21"/>
              </w:rPr>
              <w:t>4</w:t>
            </w:r>
            <w:r>
              <w:rPr>
                <w:rFonts w:eastAsia="等线"/>
                <w:color w:val="000000"/>
                <w:kern w:val="0"/>
                <w:szCs w:val="21"/>
              </w:rPr>
              <w:t xml:space="preserve">.3 </w:t>
            </w:r>
            <w:r>
              <w:rPr>
                <w:rFonts w:hint="eastAsia" w:ascii="宋体" w:hAnsi="宋体"/>
                <w:color w:val="000000"/>
                <w:kern w:val="0"/>
                <w:szCs w:val="21"/>
              </w:rPr>
              <w:t>若因非归咎于中标人的原因，中标人未按合同约定收到任何款项，则中标人有权暂停履行其在合同项下的义务。</w:t>
            </w:r>
          </w:p>
        </w:tc>
        <w:tc>
          <w:tcPr>
            <w:tcW w:w="1596" w:type="dxa"/>
            <w:noWrap/>
            <w:vAlign w:val="center"/>
          </w:tcPr>
          <w:p w14:paraId="484EB167">
            <w:pPr>
              <w:widowControl/>
              <w:rPr>
                <w:rFonts w:hint="eastAsia" w:eastAsia="等线"/>
                <w:color w:val="000000"/>
                <w:kern w:val="0"/>
                <w:szCs w:val="21"/>
              </w:rPr>
            </w:pPr>
          </w:p>
        </w:tc>
        <w:tc>
          <w:tcPr>
            <w:tcW w:w="1152" w:type="dxa"/>
            <w:noWrap/>
            <w:vAlign w:val="center"/>
          </w:tcPr>
          <w:p w14:paraId="09B1B4E6">
            <w:pPr>
              <w:widowControl/>
              <w:rPr>
                <w:rFonts w:hint="eastAsia" w:eastAsia="等线"/>
                <w:color w:val="000000"/>
                <w:kern w:val="0"/>
                <w:szCs w:val="21"/>
              </w:rPr>
            </w:pPr>
          </w:p>
        </w:tc>
        <w:tc>
          <w:tcPr>
            <w:tcW w:w="720" w:type="dxa"/>
            <w:noWrap/>
            <w:vAlign w:val="center"/>
          </w:tcPr>
          <w:p w14:paraId="220EEAFA">
            <w:pPr>
              <w:widowControl/>
              <w:rPr>
                <w:rFonts w:hint="eastAsia" w:eastAsia="等线"/>
                <w:color w:val="000000"/>
                <w:kern w:val="0"/>
                <w:szCs w:val="21"/>
              </w:rPr>
            </w:pPr>
          </w:p>
        </w:tc>
      </w:tr>
      <w:tr w14:paraId="391F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05DAF62">
            <w:pPr>
              <w:widowControl/>
              <w:jc w:val="center"/>
              <w:rPr>
                <w:rFonts w:eastAsia="等线"/>
                <w:color w:val="000000"/>
                <w:kern w:val="0"/>
                <w:szCs w:val="21"/>
              </w:rPr>
            </w:pPr>
          </w:p>
        </w:tc>
        <w:tc>
          <w:tcPr>
            <w:tcW w:w="1008" w:type="dxa"/>
            <w:vMerge w:val="continue"/>
            <w:vAlign w:val="center"/>
          </w:tcPr>
          <w:p w14:paraId="1737C12A">
            <w:pPr>
              <w:widowControl/>
              <w:jc w:val="center"/>
              <w:rPr>
                <w:rFonts w:eastAsia="等线"/>
                <w:color w:val="000000"/>
                <w:kern w:val="0"/>
                <w:szCs w:val="21"/>
              </w:rPr>
            </w:pPr>
          </w:p>
        </w:tc>
        <w:tc>
          <w:tcPr>
            <w:tcW w:w="3540" w:type="dxa"/>
            <w:noWrap/>
            <w:vAlign w:val="center"/>
          </w:tcPr>
          <w:p w14:paraId="0173324F">
            <w:pPr>
              <w:widowControl/>
              <w:rPr>
                <w:rFonts w:eastAsia="等线"/>
                <w:color w:val="000000"/>
                <w:kern w:val="0"/>
                <w:szCs w:val="21"/>
              </w:rPr>
            </w:pPr>
            <w:r>
              <w:rPr>
                <w:rFonts w:hint="eastAsia" w:eastAsia="等线"/>
                <w:color w:val="000000"/>
                <w:kern w:val="0"/>
                <w:szCs w:val="21"/>
              </w:rPr>
              <w:t>4</w:t>
            </w:r>
            <w:r>
              <w:rPr>
                <w:rFonts w:eastAsia="等线"/>
                <w:color w:val="000000"/>
                <w:kern w:val="0"/>
                <w:szCs w:val="21"/>
              </w:rPr>
              <w:t xml:space="preserve">.4 </w:t>
            </w:r>
            <w:r>
              <w:rPr>
                <w:rFonts w:hint="eastAsia" w:ascii="宋体" w:hAnsi="宋体"/>
                <w:color w:val="000000"/>
                <w:kern w:val="0"/>
                <w:szCs w:val="21"/>
              </w:rPr>
              <w:t>中标人应在每笔付款前提供合格等额的增值税发票；如为进口产品，则须提供合格等额有效的商业发票。未提供或发票不合格的，采购人付款期限相应顺延</w:t>
            </w:r>
          </w:p>
        </w:tc>
        <w:tc>
          <w:tcPr>
            <w:tcW w:w="1596" w:type="dxa"/>
            <w:noWrap/>
            <w:vAlign w:val="center"/>
          </w:tcPr>
          <w:p w14:paraId="3FF8E11C">
            <w:pPr>
              <w:widowControl/>
              <w:rPr>
                <w:rFonts w:hint="eastAsia" w:eastAsia="等线"/>
                <w:color w:val="000000"/>
                <w:kern w:val="0"/>
                <w:szCs w:val="21"/>
              </w:rPr>
            </w:pPr>
          </w:p>
        </w:tc>
        <w:tc>
          <w:tcPr>
            <w:tcW w:w="1152" w:type="dxa"/>
            <w:noWrap/>
            <w:vAlign w:val="center"/>
          </w:tcPr>
          <w:p w14:paraId="0A4DE291">
            <w:pPr>
              <w:widowControl/>
              <w:rPr>
                <w:rFonts w:hint="eastAsia" w:eastAsia="等线"/>
                <w:color w:val="000000"/>
                <w:kern w:val="0"/>
                <w:szCs w:val="21"/>
              </w:rPr>
            </w:pPr>
          </w:p>
        </w:tc>
        <w:tc>
          <w:tcPr>
            <w:tcW w:w="720" w:type="dxa"/>
            <w:noWrap/>
            <w:vAlign w:val="center"/>
          </w:tcPr>
          <w:p w14:paraId="77705465">
            <w:pPr>
              <w:widowControl/>
              <w:rPr>
                <w:rFonts w:hint="eastAsia" w:eastAsia="等线"/>
                <w:color w:val="000000"/>
                <w:kern w:val="0"/>
                <w:szCs w:val="21"/>
              </w:rPr>
            </w:pPr>
          </w:p>
        </w:tc>
      </w:tr>
      <w:tr w14:paraId="2989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Align w:val="center"/>
          </w:tcPr>
          <w:p w14:paraId="3053A870">
            <w:pPr>
              <w:widowControl/>
              <w:jc w:val="center"/>
              <w:rPr>
                <w:rFonts w:hint="eastAsia" w:ascii="宋体" w:hAnsi="宋体" w:cs="宋体"/>
                <w:color w:val="000000"/>
                <w:kern w:val="0"/>
                <w:szCs w:val="21"/>
              </w:rPr>
            </w:pPr>
            <w:r>
              <w:rPr>
                <w:rFonts w:hint="eastAsia" w:ascii="宋体" w:hAnsi="宋体" w:cs="宋体"/>
                <w:color w:val="000000"/>
                <w:kern w:val="0"/>
                <w:szCs w:val="21"/>
              </w:rPr>
              <w:t>5</w:t>
            </w:r>
          </w:p>
        </w:tc>
        <w:tc>
          <w:tcPr>
            <w:tcW w:w="1008" w:type="dxa"/>
            <w:vAlign w:val="center"/>
          </w:tcPr>
          <w:p w14:paraId="7D4C39E8">
            <w:pPr>
              <w:widowControl/>
              <w:jc w:val="center"/>
              <w:rPr>
                <w:rFonts w:hint="eastAsia" w:ascii="宋体" w:hAnsi="宋体" w:cs="宋体"/>
                <w:color w:val="000000"/>
                <w:kern w:val="0"/>
                <w:szCs w:val="21"/>
              </w:rPr>
            </w:pPr>
            <w:r>
              <w:rPr>
                <w:rFonts w:hint="eastAsia" w:ascii="宋体" w:hAnsi="宋体"/>
                <w:b/>
                <w:bCs/>
                <w:color w:val="000000"/>
                <w:kern w:val="0"/>
                <w:szCs w:val="21"/>
              </w:rPr>
              <w:t>保密要求</w:t>
            </w:r>
          </w:p>
        </w:tc>
        <w:tc>
          <w:tcPr>
            <w:tcW w:w="3540" w:type="dxa"/>
            <w:noWrap/>
            <w:vAlign w:val="center"/>
          </w:tcPr>
          <w:p w14:paraId="78FF5003">
            <w:pPr>
              <w:widowControl/>
              <w:rPr>
                <w:rFonts w:hint="eastAsia" w:ascii="宋体" w:hAnsi="宋体" w:cs="宋体"/>
                <w:color w:val="000000"/>
                <w:kern w:val="0"/>
                <w:szCs w:val="21"/>
              </w:rPr>
            </w:pPr>
            <w:r>
              <w:rPr>
                <w:rFonts w:hint="eastAsia" w:ascii="宋体" w:hAnsi="宋体" w:cs="宋体"/>
                <w:color w:val="000000"/>
                <w:kern w:val="0"/>
                <w:szCs w:val="21"/>
              </w:rPr>
              <w:t>除另行许可外，任何一方均承诺其不会在任何时间或在本合同有效期内的任何时间，向任何人披露与对方【或对方所属公司集团的任何成员】的业务、事务、顾客、客户或供应商有关的任何保密信息。</w:t>
            </w:r>
          </w:p>
        </w:tc>
        <w:tc>
          <w:tcPr>
            <w:tcW w:w="1596" w:type="dxa"/>
            <w:noWrap/>
            <w:vAlign w:val="center"/>
          </w:tcPr>
          <w:p w14:paraId="4D62A562">
            <w:pPr>
              <w:widowControl/>
              <w:rPr>
                <w:rFonts w:hint="eastAsia" w:ascii="宋体" w:hAnsi="宋体" w:cs="宋体"/>
                <w:color w:val="000000"/>
                <w:kern w:val="0"/>
                <w:szCs w:val="21"/>
              </w:rPr>
            </w:pPr>
          </w:p>
        </w:tc>
        <w:tc>
          <w:tcPr>
            <w:tcW w:w="1152" w:type="dxa"/>
            <w:noWrap/>
            <w:vAlign w:val="center"/>
          </w:tcPr>
          <w:p w14:paraId="462FC200">
            <w:pPr>
              <w:widowControl/>
              <w:rPr>
                <w:rFonts w:hint="eastAsia" w:ascii="宋体" w:hAnsi="宋体" w:cs="宋体"/>
                <w:color w:val="000000"/>
                <w:kern w:val="0"/>
                <w:szCs w:val="21"/>
              </w:rPr>
            </w:pPr>
          </w:p>
        </w:tc>
        <w:tc>
          <w:tcPr>
            <w:tcW w:w="720" w:type="dxa"/>
            <w:noWrap/>
            <w:vAlign w:val="center"/>
          </w:tcPr>
          <w:p w14:paraId="655FC154">
            <w:pPr>
              <w:widowControl/>
              <w:rPr>
                <w:rFonts w:hint="eastAsia" w:ascii="宋体" w:hAnsi="宋体" w:cs="宋体"/>
                <w:color w:val="000000"/>
                <w:kern w:val="0"/>
                <w:szCs w:val="21"/>
              </w:rPr>
            </w:pPr>
          </w:p>
        </w:tc>
      </w:tr>
      <w:tr w14:paraId="14CC8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319744E6">
            <w:pPr>
              <w:widowControl/>
              <w:jc w:val="center"/>
              <w:rPr>
                <w:rFonts w:eastAsia="等线"/>
                <w:color w:val="000000"/>
                <w:kern w:val="0"/>
                <w:szCs w:val="21"/>
              </w:rPr>
            </w:pPr>
            <w:r>
              <w:rPr>
                <w:rFonts w:hint="eastAsia" w:eastAsia="等线"/>
                <w:color w:val="000000"/>
                <w:kern w:val="0"/>
                <w:szCs w:val="21"/>
              </w:rPr>
              <w:t>6</w:t>
            </w:r>
          </w:p>
        </w:tc>
        <w:tc>
          <w:tcPr>
            <w:tcW w:w="1008" w:type="dxa"/>
            <w:vMerge w:val="restart"/>
            <w:vAlign w:val="center"/>
          </w:tcPr>
          <w:p w14:paraId="377F7674">
            <w:pPr>
              <w:widowControl/>
              <w:jc w:val="center"/>
              <w:rPr>
                <w:rFonts w:eastAsia="等线"/>
                <w:color w:val="000000"/>
                <w:kern w:val="0"/>
                <w:szCs w:val="21"/>
              </w:rPr>
            </w:pPr>
            <w:r>
              <w:rPr>
                <w:rFonts w:hint="eastAsia" w:ascii="宋体" w:hAnsi="宋体"/>
                <w:b/>
                <w:bCs/>
                <w:color w:val="000000"/>
                <w:kern w:val="0"/>
                <w:szCs w:val="21"/>
              </w:rPr>
              <w:t>知识产权</w:t>
            </w:r>
          </w:p>
        </w:tc>
        <w:tc>
          <w:tcPr>
            <w:tcW w:w="3540" w:type="dxa"/>
            <w:noWrap/>
            <w:vAlign w:val="center"/>
          </w:tcPr>
          <w:p w14:paraId="15B31356">
            <w:pPr>
              <w:widowControl/>
              <w:rPr>
                <w:rFonts w:eastAsia="等线"/>
                <w:color w:val="000000"/>
                <w:kern w:val="0"/>
                <w:szCs w:val="21"/>
              </w:rPr>
            </w:pPr>
            <w:r>
              <w:rPr>
                <w:rFonts w:hint="eastAsia" w:eastAsia="等线"/>
                <w:color w:val="000000"/>
                <w:kern w:val="0"/>
                <w:szCs w:val="21"/>
              </w:rPr>
              <w:t>6</w:t>
            </w:r>
            <w:r>
              <w:rPr>
                <w:rFonts w:eastAsia="等线"/>
                <w:color w:val="000000"/>
                <w:kern w:val="0"/>
                <w:szCs w:val="21"/>
              </w:rPr>
              <w:t xml:space="preserve">.1 </w:t>
            </w:r>
            <w:r>
              <w:rPr>
                <w:rFonts w:hint="eastAsia" w:ascii="宋体" w:hAnsi="宋体"/>
                <w:color w:val="000000"/>
                <w:kern w:val="0"/>
                <w:szCs w:val="21"/>
              </w:rPr>
              <w:t>除最终用户使用和维护本产品所必需的范围外，中标人可以不将与本产品、本产品的设计、制造工艺和</w:t>
            </w:r>
            <w:r>
              <w:rPr>
                <w:rFonts w:eastAsia="等线"/>
                <w:color w:val="000000"/>
                <w:kern w:val="0"/>
                <w:szCs w:val="21"/>
              </w:rPr>
              <w:t>/</w:t>
            </w:r>
            <w:r>
              <w:rPr>
                <w:rFonts w:hint="eastAsia" w:ascii="宋体" w:hAnsi="宋体"/>
                <w:color w:val="000000"/>
                <w:kern w:val="0"/>
                <w:szCs w:val="21"/>
              </w:rPr>
              <w:t>或与之相关的任何专有技术有关的任何专利、许可、版权和</w:t>
            </w:r>
            <w:r>
              <w:rPr>
                <w:rFonts w:eastAsia="等线"/>
                <w:color w:val="000000"/>
                <w:kern w:val="0"/>
                <w:szCs w:val="21"/>
              </w:rPr>
              <w:t>/</w:t>
            </w:r>
            <w:r>
              <w:rPr>
                <w:rFonts w:hint="eastAsia" w:ascii="宋体" w:hAnsi="宋体"/>
                <w:color w:val="000000"/>
                <w:kern w:val="0"/>
                <w:szCs w:val="21"/>
              </w:rPr>
              <w:t>或其他工业或知识产权授予采购人。</w:t>
            </w:r>
          </w:p>
        </w:tc>
        <w:tc>
          <w:tcPr>
            <w:tcW w:w="1596" w:type="dxa"/>
            <w:noWrap/>
            <w:vAlign w:val="center"/>
          </w:tcPr>
          <w:p w14:paraId="7DB378B3">
            <w:pPr>
              <w:widowControl/>
              <w:rPr>
                <w:rFonts w:hint="eastAsia" w:eastAsia="等线"/>
                <w:color w:val="000000"/>
                <w:kern w:val="0"/>
                <w:szCs w:val="21"/>
              </w:rPr>
            </w:pPr>
          </w:p>
        </w:tc>
        <w:tc>
          <w:tcPr>
            <w:tcW w:w="1152" w:type="dxa"/>
            <w:noWrap/>
            <w:vAlign w:val="center"/>
          </w:tcPr>
          <w:p w14:paraId="7D554083">
            <w:pPr>
              <w:widowControl/>
              <w:rPr>
                <w:rFonts w:hint="eastAsia" w:eastAsia="等线"/>
                <w:color w:val="000000"/>
                <w:kern w:val="0"/>
                <w:szCs w:val="21"/>
              </w:rPr>
            </w:pPr>
          </w:p>
        </w:tc>
        <w:tc>
          <w:tcPr>
            <w:tcW w:w="720" w:type="dxa"/>
            <w:noWrap/>
            <w:vAlign w:val="center"/>
          </w:tcPr>
          <w:p w14:paraId="478B11D7">
            <w:pPr>
              <w:widowControl/>
              <w:rPr>
                <w:rFonts w:hint="eastAsia" w:eastAsia="等线"/>
                <w:color w:val="000000"/>
                <w:kern w:val="0"/>
                <w:szCs w:val="21"/>
              </w:rPr>
            </w:pPr>
          </w:p>
        </w:tc>
      </w:tr>
      <w:tr w14:paraId="59D8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5B3F9520">
            <w:pPr>
              <w:widowControl/>
              <w:jc w:val="center"/>
              <w:rPr>
                <w:rFonts w:eastAsia="等线"/>
                <w:color w:val="000000"/>
                <w:kern w:val="0"/>
                <w:szCs w:val="21"/>
              </w:rPr>
            </w:pPr>
          </w:p>
        </w:tc>
        <w:tc>
          <w:tcPr>
            <w:tcW w:w="1008" w:type="dxa"/>
            <w:vMerge w:val="continue"/>
            <w:vAlign w:val="center"/>
          </w:tcPr>
          <w:p w14:paraId="236C783A">
            <w:pPr>
              <w:widowControl/>
              <w:jc w:val="center"/>
              <w:rPr>
                <w:rFonts w:eastAsia="等线"/>
                <w:color w:val="000000"/>
                <w:kern w:val="0"/>
                <w:szCs w:val="21"/>
              </w:rPr>
            </w:pPr>
          </w:p>
        </w:tc>
        <w:tc>
          <w:tcPr>
            <w:tcW w:w="3540" w:type="dxa"/>
            <w:noWrap/>
            <w:vAlign w:val="center"/>
          </w:tcPr>
          <w:p w14:paraId="0FEF3EE9">
            <w:pPr>
              <w:widowControl/>
              <w:rPr>
                <w:rFonts w:eastAsia="等线"/>
                <w:color w:val="000000"/>
                <w:kern w:val="0"/>
                <w:szCs w:val="21"/>
              </w:rPr>
            </w:pPr>
            <w:r>
              <w:rPr>
                <w:rFonts w:hint="eastAsia" w:eastAsia="等线"/>
                <w:color w:val="000000"/>
                <w:kern w:val="0"/>
                <w:szCs w:val="21"/>
              </w:rPr>
              <w:t>6</w:t>
            </w:r>
            <w:r>
              <w:rPr>
                <w:rFonts w:eastAsia="等线"/>
                <w:color w:val="000000"/>
                <w:kern w:val="0"/>
                <w:szCs w:val="21"/>
              </w:rPr>
              <w:t xml:space="preserve">.2 </w:t>
            </w:r>
            <w:r>
              <w:rPr>
                <w:rFonts w:hint="eastAsia" w:ascii="宋体" w:hAnsi="宋体"/>
                <w:color w:val="000000"/>
                <w:kern w:val="0"/>
                <w:szCs w:val="21"/>
              </w:rPr>
              <w:t>中标人应同意，如果采购人和最终用户在任何诉讼或程序中声称使用本协议项下提供的产品构成对任何第三方有效知识产权的侵犯，中标人将自费并在下文所述的范围内，保护采购人和最终用户免受采购人和最终用户产生的所有已证明的金额和合理的律师费和开支的损害。前提是采购人或最终用户：（</w:t>
            </w:r>
            <w:r>
              <w:rPr>
                <w:rFonts w:eastAsia="等线"/>
                <w:color w:val="000000"/>
                <w:kern w:val="0"/>
                <w:szCs w:val="21"/>
              </w:rPr>
              <w:t>1</w:t>
            </w:r>
            <w:r>
              <w:rPr>
                <w:rFonts w:hint="eastAsia" w:ascii="宋体" w:hAnsi="宋体"/>
                <w:color w:val="000000"/>
                <w:kern w:val="0"/>
                <w:szCs w:val="21"/>
              </w:rPr>
              <w:t>）及时向中标人提交任何侵权索赔；（</w:t>
            </w:r>
            <w:r>
              <w:rPr>
                <w:rFonts w:eastAsia="等线"/>
                <w:color w:val="000000"/>
                <w:kern w:val="0"/>
                <w:szCs w:val="21"/>
              </w:rPr>
              <w:t>2</w:t>
            </w:r>
            <w:r>
              <w:rPr>
                <w:rFonts w:hint="eastAsia" w:ascii="宋体" w:hAnsi="宋体"/>
                <w:color w:val="000000"/>
                <w:kern w:val="0"/>
                <w:szCs w:val="21"/>
              </w:rPr>
              <w:t>）允许中标人承担或控制该等诉讼的抗辩；（</w:t>
            </w:r>
            <w:r>
              <w:rPr>
                <w:rFonts w:eastAsia="等线"/>
                <w:color w:val="000000"/>
                <w:kern w:val="0"/>
                <w:szCs w:val="21"/>
              </w:rPr>
              <w:t>3</w:t>
            </w:r>
            <w:r>
              <w:rPr>
                <w:rFonts w:hint="eastAsia" w:ascii="宋体" w:hAnsi="宋体"/>
                <w:color w:val="000000"/>
                <w:kern w:val="0"/>
                <w:szCs w:val="21"/>
              </w:rPr>
              <w:t>）提供中标人为进行抗辩而合理要求的所有信息和协助。</w:t>
            </w:r>
          </w:p>
        </w:tc>
        <w:tc>
          <w:tcPr>
            <w:tcW w:w="1596" w:type="dxa"/>
            <w:noWrap/>
            <w:vAlign w:val="center"/>
          </w:tcPr>
          <w:p w14:paraId="78697D58">
            <w:pPr>
              <w:widowControl/>
              <w:rPr>
                <w:rFonts w:hint="eastAsia" w:eastAsia="等线"/>
                <w:color w:val="000000"/>
                <w:kern w:val="0"/>
                <w:szCs w:val="21"/>
              </w:rPr>
            </w:pPr>
          </w:p>
        </w:tc>
        <w:tc>
          <w:tcPr>
            <w:tcW w:w="1152" w:type="dxa"/>
            <w:noWrap/>
            <w:vAlign w:val="center"/>
          </w:tcPr>
          <w:p w14:paraId="7967C82D">
            <w:pPr>
              <w:widowControl/>
              <w:rPr>
                <w:rFonts w:hint="eastAsia" w:eastAsia="等线"/>
                <w:color w:val="000000"/>
                <w:kern w:val="0"/>
                <w:szCs w:val="21"/>
              </w:rPr>
            </w:pPr>
          </w:p>
        </w:tc>
        <w:tc>
          <w:tcPr>
            <w:tcW w:w="720" w:type="dxa"/>
            <w:noWrap/>
            <w:vAlign w:val="center"/>
          </w:tcPr>
          <w:p w14:paraId="5CD44406">
            <w:pPr>
              <w:widowControl/>
              <w:rPr>
                <w:rFonts w:hint="eastAsia" w:eastAsia="等线"/>
                <w:color w:val="000000"/>
                <w:kern w:val="0"/>
                <w:szCs w:val="21"/>
              </w:rPr>
            </w:pPr>
          </w:p>
        </w:tc>
      </w:tr>
      <w:tr w14:paraId="2119A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2ADFA030">
            <w:pPr>
              <w:widowControl/>
              <w:jc w:val="center"/>
              <w:rPr>
                <w:rFonts w:eastAsia="等线"/>
                <w:color w:val="000000"/>
                <w:kern w:val="0"/>
                <w:szCs w:val="21"/>
              </w:rPr>
            </w:pPr>
          </w:p>
        </w:tc>
        <w:tc>
          <w:tcPr>
            <w:tcW w:w="1008" w:type="dxa"/>
            <w:vMerge w:val="continue"/>
            <w:vAlign w:val="center"/>
          </w:tcPr>
          <w:p w14:paraId="1BFEAB48">
            <w:pPr>
              <w:widowControl/>
              <w:jc w:val="center"/>
              <w:rPr>
                <w:rFonts w:eastAsia="等线"/>
                <w:color w:val="000000"/>
                <w:kern w:val="0"/>
                <w:szCs w:val="21"/>
              </w:rPr>
            </w:pPr>
          </w:p>
        </w:tc>
        <w:tc>
          <w:tcPr>
            <w:tcW w:w="3540" w:type="dxa"/>
            <w:noWrap/>
            <w:vAlign w:val="center"/>
          </w:tcPr>
          <w:p w14:paraId="083E3FA3">
            <w:pPr>
              <w:widowControl/>
              <w:rPr>
                <w:rFonts w:eastAsia="等线"/>
                <w:color w:val="000000"/>
                <w:kern w:val="0"/>
                <w:szCs w:val="21"/>
              </w:rPr>
            </w:pPr>
            <w:r>
              <w:rPr>
                <w:rFonts w:hint="eastAsia" w:eastAsia="等线"/>
                <w:color w:val="000000"/>
                <w:kern w:val="0"/>
                <w:szCs w:val="21"/>
              </w:rPr>
              <w:t>6</w:t>
            </w:r>
            <w:r>
              <w:rPr>
                <w:rFonts w:eastAsia="等线"/>
                <w:color w:val="000000"/>
                <w:kern w:val="0"/>
                <w:szCs w:val="21"/>
              </w:rPr>
              <w:t xml:space="preserve">.3 </w:t>
            </w:r>
            <w:r>
              <w:rPr>
                <w:rFonts w:hint="eastAsia" w:ascii="宋体" w:hAnsi="宋体"/>
                <w:color w:val="000000"/>
                <w:kern w:val="0"/>
                <w:szCs w:val="21"/>
              </w:rPr>
              <w:t>若产品的使用被具有管辖权的法院终局判决认定为侵权并被下达禁令，采购人有权要求中标人自费采取以下措施：（</w:t>
            </w:r>
            <w:r>
              <w:rPr>
                <w:rFonts w:eastAsia="等线"/>
                <w:color w:val="000000"/>
                <w:kern w:val="0"/>
                <w:szCs w:val="21"/>
              </w:rPr>
              <w:t>1</w:t>
            </w:r>
            <w:r>
              <w:rPr>
                <w:rFonts w:hint="eastAsia" w:ascii="宋体" w:hAnsi="宋体"/>
                <w:color w:val="000000"/>
                <w:kern w:val="0"/>
                <w:szCs w:val="21"/>
              </w:rPr>
              <w:t>）获取采购人继续使用该产品的权利；（</w:t>
            </w:r>
            <w:r>
              <w:rPr>
                <w:rFonts w:eastAsia="等线"/>
                <w:color w:val="000000"/>
                <w:kern w:val="0"/>
                <w:szCs w:val="21"/>
              </w:rPr>
              <w:t>2</w:t>
            </w:r>
            <w:r>
              <w:rPr>
                <w:rFonts w:hint="eastAsia" w:ascii="宋体" w:hAnsi="宋体"/>
                <w:color w:val="000000"/>
                <w:kern w:val="0"/>
                <w:szCs w:val="21"/>
              </w:rPr>
              <w:t>）以非侵权产品替代；（</w:t>
            </w:r>
            <w:r>
              <w:rPr>
                <w:rFonts w:eastAsia="等线"/>
                <w:color w:val="000000"/>
                <w:kern w:val="0"/>
                <w:szCs w:val="21"/>
              </w:rPr>
              <w:t>3</w:t>
            </w:r>
            <w:r>
              <w:rPr>
                <w:rFonts w:hint="eastAsia" w:ascii="宋体" w:hAnsi="宋体"/>
                <w:color w:val="000000"/>
                <w:kern w:val="0"/>
                <w:szCs w:val="21"/>
              </w:rPr>
              <w:t>）修改产品使其成为非侵权产品；（</w:t>
            </w:r>
            <w:r>
              <w:rPr>
                <w:rFonts w:eastAsia="等线"/>
                <w:color w:val="000000"/>
                <w:kern w:val="0"/>
                <w:szCs w:val="21"/>
              </w:rPr>
              <w:t>4</w:t>
            </w:r>
            <w:r>
              <w:rPr>
                <w:rFonts w:hint="eastAsia" w:ascii="宋体" w:hAnsi="宋体"/>
                <w:color w:val="000000"/>
                <w:kern w:val="0"/>
                <w:szCs w:val="21"/>
              </w:rPr>
              <w:t>）拆除产品并向采购人退还所有已付款项，并赔偿采购人因此遭受的所有直接损失。</w:t>
            </w:r>
          </w:p>
        </w:tc>
        <w:tc>
          <w:tcPr>
            <w:tcW w:w="1596" w:type="dxa"/>
            <w:noWrap/>
            <w:vAlign w:val="center"/>
          </w:tcPr>
          <w:p w14:paraId="73BF2107">
            <w:pPr>
              <w:widowControl/>
              <w:rPr>
                <w:rFonts w:hint="eastAsia" w:eastAsia="等线"/>
                <w:color w:val="000000"/>
                <w:kern w:val="0"/>
                <w:szCs w:val="21"/>
              </w:rPr>
            </w:pPr>
          </w:p>
        </w:tc>
        <w:tc>
          <w:tcPr>
            <w:tcW w:w="1152" w:type="dxa"/>
            <w:noWrap/>
            <w:vAlign w:val="center"/>
          </w:tcPr>
          <w:p w14:paraId="781BA8C5">
            <w:pPr>
              <w:widowControl/>
              <w:rPr>
                <w:rFonts w:hint="eastAsia" w:eastAsia="等线"/>
                <w:color w:val="000000"/>
                <w:kern w:val="0"/>
                <w:szCs w:val="21"/>
              </w:rPr>
            </w:pPr>
          </w:p>
        </w:tc>
        <w:tc>
          <w:tcPr>
            <w:tcW w:w="720" w:type="dxa"/>
            <w:noWrap/>
            <w:vAlign w:val="center"/>
          </w:tcPr>
          <w:p w14:paraId="1B26A90D">
            <w:pPr>
              <w:widowControl/>
              <w:rPr>
                <w:rFonts w:hint="eastAsia" w:eastAsia="等线"/>
                <w:color w:val="000000"/>
                <w:kern w:val="0"/>
                <w:szCs w:val="21"/>
              </w:rPr>
            </w:pPr>
          </w:p>
        </w:tc>
      </w:tr>
      <w:tr w14:paraId="4132F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1384A820">
            <w:pPr>
              <w:widowControl/>
              <w:jc w:val="center"/>
              <w:rPr>
                <w:rFonts w:hint="eastAsia" w:ascii="宋体" w:hAnsi="宋体" w:cs="宋体"/>
                <w:color w:val="000000"/>
                <w:kern w:val="0"/>
                <w:szCs w:val="21"/>
              </w:rPr>
            </w:pPr>
            <w:r>
              <w:rPr>
                <w:rFonts w:hint="eastAsia" w:ascii="宋体" w:hAnsi="宋体" w:cs="宋体"/>
                <w:color w:val="000000"/>
                <w:kern w:val="0"/>
                <w:szCs w:val="21"/>
              </w:rPr>
              <w:t>7</w:t>
            </w:r>
          </w:p>
        </w:tc>
        <w:tc>
          <w:tcPr>
            <w:tcW w:w="1008" w:type="dxa"/>
            <w:vMerge w:val="restart"/>
            <w:vAlign w:val="center"/>
          </w:tcPr>
          <w:p w14:paraId="7E5FD808">
            <w:pPr>
              <w:widowControl/>
              <w:jc w:val="center"/>
              <w:rPr>
                <w:rFonts w:hint="eastAsia" w:ascii="宋体" w:hAnsi="宋体" w:cs="宋体"/>
                <w:color w:val="000000"/>
                <w:kern w:val="0"/>
                <w:szCs w:val="21"/>
              </w:rPr>
            </w:pPr>
            <w:r>
              <w:rPr>
                <w:rFonts w:hint="eastAsia" w:ascii="宋体" w:hAnsi="宋体"/>
                <w:b/>
                <w:bCs/>
                <w:color w:val="000000"/>
                <w:kern w:val="0"/>
                <w:szCs w:val="21"/>
              </w:rPr>
              <w:t>违约责任</w:t>
            </w:r>
          </w:p>
        </w:tc>
        <w:tc>
          <w:tcPr>
            <w:tcW w:w="3540" w:type="dxa"/>
            <w:noWrap/>
            <w:vAlign w:val="center"/>
          </w:tcPr>
          <w:p w14:paraId="2482E01C">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7</w:t>
            </w:r>
            <w:r>
              <w:rPr>
                <w:color w:val="000000"/>
                <w:kern w:val="0"/>
                <w:szCs w:val="21"/>
              </w:rPr>
              <w:t>.1</w:t>
            </w:r>
            <w:r>
              <w:rPr>
                <w:rFonts w:hint="eastAsia" w:ascii="宋体" w:hAnsi="宋体" w:cs="宋体"/>
                <w:color w:val="000000"/>
                <w:kern w:val="0"/>
                <w:szCs w:val="21"/>
              </w:rPr>
              <w:t>如中标人不能按合同规定的时间交货，且该延迟完全由中标人原因所致，采购人同意接受延迟交货并给予中标人</w:t>
            </w:r>
            <w:r>
              <w:rPr>
                <w:color w:val="000000"/>
                <w:kern w:val="0"/>
                <w:szCs w:val="21"/>
              </w:rPr>
              <w:t>3</w:t>
            </w:r>
            <w:r>
              <w:rPr>
                <w:rFonts w:hint="eastAsia" w:ascii="宋体" w:hAnsi="宋体" w:cs="宋体"/>
                <w:color w:val="000000"/>
                <w:kern w:val="0"/>
                <w:szCs w:val="21"/>
              </w:rPr>
              <w:t>个月宽限期。如中标人延迟超过该宽限期，中标人应支付违约金。该违约金应按超过宽限期届满后每天按延迟交付所涉货物总价值的</w:t>
            </w:r>
            <w:r>
              <w:rPr>
                <w:color w:val="000000"/>
                <w:kern w:val="0"/>
                <w:szCs w:val="21"/>
              </w:rPr>
              <w:t>0.1%</w:t>
            </w:r>
            <w:r>
              <w:rPr>
                <w:rFonts w:hint="eastAsia" w:ascii="宋体" w:hAnsi="宋体" w:cs="宋体"/>
                <w:color w:val="000000"/>
                <w:kern w:val="0"/>
                <w:szCs w:val="21"/>
              </w:rPr>
              <w:t>计算。但违约金总额不超过投标总价的百分之五（</w:t>
            </w:r>
            <w:r>
              <w:rPr>
                <w:color w:val="000000"/>
                <w:kern w:val="0"/>
                <w:szCs w:val="21"/>
              </w:rPr>
              <w:t>5%</w:t>
            </w:r>
            <w:r>
              <w:rPr>
                <w:rFonts w:hint="eastAsia" w:ascii="宋体" w:hAnsi="宋体" w:cs="宋体"/>
                <w:color w:val="000000"/>
                <w:kern w:val="0"/>
                <w:szCs w:val="21"/>
              </w:rPr>
              <w:t>）。</w:t>
            </w:r>
          </w:p>
        </w:tc>
        <w:tc>
          <w:tcPr>
            <w:tcW w:w="1596" w:type="dxa"/>
            <w:noWrap/>
            <w:vAlign w:val="center"/>
          </w:tcPr>
          <w:p w14:paraId="05C9A340">
            <w:pPr>
              <w:widowControl/>
              <w:rPr>
                <w:rFonts w:hint="eastAsia" w:ascii="宋体" w:hAnsi="宋体" w:cs="宋体"/>
                <w:color w:val="000000"/>
                <w:kern w:val="0"/>
                <w:szCs w:val="21"/>
              </w:rPr>
            </w:pPr>
          </w:p>
        </w:tc>
        <w:tc>
          <w:tcPr>
            <w:tcW w:w="1152" w:type="dxa"/>
            <w:noWrap/>
            <w:vAlign w:val="center"/>
          </w:tcPr>
          <w:p w14:paraId="786E38A6">
            <w:pPr>
              <w:widowControl/>
              <w:rPr>
                <w:rFonts w:hint="eastAsia" w:ascii="宋体" w:hAnsi="宋体" w:cs="宋体"/>
                <w:color w:val="000000"/>
                <w:kern w:val="0"/>
                <w:szCs w:val="21"/>
              </w:rPr>
            </w:pPr>
          </w:p>
        </w:tc>
        <w:tc>
          <w:tcPr>
            <w:tcW w:w="720" w:type="dxa"/>
            <w:noWrap/>
            <w:vAlign w:val="center"/>
          </w:tcPr>
          <w:p w14:paraId="4EEC5B29">
            <w:pPr>
              <w:widowControl/>
              <w:rPr>
                <w:rFonts w:hint="eastAsia" w:ascii="宋体" w:hAnsi="宋体" w:cs="宋体"/>
                <w:color w:val="000000"/>
                <w:kern w:val="0"/>
                <w:szCs w:val="21"/>
              </w:rPr>
            </w:pPr>
          </w:p>
        </w:tc>
      </w:tr>
      <w:tr w14:paraId="05E3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718C5BE7">
            <w:pPr>
              <w:widowControl/>
              <w:jc w:val="center"/>
              <w:rPr>
                <w:rFonts w:hint="eastAsia" w:ascii="宋体" w:hAnsi="宋体" w:cs="宋体"/>
                <w:color w:val="000000"/>
                <w:kern w:val="0"/>
                <w:szCs w:val="21"/>
              </w:rPr>
            </w:pPr>
          </w:p>
        </w:tc>
        <w:tc>
          <w:tcPr>
            <w:tcW w:w="1008" w:type="dxa"/>
            <w:vMerge w:val="continue"/>
            <w:vAlign w:val="center"/>
          </w:tcPr>
          <w:p w14:paraId="2F8A29C9">
            <w:pPr>
              <w:widowControl/>
              <w:jc w:val="center"/>
              <w:rPr>
                <w:rFonts w:hint="eastAsia" w:ascii="宋体" w:hAnsi="宋体" w:cs="宋体"/>
                <w:color w:val="000000"/>
                <w:kern w:val="0"/>
                <w:szCs w:val="21"/>
              </w:rPr>
            </w:pPr>
          </w:p>
        </w:tc>
        <w:tc>
          <w:tcPr>
            <w:tcW w:w="3540" w:type="dxa"/>
            <w:noWrap/>
            <w:vAlign w:val="center"/>
          </w:tcPr>
          <w:p w14:paraId="2DA90E4C">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7</w:t>
            </w:r>
            <w:r>
              <w:rPr>
                <w:color w:val="000000"/>
                <w:kern w:val="0"/>
                <w:szCs w:val="21"/>
              </w:rPr>
              <w:t>.2</w:t>
            </w:r>
            <w:r>
              <w:rPr>
                <w:rFonts w:hint="eastAsia" w:ascii="宋体" w:hAnsi="宋体" w:cs="宋体"/>
                <w:color w:val="000000"/>
                <w:kern w:val="0"/>
                <w:szCs w:val="21"/>
              </w:rPr>
              <w:t>如中标人交货延迟超过合同交货期限</w:t>
            </w:r>
            <w:r>
              <w:rPr>
                <w:color w:val="000000"/>
                <w:kern w:val="0"/>
                <w:szCs w:val="21"/>
              </w:rPr>
              <w:t>5</w:t>
            </w:r>
            <w:r>
              <w:rPr>
                <w:rFonts w:hint="eastAsia" w:ascii="宋体" w:hAnsi="宋体" w:cs="宋体"/>
                <w:color w:val="000000"/>
                <w:kern w:val="0"/>
                <w:szCs w:val="21"/>
              </w:rPr>
              <w:t>个月，采购人和中标人可进一步协商确定合理的宽限期，相关违约金按相关所涉货物总价值的的</w:t>
            </w:r>
            <w:r>
              <w:rPr>
                <w:color w:val="000000"/>
                <w:kern w:val="0"/>
                <w:szCs w:val="21"/>
              </w:rPr>
              <w:t>0.1%</w:t>
            </w:r>
            <w:r>
              <w:rPr>
                <w:rFonts w:hint="eastAsia" w:ascii="宋体" w:hAnsi="宋体" w:cs="宋体"/>
                <w:color w:val="000000"/>
                <w:kern w:val="0"/>
                <w:szCs w:val="21"/>
              </w:rPr>
              <w:t>每日历日计算，最高不超过合同总价的百分之五（</w:t>
            </w:r>
            <w:r>
              <w:rPr>
                <w:color w:val="000000"/>
                <w:kern w:val="0"/>
                <w:szCs w:val="21"/>
              </w:rPr>
              <w:t>5%</w:t>
            </w:r>
            <w:r>
              <w:rPr>
                <w:rFonts w:hint="eastAsia" w:ascii="宋体" w:hAnsi="宋体" w:cs="宋体"/>
                <w:color w:val="000000"/>
                <w:kern w:val="0"/>
                <w:szCs w:val="21"/>
              </w:rPr>
              <w:t>）。如中标人在双方协商的额外宽限期届满后仍未交付货物，或采购人和中标人未就该额外宽限期达成一致，则该事项应由采购人和中标人协商解决。</w:t>
            </w:r>
          </w:p>
        </w:tc>
        <w:tc>
          <w:tcPr>
            <w:tcW w:w="1596" w:type="dxa"/>
            <w:noWrap/>
            <w:vAlign w:val="center"/>
          </w:tcPr>
          <w:p w14:paraId="0EF96EE0">
            <w:pPr>
              <w:widowControl/>
              <w:rPr>
                <w:rFonts w:hint="eastAsia" w:ascii="宋体" w:hAnsi="宋体" w:cs="宋体"/>
                <w:color w:val="000000"/>
                <w:kern w:val="0"/>
                <w:szCs w:val="21"/>
              </w:rPr>
            </w:pPr>
          </w:p>
        </w:tc>
        <w:tc>
          <w:tcPr>
            <w:tcW w:w="1152" w:type="dxa"/>
            <w:noWrap/>
            <w:vAlign w:val="center"/>
          </w:tcPr>
          <w:p w14:paraId="083D7077">
            <w:pPr>
              <w:widowControl/>
              <w:rPr>
                <w:rFonts w:hint="eastAsia" w:ascii="宋体" w:hAnsi="宋体" w:cs="宋体"/>
                <w:color w:val="000000"/>
                <w:kern w:val="0"/>
                <w:szCs w:val="21"/>
              </w:rPr>
            </w:pPr>
          </w:p>
        </w:tc>
        <w:tc>
          <w:tcPr>
            <w:tcW w:w="720" w:type="dxa"/>
            <w:noWrap/>
            <w:vAlign w:val="center"/>
          </w:tcPr>
          <w:p w14:paraId="395B3724">
            <w:pPr>
              <w:widowControl/>
              <w:rPr>
                <w:rFonts w:hint="eastAsia" w:ascii="宋体" w:hAnsi="宋体" w:cs="宋体"/>
                <w:color w:val="000000"/>
                <w:kern w:val="0"/>
                <w:szCs w:val="21"/>
              </w:rPr>
            </w:pPr>
          </w:p>
        </w:tc>
      </w:tr>
      <w:tr w14:paraId="7CEC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3959CA9B">
            <w:pPr>
              <w:widowControl/>
              <w:jc w:val="center"/>
              <w:rPr>
                <w:rFonts w:hint="eastAsia" w:ascii="宋体" w:hAnsi="宋体" w:cs="宋体"/>
                <w:color w:val="000000"/>
                <w:kern w:val="0"/>
                <w:szCs w:val="21"/>
              </w:rPr>
            </w:pPr>
          </w:p>
        </w:tc>
        <w:tc>
          <w:tcPr>
            <w:tcW w:w="1008" w:type="dxa"/>
            <w:vMerge w:val="continue"/>
            <w:vAlign w:val="center"/>
          </w:tcPr>
          <w:p w14:paraId="44551A99">
            <w:pPr>
              <w:widowControl/>
              <w:jc w:val="center"/>
              <w:rPr>
                <w:rFonts w:hint="eastAsia" w:ascii="宋体" w:hAnsi="宋体" w:cs="宋体"/>
                <w:color w:val="000000"/>
                <w:kern w:val="0"/>
                <w:szCs w:val="21"/>
              </w:rPr>
            </w:pPr>
          </w:p>
        </w:tc>
        <w:tc>
          <w:tcPr>
            <w:tcW w:w="3540" w:type="dxa"/>
            <w:noWrap/>
            <w:vAlign w:val="center"/>
          </w:tcPr>
          <w:p w14:paraId="43F5496E">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7</w:t>
            </w:r>
            <w:r>
              <w:rPr>
                <w:color w:val="000000"/>
                <w:kern w:val="0"/>
                <w:szCs w:val="21"/>
              </w:rPr>
              <w:t>.3</w:t>
            </w:r>
            <w:r>
              <w:rPr>
                <w:rFonts w:hint="eastAsia" w:ascii="宋体" w:hAnsi="宋体" w:cs="宋体"/>
                <w:color w:val="000000"/>
                <w:kern w:val="0"/>
                <w:szCs w:val="21"/>
              </w:rPr>
              <w:t>由于超出中标人合理控制的原因造成延期交货，如发生不可抗力事件、出口限制或采购人延迟付款，中标人不承担迟交货罚款。由于采购人的原因导致中标人不能按时交货或安装，因此造成的仓储费用另行约定。</w:t>
            </w:r>
          </w:p>
        </w:tc>
        <w:tc>
          <w:tcPr>
            <w:tcW w:w="1596" w:type="dxa"/>
            <w:noWrap/>
            <w:vAlign w:val="center"/>
          </w:tcPr>
          <w:p w14:paraId="1918F8CC">
            <w:pPr>
              <w:widowControl/>
              <w:rPr>
                <w:rFonts w:hint="eastAsia" w:ascii="宋体" w:hAnsi="宋体" w:cs="宋体"/>
                <w:color w:val="000000"/>
                <w:kern w:val="0"/>
                <w:szCs w:val="21"/>
              </w:rPr>
            </w:pPr>
          </w:p>
        </w:tc>
        <w:tc>
          <w:tcPr>
            <w:tcW w:w="1152" w:type="dxa"/>
            <w:noWrap/>
            <w:vAlign w:val="center"/>
          </w:tcPr>
          <w:p w14:paraId="5637000C">
            <w:pPr>
              <w:widowControl/>
              <w:rPr>
                <w:rFonts w:hint="eastAsia" w:ascii="宋体" w:hAnsi="宋体" w:cs="宋体"/>
                <w:color w:val="000000"/>
                <w:kern w:val="0"/>
                <w:szCs w:val="21"/>
              </w:rPr>
            </w:pPr>
          </w:p>
        </w:tc>
        <w:tc>
          <w:tcPr>
            <w:tcW w:w="720" w:type="dxa"/>
            <w:noWrap/>
            <w:vAlign w:val="center"/>
          </w:tcPr>
          <w:p w14:paraId="73027C9E">
            <w:pPr>
              <w:widowControl/>
              <w:rPr>
                <w:rFonts w:hint="eastAsia" w:ascii="宋体" w:hAnsi="宋体" w:cs="宋体"/>
                <w:color w:val="000000"/>
                <w:kern w:val="0"/>
                <w:szCs w:val="21"/>
              </w:rPr>
            </w:pPr>
          </w:p>
        </w:tc>
      </w:tr>
      <w:tr w14:paraId="42C6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1AC10506">
            <w:pPr>
              <w:widowControl/>
              <w:jc w:val="center"/>
              <w:rPr>
                <w:rFonts w:hint="eastAsia" w:ascii="宋体" w:hAnsi="宋体" w:cs="宋体"/>
                <w:color w:val="000000"/>
                <w:kern w:val="0"/>
                <w:szCs w:val="21"/>
              </w:rPr>
            </w:pPr>
          </w:p>
        </w:tc>
        <w:tc>
          <w:tcPr>
            <w:tcW w:w="1008" w:type="dxa"/>
            <w:vMerge w:val="continue"/>
            <w:vAlign w:val="center"/>
          </w:tcPr>
          <w:p w14:paraId="077103B2">
            <w:pPr>
              <w:widowControl/>
              <w:jc w:val="center"/>
              <w:rPr>
                <w:rFonts w:hint="eastAsia" w:ascii="宋体" w:hAnsi="宋体" w:cs="宋体"/>
                <w:color w:val="000000"/>
                <w:kern w:val="0"/>
                <w:szCs w:val="21"/>
              </w:rPr>
            </w:pPr>
          </w:p>
        </w:tc>
        <w:tc>
          <w:tcPr>
            <w:tcW w:w="3540" w:type="dxa"/>
            <w:noWrap/>
            <w:vAlign w:val="center"/>
          </w:tcPr>
          <w:p w14:paraId="26EA6632">
            <w:pPr>
              <w:widowControl/>
              <w:rPr>
                <w:rFonts w:hint="eastAsia" w:ascii="宋体" w:hAnsi="宋体" w:cs="宋体"/>
                <w:color w:val="000000"/>
                <w:kern w:val="0"/>
                <w:szCs w:val="21"/>
              </w:rPr>
            </w:pPr>
            <w:r>
              <w:rPr>
                <w:rFonts w:hint="eastAsia" w:ascii="宋体" w:hAnsi="宋体" w:cs="宋体"/>
                <w:color w:val="000000"/>
                <w:kern w:val="0"/>
                <w:szCs w:val="21"/>
              </w:rPr>
              <w:t>▲</w:t>
            </w:r>
            <w:r>
              <w:rPr>
                <w:rFonts w:hint="eastAsia"/>
                <w:color w:val="000000"/>
                <w:kern w:val="0"/>
                <w:szCs w:val="21"/>
              </w:rPr>
              <w:t>7</w:t>
            </w:r>
            <w:r>
              <w:rPr>
                <w:color w:val="000000"/>
                <w:kern w:val="0"/>
                <w:szCs w:val="21"/>
              </w:rPr>
              <w:t xml:space="preserve">.4 </w:t>
            </w:r>
            <w:r>
              <w:rPr>
                <w:rFonts w:hint="eastAsia" w:ascii="宋体" w:hAnsi="宋体" w:cs="宋体"/>
                <w:color w:val="000000"/>
                <w:kern w:val="0"/>
                <w:szCs w:val="21"/>
              </w:rPr>
              <w:t>若在现场验收测试中取得的任一项性能指标未能达到采购文件要求、投标文件响应以及招标后签署的合同技术文件约定响应的保证值的</w:t>
            </w:r>
            <w:r>
              <w:rPr>
                <w:color w:val="000000"/>
                <w:kern w:val="0"/>
                <w:szCs w:val="21"/>
              </w:rPr>
              <w:t xml:space="preserve">97% </w:t>
            </w:r>
            <w:r>
              <w:rPr>
                <w:rFonts w:hint="eastAsia" w:ascii="宋体" w:hAnsi="宋体" w:cs="宋体"/>
                <w:color w:val="000000"/>
                <w:kern w:val="0"/>
                <w:szCs w:val="21"/>
              </w:rPr>
              <w:t>，则构成对本合同的重大违约。在此情况下，采购人有权自行选择行使以下救济权利：</w:t>
            </w:r>
            <w:r>
              <w:rPr>
                <w:color w:val="000000"/>
                <w:kern w:val="0"/>
                <w:szCs w:val="21"/>
              </w:rPr>
              <w:t xml:space="preserve">(a) </w:t>
            </w:r>
            <w:r>
              <w:rPr>
                <w:rFonts w:hint="eastAsia" w:ascii="宋体" w:hAnsi="宋体" w:cs="宋体"/>
                <w:color w:val="000000"/>
                <w:kern w:val="0"/>
                <w:szCs w:val="21"/>
              </w:rPr>
              <w:t>单方解除本合同。合同解除后，中标人应退还采购人就货物已支付的所有款项中超出截至终止前因合法且已完成履行而应得的无争议金额的部分及相应利息，并赔偿采购人因此遭受的损失；或</w:t>
            </w:r>
            <w:r>
              <w:rPr>
                <w:color w:val="000000"/>
                <w:kern w:val="0"/>
                <w:szCs w:val="21"/>
              </w:rPr>
              <w:t xml:space="preserve">(b) </w:t>
            </w:r>
            <w:r>
              <w:rPr>
                <w:rFonts w:hint="eastAsia" w:ascii="宋体" w:hAnsi="宋体" w:cs="宋体"/>
                <w:color w:val="000000"/>
                <w:kern w:val="0"/>
                <w:szCs w:val="21"/>
              </w:rPr>
              <w:t>要求中标人在双方共同商定的合理时间内自费消除该等缺陷（包括但不限于整改费用、运输费及重新测试费用等）。若中标人经整改后仍未能达到保证性能，但整改后至少达到保证性能的</w:t>
            </w:r>
            <w:r>
              <w:rPr>
                <w:color w:val="000000"/>
                <w:kern w:val="0"/>
                <w:szCs w:val="21"/>
              </w:rPr>
              <w:t>97%</w:t>
            </w:r>
            <w:r>
              <w:rPr>
                <w:rFonts w:hint="eastAsia" w:ascii="宋体" w:hAnsi="宋体" w:cs="宋体"/>
                <w:color w:val="000000"/>
                <w:kern w:val="0"/>
                <w:szCs w:val="21"/>
              </w:rPr>
              <w:t>，则中标人需支付违约金（违约金费率为：每低于保证值</w:t>
            </w:r>
            <w:r>
              <w:rPr>
                <w:color w:val="000000"/>
                <w:kern w:val="0"/>
                <w:szCs w:val="21"/>
              </w:rPr>
              <w:t>1%</w:t>
            </w:r>
            <w:r>
              <w:rPr>
                <w:rFonts w:hint="eastAsia" w:ascii="宋体" w:hAnsi="宋体" w:cs="宋体"/>
                <w:color w:val="000000"/>
                <w:kern w:val="0"/>
                <w:szCs w:val="21"/>
              </w:rPr>
              <w:t>（按完整百分点计算），支付相应合同金额的</w:t>
            </w:r>
            <w:r>
              <w:rPr>
                <w:color w:val="000000"/>
                <w:kern w:val="0"/>
                <w:szCs w:val="21"/>
              </w:rPr>
              <w:t>1%</w:t>
            </w:r>
            <w:r>
              <w:rPr>
                <w:rFonts w:hint="eastAsia" w:ascii="宋体" w:hAnsi="宋体" w:cs="宋体"/>
                <w:color w:val="000000"/>
                <w:kern w:val="0"/>
                <w:szCs w:val="21"/>
              </w:rPr>
              <w:t>。针对各项性能指标的违约金总额不得超过相关合同金额的</w:t>
            </w:r>
            <w:r>
              <w:rPr>
                <w:color w:val="000000"/>
                <w:kern w:val="0"/>
                <w:szCs w:val="21"/>
              </w:rPr>
              <w:t>3%</w:t>
            </w:r>
            <w:r>
              <w:rPr>
                <w:rFonts w:hint="eastAsia" w:ascii="宋体" w:hAnsi="宋体" w:cs="宋体"/>
                <w:color w:val="000000"/>
                <w:kern w:val="0"/>
                <w:szCs w:val="21"/>
              </w:rPr>
              <w:t>。）。如中标人在整改后仍未至少达到保证性能的</w:t>
            </w:r>
            <w:r>
              <w:rPr>
                <w:color w:val="000000"/>
                <w:kern w:val="0"/>
                <w:szCs w:val="21"/>
              </w:rPr>
              <w:t>97%</w:t>
            </w:r>
            <w:r>
              <w:rPr>
                <w:rFonts w:hint="eastAsia" w:ascii="宋体" w:hAnsi="宋体" w:cs="宋体"/>
                <w:color w:val="000000"/>
                <w:kern w:val="0"/>
                <w:szCs w:val="21"/>
              </w:rPr>
              <w:t>，采购人应有权单方解除本合同，并要求中标人退还超出截至终止前因合法且已完成履行而应得的无争议金额的所有已付款项，并赔偿损失。</w:t>
            </w:r>
          </w:p>
        </w:tc>
        <w:tc>
          <w:tcPr>
            <w:tcW w:w="1596" w:type="dxa"/>
            <w:noWrap/>
            <w:vAlign w:val="center"/>
          </w:tcPr>
          <w:p w14:paraId="4068F5AC">
            <w:pPr>
              <w:widowControl/>
              <w:rPr>
                <w:rFonts w:hint="eastAsia" w:ascii="宋体" w:hAnsi="宋体" w:cs="宋体"/>
                <w:color w:val="000000"/>
                <w:kern w:val="0"/>
                <w:szCs w:val="21"/>
              </w:rPr>
            </w:pPr>
          </w:p>
        </w:tc>
        <w:tc>
          <w:tcPr>
            <w:tcW w:w="1152" w:type="dxa"/>
            <w:noWrap/>
            <w:vAlign w:val="center"/>
          </w:tcPr>
          <w:p w14:paraId="4FD1108B">
            <w:pPr>
              <w:widowControl/>
              <w:rPr>
                <w:rFonts w:hint="eastAsia" w:ascii="宋体" w:hAnsi="宋体" w:cs="宋体"/>
                <w:color w:val="000000"/>
                <w:kern w:val="0"/>
                <w:szCs w:val="21"/>
              </w:rPr>
            </w:pPr>
          </w:p>
        </w:tc>
        <w:tc>
          <w:tcPr>
            <w:tcW w:w="720" w:type="dxa"/>
            <w:noWrap/>
            <w:vAlign w:val="center"/>
          </w:tcPr>
          <w:p w14:paraId="4C4C6426">
            <w:pPr>
              <w:widowControl/>
              <w:rPr>
                <w:rFonts w:hint="eastAsia" w:ascii="宋体" w:hAnsi="宋体" w:cs="宋体"/>
                <w:color w:val="000000"/>
                <w:kern w:val="0"/>
                <w:szCs w:val="21"/>
              </w:rPr>
            </w:pPr>
          </w:p>
        </w:tc>
      </w:tr>
      <w:tr w14:paraId="28B4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475" w:type="dxa"/>
            <w:vMerge w:val="continue"/>
            <w:vAlign w:val="center"/>
          </w:tcPr>
          <w:p w14:paraId="57511F28">
            <w:pPr>
              <w:widowControl/>
              <w:jc w:val="center"/>
              <w:rPr>
                <w:rFonts w:eastAsia="等线"/>
                <w:color w:val="000000"/>
                <w:kern w:val="0"/>
                <w:szCs w:val="21"/>
              </w:rPr>
            </w:pPr>
          </w:p>
        </w:tc>
        <w:tc>
          <w:tcPr>
            <w:tcW w:w="1008" w:type="dxa"/>
            <w:vMerge w:val="continue"/>
            <w:vAlign w:val="center"/>
          </w:tcPr>
          <w:p w14:paraId="3A7FAAFC">
            <w:pPr>
              <w:widowControl/>
              <w:jc w:val="center"/>
              <w:rPr>
                <w:rFonts w:eastAsia="等线"/>
                <w:color w:val="000000"/>
                <w:kern w:val="0"/>
                <w:szCs w:val="21"/>
              </w:rPr>
            </w:pPr>
          </w:p>
        </w:tc>
        <w:tc>
          <w:tcPr>
            <w:tcW w:w="3540" w:type="dxa"/>
            <w:noWrap/>
            <w:vAlign w:val="center"/>
          </w:tcPr>
          <w:p w14:paraId="29184D1C">
            <w:pPr>
              <w:widowControl/>
              <w:rPr>
                <w:rFonts w:eastAsia="等线"/>
                <w:color w:val="000000"/>
                <w:kern w:val="0"/>
                <w:szCs w:val="21"/>
              </w:rPr>
            </w:pPr>
            <w:r>
              <w:rPr>
                <w:rFonts w:hint="eastAsia" w:eastAsia="等线"/>
                <w:color w:val="000000"/>
                <w:kern w:val="0"/>
                <w:szCs w:val="21"/>
              </w:rPr>
              <w:t>7</w:t>
            </w:r>
            <w:r>
              <w:rPr>
                <w:rFonts w:eastAsia="等线"/>
                <w:color w:val="000000"/>
                <w:kern w:val="0"/>
                <w:szCs w:val="21"/>
              </w:rPr>
              <w:t xml:space="preserve">.5 </w:t>
            </w:r>
            <w:r>
              <w:rPr>
                <w:rFonts w:hint="eastAsia" w:ascii="宋体" w:hAnsi="宋体"/>
                <w:color w:val="000000"/>
                <w:kern w:val="0"/>
                <w:szCs w:val="21"/>
              </w:rPr>
              <w:t>如违约方严重违反本合同的重大条款或条件，守约方有权在收到守约方书面通知后的三十天内发出书面通知终止本合同，前提是违约方在收到守约方书面通知后未在规定期限内作出补救，该期限不得少于九十天。</w:t>
            </w:r>
          </w:p>
        </w:tc>
        <w:tc>
          <w:tcPr>
            <w:tcW w:w="1596" w:type="dxa"/>
            <w:noWrap/>
            <w:vAlign w:val="center"/>
          </w:tcPr>
          <w:p w14:paraId="36196B7F">
            <w:pPr>
              <w:widowControl/>
              <w:rPr>
                <w:rFonts w:hint="eastAsia" w:eastAsia="等线"/>
                <w:color w:val="000000"/>
                <w:kern w:val="0"/>
                <w:szCs w:val="21"/>
              </w:rPr>
            </w:pPr>
          </w:p>
        </w:tc>
        <w:tc>
          <w:tcPr>
            <w:tcW w:w="1152" w:type="dxa"/>
            <w:noWrap/>
            <w:vAlign w:val="center"/>
          </w:tcPr>
          <w:p w14:paraId="1773AB48">
            <w:pPr>
              <w:widowControl/>
              <w:rPr>
                <w:rFonts w:hint="eastAsia" w:eastAsia="等线"/>
                <w:color w:val="000000"/>
                <w:kern w:val="0"/>
                <w:szCs w:val="21"/>
              </w:rPr>
            </w:pPr>
          </w:p>
        </w:tc>
        <w:tc>
          <w:tcPr>
            <w:tcW w:w="720" w:type="dxa"/>
            <w:noWrap/>
            <w:vAlign w:val="center"/>
          </w:tcPr>
          <w:p w14:paraId="1C00A470">
            <w:pPr>
              <w:widowControl/>
              <w:rPr>
                <w:rFonts w:hint="eastAsia" w:eastAsia="等线"/>
                <w:color w:val="000000"/>
                <w:kern w:val="0"/>
                <w:szCs w:val="21"/>
              </w:rPr>
            </w:pPr>
          </w:p>
        </w:tc>
      </w:tr>
      <w:tr w14:paraId="30E4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0A1267FA">
            <w:pPr>
              <w:widowControl/>
              <w:jc w:val="center"/>
              <w:rPr>
                <w:rFonts w:eastAsia="等线"/>
                <w:color w:val="000000"/>
                <w:kern w:val="0"/>
                <w:szCs w:val="21"/>
              </w:rPr>
            </w:pPr>
            <w:r>
              <w:rPr>
                <w:rFonts w:hint="eastAsia" w:eastAsia="等线"/>
                <w:color w:val="000000"/>
                <w:kern w:val="0"/>
                <w:szCs w:val="21"/>
              </w:rPr>
              <w:t>8</w:t>
            </w:r>
          </w:p>
        </w:tc>
        <w:tc>
          <w:tcPr>
            <w:tcW w:w="1008" w:type="dxa"/>
            <w:vMerge w:val="restart"/>
            <w:vAlign w:val="center"/>
          </w:tcPr>
          <w:p w14:paraId="7525003E">
            <w:pPr>
              <w:widowControl/>
              <w:jc w:val="center"/>
              <w:rPr>
                <w:rFonts w:eastAsia="等线"/>
                <w:color w:val="000000"/>
                <w:kern w:val="0"/>
                <w:szCs w:val="21"/>
              </w:rPr>
            </w:pPr>
            <w:r>
              <w:rPr>
                <w:rFonts w:hint="eastAsia" w:ascii="宋体" w:hAnsi="宋体"/>
                <w:b/>
                <w:bCs/>
                <w:color w:val="000000"/>
                <w:kern w:val="0"/>
                <w:szCs w:val="21"/>
              </w:rPr>
              <w:t>不可抗力</w:t>
            </w:r>
          </w:p>
        </w:tc>
        <w:tc>
          <w:tcPr>
            <w:tcW w:w="3540" w:type="dxa"/>
            <w:noWrap/>
            <w:vAlign w:val="center"/>
          </w:tcPr>
          <w:p w14:paraId="4926CA16">
            <w:pPr>
              <w:widowControl/>
              <w:rPr>
                <w:rFonts w:eastAsia="等线"/>
                <w:color w:val="000000"/>
                <w:kern w:val="0"/>
                <w:szCs w:val="21"/>
              </w:rPr>
            </w:pPr>
            <w:r>
              <w:rPr>
                <w:rFonts w:hint="eastAsia" w:eastAsia="等线"/>
                <w:color w:val="000000"/>
                <w:kern w:val="0"/>
                <w:szCs w:val="21"/>
              </w:rPr>
              <w:t>8</w:t>
            </w:r>
            <w:r>
              <w:rPr>
                <w:rFonts w:eastAsia="等线"/>
                <w:color w:val="000000"/>
                <w:kern w:val="0"/>
                <w:szCs w:val="21"/>
              </w:rPr>
              <w:t xml:space="preserve">.1 </w:t>
            </w:r>
            <w:r>
              <w:rPr>
                <w:rFonts w:hint="eastAsia" w:ascii="宋体" w:hAnsi="宋体"/>
                <w:color w:val="000000"/>
                <w:kern w:val="0"/>
                <w:szCs w:val="21"/>
              </w:rPr>
              <w:t>若因战争、地震、任何法律或法规的变更、新法律或法规的颁布，或任何政府当局的决定或行为（包括拒绝、撤销或不予续签与货物销售或制造相关的出口</w:t>
            </w:r>
            <w:r>
              <w:rPr>
                <w:rFonts w:eastAsia="等线"/>
                <w:color w:val="000000"/>
                <w:kern w:val="0"/>
                <w:szCs w:val="21"/>
              </w:rPr>
              <w:t>/</w:t>
            </w:r>
            <w:r>
              <w:rPr>
                <w:rFonts w:hint="eastAsia" w:ascii="宋体" w:hAnsi="宋体"/>
                <w:color w:val="000000"/>
                <w:kern w:val="0"/>
                <w:szCs w:val="21"/>
              </w:rPr>
              <w:t>进口许可证及其他政府授权，以及实施进出口管制、禁令、贸易制裁或海关清关限制，如涉及），以及其他超出采购人和中标人合理控制范围的原因（统称“不可抗力”），导致一方未能履行其在本合同项下的义务、延迟交付或未能交付货物，受影响的一方应在知悉该事件后立即将此等事件的发生以书面形式通知另一方，并提供相关官方证明文件，同时采取一切合理措施以减轻不可抗力事件造成的影响。在不可抗力事项得到证实后，另一方有权根据该事件对合同履行的实际影响程度，部分或全部免除受影响方的违约责任。如不可抗力事件的发生、持续或加重可归因于一方未采取合理措施减轻影响或该方的过错，则该方不得免除其在本条项下的责任，并应赔偿另一方因此遭受的损失。</w:t>
            </w:r>
          </w:p>
        </w:tc>
        <w:tc>
          <w:tcPr>
            <w:tcW w:w="1596" w:type="dxa"/>
            <w:noWrap/>
            <w:vAlign w:val="center"/>
          </w:tcPr>
          <w:p w14:paraId="74AD2156">
            <w:pPr>
              <w:widowControl/>
              <w:rPr>
                <w:rFonts w:hint="eastAsia" w:eastAsia="等线"/>
                <w:color w:val="000000"/>
                <w:kern w:val="0"/>
                <w:szCs w:val="21"/>
              </w:rPr>
            </w:pPr>
          </w:p>
        </w:tc>
        <w:tc>
          <w:tcPr>
            <w:tcW w:w="1152" w:type="dxa"/>
            <w:noWrap/>
            <w:vAlign w:val="center"/>
          </w:tcPr>
          <w:p w14:paraId="07ED47EC">
            <w:pPr>
              <w:widowControl/>
              <w:rPr>
                <w:rFonts w:hint="eastAsia" w:eastAsia="等线"/>
                <w:color w:val="000000"/>
                <w:kern w:val="0"/>
                <w:szCs w:val="21"/>
              </w:rPr>
            </w:pPr>
          </w:p>
        </w:tc>
        <w:tc>
          <w:tcPr>
            <w:tcW w:w="720" w:type="dxa"/>
            <w:noWrap/>
            <w:vAlign w:val="center"/>
          </w:tcPr>
          <w:p w14:paraId="4CDE829F">
            <w:pPr>
              <w:widowControl/>
              <w:rPr>
                <w:rFonts w:hint="eastAsia" w:eastAsia="等线"/>
                <w:color w:val="000000"/>
                <w:kern w:val="0"/>
                <w:szCs w:val="21"/>
              </w:rPr>
            </w:pPr>
          </w:p>
        </w:tc>
      </w:tr>
      <w:tr w14:paraId="4249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436DD17">
            <w:pPr>
              <w:widowControl/>
              <w:jc w:val="center"/>
              <w:rPr>
                <w:rFonts w:eastAsia="等线"/>
                <w:color w:val="000000"/>
                <w:kern w:val="0"/>
                <w:szCs w:val="21"/>
              </w:rPr>
            </w:pPr>
          </w:p>
        </w:tc>
        <w:tc>
          <w:tcPr>
            <w:tcW w:w="1008" w:type="dxa"/>
            <w:vMerge w:val="continue"/>
            <w:vAlign w:val="center"/>
          </w:tcPr>
          <w:p w14:paraId="2185FB93">
            <w:pPr>
              <w:widowControl/>
              <w:jc w:val="center"/>
              <w:rPr>
                <w:rFonts w:eastAsia="等线"/>
                <w:color w:val="000000"/>
                <w:kern w:val="0"/>
                <w:szCs w:val="21"/>
              </w:rPr>
            </w:pPr>
          </w:p>
        </w:tc>
        <w:tc>
          <w:tcPr>
            <w:tcW w:w="3540" w:type="dxa"/>
            <w:noWrap/>
            <w:vAlign w:val="center"/>
          </w:tcPr>
          <w:p w14:paraId="41444420">
            <w:pPr>
              <w:widowControl/>
              <w:rPr>
                <w:rFonts w:eastAsia="等线"/>
                <w:color w:val="000000"/>
                <w:kern w:val="0"/>
                <w:szCs w:val="21"/>
              </w:rPr>
            </w:pPr>
            <w:r>
              <w:rPr>
                <w:rFonts w:hint="eastAsia" w:eastAsia="等线"/>
                <w:color w:val="000000"/>
                <w:kern w:val="0"/>
                <w:szCs w:val="21"/>
              </w:rPr>
              <w:t>8</w:t>
            </w:r>
            <w:r>
              <w:rPr>
                <w:rFonts w:eastAsia="等线"/>
                <w:color w:val="000000"/>
                <w:kern w:val="0"/>
                <w:szCs w:val="21"/>
              </w:rPr>
              <w:t xml:space="preserve">.2 </w:t>
            </w:r>
            <w:r>
              <w:rPr>
                <w:rFonts w:hint="eastAsia" w:ascii="宋体" w:hAnsi="宋体"/>
                <w:color w:val="000000"/>
                <w:kern w:val="0"/>
                <w:szCs w:val="21"/>
              </w:rPr>
              <w:t>若不可抗力事件持续超过</w:t>
            </w:r>
            <w:r>
              <w:rPr>
                <w:rFonts w:eastAsia="等线"/>
                <w:color w:val="000000"/>
                <w:kern w:val="0"/>
                <w:szCs w:val="21"/>
              </w:rPr>
              <w:t>180</w:t>
            </w:r>
            <w:r>
              <w:rPr>
                <w:rFonts w:hint="eastAsia" w:ascii="宋体" w:hAnsi="宋体"/>
                <w:color w:val="000000"/>
                <w:kern w:val="0"/>
                <w:szCs w:val="21"/>
              </w:rPr>
              <w:t>天，任何一方均有权终止本合同。任何一方均无权就该终止向另一方主张损害赔偿、违约金或补偿。合同终止后的款项结算和货物处置应由采购人与中标人协商解决。</w:t>
            </w:r>
          </w:p>
        </w:tc>
        <w:tc>
          <w:tcPr>
            <w:tcW w:w="1596" w:type="dxa"/>
            <w:noWrap/>
            <w:vAlign w:val="center"/>
          </w:tcPr>
          <w:p w14:paraId="6632B430">
            <w:pPr>
              <w:widowControl/>
              <w:rPr>
                <w:rFonts w:hint="eastAsia" w:eastAsia="等线"/>
                <w:color w:val="000000"/>
                <w:kern w:val="0"/>
                <w:szCs w:val="21"/>
              </w:rPr>
            </w:pPr>
          </w:p>
        </w:tc>
        <w:tc>
          <w:tcPr>
            <w:tcW w:w="1152" w:type="dxa"/>
            <w:noWrap/>
            <w:vAlign w:val="center"/>
          </w:tcPr>
          <w:p w14:paraId="4C9EB054">
            <w:pPr>
              <w:widowControl/>
              <w:rPr>
                <w:rFonts w:hint="eastAsia" w:eastAsia="等线"/>
                <w:color w:val="000000"/>
                <w:kern w:val="0"/>
                <w:szCs w:val="21"/>
              </w:rPr>
            </w:pPr>
          </w:p>
        </w:tc>
        <w:tc>
          <w:tcPr>
            <w:tcW w:w="720" w:type="dxa"/>
            <w:noWrap/>
            <w:vAlign w:val="center"/>
          </w:tcPr>
          <w:p w14:paraId="276FAA13">
            <w:pPr>
              <w:widowControl/>
              <w:rPr>
                <w:rFonts w:hint="eastAsia" w:eastAsia="等线"/>
                <w:color w:val="000000"/>
                <w:kern w:val="0"/>
                <w:szCs w:val="21"/>
              </w:rPr>
            </w:pPr>
          </w:p>
        </w:tc>
      </w:tr>
      <w:tr w14:paraId="5E9E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6937093D">
            <w:pPr>
              <w:widowControl/>
              <w:jc w:val="center"/>
              <w:rPr>
                <w:rFonts w:eastAsia="等线"/>
                <w:color w:val="000000"/>
                <w:kern w:val="0"/>
                <w:szCs w:val="21"/>
              </w:rPr>
            </w:pPr>
            <w:r>
              <w:rPr>
                <w:rFonts w:hint="eastAsia" w:eastAsia="等线"/>
                <w:color w:val="000000"/>
                <w:kern w:val="0"/>
                <w:szCs w:val="21"/>
              </w:rPr>
              <w:t>9</w:t>
            </w:r>
          </w:p>
        </w:tc>
        <w:tc>
          <w:tcPr>
            <w:tcW w:w="1008" w:type="dxa"/>
            <w:vMerge w:val="restart"/>
            <w:vAlign w:val="center"/>
          </w:tcPr>
          <w:p w14:paraId="2048CE4D">
            <w:pPr>
              <w:widowControl/>
              <w:jc w:val="center"/>
              <w:rPr>
                <w:rFonts w:eastAsia="等线"/>
                <w:color w:val="000000"/>
                <w:kern w:val="0"/>
                <w:szCs w:val="21"/>
              </w:rPr>
            </w:pPr>
            <w:r>
              <w:rPr>
                <w:rFonts w:hint="eastAsia" w:ascii="宋体" w:hAnsi="宋体"/>
                <w:b/>
                <w:bCs/>
                <w:color w:val="000000"/>
                <w:kern w:val="0"/>
                <w:szCs w:val="21"/>
              </w:rPr>
              <w:t>适用法律与争议解决</w:t>
            </w:r>
          </w:p>
        </w:tc>
        <w:tc>
          <w:tcPr>
            <w:tcW w:w="3540" w:type="dxa"/>
            <w:noWrap/>
            <w:vAlign w:val="center"/>
          </w:tcPr>
          <w:p w14:paraId="0B1BC59A">
            <w:pPr>
              <w:widowControl/>
              <w:rPr>
                <w:rFonts w:eastAsia="等线"/>
                <w:color w:val="000000"/>
                <w:kern w:val="0"/>
                <w:szCs w:val="21"/>
              </w:rPr>
            </w:pPr>
            <w:r>
              <w:rPr>
                <w:rFonts w:hint="eastAsia" w:eastAsia="等线"/>
                <w:color w:val="000000"/>
                <w:kern w:val="0"/>
                <w:szCs w:val="21"/>
              </w:rPr>
              <w:t>9</w:t>
            </w:r>
            <w:r>
              <w:rPr>
                <w:rFonts w:eastAsia="等线"/>
                <w:color w:val="000000"/>
                <w:kern w:val="0"/>
                <w:szCs w:val="21"/>
              </w:rPr>
              <w:t xml:space="preserve">.1 </w:t>
            </w:r>
            <w:r>
              <w:rPr>
                <w:rFonts w:hint="eastAsia" w:ascii="宋体" w:hAnsi="宋体"/>
                <w:color w:val="000000"/>
                <w:kern w:val="0"/>
                <w:szCs w:val="21"/>
              </w:rPr>
              <w:t>中标人、采购人之间所有与合同有关或在执行合同过程中发生的纠纷应通过友好协商的方式解决。</w:t>
            </w:r>
          </w:p>
        </w:tc>
        <w:tc>
          <w:tcPr>
            <w:tcW w:w="1596" w:type="dxa"/>
            <w:noWrap/>
            <w:vAlign w:val="center"/>
          </w:tcPr>
          <w:p w14:paraId="4F366EAC">
            <w:pPr>
              <w:widowControl/>
              <w:rPr>
                <w:rFonts w:hint="eastAsia" w:eastAsia="等线"/>
                <w:color w:val="000000"/>
                <w:kern w:val="0"/>
                <w:szCs w:val="21"/>
              </w:rPr>
            </w:pPr>
          </w:p>
        </w:tc>
        <w:tc>
          <w:tcPr>
            <w:tcW w:w="1152" w:type="dxa"/>
            <w:noWrap/>
            <w:vAlign w:val="center"/>
          </w:tcPr>
          <w:p w14:paraId="7F9088F7">
            <w:pPr>
              <w:widowControl/>
              <w:rPr>
                <w:rFonts w:hint="eastAsia" w:eastAsia="等线"/>
                <w:color w:val="000000"/>
                <w:kern w:val="0"/>
                <w:szCs w:val="21"/>
              </w:rPr>
            </w:pPr>
          </w:p>
        </w:tc>
        <w:tc>
          <w:tcPr>
            <w:tcW w:w="720" w:type="dxa"/>
            <w:noWrap/>
            <w:vAlign w:val="center"/>
          </w:tcPr>
          <w:p w14:paraId="7B26B2D8">
            <w:pPr>
              <w:widowControl/>
              <w:rPr>
                <w:rFonts w:hint="eastAsia" w:eastAsia="等线"/>
                <w:color w:val="000000"/>
                <w:kern w:val="0"/>
                <w:szCs w:val="21"/>
              </w:rPr>
            </w:pPr>
          </w:p>
        </w:tc>
      </w:tr>
      <w:tr w14:paraId="13E7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551C6EB5">
            <w:pPr>
              <w:widowControl/>
              <w:jc w:val="center"/>
              <w:rPr>
                <w:rFonts w:eastAsia="等线"/>
                <w:color w:val="000000"/>
                <w:kern w:val="0"/>
                <w:szCs w:val="21"/>
              </w:rPr>
            </w:pPr>
          </w:p>
        </w:tc>
        <w:tc>
          <w:tcPr>
            <w:tcW w:w="1008" w:type="dxa"/>
            <w:vMerge w:val="continue"/>
            <w:vAlign w:val="center"/>
          </w:tcPr>
          <w:p w14:paraId="5C4ECC23">
            <w:pPr>
              <w:widowControl/>
              <w:jc w:val="center"/>
              <w:rPr>
                <w:rFonts w:eastAsia="等线"/>
                <w:color w:val="000000"/>
                <w:kern w:val="0"/>
                <w:szCs w:val="21"/>
              </w:rPr>
            </w:pPr>
          </w:p>
        </w:tc>
        <w:tc>
          <w:tcPr>
            <w:tcW w:w="3540" w:type="dxa"/>
            <w:noWrap/>
            <w:vAlign w:val="center"/>
          </w:tcPr>
          <w:p w14:paraId="028DC221">
            <w:pPr>
              <w:widowControl/>
              <w:rPr>
                <w:rFonts w:eastAsia="等线"/>
                <w:color w:val="000000"/>
                <w:kern w:val="0"/>
                <w:szCs w:val="21"/>
              </w:rPr>
            </w:pPr>
            <w:r>
              <w:rPr>
                <w:rFonts w:hint="eastAsia" w:eastAsia="等线"/>
                <w:color w:val="000000"/>
                <w:kern w:val="0"/>
                <w:szCs w:val="21"/>
              </w:rPr>
              <w:t>9</w:t>
            </w:r>
            <w:r>
              <w:rPr>
                <w:rFonts w:eastAsia="等线"/>
                <w:color w:val="000000"/>
                <w:kern w:val="0"/>
                <w:szCs w:val="21"/>
              </w:rPr>
              <w:t xml:space="preserve">.2 </w:t>
            </w:r>
            <w:r>
              <w:rPr>
                <w:rFonts w:hint="eastAsia" w:ascii="宋体" w:hAnsi="宋体"/>
                <w:color w:val="000000"/>
                <w:kern w:val="0"/>
                <w:szCs w:val="21"/>
              </w:rPr>
              <w:t>合同履行期间如发生任何争议，应优先协商解决；协商不成的，任何一方均有权提交仲裁解决，仲裁机构具体以合同签订为准</w:t>
            </w:r>
          </w:p>
        </w:tc>
        <w:tc>
          <w:tcPr>
            <w:tcW w:w="1596" w:type="dxa"/>
            <w:noWrap/>
            <w:vAlign w:val="center"/>
          </w:tcPr>
          <w:p w14:paraId="4C07AE6A">
            <w:pPr>
              <w:widowControl/>
              <w:rPr>
                <w:rFonts w:hint="eastAsia" w:eastAsia="等线"/>
                <w:color w:val="000000"/>
                <w:kern w:val="0"/>
                <w:szCs w:val="21"/>
              </w:rPr>
            </w:pPr>
          </w:p>
        </w:tc>
        <w:tc>
          <w:tcPr>
            <w:tcW w:w="1152" w:type="dxa"/>
            <w:noWrap/>
            <w:vAlign w:val="center"/>
          </w:tcPr>
          <w:p w14:paraId="29C0C275">
            <w:pPr>
              <w:widowControl/>
              <w:rPr>
                <w:rFonts w:hint="eastAsia" w:eastAsia="等线"/>
                <w:color w:val="000000"/>
                <w:kern w:val="0"/>
                <w:szCs w:val="21"/>
              </w:rPr>
            </w:pPr>
          </w:p>
        </w:tc>
        <w:tc>
          <w:tcPr>
            <w:tcW w:w="720" w:type="dxa"/>
            <w:noWrap/>
            <w:vAlign w:val="center"/>
          </w:tcPr>
          <w:p w14:paraId="683FB5C8">
            <w:pPr>
              <w:widowControl/>
              <w:rPr>
                <w:rFonts w:hint="eastAsia" w:eastAsia="等线"/>
                <w:color w:val="000000"/>
                <w:kern w:val="0"/>
                <w:szCs w:val="21"/>
              </w:rPr>
            </w:pPr>
          </w:p>
        </w:tc>
      </w:tr>
      <w:tr w14:paraId="7C82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vAlign w:val="center"/>
          </w:tcPr>
          <w:p w14:paraId="285F6E66">
            <w:pPr>
              <w:widowControl/>
              <w:jc w:val="center"/>
              <w:rPr>
                <w:rFonts w:eastAsia="等线"/>
                <w:color w:val="000000"/>
                <w:kern w:val="0"/>
                <w:szCs w:val="21"/>
              </w:rPr>
            </w:pPr>
            <w:r>
              <w:rPr>
                <w:rFonts w:hint="eastAsia" w:eastAsia="等线"/>
                <w:color w:val="000000"/>
                <w:kern w:val="0"/>
                <w:szCs w:val="21"/>
              </w:rPr>
              <w:t>10</w:t>
            </w:r>
          </w:p>
        </w:tc>
        <w:tc>
          <w:tcPr>
            <w:tcW w:w="1008" w:type="dxa"/>
            <w:vMerge w:val="restart"/>
            <w:vAlign w:val="center"/>
          </w:tcPr>
          <w:p w14:paraId="4CFAA7AD">
            <w:pPr>
              <w:widowControl/>
              <w:jc w:val="center"/>
              <w:rPr>
                <w:rFonts w:eastAsia="等线"/>
                <w:color w:val="000000"/>
                <w:kern w:val="0"/>
                <w:szCs w:val="21"/>
              </w:rPr>
            </w:pPr>
            <w:r>
              <w:rPr>
                <w:rFonts w:hint="eastAsia" w:ascii="宋体" w:hAnsi="宋体"/>
                <w:b/>
                <w:bCs/>
                <w:color w:val="000000"/>
                <w:kern w:val="0"/>
                <w:szCs w:val="21"/>
              </w:rPr>
              <w:t>其它商务条款</w:t>
            </w:r>
          </w:p>
        </w:tc>
        <w:tc>
          <w:tcPr>
            <w:tcW w:w="3540" w:type="dxa"/>
            <w:noWrap/>
            <w:vAlign w:val="center"/>
          </w:tcPr>
          <w:p w14:paraId="7E83CF3F">
            <w:pPr>
              <w:widowControl/>
              <w:rPr>
                <w:rFonts w:eastAsia="等线"/>
                <w:color w:val="000000"/>
                <w:kern w:val="0"/>
                <w:szCs w:val="21"/>
              </w:rPr>
            </w:pPr>
            <w:r>
              <w:rPr>
                <w:rFonts w:eastAsia="等线"/>
                <w:color w:val="000000"/>
                <w:kern w:val="0"/>
                <w:szCs w:val="21"/>
              </w:rPr>
              <w:t>1</w:t>
            </w:r>
            <w:r>
              <w:rPr>
                <w:rFonts w:hint="eastAsia" w:eastAsia="等线"/>
                <w:color w:val="000000"/>
                <w:kern w:val="0"/>
                <w:szCs w:val="21"/>
              </w:rPr>
              <w:t>0</w:t>
            </w:r>
            <w:r>
              <w:rPr>
                <w:rFonts w:eastAsia="等线"/>
                <w:color w:val="000000"/>
                <w:kern w:val="0"/>
                <w:szCs w:val="21"/>
              </w:rPr>
              <w:t xml:space="preserve">.1 </w:t>
            </w:r>
            <w:r>
              <w:rPr>
                <w:rFonts w:hint="eastAsia" w:ascii="宋体" w:hAnsi="宋体"/>
                <w:color w:val="000000"/>
                <w:kern w:val="0"/>
                <w:szCs w:val="21"/>
              </w:rPr>
              <w:t>就招标货物提供或相关的设备、备件、材料和技术数据，各方必须遵守限制性法律，且不得为任何受限人员的利益从事任何贸易、商业或其他活动，前提是该等活动根据适用的限制性法律被禁止或限制，或需要取得许可、授权或批准；亦不得以其他方式实施违反限制性法律或导致其被指定为受限人员的行为。</w:t>
            </w:r>
          </w:p>
        </w:tc>
        <w:tc>
          <w:tcPr>
            <w:tcW w:w="1596" w:type="dxa"/>
            <w:noWrap/>
            <w:vAlign w:val="center"/>
          </w:tcPr>
          <w:p w14:paraId="2790450F">
            <w:pPr>
              <w:widowControl/>
              <w:rPr>
                <w:rFonts w:eastAsia="等线"/>
                <w:color w:val="000000"/>
                <w:kern w:val="0"/>
                <w:szCs w:val="21"/>
              </w:rPr>
            </w:pPr>
          </w:p>
        </w:tc>
        <w:tc>
          <w:tcPr>
            <w:tcW w:w="1152" w:type="dxa"/>
            <w:noWrap/>
            <w:vAlign w:val="center"/>
          </w:tcPr>
          <w:p w14:paraId="35E64B2B">
            <w:pPr>
              <w:widowControl/>
              <w:rPr>
                <w:rFonts w:eastAsia="等线"/>
                <w:color w:val="000000"/>
                <w:kern w:val="0"/>
                <w:szCs w:val="21"/>
              </w:rPr>
            </w:pPr>
          </w:p>
        </w:tc>
        <w:tc>
          <w:tcPr>
            <w:tcW w:w="720" w:type="dxa"/>
            <w:noWrap/>
            <w:vAlign w:val="center"/>
          </w:tcPr>
          <w:p w14:paraId="0BC5FDA7">
            <w:pPr>
              <w:widowControl/>
              <w:rPr>
                <w:rFonts w:eastAsia="等线"/>
                <w:color w:val="000000"/>
                <w:kern w:val="0"/>
                <w:szCs w:val="21"/>
              </w:rPr>
            </w:pPr>
          </w:p>
        </w:tc>
      </w:tr>
      <w:tr w14:paraId="7764E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vAlign w:val="center"/>
          </w:tcPr>
          <w:p w14:paraId="02DA8C47">
            <w:pPr>
              <w:widowControl/>
              <w:jc w:val="center"/>
              <w:rPr>
                <w:rFonts w:eastAsia="等线"/>
                <w:color w:val="000000"/>
                <w:kern w:val="0"/>
                <w:szCs w:val="21"/>
              </w:rPr>
            </w:pPr>
          </w:p>
        </w:tc>
        <w:tc>
          <w:tcPr>
            <w:tcW w:w="1008" w:type="dxa"/>
            <w:vMerge w:val="continue"/>
            <w:vAlign w:val="center"/>
          </w:tcPr>
          <w:p w14:paraId="3484530E">
            <w:pPr>
              <w:widowControl/>
              <w:jc w:val="center"/>
              <w:rPr>
                <w:rFonts w:eastAsia="等线"/>
                <w:color w:val="000000"/>
                <w:kern w:val="0"/>
                <w:szCs w:val="21"/>
              </w:rPr>
            </w:pPr>
          </w:p>
        </w:tc>
        <w:tc>
          <w:tcPr>
            <w:tcW w:w="3540" w:type="dxa"/>
            <w:noWrap/>
            <w:vAlign w:val="center"/>
          </w:tcPr>
          <w:p w14:paraId="37DE488B">
            <w:pPr>
              <w:widowControl/>
              <w:rPr>
                <w:rFonts w:eastAsia="等线"/>
                <w:color w:val="000000"/>
                <w:kern w:val="0"/>
                <w:szCs w:val="21"/>
              </w:rPr>
            </w:pPr>
            <w:r>
              <w:rPr>
                <w:rFonts w:eastAsia="等线"/>
                <w:color w:val="000000"/>
                <w:kern w:val="0"/>
                <w:szCs w:val="21"/>
              </w:rPr>
              <w:t>1</w:t>
            </w:r>
            <w:r>
              <w:rPr>
                <w:rFonts w:hint="eastAsia" w:eastAsia="等线"/>
                <w:color w:val="000000"/>
                <w:kern w:val="0"/>
                <w:szCs w:val="21"/>
              </w:rPr>
              <w:t>0</w:t>
            </w:r>
            <w:r>
              <w:rPr>
                <w:rFonts w:eastAsia="等线"/>
                <w:color w:val="000000"/>
                <w:kern w:val="0"/>
                <w:szCs w:val="21"/>
              </w:rPr>
              <w:t xml:space="preserve">.2 </w:t>
            </w:r>
            <w:r>
              <w:rPr>
                <w:rFonts w:hint="eastAsia" w:ascii="宋体" w:hAnsi="宋体"/>
                <w:color w:val="000000"/>
                <w:kern w:val="0"/>
                <w:szCs w:val="21"/>
              </w:rPr>
              <w:t>中标人依本合同出具的发票、装箱单及其他单据，应严格与本合同相符。同时，中标人依本合同交付的货物，应严格与发票及装箱单相符。中标人违反本约定的，应自行承担由此产生的一切后果。</w:t>
            </w:r>
          </w:p>
        </w:tc>
        <w:tc>
          <w:tcPr>
            <w:tcW w:w="1596" w:type="dxa"/>
            <w:noWrap/>
            <w:vAlign w:val="center"/>
          </w:tcPr>
          <w:p w14:paraId="2B2C3996">
            <w:pPr>
              <w:widowControl/>
              <w:rPr>
                <w:rFonts w:eastAsia="等线"/>
                <w:color w:val="000000"/>
                <w:kern w:val="0"/>
                <w:szCs w:val="21"/>
              </w:rPr>
            </w:pPr>
          </w:p>
        </w:tc>
        <w:tc>
          <w:tcPr>
            <w:tcW w:w="1152" w:type="dxa"/>
            <w:noWrap/>
            <w:vAlign w:val="center"/>
          </w:tcPr>
          <w:p w14:paraId="75031C11">
            <w:pPr>
              <w:widowControl/>
              <w:rPr>
                <w:rFonts w:eastAsia="等线"/>
                <w:color w:val="000000"/>
                <w:kern w:val="0"/>
                <w:szCs w:val="21"/>
              </w:rPr>
            </w:pPr>
          </w:p>
        </w:tc>
        <w:tc>
          <w:tcPr>
            <w:tcW w:w="720" w:type="dxa"/>
            <w:noWrap/>
            <w:vAlign w:val="center"/>
          </w:tcPr>
          <w:p w14:paraId="56000222">
            <w:pPr>
              <w:widowControl/>
              <w:rPr>
                <w:rFonts w:eastAsia="等线"/>
                <w:color w:val="000000"/>
                <w:kern w:val="0"/>
                <w:szCs w:val="21"/>
              </w:rPr>
            </w:pPr>
          </w:p>
        </w:tc>
      </w:tr>
      <w:tr w14:paraId="0FE2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restart"/>
            <w:vAlign w:val="center"/>
          </w:tcPr>
          <w:p w14:paraId="5BD28B81">
            <w:pPr>
              <w:widowControl/>
              <w:jc w:val="center"/>
              <w:rPr>
                <w:rFonts w:ascii="Segoe UI Symbol" w:hAnsi="Segoe UI Symbol" w:eastAsia="等线" w:cs="宋体"/>
                <w:color w:val="000000"/>
                <w:kern w:val="0"/>
                <w:szCs w:val="21"/>
              </w:rPr>
            </w:pPr>
            <w:r>
              <w:rPr>
                <w:rFonts w:hint="eastAsia" w:ascii="Segoe UI Symbol" w:hAnsi="Segoe UI Symbol" w:eastAsia="等线" w:cs="宋体"/>
                <w:color w:val="000000"/>
                <w:kern w:val="0"/>
                <w:szCs w:val="21"/>
              </w:rPr>
              <w:t>11</w:t>
            </w:r>
          </w:p>
        </w:tc>
        <w:tc>
          <w:tcPr>
            <w:tcW w:w="1008" w:type="dxa"/>
            <w:vMerge w:val="restart"/>
            <w:vAlign w:val="center"/>
          </w:tcPr>
          <w:p w14:paraId="7CC02818">
            <w:pPr>
              <w:widowControl/>
              <w:jc w:val="center"/>
              <w:rPr>
                <w:rFonts w:ascii="Segoe UI Symbol" w:hAnsi="Segoe UI Symbol" w:eastAsia="等线" w:cs="宋体"/>
                <w:color w:val="000000"/>
                <w:kern w:val="0"/>
                <w:szCs w:val="21"/>
              </w:rPr>
            </w:pPr>
            <w:r>
              <w:rPr>
                <w:rFonts w:hint="eastAsia" w:ascii="宋体" w:hAnsi="宋体"/>
                <w:b/>
                <w:bCs/>
                <w:color w:val="000000"/>
                <w:kern w:val="0"/>
                <w:szCs w:val="21"/>
              </w:rPr>
              <w:t>报价方式</w:t>
            </w:r>
          </w:p>
        </w:tc>
        <w:tc>
          <w:tcPr>
            <w:tcW w:w="3540" w:type="dxa"/>
            <w:noWrap/>
            <w:vAlign w:val="center"/>
          </w:tcPr>
          <w:p w14:paraId="3EBBA56D">
            <w:pPr>
              <w:widowControl/>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hint="eastAsia" w:ascii="宋体" w:hAnsi="宋体" w:cs="宋体"/>
                <w:color w:val="000000"/>
                <w:kern w:val="0"/>
                <w:szCs w:val="21"/>
              </w:rPr>
              <w:t>国产货物：人民币含税报价，投标人所报价格为包干总价，该包干总价为中标人按照采购文件及合同约定完成全部义务后所适用的总价格，包括但不限于购买仪器设备货物的价款、货物零配件和随机配套工具的费用、各类税费、配套资料费、包装、运输、装卸、安装、调试费用、安装材料费、验收时的试剂耗材、强制性第三方监督检验机构的验收检验费用、技术指导、培训、咨询、服务、保险、检测、人工、验收合格交付使用之前以及技术和售后服务、质保期退运返修等其他所有费用。如货物还含有软件类产品的，则该总价亦包含了购买软件的全部费用、软件加密装置及升级服务包和补丁的费用、软件安装和调试费、软件使用培训费及各种软件售后服务费、税费等。</w:t>
            </w:r>
          </w:p>
          <w:p w14:paraId="65F5A243">
            <w:pPr>
              <w:rPr>
                <w:rFonts w:ascii="Segoe UI Symbol" w:hAnsi="Segoe UI Symbol" w:eastAsia="等线" w:cs="宋体"/>
                <w:color w:val="000000"/>
                <w:kern w:val="0"/>
                <w:szCs w:val="21"/>
              </w:rPr>
            </w:pPr>
            <w:r>
              <w:rPr>
                <w:rFonts w:ascii="Segoe UI Symbol" w:hAnsi="Segoe UI Symbol" w:eastAsia="等线" w:cs="宋体"/>
                <w:color w:val="000000"/>
                <w:kern w:val="0"/>
                <w:szCs w:val="21"/>
              </w:rPr>
              <w:t>★</w:t>
            </w:r>
            <w:r>
              <w:rPr>
                <w:rFonts w:hint="eastAsia" w:ascii="宋体" w:hAnsi="宋体" w:cs="宋体"/>
                <w:color w:val="000000"/>
                <w:kern w:val="0"/>
                <w:szCs w:val="21"/>
              </w:rPr>
              <w:t>进口货物：人民币报价（如为免税或不含税价须特别标注；）总金额为固定包干总价，已包含采购人购买货物及服务所发生的所有费用，包括但不限于：购买货物的费用、货物零配件和随机配套工具的费用、配套资料费、包装、运输及保险（境内、外）、协助安装、调试费用、验收时的必要耗材（但氦气、液氮除外）、强制性第三方监督检验机构的验收检验费用、技术服务培训、检测、质保期内设备及部件故障的更换及维修、采购人外贸代理费，以及其他所有服务费用。</w:t>
            </w:r>
          </w:p>
        </w:tc>
        <w:tc>
          <w:tcPr>
            <w:tcW w:w="1596" w:type="dxa"/>
            <w:noWrap/>
            <w:vAlign w:val="center"/>
          </w:tcPr>
          <w:p w14:paraId="76F8B2D8">
            <w:pPr>
              <w:rPr>
                <w:rFonts w:ascii="Segoe UI Symbol" w:hAnsi="Segoe UI Symbol" w:eastAsia="等线" w:cs="宋体"/>
                <w:color w:val="000000"/>
                <w:kern w:val="0"/>
                <w:szCs w:val="21"/>
              </w:rPr>
            </w:pPr>
          </w:p>
        </w:tc>
        <w:tc>
          <w:tcPr>
            <w:tcW w:w="1152" w:type="dxa"/>
            <w:noWrap/>
            <w:vAlign w:val="center"/>
          </w:tcPr>
          <w:p w14:paraId="16AFF7E8">
            <w:pPr>
              <w:rPr>
                <w:rFonts w:ascii="Segoe UI Symbol" w:hAnsi="Segoe UI Symbol" w:eastAsia="等线" w:cs="宋体"/>
                <w:color w:val="000000"/>
                <w:kern w:val="0"/>
                <w:szCs w:val="21"/>
              </w:rPr>
            </w:pPr>
          </w:p>
        </w:tc>
        <w:tc>
          <w:tcPr>
            <w:tcW w:w="720" w:type="dxa"/>
            <w:noWrap/>
            <w:vAlign w:val="center"/>
          </w:tcPr>
          <w:p w14:paraId="63D243A2">
            <w:pPr>
              <w:rPr>
                <w:rFonts w:ascii="Segoe UI Symbol" w:hAnsi="Segoe UI Symbol" w:eastAsia="等线" w:cs="宋体"/>
                <w:color w:val="000000"/>
                <w:kern w:val="0"/>
                <w:szCs w:val="21"/>
              </w:rPr>
            </w:pPr>
          </w:p>
        </w:tc>
      </w:tr>
      <w:tr w14:paraId="7E53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5" w:type="dxa"/>
            <w:vMerge w:val="continue"/>
            <w:vAlign w:val="center"/>
          </w:tcPr>
          <w:p w14:paraId="2FB2081D">
            <w:pPr>
              <w:widowControl/>
              <w:jc w:val="center"/>
              <w:rPr>
                <w:rFonts w:hint="eastAsia" w:ascii="宋体" w:hAnsi="宋体" w:cs="宋体"/>
                <w:color w:val="000000"/>
                <w:kern w:val="0"/>
                <w:szCs w:val="21"/>
              </w:rPr>
            </w:pPr>
          </w:p>
        </w:tc>
        <w:tc>
          <w:tcPr>
            <w:tcW w:w="1008" w:type="dxa"/>
            <w:vMerge w:val="continue"/>
            <w:vAlign w:val="center"/>
          </w:tcPr>
          <w:p w14:paraId="0F60C7DE">
            <w:pPr>
              <w:widowControl/>
              <w:jc w:val="center"/>
              <w:rPr>
                <w:rFonts w:hint="eastAsia" w:ascii="宋体" w:hAnsi="宋体" w:cs="宋体"/>
                <w:color w:val="000000"/>
                <w:kern w:val="0"/>
                <w:szCs w:val="21"/>
              </w:rPr>
            </w:pPr>
          </w:p>
        </w:tc>
        <w:tc>
          <w:tcPr>
            <w:tcW w:w="3540" w:type="dxa"/>
            <w:noWrap/>
            <w:vAlign w:val="center"/>
          </w:tcPr>
          <w:p w14:paraId="16A7A509">
            <w:pPr>
              <w:widowControl/>
              <w:rPr>
                <w:rFonts w:hint="eastAsia" w:ascii="宋体" w:hAnsi="宋体" w:cs="宋体"/>
                <w:color w:val="000000"/>
                <w:kern w:val="0"/>
                <w:szCs w:val="21"/>
              </w:rPr>
            </w:pPr>
            <w:r>
              <w:rPr>
                <w:rFonts w:hint="eastAsia" w:ascii="宋体" w:hAnsi="宋体" w:cs="宋体"/>
                <w:color w:val="000000"/>
                <w:kern w:val="0"/>
                <w:szCs w:val="21"/>
              </w:rPr>
              <w:t>▲报价其它说明：</w:t>
            </w:r>
          </w:p>
          <w:p w14:paraId="7E33D91C">
            <w:pPr>
              <w:widowControl/>
              <w:rPr>
                <w:rFonts w:eastAsia="等线"/>
                <w:color w:val="000000"/>
                <w:kern w:val="0"/>
                <w:szCs w:val="21"/>
              </w:rPr>
            </w:pPr>
            <w:r>
              <w:rPr>
                <w:rFonts w:eastAsia="等线"/>
                <w:color w:val="000000"/>
                <w:kern w:val="0"/>
                <w:szCs w:val="21"/>
              </w:rPr>
              <w:t>1</w:t>
            </w:r>
            <w:r>
              <w:rPr>
                <w:rFonts w:hint="eastAsia" w:ascii="宋体" w:hAnsi="宋体"/>
                <w:color w:val="000000"/>
                <w:kern w:val="0"/>
                <w:szCs w:val="21"/>
              </w:rPr>
              <w:t>）若本项目需要使用外币结算时，则按付款当日中国银行发布的现汇卖出价人民币兑外汇的实时汇率作为结算汇率，汇率风险由中标人承担。</w:t>
            </w:r>
          </w:p>
          <w:p w14:paraId="27D86F1B">
            <w:pPr>
              <w:widowControl/>
              <w:rPr>
                <w:rFonts w:eastAsia="等线"/>
                <w:color w:val="000000"/>
                <w:kern w:val="0"/>
                <w:szCs w:val="21"/>
              </w:rPr>
            </w:pPr>
            <w:r>
              <w:rPr>
                <w:rFonts w:eastAsia="等线"/>
                <w:color w:val="000000"/>
                <w:kern w:val="0"/>
                <w:szCs w:val="21"/>
              </w:rPr>
              <w:t>2</w:t>
            </w:r>
            <w:r>
              <w:rPr>
                <w:rFonts w:hint="eastAsia" w:ascii="宋体" w:hAnsi="宋体"/>
                <w:color w:val="000000"/>
                <w:kern w:val="0"/>
                <w:szCs w:val="21"/>
              </w:rPr>
              <w:t>）根据中华人民共和国现行税法，中国政府就本合同向采购人（包括采购人代理）征收的所有税费应由采购人承担（但因中标人未将氦制冷机主体部分以单一商品品名和单一</w:t>
            </w:r>
            <w:r>
              <w:rPr>
                <w:rFonts w:eastAsia="等线"/>
                <w:color w:val="000000"/>
                <w:kern w:val="0"/>
                <w:szCs w:val="21"/>
              </w:rPr>
              <w:t>HS</w:t>
            </w:r>
            <w:r>
              <w:rPr>
                <w:rFonts w:hint="eastAsia" w:ascii="宋体" w:hAnsi="宋体"/>
                <w:color w:val="000000"/>
                <w:kern w:val="0"/>
                <w:szCs w:val="21"/>
              </w:rPr>
              <w:t>编码申报进入综合保税区而产生的税费应由中标人承担）；中国政府就本合同向中标人（包括中标人在中国境内的实体）征收的所有相关税费应由中标人自行承担。本合同项下在中国人民共和国境外征收的所有税费应由中标人承担。尽管有上述规定，如因采购人丧失免税资格而由海关当局对本合同项下货物征收关税或相关税费，则该等税费应由采购人承担；如因中标人未办理免税手续或中标人造成的清关程序延误而导致任何税费产生或增加，则该等税费应完全由中标人承担。</w:t>
            </w:r>
          </w:p>
          <w:p w14:paraId="311B51E5">
            <w:pPr>
              <w:widowControl/>
              <w:rPr>
                <w:rFonts w:eastAsia="等线"/>
                <w:color w:val="000000"/>
                <w:kern w:val="0"/>
                <w:szCs w:val="21"/>
              </w:rPr>
            </w:pPr>
            <w:r>
              <w:rPr>
                <w:rFonts w:eastAsia="等线"/>
                <w:color w:val="000000"/>
                <w:kern w:val="0"/>
                <w:szCs w:val="21"/>
              </w:rPr>
              <w:t>3</w:t>
            </w:r>
            <w:r>
              <w:rPr>
                <w:rFonts w:hint="eastAsia" w:ascii="宋体" w:hAnsi="宋体"/>
                <w:color w:val="000000"/>
                <w:kern w:val="0"/>
                <w:szCs w:val="21"/>
              </w:rPr>
              <w:t>）依据国家相关法律法规，项目中不可免税部分清单报人民币含税价格。</w:t>
            </w:r>
          </w:p>
          <w:p w14:paraId="4F88DB5C">
            <w:pPr>
              <w:rPr>
                <w:rFonts w:hint="eastAsia" w:ascii="宋体" w:hAnsi="宋体" w:cs="宋体"/>
                <w:color w:val="000000"/>
                <w:kern w:val="0"/>
                <w:szCs w:val="21"/>
              </w:rPr>
            </w:pPr>
            <w:r>
              <w:rPr>
                <w:rFonts w:eastAsia="等线"/>
                <w:color w:val="000000"/>
                <w:kern w:val="0"/>
                <w:szCs w:val="21"/>
              </w:rPr>
              <w:t>4</w:t>
            </w:r>
            <w:r>
              <w:rPr>
                <w:rFonts w:hint="eastAsia" w:ascii="宋体" w:hAnsi="宋体"/>
                <w:color w:val="000000"/>
                <w:kern w:val="0"/>
                <w:szCs w:val="21"/>
              </w:rPr>
              <w:t>）若投标人所投产品产地为国外，且在国家加征关税范围内的，则投标人报价中须包含此项费用，采购人不再另行支付。</w:t>
            </w:r>
          </w:p>
        </w:tc>
        <w:tc>
          <w:tcPr>
            <w:tcW w:w="1596" w:type="dxa"/>
            <w:noWrap/>
            <w:vAlign w:val="center"/>
          </w:tcPr>
          <w:p w14:paraId="7B69F8AE">
            <w:pPr>
              <w:rPr>
                <w:rFonts w:eastAsia="等线"/>
                <w:color w:val="000000"/>
                <w:kern w:val="0"/>
                <w:szCs w:val="21"/>
              </w:rPr>
            </w:pPr>
          </w:p>
        </w:tc>
        <w:tc>
          <w:tcPr>
            <w:tcW w:w="1152" w:type="dxa"/>
            <w:noWrap/>
            <w:vAlign w:val="center"/>
          </w:tcPr>
          <w:p w14:paraId="7152C1E8">
            <w:pPr>
              <w:rPr>
                <w:rFonts w:eastAsia="等线"/>
                <w:color w:val="000000"/>
                <w:kern w:val="0"/>
                <w:szCs w:val="21"/>
              </w:rPr>
            </w:pPr>
          </w:p>
        </w:tc>
        <w:tc>
          <w:tcPr>
            <w:tcW w:w="720" w:type="dxa"/>
            <w:noWrap/>
            <w:vAlign w:val="center"/>
          </w:tcPr>
          <w:p w14:paraId="3E81D93F">
            <w:pPr>
              <w:rPr>
                <w:rFonts w:eastAsia="等线"/>
                <w:color w:val="000000"/>
                <w:kern w:val="0"/>
                <w:szCs w:val="21"/>
              </w:rPr>
            </w:pPr>
          </w:p>
        </w:tc>
      </w:tr>
    </w:tbl>
    <w:p w14:paraId="071E0823">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《商务要求偏离表》编制指引：</w:t>
      </w:r>
    </w:p>
    <w:p w14:paraId="50045D92">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1.商务要求偏离表的序号、商务需求项、招标商务要求等栏目对应“用户需求书”中的“商务要求”章节相关内容。</w:t>
      </w:r>
    </w:p>
    <w:p w14:paraId="6B019920">
      <w:pPr>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2</w:t>
      </w:r>
      <w:r>
        <w:rPr>
          <w:rFonts w:hint="eastAsia" w:asciiTheme="minorEastAsia" w:hAnsiTheme="minorEastAsia" w:eastAsiaTheme="minorEastAsia"/>
          <w:bCs/>
          <w:szCs w:val="21"/>
        </w:rPr>
        <w:t>.“投标商务响应”一栏必须一一对照“招标商务要求”，详细填写自身响应情况，而不能不合理照搬照抄招标文件的商务要求，以体现具体响应情况。</w:t>
      </w:r>
    </w:p>
    <w:p w14:paraId="5032FBD3">
      <w:pPr>
        <w:ind w:firstLine="420" w:firstLineChars="200"/>
        <w:rPr>
          <w:rFonts w:hint="eastAsia" w:asciiTheme="minorEastAsia" w:hAnsiTheme="minorEastAsia" w:eastAsiaTheme="minorEastAsia"/>
          <w:bCs/>
          <w:color w:val="FF0000"/>
          <w:szCs w:val="21"/>
        </w:rPr>
      </w:pPr>
      <w:r>
        <w:rPr>
          <w:rFonts w:asciiTheme="minorEastAsia" w:hAnsiTheme="minorEastAsia" w:eastAsiaTheme="minorEastAsia"/>
          <w:bCs/>
          <w:szCs w:val="21"/>
        </w:rPr>
        <w:t>3</w:t>
      </w:r>
      <w:r>
        <w:rPr>
          <w:rFonts w:hint="eastAsia" w:asciiTheme="minorEastAsia" w:hAnsiTheme="minorEastAsia" w:eastAsiaTheme="minorEastAsia"/>
          <w:bCs/>
          <w:szCs w:val="21"/>
        </w:rPr>
        <w:t>.“偏离情况”一栏填写如实填写“正偏离”、“负偏离”或“无偏离”，其中：“正偏离”表示“投标响应优于招标商务要求”，“负偏离”表示“投标响应不满足招标商务要求”，“无偏离”表示“投标响应与招标商务要求一致”。</w:t>
      </w:r>
    </w:p>
    <w:p w14:paraId="7BE4E522">
      <w:pPr>
        <w:rPr>
          <w:rFonts w:hint="eastAsia" w:asciiTheme="minorEastAsia" w:hAnsiTheme="minorEastAsia" w:eastAsiaTheme="minorEastAsia"/>
          <w:bCs/>
          <w:szCs w:val="21"/>
        </w:rPr>
      </w:pPr>
      <w:r>
        <w:rPr>
          <w:rFonts w:hint="eastAsia" w:asciiTheme="minorEastAsia" w:hAnsiTheme="minorEastAsia" w:eastAsiaTheme="minorEastAsia"/>
          <w:bCs/>
          <w:szCs w:val="21"/>
        </w:rPr>
        <w:t>“投标商务响应”对比“招标商务要求”存在响应不全（包括未响应整项招标商务要求或者未响应一项招标商务要求的部分内容），均视为“负偏离”。</w:t>
      </w:r>
    </w:p>
    <w:p w14:paraId="27D83530">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4.带★号条款为不可偏离条款，如未响应或出现负偏离的，将作投标无效处理。</w:t>
      </w:r>
    </w:p>
    <w:p w14:paraId="46C9D053">
      <w:pPr>
        <w:pStyle w:val="61"/>
        <w:rPr>
          <w:sz w:val="24"/>
        </w:rPr>
      </w:pPr>
      <w:bookmarkStart w:id="173" w:name="_Hlk72260576"/>
    </w:p>
    <w:p w14:paraId="279EA696">
      <w:pPr>
        <w:pStyle w:val="5"/>
        <w:jc w:val="center"/>
        <w:rPr>
          <w:rFonts w:hint="eastAsia" w:ascii="黑体" w:eastAsia="黑体"/>
          <w:b w:val="0"/>
          <w:sz w:val="24"/>
        </w:rPr>
      </w:pPr>
      <w:r>
        <w:rPr>
          <w:rFonts w:hint="eastAsia" w:ascii="黑体" w:eastAsia="黑体"/>
          <w:b w:val="0"/>
          <w:sz w:val="24"/>
        </w:rPr>
        <w:t>八、人员保障</w:t>
      </w:r>
      <w:r>
        <w:rPr>
          <w:rFonts w:hint="eastAsia" w:ascii="黑体" w:eastAsia="黑体"/>
          <w:b w:val="0"/>
          <w:sz w:val="24"/>
          <w:lang w:eastAsia="zh-CN"/>
        </w:rPr>
        <w:t>（</w:t>
      </w:r>
      <w:r>
        <w:rPr>
          <w:rFonts w:hint="eastAsia" w:ascii="黑体" w:eastAsia="黑体"/>
          <w:b w:val="0"/>
          <w:sz w:val="24"/>
          <w:lang w:val="en-US" w:eastAsia="zh-CN"/>
        </w:rPr>
        <w:t>格式自拟</w:t>
      </w:r>
      <w:r>
        <w:rPr>
          <w:rFonts w:hint="eastAsia" w:ascii="黑体" w:eastAsia="黑体"/>
          <w:b w:val="0"/>
          <w:sz w:val="24"/>
          <w:lang w:eastAsia="zh-CN"/>
        </w:rPr>
        <w:t>）</w:t>
      </w:r>
    </w:p>
    <w:p w14:paraId="38D87C3E">
      <w:pPr>
        <w:rPr>
          <w:b/>
          <w:bCs/>
          <w:color w:val="FF0000"/>
        </w:rPr>
      </w:pPr>
      <w:r>
        <w:rPr>
          <w:rFonts w:hint="eastAsia"/>
          <w:b/>
          <w:bCs/>
          <w:color w:val="FF0000"/>
        </w:rPr>
        <w:t>（特别提示：投标人须按本招标文件评标信息中这一评审因素要求，提供详细证明资料）</w:t>
      </w:r>
    </w:p>
    <w:p w14:paraId="0576B1B7">
      <w:pPr>
        <w:pStyle w:val="5"/>
        <w:jc w:val="center"/>
        <w:rPr>
          <w:rFonts w:hint="eastAsia" w:ascii="黑体" w:eastAsia="黑体"/>
          <w:b w:val="0"/>
          <w:sz w:val="24"/>
        </w:rPr>
      </w:pPr>
      <w:r>
        <w:rPr>
          <w:rFonts w:hint="eastAsia" w:ascii="黑体" w:eastAsia="黑体"/>
          <w:b w:val="0"/>
          <w:sz w:val="24"/>
          <w:lang w:val="en-US" w:eastAsia="zh-CN"/>
        </w:rPr>
        <w:t>九</w:t>
      </w:r>
      <w:r>
        <w:rPr>
          <w:rFonts w:hint="eastAsia" w:ascii="黑体" w:eastAsia="黑体"/>
          <w:b w:val="0"/>
          <w:sz w:val="24"/>
        </w:rPr>
        <w:t>、制冷机设计方案</w:t>
      </w:r>
      <w:r>
        <w:rPr>
          <w:rFonts w:hint="eastAsia" w:ascii="黑体" w:eastAsia="黑体"/>
          <w:b w:val="0"/>
          <w:sz w:val="24"/>
          <w:lang w:eastAsia="zh-CN"/>
        </w:rPr>
        <w:t>（</w:t>
      </w:r>
      <w:r>
        <w:rPr>
          <w:rFonts w:hint="eastAsia" w:ascii="黑体" w:eastAsia="黑体"/>
          <w:b w:val="0"/>
          <w:sz w:val="24"/>
          <w:lang w:val="en-US" w:eastAsia="zh-CN"/>
        </w:rPr>
        <w:t>格式自拟</w:t>
      </w:r>
      <w:r>
        <w:rPr>
          <w:rFonts w:hint="eastAsia" w:ascii="黑体" w:eastAsia="黑体"/>
          <w:b w:val="0"/>
          <w:sz w:val="24"/>
          <w:lang w:eastAsia="zh-CN"/>
        </w:rPr>
        <w:t>）</w:t>
      </w:r>
    </w:p>
    <w:p w14:paraId="2D37BFB1">
      <w:pPr>
        <w:pStyle w:val="61"/>
        <w:rPr>
          <w:sz w:val="24"/>
        </w:rPr>
      </w:pPr>
      <w:r>
        <w:rPr>
          <w:rFonts w:hint="eastAsia"/>
          <w:b/>
          <w:bCs/>
          <w:color w:val="FF0000"/>
        </w:rPr>
        <w:t>（特别提示：投标人须按本招标文件评标信息中这一评审因素要求，提供详细证明资料）</w:t>
      </w:r>
    </w:p>
    <w:p w14:paraId="0FFD7C16">
      <w:pPr>
        <w:pStyle w:val="5"/>
        <w:jc w:val="center"/>
        <w:rPr>
          <w:rFonts w:hint="eastAsia" w:ascii="黑体" w:eastAsia="黑体"/>
          <w:b w:val="0"/>
          <w:sz w:val="24"/>
          <w:lang w:val="en-US" w:eastAsia="zh-CN"/>
        </w:rPr>
      </w:pPr>
      <w:r>
        <w:rPr>
          <w:rFonts w:hint="eastAsia" w:ascii="黑体" w:eastAsia="黑体"/>
          <w:b w:val="0"/>
          <w:sz w:val="24"/>
          <w:lang w:val="en-US" w:eastAsia="zh-CN"/>
        </w:rPr>
        <w:t>十、进度计划（格式自拟）</w:t>
      </w:r>
    </w:p>
    <w:p w14:paraId="6850ABE0">
      <w:pPr>
        <w:pStyle w:val="5"/>
        <w:jc w:val="center"/>
        <w:rPr>
          <w:rFonts w:hint="eastAsia" w:ascii="Times New Roman" w:hAnsi="Times New Roman" w:eastAsia="宋体" w:cs="Times New Roman"/>
          <w:b/>
          <w:bCs/>
          <w:color w:val="FF0000"/>
          <w:kern w:val="2"/>
          <w:sz w:val="21"/>
          <w:szCs w:val="24"/>
          <w:lang w:val="en-US" w:eastAsia="zh-CN" w:bidi="ar-SA"/>
        </w:rPr>
      </w:pPr>
      <w:r>
        <w:rPr>
          <w:rFonts w:hint="eastAsia" w:ascii="Times New Roman" w:hAnsi="Times New Roman" w:eastAsia="宋体" w:cs="Times New Roman"/>
          <w:b/>
          <w:bCs/>
          <w:color w:val="FF0000"/>
          <w:kern w:val="2"/>
          <w:sz w:val="21"/>
          <w:szCs w:val="24"/>
          <w:lang w:val="en-US" w:eastAsia="zh-CN" w:bidi="ar-SA"/>
        </w:rPr>
        <w:t>（特别提示：投标人须按本招标文件评标信息中这一评审因素要求，提供详细证明资料）</w:t>
      </w:r>
    </w:p>
    <w:p w14:paraId="6F0F49DE">
      <w:pPr>
        <w:pStyle w:val="5"/>
        <w:jc w:val="center"/>
        <w:rPr>
          <w:rFonts w:hint="eastAsia" w:ascii="黑体" w:eastAsia="黑体"/>
          <w:b w:val="0"/>
          <w:sz w:val="24"/>
          <w:lang w:val="en-US" w:eastAsia="zh-CN"/>
        </w:rPr>
      </w:pPr>
      <w:r>
        <w:rPr>
          <w:rFonts w:hint="eastAsia" w:ascii="黑体" w:eastAsia="黑体"/>
          <w:b w:val="0"/>
          <w:sz w:val="24"/>
          <w:lang w:val="en-US" w:eastAsia="zh-CN"/>
        </w:rPr>
        <w:t>十一、制造过程关键工艺质量控制规程性（格式自拟）</w:t>
      </w:r>
    </w:p>
    <w:p w14:paraId="20D8C1C5">
      <w:pPr>
        <w:pStyle w:val="5"/>
        <w:jc w:val="center"/>
        <w:rPr>
          <w:rFonts w:hint="eastAsia" w:ascii="Times New Roman" w:hAnsi="Times New Roman" w:eastAsia="宋体" w:cs="Times New Roman"/>
          <w:b/>
          <w:bCs/>
          <w:color w:val="FF0000"/>
          <w:kern w:val="2"/>
          <w:sz w:val="21"/>
          <w:szCs w:val="24"/>
          <w:lang w:val="en-US" w:eastAsia="zh-CN" w:bidi="ar-SA"/>
        </w:rPr>
      </w:pPr>
      <w:r>
        <w:rPr>
          <w:rFonts w:hint="eastAsia" w:ascii="Times New Roman" w:hAnsi="Times New Roman" w:eastAsia="宋体" w:cs="Times New Roman"/>
          <w:b/>
          <w:bCs/>
          <w:color w:val="FF0000"/>
          <w:kern w:val="2"/>
          <w:sz w:val="21"/>
          <w:szCs w:val="24"/>
          <w:lang w:val="en-US" w:eastAsia="zh-CN" w:bidi="ar-SA"/>
        </w:rPr>
        <w:t>（特别提示：投标人须按本招标文件评标信息中这一评审因素要求，提供详细证明资料）</w:t>
      </w:r>
    </w:p>
    <w:p w14:paraId="128BCEF8">
      <w:pPr>
        <w:pStyle w:val="5"/>
        <w:jc w:val="center"/>
        <w:rPr>
          <w:rFonts w:hint="eastAsia" w:ascii="黑体" w:eastAsia="黑体"/>
          <w:b w:val="0"/>
          <w:sz w:val="24"/>
          <w:lang w:val="en-US" w:eastAsia="zh-CN"/>
        </w:rPr>
      </w:pPr>
      <w:r>
        <w:rPr>
          <w:rFonts w:hint="eastAsia" w:ascii="黑体" w:eastAsia="黑体"/>
          <w:b w:val="0"/>
          <w:sz w:val="24"/>
          <w:lang w:val="en-US" w:eastAsia="zh-CN"/>
        </w:rPr>
        <w:t>十二、关键部件的技术路线说明（格式自拟）</w:t>
      </w:r>
    </w:p>
    <w:p w14:paraId="2396110F">
      <w:pPr>
        <w:pStyle w:val="5"/>
        <w:jc w:val="center"/>
        <w:rPr>
          <w:rFonts w:hint="eastAsia" w:ascii="Times New Roman" w:hAnsi="Times New Roman" w:eastAsia="宋体" w:cs="Times New Roman"/>
          <w:b/>
          <w:bCs/>
          <w:color w:val="FF0000"/>
          <w:kern w:val="2"/>
          <w:sz w:val="21"/>
          <w:szCs w:val="24"/>
          <w:lang w:val="en-US" w:eastAsia="zh-CN" w:bidi="ar-SA"/>
        </w:rPr>
      </w:pPr>
      <w:r>
        <w:rPr>
          <w:rFonts w:hint="eastAsia" w:ascii="Times New Roman" w:hAnsi="Times New Roman" w:eastAsia="宋体" w:cs="Times New Roman"/>
          <w:b/>
          <w:bCs/>
          <w:color w:val="FF0000"/>
          <w:kern w:val="2"/>
          <w:sz w:val="21"/>
          <w:szCs w:val="24"/>
          <w:lang w:val="en-US" w:eastAsia="zh-CN" w:bidi="ar-SA"/>
        </w:rPr>
        <w:t>（特别提示：投标人须按本招标文件评标信息中这一评审因素要求，提供详细证明资料）</w:t>
      </w:r>
    </w:p>
    <w:p w14:paraId="66570BC1">
      <w:pPr>
        <w:pStyle w:val="5"/>
        <w:jc w:val="center"/>
        <w:rPr>
          <w:rFonts w:hint="eastAsia" w:ascii="黑体" w:eastAsia="黑体"/>
          <w:b w:val="0"/>
          <w:sz w:val="24"/>
          <w:lang w:val="en-US" w:eastAsia="zh-CN"/>
        </w:rPr>
      </w:pPr>
      <w:r>
        <w:rPr>
          <w:rFonts w:hint="eastAsia" w:ascii="黑体" w:eastAsia="黑体"/>
          <w:b w:val="0"/>
          <w:sz w:val="24"/>
          <w:lang w:val="en-US" w:eastAsia="zh-CN"/>
        </w:rPr>
        <w:t>十三、同类业绩（格式自拟）</w:t>
      </w:r>
    </w:p>
    <w:p w14:paraId="22D9AE28">
      <w:pPr>
        <w:pStyle w:val="5"/>
        <w:jc w:val="center"/>
        <w:rPr>
          <w:rFonts w:hint="eastAsia" w:ascii="Times New Roman" w:hAnsi="Times New Roman" w:eastAsia="宋体" w:cs="Times New Roman"/>
          <w:b/>
          <w:bCs/>
          <w:color w:val="FF0000"/>
          <w:kern w:val="2"/>
          <w:sz w:val="21"/>
          <w:szCs w:val="24"/>
          <w:lang w:val="en-US" w:eastAsia="zh-CN" w:bidi="ar-SA"/>
        </w:rPr>
      </w:pPr>
      <w:r>
        <w:rPr>
          <w:rFonts w:hint="eastAsia" w:ascii="Times New Roman" w:hAnsi="Times New Roman" w:eastAsia="宋体" w:cs="Times New Roman"/>
          <w:b/>
          <w:bCs/>
          <w:color w:val="FF0000"/>
          <w:kern w:val="2"/>
          <w:sz w:val="21"/>
          <w:szCs w:val="24"/>
          <w:lang w:val="en-US" w:eastAsia="zh-CN" w:bidi="ar-SA"/>
        </w:rPr>
        <w:t>（特别提示：投标人须按本招标文件评标信息中这一评审因素要求，提供详细证明资料）</w:t>
      </w:r>
    </w:p>
    <w:p w14:paraId="0CB06413">
      <w:pPr>
        <w:pStyle w:val="5"/>
        <w:jc w:val="center"/>
        <w:rPr>
          <w:rFonts w:hint="eastAsia" w:ascii="黑体" w:eastAsia="黑体"/>
          <w:b w:val="0"/>
          <w:bCs w:val="0"/>
          <w:sz w:val="24"/>
          <w:szCs w:val="20"/>
        </w:rPr>
      </w:pPr>
      <w:r>
        <w:rPr>
          <w:rFonts w:hint="eastAsia" w:ascii="黑体" w:eastAsia="黑体"/>
          <w:b w:val="0"/>
          <w:bCs w:val="0"/>
          <w:sz w:val="24"/>
          <w:szCs w:val="20"/>
          <w:lang w:val="en-US" w:eastAsia="zh-CN"/>
        </w:rPr>
        <w:t>十四</w:t>
      </w:r>
      <w:r>
        <w:rPr>
          <w:rFonts w:hint="eastAsia" w:ascii="黑体" w:eastAsia="黑体"/>
          <w:b w:val="0"/>
          <w:bCs w:val="0"/>
          <w:sz w:val="24"/>
          <w:szCs w:val="20"/>
        </w:rPr>
        <w:t>、</w:t>
      </w:r>
      <w:bookmarkStart w:id="174" w:name="_Hlk72062872"/>
      <w:r>
        <w:rPr>
          <w:rFonts w:hint="eastAsia" w:ascii="黑体" w:eastAsia="黑体"/>
          <w:b w:val="0"/>
          <w:bCs w:val="0"/>
          <w:sz w:val="24"/>
          <w:szCs w:val="20"/>
        </w:rPr>
        <w:t>投标人认为需要加以说明的其他内容</w:t>
      </w:r>
      <w:bookmarkEnd w:id="174"/>
    </w:p>
    <w:bookmarkEnd w:id="173"/>
    <w:p w14:paraId="0547EA4E">
      <w:pPr>
        <w:widowControl/>
        <w:jc w:val="center"/>
        <w:rPr>
          <w:rFonts w:hint="eastAsia" w:ascii="黑体" w:hAnsi="宋体" w:eastAsia="黑体"/>
          <w:kern w:val="0"/>
          <w:sz w:val="24"/>
          <w:szCs w:val="20"/>
        </w:rPr>
      </w:pPr>
      <w:r>
        <w:rPr>
          <w:rFonts w:hint="eastAsia" w:ascii="黑体" w:hAnsi="宋体" w:eastAsia="黑体"/>
          <w:kern w:val="0"/>
          <w:sz w:val="24"/>
          <w:szCs w:val="20"/>
        </w:rPr>
        <w:t>（一）政府采购违法行为风险知悉确认书</w:t>
      </w:r>
    </w:p>
    <w:p w14:paraId="5331A7F7">
      <w:pPr>
        <w:spacing w:after="120" w:afterLines="50" w:line="360" w:lineRule="exact"/>
        <w:ind w:firstLine="422" w:firstLineChars="200"/>
        <w:rPr>
          <w:rFonts w:hint="eastAsia"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7601"/>
      </w:tblGrid>
      <w:tr w14:paraId="1E49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3140EB58">
            <w:pPr>
              <w:spacing w:line="400" w:lineRule="exact"/>
              <w:jc w:val="center"/>
              <w:rPr>
                <w:rFonts w:hint="eastAsia" w:ascii="宋体" w:hAnsi="宋体" w:cs="宋体"/>
                <w:szCs w:val="21"/>
              </w:rPr>
            </w:pPr>
            <w:r>
              <w:rPr>
                <w:rFonts w:hint="eastAsia" w:ascii="宋体" w:hAnsi="宋体" w:cs="宋体"/>
                <w:szCs w:val="21"/>
              </w:rPr>
              <w:t>序号</w:t>
            </w:r>
          </w:p>
        </w:tc>
        <w:tc>
          <w:tcPr>
            <w:tcW w:w="7811" w:type="dxa"/>
          </w:tcPr>
          <w:p w14:paraId="63C58C5A">
            <w:pPr>
              <w:spacing w:line="400" w:lineRule="exact"/>
              <w:jc w:val="center"/>
              <w:rPr>
                <w:rFonts w:hint="eastAsia" w:ascii="宋体" w:hAnsi="宋体" w:cs="宋体"/>
                <w:szCs w:val="21"/>
              </w:rPr>
            </w:pPr>
            <w:r>
              <w:rPr>
                <w:rFonts w:hint="eastAsia" w:ascii="宋体" w:hAnsi="宋体" w:cs="宋体"/>
                <w:b/>
                <w:bCs/>
                <w:szCs w:val="21"/>
              </w:rPr>
              <w:t>供应商参与投标禁止情形</w:t>
            </w:r>
          </w:p>
        </w:tc>
      </w:tr>
      <w:tr w14:paraId="40BF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EA17B1D">
            <w:pPr>
              <w:spacing w:line="400" w:lineRule="exact"/>
              <w:jc w:val="center"/>
              <w:rPr>
                <w:rFonts w:hint="eastAsia" w:ascii="宋体" w:hAnsi="宋体" w:cs="宋体"/>
                <w:szCs w:val="21"/>
              </w:rPr>
            </w:pPr>
            <w:r>
              <w:rPr>
                <w:rFonts w:hint="eastAsia" w:ascii="宋体" w:hAnsi="宋体" w:cs="宋体"/>
                <w:szCs w:val="21"/>
              </w:rPr>
              <w:t>1</w:t>
            </w:r>
          </w:p>
        </w:tc>
        <w:tc>
          <w:tcPr>
            <w:tcW w:w="7811" w:type="dxa"/>
            <w:vAlign w:val="center"/>
          </w:tcPr>
          <w:p w14:paraId="7375554F">
            <w:pPr>
              <w:spacing w:line="400" w:lineRule="exact"/>
              <w:jc w:val="left"/>
              <w:rPr>
                <w:rFonts w:hint="eastAsia"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2BB5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15EE76F">
            <w:pPr>
              <w:spacing w:line="400" w:lineRule="exact"/>
              <w:jc w:val="center"/>
              <w:rPr>
                <w:rFonts w:hint="eastAsia" w:ascii="宋体" w:hAnsi="宋体" w:cs="宋体"/>
                <w:szCs w:val="21"/>
              </w:rPr>
            </w:pPr>
            <w:r>
              <w:rPr>
                <w:rFonts w:hint="eastAsia" w:ascii="宋体" w:hAnsi="宋体" w:cs="宋体"/>
                <w:szCs w:val="21"/>
              </w:rPr>
              <w:t>2</w:t>
            </w:r>
          </w:p>
        </w:tc>
        <w:tc>
          <w:tcPr>
            <w:tcW w:w="7811" w:type="dxa"/>
            <w:vAlign w:val="center"/>
          </w:tcPr>
          <w:p w14:paraId="24321CFC">
            <w:pPr>
              <w:spacing w:line="400" w:lineRule="exact"/>
              <w:jc w:val="left"/>
              <w:rPr>
                <w:rFonts w:hint="eastAsia"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11D23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9B8F113">
            <w:pPr>
              <w:spacing w:line="400" w:lineRule="exact"/>
              <w:jc w:val="center"/>
              <w:rPr>
                <w:rFonts w:hint="eastAsia" w:ascii="宋体" w:hAnsi="宋体" w:cs="宋体"/>
                <w:szCs w:val="21"/>
              </w:rPr>
            </w:pPr>
            <w:r>
              <w:rPr>
                <w:rFonts w:hint="eastAsia" w:ascii="宋体" w:hAnsi="宋体" w:cs="宋体"/>
                <w:szCs w:val="21"/>
              </w:rPr>
              <w:t>3</w:t>
            </w:r>
          </w:p>
        </w:tc>
        <w:tc>
          <w:tcPr>
            <w:tcW w:w="7811" w:type="dxa"/>
            <w:vAlign w:val="center"/>
          </w:tcPr>
          <w:p w14:paraId="68924C64">
            <w:pPr>
              <w:spacing w:line="400" w:lineRule="exact"/>
              <w:jc w:val="left"/>
              <w:rPr>
                <w:rFonts w:hint="eastAsia"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5DB1D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B7595C5">
            <w:pPr>
              <w:spacing w:line="400" w:lineRule="exact"/>
              <w:jc w:val="center"/>
              <w:rPr>
                <w:rFonts w:hint="eastAsia" w:ascii="宋体" w:hAnsi="宋体" w:cs="宋体"/>
                <w:szCs w:val="21"/>
              </w:rPr>
            </w:pPr>
            <w:r>
              <w:rPr>
                <w:rFonts w:hint="eastAsia" w:ascii="宋体" w:hAnsi="宋体" w:cs="宋体"/>
                <w:szCs w:val="21"/>
              </w:rPr>
              <w:t>4</w:t>
            </w:r>
          </w:p>
        </w:tc>
        <w:tc>
          <w:tcPr>
            <w:tcW w:w="7811" w:type="dxa"/>
            <w:vAlign w:val="center"/>
          </w:tcPr>
          <w:p w14:paraId="60DE67D1">
            <w:pPr>
              <w:spacing w:line="400" w:lineRule="exact"/>
              <w:jc w:val="left"/>
              <w:rPr>
                <w:rFonts w:hint="eastAsia"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0259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20EF0F3A">
            <w:pPr>
              <w:spacing w:line="400" w:lineRule="exact"/>
              <w:jc w:val="center"/>
              <w:rPr>
                <w:rFonts w:hint="eastAsia" w:ascii="宋体" w:hAnsi="宋体" w:cs="宋体"/>
                <w:szCs w:val="21"/>
              </w:rPr>
            </w:pPr>
            <w:r>
              <w:rPr>
                <w:rFonts w:hint="eastAsia" w:ascii="宋体" w:hAnsi="宋体" w:cs="宋体"/>
                <w:szCs w:val="21"/>
              </w:rPr>
              <w:t>5</w:t>
            </w:r>
          </w:p>
        </w:tc>
        <w:tc>
          <w:tcPr>
            <w:tcW w:w="7811" w:type="dxa"/>
            <w:vAlign w:val="center"/>
          </w:tcPr>
          <w:p w14:paraId="55265CB6">
            <w:pPr>
              <w:spacing w:line="400" w:lineRule="exact"/>
              <w:jc w:val="left"/>
              <w:rPr>
                <w:rFonts w:hint="eastAsia"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4C2F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C8F40ED">
            <w:pPr>
              <w:spacing w:line="400" w:lineRule="exact"/>
              <w:jc w:val="center"/>
              <w:rPr>
                <w:rFonts w:hint="eastAsia" w:ascii="宋体" w:hAnsi="宋体" w:cs="宋体"/>
                <w:szCs w:val="21"/>
              </w:rPr>
            </w:pPr>
            <w:r>
              <w:rPr>
                <w:rFonts w:hint="eastAsia" w:ascii="宋体" w:hAnsi="宋体" w:cs="宋体"/>
                <w:szCs w:val="21"/>
              </w:rPr>
              <w:t>6</w:t>
            </w:r>
          </w:p>
        </w:tc>
        <w:tc>
          <w:tcPr>
            <w:tcW w:w="7811" w:type="dxa"/>
            <w:vAlign w:val="center"/>
          </w:tcPr>
          <w:p w14:paraId="1D04F746">
            <w:pPr>
              <w:spacing w:line="400" w:lineRule="exact"/>
              <w:jc w:val="left"/>
              <w:rPr>
                <w:rFonts w:hint="eastAsia" w:ascii="宋体" w:hAnsi="宋体" w:cs="宋体"/>
                <w:szCs w:val="21"/>
              </w:rPr>
            </w:pPr>
            <w:r>
              <w:rPr>
                <w:rFonts w:hint="eastAsia" w:ascii="宋体" w:hAnsi="宋体" w:cs="宋体"/>
                <w:szCs w:val="21"/>
              </w:rPr>
              <w:t>擅自将投标密钥或电子营业执照出借他人使用或未妥善保管。</w:t>
            </w:r>
          </w:p>
        </w:tc>
      </w:tr>
    </w:tbl>
    <w:p w14:paraId="622B66AC">
      <w:pPr>
        <w:spacing w:before="120" w:beforeLines="50" w:line="380" w:lineRule="exact"/>
        <w:ind w:firstLine="422" w:firstLineChars="200"/>
        <w:rPr>
          <w:rFonts w:hint="eastAsia" w:ascii="宋体" w:hAnsi="宋体" w:cs="宋体"/>
          <w:b/>
          <w:szCs w:val="21"/>
        </w:rPr>
      </w:pPr>
      <w:r>
        <w:rPr>
          <w:rFonts w:hint="eastAsia" w:ascii="宋体" w:hAnsi="宋体" w:cs="宋体"/>
          <w:b/>
          <w:szCs w:val="21"/>
        </w:rPr>
        <w:t>一、我单位已充分知悉“隐瞒真实情况，提供虚假资料”的法定情形，包括但不限于：</w:t>
      </w:r>
    </w:p>
    <w:p w14:paraId="6BEB8B6E">
      <w:pPr>
        <w:spacing w:line="380" w:lineRule="exact"/>
        <w:ind w:firstLine="420" w:firstLineChars="200"/>
        <w:rPr>
          <w:rFonts w:hint="eastAsia" w:ascii="宋体" w:hAnsi="宋体" w:cs="宋体"/>
          <w:szCs w:val="21"/>
        </w:rPr>
      </w:pPr>
      <w:r>
        <w:rPr>
          <w:rFonts w:hint="eastAsia" w:ascii="宋体" w:hAnsi="宋体" w:cs="宋体"/>
          <w:szCs w:val="21"/>
        </w:rPr>
        <w:t>（一）通过转让或者租借等方式从其他单位获取资格或者资质证书投标的。</w:t>
      </w:r>
    </w:p>
    <w:p w14:paraId="1928C71B">
      <w:pPr>
        <w:spacing w:line="380" w:lineRule="exact"/>
        <w:ind w:firstLine="420" w:firstLineChars="200"/>
        <w:rPr>
          <w:rFonts w:hint="eastAsia"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7B9F7388">
      <w:pPr>
        <w:spacing w:line="380" w:lineRule="exact"/>
        <w:ind w:firstLine="420" w:firstLineChars="200"/>
        <w:rPr>
          <w:rFonts w:hint="eastAsia" w:ascii="宋体" w:hAnsi="宋体" w:cs="宋体"/>
          <w:szCs w:val="21"/>
        </w:rPr>
      </w:pPr>
      <w:r>
        <w:rPr>
          <w:rFonts w:hint="eastAsia" w:ascii="宋体" w:hAnsi="宋体" w:cs="宋体"/>
          <w:szCs w:val="21"/>
        </w:rPr>
        <w:t>（三）项目负责人或者主要技术人员不是本单位人员的。</w:t>
      </w:r>
    </w:p>
    <w:p w14:paraId="6181A595">
      <w:pPr>
        <w:spacing w:line="380" w:lineRule="exact"/>
        <w:ind w:firstLine="420" w:firstLineChars="200"/>
        <w:rPr>
          <w:rFonts w:hint="eastAsia" w:ascii="宋体" w:hAnsi="宋体" w:cs="宋体"/>
          <w:szCs w:val="21"/>
        </w:rPr>
      </w:pPr>
      <w:r>
        <w:rPr>
          <w:rFonts w:hint="eastAsia" w:ascii="宋体" w:hAnsi="宋体" w:cs="宋体"/>
          <w:szCs w:val="21"/>
        </w:rPr>
        <w:t>（四）投标（应答）保证金不是从投标供应商基本账户转出的。</w:t>
      </w:r>
    </w:p>
    <w:p w14:paraId="7D3D0FE4">
      <w:pPr>
        <w:spacing w:line="380" w:lineRule="exact"/>
        <w:ind w:firstLine="420" w:firstLineChars="200"/>
        <w:rPr>
          <w:rFonts w:hint="eastAsia" w:ascii="宋体" w:hAnsi="宋体" w:cs="宋体"/>
          <w:szCs w:val="21"/>
        </w:rPr>
      </w:pPr>
      <w:r>
        <w:rPr>
          <w:rFonts w:hint="eastAsia" w:ascii="宋体" w:hAnsi="宋体" w:cs="宋体"/>
          <w:szCs w:val="21"/>
        </w:rPr>
        <w:t>（五）其他隐瞒真实情况、提供虚假资料的行为。</w:t>
      </w:r>
    </w:p>
    <w:p w14:paraId="41D16D3F">
      <w:pPr>
        <w:spacing w:line="380" w:lineRule="exact"/>
        <w:ind w:firstLine="422" w:firstLineChars="200"/>
        <w:rPr>
          <w:rFonts w:hint="eastAsia" w:ascii="宋体" w:hAnsi="宋体" w:cs="宋体"/>
          <w:b/>
          <w:szCs w:val="21"/>
        </w:rPr>
      </w:pPr>
      <w:r>
        <w:rPr>
          <w:rFonts w:hint="eastAsia" w:ascii="宋体" w:hAnsi="宋体" w:cs="宋体"/>
          <w:b/>
          <w:szCs w:val="21"/>
        </w:rPr>
        <w:t>二、我单位已充分知悉“与其他采购参加人串通投标”的法定情形，包括但不限于：</w:t>
      </w:r>
    </w:p>
    <w:p w14:paraId="7F87F6DE">
      <w:pPr>
        <w:spacing w:line="380" w:lineRule="exact"/>
        <w:ind w:firstLine="420" w:firstLineChars="200"/>
        <w:rPr>
          <w:rFonts w:hint="eastAsia" w:ascii="宋体" w:hAnsi="宋体" w:cs="宋体"/>
          <w:szCs w:val="21"/>
        </w:rPr>
      </w:pPr>
      <w:r>
        <w:rPr>
          <w:rFonts w:hint="eastAsia" w:ascii="宋体" w:hAnsi="宋体" w:cs="宋体"/>
          <w:szCs w:val="21"/>
        </w:rPr>
        <w:t>（一）投标供应商之间相互约定给予未中标的供应商利益补偿。</w:t>
      </w:r>
    </w:p>
    <w:p w14:paraId="52672EBD">
      <w:pPr>
        <w:spacing w:line="380" w:lineRule="exact"/>
        <w:ind w:firstLine="420" w:firstLineChars="200"/>
        <w:rPr>
          <w:rFonts w:hint="eastAsia"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2D77CFEE">
      <w:pPr>
        <w:spacing w:line="340" w:lineRule="exact"/>
        <w:ind w:firstLine="420" w:firstLineChars="200"/>
        <w:rPr>
          <w:rFonts w:hint="eastAsia"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04F1EF1D">
      <w:pPr>
        <w:spacing w:line="340" w:lineRule="exact"/>
        <w:ind w:firstLine="420" w:firstLineChars="200"/>
        <w:rPr>
          <w:rFonts w:hint="eastAsia" w:ascii="宋体" w:hAnsi="宋体" w:cs="宋体"/>
          <w:szCs w:val="21"/>
        </w:rPr>
      </w:pPr>
      <w:r>
        <w:rPr>
          <w:rFonts w:hint="eastAsia" w:ascii="宋体" w:hAnsi="宋体" w:cs="宋体"/>
          <w:szCs w:val="21"/>
        </w:rPr>
        <w:t>（四）不同投标供应商的投标文件或部分投标文件相互混装。</w:t>
      </w:r>
    </w:p>
    <w:p w14:paraId="5B9A3AF1">
      <w:pPr>
        <w:spacing w:line="340" w:lineRule="exact"/>
        <w:ind w:firstLine="420" w:firstLineChars="200"/>
        <w:rPr>
          <w:rFonts w:hint="eastAsia" w:ascii="宋体" w:hAnsi="宋体" w:cs="宋体"/>
          <w:szCs w:val="21"/>
        </w:rPr>
      </w:pPr>
      <w:r>
        <w:rPr>
          <w:rFonts w:hint="eastAsia" w:ascii="宋体" w:hAnsi="宋体" w:cs="宋体"/>
          <w:szCs w:val="21"/>
        </w:rPr>
        <w:t>（五）不同投标供应商的投标文件内容存在非正常一致。</w:t>
      </w:r>
    </w:p>
    <w:p w14:paraId="08B1C830">
      <w:pPr>
        <w:spacing w:line="340" w:lineRule="exact"/>
        <w:ind w:firstLine="420" w:firstLineChars="200"/>
        <w:rPr>
          <w:rFonts w:hint="eastAsia" w:ascii="宋体" w:hAnsi="宋体" w:cs="宋体"/>
          <w:szCs w:val="21"/>
        </w:rPr>
      </w:pPr>
      <w:r>
        <w:rPr>
          <w:rFonts w:hint="eastAsia" w:ascii="宋体" w:hAnsi="宋体" w:cs="宋体"/>
          <w:szCs w:val="21"/>
        </w:rPr>
        <w:t>（六）由同一单位工作人员为两家以上（含两家）供应商进行同一项投标活动的。</w:t>
      </w:r>
    </w:p>
    <w:p w14:paraId="26E902B1">
      <w:pPr>
        <w:spacing w:line="340" w:lineRule="exact"/>
        <w:ind w:firstLine="420" w:firstLineChars="200"/>
        <w:rPr>
          <w:rFonts w:hint="eastAsia" w:ascii="宋体" w:hAnsi="宋体" w:cs="宋体"/>
          <w:szCs w:val="21"/>
        </w:rPr>
      </w:pPr>
      <w:r>
        <w:rPr>
          <w:rFonts w:hint="eastAsia" w:ascii="宋体" w:hAnsi="宋体" w:cs="宋体"/>
          <w:szCs w:val="21"/>
        </w:rPr>
        <w:t>（七）不同投标人的投标报价呈规律性差异。</w:t>
      </w:r>
    </w:p>
    <w:p w14:paraId="23A5705E">
      <w:pPr>
        <w:spacing w:line="340" w:lineRule="exact"/>
        <w:ind w:firstLine="420" w:firstLineChars="200"/>
        <w:rPr>
          <w:rFonts w:hint="eastAsia" w:ascii="宋体" w:hAnsi="宋体" w:cs="宋体"/>
          <w:szCs w:val="21"/>
        </w:rPr>
      </w:pPr>
      <w:r>
        <w:rPr>
          <w:rFonts w:hint="eastAsia" w:ascii="宋体" w:hAnsi="宋体" w:cs="宋体"/>
          <w:szCs w:val="21"/>
        </w:rPr>
        <w:t>（八）不同投标人的投标保证金从同一单位或者个人的账户转出。</w:t>
      </w:r>
    </w:p>
    <w:p w14:paraId="6CB920C4">
      <w:pPr>
        <w:spacing w:line="340" w:lineRule="exact"/>
        <w:ind w:firstLine="420" w:firstLineChars="200"/>
        <w:rPr>
          <w:rFonts w:hint="eastAsia" w:ascii="宋体" w:hAnsi="宋体" w:cs="宋体"/>
          <w:szCs w:val="21"/>
        </w:rPr>
      </w:pPr>
      <w:r>
        <w:rPr>
          <w:rFonts w:hint="eastAsia" w:ascii="宋体" w:hAnsi="宋体" w:cs="宋体"/>
          <w:szCs w:val="21"/>
        </w:rPr>
        <w:t>（九）主管部门依照法律、法规认定的其他情形。</w:t>
      </w:r>
    </w:p>
    <w:p w14:paraId="46C4DAD9">
      <w:pPr>
        <w:spacing w:line="340" w:lineRule="exact"/>
        <w:ind w:firstLine="422" w:firstLineChars="200"/>
        <w:rPr>
          <w:rFonts w:hint="eastAsia" w:ascii="宋体" w:hAnsi="宋体" w:cs="宋体"/>
          <w:b/>
          <w:szCs w:val="21"/>
        </w:rPr>
      </w:pPr>
      <w:r>
        <w:rPr>
          <w:rFonts w:hint="eastAsia" w:ascii="宋体" w:hAnsi="宋体" w:cs="宋体"/>
          <w:b/>
          <w:szCs w:val="21"/>
        </w:rPr>
        <w:t>三、我单位已充分知悉下列情形存在法律风险，在投标前已对相关风险事项进行排查。</w:t>
      </w:r>
    </w:p>
    <w:p w14:paraId="651898FD">
      <w:pPr>
        <w:spacing w:line="340" w:lineRule="exact"/>
        <w:ind w:firstLine="420" w:firstLineChars="200"/>
        <w:rPr>
          <w:rFonts w:hint="eastAsia"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7507820E">
      <w:pPr>
        <w:spacing w:line="340" w:lineRule="exact"/>
        <w:ind w:firstLine="420" w:firstLineChars="200"/>
        <w:rPr>
          <w:rFonts w:hint="eastAsia"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79D28162">
      <w:pPr>
        <w:spacing w:line="340" w:lineRule="exact"/>
        <w:ind w:firstLine="420" w:firstLineChars="200"/>
        <w:rPr>
          <w:rFonts w:hint="eastAsia"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7F0C5864">
      <w:pPr>
        <w:spacing w:line="340" w:lineRule="exact"/>
        <w:ind w:firstLine="422" w:firstLineChars="200"/>
        <w:rPr>
          <w:rFonts w:hint="eastAsia" w:ascii="宋体" w:hAnsi="宋体" w:cs="宋体"/>
          <w:b/>
          <w:szCs w:val="21"/>
        </w:rPr>
      </w:pPr>
      <w:r>
        <w:rPr>
          <w:rFonts w:hint="eastAsia" w:ascii="宋体" w:hAnsi="宋体" w:cs="宋体"/>
          <w:b/>
          <w:szCs w:val="21"/>
        </w:rPr>
        <w:t>四、我单位已充分知悉政府采购违法、违规行为的法律后果。</w:t>
      </w:r>
    </w:p>
    <w:p w14:paraId="22728894">
      <w:pPr>
        <w:spacing w:line="340" w:lineRule="exact"/>
        <w:ind w:firstLine="420" w:firstLineChars="200"/>
        <w:rPr>
          <w:rFonts w:hint="eastAsia"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6FF424C8">
      <w:pPr>
        <w:spacing w:line="340" w:lineRule="exact"/>
        <w:ind w:firstLine="420" w:firstLineChars="200"/>
        <w:rPr>
          <w:rFonts w:hint="eastAsia"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15F631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E7ADE16">
            <w:pPr>
              <w:autoSpaceDE w:val="0"/>
              <w:autoSpaceDN w:val="0"/>
              <w:spacing w:line="340" w:lineRule="exact"/>
              <w:ind w:firstLine="1866"/>
              <w:rPr>
                <w:rFonts w:hint="eastAsia" w:ascii="宋体" w:hAnsi="宋体" w:cs="宋体" w:eastAsiaTheme="minorEastAsia"/>
                <w:spacing w:val="-4"/>
                <w:kern w:val="0"/>
                <w:szCs w:val="21"/>
              </w:rPr>
            </w:pPr>
          </w:p>
        </w:tc>
      </w:tr>
      <w:tr w14:paraId="1B4312F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4A4FE5B">
            <w:pPr>
              <w:autoSpaceDE w:val="0"/>
              <w:autoSpaceDN w:val="0"/>
              <w:spacing w:line="340" w:lineRule="exact"/>
              <w:ind w:firstLine="1866"/>
              <w:rPr>
                <w:rFonts w:hint="eastAsia" w:ascii="宋体" w:hAnsi="宋体" w:cs="宋体" w:eastAsiaTheme="minorEastAsia"/>
                <w:spacing w:val="-4"/>
                <w:kern w:val="0"/>
                <w:szCs w:val="21"/>
              </w:rPr>
            </w:pPr>
          </w:p>
        </w:tc>
      </w:tr>
      <w:tr w14:paraId="3C50A7F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33B2215D">
            <w:pPr>
              <w:autoSpaceDE w:val="0"/>
              <w:autoSpaceDN w:val="0"/>
              <w:spacing w:line="340" w:lineRule="exact"/>
              <w:ind w:firstLine="1866"/>
              <w:rPr>
                <w:rFonts w:hint="eastAsia" w:ascii="宋体" w:hAnsi="宋体" w:cs="宋体" w:eastAsiaTheme="minorEastAsia"/>
                <w:spacing w:val="-4"/>
                <w:kern w:val="0"/>
                <w:szCs w:val="21"/>
              </w:rPr>
            </w:pPr>
          </w:p>
        </w:tc>
      </w:tr>
      <w:tr w14:paraId="4D379D0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22E06C7C">
            <w:pPr>
              <w:autoSpaceDE w:val="0"/>
              <w:autoSpaceDN w:val="0"/>
              <w:spacing w:line="340" w:lineRule="exact"/>
              <w:ind w:firstLine="1866"/>
              <w:rPr>
                <w:rFonts w:hint="eastAsia" w:ascii="宋体" w:hAnsi="宋体" w:cs="宋体" w:eastAsiaTheme="minorEastAsia"/>
                <w:spacing w:val="-4"/>
                <w:kern w:val="0"/>
                <w:szCs w:val="21"/>
              </w:rPr>
            </w:pPr>
          </w:p>
        </w:tc>
      </w:tr>
    </w:tbl>
    <w:p w14:paraId="1221590C">
      <w:pPr>
        <w:widowControl/>
        <w:wordWrap w:val="0"/>
        <w:autoSpaceDE w:val="0"/>
        <w:autoSpaceDN w:val="0"/>
        <w:spacing w:line="340" w:lineRule="exact"/>
        <w:ind w:right="808" w:firstLine="404" w:firstLineChars="200"/>
        <w:jc w:val="right"/>
        <w:rPr>
          <w:rFonts w:hint="eastAsia" w:ascii="宋体" w:hAnsi="宋体" w:cs="宋体"/>
          <w:spacing w:val="-4"/>
          <w:kern w:val="0"/>
          <w:szCs w:val="21"/>
        </w:rPr>
      </w:pPr>
    </w:p>
    <w:p w14:paraId="4B94A458">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7FD6A7E5">
      <w:pPr>
        <w:widowControl/>
        <w:wordWrap w:val="0"/>
        <w:autoSpaceDE w:val="0"/>
        <w:autoSpaceDN w:val="0"/>
        <w:spacing w:line="340" w:lineRule="exact"/>
        <w:ind w:right="808" w:firstLine="404" w:firstLineChars="200"/>
        <w:jc w:val="center"/>
        <w:rPr>
          <w:rFonts w:hint="eastAsia" w:ascii="宋体" w:hAnsi="宋体" w:cs="宋体"/>
          <w:spacing w:val="-4"/>
          <w:kern w:val="0"/>
          <w:szCs w:val="21"/>
          <w:u w:val="single"/>
        </w:rPr>
      </w:pPr>
      <w:r>
        <w:rPr>
          <w:rFonts w:hint="eastAsia" w:ascii="宋体" w:hAnsi="宋体" w:cs="宋体"/>
          <w:spacing w:val="-4"/>
          <w:kern w:val="0"/>
          <w:szCs w:val="21"/>
        </w:rPr>
        <w:t xml:space="preserve">                                 （加盖公章）</w:t>
      </w:r>
    </w:p>
    <w:p w14:paraId="242ED9BE">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136A5BB0">
      <w:pPr>
        <w:widowControl/>
        <w:autoSpaceDE w:val="0"/>
        <w:autoSpaceDN w:val="0"/>
        <w:spacing w:line="340" w:lineRule="exact"/>
        <w:ind w:firstLine="406" w:firstLineChars="200"/>
        <w:jc w:val="left"/>
        <w:rPr>
          <w:rFonts w:hint="eastAsia" w:ascii="宋体" w:hAnsi="宋体" w:cs="宋体"/>
          <w:b/>
          <w:bCs/>
          <w:spacing w:val="-4"/>
          <w:kern w:val="0"/>
          <w:szCs w:val="21"/>
        </w:rPr>
      </w:pPr>
    </w:p>
    <w:p w14:paraId="6E591EB7">
      <w:pPr>
        <w:widowControl/>
        <w:autoSpaceDE w:val="0"/>
        <w:autoSpaceDN w:val="0"/>
        <w:spacing w:line="340" w:lineRule="exact"/>
        <w:ind w:firstLine="406" w:firstLineChars="200"/>
        <w:jc w:val="left"/>
        <w:rPr>
          <w:rFonts w:hint="eastAsia"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79F57596">
      <w:pPr>
        <w:widowControl/>
        <w:autoSpaceDE w:val="0"/>
        <w:autoSpaceDN w:val="0"/>
        <w:spacing w:line="340" w:lineRule="exact"/>
        <w:ind w:firstLine="406" w:firstLineChars="200"/>
        <w:jc w:val="left"/>
        <w:rPr>
          <w:rFonts w:hint="eastAsia" w:ascii="宋体" w:hAnsi="宋体" w:cs="宋体"/>
          <w:b/>
          <w:bCs/>
          <w:spacing w:val="-4"/>
          <w:kern w:val="0"/>
          <w:szCs w:val="21"/>
        </w:rPr>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1985EC06">
      <w:pPr>
        <w:widowControl/>
        <w:autoSpaceDE w:val="0"/>
        <w:autoSpaceDN w:val="0"/>
        <w:spacing w:line="400" w:lineRule="exact"/>
        <w:jc w:val="left"/>
        <w:rPr>
          <w:rFonts w:hint="eastAsia" w:ascii="宋体" w:hAnsi="宋体" w:eastAsiaTheme="minorEastAsia"/>
          <w:color w:val="FF0000"/>
          <w:spacing w:val="-4"/>
          <w:kern w:val="0"/>
          <w:szCs w:val="21"/>
        </w:rPr>
      </w:pPr>
    </w:p>
    <w:p w14:paraId="1993DCDE">
      <w:pPr>
        <w:jc w:val="center"/>
        <w:rPr>
          <w:rFonts w:ascii="黑体" w:eastAsia="黑体"/>
          <w:sz w:val="24"/>
          <w:szCs w:val="20"/>
        </w:rPr>
      </w:pPr>
      <w:r>
        <w:rPr>
          <w:rFonts w:hint="eastAsia" w:ascii="黑体" w:eastAsia="黑体"/>
          <w:sz w:val="24"/>
          <w:szCs w:val="20"/>
        </w:rPr>
        <w:t>（二）订单融资情况</w:t>
      </w:r>
    </w:p>
    <w:p w14:paraId="6EB0097C">
      <w:pPr>
        <w:ind w:firstLine="422" w:firstLineChars="200"/>
        <w:rPr>
          <w:rFonts w:hint="eastAsia" w:ascii="宋体" w:hAnsi="宋体" w:cs="宋体"/>
          <w:b/>
          <w:bCs/>
        </w:rPr>
      </w:pPr>
      <w:r>
        <w:rPr>
          <w:rFonts w:hint="eastAsia" w:ascii="宋体" w:hAnsi="宋体" w:cs="宋体"/>
          <w:b/>
          <w:bCs/>
        </w:rPr>
        <w:t>1.关于政府采购订单融资政策</w:t>
      </w:r>
    </w:p>
    <w:p w14:paraId="2A0F6082">
      <w:pPr>
        <w:pStyle w:val="2"/>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0B3D31E5">
      <w:pPr>
        <w:ind w:firstLine="422" w:firstLineChars="200"/>
        <w:rPr>
          <w:rFonts w:hint="eastAsia" w:ascii="宋体" w:hAnsi="宋体" w:cs="宋体"/>
          <w:b/>
          <w:bCs/>
        </w:rPr>
      </w:pPr>
      <w:r>
        <w:rPr>
          <w:rFonts w:hint="eastAsia" w:ascii="宋体" w:hAnsi="宋体" w:cs="宋体"/>
          <w:b/>
          <w:bCs/>
        </w:rPr>
        <w:t>2.供应商账户信息</w:t>
      </w:r>
    </w:p>
    <w:p w14:paraId="5A5028B6">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1523C33">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439BF7CA">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DD76F0A">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r>
        <w:rPr>
          <w:rFonts w:hint="eastAsia"/>
          <w:szCs w:val="21"/>
          <w:u w:val="thick"/>
        </w:rPr>
        <w:t xml:space="preserve">               </w:t>
      </w:r>
    </w:p>
    <w:p w14:paraId="4D57ADB4">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6B248E3E">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786E9C5D">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5DC1F8DD">
      <w:pPr>
        <w:ind w:left="420" w:leftChars="200" w:firstLine="210" w:firstLineChars="100"/>
        <w:rPr>
          <w:szCs w:val="21"/>
        </w:rPr>
      </w:pPr>
    </w:p>
    <w:p w14:paraId="5113B05F">
      <w:pPr>
        <w:pStyle w:val="2"/>
        <w:spacing w:line="240" w:lineRule="auto"/>
        <w:ind w:firstLine="422" w:firstLineChars="200"/>
        <w:rPr>
          <w:color w:val="FF0000"/>
          <w:sz w:val="21"/>
          <w:szCs w:val="21"/>
        </w:rPr>
      </w:pPr>
      <w:r>
        <w:rPr>
          <w:rFonts w:hint="eastAsia"/>
          <w:color w:val="FF0000"/>
          <w:sz w:val="21"/>
          <w:szCs w:val="21"/>
        </w:rPr>
        <w:t>注：本项填写内容作为订单融资开展的参考信息，不作为供应商资格性审查及符合性审查条件。</w:t>
      </w:r>
    </w:p>
    <w:p w14:paraId="1401247A">
      <w:pPr>
        <w:pStyle w:val="2"/>
        <w:spacing w:line="240" w:lineRule="auto"/>
        <w:ind w:firstLine="420" w:firstLineChars="200"/>
        <w:rPr>
          <w:b w:val="0"/>
          <w:sz w:val="21"/>
          <w:szCs w:val="21"/>
        </w:rPr>
      </w:pPr>
    </w:p>
    <w:p w14:paraId="5201A333">
      <w:pPr>
        <w:widowControl/>
        <w:jc w:val="center"/>
        <w:rPr>
          <w:rFonts w:hint="eastAsia"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0BFB8B37">
      <w:pPr>
        <w:widowControl/>
        <w:jc w:val="left"/>
        <w:rPr>
          <w:b/>
          <w:sz w:val="32"/>
          <w:szCs w:val="32"/>
        </w:rPr>
      </w:pPr>
      <w:r>
        <w:rPr>
          <w:b/>
          <w:sz w:val="32"/>
          <w:szCs w:val="32"/>
        </w:rPr>
        <w:br w:type="page"/>
      </w:r>
    </w:p>
    <w:p w14:paraId="1265819B">
      <w:pPr>
        <w:pStyle w:val="7"/>
        <w:rPr>
          <w:rFonts w:hint="eastAsia"/>
          <w:sz w:val="28"/>
          <w:szCs w:val="28"/>
        </w:rPr>
      </w:pPr>
      <w:r>
        <w:rPr>
          <w:rFonts w:hint="eastAsia"/>
          <w:sz w:val="28"/>
          <w:szCs w:val="28"/>
        </w:rPr>
        <w:t>第五章  合同条款及格式</w:t>
      </w:r>
    </w:p>
    <w:p w14:paraId="2C852DE2"/>
    <w:p w14:paraId="3CCAFFD8">
      <w:pPr>
        <w:jc w:val="center"/>
      </w:pPr>
      <w:bookmarkStart w:id="175" w:name="_Toc3995"/>
      <w:r>
        <w:rPr>
          <w:rFonts w:hint="eastAsia"/>
          <w:b/>
          <w:sz w:val="24"/>
        </w:rPr>
        <w:t>（仅供参考，具体以项目需求及采购结果为准）</w:t>
      </w:r>
    </w:p>
    <w:p w14:paraId="65F43A51">
      <w:pPr>
        <w:jc w:val="center"/>
        <w:rPr>
          <w:rFonts w:hint="eastAsia" w:ascii="宋体" w:hAnsi="宋体" w:cs="宋体"/>
          <w:b/>
          <w:bCs/>
          <w:spacing w:val="-20"/>
          <w:kern w:val="44"/>
          <w:sz w:val="48"/>
          <w:szCs w:val="48"/>
        </w:rPr>
      </w:pPr>
    </w:p>
    <w:p w14:paraId="5C051BC0">
      <w:pPr>
        <w:jc w:val="center"/>
        <w:rPr>
          <w:rFonts w:hint="eastAsia" w:ascii="宋体" w:hAnsi="宋体" w:cs="宋体"/>
          <w:b/>
          <w:bCs/>
          <w:spacing w:val="-20"/>
          <w:kern w:val="44"/>
          <w:sz w:val="48"/>
          <w:szCs w:val="48"/>
        </w:rPr>
      </w:pPr>
    </w:p>
    <w:p w14:paraId="62F02561">
      <w:pPr>
        <w:pStyle w:val="2"/>
      </w:pPr>
    </w:p>
    <w:p w14:paraId="38F9B8E0">
      <w:pPr>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026C21A2">
      <w:pPr>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（试行）</w:t>
      </w:r>
    </w:p>
    <w:p w14:paraId="45986299">
      <w:pPr>
        <w:rPr>
          <w:rFonts w:hint="eastAsia" w:ascii="宋体" w:hAnsi="宋体" w:cs="宋体"/>
          <w:b/>
          <w:bCs/>
          <w:spacing w:val="-20"/>
          <w:kern w:val="44"/>
          <w:sz w:val="40"/>
          <w:szCs w:val="40"/>
        </w:rPr>
      </w:pPr>
    </w:p>
    <w:p w14:paraId="44ACD120">
      <w:pPr>
        <w:rPr>
          <w:rFonts w:hint="eastAsia" w:ascii="宋体" w:hAnsi="宋体" w:cs="宋体"/>
          <w:b/>
          <w:bCs/>
          <w:spacing w:val="-20"/>
          <w:kern w:val="44"/>
          <w:sz w:val="40"/>
          <w:szCs w:val="40"/>
        </w:rPr>
      </w:pPr>
    </w:p>
    <w:p w14:paraId="71B3BC03">
      <w:pPr>
        <w:rPr>
          <w:rFonts w:hint="eastAsia" w:ascii="宋体" w:hAnsi="宋体" w:cs="宋体"/>
          <w:b/>
          <w:bCs/>
          <w:spacing w:val="-20"/>
          <w:kern w:val="44"/>
          <w:sz w:val="40"/>
          <w:szCs w:val="40"/>
        </w:rPr>
      </w:pPr>
    </w:p>
    <w:p w14:paraId="3821E9B6">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4E67E5F1">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50EE87B8">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2CCCCB84">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03172E1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BBB6A43"/>
    <w:p w14:paraId="0840E37A">
      <w:pPr>
        <w:rPr>
          <w:rFonts w:eastAsia="黑体"/>
          <w:sz w:val="44"/>
          <w:szCs w:val="44"/>
        </w:rPr>
      </w:pPr>
      <w:r>
        <w:rPr>
          <w:rFonts w:eastAsia="黑体"/>
          <w:sz w:val="44"/>
          <w:szCs w:val="44"/>
        </w:rPr>
        <w:br w:type="page"/>
      </w:r>
    </w:p>
    <w:p w14:paraId="4538A18F">
      <w:pPr>
        <w:rPr>
          <w:rFonts w:eastAsia="黑体"/>
          <w:sz w:val="44"/>
          <w:szCs w:val="44"/>
        </w:rPr>
      </w:pPr>
    </w:p>
    <w:p w14:paraId="20317123">
      <w:pPr>
        <w:rPr>
          <w:rFonts w:eastAsia="黑体"/>
          <w:sz w:val="44"/>
          <w:szCs w:val="44"/>
        </w:rPr>
      </w:pPr>
    </w:p>
    <w:p w14:paraId="6804D13A">
      <w:pPr>
        <w:jc w:val="center"/>
        <w:rPr>
          <w:rFonts w:eastAsia="黑体"/>
          <w:sz w:val="44"/>
          <w:szCs w:val="44"/>
        </w:rPr>
      </w:pPr>
      <w:r>
        <w:rPr>
          <w:rFonts w:hint="eastAsia" w:eastAsia="黑体"/>
          <w:sz w:val="44"/>
          <w:szCs w:val="44"/>
        </w:rPr>
        <w:t>使 用 说 明</w:t>
      </w:r>
    </w:p>
    <w:p w14:paraId="372A2CA9">
      <w:pPr>
        <w:ind w:firstLine="640" w:firstLineChars="200"/>
        <w:rPr>
          <w:rFonts w:hint="eastAsia" w:ascii="仿宋_GB2312" w:hAnsi="仿宋_GB2312" w:eastAsia="仿宋_GB2312" w:cs="仿宋_GB2312"/>
          <w:sz w:val="32"/>
          <w:szCs w:val="32"/>
        </w:rPr>
      </w:pPr>
    </w:p>
    <w:p w14:paraId="037D97F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68770178">
      <w:pPr>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40F7B0F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7EE37745">
      <w:pPr>
        <w:pStyle w:val="2"/>
      </w:pPr>
      <w:r>
        <w:br w:type="page"/>
      </w:r>
    </w:p>
    <w:bookmarkEnd w:id="175"/>
    <w:p w14:paraId="6860B8E3">
      <w:pPr>
        <w:keepNext/>
        <w:keepLines/>
        <w:adjustRightInd w:val="0"/>
        <w:snapToGrid w:val="0"/>
        <w:spacing w:line="400" w:lineRule="exact"/>
        <w:jc w:val="center"/>
        <w:rPr>
          <w:rFonts w:hint="eastAsia" w:ascii="黑体" w:hAnsi="华文中宋" w:eastAsia="黑体"/>
          <w:sz w:val="28"/>
          <w:szCs w:val="28"/>
        </w:rPr>
      </w:pPr>
      <w:bookmarkStart w:id="176" w:name="_Toc22209"/>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76"/>
    </w:p>
    <w:p w14:paraId="424DDCFD">
      <w:pPr>
        <w:adjustRightInd w:val="0"/>
        <w:snapToGrid w:val="0"/>
        <w:spacing w:line="400" w:lineRule="exact"/>
        <w:rPr>
          <w:rFonts w:hint="eastAsia" w:ascii="宋体" w:hAnsi="宋体"/>
          <w:szCs w:val="21"/>
        </w:rPr>
      </w:pPr>
    </w:p>
    <w:p w14:paraId="0AA481F8">
      <w:pPr>
        <w:adjustRightInd w:val="0"/>
        <w:snapToGrid w:val="0"/>
        <w:spacing w:line="400" w:lineRule="exact"/>
        <w:rPr>
          <w:rFonts w:hint="eastAsia"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00D95625">
      <w:pPr>
        <w:adjustRightInd w:val="0"/>
        <w:snapToGrid w:val="0"/>
        <w:spacing w:line="400" w:lineRule="exact"/>
        <w:rPr>
          <w:rFonts w:hint="eastAsia"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3CD549CC">
      <w:pPr>
        <w:adjustRightInd w:val="0"/>
        <w:snapToGrid w:val="0"/>
        <w:spacing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2AC060EA">
      <w:pPr>
        <w:adjustRightInd w:val="0"/>
        <w:snapToGrid w:val="0"/>
        <w:spacing w:line="400" w:lineRule="exact"/>
        <w:rPr>
          <w:rFonts w:hint="eastAsia"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390B05B2">
      <w:pPr>
        <w:spacing w:line="400" w:lineRule="exact"/>
      </w:pPr>
    </w:p>
    <w:p w14:paraId="52B45566">
      <w:pPr>
        <w:adjustRightInd w:val="0"/>
        <w:snapToGrid w:val="0"/>
        <w:spacing w:line="400" w:lineRule="exact"/>
        <w:ind w:firstLine="420" w:firstLineChars="200"/>
        <w:rPr>
          <w:rFonts w:hint="eastAsia" w:ascii="宋体" w:hAnsi="宋体"/>
          <w:szCs w:val="21"/>
        </w:rPr>
      </w:pPr>
      <w:r>
        <w:rPr>
          <w:rFonts w:hint="eastAsia" w:ascii="宋体" w:hAnsi="宋体"/>
          <w:szCs w:val="21"/>
        </w:rPr>
        <w:t xml:space="preserve">依据《中华人民共和国民法典》《中华人民共和国政府采购法》《深圳经济特区政府采购条例》等有关的法律法规，以及本采购项目的招标文件等采购文件、乙方的《投标（响应）文件》及《中标（成交）通知书》，甲乙双方同意签订本合同。具体情况及要求如下：     </w:t>
      </w:r>
    </w:p>
    <w:p w14:paraId="6E0E4738">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项目信息</w:t>
      </w:r>
    </w:p>
    <w:p w14:paraId="58E9736C">
      <w:pPr>
        <w:numPr>
          <w:ilvl w:val="0"/>
          <w:numId w:val="9"/>
        </w:numPr>
        <w:adjustRightInd w:val="0"/>
        <w:snapToGrid w:val="0"/>
        <w:spacing w:line="400" w:lineRule="exact"/>
        <w:ind w:firstLine="420" w:firstLineChars="200"/>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p>
    <w:p w14:paraId="0EAF3D4E">
      <w:pPr>
        <w:numPr>
          <w:ilvl w:val="255"/>
          <w:numId w:val="0"/>
        </w:numPr>
        <w:tabs>
          <w:tab w:val="left" w:pos="999"/>
        </w:tabs>
        <w:adjustRightInd w:val="0"/>
        <w:snapToGrid w:val="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6156C049">
      <w:pPr>
        <w:adjustRightInd w:val="0"/>
        <w:snapToGrid w:val="0"/>
        <w:spacing w:line="400" w:lineRule="exact"/>
        <w:ind w:firstLine="420" w:firstLineChars="200"/>
        <w:rPr>
          <w:rFonts w:hint="eastAsia"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F22578B">
      <w:pPr>
        <w:adjustRightInd w:val="0"/>
        <w:snapToGrid w:val="0"/>
        <w:spacing w:line="400" w:lineRule="exact"/>
        <w:ind w:firstLine="420" w:firstLineChars="200"/>
        <w:rPr>
          <w:rFonts w:hint="eastAsia" w:ascii="宋体" w:hAnsi="宋体"/>
          <w:szCs w:val="21"/>
        </w:rPr>
      </w:pPr>
      <w:r>
        <w:rPr>
          <w:rFonts w:hint="eastAsia" w:ascii="宋体" w:hAnsi="宋体"/>
          <w:szCs w:val="21"/>
        </w:rPr>
        <w:t>（3）项目内容：</w:t>
      </w:r>
    </w:p>
    <w:p w14:paraId="2E2F9F97">
      <w:pPr>
        <w:adjustRightInd w:val="0"/>
        <w:snapToGrid w:val="0"/>
        <w:spacing w:line="400" w:lineRule="exact"/>
        <w:ind w:firstLine="420" w:firstLineChars="20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132FB98A">
      <w:pPr>
        <w:numPr>
          <w:ilvl w:val="255"/>
          <w:numId w:val="0"/>
        </w:numPr>
        <w:adjustRightInd w:val="0"/>
        <w:snapToGrid w:val="0"/>
        <w:spacing w:line="400" w:lineRule="exact"/>
        <w:ind w:firstLine="420" w:firstLineChars="20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902A9BD">
      <w:pPr>
        <w:adjustRightInd w:val="0"/>
        <w:snapToGrid w:val="0"/>
        <w:spacing w:line="400" w:lineRule="exact"/>
        <w:ind w:firstLine="945" w:firstLineChars="450"/>
        <w:rPr>
          <w:rFonts w:hint="eastAsia" w:ascii="宋体" w:hAnsi="宋体"/>
          <w:szCs w:val="21"/>
          <w:u w:val="single"/>
        </w:rPr>
      </w:pPr>
      <w:r>
        <w:rPr>
          <w:rFonts w:hint="eastAsia" w:ascii="宋体" w:hAnsi="宋体"/>
          <w:szCs w:val="21"/>
        </w:rPr>
        <w:t>采购标的的技术要求、商务要求具体见附件。</w:t>
      </w:r>
    </w:p>
    <w:p w14:paraId="36D759C1">
      <w:pPr>
        <w:numPr>
          <w:ilvl w:val="255"/>
          <w:numId w:val="0"/>
        </w:numPr>
        <w:adjustRightInd w:val="0"/>
        <w:snapToGrid w:val="0"/>
        <w:spacing w:line="400" w:lineRule="exact"/>
        <w:ind w:firstLine="945" w:firstLineChars="450"/>
        <w:rPr>
          <w:rFonts w:hint="eastAsia"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3AD9461">
      <w:pPr>
        <w:numPr>
          <w:ilvl w:val="255"/>
          <w:numId w:val="0"/>
        </w:numPr>
        <w:adjustRightInd w:val="0"/>
        <w:snapToGrid w:val="0"/>
        <w:spacing w:line="400" w:lineRule="exact"/>
        <w:ind w:firstLine="420" w:firstLineChars="200"/>
        <w:rPr>
          <w:rFonts w:hint="eastAsia"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78A20A30">
      <w:pPr>
        <w:numPr>
          <w:ilvl w:val="255"/>
          <w:numId w:val="0"/>
        </w:num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03960904">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7906FAD3">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p>
    <w:p w14:paraId="2A707025">
      <w:pPr>
        <w:numPr>
          <w:ilvl w:val="255"/>
          <w:numId w:val="0"/>
        </w:numPr>
        <w:autoSpaceDE w:val="0"/>
        <w:autoSpaceDN w:val="0"/>
        <w:adjustRightInd w:val="0"/>
        <w:snapToGrid w:val="0"/>
        <w:spacing w:line="400" w:lineRule="exact"/>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p>
    <w:p w14:paraId="13F3585A">
      <w:pPr>
        <w:numPr>
          <w:ilvl w:val="255"/>
          <w:numId w:val="0"/>
        </w:numPr>
        <w:autoSpaceDE w:val="0"/>
        <w:autoSpaceDN w:val="0"/>
        <w:adjustRightInd w:val="0"/>
        <w:snapToGrid w:val="0"/>
        <w:spacing w:line="400" w:lineRule="exact"/>
        <w:rPr>
          <w:rFonts w:hint="eastAsia"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②</w:t>
      </w:r>
      <w:r>
        <w:rPr>
          <w:rFonts w:hint="eastAsia" w:ascii="宋体" w:hAnsi="宋体" w:cs="宋体"/>
          <w:szCs w:val="21"/>
        </w:rPr>
        <w:t>涉及车辆采购，请填写是否属于新能源汽车：</w:t>
      </w:r>
    </w:p>
    <w:p w14:paraId="051D8042">
      <w:pPr>
        <w:numPr>
          <w:ilvl w:val="255"/>
          <w:numId w:val="0"/>
        </w:numPr>
        <w:autoSpaceDE w:val="0"/>
        <w:autoSpaceDN w:val="0"/>
        <w:adjustRightInd w:val="0"/>
        <w:snapToGrid w:val="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p>
    <w:p w14:paraId="6E31E024">
      <w:pPr>
        <w:numPr>
          <w:ilvl w:val="255"/>
          <w:numId w:val="0"/>
        </w:numPr>
        <w:autoSpaceDE w:val="0"/>
        <w:autoSpaceDN w:val="0"/>
        <w:adjustRightInd w:val="0"/>
        <w:snapToGrid w:val="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否</w:t>
      </w:r>
    </w:p>
    <w:p w14:paraId="7ACD885F">
      <w:pPr>
        <w:numPr>
          <w:ilvl w:val="255"/>
          <w:numId w:val="0"/>
        </w:numPr>
        <w:autoSpaceDE w:val="0"/>
        <w:autoSpaceDN w:val="0"/>
        <w:adjustRightInd w:val="0"/>
        <w:snapToGrid w:val="0"/>
        <w:spacing w:line="400" w:lineRule="exact"/>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4</w:t>
      </w:r>
      <w:r>
        <w:rPr>
          <w:rFonts w:hint="eastAsia" w:ascii="宋体" w:hAnsi="宋体" w:cs="宋体"/>
          <w:szCs w:val="21"/>
        </w:rPr>
        <w:t>）政府采购组织形式：</w:t>
      </w:r>
      <w:r>
        <w:rPr>
          <w:rFonts w:hint="eastAsia" w:ascii="宋体" w:hAnsi="宋体" w:cs="宋体"/>
          <w:szCs w:val="21"/>
        </w:rPr>
        <w:sym w:font="Wingdings" w:char="00A8"/>
      </w:r>
      <w:r>
        <w:rPr>
          <w:rFonts w:hint="eastAsia" w:ascii="宋体" w:hAnsi="宋体" w:cs="宋体"/>
          <w:szCs w:val="21"/>
        </w:rPr>
        <w:t xml:space="preserve">集中采购    </w:t>
      </w:r>
      <w:r>
        <w:rPr>
          <w:rFonts w:hint="eastAsia" w:ascii="宋体" w:hAnsi="宋体" w:cs="宋体"/>
          <w:szCs w:val="21"/>
        </w:rPr>
        <w:sym w:font="Wingdings" w:char="00A8"/>
      </w:r>
      <w:r>
        <w:rPr>
          <w:rFonts w:hint="eastAsia" w:ascii="宋体" w:hAnsi="宋体" w:cs="宋体"/>
          <w:szCs w:val="21"/>
        </w:rPr>
        <w:t>自行采购</w:t>
      </w:r>
    </w:p>
    <w:p w14:paraId="288DBA3E">
      <w:pPr>
        <w:numPr>
          <w:ilvl w:val="255"/>
          <w:numId w:val="0"/>
        </w:numPr>
        <w:autoSpaceDE w:val="0"/>
        <w:autoSpaceDN w:val="0"/>
        <w:adjustRightInd w:val="0"/>
        <w:snapToGrid w:val="0"/>
        <w:spacing w:line="400" w:lineRule="exact"/>
        <w:ind w:left="210" w:leftChars="100" w:firstLine="210" w:firstLineChars="100"/>
        <w:rPr>
          <w:rFonts w:hint="eastAsia" w:ascii="宋体" w:hAnsi="宋体" w:cs="宋体"/>
          <w:szCs w:val="21"/>
          <w:u w:val="single"/>
        </w:rPr>
      </w:pPr>
      <w:r>
        <w:rPr>
          <w:rFonts w:hint="eastAsia" w:ascii="宋体" w:hAnsi="宋体" w:cs="宋体"/>
          <w:szCs w:val="21"/>
        </w:rPr>
        <w:t>（</w:t>
      </w:r>
      <w:r>
        <w:rPr>
          <w:rFonts w:ascii="宋体" w:hAnsi="宋体" w:cs="宋体"/>
          <w:szCs w:val="21"/>
          <w:lang w:val="en"/>
        </w:rPr>
        <w:t>5</w:t>
      </w:r>
      <w:r>
        <w:rPr>
          <w:rFonts w:hint="eastAsia" w:ascii="宋体" w:hAnsi="宋体" w:cs="宋体"/>
          <w:szCs w:val="21"/>
        </w:rPr>
        <w:t>）政府采购方式：</w:t>
      </w:r>
      <w:r>
        <w:rPr>
          <w:rFonts w:hint="eastAsia" w:ascii="宋体" w:hAnsi="宋体" w:cs="宋体"/>
          <w:szCs w:val="21"/>
        </w:rPr>
        <w:sym w:font="Wingdings" w:char="00A8"/>
      </w:r>
      <w:r>
        <w:rPr>
          <w:rFonts w:hint="eastAsia" w:ascii="宋体" w:hAnsi="宋体" w:cs="宋体"/>
          <w:szCs w:val="21"/>
        </w:rPr>
        <w:t xml:space="preserve">公开招标  </w:t>
      </w:r>
      <w:r>
        <w:rPr>
          <w:rFonts w:hint="eastAsia" w:ascii="宋体" w:hAnsi="宋体" w:cs="宋体"/>
          <w:szCs w:val="21"/>
        </w:rPr>
        <w:sym w:font="Wingdings" w:char="00A8"/>
      </w:r>
      <w:r>
        <w:rPr>
          <w:rFonts w:hint="eastAsia" w:ascii="宋体" w:hAnsi="宋体" w:cs="宋体"/>
          <w:szCs w:val="21"/>
        </w:rPr>
        <w:t>竞争性谈判</w:t>
      </w:r>
      <w:r>
        <w:rPr>
          <w:rFonts w:hint="eastAsia" w:ascii="宋体" w:hAnsi="宋体" w:eastAsia="华文楷体" w:cs="宋体"/>
          <w:sz w:val="22"/>
          <w:szCs w:val="21"/>
        </w:rPr>
        <w:t xml:space="preserve">  </w:t>
      </w:r>
      <w:r>
        <w:rPr>
          <w:rFonts w:hint="eastAsia" w:ascii="宋体" w:hAnsi="宋体" w:cs="宋体"/>
          <w:szCs w:val="21"/>
        </w:rPr>
        <w:sym w:font="Wingdings" w:char="00A8"/>
      </w:r>
      <w:r>
        <w:rPr>
          <w:rFonts w:hint="eastAsia" w:ascii="宋体" w:hAnsi="宋体" w:cs="宋体"/>
          <w:szCs w:val="21"/>
        </w:rPr>
        <w:t xml:space="preserve">单一来源  </w:t>
      </w:r>
      <w:r>
        <w:rPr>
          <w:rFonts w:hint="eastAsia" w:ascii="宋体" w:hAnsi="宋体" w:cs="宋体"/>
          <w:szCs w:val="21"/>
        </w:rPr>
        <w:sym w:font="Wingdings" w:char="00A8"/>
      </w:r>
      <w:r>
        <w:rPr>
          <w:rFonts w:hint="eastAsia" w:ascii="宋体" w:hAnsi="宋体" w:cs="宋体"/>
          <w:szCs w:val="21"/>
        </w:rPr>
        <w:t xml:space="preserve">竞价  </w:t>
      </w:r>
      <w:r>
        <w:rPr>
          <w:rFonts w:hint="eastAsia" w:ascii="宋体" w:hAnsi="宋体" w:cs="宋体"/>
          <w:szCs w:val="21"/>
        </w:rPr>
        <w:sym w:font="Wingdings" w:char="00A8"/>
      </w:r>
      <w:r>
        <w:rPr>
          <w:rFonts w:hint="eastAsia" w:ascii="宋体" w:hAnsi="宋体" w:cs="宋体"/>
          <w:szCs w:val="21"/>
        </w:rPr>
        <w:t xml:space="preserve">框架协议 </w:t>
      </w:r>
      <w:r>
        <w:rPr>
          <w:rFonts w:hint="eastAsia" w:ascii="宋体" w:hAnsi="宋体" w:cs="宋体"/>
          <w:szCs w:val="21"/>
        </w:rPr>
        <w:sym w:font="Wingdings" w:char="00A8"/>
      </w:r>
      <w:r>
        <w:rPr>
          <w:rFonts w:hint="eastAsia" w:ascii="宋体" w:hAnsi="宋体" w:cs="宋体"/>
          <w:szCs w:val="21"/>
        </w:rPr>
        <w:t>其他：</w:t>
      </w:r>
      <w:r>
        <w:rPr>
          <w:rFonts w:hint="eastAsia" w:ascii="宋体" w:hAnsi="宋体" w:cs="宋体"/>
          <w:szCs w:val="21"/>
          <w:u w:val="single"/>
        </w:rPr>
        <w:t xml:space="preserve">          </w:t>
      </w:r>
    </w:p>
    <w:p w14:paraId="08A978D3">
      <w:pPr>
        <w:numPr>
          <w:ilvl w:val="255"/>
          <w:numId w:val="0"/>
        </w:numPr>
        <w:autoSpaceDE w:val="0"/>
        <w:autoSpaceDN w:val="0"/>
        <w:adjustRightInd w:val="0"/>
        <w:snapToGrid w:val="0"/>
        <w:spacing w:line="400" w:lineRule="exact"/>
        <w:ind w:firstLine="420"/>
        <w:rPr>
          <w:rFonts w:hint="eastAsia" w:ascii="宋体" w:hAnsi="宋体" w:cs="宋体"/>
          <w:szCs w:val="21"/>
        </w:rPr>
      </w:pPr>
      <w:r>
        <w:rPr>
          <w:rFonts w:hint="eastAsia" w:ascii="宋体" w:hAnsi="宋体" w:cs="宋体"/>
          <w:szCs w:val="21"/>
        </w:rPr>
        <w:t>（注：在框架协议采购的第二阶段，可选择使用该合同文本）</w:t>
      </w:r>
    </w:p>
    <w:p w14:paraId="2954738D">
      <w:pPr>
        <w:numPr>
          <w:ilvl w:val="255"/>
          <w:numId w:val="0"/>
        </w:numPr>
        <w:autoSpaceDE w:val="0"/>
        <w:autoSpaceDN w:val="0"/>
        <w:adjustRightInd w:val="0"/>
        <w:snapToGrid w:val="0"/>
        <w:spacing w:line="400" w:lineRule="exact"/>
        <w:ind w:firstLine="220" w:firstLineChars="100"/>
        <w:rPr>
          <w:rFonts w:hint="eastAsia" w:ascii="宋体" w:hAnsi="宋体"/>
          <w:szCs w:val="21"/>
        </w:rPr>
      </w:pPr>
      <w:r>
        <w:rPr>
          <w:rFonts w:hint="eastAsia" w:ascii="宋体" w:hAnsi="宋体" w:eastAsia="华文楷体" w:cs="华文楷体"/>
          <w:sz w:val="22"/>
          <w:szCs w:val="21"/>
        </w:rPr>
        <w:t xml:space="preserve"> （</w:t>
      </w:r>
      <w:r>
        <w:rPr>
          <w:rFonts w:ascii="宋体" w:hAnsi="宋体" w:eastAsia="华文楷体" w:cs="华文楷体"/>
          <w:sz w:val="22"/>
          <w:szCs w:val="21"/>
          <w:lang w:val="en"/>
        </w:rPr>
        <w:t>6</w:t>
      </w:r>
      <w:r>
        <w:rPr>
          <w:rFonts w:hint="eastAsia" w:ascii="宋体" w:hAnsi="宋体" w:eastAsia="华文楷体" w:cs="华文楷体"/>
          <w:sz w:val="22"/>
          <w:szCs w:val="21"/>
        </w:rPr>
        <w:t>）</w:t>
      </w:r>
      <w:r>
        <w:rPr>
          <w:rFonts w:hint="eastAsia" w:ascii="宋体" w:hAnsi="宋体"/>
          <w:szCs w:val="21"/>
        </w:rPr>
        <w:t>中标（成交）采购标的制造商是否为中小企业：</w:t>
      </w: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p>
    <w:p w14:paraId="695776DF">
      <w:pPr>
        <w:numPr>
          <w:ilvl w:val="255"/>
          <w:numId w:val="0"/>
        </w:numPr>
        <w:adjustRightInd w:val="0"/>
        <w:snapToGrid w:val="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DCE2D99">
      <w:pPr>
        <w:numPr>
          <w:ilvl w:val="255"/>
          <w:numId w:val="0"/>
        </w:numPr>
        <w:adjustRightInd w:val="0"/>
        <w:snapToGrid w:val="0"/>
        <w:spacing w:line="400" w:lineRule="exact"/>
        <w:rPr>
          <w:rFonts w:hint="eastAsia"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9539B94">
      <w:pPr>
        <w:numPr>
          <w:ilvl w:val="255"/>
          <w:numId w:val="0"/>
        </w:numPr>
        <w:adjustRightInd w:val="0"/>
        <w:snapToGrid w:val="0"/>
        <w:spacing w:line="400" w:lineRule="exact"/>
        <w:rPr>
          <w:rFonts w:hint="eastAsia"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700213D">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13D2A007">
      <w:pPr>
        <w:adjustRightInd w:val="0"/>
        <w:snapToGrid w:val="0"/>
        <w:spacing w:line="400" w:lineRule="exact"/>
        <w:ind w:firstLine="420" w:firstLineChars="200"/>
        <w:rPr>
          <w:rFonts w:hint="eastAsia"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E24C2B5">
      <w:pPr>
        <w:adjustRightInd w:val="0"/>
        <w:snapToGrid w:val="0"/>
        <w:spacing w:line="400" w:lineRule="exact"/>
        <w:ind w:firstLine="840" w:firstLineChars="40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086B24DA">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分包供应商/制造商名称（如供应商和制造商不同，请分别填写）：</w:t>
      </w:r>
    </w:p>
    <w:p w14:paraId="06914CD2">
      <w:pPr>
        <w:adjustRightInd w:val="0"/>
        <w:snapToGrid w:val="0"/>
        <w:spacing w:line="400" w:lineRule="exact"/>
        <w:ind w:firstLine="840" w:firstLineChars="4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5231DA26">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2DEA641A">
      <w:pPr>
        <w:adjustRightInd w:val="0"/>
        <w:snapToGrid w:val="0"/>
        <w:spacing w:line="400" w:lineRule="exact"/>
        <w:ind w:firstLine="840" w:firstLineChars="400"/>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386EF99F">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0D4015E8">
      <w:pPr>
        <w:numPr>
          <w:ilvl w:val="255"/>
          <w:numId w:val="0"/>
        </w:numPr>
        <w:adjustRightInd w:val="0"/>
        <w:snapToGrid w:val="0"/>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247F31C1">
      <w:pPr>
        <w:tabs>
          <w:tab w:val="left" w:pos="1340"/>
        </w:tabs>
        <w:autoSpaceDE w:val="0"/>
        <w:autoSpaceDN w:val="0"/>
        <w:adjustRightInd w:val="0"/>
        <w:spacing w:line="400" w:lineRule="exact"/>
        <w:ind w:firstLine="420" w:firstLineChars="200"/>
        <w:rPr>
          <w:rFonts w:hint="eastAsia" w:ascii="宋体" w:hAnsi="宋体" w:cs="宋体"/>
          <w:szCs w:val="21"/>
          <w:u w:val="single"/>
        </w:rPr>
      </w:pPr>
      <w:r>
        <w:rPr>
          <w:rFonts w:hint="eastAsia" w:ascii="宋体" w:hAnsi="宋体" w:cs="宋体"/>
          <w:szCs w:val="21"/>
        </w:rPr>
        <w:t xml:space="preserve">     外商投资企业类型：</w:t>
      </w:r>
      <w:r>
        <w:rPr>
          <w:rFonts w:hint="eastAsia" w:ascii="宋体" w:hAnsi="宋体" w:cs="宋体"/>
          <w:iCs/>
          <w:szCs w:val="21"/>
        </w:rPr>
        <w:sym w:font="Wingdings" w:char="00A8"/>
      </w:r>
      <w:r>
        <w:rPr>
          <w:rFonts w:hint="eastAsia" w:ascii="宋体" w:hAnsi="宋体" w:cs="宋体"/>
          <w:szCs w:val="21"/>
        </w:rPr>
        <w:t xml:space="preserve">全部由外国投资者投资  </w:t>
      </w:r>
      <w:r>
        <w:rPr>
          <w:rFonts w:hint="eastAsia" w:ascii="宋体" w:hAnsi="宋体" w:cs="宋体"/>
          <w:iCs/>
          <w:szCs w:val="21"/>
        </w:rPr>
        <w:sym w:font="Wingdings" w:char="00A8"/>
      </w:r>
      <w:r>
        <w:rPr>
          <w:rFonts w:hint="eastAsia" w:ascii="宋体" w:hAnsi="宋体" w:cs="宋体"/>
          <w:iCs/>
          <w:szCs w:val="21"/>
        </w:rPr>
        <w:t>部分由外国投资者投资</w:t>
      </w:r>
    </w:p>
    <w:p w14:paraId="7FB8302A">
      <w:pPr>
        <w:numPr>
          <w:ilvl w:val="255"/>
          <w:numId w:val="0"/>
        </w:num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328F2460">
      <w:pPr>
        <w:numPr>
          <w:ilvl w:val="255"/>
          <w:numId w:val="0"/>
        </w:num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7981AA20">
      <w:pPr>
        <w:numPr>
          <w:ilvl w:val="255"/>
          <w:numId w:val="0"/>
        </w:numPr>
        <w:adjustRightInd w:val="0"/>
        <w:snapToGrid w:val="0"/>
        <w:spacing w:line="400" w:lineRule="exact"/>
        <w:ind w:firstLine="840" w:firstLineChars="40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3F7D2DD5">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13549583">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5A4CB56A">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72A4D7BE">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3CA54E71">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CDDE7AF">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是否涉及环境标志产品：</w:t>
      </w:r>
    </w:p>
    <w:p w14:paraId="35517CA4">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20C54FA6">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914CCB2">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11134C3">
      <w:pPr>
        <w:numPr>
          <w:ilvl w:val="255"/>
          <w:numId w:val="0"/>
        </w:numPr>
        <w:autoSpaceDE w:val="0"/>
        <w:autoSpaceDN w:val="0"/>
        <w:adjustRightInd w:val="0"/>
        <w:snapToGrid w:val="0"/>
        <w:spacing w:line="400" w:lineRule="exact"/>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p>
    <w:p w14:paraId="486A0CB5">
      <w:pPr>
        <w:autoSpaceDE w:val="0"/>
        <w:autoSpaceDN w:val="0"/>
        <w:adjustRightInd w:val="0"/>
        <w:spacing w:line="400" w:lineRule="exact"/>
        <w:ind w:firstLine="420"/>
        <w:rPr>
          <w:rFonts w:hint="eastAsia" w:ascii="宋体" w:hAnsi="宋体" w:cs="华文楷体"/>
          <w:sz w:val="22"/>
          <w:szCs w:val="21"/>
          <w:u w:val="single"/>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是，绿色产品政府采购相关政策确定的底级品目名称：</w:t>
      </w:r>
      <w:r>
        <w:rPr>
          <w:rFonts w:hint="eastAsia" w:ascii="宋体" w:hAnsi="宋体" w:cs="华文楷体"/>
          <w:sz w:val="22"/>
          <w:szCs w:val="21"/>
          <w:u w:val="single"/>
        </w:rPr>
        <w:t xml:space="preserve">         </w:t>
      </w:r>
    </w:p>
    <w:p w14:paraId="6C866F5C">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4077FF3C">
      <w:pPr>
        <w:autoSpaceDE w:val="0"/>
        <w:autoSpaceDN w:val="0"/>
        <w:adjustRightInd w:val="0"/>
        <w:spacing w:line="400" w:lineRule="exact"/>
        <w:ind w:firstLine="420"/>
        <w:rPr>
          <w:rFonts w:hint="eastAsia" w:ascii="宋体" w:hAnsi="宋体" w:eastAsia="华文楷体" w:cs="华文楷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633909F4">
      <w:pPr>
        <w:numPr>
          <w:ilvl w:val="255"/>
          <w:numId w:val="0"/>
        </w:numPr>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3572FCCD">
      <w:pPr>
        <w:numPr>
          <w:ilvl w:val="255"/>
          <w:numId w:val="0"/>
        </w:numPr>
        <w:adjustRightInd w:val="0"/>
        <w:snapToGrid w:val="0"/>
        <w:spacing w:line="400" w:lineRule="exact"/>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7F0980F8">
      <w:pPr>
        <w:adjustRightInd w:val="0"/>
        <w:snapToGrid w:val="0"/>
        <w:spacing w:line="400" w:lineRule="exact"/>
        <w:rPr>
          <w:rFonts w:hint="eastAsia" w:ascii="宋体" w:hAnsi="宋体"/>
          <w:szCs w:val="21"/>
        </w:rPr>
      </w:pPr>
      <w:r>
        <w:rPr>
          <w:rFonts w:hint="eastAsia" w:ascii="宋体" w:hAnsi="宋体"/>
          <w:szCs w:val="21"/>
        </w:rPr>
        <w:t xml:space="preserve">    （12）是否涉及本国产品：</w:t>
      </w:r>
    </w:p>
    <w:p w14:paraId="52D34282">
      <w:pPr>
        <w:numPr>
          <w:ilvl w:val="255"/>
          <w:numId w:val="0"/>
        </w:num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61AC1A49">
      <w:pPr>
        <w:numPr>
          <w:ilvl w:val="255"/>
          <w:numId w:val="0"/>
        </w:num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t xml:space="preserve">        产品名称1：</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5B9972E9">
      <w:pPr>
        <w:pStyle w:val="61"/>
        <w:ind w:firstLine="1680" w:firstLineChars="800"/>
      </w:pPr>
      <w:r>
        <w:rPr>
          <w:rFonts w:hint="eastAsia" w:ascii="宋体" w:hAnsi="宋体" w:cs="宋体"/>
          <w:szCs w:val="21"/>
        </w:rPr>
        <w:t>产品名称2：</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7F04770C">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535CBB64">
      <w:pPr>
        <w:pStyle w:val="61"/>
      </w:pPr>
    </w:p>
    <w:p w14:paraId="0BBAA002">
      <w:pPr>
        <w:pStyle w:val="61"/>
      </w:pPr>
    </w:p>
    <w:p w14:paraId="77039856">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合同金额</w:t>
      </w:r>
    </w:p>
    <w:p w14:paraId="163E0BD4">
      <w:pPr>
        <w:adjustRightInd w:val="0"/>
        <w:snapToGrid w:val="0"/>
        <w:spacing w:line="400" w:lineRule="exact"/>
        <w:ind w:firstLine="420" w:firstLineChars="20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69845FC6">
      <w:pPr>
        <w:adjustRightInd w:val="0"/>
        <w:snapToGrid w:val="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68E3655A">
      <w:pPr>
        <w:adjustRightInd w:val="0"/>
        <w:snapToGrid w:val="0"/>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162BB4F2">
      <w:pPr>
        <w:adjustRightInd w:val="0"/>
        <w:snapToGrid w:val="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16B8EDA2">
      <w:pPr>
        <w:adjustRightInd w:val="0"/>
        <w:snapToGrid w:val="0"/>
        <w:spacing w:line="400" w:lineRule="exact"/>
        <w:rPr>
          <w:rFonts w:hint="eastAsia" w:ascii="宋体" w:hAnsi="宋体"/>
          <w:szCs w:val="21"/>
        </w:rPr>
      </w:pPr>
      <w:r>
        <w:rPr>
          <w:rFonts w:hint="eastAsia" w:ascii="宋体" w:hAnsi="宋体"/>
          <w:szCs w:val="21"/>
        </w:rPr>
        <w:t xml:space="preserve">    （注：固定单价合同应填写单价和最高限价）</w:t>
      </w:r>
    </w:p>
    <w:p w14:paraId="4A65476F">
      <w:pPr>
        <w:numPr>
          <w:ilvl w:val="255"/>
          <w:numId w:val="0"/>
        </w:numPr>
        <w:adjustRightInd w:val="0"/>
        <w:snapToGrid w:val="0"/>
        <w:spacing w:line="400" w:lineRule="exact"/>
        <w:rPr>
          <w:rFonts w:hint="eastAsia" w:ascii="宋体" w:hAnsi="宋体"/>
          <w:szCs w:val="21"/>
        </w:rPr>
      </w:pPr>
      <w:r>
        <w:rPr>
          <w:rFonts w:hint="eastAsia" w:ascii="宋体" w:hAnsi="宋体"/>
          <w:szCs w:val="21"/>
        </w:rPr>
        <w:t xml:space="preserve">    （2）合同定价方式（采用组合定价方式的，可以勾选多项）：</w:t>
      </w:r>
    </w:p>
    <w:p w14:paraId="1DD8045D">
      <w:pPr>
        <w:adjustRightInd w:val="0"/>
        <w:snapToGrid w:val="0"/>
        <w:spacing w:line="400" w:lineRule="exact"/>
        <w:ind w:firstLine="420" w:firstLineChars="200"/>
        <w:rPr>
          <w:rFonts w:hint="eastAsia"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02AC8E73">
      <w:pPr>
        <w:spacing w:line="400" w:lineRule="exact"/>
        <w:ind w:firstLine="420" w:firstLineChars="200"/>
        <w:rPr>
          <w:szCs w:val="21"/>
        </w:rPr>
      </w:pPr>
      <w:r>
        <w:rPr>
          <w:rFonts w:hint="eastAsia" w:ascii="宋体" w:hAnsi="宋体"/>
          <w:szCs w:val="21"/>
        </w:rPr>
        <w:t>（3）付款方式（按项目实际勾选填写）：</w:t>
      </w:r>
    </w:p>
    <w:p w14:paraId="671B460C">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2774CF24">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5166A72F">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0E694AF8">
      <w:pPr>
        <w:adjustRightInd w:val="0"/>
        <w:snapToGrid w:val="0"/>
        <w:spacing w:line="400" w:lineRule="exact"/>
        <w:ind w:firstLine="630" w:firstLineChars="300"/>
        <w:rPr>
          <w:rFonts w:hint="eastAsia"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C0517B7">
      <w:pPr>
        <w:numPr>
          <w:ilvl w:val="0"/>
          <w:numId w:val="8"/>
        </w:numPr>
        <w:adjustRightInd w:val="0"/>
        <w:snapToGrid w:val="0"/>
        <w:spacing w:line="400" w:lineRule="exact"/>
        <w:ind w:firstLine="422" w:firstLineChars="200"/>
        <w:rPr>
          <w:rFonts w:hint="eastAsia" w:ascii="宋体" w:hAnsi="宋体"/>
          <w:b/>
          <w:szCs w:val="21"/>
          <w:u w:val="single"/>
        </w:rPr>
      </w:pPr>
      <w:r>
        <w:rPr>
          <w:rFonts w:hint="eastAsia" w:ascii="宋体" w:hAnsi="宋体"/>
          <w:b/>
          <w:szCs w:val="21"/>
        </w:rPr>
        <w:t>合同履行</w:t>
      </w:r>
    </w:p>
    <w:p w14:paraId="1A394DD3">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75C6B5C">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6F976681">
      <w:pPr>
        <w:adjustRightInd w:val="0"/>
        <w:snapToGrid w:val="0"/>
        <w:spacing w:line="400" w:lineRule="exact"/>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1ACD50EC">
      <w:pPr>
        <w:autoSpaceDE w:val="0"/>
        <w:autoSpaceDN w:val="0"/>
        <w:adjustRightInd w:val="0"/>
        <w:spacing w:line="400" w:lineRule="exact"/>
        <w:ind w:firstLine="440" w:firstLineChars="200"/>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p>
    <w:p w14:paraId="4A9D81C4">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p>
    <w:p w14:paraId="11BCFD83">
      <w:pPr>
        <w:snapToGrid w:val="0"/>
        <w:spacing w:line="400" w:lineRule="exact"/>
        <w:ind w:firstLine="420" w:firstLineChars="20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50DC0A8C">
      <w:pPr>
        <w:adjustRightInd w:val="0"/>
        <w:snapToGrid w:val="0"/>
        <w:spacing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28619F63">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35E8CC4D">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合同验收</w:t>
      </w:r>
    </w:p>
    <w:p w14:paraId="3A227C25">
      <w:pPr>
        <w:numPr>
          <w:ilvl w:val="0"/>
          <w:numId w:val="10"/>
        </w:numPr>
        <w:adjustRightInd w:val="0"/>
        <w:snapToGrid w:val="0"/>
        <w:spacing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6750CB8D">
      <w:pPr>
        <w:adjustRightInd w:val="0"/>
        <w:snapToGrid w:val="0"/>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5647A9E0">
      <w:pPr>
        <w:adjustRightInd w:val="0"/>
        <w:snapToGrid w:val="0"/>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1D9B45C6">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092359B8">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084FD563">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894774C">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38033158">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1E64F4D6">
      <w:pPr>
        <w:adjustRightInd w:val="0"/>
        <w:snapToGrid w:val="0"/>
        <w:spacing w:line="400" w:lineRule="exact"/>
        <w:ind w:firstLine="840" w:firstLineChars="400"/>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22D5E496">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B730CFD">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4370729D">
      <w:pPr>
        <w:adjustRightInd w:val="0"/>
        <w:snapToGrid w:val="0"/>
        <w:spacing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64A939CD">
      <w:pPr>
        <w:adjustRightInd w:val="0"/>
        <w:snapToGrid w:val="0"/>
        <w:spacing w:line="400" w:lineRule="exact"/>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7ADA3E2F">
      <w:pPr>
        <w:adjustRightInd w:val="0"/>
        <w:snapToGrid w:val="0"/>
        <w:spacing w:line="400" w:lineRule="exact"/>
        <w:ind w:firstLine="420" w:firstLineChars="20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54809318">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73BD0CFA">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75CBDFD5">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bCs/>
          <w:szCs w:val="21"/>
        </w:rPr>
        <w:t>（7）是否以采购活动中供应商提供的样品作为参考：</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6D9E08C1">
      <w:pPr>
        <w:adjustRightInd w:val="0"/>
        <w:snapToGrid w:val="0"/>
        <w:spacing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1173CD2C">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组成合同的文件</w:t>
      </w:r>
    </w:p>
    <w:p w14:paraId="362155C8">
      <w:pPr>
        <w:adjustRightInd w:val="0"/>
        <w:snapToGrid w:val="0"/>
        <w:spacing w:line="400" w:lineRule="exact"/>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44AF5976">
      <w:pPr>
        <w:adjustRightInd w:val="0"/>
        <w:snapToGrid w:val="0"/>
        <w:spacing w:line="400" w:lineRule="exact"/>
        <w:ind w:firstLine="420" w:firstLineChars="200"/>
        <w:rPr>
          <w:rFonts w:hint="eastAsia" w:ascii="宋体" w:hAnsi="宋体"/>
          <w:szCs w:val="21"/>
        </w:rPr>
      </w:pPr>
      <w:r>
        <w:rPr>
          <w:rFonts w:hint="eastAsia" w:ascii="宋体" w:hAnsi="宋体"/>
          <w:szCs w:val="21"/>
        </w:rPr>
        <w:t>（1）政府采购合同协议书及其变更、补充协议</w:t>
      </w:r>
    </w:p>
    <w:p w14:paraId="57D62391">
      <w:pPr>
        <w:adjustRightInd w:val="0"/>
        <w:snapToGrid w:val="0"/>
        <w:spacing w:line="400" w:lineRule="exact"/>
        <w:ind w:firstLine="420" w:firstLineChars="200"/>
        <w:rPr>
          <w:rFonts w:hint="eastAsia" w:ascii="宋体" w:hAnsi="宋体"/>
          <w:szCs w:val="21"/>
        </w:rPr>
      </w:pPr>
      <w:r>
        <w:rPr>
          <w:rFonts w:hint="eastAsia" w:ascii="宋体" w:hAnsi="宋体"/>
          <w:szCs w:val="21"/>
        </w:rPr>
        <w:t>（2）政府采购合同专用条款</w:t>
      </w:r>
    </w:p>
    <w:p w14:paraId="00690F1C">
      <w:pPr>
        <w:adjustRightInd w:val="0"/>
        <w:snapToGrid w:val="0"/>
        <w:spacing w:line="400" w:lineRule="exact"/>
        <w:ind w:firstLine="420" w:firstLineChars="200"/>
        <w:rPr>
          <w:rFonts w:hint="eastAsia" w:ascii="宋体" w:hAnsi="宋体"/>
          <w:szCs w:val="21"/>
        </w:rPr>
      </w:pPr>
      <w:r>
        <w:rPr>
          <w:rFonts w:hint="eastAsia" w:ascii="宋体" w:hAnsi="宋体"/>
          <w:szCs w:val="21"/>
        </w:rPr>
        <w:t>（3）政府采购合同通用条款</w:t>
      </w:r>
    </w:p>
    <w:p w14:paraId="1C9A34CE">
      <w:pPr>
        <w:adjustRightInd w:val="0"/>
        <w:snapToGrid w:val="0"/>
        <w:spacing w:line="400" w:lineRule="exact"/>
        <w:ind w:firstLine="420" w:firstLineChars="200"/>
        <w:rPr>
          <w:rFonts w:hint="eastAsia" w:ascii="宋体" w:hAnsi="宋体"/>
          <w:szCs w:val="21"/>
        </w:rPr>
      </w:pPr>
      <w:r>
        <w:rPr>
          <w:rFonts w:hint="eastAsia" w:ascii="宋体" w:hAnsi="宋体"/>
          <w:szCs w:val="21"/>
        </w:rPr>
        <w:t>（4）中标（成交）通知书</w:t>
      </w:r>
    </w:p>
    <w:p w14:paraId="6248D830">
      <w:pPr>
        <w:adjustRightInd w:val="0"/>
        <w:snapToGrid w:val="0"/>
        <w:spacing w:line="400" w:lineRule="exact"/>
        <w:ind w:firstLine="420" w:firstLineChars="200"/>
        <w:rPr>
          <w:rFonts w:hint="eastAsia" w:ascii="宋体" w:hAnsi="宋体"/>
          <w:szCs w:val="21"/>
        </w:rPr>
      </w:pPr>
      <w:r>
        <w:rPr>
          <w:rFonts w:hint="eastAsia" w:ascii="宋体" w:hAnsi="宋体"/>
          <w:szCs w:val="21"/>
        </w:rPr>
        <w:t>（5）投标（响应）文件</w:t>
      </w:r>
    </w:p>
    <w:p w14:paraId="060966C4">
      <w:pPr>
        <w:adjustRightInd w:val="0"/>
        <w:snapToGrid w:val="0"/>
        <w:spacing w:line="400" w:lineRule="exact"/>
        <w:ind w:firstLine="420" w:firstLineChars="200"/>
        <w:rPr>
          <w:rFonts w:hint="eastAsia" w:ascii="宋体" w:hAnsi="宋体"/>
          <w:szCs w:val="21"/>
        </w:rPr>
      </w:pPr>
      <w:r>
        <w:rPr>
          <w:rFonts w:hint="eastAsia" w:ascii="宋体" w:hAnsi="宋体"/>
          <w:szCs w:val="21"/>
        </w:rPr>
        <w:t>（6）采购文件</w:t>
      </w:r>
    </w:p>
    <w:p w14:paraId="71FD09DC">
      <w:pPr>
        <w:adjustRightInd w:val="0"/>
        <w:snapToGrid w:val="0"/>
        <w:spacing w:line="400" w:lineRule="exact"/>
        <w:ind w:firstLine="420" w:firstLineChars="200"/>
        <w:rPr>
          <w:rFonts w:hint="eastAsia" w:ascii="宋体" w:hAnsi="宋体"/>
          <w:szCs w:val="21"/>
        </w:rPr>
      </w:pPr>
      <w:r>
        <w:rPr>
          <w:rFonts w:hint="eastAsia" w:ascii="宋体" w:hAnsi="宋体"/>
          <w:szCs w:val="21"/>
        </w:rPr>
        <w:t>（7）有关技术文件，图纸</w:t>
      </w:r>
    </w:p>
    <w:p w14:paraId="50D3656B">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（8）</w:t>
      </w:r>
      <w:r>
        <w:rPr>
          <w:rFonts w:hint="eastAsia" w:ascii="宋体" w:hAnsi="宋体" w:cs="宋体"/>
          <w:color w:val="000000"/>
          <w:szCs w:val="21"/>
        </w:rPr>
        <w:t>国家法律、行政法规和规章制度规定或合同约定的作为合同组成部分的其他文件</w:t>
      </w:r>
    </w:p>
    <w:p w14:paraId="7C3BC45D">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合同生效</w:t>
      </w:r>
    </w:p>
    <w:p w14:paraId="749B8214">
      <w:pPr>
        <w:adjustRightInd w:val="0"/>
        <w:snapToGrid w:val="0"/>
        <w:spacing w:line="400" w:lineRule="exact"/>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5C72758">
      <w:pPr>
        <w:numPr>
          <w:ilvl w:val="0"/>
          <w:numId w:val="8"/>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合同份数</w:t>
      </w:r>
    </w:p>
    <w:p w14:paraId="5D48B032">
      <w:pPr>
        <w:adjustRightInd w:val="0"/>
        <w:snapToGrid w:val="0"/>
        <w:spacing w:line="400" w:lineRule="exact"/>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7099FC28">
      <w:pPr>
        <w:adjustRightInd w:val="0"/>
        <w:snapToGrid w:val="0"/>
        <w:spacing w:line="400" w:lineRule="exact"/>
        <w:ind w:firstLine="420" w:firstLineChars="20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6DF7CCB">
      <w:pPr>
        <w:adjustRightInd w:val="0"/>
        <w:snapToGrid w:val="0"/>
        <w:spacing w:line="400" w:lineRule="exact"/>
        <w:ind w:firstLine="420" w:firstLineChars="20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5FE44F2">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0FAFD97F">
      <w:r>
        <w:rPr>
          <w:rFonts w:hint="eastAsia"/>
        </w:rPr>
        <w:br w:type="page"/>
      </w:r>
    </w:p>
    <w:p w14:paraId="445F6423">
      <w:pPr>
        <w:ind w:firstLine="420" w:firstLineChars="200"/>
        <w:rPr>
          <w:szCs w:val="21"/>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725FF2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5DBF08DF">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4095" w:type="dxa"/>
            <w:gridSpan w:val="2"/>
            <w:tcBorders>
              <w:left w:val="single" w:color="auto" w:sz="2" w:space="0"/>
              <w:bottom w:val="single" w:color="auto" w:sz="2" w:space="0"/>
            </w:tcBorders>
            <w:vAlign w:val="center"/>
          </w:tcPr>
          <w:p w14:paraId="308F0E2F">
            <w:pPr>
              <w:adjustRightInd w:val="0"/>
              <w:snapToGrid w:val="0"/>
              <w:spacing w:line="300" w:lineRule="exact"/>
              <w:jc w:val="center"/>
            </w:pPr>
            <w:r>
              <w:rPr>
                <w:szCs w:val="21"/>
              </w:rPr>
              <w:t>乙方</w:t>
            </w:r>
            <w:r>
              <w:rPr>
                <w:rFonts w:hint="eastAsia"/>
                <w:szCs w:val="21"/>
              </w:rPr>
              <w:t>（供应商）</w:t>
            </w:r>
          </w:p>
        </w:tc>
      </w:tr>
      <w:tr w14:paraId="0E1942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1DDEB10A">
            <w:pPr>
              <w:adjustRightInd w:val="0"/>
              <w:snapToGrid w:val="0"/>
              <w:spacing w:line="300" w:lineRule="exact"/>
              <w:jc w:val="center"/>
              <w:rPr>
                <w:szCs w:val="21"/>
              </w:rPr>
            </w:pPr>
            <w:r>
              <w:rPr>
                <w:szCs w:val="21"/>
              </w:rPr>
              <w:t>单位名称</w:t>
            </w:r>
            <w:r>
              <w:rPr>
                <w:rFonts w:hint="eastAsia"/>
                <w:szCs w:val="21"/>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2302030B">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FAB6105">
            <w:pPr>
              <w:adjustRightInd w:val="0"/>
              <w:snapToGrid w:val="0"/>
              <w:spacing w:line="300" w:lineRule="exact"/>
              <w:jc w:val="center"/>
              <w:rPr>
                <w:szCs w:val="21"/>
              </w:rPr>
            </w:pPr>
            <w:r>
              <w:rPr>
                <w:szCs w:val="21"/>
              </w:rPr>
              <w:t>单位名称</w:t>
            </w:r>
            <w:r>
              <w:rPr>
                <w:rFonts w:hint="eastAsia"/>
                <w:szCs w:val="21"/>
              </w:rPr>
              <w:t>（公章或合同章）</w:t>
            </w:r>
          </w:p>
        </w:tc>
        <w:tc>
          <w:tcPr>
            <w:tcW w:w="2116" w:type="dxa"/>
            <w:tcBorders>
              <w:top w:val="single" w:color="auto" w:sz="2" w:space="0"/>
              <w:left w:val="single" w:color="auto" w:sz="2" w:space="0"/>
              <w:bottom w:val="single" w:color="auto" w:sz="2" w:space="0"/>
            </w:tcBorders>
            <w:vAlign w:val="center"/>
          </w:tcPr>
          <w:p w14:paraId="6151FA75">
            <w:pPr>
              <w:adjustRightInd w:val="0"/>
              <w:snapToGrid w:val="0"/>
              <w:spacing w:line="300" w:lineRule="exact"/>
              <w:jc w:val="center"/>
              <w:rPr>
                <w:spacing w:val="20"/>
                <w:szCs w:val="21"/>
              </w:rPr>
            </w:pPr>
          </w:p>
        </w:tc>
      </w:tr>
      <w:tr w14:paraId="5F91AB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2BB27C82">
            <w:pPr>
              <w:adjustRightInd w:val="0"/>
              <w:snapToGrid w:val="0"/>
              <w:spacing w:line="300" w:lineRule="exact"/>
              <w:jc w:val="center"/>
              <w:rPr>
                <w:szCs w:val="21"/>
              </w:rPr>
            </w:pPr>
            <w:r>
              <w:rPr>
                <w:szCs w:val="21"/>
              </w:rPr>
              <w:t>法定代表人</w:t>
            </w:r>
          </w:p>
          <w:p w14:paraId="5393A610">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2412" w:type="dxa"/>
            <w:vMerge w:val="restart"/>
            <w:tcBorders>
              <w:top w:val="single" w:color="auto" w:sz="2" w:space="0"/>
              <w:left w:val="single" w:color="auto" w:sz="2" w:space="0"/>
              <w:right w:val="single" w:color="auto" w:sz="2" w:space="0"/>
            </w:tcBorders>
            <w:vAlign w:val="center"/>
          </w:tcPr>
          <w:p w14:paraId="03EC78D6">
            <w:pPr>
              <w:adjustRightInd w:val="0"/>
              <w:snapToGrid w:val="0"/>
              <w:spacing w:line="300" w:lineRule="exact"/>
              <w:jc w:val="center"/>
              <w:rPr>
                <w:szCs w:val="21"/>
              </w:rPr>
            </w:pPr>
          </w:p>
        </w:tc>
        <w:tc>
          <w:tcPr>
            <w:tcW w:w="1979" w:type="dxa"/>
            <w:tcBorders>
              <w:top w:val="single" w:color="auto" w:sz="2" w:space="0"/>
              <w:left w:val="single" w:color="auto" w:sz="2" w:space="0"/>
              <w:right w:val="single" w:color="auto" w:sz="2" w:space="0"/>
            </w:tcBorders>
            <w:vAlign w:val="center"/>
          </w:tcPr>
          <w:p w14:paraId="3C6E0FF9">
            <w:pPr>
              <w:adjustRightInd w:val="0"/>
              <w:snapToGrid w:val="0"/>
              <w:spacing w:line="300" w:lineRule="exact"/>
              <w:jc w:val="center"/>
              <w:rPr>
                <w:szCs w:val="21"/>
              </w:rPr>
            </w:pPr>
            <w:r>
              <w:rPr>
                <w:szCs w:val="21"/>
              </w:rPr>
              <w:t>法定代表人</w:t>
            </w:r>
          </w:p>
          <w:p w14:paraId="6E6B9E4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2116" w:type="dxa"/>
            <w:tcBorders>
              <w:top w:val="single" w:color="auto" w:sz="2" w:space="0"/>
              <w:left w:val="single" w:color="auto" w:sz="2" w:space="0"/>
              <w:bottom w:val="single" w:color="auto" w:sz="2" w:space="0"/>
            </w:tcBorders>
            <w:vAlign w:val="center"/>
          </w:tcPr>
          <w:p w14:paraId="458DD37E">
            <w:pPr>
              <w:adjustRightInd w:val="0"/>
              <w:snapToGrid w:val="0"/>
              <w:spacing w:line="300" w:lineRule="exact"/>
              <w:jc w:val="center"/>
              <w:rPr>
                <w:szCs w:val="21"/>
              </w:rPr>
            </w:pPr>
          </w:p>
        </w:tc>
      </w:tr>
      <w:tr w14:paraId="2A5716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01D48F0">
            <w:pPr>
              <w:adjustRightInd w:val="0"/>
              <w:snapToGrid w:val="0"/>
              <w:spacing w:line="300" w:lineRule="exact"/>
              <w:jc w:val="center"/>
              <w:rPr>
                <w:szCs w:val="21"/>
              </w:rPr>
            </w:pPr>
          </w:p>
        </w:tc>
        <w:tc>
          <w:tcPr>
            <w:tcW w:w="2412" w:type="dxa"/>
            <w:vMerge w:val="continue"/>
            <w:tcBorders>
              <w:left w:val="single" w:color="auto" w:sz="2" w:space="0"/>
              <w:bottom w:val="single" w:color="auto" w:sz="2" w:space="0"/>
              <w:right w:val="single" w:color="auto" w:sz="2" w:space="0"/>
            </w:tcBorders>
            <w:vAlign w:val="center"/>
          </w:tcPr>
          <w:p w14:paraId="78A56730">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A771021">
            <w:pPr>
              <w:adjustRightInd w:val="0"/>
              <w:snapToGrid w:val="0"/>
              <w:spacing w:line="300" w:lineRule="exact"/>
              <w:jc w:val="center"/>
              <w:rPr>
                <w:szCs w:val="21"/>
              </w:rPr>
            </w:pPr>
            <w:r>
              <w:rPr>
                <w:rFonts w:hint="eastAsia"/>
                <w:szCs w:val="21"/>
              </w:rPr>
              <w:t>拥有者性别</w:t>
            </w:r>
          </w:p>
        </w:tc>
        <w:tc>
          <w:tcPr>
            <w:tcW w:w="2116" w:type="dxa"/>
            <w:tcBorders>
              <w:top w:val="single" w:color="auto" w:sz="2" w:space="0"/>
              <w:left w:val="single" w:color="auto" w:sz="2" w:space="0"/>
              <w:bottom w:val="single" w:color="auto" w:sz="2" w:space="0"/>
            </w:tcBorders>
            <w:vAlign w:val="center"/>
          </w:tcPr>
          <w:p w14:paraId="4E2F12D2">
            <w:pPr>
              <w:adjustRightInd w:val="0"/>
              <w:snapToGrid w:val="0"/>
              <w:spacing w:line="300" w:lineRule="exact"/>
              <w:jc w:val="center"/>
              <w:rPr>
                <w:spacing w:val="20"/>
                <w:szCs w:val="21"/>
              </w:rPr>
            </w:pPr>
          </w:p>
        </w:tc>
      </w:tr>
      <w:tr w14:paraId="76D0E4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A47C15D">
            <w:pPr>
              <w:adjustRightInd w:val="0"/>
              <w:snapToGrid w:val="0"/>
              <w:spacing w:line="300" w:lineRule="exact"/>
              <w:jc w:val="center"/>
              <w:rPr>
                <w:szCs w:val="21"/>
              </w:rPr>
            </w:pPr>
            <w:r>
              <w:rPr>
                <w:rFonts w:hint="eastAsia"/>
                <w:szCs w:val="21"/>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1F06A90D">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CB364C">
            <w:pPr>
              <w:adjustRightInd w:val="0"/>
              <w:snapToGrid w:val="0"/>
              <w:spacing w:line="300" w:lineRule="exact"/>
              <w:jc w:val="center"/>
              <w:rPr>
                <w:szCs w:val="21"/>
              </w:rPr>
            </w:pPr>
            <w:r>
              <w:rPr>
                <w:rFonts w:hint="eastAsia"/>
                <w:szCs w:val="21"/>
              </w:rPr>
              <w:t>住  所</w:t>
            </w:r>
          </w:p>
        </w:tc>
        <w:tc>
          <w:tcPr>
            <w:tcW w:w="2116" w:type="dxa"/>
            <w:tcBorders>
              <w:top w:val="single" w:color="auto" w:sz="2" w:space="0"/>
              <w:left w:val="single" w:color="auto" w:sz="2" w:space="0"/>
              <w:bottom w:val="single" w:color="auto" w:sz="2" w:space="0"/>
            </w:tcBorders>
            <w:vAlign w:val="center"/>
          </w:tcPr>
          <w:p w14:paraId="7D64E883">
            <w:pPr>
              <w:adjustRightInd w:val="0"/>
              <w:snapToGrid w:val="0"/>
              <w:spacing w:line="300" w:lineRule="exact"/>
              <w:jc w:val="center"/>
              <w:rPr>
                <w:spacing w:val="20"/>
                <w:szCs w:val="21"/>
              </w:rPr>
            </w:pPr>
          </w:p>
        </w:tc>
      </w:tr>
      <w:tr w14:paraId="0C3F27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B5EDB92">
            <w:pPr>
              <w:adjustRightInd w:val="0"/>
              <w:snapToGrid w:val="0"/>
              <w:spacing w:line="300" w:lineRule="exact"/>
              <w:jc w:val="center"/>
              <w:rPr>
                <w:szCs w:val="21"/>
              </w:rPr>
            </w:pPr>
            <w:r>
              <w:rPr>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5FADA689">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190C72B">
            <w:pPr>
              <w:adjustRightInd w:val="0"/>
              <w:snapToGrid w:val="0"/>
              <w:spacing w:line="300" w:lineRule="exact"/>
              <w:jc w:val="center"/>
              <w:rPr>
                <w:szCs w:val="21"/>
              </w:rPr>
            </w:pPr>
            <w:r>
              <w:rPr>
                <w:szCs w:val="21"/>
              </w:rPr>
              <w:t>联 系 人</w:t>
            </w:r>
          </w:p>
        </w:tc>
        <w:tc>
          <w:tcPr>
            <w:tcW w:w="2116" w:type="dxa"/>
            <w:tcBorders>
              <w:top w:val="single" w:color="auto" w:sz="2" w:space="0"/>
              <w:left w:val="single" w:color="auto" w:sz="2" w:space="0"/>
              <w:bottom w:val="single" w:color="auto" w:sz="2" w:space="0"/>
            </w:tcBorders>
            <w:vAlign w:val="center"/>
          </w:tcPr>
          <w:p w14:paraId="6D5AE014">
            <w:pPr>
              <w:adjustRightInd w:val="0"/>
              <w:snapToGrid w:val="0"/>
              <w:spacing w:line="300" w:lineRule="exact"/>
              <w:jc w:val="center"/>
              <w:rPr>
                <w:spacing w:val="20"/>
                <w:szCs w:val="21"/>
              </w:rPr>
            </w:pPr>
          </w:p>
        </w:tc>
      </w:tr>
      <w:tr w14:paraId="7D4458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1D25E47">
            <w:pPr>
              <w:adjustRightInd w:val="0"/>
              <w:snapToGrid w:val="0"/>
              <w:spacing w:line="300" w:lineRule="exact"/>
              <w:jc w:val="center"/>
              <w:rPr>
                <w:szCs w:val="21"/>
              </w:rPr>
            </w:pPr>
            <w:r>
              <w:rPr>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18F595F3">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8174CA4">
            <w:pPr>
              <w:adjustRightInd w:val="0"/>
              <w:snapToGrid w:val="0"/>
              <w:spacing w:line="300" w:lineRule="exact"/>
              <w:jc w:val="center"/>
              <w:rPr>
                <w:szCs w:val="21"/>
              </w:rPr>
            </w:pPr>
            <w:r>
              <w:rPr>
                <w:szCs w:val="21"/>
              </w:rPr>
              <w:t>联系电话</w:t>
            </w:r>
          </w:p>
        </w:tc>
        <w:tc>
          <w:tcPr>
            <w:tcW w:w="2116" w:type="dxa"/>
            <w:tcBorders>
              <w:top w:val="single" w:color="auto" w:sz="2" w:space="0"/>
              <w:left w:val="single" w:color="auto" w:sz="2" w:space="0"/>
              <w:bottom w:val="single" w:color="auto" w:sz="2" w:space="0"/>
            </w:tcBorders>
            <w:vAlign w:val="center"/>
          </w:tcPr>
          <w:p w14:paraId="037A66ED">
            <w:pPr>
              <w:adjustRightInd w:val="0"/>
              <w:snapToGrid w:val="0"/>
              <w:spacing w:line="300" w:lineRule="exact"/>
              <w:jc w:val="center"/>
              <w:rPr>
                <w:spacing w:val="20"/>
                <w:szCs w:val="21"/>
              </w:rPr>
            </w:pPr>
          </w:p>
        </w:tc>
      </w:tr>
      <w:tr w14:paraId="5EBF4C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0A6562E">
            <w:pPr>
              <w:adjustRightInd w:val="0"/>
              <w:snapToGrid w:val="0"/>
              <w:spacing w:line="300" w:lineRule="exact"/>
              <w:jc w:val="center"/>
              <w:rPr>
                <w:szCs w:val="21"/>
              </w:rPr>
            </w:pPr>
            <w:r>
              <w:rPr>
                <w:rFonts w:hint="eastAsia"/>
                <w:szCs w:val="21"/>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2953C994">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CA6EF5E">
            <w:pPr>
              <w:adjustRightInd w:val="0"/>
              <w:snapToGrid w:val="0"/>
              <w:spacing w:line="300" w:lineRule="exact"/>
              <w:jc w:val="center"/>
              <w:rPr>
                <w:szCs w:val="21"/>
              </w:rPr>
            </w:pPr>
            <w:r>
              <w:rPr>
                <w:rFonts w:hint="eastAsia"/>
                <w:szCs w:val="21"/>
              </w:rPr>
              <w:t>通信地址</w:t>
            </w:r>
          </w:p>
        </w:tc>
        <w:tc>
          <w:tcPr>
            <w:tcW w:w="2116" w:type="dxa"/>
            <w:tcBorders>
              <w:top w:val="single" w:color="auto" w:sz="2" w:space="0"/>
              <w:left w:val="single" w:color="auto" w:sz="2" w:space="0"/>
              <w:bottom w:val="single" w:color="auto" w:sz="2" w:space="0"/>
            </w:tcBorders>
            <w:vAlign w:val="center"/>
          </w:tcPr>
          <w:p w14:paraId="39731210">
            <w:pPr>
              <w:adjustRightInd w:val="0"/>
              <w:snapToGrid w:val="0"/>
              <w:spacing w:line="300" w:lineRule="exact"/>
              <w:jc w:val="center"/>
              <w:rPr>
                <w:spacing w:val="20"/>
                <w:szCs w:val="21"/>
              </w:rPr>
            </w:pPr>
          </w:p>
        </w:tc>
      </w:tr>
      <w:tr w14:paraId="1EA727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EB7F559">
            <w:pPr>
              <w:adjustRightInd w:val="0"/>
              <w:snapToGrid w:val="0"/>
              <w:spacing w:line="300" w:lineRule="exact"/>
              <w:jc w:val="center"/>
              <w:rPr>
                <w:szCs w:val="21"/>
              </w:rPr>
            </w:pPr>
            <w:r>
              <w:rPr>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459996C">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20A161B">
            <w:pPr>
              <w:adjustRightInd w:val="0"/>
              <w:snapToGrid w:val="0"/>
              <w:spacing w:line="300" w:lineRule="exact"/>
              <w:jc w:val="center"/>
              <w:rPr>
                <w:szCs w:val="21"/>
              </w:rPr>
            </w:pPr>
            <w:r>
              <w:rPr>
                <w:szCs w:val="21"/>
              </w:rPr>
              <w:t>邮政编码</w:t>
            </w:r>
          </w:p>
        </w:tc>
        <w:tc>
          <w:tcPr>
            <w:tcW w:w="2116" w:type="dxa"/>
            <w:tcBorders>
              <w:top w:val="single" w:color="auto" w:sz="2" w:space="0"/>
              <w:left w:val="single" w:color="auto" w:sz="2" w:space="0"/>
              <w:bottom w:val="single" w:color="auto" w:sz="2" w:space="0"/>
            </w:tcBorders>
            <w:vAlign w:val="center"/>
          </w:tcPr>
          <w:p w14:paraId="15508563">
            <w:pPr>
              <w:adjustRightInd w:val="0"/>
              <w:snapToGrid w:val="0"/>
              <w:spacing w:line="300" w:lineRule="exact"/>
              <w:jc w:val="center"/>
              <w:rPr>
                <w:spacing w:val="20"/>
                <w:szCs w:val="21"/>
              </w:rPr>
            </w:pPr>
          </w:p>
        </w:tc>
      </w:tr>
      <w:tr w14:paraId="49A99D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0B311DF">
            <w:pPr>
              <w:adjustRightInd w:val="0"/>
              <w:snapToGrid w:val="0"/>
              <w:spacing w:line="300" w:lineRule="exact"/>
              <w:jc w:val="center"/>
              <w:rPr>
                <w:szCs w:val="21"/>
              </w:rPr>
            </w:pPr>
            <w:r>
              <w:rPr>
                <w:rFonts w:hint="eastAsia"/>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22826D31">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E3EF04D">
            <w:pPr>
              <w:adjustRightInd w:val="0"/>
              <w:snapToGrid w:val="0"/>
              <w:spacing w:line="300" w:lineRule="exact"/>
              <w:jc w:val="center"/>
              <w:rPr>
                <w:szCs w:val="21"/>
              </w:rPr>
            </w:pPr>
            <w:r>
              <w:rPr>
                <w:rFonts w:hint="eastAsia"/>
                <w:szCs w:val="21"/>
              </w:rPr>
              <w:t>电子邮箱</w:t>
            </w:r>
          </w:p>
        </w:tc>
        <w:tc>
          <w:tcPr>
            <w:tcW w:w="2116" w:type="dxa"/>
            <w:tcBorders>
              <w:top w:val="single" w:color="auto" w:sz="2" w:space="0"/>
              <w:left w:val="single" w:color="auto" w:sz="2" w:space="0"/>
              <w:bottom w:val="single" w:color="auto" w:sz="2" w:space="0"/>
            </w:tcBorders>
            <w:vAlign w:val="center"/>
          </w:tcPr>
          <w:p w14:paraId="0EEFEB7B">
            <w:pPr>
              <w:adjustRightInd w:val="0"/>
              <w:snapToGrid w:val="0"/>
              <w:spacing w:line="300" w:lineRule="exact"/>
              <w:jc w:val="center"/>
              <w:rPr>
                <w:spacing w:val="20"/>
                <w:szCs w:val="21"/>
              </w:rPr>
            </w:pPr>
          </w:p>
        </w:tc>
      </w:tr>
      <w:tr w14:paraId="444C9B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36BBC97">
            <w:pPr>
              <w:adjustRightInd w:val="0"/>
              <w:snapToGrid w:val="0"/>
              <w:spacing w:line="300" w:lineRule="exact"/>
              <w:jc w:val="center"/>
              <w:rPr>
                <w:szCs w:val="21"/>
              </w:rPr>
            </w:pPr>
            <w:r>
              <w:rPr>
                <w:rFonts w:hint="eastAsia"/>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7490392C">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E65799E">
            <w:pPr>
              <w:adjustRightInd w:val="0"/>
              <w:snapToGrid w:val="0"/>
              <w:spacing w:line="300" w:lineRule="exact"/>
              <w:jc w:val="center"/>
              <w:rPr>
                <w:szCs w:val="21"/>
              </w:rPr>
            </w:pPr>
            <w:r>
              <w:rPr>
                <w:rFonts w:hint="eastAsia"/>
                <w:szCs w:val="21"/>
              </w:rPr>
              <w:t>统一社会信用代码</w:t>
            </w:r>
          </w:p>
        </w:tc>
        <w:tc>
          <w:tcPr>
            <w:tcW w:w="2116" w:type="dxa"/>
            <w:tcBorders>
              <w:top w:val="single" w:color="auto" w:sz="2" w:space="0"/>
              <w:left w:val="single" w:color="auto" w:sz="2" w:space="0"/>
              <w:bottom w:val="single" w:color="auto" w:sz="2" w:space="0"/>
            </w:tcBorders>
            <w:vAlign w:val="center"/>
          </w:tcPr>
          <w:p w14:paraId="4CB48ECE">
            <w:pPr>
              <w:adjustRightInd w:val="0"/>
              <w:snapToGrid w:val="0"/>
              <w:spacing w:line="300" w:lineRule="exact"/>
              <w:jc w:val="center"/>
              <w:rPr>
                <w:spacing w:val="20"/>
                <w:szCs w:val="21"/>
              </w:rPr>
            </w:pPr>
          </w:p>
        </w:tc>
      </w:tr>
      <w:tr w14:paraId="5C2BF9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9950AE9">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6979AE43">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CBF031">
            <w:pPr>
              <w:adjustRightInd w:val="0"/>
              <w:snapToGrid w:val="0"/>
              <w:spacing w:line="300" w:lineRule="exact"/>
              <w:jc w:val="center"/>
              <w:rPr>
                <w:szCs w:val="21"/>
              </w:rPr>
            </w:pPr>
            <w:r>
              <w:rPr>
                <w:szCs w:val="21"/>
              </w:rPr>
              <w:t>开户名称</w:t>
            </w:r>
          </w:p>
        </w:tc>
        <w:tc>
          <w:tcPr>
            <w:tcW w:w="2116" w:type="dxa"/>
            <w:tcBorders>
              <w:top w:val="single" w:color="auto" w:sz="2" w:space="0"/>
              <w:left w:val="single" w:color="auto" w:sz="2" w:space="0"/>
              <w:bottom w:val="single" w:color="auto" w:sz="2" w:space="0"/>
            </w:tcBorders>
            <w:vAlign w:val="center"/>
          </w:tcPr>
          <w:p w14:paraId="4823A919">
            <w:pPr>
              <w:adjustRightInd w:val="0"/>
              <w:snapToGrid w:val="0"/>
              <w:spacing w:line="300" w:lineRule="exact"/>
              <w:jc w:val="center"/>
              <w:rPr>
                <w:spacing w:val="20"/>
                <w:szCs w:val="21"/>
              </w:rPr>
            </w:pPr>
          </w:p>
        </w:tc>
      </w:tr>
      <w:tr w14:paraId="7086A5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5C199D3">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1B69CC71">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96BC8E3">
            <w:pPr>
              <w:adjustRightInd w:val="0"/>
              <w:snapToGrid w:val="0"/>
              <w:spacing w:line="300" w:lineRule="exact"/>
              <w:jc w:val="center"/>
              <w:rPr>
                <w:szCs w:val="21"/>
              </w:rPr>
            </w:pPr>
            <w:r>
              <w:rPr>
                <w:szCs w:val="21"/>
              </w:rPr>
              <w:t>开户银行</w:t>
            </w:r>
          </w:p>
        </w:tc>
        <w:tc>
          <w:tcPr>
            <w:tcW w:w="2116" w:type="dxa"/>
            <w:tcBorders>
              <w:top w:val="single" w:color="auto" w:sz="2" w:space="0"/>
              <w:left w:val="single" w:color="auto" w:sz="2" w:space="0"/>
              <w:bottom w:val="single" w:color="auto" w:sz="2" w:space="0"/>
            </w:tcBorders>
            <w:vAlign w:val="center"/>
          </w:tcPr>
          <w:p w14:paraId="5FF768E3">
            <w:pPr>
              <w:adjustRightInd w:val="0"/>
              <w:snapToGrid w:val="0"/>
              <w:spacing w:line="300" w:lineRule="exact"/>
              <w:jc w:val="center"/>
              <w:rPr>
                <w:spacing w:val="20"/>
                <w:szCs w:val="21"/>
              </w:rPr>
            </w:pPr>
          </w:p>
        </w:tc>
      </w:tr>
      <w:tr w14:paraId="461983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FF97AEA">
            <w:pPr>
              <w:adjustRightInd w:val="0"/>
              <w:snapToGrid w:val="0"/>
              <w:spacing w:line="300" w:lineRule="exact"/>
              <w:jc w:val="center"/>
              <w:rPr>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E593D2D">
            <w:pPr>
              <w:adjustRightInd w:val="0"/>
              <w:snapToGrid w:val="0"/>
              <w:spacing w:line="300" w:lineRule="exact"/>
              <w:jc w:val="center"/>
              <w:rPr>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B7301C">
            <w:pPr>
              <w:adjustRightInd w:val="0"/>
              <w:snapToGrid w:val="0"/>
              <w:spacing w:line="300" w:lineRule="exact"/>
              <w:jc w:val="center"/>
              <w:rPr>
                <w:szCs w:val="21"/>
              </w:rPr>
            </w:pPr>
            <w:r>
              <w:rPr>
                <w:szCs w:val="21"/>
              </w:rPr>
              <w:t>银行账号</w:t>
            </w:r>
          </w:p>
        </w:tc>
        <w:tc>
          <w:tcPr>
            <w:tcW w:w="2116" w:type="dxa"/>
            <w:tcBorders>
              <w:top w:val="single" w:color="auto" w:sz="2" w:space="0"/>
              <w:left w:val="single" w:color="auto" w:sz="2" w:space="0"/>
              <w:bottom w:val="single" w:color="auto" w:sz="2" w:space="0"/>
            </w:tcBorders>
            <w:vAlign w:val="center"/>
          </w:tcPr>
          <w:p w14:paraId="1CBC0987">
            <w:pPr>
              <w:adjustRightInd w:val="0"/>
              <w:snapToGrid w:val="0"/>
              <w:spacing w:line="300" w:lineRule="exact"/>
              <w:jc w:val="center"/>
              <w:rPr>
                <w:spacing w:val="20"/>
                <w:szCs w:val="21"/>
              </w:rPr>
            </w:pPr>
          </w:p>
        </w:tc>
      </w:tr>
      <w:tr w14:paraId="369A257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03605130">
            <w:pPr>
              <w:adjustRightInd w:val="0"/>
              <w:snapToGrid w:val="0"/>
              <w:spacing w:before="120" w:beforeLines="50" w:line="360" w:lineRule="auto"/>
              <w:jc w:val="left"/>
              <w:rPr>
                <w:spacing w:val="20"/>
                <w:szCs w:val="21"/>
              </w:rPr>
            </w:pPr>
            <w:r>
              <w:rPr>
                <w:rFonts w:hint="eastAsia" w:ascii="宋体" w:hAnsi="宋体"/>
                <w:szCs w:val="21"/>
              </w:rPr>
              <w:t>注：涉及联合体或其他合同主体的信息应按上表格式加列。</w:t>
            </w:r>
          </w:p>
        </w:tc>
      </w:tr>
    </w:tbl>
    <w:p w14:paraId="152F4ABE">
      <w:r>
        <w:br w:type="page"/>
      </w:r>
      <w:bookmarkStart w:id="177" w:name="_Toc27624"/>
    </w:p>
    <w:p w14:paraId="433F730D">
      <w:pPr>
        <w:keepNext/>
        <w:keepLines/>
        <w:adjustRightInd w:val="0"/>
        <w:snapToGrid w:val="0"/>
        <w:spacing w:before="120" w:beforeLines="50" w:line="360" w:lineRule="auto"/>
        <w:jc w:val="center"/>
        <w:rPr>
          <w:rFonts w:hint="eastAsia" w:ascii="黑体" w:hAnsi="黑体" w:eastAsia="黑体"/>
          <w:b/>
          <w:bCs/>
          <w:sz w:val="28"/>
          <w:szCs w:val="28"/>
        </w:rPr>
      </w:pPr>
      <w:r>
        <w:rPr>
          <w:rFonts w:hint="eastAsia" w:ascii="黑体" w:hAnsi="黑体" w:eastAsia="黑体"/>
          <w:sz w:val="28"/>
          <w:szCs w:val="28"/>
        </w:rPr>
        <w:t>第二节 政府采购合同通用条款</w:t>
      </w:r>
      <w:bookmarkEnd w:id="177"/>
    </w:p>
    <w:p w14:paraId="4AB6A6DB">
      <w:pPr>
        <w:tabs>
          <w:tab w:val="left" w:pos="8820"/>
          <w:tab w:val="left" w:pos="9345"/>
          <w:tab w:val="left" w:pos="9765"/>
        </w:tabs>
        <w:adjustRightInd w:val="0"/>
        <w:snapToGrid w:val="0"/>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202AA032">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1.1合同当事人</w:t>
      </w:r>
    </w:p>
    <w:p w14:paraId="5449DDE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2A40FDA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626B19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179EE643">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1.2本合同下列术语应解释为：</w:t>
      </w:r>
    </w:p>
    <w:p w14:paraId="7310D0A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50F15F56">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7EF94A8B">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1B85A73C">
      <w:pPr>
        <w:adjustRightInd w:val="0"/>
        <w:snapToGrid w:val="0"/>
        <w:spacing w:line="400" w:lineRule="exact"/>
        <w:ind w:firstLine="420" w:firstLineChars="200"/>
        <w:jc w:val="left"/>
        <w:rPr>
          <w:rFonts w:hint="eastAsia"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4D36963A">
      <w:pPr>
        <w:adjustRightInd w:val="0"/>
        <w:snapToGrid w:val="0"/>
        <w:spacing w:line="400" w:lineRule="exact"/>
        <w:ind w:firstLine="420" w:firstLineChars="200"/>
        <w:jc w:val="left"/>
        <w:rPr>
          <w:rFonts w:hint="eastAsia"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54AE1F1B">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601B1371">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1999268B">
      <w:pPr>
        <w:numPr>
          <w:ilvl w:val="0"/>
          <w:numId w:val="11"/>
        </w:num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color w:val="000000"/>
          <w:sz w:val="24"/>
        </w:rPr>
        <w:t>合同标的及金额</w:t>
      </w:r>
    </w:p>
    <w:p w14:paraId="30C82C7A">
      <w:pPr>
        <w:autoSpaceDE w:val="0"/>
        <w:autoSpaceDN w:val="0"/>
        <w:adjustRightInd w:val="0"/>
        <w:snapToGrid w:val="0"/>
        <w:spacing w:line="400" w:lineRule="exact"/>
        <w:ind w:firstLine="420" w:firstLineChars="200"/>
        <w:jc w:val="left"/>
        <w:rPr>
          <w:rFonts w:hint="eastAsia"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195046DE">
      <w:pPr>
        <w:adjustRightInd w:val="0"/>
        <w:snapToGrid w:val="0"/>
        <w:spacing w:line="400" w:lineRule="exact"/>
        <w:jc w:val="left"/>
        <w:rPr>
          <w:rFonts w:hint="eastAsia" w:ascii="宋体" w:hAnsi="宋体"/>
          <w:b/>
          <w:color w:val="000000"/>
          <w:sz w:val="24"/>
        </w:rPr>
      </w:pPr>
      <w:r>
        <w:rPr>
          <w:rFonts w:hint="eastAsia" w:ascii="宋体" w:hAnsi="宋体"/>
          <w:b/>
          <w:color w:val="000000"/>
          <w:sz w:val="24"/>
        </w:rPr>
        <w:t>3. 履行合同的时间、地点和方式</w:t>
      </w:r>
    </w:p>
    <w:p w14:paraId="07D8E7D6">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55CEA613">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4. 甲方的权利和义务</w:t>
      </w:r>
    </w:p>
    <w:p w14:paraId="4BF76EF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0C93F60F">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4A13A8DD">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29EB47DA">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1095BF49">
      <w:pPr>
        <w:autoSpaceDE w:val="0"/>
        <w:autoSpaceDN w:val="0"/>
        <w:adjustRightInd w:val="0"/>
        <w:snapToGrid w:val="0"/>
        <w:spacing w:line="400" w:lineRule="exact"/>
        <w:ind w:firstLine="420" w:firstLineChars="200"/>
        <w:jc w:val="left"/>
        <w:rPr>
          <w:rFonts w:hint="eastAsia"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4015E34B">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2811D866">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5. 乙方的权利和义务</w:t>
      </w:r>
    </w:p>
    <w:p w14:paraId="55616C8B">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59C10454">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098DCB16">
      <w:pPr>
        <w:spacing w:line="400" w:lineRule="exact"/>
        <w:ind w:firstLine="369" w:firstLineChars="176"/>
        <w:rPr>
          <w:rFonts w:hint="eastAsia"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根据合同约定向甲方收取合同价款。</w:t>
      </w:r>
    </w:p>
    <w:p w14:paraId="01208A04">
      <w:pPr>
        <w:spacing w:line="400" w:lineRule="exact"/>
        <w:ind w:firstLine="369" w:firstLineChars="176"/>
        <w:rPr>
          <w:rFonts w:hint="eastAsia"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2BCF2A7A">
      <w:pPr>
        <w:numPr>
          <w:ilvl w:val="0"/>
          <w:numId w:val="12"/>
        </w:num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合同履行</w:t>
      </w:r>
    </w:p>
    <w:p w14:paraId="36B6F58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6AC48E31">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57C635EC">
      <w:pPr>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7. 货物包装、运输、保险和交付要求</w:t>
      </w:r>
    </w:p>
    <w:p w14:paraId="48F00DB2">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310949B1">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2DEFFE06">
      <w:pPr>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6A6B3FBF">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1779D26">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22FA85A">
      <w:pPr>
        <w:autoSpaceDE w:val="0"/>
        <w:autoSpaceDN w:val="0"/>
        <w:adjustRightInd w:val="0"/>
        <w:spacing w:line="400" w:lineRule="exact"/>
        <w:ind w:firstLine="420" w:firstLineChars="200"/>
        <w:rPr>
          <w:rFonts w:hint="eastAsia" w:ascii="华文楷体" w:hAnsi="华文楷体" w:eastAsia="华文楷体" w:cs="华文楷体"/>
          <w:szCs w:val="21"/>
        </w:rPr>
      </w:pPr>
      <w:r>
        <w:rPr>
          <w:rFonts w:hint="eastAsia" w:ascii="宋体" w:hAnsi="宋体"/>
          <w:color w:val="000000"/>
          <w:szCs w:val="21"/>
        </w:rPr>
        <w:t>7.6 如因包装、运输问题导致货物损毁、丢失或者品质下降，甲方有权要求降价、换货、拒收部分或整批货物，由此产生的费用和损失，均由乙方承担。</w:t>
      </w:r>
    </w:p>
    <w:p w14:paraId="0344C190">
      <w:pPr>
        <w:adjustRightInd w:val="0"/>
        <w:snapToGrid w:val="0"/>
        <w:spacing w:line="400" w:lineRule="exact"/>
        <w:jc w:val="left"/>
        <w:rPr>
          <w:rFonts w:hint="eastAsia"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4CDFC9EA">
      <w:pPr>
        <w:adjustRightInd w:val="0"/>
        <w:snapToGrid w:val="0"/>
        <w:spacing w:line="400" w:lineRule="exact"/>
        <w:ind w:firstLine="420" w:firstLineChars="200"/>
        <w:jc w:val="left"/>
        <w:rPr>
          <w:rFonts w:hint="eastAsia" w:ascii="宋体" w:hAnsi="宋体" w:cs="Courier New"/>
          <w:b/>
          <w:szCs w:val="21"/>
        </w:rPr>
      </w:pPr>
      <w:r>
        <w:rPr>
          <w:rFonts w:hint="eastAsia" w:ascii="宋体" w:hAnsi="宋体" w:cs="Courier New"/>
          <w:szCs w:val="21"/>
        </w:rPr>
        <w:t>8.1 质量标准</w:t>
      </w:r>
    </w:p>
    <w:p w14:paraId="030FF2B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3571E69">
      <w:pPr>
        <w:adjustRightInd w:val="0"/>
        <w:snapToGrid w:val="0"/>
        <w:spacing w:line="400" w:lineRule="exact"/>
        <w:ind w:firstLine="420" w:firstLineChars="200"/>
        <w:jc w:val="left"/>
        <w:rPr>
          <w:rFonts w:hint="eastAsia" w:ascii="宋体" w:hAnsi="宋体" w:cs="Courier New"/>
          <w:szCs w:val="21"/>
        </w:rPr>
      </w:pPr>
      <w:r>
        <w:rPr>
          <w:rFonts w:hint="eastAsia" w:ascii="宋体" w:hAnsi="宋体" w:cs="Courier New"/>
          <w:szCs w:val="21"/>
        </w:rPr>
        <w:t>（2）采用中华人民共和国法定计量单位。</w:t>
      </w:r>
    </w:p>
    <w:p w14:paraId="4A22247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（3）乙方所提供的货物应符合国家有关安全、环保、卫生的规定。</w:t>
      </w:r>
    </w:p>
    <w:p w14:paraId="5E1DBAE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1D6EB06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8.2 保证</w:t>
      </w:r>
    </w:p>
    <w:p w14:paraId="6F59255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398FBCE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（2）在质量保证期内所发现的缺陷，甲方应尽快以书面形式通知乙方。</w:t>
      </w:r>
    </w:p>
    <w:p w14:paraId="11AFB2F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78D0455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558B2CF3">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2265845B">
      <w:pPr>
        <w:adjustRightInd w:val="0"/>
        <w:snapToGrid w:val="0"/>
        <w:spacing w:line="400" w:lineRule="exact"/>
        <w:jc w:val="left"/>
        <w:rPr>
          <w:rFonts w:hint="eastAsia"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4EBBFF1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9.1 乙方保证对其出售的货物享有合法的权利。</w:t>
      </w:r>
    </w:p>
    <w:p w14:paraId="2267F5D4">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50967686">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9.3 如甲方使用上述货物构成对第三人侵权的，则由乙方承担全部责任。</w:t>
      </w:r>
    </w:p>
    <w:p w14:paraId="34D4F57A">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10. 知识产权保护</w:t>
      </w:r>
    </w:p>
    <w:p w14:paraId="4C10453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178"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78"/>
      <w:r>
        <w:rPr>
          <w:rFonts w:hint="eastAsia" w:ascii="宋体" w:hAnsi="宋体"/>
          <w:szCs w:val="21"/>
        </w:rPr>
        <w:t>。</w:t>
      </w:r>
    </w:p>
    <w:p w14:paraId="6EAAFC96">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11. 保密义务</w:t>
      </w:r>
    </w:p>
    <w:p w14:paraId="6E077061">
      <w:pPr>
        <w:autoSpaceDE w:val="0"/>
        <w:autoSpaceDN w:val="0"/>
        <w:adjustRightInd w:val="0"/>
        <w:snapToGrid w:val="0"/>
        <w:spacing w:line="400" w:lineRule="exact"/>
        <w:ind w:firstLine="420" w:firstLineChars="20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3B5ACF9E">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12. 合同价款支付</w:t>
      </w:r>
    </w:p>
    <w:p w14:paraId="7E340CA2">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0ED80E82">
      <w:pPr>
        <w:keepNext/>
        <w:keepLines/>
        <w:spacing w:line="400" w:lineRule="exact"/>
        <w:ind w:firstLine="420" w:firstLineChars="200"/>
        <w:rPr>
          <w:rFonts w:ascii="Arial" w:hAnsi="Arial"/>
          <w:b/>
          <w:bCs/>
          <w:sz w:val="24"/>
          <w:szCs w:val="32"/>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787F054A">
      <w:pPr>
        <w:spacing w:line="400" w:lineRule="exact"/>
        <w:rPr>
          <w:rFonts w:hint="eastAsia" w:ascii="宋体" w:hAnsi="宋体"/>
          <w:b/>
          <w:bCs/>
          <w:sz w:val="24"/>
        </w:rPr>
      </w:pPr>
      <w:r>
        <w:rPr>
          <w:rFonts w:hint="eastAsia" w:ascii="宋体" w:hAnsi="宋体"/>
          <w:b/>
          <w:bCs/>
          <w:sz w:val="24"/>
        </w:rPr>
        <w:t>13. 履约保证金</w:t>
      </w:r>
    </w:p>
    <w:p w14:paraId="4B52ADAF">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26D3249D">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76250C4C">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33A7CCE">
      <w:pPr>
        <w:autoSpaceDE w:val="0"/>
        <w:autoSpaceDN w:val="0"/>
        <w:adjustRightInd w:val="0"/>
        <w:snapToGrid w:val="0"/>
        <w:spacing w:line="400" w:lineRule="exact"/>
        <w:jc w:val="left"/>
        <w:rPr>
          <w:rFonts w:hint="eastAsia"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5643FEA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25AEC8C5">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（1）货物的现场移动、安装、调试、启动监督及技术支持；</w:t>
      </w:r>
    </w:p>
    <w:p w14:paraId="73D6896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（2）提供货物组装和维修所需的专用工具和辅助材料；</w:t>
      </w:r>
    </w:p>
    <w:p w14:paraId="33003FE4">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98CEBB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B80A1C5">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（5）依照法律、行政法规的规定或者按照</w:t>
      </w:r>
      <w:r>
        <w:rPr>
          <w:rFonts w:hint="eastAsia" w:ascii="宋体" w:hAnsi="宋体" w:cs="宋体"/>
          <w:b/>
          <w:bCs/>
          <w:szCs w:val="21"/>
        </w:rPr>
        <w:t>【政府采购合同专用条款】</w:t>
      </w:r>
      <w:r>
        <w:rPr>
          <w:rFonts w:hint="eastAsia" w:ascii="宋体" w:hAnsi="宋体" w:cs="宋体"/>
          <w:szCs w:val="21"/>
        </w:rPr>
        <w:t>约定，货物在有效使用年限届满后应予回收的，乙方负有自行或者委托第三人对货物予以回收的义务；</w:t>
      </w:r>
    </w:p>
    <w:p w14:paraId="3ABAACD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FEFBD8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14.2 乙方提供的售后服务的费用已包含在合同价款中，甲方不再另行支付。</w:t>
      </w:r>
    </w:p>
    <w:p w14:paraId="4017B0B0">
      <w:pPr>
        <w:adjustRightInd w:val="0"/>
        <w:snapToGrid w:val="0"/>
        <w:spacing w:line="400" w:lineRule="exact"/>
        <w:jc w:val="left"/>
        <w:rPr>
          <w:rFonts w:hint="eastAsia" w:ascii="宋体" w:hAnsi="宋体"/>
          <w:b/>
          <w:bCs/>
          <w:sz w:val="24"/>
        </w:rPr>
      </w:pPr>
      <w:r>
        <w:rPr>
          <w:rFonts w:hint="eastAsia" w:ascii="宋体" w:hAnsi="宋体"/>
          <w:b/>
          <w:bCs/>
          <w:sz w:val="24"/>
        </w:rPr>
        <w:t>15. 违约责任</w:t>
      </w:r>
    </w:p>
    <w:p w14:paraId="24843724">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15.1质量瑕疵的违约责任</w:t>
      </w:r>
    </w:p>
    <w:p w14:paraId="65159690">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111E59EC">
      <w:pPr>
        <w:autoSpaceDE w:val="0"/>
        <w:autoSpaceDN w:val="0"/>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15.2 迟延交货的违约责任</w:t>
      </w:r>
    </w:p>
    <w:p w14:paraId="5082B54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733568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C27F3E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15.3 迟延支付的违约责任</w:t>
      </w:r>
    </w:p>
    <w:p w14:paraId="0939823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2D6F0176">
      <w:pPr>
        <w:adjustRightInd w:val="0"/>
        <w:snapToGrid w:val="0"/>
        <w:spacing w:line="400" w:lineRule="exact"/>
        <w:ind w:firstLine="420" w:firstLineChars="200"/>
        <w:jc w:val="left"/>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0C937A2C">
      <w:pPr>
        <w:numPr>
          <w:ilvl w:val="0"/>
          <w:numId w:val="13"/>
        </w:num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合同变更、中止与终止</w:t>
      </w:r>
    </w:p>
    <w:p w14:paraId="013D7261">
      <w:pPr>
        <w:adjustRightInd w:val="0"/>
        <w:snapToGrid w:val="0"/>
        <w:spacing w:line="400" w:lineRule="exact"/>
        <w:jc w:val="left"/>
        <w:rPr>
          <w:rFonts w:hint="eastAsia" w:ascii="宋体" w:hAnsi="宋体"/>
          <w:szCs w:val="21"/>
        </w:rPr>
      </w:pPr>
      <w:r>
        <w:rPr>
          <w:rFonts w:hint="eastAsia" w:ascii="宋体" w:hAnsi="宋体"/>
          <w:szCs w:val="21"/>
        </w:rPr>
        <w:t xml:space="preserve">    16.1合同的变更</w:t>
      </w:r>
    </w:p>
    <w:p w14:paraId="77D924E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09504DC9">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16.2合同的中止</w:t>
      </w:r>
    </w:p>
    <w:p w14:paraId="58CB587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700B197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134F04D">
      <w:pPr>
        <w:autoSpaceDE w:val="0"/>
        <w:autoSpaceDN w:val="0"/>
        <w:adjustRightInd w:val="0"/>
        <w:spacing w:line="400" w:lineRule="exact"/>
        <w:ind w:firstLine="420" w:firstLineChars="200"/>
        <w:rPr>
          <w:rFonts w:hint="eastAsia" w:ascii="华文楷体" w:hAnsi="华文楷体" w:eastAsia="华文楷体" w:cs="华文楷体"/>
          <w:szCs w:val="21"/>
        </w:rPr>
      </w:pPr>
      <w:r>
        <w:rPr>
          <w:rFonts w:hint="eastAsia" w:ascii="宋体" w:hAnsi="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4A1CA8C6">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25D491E4">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16.3合同的终止</w:t>
      </w:r>
    </w:p>
    <w:p w14:paraId="2B6D122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（1）合同因有效期限届满而终止；</w:t>
      </w:r>
    </w:p>
    <w:p w14:paraId="59610371">
      <w:pPr>
        <w:snapToGrid w:val="0"/>
        <w:spacing w:line="400" w:lineRule="exact"/>
        <w:ind w:firstLine="420" w:firstLineChars="20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5C9A29F3">
      <w:pPr>
        <w:autoSpaceDE w:val="0"/>
        <w:autoSpaceDN w:val="0"/>
        <w:adjustRightInd w:val="0"/>
        <w:spacing w:line="400" w:lineRule="exact"/>
        <w:ind w:firstLine="440" w:firstLineChars="200"/>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涉及国家利益、社会公共利益的情形</w:t>
      </w:r>
    </w:p>
    <w:p w14:paraId="5285DFC2">
      <w:pPr>
        <w:autoSpaceDE w:val="0"/>
        <w:autoSpaceDN w:val="0"/>
        <w:adjustRightInd w:val="0"/>
        <w:spacing w:line="400" w:lineRule="exact"/>
        <w:ind w:firstLine="420" w:firstLineChars="200"/>
        <w:rPr>
          <w:rFonts w:hint="eastAsia" w:ascii="华文楷体" w:hAnsi="华文楷体" w:eastAsia="华文楷体" w:cs="华文楷体"/>
          <w:szCs w:val="21"/>
        </w:rPr>
      </w:pPr>
      <w:r>
        <w:rPr>
          <w:rFonts w:hint="eastAsia" w:ascii="宋体" w:hAnsi="宋体" w:cs="宋体"/>
          <w:szCs w:val="21"/>
        </w:rPr>
        <w:t>政府采购合同继续履行将损害国家利益和社会公共利益的，双方当事人应当变更、中止或者终止合同。有过错的一方应当承担赔偿责任，双方都有过错的，各自承担相应的责任。</w:t>
      </w:r>
    </w:p>
    <w:p w14:paraId="385055B0">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17. 合同分包</w:t>
      </w:r>
    </w:p>
    <w:p w14:paraId="3298B14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EA4E6F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DAD21E8">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18. 不可抗力</w:t>
      </w:r>
    </w:p>
    <w:p w14:paraId="0091A25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18.1 不可抗力是指合同双方不能预见、不能避免且不能克服的客观情况。</w:t>
      </w:r>
    </w:p>
    <w:p w14:paraId="3FE5E747">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5CD83BA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3FC784">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19. 解决争议的方法</w:t>
      </w:r>
    </w:p>
    <w:p w14:paraId="39AC91D3">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68B5F1CC">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19.2 选择仲裁的，应在</w:t>
      </w:r>
      <w:r>
        <w:rPr>
          <w:rFonts w:hint="eastAsia" w:ascii="宋体" w:hAnsi="宋体" w:cs="宋体"/>
          <w:b/>
          <w:bCs/>
          <w:szCs w:val="21"/>
        </w:rPr>
        <w:t>【政府采购合同专用条款】</w:t>
      </w:r>
      <w:r>
        <w:rPr>
          <w:rFonts w:hint="eastAsia" w:ascii="宋体" w:hAnsi="宋体" w:cs="宋体"/>
          <w:szCs w:val="21"/>
        </w:rPr>
        <w:t>中明确仲裁机构及仲裁地；通过诉讼方式解决的，可以在</w:t>
      </w:r>
      <w:r>
        <w:rPr>
          <w:rFonts w:hint="eastAsia" w:ascii="宋体" w:hAnsi="宋体" w:cs="宋体"/>
          <w:b/>
          <w:bCs/>
          <w:szCs w:val="21"/>
        </w:rPr>
        <w:t>【政府采购合同专用条款】</w:t>
      </w:r>
      <w:r>
        <w:rPr>
          <w:rFonts w:hint="eastAsia" w:ascii="宋体" w:hAnsi="宋体" w:cs="宋体"/>
          <w:szCs w:val="21"/>
        </w:rPr>
        <w:t>中进一步约定选择与争议有实际联系的地点的人民法院管辖，但管辖法院的约定不得违反级别管辖和专属管辖的规定。</w:t>
      </w:r>
    </w:p>
    <w:p w14:paraId="0C6A3C16">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19.3 如甲乙双方有争议的事项不影响合同其他部分的履行，在争议解决期间，合同其他部分应当继续履行。</w:t>
      </w:r>
    </w:p>
    <w:p w14:paraId="0AE74899">
      <w:pPr>
        <w:autoSpaceDE w:val="0"/>
        <w:autoSpaceDN w:val="0"/>
        <w:adjustRightInd w:val="0"/>
        <w:snapToGrid w:val="0"/>
        <w:spacing w:line="400" w:lineRule="exact"/>
        <w:jc w:val="left"/>
        <w:rPr>
          <w:rFonts w:hint="eastAsia" w:ascii="宋体" w:hAnsi="宋体"/>
          <w:sz w:val="24"/>
        </w:rPr>
      </w:pPr>
      <w:r>
        <w:rPr>
          <w:rFonts w:hint="eastAsia" w:ascii="宋体" w:hAnsi="宋体"/>
          <w:b/>
          <w:sz w:val="24"/>
        </w:rPr>
        <w:t>20. 政府采购政策</w:t>
      </w:r>
    </w:p>
    <w:p w14:paraId="770ACD0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3D3A09ED">
      <w:pPr>
        <w:autoSpaceDE w:val="0"/>
        <w:autoSpaceDN w:val="0"/>
        <w:adjustRightInd w:val="0"/>
        <w:snapToGrid w:val="0"/>
        <w:spacing w:line="400" w:lineRule="exact"/>
        <w:ind w:firstLine="420" w:firstLineChars="200"/>
        <w:jc w:val="left"/>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63F27724">
      <w:pPr>
        <w:spacing w:line="400" w:lineRule="exact"/>
        <w:ind w:firstLine="420" w:firstLineChars="200"/>
        <w:rPr>
          <w:rFonts w:ascii="Calibri" w:hAnsi="Calibri"/>
          <w:szCs w:val="22"/>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F7E49DC">
      <w:p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21. 法律适用</w:t>
      </w:r>
    </w:p>
    <w:p w14:paraId="6FBD0A00">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21.1 本合同的订立、生效、解释、履行及与本合同有关的争议解决，均适用法律、行政法规。</w:t>
      </w:r>
    </w:p>
    <w:p w14:paraId="5C269D1F">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21.2 本合同条款与法律、行政法规的强制性规定不一致的，双方当事人应按照法律、行政法规的强制性规定修改本合同的相关条款。</w:t>
      </w:r>
    </w:p>
    <w:p w14:paraId="401CFAB7">
      <w:pPr>
        <w:numPr>
          <w:ilvl w:val="255"/>
          <w:numId w:val="0"/>
        </w:num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22. 通知</w:t>
      </w:r>
    </w:p>
    <w:p w14:paraId="79A9365C">
      <w:pPr>
        <w:autoSpaceDE w:val="0"/>
        <w:autoSpaceDN w:val="0"/>
        <w:adjustRightInd w:val="0"/>
        <w:spacing w:line="400" w:lineRule="exact"/>
        <w:ind w:firstLine="420" w:firstLineChars="200"/>
        <w:rPr>
          <w:rFonts w:hint="eastAsia" w:ascii="宋体" w:hAnsi="宋体" w:cs="宋体"/>
          <w:szCs w:val="21"/>
        </w:rPr>
      </w:pPr>
      <w:r>
        <w:rPr>
          <w:rFonts w:hint="eastAsia" w:ascii="宋体" w:hAnsi="宋体" w:cs="宋体"/>
          <w:szCs w:val="21"/>
        </w:rPr>
        <w:t>22.1 本合同任何一方向对方发出的通知、信件、数据电文等，应当发送至本合同第一部分《政府采购合同协议书》所约定的通讯地址、联系人、联系电话或电子邮箱。</w:t>
      </w:r>
    </w:p>
    <w:p w14:paraId="3291D7A2">
      <w:pPr>
        <w:autoSpaceDE w:val="0"/>
        <w:autoSpaceDN w:val="0"/>
        <w:adjustRightInd w:val="0"/>
        <w:spacing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p>
    <w:p w14:paraId="43797D63">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604181A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0B0BD3B4">
      <w:pPr>
        <w:numPr>
          <w:ilvl w:val="0"/>
          <w:numId w:val="14"/>
        </w:numPr>
        <w:adjustRightInd w:val="0"/>
        <w:snapToGrid w:val="0"/>
        <w:spacing w:line="400" w:lineRule="exact"/>
        <w:jc w:val="left"/>
        <w:rPr>
          <w:rFonts w:hint="eastAsia" w:ascii="宋体" w:hAnsi="宋体"/>
          <w:b/>
          <w:bCs/>
          <w:sz w:val="24"/>
        </w:rPr>
      </w:pPr>
      <w:r>
        <w:rPr>
          <w:rFonts w:hint="eastAsia" w:ascii="宋体" w:hAnsi="宋体"/>
          <w:b/>
          <w:bCs/>
          <w:sz w:val="24"/>
        </w:rPr>
        <w:t>合同未尽事项</w:t>
      </w:r>
    </w:p>
    <w:p w14:paraId="2B347699">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7A369E72">
      <w:pPr>
        <w:adjustRightInd w:val="0"/>
        <w:snapToGrid w:val="0"/>
        <w:spacing w:line="400" w:lineRule="exact"/>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79" w:name="_Toc20313"/>
    </w:p>
    <w:p w14:paraId="37459573">
      <w:pPr>
        <w:adjustRightInd w:val="0"/>
        <w:snapToGrid w:val="0"/>
        <w:rPr>
          <w:rFonts w:hint="eastAsia" w:ascii="黑体" w:hAnsi="华文中宋" w:eastAsia="黑体"/>
          <w:sz w:val="28"/>
          <w:szCs w:val="28"/>
        </w:rPr>
      </w:pPr>
      <w:r>
        <w:rPr>
          <w:rFonts w:hint="eastAsia" w:ascii="黑体" w:hAnsi="华文中宋" w:eastAsia="黑体"/>
          <w:sz w:val="28"/>
          <w:szCs w:val="28"/>
        </w:rPr>
        <w:br w:type="page"/>
      </w:r>
    </w:p>
    <w:p w14:paraId="7443CE9F">
      <w:pPr>
        <w:keepNext/>
        <w:keepLines/>
        <w:adjustRightInd w:val="0"/>
        <w:snapToGrid w:val="0"/>
        <w:spacing w:line="360" w:lineRule="auto"/>
        <w:jc w:val="center"/>
        <w:rPr>
          <w:rFonts w:hint="eastAsia" w:ascii="黑体" w:hAnsi="华文中宋" w:eastAsia="黑体"/>
          <w:sz w:val="28"/>
          <w:szCs w:val="28"/>
        </w:rPr>
      </w:pPr>
      <w:r>
        <w:rPr>
          <w:rFonts w:hint="eastAsia" w:ascii="黑体" w:hAnsi="华文中宋" w:eastAsia="黑体"/>
          <w:sz w:val="28"/>
          <w:szCs w:val="28"/>
        </w:rPr>
        <w:t>第三节 政府采购合同专用条款</w:t>
      </w:r>
      <w:bookmarkEnd w:id="179"/>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F48AE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F884B0">
            <w:pPr>
              <w:adjustRightInd w:val="0"/>
              <w:snapToGrid w:val="0"/>
              <w:jc w:val="center"/>
              <w:rPr>
                <w:rFonts w:hint="eastAsia" w:ascii="宋体" w:hAnsi="宋体"/>
                <w:szCs w:val="21"/>
              </w:rPr>
            </w:pPr>
            <w:r>
              <w:rPr>
                <w:rFonts w:hint="eastAsia" w:ascii="宋体" w:hAnsi="宋体"/>
                <w:szCs w:val="21"/>
              </w:rPr>
              <w:t>第二节</w:t>
            </w:r>
          </w:p>
          <w:p w14:paraId="567F1C7C">
            <w:pPr>
              <w:adjustRightInd w:val="0"/>
              <w:snapToGrid w:val="0"/>
              <w:jc w:val="center"/>
              <w:rPr>
                <w:rFonts w:hint="eastAsia" w:ascii="宋体" w:hAnsi="宋体"/>
                <w:szCs w:val="21"/>
              </w:rPr>
            </w:pPr>
            <w:r>
              <w:rPr>
                <w:rFonts w:hint="eastAsia" w:ascii="宋体" w:hAnsi="宋体"/>
                <w:szCs w:val="21"/>
              </w:rPr>
              <w:t>第1.2（6）项</w:t>
            </w:r>
          </w:p>
        </w:tc>
        <w:tc>
          <w:tcPr>
            <w:tcW w:w="1742" w:type="dxa"/>
            <w:vAlign w:val="center"/>
          </w:tcPr>
          <w:p w14:paraId="49D7E8D3">
            <w:pPr>
              <w:adjustRightInd w:val="0"/>
              <w:snapToGrid w:val="0"/>
              <w:jc w:val="left"/>
              <w:rPr>
                <w:rFonts w:hint="eastAsia" w:ascii="宋体" w:hAnsi="宋体"/>
                <w:szCs w:val="21"/>
              </w:rPr>
            </w:pPr>
            <w:r>
              <w:rPr>
                <w:rFonts w:hint="eastAsia" w:ascii="宋体" w:hAnsi="宋体"/>
                <w:szCs w:val="21"/>
              </w:rPr>
              <w:t>联合体具体要求</w:t>
            </w:r>
          </w:p>
        </w:tc>
        <w:tc>
          <w:tcPr>
            <w:tcW w:w="5170" w:type="dxa"/>
            <w:vAlign w:val="center"/>
          </w:tcPr>
          <w:p w14:paraId="237EEFB7">
            <w:pPr>
              <w:adjustRightInd w:val="0"/>
              <w:snapToGrid w:val="0"/>
              <w:jc w:val="left"/>
              <w:rPr>
                <w:rFonts w:hint="eastAsia" w:ascii="宋体" w:hAnsi="宋体"/>
                <w:szCs w:val="21"/>
              </w:rPr>
            </w:pPr>
          </w:p>
        </w:tc>
      </w:tr>
      <w:tr w14:paraId="6A2B40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33ADC30">
            <w:pPr>
              <w:adjustRightInd w:val="0"/>
              <w:snapToGrid w:val="0"/>
              <w:jc w:val="center"/>
              <w:rPr>
                <w:rFonts w:hint="eastAsia" w:ascii="宋体" w:hAnsi="宋体"/>
                <w:szCs w:val="21"/>
              </w:rPr>
            </w:pPr>
            <w:r>
              <w:rPr>
                <w:rFonts w:hint="eastAsia" w:ascii="宋体" w:hAnsi="宋体"/>
                <w:szCs w:val="21"/>
              </w:rPr>
              <w:t>第二节</w:t>
            </w:r>
          </w:p>
          <w:p w14:paraId="5AD66FCE">
            <w:pPr>
              <w:adjustRightInd w:val="0"/>
              <w:snapToGrid w:val="0"/>
              <w:jc w:val="center"/>
              <w:rPr>
                <w:rFonts w:hint="eastAsia" w:ascii="宋体" w:hAnsi="宋体"/>
                <w:szCs w:val="21"/>
              </w:rPr>
            </w:pPr>
            <w:r>
              <w:rPr>
                <w:rFonts w:hint="eastAsia" w:ascii="宋体" w:hAnsi="宋体"/>
                <w:szCs w:val="21"/>
              </w:rPr>
              <w:t>第1.2（7）项</w:t>
            </w:r>
          </w:p>
        </w:tc>
        <w:tc>
          <w:tcPr>
            <w:tcW w:w="1742" w:type="dxa"/>
            <w:vAlign w:val="center"/>
          </w:tcPr>
          <w:p w14:paraId="0155D3F3">
            <w:pPr>
              <w:adjustRightInd w:val="0"/>
              <w:snapToGrid w:val="0"/>
              <w:jc w:val="left"/>
              <w:rPr>
                <w:rFonts w:hint="eastAsia" w:ascii="宋体" w:hAnsi="宋体"/>
                <w:szCs w:val="21"/>
              </w:rPr>
            </w:pPr>
            <w:r>
              <w:rPr>
                <w:rFonts w:hint="eastAsia" w:ascii="宋体" w:hAnsi="宋体"/>
                <w:szCs w:val="21"/>
              </w:rPr>
              <w:t>其他术语解释</w:t>
            </w:r>
          </w:p>
        </w:tc>
        <w:tc>
          <w:tcPr>
            <w:tcW w:w="5170" w:type="dxa"/>
            <w:vAlign w:val="center"/>
          </w:tcPr>
          <w:p w14:paraId="0F60887A">
            <w:pPr>
              <w:adjustRightInd w:val="0"/>
              <w:snapToGrid w:val="0"/>
              <w:jc w:val="left"/>
              <w:rPr>
                <w:rFonts w:hint="eastAsia" w:ascii="宋体" w:hAnsi="宋体"/>
                <w:szCs w:val="21"/>
              </w:rPr>
            </w:pPr>
          </w:p>
        </w:tc>
      </w:tr>
      <w:tr w14:paraId="6884AB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9157EE">
            <w:pPr>
              <w:adjustRightInd w:val="0"/>
              <w:snapToGrid w:val="0"/>
              <w:jc w:val="center"/>
              <w:rPr>
                <w:rFonts w:hint="eastAsia" w:ascii="宋体" w:hAnsi="宋体"/>
                <w:szCs w:val="21"/>
              </w:rPr>
            </w:pPr>
            <w:r>
              <w:rPr>
                <w:rFonts w:hint="eastAsia" w:ascii="宋体" w:hAnsi="宋体"/>
                <w:szCs w:val="21"/>
              </w:rPr>
              <w:t>第二节</w:t>
            </w:r>
          </w:p>
          <w:p w14:paraId="3B66F272">
            <w:pPr>
              <w:adjustRightInd w:val="0"/>
              <w:snapToGrid w:val="0"/>
              <w:jc w:val="center"/>
              <w:rPr>
                <w:rFonts w:hint="eastAsia" w:ascii="宋体" w:hAnsi="宋体"/>
                <w:szCs w:val="21"/>
              </w:rPr>
            </w:pPr>
            <w:r>
              <w:rPr>
                <w:rFonts w:hint="eastAsia" w:ascii="宋体" w:hAnsi="宋体"/>
                <w:szCs w:val="21"/>
              </w:rPr>
              <w:t>第4.4款</w:t>
            </w:r>
          </w:p>
        </w:tc>
        <w:tc>
          <w:tcPr>
            <w:tcW w:w="1742" w:type="dxa"/>
            <w:vAlign w:val="center"/>
          </w:tcPr>
          <w:p w14:paraId="02ABFCE0">
            <w:pPr>
              <w:adjustRightInd w:val="0"/>
              <w:snapToGrid w:val="0"/>
              <w:jc w:val="left"/>
              <w:rPr>
                <w:rFonts w:hint="eastAsia" w:ascii="宋体" w:hAnsi="宋体"/>
                <w:szCs w:val="21"/>
              </w:rPr>
            </w:pPr>
            <w:r>
              <w:rPr>
                <w:rFonts w:hint="eastAsia" w:ascii="宋体" w:hAnsi="宋体"/>
                <w:szCs w:val="21"/>
              </w:rPr>
              <w:t>履约验收中甲方提出异议或作出说明的期限</w:t>
            </w:r>
          </w:p>
        </w:tc>
        <w:tc>
          <w:tcPr>
            <w:tcW w:w="5170" w:type="dxa"/>
            <w:vAlign w:val="center"/>
          </w:tcPr>
          <w:p w14:paraId="125B4546">
            <w:pPr>
              <w:adjustRightInd w:val="0"/>
              <w:snapToGrid w:val="0"/>
              <w:jc w:val="left"/>
              <w:rPr>
                <w:rFonts w:hint="eastAsia" w:ascii="宋体" w:hAnsi="宋体"/>
                <w:szCs w:val="21"/>
              </w:rPr>
            </w:pPr>
          </w:p>
        </w:tc>
      </w:tr>
      <w:tr w14:paraId="0C4A83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C32C797">
            <w:pPr>
              <w:adjustRightInd w:val="0"/>
              <w:snapToGrid w:val="0"/>
              <w:jc w:val="center"/>
              <w:rPr>
                <w:rFonts w:hint="eastAsia" w:ascii="宋体" w:hAnsi="宋体"/>
                <w:szCs w:val="21"/>
              </w:rPr>
            </w:pPr>
            <w:r>
              <w:rPr>
                <w:rFonts w:hint="eastAsia" w:ascii="宋体" w:hAnsi="宋体"/>
                <w:szCs w:val="21"/>
              </w:rPr>
              <w:t>第二节</w:t>
            </w:r>
          </w:p>
          <w:p w14:paraId="640F37E1">
            <w:pPr>
              <w:adjustRightInd w:val="0"/>
              <w:snapToGrid w:val="0"/>
              <w:jc w:val="center"/>
              <w:rPr>
                <w:rFonts w:hint="eastAsia" w:ascii="宋体" w:hAnsi="宋体"/>
                <w:szCs w:val="21"/>
              </w:rPr>
            </w:pPr>
            <w:r>
              <w:rPr>
                <w:rFonts w:hint="eastAsia" w:ascii="宋体" w:hAnsi="宋体"/>
                <w:szCs w:val="21"/>
              </w:rPr>
              <w:t>第4.6款</w:t>
            </w:r>
          </w:p>
        </w:tc>
        <w:tc>
          <w:tcPr>
            <w:tcW w:w="1742" w:type="dxa"/>
            <w:vAlign w:val="center"/>
          </w:tcPr>
          <w:p w14:paraId="6A00F7B7">
            <w:pPr>
              <w:adjustRightInd w:val="0"/>
              <w:snapToGrid w:val="0"/>
              <w:jc w:val="left"/>
              <w:rPr>
                <w:rFonts w:hint="eastAsia" w:ascii="宋体" w:hAnsi="宋体"/>
                <w:szCs w:val="21"/>
              </w:rPr>
            </w:pPr>
            <w:r>
              <w:rPr>
                <w:rFonts w:hint="eastAsia" w:ascii="宋体" w:hAnsi="宋体"/>
                <w:szCs w:val="21"/>
              </w:rPr>
              <w:t>约定甲方承担的其他义务和责任</w:t>
            </w:r>
          </w:p>
        </w:tc>
        <w:tc>
          <w:tcPr>
            <w:tcW w:w="5170" w:type="dxa"/>
            <w:vAlign w:val="center"/>
          </w:tcPr>
          <w:p w14:paraId="2B57E7CB">
            <w:pPr>
              <w:adjustRightInd w:val="0"/>
              <w:snapToGrid w:val="0"/>
              <w:jc w:val="left"/>
              <w:rPr>
                <w:rFonts w:hint="eastAsia" w:ascii="宋体" w:hAnsi="宋体"/>
                <w:szCs w:val="21"/>
              </w:rPr>
            </w:pPr>
          </w:p>
        </w:tc>
      </w:tr>
      <w:tr w14:paraId="4ABEDB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560312">
            <w:pPr>
              <w:adjustRightInd w:val="0"/>
              <w:snapToGrid w:val="0"/>
              <w:jc w:val="center"/>
              <w:rPr>
                <w:rFonts w:hint="eastAsia" w:ascii="宋体" w:hAnsi="宋体"/>
                <w:szCs w:val="21"/>
              </w:rPr>
            </w:pPr>
            <w:r>
              <w:rPr>
                <w:rFonts w:hint="eastAsia" w:ascii="宋体" w:hAnsi="宋体"/>
                <w:szCs w:val="21"/>
              </w:rPr>
              <w:t>第二节</w:t>
            </w:r>
          </w:p>
          <w:p w14:paraId="587A265D">
            <w:pPr>
              <w:snapToGrid w:val="0"/>
              <w:jc w:val="center"/>
            </w:pPr>
            <w:r>
              <w:rPr>
                <w:rFonts w:hint="eastAsia" w:ascii="宋体" w:hAnsi="宋体"/>
                <w:szCs w:val="21"/>
              </w:rPr>
              <w:t>第5.4款</w:t>
            </w:r>
          </w:p>
        </w:tc>
        <w:tc>
          <w:tcPr>
            <w:tcW w:w="1742" w:type="dxa"/>
            <w:vAlign w:val="center"/>
          </w:tcPr>
          <w:p w14:paraId="24C790EA">
            <w:pPr>
              <w:adjustRightInd w:val="0"/>
              <w:snapToGrid w:val="0"/>
              <w:jc w:val="left"/>
              <w:rPr>
                <w:rFonts w:hint="eastAsia" w:ascii="宋体" w:hAnsi="宋体"/>
                <w:szCs w:val="21"/>
              </w:rPr>
            </w:pPr>
            <w:r>
              <w:rPr>
                <w:rFonts w:hint="eastAsia" w:ascii="宋体" w:hAnsi="宋体"/>
                <w:szCs w:val="21"/>
              </w:rPr>
              <w:t>约定乙方承担的其他义务和责任</w:t>
            </w:r>
          </w:p>
        </w:tc>
        <w:tc>
          <w:tcPr>
            <w:tcW w:w="5170" w:type="dxa"/>
            <w:vAlign w:val="center"/>
          </w:tcPr>
          <w:p w14:paraId="272DF61C">
            <w:pPr>
              <w:adjustRightInd w:val="0"/>
              <w:snapToGrid w:val="0"/>
              <w:jc w:val="left"/>
              <w:rPr>
                <w:rFonts w:hint="eastAsia" w:ascii="宋体" w:hAnsi="宋体"/>
                <w:szCs w:val="21"/>
              </w:rPr>
            </w:pPr>
          </w:p>
        </w:tc>
      </w:tr>
      <w:tr w14:paraId="2EFB82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0C2CA9">
            <w:pPr>
              <w:adjustRightInd w:val="0"/>
              <w:snapToGrid w:val="0"/>
              <w:jc w:val="center"/>
              <w:rPr>
                <w:rFonts w:hint="eastAsia" w:ascii="宋体" w:hAnsi="宋体"/>
                <w:szCs w:val="21"/>
              </w:rPr>
            </w:pPr>
            <w:r>
              <w:rPr>
                <w:rFonts w:hint="eastAsia" w:ascii="宋体" w:hAnsi="宋体"/>
                <w:szCs w:val="21"/>
              </w:rPr>
              <w:t>第二节</w:t>
            </w:r>
          </w:p>
          <w:p w14:paraId="29953BE7">
            <w:pPr>
              <w:snapToGrid w:val="0"/>
              <w:jc w:val="center"/>
              <w:rPr>
                <w:rFonts w:hint="eastAsia" w:ascii="宋体" w:hAnsi="宋体"/>
                <w:szCs w:val="21"/>
              </w:rPr>
            </w:pPr>
            <w:r>
              <w:rPr>
                <w:rFonts w:hint="eastAsia" w:ascii="宋体" w:hAnsi="宋体"/>
                <w:szCs w:val="21"/>
              </w:rPr>
              <w:t>第6.1款</w:t>
            </w:r>
          </w:p>
        </w:tc>
        <w:tc>
          <w:tcPr>
            <w:tcW w:w="1742" w:type="dxa"/>
            <w:vAlign w:val="center"/>
          </w:tcPr>
          <w:p w14:paraId="5F9EED5D">
            <w:pPr>
              <w:adjustRightInd w:val="0"/>
              <w:snapToGrid w:val="0"/>
              <w:jc w:val="left"/>
              <w:rPr>
                <w:rFonts w:hint="eastAsia" w:ascii="宋体" w:hAnsi="宋体"/>
                <w:szCs w:val="21"/>
              </w:rPr>
            </w:pPr>
            <w:r>
              <w:rPr>
                <w:rFonts w:hint="eastAsia" w:ascii="宋体" w:hAnsi="宋体"/>
                <w:szCs w:val="21"/>
              </w:rPr>
              <w:t>履行合同义务的顺序</w:t>
            </w:r>
          </w:p>
        </w:tc>
        <w:tc>
          <w:tcPr>
            <w:tcW w:w="5170" w:type="dxa"/>
            <w:vAlign w:val="center"/>
          </w:tcPr>
          <w:p w14:paraId="27EA8EA9">
            <w:pPr>
              <w:adjustRightInd w:val="0"/>
              <w:snapToGrid w:val="0"/>
              <w:jc w:val="left"/>
              <w:rPr>
                <w:rFonts w:hint="eastAsia" w:ascii="宋体" w:hAnsi="宋体"/>
                <w:szCs w:val="21"/>
              </w:rPr>
            </w:pPr>
          </w:p>
        </w:tc>
      </w:tr>
      <w:tr w14:paraId="5535FA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DD860E4">
            <w:pPr>
              <w:adjustRightInd w:val="0"/>
              <w:snapToGrid w:val="0"/>
              <w:jc w:val="center"/>
              <w:rPr>
                <w:rFonts w:hint="eastAsia" w:ascii="宋体" w:hAnsi="宋体"/>
                <w:szCs w:val="21"/>
              </w:rPr>
            </w:pPr>
            <w:r>
              <w:rPr>
                <w:rFonts w:hint="eastAsia" w:ascii="宋体" w:hAnsi="宋体"/>
                <w:szCs w:val="21"/>
              </w:rPr>
              <w:t>第二节</w:t>
            </w:r>
          </w:p>
          <w:p w14:paraId="2118157B">
            <w:pPr>
              <w:adjustRightInd w:val="0"/>
              <w:snapToGrid w:val="0"/>
              <w:jc w:val="center"/>
              <w:rPr>
                <w:rFonts w:hint="eastAsia" w:ascii="宋体" w:hAnsi="宋体"/>
                <w:szCs w:val="21"/>
              </w:rPr>
            </w:pPr>
            <w:r>
              <w:rPr>
                <w:rFonts w:hint="eastAsia" w:ascii="宋体" w:hAnsi="宋体"/>
                <w:szCs w:val="21"/>
              </w:rPr>
              <w:t>第7.1款</w:t>
            </w:r>
          </w:p>
        </w:tc>
        <w:tc>
          <w:tcPr>
            <w:tcW w:w="1742" w:type="dxa"/>
            <w:vAlign w:val="center"/>
          </w:tcPr>
          <w:p w14:paraId="3D1BAF97">
            <w:pPr>
              <w:adjustRightInd w:val="0"/>
              <w:snapToGrid w:val="0"/>
              <w:jc w:val="left"/>
              <w:rPr>
                <w:rFonts w:hint="eastAsia" w:ascii="宋体" w:hAnsi="宋体"/>
                <w:szCs w:val="21"/>
              </w:rPr>
            </w:pPr>
            <w:r>
              <w:rPr>
                <w:rFonts w:hint="eastAsia" w:ascii="宋体" w:hAnsi="宋体"/>
                <w:szCs w:val="21"/>
              </w:rPr>
              <w:t>包装特殊要求</w:t>
            </w:r>
          </w:p>
        </w:tc>
        <w:tc>
          <w:tcPr>
            <w:tcW w:w="5170" w:type="dxa"/>
            <w:vAlign w:val="center"/>
          </w:tcPr>
          <w:p w14:paraId="377E0152"/>
        </w:tc>
      </w:tr>
      <w:tr w14:paraId="4A822E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54A4B9F">
            <w:pPr>
              <w:adjustRightInd w:val="0"/>
              <w:snapToGrid w:val="0"/>
              <w:jc w:val="center"/>
              <w:rPr>
                <w:rFonts w:hint="eastAsia" w:ascii="宋体" w:hAnsi="宋体"/>
                <w:szCs w:val="21"/>
              </w:rPr>
            </w:pPr>
          </w:p>
        </w:tc>
        <w:tc>
          <w:tcPr>
            <w:tcW w:w="1742" w:type="dxa"/>
            <w:vAlign w:val="center"/>
          </w:tcPr>
          <w:p w14:paraId="1E451B1D">
            <w:pPr>
              <w:adjustRightInd w:val="0"/>
              <w:snapToGrid w:val="0"/>
              <w:jc w:val="left"/>
              <w:rPr>
                <w:rFonts w:hint="eastAsia" w:ascii="宋体" w:hAnsi="宋体"/>
                <w:szCs w:val="21"/>
              </w:rPr>
            </w:pPr>
            <w:r>
              <w:rPr>
                <w:rFonts w:hint="eastAsia" w:ascii="宋体" w:hAnsi="宋体"/>
                <w:szCs w:val="21"/>
              </w:rPr>
              <w:t>指定现场</w:t>
            </w:r>
          </w:p>
        </w:tc>
        <w:tc>
          <w:tcPr>
            <w:tcW w:w="5170" w:type="dxa"/>
            <w:vAlign w:val="center"/>
          </w:tcPr>
          <w:p w14:paraId="3CBE8605"/>
        </w:tc>
      </w:tr>
      <w:tr w14:paraId="0B8F8B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77EEBE7F">
            <w:pPr>
              <w:adjustRightInd w:val="0"/>
              <w:snapToGrid w:val="0"/>
              <w:jc w:val="center"/>
              <w:rPr>
                <w:rFonts w:hint="eastAsia" w:ascii="宋体" w:hAnsi="宋体"/>
                <w:szCs w:val="21"/>
              </w:rPr>
            </w:pPr>
            <w:r>
              <w:rPr>
                <w:rFonts w:hint="eastAsia" w:ascii="宋体" w:hAnsi="宋体"/>
                <w:szCs w:val="21"/>
              </w:rPr>
              <w:t>第二节</w:t>
            </w:r>
          </w:p>
          <w:p w14:paraId="64D65ACA">
            <w:pPr>
              <w:adjustRightInd w:val="0"/>
              <w:snapToGrid w:val="0"/>
              <w:jc w:val="center"/>
              <w:rPr>
                <w:rFonts w:hint="eastAsia" w:ascii="宋体" w:hAnsi="宋体"/>
                <w:szCs w:val="21"/>
              </w:rPr>
            </w:pPr>
            <w:r>
              <w:rPr>
                <w:rFonts w:hint="eastAsia" w:ascii="宋体" w:hAnsi="宋体"/>
                <w:szCs w:val="21"/>
              </w:rPr>
              <w:t>第7.2款</w:t>
            </w:r>
          </w:p>
        </w:tc>
        <w:tc>
          <w:tcPr>
            <w:tcW w:w="1742" w:type="dxa"/>
            <w:vAlign w:val="center"/>
          </w:tcPr>
          <w:p w14:paraId="3E764C73">
            <w:pPr>
              <w:adjustRightInd w:val="0"/>
              <w:snapToGrid w:val="0"/>
              <w:jc w:val="left"/>
              <w:rPr>
                <w:rFonts w:hint="eastAsia" w:ascii="宋体" w:hAnsi="宋体"/>
                <w:szCs w:val="21"/>
              </w:rPr>
            </w:pPr>
            <w:r>
              <w:rPr>
                <w:rFonts w:hint="eastAsia" w:ascii="宋体" w:hAnsi="宋体"/>
                <w:szCs w:val="21"/>
              </w:rPr>
              <w:t>运输特殊要求</w:t>
            </w:r>
          </w:p>
        </w:tc>
        <w:tc>
          <w:tcPr>
            <w:tcW w:w="5170" w:type="dxa"/>
            <w:vAlign w:val="center"/>
          </w:tcPr>
          <w:p w14:paraId="2B198781"/>
        </w:tc>
      </w:tr>
      <w:tr w14:paraId="745CE7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3229A21D">
            <w:pPr>
              <w:adjustRightInd w:val="0"/>
              <w:snapToGrid w:val="0"/>
              <w:jc w:val="center"/>
              <w:rPr>
                <w:rFonts w:hint="eastAsia" w:ascii="宋体" w:hAnsi="宋体"/>
                <w:szCs w:val="21"/>
              </w:rPr>
            </w:pPr>
            <w:r>
              <w:rPr>
                <w:rFonts w:hint="eastAsia" w:ascii="宋体" w:hAnsi="宋体"/>
                <w:szCs w:val="21"/>
              </w:rPr>
              <w:t>第二节</w:t>
            </w:r>
          </w:p>
          <w:p w14:paraId="35D6DE2E">
            <w:pPr>
              <w:adjustRightInd w:val="0"/>
              <w:snapToGrid w:val="0"/>
              <w:jc w:val="center"/>
              <w:rPr>
                <w:rFonts w:hint="eastAsia" w:ascii="宋体" w:hAnsi="宋体"/>
                <w:szCs w:val="21"/>
              </w:rPr>
            </w:pPr>
            <w:r>
              <w:rPr>
                <w:rFonts w:hint="eastAsia" w:ascii="宋体" w:hAnsi="宋体"/>
                <w:szCs w:val="21"/>
              </w:rPr>
              <w:t>第7.3款</w:t>
            </w:r>
          </w:p>
        </w:tc>
        <w:tc>
          <w:tcPr>
            <w:tcW w:w="1742" w:type="dxa"/>
            <w:vAlign w:val="center"/>
          </w:tcPr>
          <w:p w14:paraId="062F908E">
            <w:pPr>
              <w:adjustRightInd w:val="0"/>
              <w:snapToGrid w:val="0"/>
              <w:jc w:val="left"/>
              <w:rPr>
                <w:rFonts w:hint="eastAsia" w:ascii="宋体" w:hAnsi="宋体"/>
                <w:szCs w:val="21"/>
              </w:rPr>
            </w:pPr>
            <w:r>
              <w:rPr>
                <w:rFonts w:hint="eastAsia" w:ascii="宋体" w:hAnsi="宋体"/>
                <w:szCs w:val="21"/>
              </w:rPr>
              <w:t>保险要求</w:t>
            </w:r>
          </w:p>
        </w:tc>
        <w:tc>
          <w:tcPr>
            <w:tcW w:w="5170" w:type="dxa"/>
            <w:vAlign w:val="center"/>
          </w:tcPr>
          <w:p w14:paraId="1232A702"/>
        </w:tc>
      </w:tr>
      <w:tr w14:paraId="25EB9A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A14CF6">
            <w:pPr>
              <w:adjustRightInd w:val="0"/>
              <w:snapToGrid w:val="0"/>
              <w:jc w:val="center"/>
              <w:rPr>
                <w:rFonts w:hint="eastAsia" w:ascii="宋体" w:hAnsi="宋体"/>
                <w:szCs w:val="21"/>
              </w:rPr>
            </w:pPr>
            <w:r>
              <w:rPr>
                <w:rFonts w:hint="eastAsia" w:ascii="宋体" w:hAnsi="宋体"/>
                <w:szCs w:val="21"/>
              </w:rPr>
              <w:t>第二节</w:t>
            </w:r>
          </w:p>
          <w:p w14:paraId="7EBE7D58">
            <w:pPr>
              <w:adjustRightInd w:val="0"/>
              <w:snapToGrid w:val="0"/>
              <w:jc w:val="center"/>
              <w:rPr>
                <w:rFonts w:hint="eastAsia" w:ascii="宋体" w:hAnsi="宋体"/>
                <w:szCs w:val="21"/>
              </w:rPr>
            </w:pPr>
            <w:r>
              <w:rPr>
                <w:rFonts w:hint="eastAsia" w:ascii="宋体" w:hAnsi="宋体"/>
                <w:szCs w:val="21"/>
              </w:rPr>
              <w:t>第8.2（1）项</w:t>
            </w:r>
          </w:p>
        </w:tc>
        <w:tc>
          <w:tcPr>
            <w:tcW w:w="1742" w:type="dxa"/>
            <w:vAlign w:val="center"/>
          </w:tcPr>
          <w:p w14:paraId="67919DBB">
            <w:pPr>
              <w:adjustRightInd w:val="0"/>
              <w:snapToGrid w:val="0"/>
              <w:jc w:val="left"/>
              <w:rPr>
                <w:rFonts w:hint="eastAsia" w:ascii="宋体" w:hAnsi="宋体"/>
                <w:szCs w:val="21"/>
              </w:rPr>
            </w:pPr>
            <w:r>
              <w:rPr>
                <w:rFonts w:hint="eastAsia" w:ascii="宋体" w:hAnsi="宋体"/>
                <w:szCs w:val="21"/>
              </w:rPr>
              <w:t>质量保证期</w:t>
            </w:r>
          </w:p>
        </w:tc>
        <w:tc>
          <w:tcPr>
            <w:tcW w:w="5170" w:type="dxa"/>
            <w:vAlign w:val="center"/>
          </w:tcPr>
          <w:p w14:paraId="0785C0E8">
            <w:pPr>
              <w:autoSpaceDE w:val="0"/>
              <w:autoSpaceDN w:val="0"/>
              <w:adjustRightInd w:val="0"/>
              <w:snapToGrid w:val="0"/>
              <w:ind w:firstLine="420" w:firstLineChars="200"/>
              <w:jc w:val="left"/>
              <w:rPr>
                <w:rFonts w:hint="eastAsia" w:ascii="宋体" w:hAnsi="宋体"/>
                <w:szCs w:val="21"/>
              </w:rPr>
            </w:pPr>
          </w:p>
        </w:tc>
      </w:tr>
      <w:tr w14:paraId="257CF4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510295">
            <w:pPr>
              <w:adjustRightInd w:val="0"/>
              <w:snapToGrid w:val="0"/>
              <w:jc w:val="center"/>
              <w:rPr>
                <w:rFonts w:hint="eastAsia" w:ascii="宋体" w:hAnsi="宋体"/>
                <w:szCs w:val="21"/>
              </w:rPr>
            </w:pPr>
            <w:r>
              <w:rPr>
                <w:rFonts w:hint="eastAsia" w:ascii="宋体" w:hAnsi="宋体"/>
                <w:szCs w:val="21"/>
              </w:rPr>
              <w:t>第二节</w:t>
            </w:r>
          </w:p>
          <w:p w14:paraId="63380147">
            <w:pPr>
              <w:adjustRightInd w:val="0"/>
              <w:snapToGrid w:val="0"/>
              <w:jc w:val="center"/>
              <w:rPr>
                <w:rFonts w:hint="eastAsia" w:ascii="宋体" w:hAnsi="宋体"/>
                <w:szCs w:val="21"/>
              </w:rPr>
            </w:pPr>
            <w:r>
              <w:rPr>
                <w:rFonts w:hint="eastAsia" w:ascii="宋体" w:hAnsi="宋体"/>
                <w:szCs w:val="21"/>
              </w:rPr>
              <w:t>第8.2（3）项</w:t>
            </w:r>
          </w:p>
        </w:tc>
        <w:tc>
          <w:tcPr>
            <w:tcW w:w="1742" w:type="dxa"/>
            <w:vAlign w:val="center"/>
          </w:tcPr>
          <w:p w14:paraId="02313C87">
            <w:pPr>
              <w:adjustRightInd w:val="0"/>
              <w:snapToGrid w:val="0"/>
              <w:jc w:val="left"/>
              <w:rPr>
                <w:rFonts w:hint="eastAsia" w:ascii="宋体" w:hAnsi="宋体"/>
                <w:szCs w:val="21"/>
              </w:rPr>
            </w:pPr>
            <w:r>
              <w:rPr>
                <w:rFonts w:hint="eastAsia" w:ascii="宋体" w:hAnsi="宋体"/>
                <w:szCs w:val="21"/>
              </w:rPr>
              <w:t>货物质量缺陷</w:t>
            </w:r>
          </w:p>
          <w:p w14:paraId="51E77AAA">
            <w:pPr>
              <w:adjustRightInd w:val="0"/>
              <w:snapToGrid w:val="0"/>
              <w:jc w:val="left"/>
              <w:rPr>
                <w:rFonts w:hint="eastAsia" w:ascii="宋体" w:hAnsi="宋体"/>
                <w:szCs w:val="21"/>
              </w:rPr>
            </w:pPr>
            <w:r>
              <w:rPr>
                <w:rFonts w:hint="eastAsia" w:ascii="宋体" w:hAnsi="宋体"/>
                <w:szCs w:val="21"/>
              </w:rPr>
              <w:t>响应时间</w:t>
            </w:r>
          </w:p>
        </w:tc>
        <w:tc>
          <w:tcPr>
            <w:tcW w:w="5170" w:type="dxa"/>
            <w:vAlign w:val="center"/>
          </w:tcPr>
          <w:p w14:paraId="2BF9B550">
            <w:pPr>
              <w:adjustRightInd w:val="0"/>
              <w:snapToGrid w:val="0"/>
              <w:jc w:val="left"/>
              <w:rPr>
                <w:rFonts w:hint="eastAsia" w:ascii="宋体" w:hAnsi="宋体"/>
                <w:szCs w:val="21"/>
              </w:rPr>
            </w:pPr>
          </w:p>
        </w:tc>
      </w:tr>
      <w:tr w14:paraId="11248C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5091287">
            <w:pPr>
              <w:snapToGrid w:val="0"/>
              <w:jc w:val="center"/>
              <w:rPr>
                <w:rFonts w:hint="eastAsia" w:ascii="宋体" w:hAnsi="宋体" w:cs="宋体"/>
                <w:szCs w:val="21"/>
              </w:rPr>
            </w:pPr>
            <w:r>
              <w:rPr>
                <w:rFonts w:hint="eastAsia" w:ascii="宋体" w:hAnsi="宋体" w:cs="宋体"/>
                <w:szCs w:val="21"/>
              </w:rPr>
              <w:t>第二节</w:t>
            </w:r>
          </w:p>
          <w:p w14:paraId="5FB6C317">
            <w:pPr>
              <w:autoSpaceDE w:val="0"/>
              <w:autoSpaceDN w:val="0"/>
              <w:adjustRightInd w:val="0"/>
              <w:spacing w:line="400" w:lineRule="exact"/>
              <w:jc w:val="center"/>
              <w:rPr>
                <w:rFonts w:hint="eastAsia" w:ascii="华文楷体" w:hAnsi="华文楷体" w:eastAsia="华文楷体" w:cs="华文楷体"/>
                <w:sz w:val="22"/>
                <w:szCs w:val="21"/>
              </w:rPr>
            </w:pPr>
            <w:r>
              <w:rPr>
                <w:rFonts w:hint="eastAsia" w:ascii="宋体" w:hAnsi="宋体" w:cs="宋体"/>
                <w:sz w:val="22"/>
                <w:szCs w:val="21"/>
              </w:rPr>
              <w:t>第11.1款</w:t>
            </w:r>
          </w:p>
        </w:tc>
        <w:tc>
          <w:tcPr>
            <w:tcW w:w="1742" w:type="dxa"/>
            <w:vAlign w:val="center"/>
          </w:tcPr>
          <w:p w14:paraId="4CED679F">
            <w:pPr>
              <w:adjustRightInd w:val="0"/>
              <w:snapToGrid w:val="0"/>
              <w:rPr>
                <w:rFonts w:hint="eastAsia" w:ascii="宋体" w:hAnsi="宋体"/>
                <w:szCs w:val="21"/>
              </w:rPr>
            </w:pPr>
            <w:r>
              <w:rPr>
                <w:rFonts w:hint="eastAsia" w:ascii="宋体" w:hAnsi="宋体"/>
                <w:szCs w:val="21"/>
              </w:rPr>
              <w:t>其他应当保密的信息</w:t>
            </w:r>
          </w:p>
        </w:tc>
        <w:tc>
          <w:tcPr>
            <w:tcW w:w="5170" w:type="dxa"/>
            <w:vAlign w:val="center"/>
          </w:tcPr>
          <w:p w14:paraId="6F824205">
            <w:pPr>
              <w:adjustRightInd w:val="0"/>
              <w:snapToGrid w:val="0"/>
              <w:jc w:val="left"/>
              <w:rPr>
                <w:rFonts w:hint="eastAsia" w:ascii="宋体" w:hAnsi="宋体"/>
                <w:szCs w:val="21"/>
              </w:rPr>
            </w:pPr>
          </w:p>
        </w:tc>
      </w:tr>
      <w:tr w14:paraId="23AD4B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6F33245">
            <w:pPr>
              <w:adjustRightInd w:val="0"/>
              <w:snapToGrid w:val="0"/>
              <w:jc w:val="center"/>
              <w:rPr>
                <w:rFonts w:hint="eastAsia" w:ascii="宋体" w:hAnsi="宋体"/>
                <w:szCs w:val="21"/>
              </w:rPr>
            </w:pPr>
            <w:r>
              <w:rPr>
                <w:rFonts w:hint="eastAsia" w:ascii="宋体" w:hAnsi="宋体"/>
                <w:szCs w:val="21"/>
              </w:rPr>
              <w:t>第二节</w:t>
            </w:r>
          </w:p>
          <w:p w14:paraId="2BA89E48">
            <w:pPr>
              <w:adjustRightInd w:val="0"/>
              <w:snapToGrid w:val="0"/>
              <w:jc w:val="center"/>
              <w:rPr>
                <w:rFonts w:hint="eastAsia" w:ascii="宋体" w:hAnsi="宋体"/>
                <w:szCs w:val="21"/>
              </w:rPr>
            </w:pPr>
            <w:r>
              <w:rPr>
                <w:rFonts w:hint="eastAsia" w:ascii="宋体" w:hAnsi="宋体"/>
                <w:szCs w:val="21"/>
              </w:rPr>
              <w:t>第12.2款</w:t>
            </w:r>
          </w:p>
        </w:tc>
        <w:tc>
          <w:tcPr>
            <w:tcW w:w="1742" w:type="dxa"/>
            <w:vAlign w:val="center"/>
          </w:tcPr>
          <w:p w14:paraId="7E4B7CE3">
            <w:pPr>
              <w:adjustRightInd w:val="0"/>
              <w:snapToGrid w:val="0"/>
              <w:jc w:val="left"/>
              <w:rPr>
                <w:rFonts w:hint="eastAsia" w:ascii="宋体" w:hAnsi="宋体"/>
                <w:szCs w:val="21"/>
              </w:rPr>
            </w:pPr>
            <w:r>
              <w:rPr>
                <w:rFonts w:hint="eastAsia" w:ascii="宋体" w:hAnsi="宋体"/>
                <w:szCs w:val="21"/>
              </w:rPr>
              <w:t>合同价款支付时间</w:t>
            </w:r>
          </w:p>
        </w:tc>
        <w:tc>
          <w:tcPr>
            <w:tcW w:w="5170" w:type="dxa"/>
            <w:vAlign w:val="center"/>
          </w:tcPr>
          <w:p w14:paraId="7ADF8674">
            <w:pPr>
              <w:adjustRightInd w:val="0"/>
              <w:snapToGrid w:val="0"/>
              <w:jc w:val="left"/>
              <w:rPr>
                <w:rFonts w:hint="eastAsia" w:ascii="宋体" w:hAnsi="宋体"/>
                <w:szCs w:val="21"/>
              </w:rPr>
            </w:pPr>
          </w:p>
        </w:tc>
      </w:tr>
      <w:tr w14:paraId="28E14D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FD1996A">
            <w:pPr>
              <w:adjustRightInd w:val="0"/>
              <w:snapToGrid w:val="0"/>
              <w:jc w:val="center"/>
              <w:rPr>
                <w:rFonts w:hint="eastAsia" w:ascii="宋体" w:hAnsi="宋体"/>
                <w:szCs w:val="21"/>
              </w:rPr>
            </w:pPr>
            <w:r>
              <w:rPr>
                <w:rFonts w:hint="eastAsia" w:ascii="宋体" w:hAnsi="宋体"/>
                <w:szCs w:val="21"/>
              </w:rPr>
              <w:t>第二节</w:t>
            </w:r>
          </w:p>
          <w:p w14:paraId="2E2BF905">
            <w:pPr>
              <w:adjustRightInd w:val="0"/>
              <w:snapToGrid w:val="0"/>
              <w:jc w:val="center"/>
              <w:rPr>
                <w:rFonts w:hint="eastAsia" w:ascii="宋体" w:hAnsi="宋体"/>
                <w:szCs w:val="21"/>
              </w:rPr>
            </w:pPr>
            <w:r>
              <w:rPr>
                <w:rFonts w:hint="eastAsia" w:ascii="宋体" w:hAnsi="宋体"/>
                <w:szCs w:val="21"/>
              </w:rPr>
              <w:t>第13.2款</w:t>
            </w:r>
          </w:p>
        </w:tc>
        <w:tc>
          <w:tcPr>
            <w:tcW w:w="1742" w:type="dxa"/>
            <w:vAlign w:val="center"/>
          </w:tcPr>
          <w:p w14:paraId="0DE1C528">
            <w:pPr>
              <w:adjustRightInd w:val="0"/>
              <w:snapToGrid w:val="0"/>
              <w:jc w:val="left"/>
              <w:rPr>
                <w:rFonts w:hint="eastAsia" w:ascii="宋体" w:hAnsi="宋体"/>
                <w:szCs w:val="21"/>
              </w:rPr>
            </w:pPr>
            <w:r>
              <w:rPr>
                <w:rFonts w:hint="eastAsia" w:ascii="宋体" w:hAnsi="宋体"/>
                <w:szCs w:val="21"/>
              </w:rPr>
              <w:t>履约保证金不予退还的情形</w:t>
            </w:r>
          </w:p>
        </w:tc>
        <w:tc>
          <w:tcPr>
            <w:tcW w:w="5170" w:type="dxa"/>
            <w:vAlign w:val="center"/>
          </w:tcPr>
          <w:p w14:paraId="1179D267">
            <w:pPr>
              <w:adjustRightInd w:val="0"/>
              <w:snapToGrid w:val="0"/>
              <w:jc w:val="left"/>
              <w:rPr>
                <w:rFonts w:hint="eastAsia" w:ascii="宋体" w:hAnsi="宋体"/>
                <w:szCs w:val="21"/>
              </w:rPr>
            </w:pPr>
          </w:p>
        </w:tc>
      </w:tr>
      <w:tr w14:paraId="6E542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A20EC3">
            <w:pPr>
              <w:adjustRightInd w:val="0"/>
              <w:snapToGrid w:val="0"/>
              <w:jc w:val="center"/>
              <w:rPr>
                <w:rFonts w:hint="eastAsia" w:ascii="宋体" w:hAnsi="宋体"/>
                <w:szCs w:val="21"/>
              </w:rPr>
            </w:pPr>
            <w:r>
              <w:rPr>
                <w:rFonts w:hint="eastAsia" w:ascii="宋体" w:hAnsi="宋体"/>
                <w:szCs w:val="21"/>
              </w:rPr>
              <w:t>第二节</w:t>
            </w:r>
          </w:p>
          <w:p w14:paraId="7A2BFDA8">
            <w:pPr>
              <w:adjustRightInd w:val="0"/>
              <w:snapToGrid w:val="0"/>
              <w:jc w:val="center"/>
              <w:rPr>
                <w:rFonts w:hint="eastAsia" w:ascii="宋体" w:hAnsi="宋体"/>
                <w:szCs w:val="21"/>
              </w:rPr>
            </w:pPr>
            <w:r>
              <w:rPr>
                <w:rFonts w:hint="eastAsia" w:ascii="宋体" w:hAnsi="宋体"/>
                <w:szCs w:val="21"/>
              </w:rPr>
              <w:t>第13.3款</w:t>
            </w:r>
          </w:p>
        </w:tc>
        <w:tc>
          <w:tcPr>
            <w:tcW w:w="1742" w:type="dxa"/>
            <w:vAlign w:val="center"/>
          </w:tcPr>
          <w:p w14:paraId="6A987092">
            <w:pPr>
              <w:adjustRightInd w:val="0"/>
              <w:snapToGrid w:val="0"/>
              <w:jc w:val="left"/>
              <w:rPr>
                <w:rFonts w:hint="eastAsia" w:ascii="宋体" w:hAnsi="宋体"/>
                <w:szCs w:val="21"/>
              </w:rPr>
            </w:pPr>
            <w:r>
              <w:rPr>
                <w:rFonts w:hint="eastAsia" w:ascii="宋体" w:hAnsi="宋体"/>
                <w:szCs w:val="21"/>
              </w:rPr>
              <w:t>履约保证金退还时间及逾期退还的违约金</w:t>
            </w:r>
          </w:p>
        </w:tc>
        <w:tc>
          <w:tcPr>
            <w:tcW w:w="5170" w:type="dxa"/>
            <w:vAlign w:val="center"/>
          </w:tcPr>
          <w:p w14:paraId="477E7DB9">
            <w:pPr>
              <w:adjustRightInd w:val="0"/>
              <w:snapToGrid w:val="0"/>
              <w:jc w:val="left"/>
              <w:rPr>
                <w:rFonts w:hint="eastAsia" w:ascii="宋体" w:hAnsi="宋体"/>
                <w:szCs w:val="21"/>
              </w:rPr>
            </w:pPr>
          </w:p>
        </w:tc>
      </w:tr>
      <w:tr w14:paraId="0BCFB9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D8D7B37">
            <w:pPr>
              <w:adjustRightInd w:val="0"/>
              <w:snapToGrid w:val="0"/>
              <w:jc w:val="center"/>
              <w:rPr>
                <w:rFonts w:hint="eastAsia" w:ascii="宋体" w:hAnsi="宋体"/>
                <w:szCs w:val="21"/>
              </w:rPr>
            </w:pPr>
            <w:r>
              <w:rPr>
                <w:rFonts w:hint="eastAsia" w:ascii="宋体" w:hAnsi="宋体"/>
                <w:szCs w:val="21"/>
              </w:rPr>
              <w:t>第二节</w:t>
            </w:r>
          </w:p>
          <w:p w14:paraId="4681C591">
            <w:pPr>
              <w:adjustRightInd w:val="0"/>
              <w:snapToGrid w:val="0"/>
              <w:jc w:val="center"/>
              <w:rPr>
                <w:rFonts w:hint="eastAsia" w:ascii="宋体" w:hAnsi="宋体"/>
                <w:szCs w:val="21"/>
              </w:rPr>
            </w:pPr>
            <w:r>
              <w:rPr>
                <w:rFonts w:hint="eastAsia" w:ascii="宋体" w:hAnsi="宋体"/>
                <w:szCs w:val="21"/>
              </w:rPr>
              <w:t>第14.1（3）项</w:t>
            </w:r>
          </w:p>
        </w:tc>
        <w:tc>
          <w:tcPr>
            <w:tcW w:w="1742" w:type="dxa"/>
            <w:vAlign w:val="center"/>
          </w:tcPr>
          <w:p w14:paraId="3E6D9D24">
            <w:pPr>
              <w:adjustRightInd w:val="0"/>
              <w:snapToGrid w:val="0"/>
              <w:jc w:val="left"/>
              <w:rPr>
                <w:rFonts w:hint="eastAsia" w:ascii="宋体" w:hAnsi="宋体"/>
                <w:szCs w:val="21"/>
              </w:rPr>
            </w:pPr>
            <w:r>
              <w:rPr>
                <w:rFonts w:hint="eastAsia" w:ascii="宋体" w:hAnsi="宋体"/>
                <w:szCs w:val="21"/>
              </w:rPr>
              <w:t>运行监督、维修期限</w:t>
            </w:r>
          </w:p>
        </w:tc>
        <w:tc>
          <w:tcPr>
            <w:tcW w:w="5170" w:type="dxa"/>
            <w:vAlign w:val="center"/>
          </w:tcPr>
          <w:p w14:paraId="55006B40">
            <w:pPr>
              <w:adjustRightInd w:val="0"/>
              <w:snapToGrid w:val="0"/>
              <w:jc w:val="left"/>
              <w:rPr>
                <w:rFonts w:hint="eastAsia" w:ascii="宋体" w:hAnsi="宋体"/>
                <w:szCs w:val="21"/>
              </w:rPr>
            </w:pPr>
          </w:p>
        </w:tc>
      </w:tr>
      <w:tr w14:paraId="366857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4D1821B">
            <w:pPr>
              <w:adjustRightInd w:val="0"/>
              <w:snapToGrid w:val="0"/>
              <w:jc w:val="center"/>
              <w:rPr>
                <w:rFonts w:hint="eastAsia" w:ascii="宋体" w:hAnsi="宋体"/>
                <w:szCs w:val="21"/>
              </w:rPr>
            </w:pPr>
            <w:r>
              <w:rPr>
                <w:rFonts w:hint="eastAsia" w:ascii="宋体" w:hAnsi="宋体"/>
                <w:szCs w:val="21"/>
              </w:rPr>
              <w:t>第二节</w:t>
            </w:r>
          </w:p>
          <w:p w14:paraId="7AF547DB">
            <w:pPr>
              <w:adjustRightInd w:val="0"/>
              <w:snapToGrid w:val="0"/>
              <w:jc w:val="center"/>
              <w:rPr>
                <w:rFonts w:hint="eastAsia" w:ascii="宋体" w:hAnsi="宋体"/>
                <w:szCs w:val="21"/>
              </w:rPr>
            </w:pPr>
            <w:r>
              <w:rPr>
                <w:rFonts w:hint="eastAsia" w:ascii="宋体" w:hAnsi="宋体"/>
                <w:szCs w:val="21"/>
              </w:rPr>
              <w:t>第14.1（5）项</w:t>
            </w:r>
          </w:p>
        </w:tc>
        <w:tc>
          <w:tcPr>
            <w:tcW w:w="1742" w:type="dxa"/>
            <w:vAlign w:val="center"/>
          </w:tcPr>
          <w:p w14:paraId="12BA40E0">
            <w:pPr>
              <w:adjustRightInd w:val="0"/>
              <w:snapToGrid w:val="0"/>
              <w:jc w:val="left"/>
              <w:rPr>
                <w:rFonts w:hint="eastAsia" w:ascii="宋体" w:hAnsi="宋体"/>
                <w:szCs w:val="21"/>
              </w:rPr>
            </w:pPr>
            <w:r>
              <w:rPr>
                <w:rFonts w:hint="eastAsia" w:ascii="宋体" w:hAnsi="宋体"/>
                <w:szCs w:val="21"/>
              </w:rPr>
              <w:t>货物回收的约定</w:t>
            </w:r>
          </w:p>
        </w:tc>
        <w:tc>
          <w:tcPr>
            <w:tcW w:w="5170" w:type="dxa"/>
            <w:vAlign w:val="center"/>
          </w:tcPr>
          <w:p w14:paraId="748B7941">
            <w:pPr>
              <w:adjustRightInd w:val="0"/>
              <w:snapToGrid w:val="0"/>
              <w:jc w:val="left"/>
              <w:rPr>
                <w:rFonts w:hint="eastAsia" w:ascii="宋体" w:hAnsi="宋体"/>
                <w:szCs w:val="21"/>
              </w:rPr>
            </w:pPr>
          </w:p>
        </w:tc>
      </w:tr>
      <w:tr w14:paraId="10C89A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61F1A85">
            <w:pPr>
              <w:adjustRightInd w:val="0"/>
              <w:snapToGrid w:val="0"/>
              <w:jc w:val="center"/>
              <w:rPr>
                <w:rFonts w:hint="eastAsia" w:ascii="宋体" w:hAnsi="宋体"/>
                <w:szCs w:val="21"/>
              </w:rPr>
            </w:pPr>
            <w:r>
              <w:rPr>
                <w:rFonts w:hint="eastAsia" w:ascii="宋体" w:hAnsi="宋体"/>
                <w:szCs w:val="21"/>
              </w:rPr>
              <w:t>第二节</w:t>
            </w:r>
          </w:p>
          <w:p w14:paraId="1E1E4FEF">
            <w:pPr>
              <w:adjustRightInd w:val="0"/>
              <w:snapToGrid w:val="0"/>
              <w:jc w:val="center"/>
              <w:rPr>
                <w:rFonts w:hint="eastAsia" w:ascii="宋体" w:hAnsi="宋体"/>
                <w:szCs w:val="21"/>
              </w:rPr>
            </w:pPr>
            <w:r>
              <w:rPr>
                <w:rFonts w:hint="eastAsia" w:ascii="宋体" w:hAnsi="宋体"/>
                <w:szCs w:val="21"/>
              </w:rPr>
              <w:t>第14.1（6）项</w:t>
            </w:r>
          </w:p>
        </w:tc>
        <w:tc>
          <w:tcPr>
            <w:tcW w:w="1742" w:type="dxa"/>
            <w:vAlign w:val="center"/>
          </w:tcPr>
          <w:p w14:paraId="1167ADEC">
            <w:pPr>
              <w:adjustRightInd w:val="0"/>
              <w:snapToGrid w:val="0"/>
              <w:jc w:val="left"/>
              <w:rPr>
                <w:rFonts w:hint="eastAsia" w:ascii="宋体" w:hAnsi="宋体"/>
                <w:szCs w:val="21"/>
              </w:rPr>
            </w:pPr>
            <w:r>
              <w:rPr>
                <w:rFonts w:hint="eastAsia" w:ascii="宋体" w:hAnsi="宋体"/>
                <w:szCs w:val="21"/>
              </w:rPr>
              <w:t>乙方提供的其他服务</w:t>
            </w:r>
          </w:p>
        </w:tc>
        <w:tc>
          <w:tcPr>
            <w:tcW w:w="5170" w:type="dxa"/>
            <w:vAlign w:val="center"/>
          </w:tcPr>
          <w:p w14:paraId="58F6384D">
            <w:pPr>
              <w:adjustRightInd w:val="0"/>
              <w:snapToGrid w:val="0"/>
              <w:jc w:val="left"/>
              <w:rPr>
                <w:rFonts w:hint="eastAsia" w:ascii="宋体" w:hAnsi="宋体"/>
                <w:szCs w:val="21"/>
              </w:rPr>
            </w:pPr>
          </w:p>
        </w:tc>
      </w:tr>
      <w:tr w14:paraId="2B4AB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78658B">
            <w:pPr>
              <w:adjustRightInd w:val="0"/>
              <w:snapToGrid w:val="0"/>
              <w:jc w:val="center"/>
              <w:rPr>
                <w:rFonts w:hint="eastAsia" w:ascii="宋体" w:hAnsi="宋体"/>
                <w:szCs w:val="21"/>
              </w:rPr>
            </w:pPr>
            <w:r>
              <w:rPr>
                <w:rFonts w:hint="eastAsia" w:ascii="宋体" w:hAnsi="宋体"/>
                <w:szCs w:val="21"/>
              </w:rPr>
              <w:t>第二节</w:t>
            </w:r>
          </w:p>
          <w:p w14:paraId="0EFC510C">
            <w:pPr>
              <w:adjustRightInd w:val="0"/>
              <w:snapToGrid w:val="0"/>
              <w:jc w:val="center"/>
              <w:rPr>
                <w:rFonts w:hint="eastAsia" w:ascii="宋体" w:hAnsi="宋体"/>
                <w:szCs w:val="21"/>
              </w:rPr>
            </w:pPr>
            <w:r>
              <w:rPr>
                <w:rFonts w:hint="eastAsia" w:ascii="宋体" w:hAnsi="宋体"/>
                <w:szCs w:val="21"/>
              </w:rPr>
              <w:t>第15.1款</w:t>
            </w:r>
          </w:p>
        </w:tc>
        <w:tc>
          <w:tcPr>
            <w:tcW w:w="1742" w:type="dxa"/>
            <w:vAlign w:val="center"/>
          </w:tcPr>
          <w:p w14:paraId="0FB64AC0">
            <w:pPr>
              <w:adjustRightInd w:val="0"/>
              <w:snapToGrid w:val="0"/>
              <w:jc w:val="left"/>
              <w:rPr>
                <w:rFonts w:hint="eastAsia" w:ascii="宋体" w:hAnsi="宋体"/>
                <w:szCs w:val="21"/>
              </w:rPr>
            </w:pPr>
            <w:r>
              <w:rPr>
                <w:rFonts w:hint="eastAsia" w:ascii="宋体" w:hAnsi="宋体"/>
                <w:szCs w:val="21"/>
              </w:rPr>
              <w:t>修理、重作、更换相关具体规定</w:t>
            </w:r>
          </w:p>
        </w:tc>
        <w:tc>
          <w:tcPr>
            <w:tcW w:w="5170" w:type="dxa"/>
            <w:vAlign w:val="center"/>
          </w:tcPr>
          <w:p w14:paraId="0E82F454">
            <w:pPr>
              <w:adjustRightInd w:val="0"/>
              <w:snapToGrid w:val="0"/>
              <w:jc w:val="left"/>
              <w:rPr>
                <w:rFonts w:hint="eastAsia" w:ascii="宋体" w:hAnsi="宋体"/>
                <w:szCs w:val="21"/>
              </w:rPr>
            </w:pPr>
          </w:p>
        </w:tc>
      </w:tr>
      <w:tr w14:paraId="1F9E83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66CF0C9">
            <w:pPr>
              <w:adjustRightInd w:val="0"/>
              <w:snapToGrid w:val="0"/>
              <w:jc w:val="center"/>
              <w:rPr>
                <w:rFonts w:hint="eastAsia" w:ascii="宋体" w:hAnsi="宋体"/>
                <w:szCs w:val="21"/>
              </w:rPr>
            </w:pPr>
            <w:r>
              <w:rPr>
                <w:rFonts w:hint="eastAsia" w:ascii="宋体" w:hAnsi="宋体"/>
                <w:szCs w:val="21"/>
              </w:rPr>
              <w:t>第二节</w:t>
            </w:r>
          </w:p>
          <w:p w14:paraId="4BE80F88">
            <w:pPr>
              <w:adjustRightInd w:val="0"/>
              <w:snapToGrid w:val="0"/>
              <w:jc w:val="center"/>
              <w:rPr>
                <w:rFonts w:hint="eastAsia" w:ascii="宋体" w:hAnsi="宋体"/>
                <w:szCs w:val="21"/>
              </w:rPr>
            </w:pPr>
            <w:r>
              <w:rPr>
                <w:rFonts w:hint="eastAsia" w:ascii="宋体" w:hAnsi="宋体"/>
                <w:szCs w:val="21"/>
              </w:rPr>
              <w:t>第15.2（2）项</w:t>
            </w:r>
          </w:p>
        </w:tc>
        <w:tc>
          <w:tcPr>
            <w:tcW w:w="1742" w:type="dxa"/>
            <w:vAlign w:val="center"/>
          </w:tcPr>
          <w:p w14:paraId="73101D48">
            <w:pPr>
              <w:adjustRightInd w:val="0"/>
              <w:snapToGrid w:val="0"/>
              <w:jc w:val="left"/>
              <w:rPr>
                <w:rFonts w:hint="eastAsia" w:ascii="宋体" w:hAnsi="宋体"/>
                <w:szCs w:val="21"/>
              </w:rPr>
            </w:pPr>
            <w:r>
              <w:rPr>
                <w:rFonts w:hint="eastAsia" w:ascii="宋体" w:hAnsi="宋体"/>
                <w:szCs w:val="21"/>
              </w:rPr>
              <w:t>迟延交货赔偿费</w:t>
            </w:r>
          </w:p>
        </w:tc>
        <w:tc>
          <w:tcPr>
            <w:tcW w:w="5170" w:type="dxa"/>
            <w:vAlign w:val="center"/>
          </w:tcPr>
          <w:p w14:paraId="437B6670">
            <w:pPr>
              <w:adjustRightInd w:val="0"/>
              <w:snapToGrid w:val="0"/>
              <w:jc w:val="left"/>
              <w:rPr>
                <w:rFonts w:hint="eastAsia" w:ascii="宋体" w:hAnsi="宋体"/>
                <w:szCs w:val="21"/>
                <w:u w:val="single"/>
              </w:rPr>
            </w:pPr>
          </w:p>
        </w:tc>
      </w:tr>
      <w:tr w14:paraId="179DB3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57962E2">
            <w:pPr>
              <w:adjustRightInd w:val="0"/>
              <w:snapToGrid w:val="0"/>
              <w:jc w:val="center"/>
              <w:rPr>
                <w:rFonts w:hint="eastAsia" w:ascii="宋体" w:hAnsi="宋体"/>
                <w:szCs w:val="21"/>
              </w:rPr>
            </w:pPr>
            <w:r>
              <w:rPr>
                <w:rFonts w:hint="eastAsia" w:ascii="宋体" w:hAnsi="宋体"/>
                <w:szCs w:val="21"/>
              </w:rPr>
              <w:t>第二节</w:t>
            </w:r>
          </w:p>
          <w:p w14:paraId="4AF8C892">
            <w:pPr>
              <w:adjustRightInd w:val="0"/>
              <w:snapToGrid w:val="0"/>
              <w:jc w:val="center"/>
              <w:rPr>
                <w:rFonts w:hint="eastAsia" w:ascii="宋体" w:hAnsi="宋体"/>
                <w:szCs w:val="21"/>
              </w:rPr>
            </w:pPr>
            <w:r>
              <w:rPr>
                <w:rFonts w:hint="eastAsia" w:ascii="宋体" w:hAnsi="宋体"/>
                <w:szCs w:val="21"/>
              </w:rPr>
              <w:t>第15.3款</w:t>
            </w:r>
          </w:p>
        </w:tc>
        <w:tc>
          <w:tcPr>
            <w:tcW w:w="1742" w:type="dxa"/>
            <w:vAlign w:val="center"/>
          </w:tcPr>
          <w:p w14:paraId="678BFED3">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0D95E2A3">
            <w:pPr>
              <w:adjustRightInd w:val="0"/>
              <w:snapToGrid w:val="0"/>
              <w:jc w:val="left"/>
              <w:rPr>
                <w:rFonts w:hint="eastAsia" w:ascii="宋体" w:hAnsi="宋体"/>
                <w:szCs w:val="21"/>
                <w:u w:val="single"/>
              </w:rPr>
            </w:pPr>
          </w:p>
        </w:tc>
      </w:tr>
      <w:tr w14:paraId="57897B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5830280">
            <w:pPr>
              <w:adjustRightInd w:val="0"/>
              <w:snapToGrid w:val="0"/>
              <w:jc w:val="center"/>
              <w:rPr>
                <w:rFonts w:hint="eastAsia" w:ascii="宋体" w:hAnsi="宋体"/>
                <w:szCs w:val="21"/>
              </w:rPr>
            </w:pPr>
            <w:r>
              <w:rPr>
                <w:rFonts w:hint="eastAsia" w:ascii="宋体" w:hAnsi="宋体"/>
                <w:szCs w:val="21"/>
              </w:rPr>
              <w:t>第二节</w:t>
            </w:r>
          </w:p>
          <w:p w14:paraId="792AA63E">
            <w:pPr>
              <w:adjustRightInd w:val="0"/>
              <w:snapToGrid w:val="0"/>
              <w:jc w:val="center"/>
              <w:rPr>
                <w:rFonts w:hint="eastAsia"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0B605B5B">
            <w:pPr>
              <w:adjustRightInd w:val="0"/>
              <w:snapToGrid w:val="0"/>
              <w:jc w:val="left"/>
              <w:rPr>
                <w:rFonts w:hint="eastAsia"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44275AD7">
            <w:pPr>
              <w:adjustRightInd w:val="0"/>
              <w:snapToGrid w:val="0"/>
              <w:jc w:val="left"/>
              <w:rPr>
                <w:rFonts w:hint="eastAsia" w:ascii="宋体" w:hAnsi="宋体"/>
                <w:szCs w:val="21"/>
                <w:u w:val="single"/>
              </w:rPr>
            </w:pPr>
          </w:p>
        </w:tc>
      </w:tr>
      <w:tr w14:paraId="151632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42D4EFC">
            <w:pPr>
              <w:adjustRightInd w:val="0"/>
              <w:snapToGrid w:val="0"/>
              <w:jc w:val="center"/>
              <w:rPr>
                <w:rFonts w:hint="eastAsia" w:ascii="宋体" w:hAnsi="宋体"/>
                <w:szCs w:val="21"/>
              </w:rPr>
            </w:pPr>
            <w:r>
              <w:rPr>
                <w:rFonts w:hint="eastAsia" w:ascii="宋体" w:hAnsi="宋体"/>
                <w:szCs w:val="21"/>
              </w:rPr>
              <w:t>第二节</w:t>
            </w:r>
          </w:p>
          <w:p w14:paraId="02B24D9D">
            <w:pPr>
              <w:adjustRightInd w:val="0"/>
              <w:snapToGrid w:val="0"/>
              <w:jc w:val="center"/>
              <w:rPr>
                <w:rFonts w:hint="eastAsia"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36B41DF9">
            <w:pPr>
              <w:adjustRightInd w:val="0"/>
              <w:snapToGrid w:val="0"/>
              <w:jc w:val="left"/>
              <w:rPr>
                <w:rFonts w:hint="eastAsia"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705007A2">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06C52B5B">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49E28B05">
            <w:pPr>
              <w:adjustRightInd w:val="0"/>
              <w:snapToGrid w:val="0"/>
              <w:jc w:val="left"/>
              <w:rPr>
                <w:rFonts w:hint="eastAsia"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6267A9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E83D04B">
            <w:pPr>
              <w:adjustRightInd w:val="0"/>
              <w:snapToGrid w:val="0"/>
              <w:jc w:val="center"/>
              <w:rPr>
                <w:rFonts w:hint="eastAsia" w:ascii="宋体" w:hAnsi="宋体"/>
                <w:szCs w:val="21"/>
              </w:rPr>
            </w:pPr>
            <w:r>
              <w:rPr>
                <w:rFonts w:hint="eastAsia" w:ascii="宋体" w:hAnsi="宋体"/>
                <w:szCs w:val="21"/>
              </w:rPr>
              <w:t>第二节</w:t>
            </w:r>
          </w:p>
          <w:p w14:paraId="1CCAF97A">
            <w:pPr>
              <w:adjustRightInd w:val="0"/>
              <w:snapToGrid w:val="0"/>
              <w:jc w:val="center"/>
              <w:rPr>
                <w:rFonts w:hint="eastAsia" w:ascii="宋体" w:hAnsi="宋体"/>
                <w:szCs w:val="21"/>
              </w:rPr>
            </w:pPr>
            <w:r>
              <w:rPr>
                <w:rFonts w:hint="eastAsia" w:ascii="宋体" w:hAnsi="宋体"/>
                <w:szCs w:val="21"/>
              </w:rPr>
              <w:t>第23.1款</w:t>
            </w:r>
          </w:p>
        </w:tc>
        <w:tc>
          <w:tcPr>
            <w:tcW w:w="1742" w:type="dxa"/>
            <w:vAlign w:val="center"/>
          </w:tcPr>
          <w:p w14:paraId="03D9875A">
            <w:pPr>
              <w:adjustRightInd w:val="0"/>
              <w:snapToGrid w:val="0"/>
              <w:jc w:val="left"/>
              <w:rPr>
                <w:rFonts w:hint="eastAsia" w:ascii="宋体" w:hAnsi="宋体"/>
                <w:szCs w:val="21"/>
              </w:rPr>
            </w:pPr>
            <w:r>
              <w:rPr>
                <w:rFonts w:hint="eastAsia" w:ascii="宋体" w:hAnsi="宋体"/>
                <w:bCs/>
                <w:szCs w:val="21"/>
              </w:rPr>
              <w:t>其他专用条款</w:t>
            </w:r>
          </w:p>
        </w:tc>
        <w:tc>
          <w:tcPr>
            <w:tcW w:w="5170" w:type="dxa"/>
            <w:vAlign w:val="center"/>
          </w:tcPr>
          <w:p w14:paraId="1FF02A63">
            <w:pPr>
              <w:adjustRightInd w:val="0"/>
              <w:snapToGrid w:val="0"/>
              <w:jc w:val="left"/>
              <w:rPr>
                <w:rFonts w:hint="eastAsia" w:ascii="宋体" w:hAnsi="宋体"/>
                <w:szCs w:val="21"/>
              </w:rPr>
            </w:pPr>
          </w:p>
        </w:tc>
      </w:tr>
    </w:tbl>
    <w:p w14:paraId="3A8C6FDD"/>
    <w:p w14:paraId="6AEF0F6E"/>
    <w:p w14:paraId="38F7EE51">
      <w:pPr>
        <w:widowControl/>
        <w:jc w:val="left"/>
        <w:rPr>
          <w:rFonts w:hint="eastAsia" w:ascii="宋体" w:hAnsi="宋体"/>
          <w:szCs w:val="21"/>
        </w:rPr>
      </w:pPr>
      <w:r>
        <w:rPr>
          <w:rFonts w:ascii="宋体" w:hAnsi="宋体"/>
          <w:szCs w:val="21"/>
        </w:rPr>
        <w:br w:type="page"/>
      </w:r>
    </w:p>
    <w:p w14:paraId="2DF9A0D3">
      <w:pPr>
        <w:widowControl/>
        <w:jc w:val="left"/>
        <w:rPr>
          <w:rFonts w:hint="eastAsia" w:ascii="宋体" w:hAnsi="宋体"/>
          <w:szCs w:val="21"/>
        </w:rPr>
      </w:pPr>
    </w:p>
    <w:p w14:paraId="3603E773">
      <w:pPr>
        <w:pStyle w:val="7"/>
        <w:spacing w:before="120" w:beforeLines="50" w:after="120" w:afterLines="50"/>
        <w:ind w:left="562"/>
        <w:rPr>
          <w:rFonts w:hint="eastAsia"/>
          <w:sz w:val="28"/>
          <w:szCs w:val="28"/>
        </w:rPr>
      </w:pPr>
      <w:r>
        <w:rPr>
          <w:rFonts w:hint="eastAsia"/>
          <w:sz w:val="28"/>
          <w:szCs w:val="28"/>
        </w:rPr>
        <w:t>第二册  通用条款（公开招标）</w:t>
      </w:r>
    </w:p>
    <w:p w14:paraId="496A185D">
      <w:pPr>
        <w:pStyle w:val="7"/>
        <w:numPr>
          <w:ilvl w:val="0"/>
          <w:numId w:val="15"/>
        </w:numPr>
        <w:spacing w:before="120" w:beforeLines="50" w:after="120" w:afterLines="50"/>
        <w:ind w:left="562" w:hanging="562"/>
        <w:rPr>
          <w:rFonts w:hint="eastAsia"/>
          <w:sz w:val="28"/>
          <w:szCs w:val="28"/>
        </w:rPr>
      </w:pPr>
      <w:bookmarkStart w:id="180" w:name="_Hlk72399513"/>
      <w:r>
        <w:rPr>
          <w:rFonts w:hint="eastAsia"/>
          <w:sz w:val="28"/>
          <w:szCs w:val="28"/>
        </w:rPr>
        <w:t>总则</w:t>
      </w:r>
    </w:p>
    <w:bookmarkEnd w:id="180"/>
    <w:p w14:paraId="67C8E516">
      <w:pPr>
        <w:rPr>
          <w:rFonts w:hint="eastAsia" w:ascii="黑体" w:hAnsi="宋体" w:eastAsia="黑体"/>
          <w:sz w:val="24"/>
        </w:rPr>
      </w:pPr>
      <w:r>
        <w:rPr>
          <w:rFonts w:hint="eastAsia" w:ascii="黑体" w:hAnsi="宋体" w:eastAsia="黑体"/>
          <w:sz w:val="24"/>
        </w:rPr>
        <w:t>1. 通用条款说明</w:t>
      </w:r>
    </w:p>
    <w:p w14:paraId="57E377C6">
      <w:pPr>
        <w:ind w:firstLine="411" w:firstLineChars="196"/>
        <w:rPr>
          <w:rFonts w:hint="eastAsia"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181" w:name="_Hlk72399729"/>
      <w:r>
        <w:rPr>
          <w:rFonts w:hint="eastAsia" w:ascii="宋体" w:hAnsi="宋体"/>
          <w:szCs w:val="21"/>
        </w:rPr>
        <w:t>如有需要，政府集中采购机构可以对通用条款的内容进行补充。</w:t>
      </w:r>
      <w:bookmarkEnd w:id="181"/>
    </w:p>
    <w:p w14:paraId="470FBFE6">
      <w:pPr>
        <w:ind w:firstLine="411" w:firstLineChars="196"/>
        <w:rPr>
          <w:rFonts w:hint="eastAsia" w:ascii="宋体" w:hAnsi="宋体"/>
          <w:szCs w:val="21"/>
        </w:rPr>
      </w:pPr>
      <w:r>
        <w:rPr>
          <w:rFonts w:hint="eastAsia" w:ascii="宋体" w:hAnsi="宋体"/>
          <w:szCs w:val="21"/>
        </w:rPr>
        <w:t>1.2招标文件分为第一册“专用条款”和第二册“通用条款”。</w:t>
      </w:r>
    </w:p>
    <w:p w14:paraId="7D5D0BF9">
      <w:pPr>
        <w:ind w:firstLine="411" w:firstLineChars="196"/>
        <w:rPr>
          <w:rFonts w:hint="eastAsia"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1067EEA8">
      <w:pPr>
        <w:ind w:firstLine="411" w:firstLineChars="196"/>
        <w:rPr>
          <w:rFonts w:hint="eastAsia" w:ascii="宋体" w:hAnsi="宋体"/>
          <w:szCs w:val="21"/>
        </w:rPr>
      </w:pPr>
      <w:r>
        <w:rPr>
          <w:rFonts w:hint="eastAsia" w:ascii="宋体" w:hAnsi="宋体"/>
          <w:szCs w:val="21"/>
        </w:rPr>
        <w:t>1.4“通用条款”是适用于政府采购公开招标项目的基础性条款，具有普遍性和通用性。</w:t>
      </w:r>
    </w:p>
    <w:p w14:paraId="0CD6F820">
      <w:pPr>
        <w:ind w:firstLine="411" w:firstLineChars="196"/>
        <w:rPr>
          <w:rFonts w:hint="eastAsia" w:ascii="宋体" w:hAnsi="宋体"/>
          <w:szCs w:val="21"/>
        </w:rPr>
      </w:pPr>
      <w:r>
        <w:rPr>
          <w:rFonts w:hint="eastAsia" w:ascii="宋体" w:hAnsi="宋体"/>
          <w:szCs w:val="21"/>
        </w:rPr>
        <w:t>1.5 “专用条款”和“通用条款”表述不一致或有冲突时，以“专用条款”为准。</w:t>
      </w:r>
    </w:p>
    <w:p w14:paraId="66CBA909">
      <w:pPr>
        <w:rPr>
          <w:rFonts w:hint="eastAsia" w:ascii="黑体" w:hAnsi="宋体" w:eastAsia="黑体"/>
          <w:sz w:val="24"/>
        </w:rPr>
      </w:pPr>
      <w:r>
        <w:rPr>
          <w:rFonts w:hint="eastAsia" w:ascii="黑体" w:hAnsi="宋体" w:eastAsia="黑体"/>
          <w:sz w:val="24"/>
        </w:rPr>
        <w:t>2.招标说明</w:t>
      </w:r>
    </w:p>
    <w:p w14:paraId="5922D46E">
      <w:pPr>
        <w:ind w:firstLine="411" w:firstLineChars="196"/>
        <w:rPr>
          <w:rFonts w:hint="eastAsia"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19D6393B">
      <w:pPr>
        <w:rPr>
          <w:rFonts w:hint="eastAsia" w:ascii="黑体" w:hAnsi="宋体" w:eastAsia="黑体"/>
          <w:sz w:val="24"/>
        </w:rPr>
      </w:pPr>
      <w:r>
        <w:rPr>
          <w:rFonts w:hint="eastAsia" w:ascii="黑体" w:hAnsi="宋体" w:eastAsia="黑体"/>
          <w:sz w:val="24"/>
        </w:rPr>
        <w:t>3.定义</w:t>
      </w:r>
    </w:p>
    <w:p w14:paraId="5A179436">
      <w:pPr>
        <w:ind w:firstLine="420" w:firstLineChars="200"/>
        <w:rPr>
          <w:rFonts w:hint="eastAsia" w:ascii="宋体" w:hAnsi="宋体"/>
          <w:szCs w:val="21"/>
        </w:rPr>
      </w:pPr>
      <w:r>
        <w:rPr>
          <w:rFonts w:ascii="宋体" w:hAnsi="宋体"/>
          <w:szCs w:val="21"/>
        </w:rPr>
        <w:t>招标文件中下列术语应解释为：</w:t>
      </w:r>
    </w:p>
    <w:p w14:paraId="2CC98C00">
      <w:pPr>
        <w:ind w:firstLine="411" w:firstLineChars="196"/>
        <w:rPr>
          <w:rFonts w:hint="eastAsia"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14:paraId="30331DE9">
      <w:pPr>
        <w:ind w:firstLine="411" w:firstLineChars="196"/>
        <w:rPr>
          <w:rFonts w:hint="eastAsia"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560D0288">
      <w:pPr>
        <w:ind w:firstLine="411" w:firstLineChars="196"/>
        <w:rPr>
          <w:rFonts w:hint="eastAsia"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0FB4EDE2">
      <w:pPr>
        <w:ind w:firstLine="411" w:firstLineChars="196"/>
        <w:rPr>
          <w:rFonts w:hint="eastAsia"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2174E16C">
      <w:pPr>
        <w:ind w:firstLine="411" w:firstLineChars="196"/>
        <w:rPr>
          <w:rFonts w:hint="eastAsia"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0BB68004">
      <w:pPr>
        <w:ind w:firstLine="411" w:firstLineChars="196"/>
        <w:rPr>
          <w:rFonts w:hint="eastAsia" w:ascii="宋体" w:hAnsi="宋体"/>
          <w:szCs w:val="21"/>
        </w:rPr>
      </w:pPr>
      <w:r>
        <w:rPr>
          <w:rFonts w:hint="eastAsia" w:ascii="宋体" w:hAnsi="宋体"/>
          <w:szCs w:val="21"/>
        </w:rPr>
        <w:t>3.6“合同”指由本次招标所产生的合同或合约文件；</w:t>
      </w:r>
    </w:p>
    <w:p w14:paraId="53CB4D75">
      <w:pPr>
        <w:ind w:firstLine="411" w:firstLineChars="196"/>
        <w:rPr>
          <w:rFonts w:hint="eastAsia"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1D210ECD">
      <w:pPr>
        <w:ind w:firstLine="411" w:firstLineChars="196"/>
        <w:rPr>
          <w:rFonts w:hint="eastAsia"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1187A70C">
      <w:pPr>
        <w:ind w:firstLine="411" w:firstLineChars="196"/>
        <w:rPr>
          <w:rFonts w:hint="eastAsia" w:ascii="宋体" w:hAnsi="宋体"/>
          <w:szCs w:val="21"/>
        </w:rPr>
      </w:pPr>
      <w:r>
        <w:rPr>
          <w:rFonts w:hint="eastAsia" w:ascii="宋体" w:hAnsi="宋体"/>
          <w:szCs w:val="21"/>
        </w:rPr>
        <w:t>3.9招标文件中的标题或题名仅起引导作用，而不应视为对招标文件内容的理解和解释。</w:t>
      </w:r>
    </w:p>
    <w:p w14:paraId="6C1AF303">
      <w:pPr>
        <w:rPr>
          <w:rFonts w:hint="eastAsia" w:ascii="黑体" w:hAnsi="宋体" w:eastAsia="黑体"/>
          <w:sz w:val="24"/>
        </w:rPr>
      </w:pPr>
      <w:r>
        <w:rPr>
          <w:rFonts w:hint="eastAsia" w:ascii="黑体" w:hAnsi="宋体" w:eastAsia="黑体"/>
          <w:sz w:val="24"/>
        </w:rPr>
        <w:t xml:space="preserve">4. </w:t>
      </w:r>
      <w:bookmarkStart w:id="182" w:name="_Hlk72398643"/>
      <w:r>
        <w:rPr>
          <w:rFonts w:hint="eastAsia" w:ascii="黑体" w:hAnsi="宋体" w:eastAsia="黑体"/>
          <w:sz w:val="24"/>
        </w:rPr>
        <w:t>政府采购供应商责任</w:t>
      </w:r>
    </w:p>
    <w:p w14:paraId="3FA5E794">
      <w:pPr>
        <w:ind w:firstLine="411" w:firstLineChars="196"/>
        <w:rPr>
          <w:rFonts w:hint="eastAsia" w:ascii="宋体" w:hAnsi="宋体"/>
          <w:szCs w:val="21"/>
        </w:rPr>
      </w:pPr>
      <w:r>
        <w:rPr>
          <w:rFonts w:hint="eastAsia" w:ascii="宋体" w:hAnsi="宋体"/>
          <w:szCs w:val="21"/>
        </w:rPr>
        <w:t>4.1欢迎诚信、有实力和有社会责任心的供应商参与政府采购事业。</w:t>
      </w:r>
    </w:p>
    <w:p w14:paraId="6D715ECB">
      <w:pPr>
        <w:ind w:firstLine="411" w:firstLineChars="196"/>
        <w:rPr>
          <w:rFonts w:hint="eastAsia"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9E2BBFC">
      <w:pPr>
        <w:rPr>
          <w:rFonts w:hint="eastAsia" w:ascii="黑体" w:hAnsi="宋体" w:eastAsia="黑体"/>
          <w:sz w:val="24"/>
        </w:rPr>
      </w:pPr>
      <w:r>
        <w:rPr>
          <w:rFonts w:hint="eastAsia" w:ascii="黑体" w:hAnsi="宋体" w:eastAsia="黑体"/>
          <w:sz w:val="24"/>
        </w:rPr>
        <w:t>5.投标人参加政府采购的条件</w:t>
      </w:r>
    </w:p>
    <w:p w14:paraId="3EA6C2CD">
      <w:pPr>
        <w:ind w:firstLine="411" w:firstLineChars="196"/>
        <w:jc w:val="left"/>
        <w:rPr>
          <w:rFonts w:hint="eastAsia"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3C3C1FEE">
      <w:pPr>
        <w:ind w:firstLine="411" w:firstLineChars="196"/>
        <w:rPr>
          <w:rFonts w:hint="eastAsia" w:ascii="宋体" w:hAnsi="宋体"/>
          <w:szCs w:val="21"/>
        </w:rPr>
      </w:pPr>
      <w:r>
        <w:rPr>
          <w:rFonts w:hint="eastAsia" w:ascii="宋体" w:hAnsi="宋体"/>
          <w:szCs w:val="21"/>
        </w:rPr>
        <w:t>5.2投标人资格要求</w:t>
      </w:r>
    </w:p>
    <w:p w14:paraId="6E7214A0">
      <w:pPr>
        <w:ind w:firstLine="411" w:firstLineChars="196"/>
        <w:rPr>
          <w:rFonts w:hint="eastAsia"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7D757CE0">
      <w:pPr>
        <w:ind w:firstLine="411" w:firstLineChars="196"/>
        <w:rPr>
          <w:rFonts w:hint="eastAsia" w:ascii="宋体" w:hAnsi="宋体"/>
          <w:szCs w:val="21"/>
        </w:rPr>
      </w:pPr>
      <w:r>
        <w:rPr>
          <w:rFonts w:hint="eastAsia" w:ascii="宋体" w:hAnsi="宋体"/>
          <w:szCs w:val="21"/>
        </w:rPr>
        <w:t>5.3联合体投标</w:t>
      </w:r>
    </w:p>
    <w:p w14:paraId="7162E636">
      <w:pPr>
        <w:ind w:firstLine="411" w:firstLineChars="196"/>
        <w:rPr>
          <w:rFonts w:hint="eastAsia" w:ascii="宋体" w:hAnsi="宋体"/>
          <w:szCs w:val="21"/>
        </w:rPr>
      </w:pPr>
      <w:r>
        <w:rPr>
          <w:rFonts w:hint="eastAsia" w:ascii="宋体" w:hAnsi="宋体"/>
          <w:szCs w:val="21"/>
        </w:rPr>
        <w:t>5.3.1以下有关联合体投标的条款仅适用于允许投标人组成联合体投标的项目。</w:t>
      </w:r>
    </w:p>
    <w:p w14:paraId="3858DCAD">
      <w:pPr>
        <w:ind w:firstLine="411" w:firstLineChars="196"/>
        <w:rPr>
          <w:rFonts w:hint="eastAsia"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2499F946">
      <w:pPr>
        <w:ind w:firstLine="411" w:firstLineChars="196"/>
        <w:rPr>
          <w:rFonts w:hint="eastAsia" w:asciiTheme="minorEastAsia" w:hAnsiTheme="minorEastAsia" w:eastAsiaTheme="minorEastAsia"/>
        </w:rPr>
      </w:pPr>
      <w:r>
        <w:rPr>
          <w:rFonts w:hint="eastAsia" w:asciiTheme="minorEastAsia" w:hAnsiTheme="minorEastAsia" w:eastAsiaTheme="minorEastAsia"/>
        </w:rPr>
        <w:t>（1）投标联合体各方参加政府采购活动应当具备下列条件：</w:t>
      </w:r>
      <w:r>
        <w:rPr>
          <w:rFonts w:asciiTheme="minorEastAsia" w:hAnsiTheme="minorEastAsia" w:eastAsiaTheme="minorEastAsia"/>
        </w:rPr>
        <w:t xml:space="preserve"> </w:t>
      </w:r>
    </w:p>
    <w:p w14:paraId="770E7CCE">
      <w:pPr>
        <w:ind w:left="420" w:leftChars="200" w:firstLine="411" w:firstLineChars="196"/>
        <w:rPr>
          <w:rFonts w:hint="eastAsia" w:asciiTheme="minorEastAsia" w:hAnsiTheme="minorEastAsia" w:eastAsiaTheme="minorEastAsia"/>
        </w:rPr>
      </w:pPr>
      <w:r>
        <w:rPr>
          <w:rFonts w:hint="eastAsia" w:asciiTheme="minorEastAsia" w:hAnsiTheme="minorEastAsia" w:eastAsiaTheme="minorEastAsia"/>
        </w:rPr>
        <w:t>1.具有独立承担民事责任的能力；</w:t>
      </w:r>
      <w:r>
        <w:rPr>
          <w:rFonts w:asciiTheme="minorEastAsia" w:hAnsiTheme="minorEastAsia" w:eastAsiaTheme="minorEastAsia"/>
        </w:rPr>
        <w:t xml:space="preserve"> </w:t>
      </w:r>
    </w:p>
    <w:p w14:paraId="3292BFFD">
      <w:pPr>
        <w:ind w:left="420" w:firstLine="411" w:firstLineChars="196"/>
        <w:rPr>
          <w:rFonts w:hint="eastAsia" w:asciiTheme="minorEastAsia" w:hAnsiTheme="minorEastAsia" w:eastAsiaTheme="minorEastAsia"/>
        </w:rPr>
      </w:pPr>
      <w:r>
        <w:rPr>
          <w:rFonts w:hint="eastAsia" w:asciiTheme="minorEastAsia" w:hAnsiTheme="minorEastAsia" w:eastAsiaTheme="minorEastAsia"/>
        </w:rPr>
        <w:t>2.具有良好的商业信誉和健全的财务会计制度；</w:t>
      </w:r>
      <w:r>
        <w:rPr>
          <w:rFonts w:asciiTheme="minorEastAsia" w:hAnsiTheme="minorEastAsia" w:eastAsiaTheme="minorEastAsia"/>
        </w:rPr>
        <w:t xml:space="preserve"> </w:t>
      </w:r>
    </w:p>
    <w:p w14:paraId="715DE8DE">
      <w:pPr>
        <w:ind w:left="420" w:leftChars="200" w:firstLine="411" w:firstLineChars="196"/>
        <w:rPr>
          <w:rFonts w:hint="eastAsia" w:asciiTheme="minorEastAsia" w:hAnsiTheme="minorEastAsia" w:eastAsiaTheme="minorEastAsia"/>
        </w:rPr>
      </w:pPr>
      <w:r>
        <w:rPr>
          <w:rFonts w:hint="eastAsia" w:asciiTheme="minorEastAsia" w:hAnsiTheme="minorEastAsia" w:eastAsiaTheme="minorEastAsia"/>
        </w:rPr>
        <w:t>3.具有履行合同所必需的设备和专业技术能力；</w:t>
      </w:r>
      <w:r>
        <w:rPr>
          <w:rFonts w:asciiTheme="minorEastAsia" w:hAnsiTheme="minorEastAsia" w:eastAsiaTheme="minorEastAsia"/>
        </w:rPr>
        <w:t xml:space="preserve"> </w:t>
      </w:r>
    </w:p>
    <w:p w14:paraId="4400E397">
      <w:pPr>
        <w:ind w:left="420" w:leftChars="200" w:firstLine="411" w:firstLineChars="196"/>
        <w:rPr>
          <w:rFonts w:hint="eastAsia" w:asciiTheme="minorEastAsia" w:hAnsiTheme="minorEastAsia" w:eastAsiaTheme="minorEastAsia"/>
        </w:rPr>
      </w:pPr>
      <w:r>
        <w:rPr>
          <w:rFonts w:hint="eastAsia" w:asciiTheme="minorEastAsia" w:hAnsiTheme="minorEastAsia" w:eastAsiaTheme="minorEastAsia"/>
        </w:rPr>
        <w:t>4.有依法缴纳税收和社会保障资金的良好记录；</w:t>
      </w:r>
      <w:r>
        <w:rPr>
          <w:rFonts w:asciiTheme="minorEastAsia" w:hAnsiTheme="minorEastAsia" w:eastAsiaTheme="minorEastAsia"/>
        </w:rPr>
        <w:t xml:space="preserve"> </w:t>
      </w:r>
    </w:p>
    <w:p w14:paraId="6A13024D">
      <w:pPr>
        <w:ind w:left="420" w:leftChars="200" w:firstLine="411" w:firstLineChars="196"/>
        <w:rPr>
          <w:rFonts w:hint="eastAsia" w:asciiTheme="minorEastAsia" w:hAnsiTheme="minorEastAsia" w:eastAsiaTheme="minorEastAsia"/>
        </w:rPr>
      </w:pPr>
      <w:r>
        <w:rPr>
          <w:rFonts w:hint="eastAsia" w:asciiTheme="minorEastAsia" w:hAnsiTheme="minorEastAsia" w:eastAsiaTheme="minorEastAsia"/>
        </w:rPr>
        <w:t>5.参加政府采购活动前三年内，在经营活动中没有重大违法记录；</w:t>
      </w:r>
      <w:r>
        <w:rPr>
          <w:rFonts w:asciiTheme="minorEastAsia" w:hAnsiTheme="minorEastAsia" w:eastAsiaTheme="minorEastAsia"/>
        </w:rPr>
        <w:t xml:space="preserve"> </w:t>
      </w:r>
    </w:p>
    <w:p w14:paraId="050E001D">
      <w:pPr>
        <w:ind w:left="420" w:leftChars="200" w:firstLine="411" w:firstLineChars="196"/>
        <w:rPr>
          <w:rFonts w:hint="eastAsia" w:asciiTheme="minorEastAsia" w:hAnsiTheme="minorEastAsia" w:eastAsiaTheme="minorEastAsia"/>
        </w:rPr>
      </w:pPr>
      <w:r>
        <w:rPr>
          <w:rFonts w:hint="eastAsia" w:asciiTheme="minorEastAsia" w:hAnsiTheme="minorEastAsia" w:eastAsiaTheme="minorEastAsia"/>
        </w:rPr>
        <w:t>6.法律、行政法规规定的其他条件。</w:t>
      </w:r>
      <w:r>
        <w:rPr>
          <w:rFonts w:asciiTheme="minorEastAsia" w:hAnsiTheme="minorEastAsia" w:eastAsiaTheme="minorEastAsia"/>
        </w:rPr>
        <w:t xml:space="preserve"> </w:t>
      </w:r>
    </w:p>
    <w:p w14:paraId="29493FFB">
      <w:pPr>
        <w:ind w:firstLine="411" w:firstLineChars="196"/>
        <w:rPr>
          <w:rFonts w:hint="eastAsia" w:asciiTheme="minorEastAsia" w:hAnsiTheme="minorEastAsia" w:eastAsiaTheme="minorEastAsia"/>
        </w:rPr>
      </w:pPr>
      <w:r>
        <w:rPr>
          <w:rFonts w:hint="eastAsia" w:asciiTheme="minorEastAsia" w:hAnsiTheme="minorEastAsia" w:eastAsiaTheme="minorEastAsia"/>
        </w:rPr>
        <w:t>（2）在投标截止前，投标联合体各方均应注册成为政府集中采购机构供应商；</w:t>
      </w:r>
    </w:p>
    <w:p w14:paraId="653A4458">
      <w:pPr>
        <w:ind w:firstLine="411" w:firstLineChars="196"/>
        <w:rPr>
          <w:rFonts w:hint="eastAsia" w:asciiTheme="minorEastAsia" w:hAnsiTheme="minorEastAsia" w:eastAsiaTheme="minorEastAsia"/>
        </w:rPr>
      </w:pPr>
      <w:r>
        <w:rPr>
          <w:rFonts w:hint="eastAsia" w:asciiTheme="minorEastAsia" w:hAnsiTheme="minorEastAsia" w:eastAsiaTheme="minorEastAsia"/>
        </w:rPr>
        <w:t>（3）联合体中有同类资质的供应商按照联合体分工承担相同工作的，应当按照资质等级较低的供应商确定资质等级；</w:t>
      </w:r>
    </w:p>
    <w:p w14:paraId="40B36B42">
      <w:pPr>
        <w:ind w:firstLine="411" w:firstLineChars="196"/>
        <w:rPr>
          <w:rFonts w:hint="eastAsia" w:asciiTheme="minorEastAsia" w:hAnsiTheme="minorEastAsia" w:eastAsiaTheme="minorEastAsia"/>
        </w:rPr>
      </w:pPr>
      <w:r>
        <w:rPr>
          <w:rFonts w:hint="eastAsia" w:asciiTheme="minorEastAsia" w:hAnsiTheme="minorEastAsia" w:eastAsiaTheme="minorEastAsia"/>
        </w:rPr>
        <w:t>（4）是否允许联合体参加投标，应当由采购人和采购代理机构根据项目的实际情况和潜在供应商的数量自主决定，如果决定接受联合体投标则应当在招标公告中明示；</w:t>
      </w:r>
    </w:p>
    <w:p w14:paraId="6606F034">
      <w:pPr>
        <w:ind w:firstLine="411" w:firstLineChars="196"/>
        <w:rPr>
          <w:rFonts w:hint="eastAsia" w:asciiTheme="minorEastAsia" w:hAnsiTheme="minorEastAsia" w:eastAsiaTheme="minorEastAsia"/>
        </w:rPr>
      </w:pPr>
      <w:r>
        <w:rPr>
          <w:rFonts w:hint="eastAsia" w:asciiTheme="minorEastAsia" w:hAnsiTheme="minorEastAsia" w:eastAsiaTheme="minorEastAsia"/>
        </w:rPr>
        <w:t>（5）投标人的投标文件及中标后签署的合同协议对联合体各方均具有法律约束力；</w:t>
      </w:r>
    </w:p>
    <w:p w14:paraId="11B0D860">
      <w:pPr>
        <w:ind w:firstLine="411" w:firstLineChars="196"/>
        <w:rPr>
          <w:rFonts w:hint="eastAsia" w:asciiTheme="minorEastAsia" w:hAnsiTheme="minorEastAsia" w:eastAsiaTheme="minorEastAsia"/>
        </w:rPr>
      </w:pPr>
      <w:r>
        <w:rPr>
          <w:rFonts w:hint="eastAsia" w:asciiTheme="minorEastAsia" w:hAnsiTheme="minorEastAsia" w:eastAsiaTheme="minorEastAsia"/>
        </w:rPr>
        <w:t>（6）联合体各方应当签订联合体投标协议，明确约定各方拟承担的工作和责任，并将该协议随投标文件一并递交给政府集中采购机构；</w:t>
      </w:r>
    </w:p>
    <w:p w14:paraId="45588B07">
      <w:pPr>
        <w:ind w:firstLine="411" w:firstLineChars="196"/>
        <w:rPr>
          <w:rFonts w:hint="eastAsia" w:asciiTheme="minorEastAsia" w:hAnsiTheme="minorEastAsia" w:eastAsiaTheme="minorEastAsia"/>
        </w:rPr>
      </w:pPr>
      <w:r>
        <w:rPr>
          <w:rFonts w:hint="eastAsia" w:asciiTheme="minorEastAsia" w:hAnsiTheme="minorEastAsia" w:eastAsiaTheme="minorEastAsia"/>
        </w:rPr>
        <w:t>（7）联合体中标后，联合体各方应当共同与采购人签订合同，就中标项目向采购人承担连带责任；</w:t>
      </w:r>
    </w:p>
    <w:p w14:paraId="1293610C">
      <w:pPr>
        <w:ind w:firstLine="411" w:firstLineChars="196"/>
        <w:rPr>
          <w:rFonts w:hint="eastAsia" w:asciiTheme="minorEastAsia" w:hAnsiTheme="minorEastAsia" w:eastAsiaTheme="minorEastAsia"/>
        </w:rPr>
      </w:pPr>
      <w:r>
        <w:rPr>
          <w:rFonts w:hint="eastAsia" w:asciiTheme="minorEastAsia" w:hAnsiTheme="minorEastAsia" w:eastAsiaTheme="minor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742A5C9D">
      <w:pPr>
        <w:ind w:firstLine="411" w:firstLineChars="196"/>
        <w:rPr>
          <w:rFonts w:hint="eastAsia" w:asciiTheme="minorEastAsia" w:hAnsiTheme="minorEastAsia" w:eastAsiaTheme="minorEastAsia"/>
          <w:szCs w:val="21"/>
        </w:rPr>
      </w:pPr>
      <w:r>
        <w:rPr>
          <w:rFonts w:hint="eastAsia" w:asciiTheme="minorEastAsia" w:hAnsiTheme="minorEastAsia" w:eastAsiaTheme="minorEastAsia"/>
        </w:rPr>
        <w:t>（9）本通用条款中“投标人”一词亦指联合体各方，专用条款另有规定或说明的除外。</w:t>
      </w:r>
    </w:p>
    <w:p w14:paraId="5F88B60A">
      <w:pPr>
        <w:rPr>
          <w:rFonts w:hint="eastAsia" w:ascii="黑体" w:hAnsi="宋体" w:eastAsia="黑体"/>
          <w:sz w:val="24"/>
        </w:rPr>
      </w:pPr>
      <w:r>
        <w:rPr>
          <w:rFonts w:hint="eastAsia" w:ascii="黑体" w:hAnsi="宋体" w:eastAsia="黑体"/>
          <w:sz w:val="24"/>
        </w:rPr>
        <w:t>6.政策导向</w:t>
      </w:r>
    </w:p>
    <w:p w14:paraId="3AF15A08">
      <w:pPr>
        <w:ind w:firstLine="411" w:firstLineChars="196"/>
        <w:rPr>
          <w:rFonts w:hint="eastAsia" w:ascii="宋体" w:hAnsi="宋体"/>
        </w:rPr>
      </w:pPr>
      <w:r>
        <w:rPr>
          <w:rFonts w:hint="eastAsia" w:ascii="宋体" w:hAnsi="宋体"/>
        </w:rPr>
        <w:t>6.1政府采购支持本国产品、支持中小企业、监狱企业和残疾人福利性单位发展，支持乡村产业振兴，支持创新、节能减排、绿色环保等。</w:t>
      </w:r>
    </w:p>
    <w:p w14:paraId="6EFDE1A6">
      <w:pPr>
        <w:ind w:firstLine="405"/>
        <w:rPr>
          <w:rFonts w:hint="eastAsia" w:ascii="宋体" w:hAnsi="宋体"/>
        </w:rPr>
      </w:pPr>
      <w:r>
        <w:rPr>
          <w:rFonts w:hint="eastAsia" w:ascii="宋体" w:hAnsi="宋体"/>
        </w:rPr>
        <w:t>6.2本项目落实深圳市政府采购供应商诚信管理政策要求。</w:t>
      </w:r>
    </w:p>
    <w:p w14:paraId="63E00C54">
      <w:pPr>
        <w:ind w:firstLine="405"/>
      </w:pPr>
      <w:r>
        <w:rPr>
          <w:rFonts w:hint="eastAsia" w:ascii="宋体" w:hAnsi="宋体"/>
        </w:rPr>
        <w:t>6.3本项目支持投标人性别平等的相关政策。</w:t>
      </w:r>
    </w:p>
    <w:p w14:paraId="0ABF6112">
      <w:pPr>
        <w:rPr>
          <w:rFonts w:hint="eastAsia" w:ascii="黑体" w:hAnsi="宋体" w:eastAsia="黑体"/>
          <w:sz w:val="24"/>
        </w:rPr>
      </w:pPr>
      <w:r>
        <w:rPr>
          <w:rFonts w:hint="eastAsia" w:ascii="黑体" w:hAnsi="宋体" w:eastAsia="黑体"/>
          <w:sz w:val="24"/>
        </w:rPr>
        <w:t>7. 本项目若涉及采购货物，则合格的货物及相应服务应满足以下要求：</w:t>
      </w:r>
    </w:p>
    <w:p w14:paraId="4DCF0F93">
      <w:pPr>
        <w:ind w:firstLine="411" w:firstLineChars="196"/>
        <w:rPr>
          <w:rFonts w:hint="eastAsia"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646479BC">
      <w:pPr>
        <w:ind w:firstLine="411" w:firstLineChars="196"/>
        <w:rPr>
          <w:rFonts w:hint="eastAsia"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238E9E2C">
      <w:pPr>
        <w:ind w:firstLine="411" w:firstLineChars="196"/>
        <w:rPr>
          <w:rFonts w:hint="eastAsia"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1E71285F">
      <w:pPr>
        <w:ind w:firstLine="411" w:firstLineChars="196"/>
        <w:rPr>
          <w:rFonts w:hint="eastAsia" w:ascii="宋体" w:hAnsi="宋体"/>
        </w:rPr>
      </w:pPr>
      <w:r>
        <w:rPr>
          <w:rFonts w:hint="eastAsia" w:ascii="宋体" w:hAnsi="宋体"/>
        </w:rPr>
        <w:t>7</w:t>
      </w:r>
      <w:r>
        <w:rPr>
          <w:rFonts w:ascii="宋体" w:hAnsi="宋体"/>
        </w:rPr>
        <w:t>.</w:t>
      </w:r>
      <w:r>
        <w:rPr>
          <w:rFonts w:hint="eastAsia" w:ascii="宋体" w:hAnsi="宋体"/>
        </w:rPr>
        <w:t>4投标人</w:t>
      </w:r>
      <w:bookmarkStart w:id="183"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183"/>
    </w:p>
    <w:p w14:paraId="200B3D04">
      <w:pPr>
        <w:ind w:firstLine="411" w:firstLineChars="196"/>
        <w:rPr>
          <w:rFonts w:hint="eastAsia"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1471AC6F">
      <w:pPr>
        <w:ind w:firstLine="411" w:firstLineChars="196"/>
        <w:rPr>
          <w:rFonts w:hint="eastAsia" w:ascii="宋体" w:hAnsi="宋体"/>
        </w:rPr>
      </w:pPr>
      <w:r>
        <w:rPr>
          <w:rFonts w:hint="eastAsia" w:ascii="宋体" w:hAnsi="宋体"/>
        </w:rPr>
        <w:t>7.6工期要求：投标人在投标时对其所投项目应提交交货进度、交货计划等，在合同规定的时间内完成项目实施工作。</w:t>
      </w:r>
    </w:p>
    <w:p w14:paraId="0623D353">
      <w:pPr>
        <w:ind w:firstLine="411" w:firstLineChars="196"/>
        <w:rPr>
          <w:rFonts w:hint="eastAsia" w:ascii="宋体" w:hAnsi="宋体"/>
        </w:rPr>
      </w:pPr>
      <w:r>
        <w:rPr>
          <w:rFonts w:hint="eastAsia" w:ascii="宋体" w:hAnsi="宋体"/>
        </w:rPr>
        <w:t>7.7投标人必须承担设备运输、安装调试、验收检测和提供设备操作说明书、图纸等其他相关及类似的义务。</w:t>
      </w:r>
    </w:p>
    <w:p w14:paraId="7E66A01B">
      <w:pPr>
        <w:rPr>
          <w:rFonts w:hint="eastAsia" w:ascii="黑体" w:hAnsi="宋体" w:eastAsia="黑体"/>
          <w:sz w:val="24"/>
        </w:rPr>
      </w:pPr>
      <w:r>
        <w:rPr>
          <w:rFonts w:hint="eastAsia" w:ascii="黑体" w:hAnsi="宋体" w:eastAsia="黑体"/>
          <w:sz w:val="24"/>
        </w:rPr>
        <w:t>8.投标费用</w:t>
      </w:r>
    </w:p>
    <w:p w14:paraId="629CD24B">
      <w:pPr>
        <w:ind w:firstLine="411" w:firstLineChars="196"/>
        <w:rPr>
          <w:rFonts w:hint="eastAsia" w:ascii="宋体" w:hAnsi="宋体"/>
          <w:szCs w:val="21"/>
        </w:rPr>
      </w:pPr>
      <w:r>
        <w:rPr>
          <w:rFonts w:hint="eastAsia" w:ascii="宋体" w:hAnsi="宋体"/>
          <w:szCs w:val="21"/>
        </w:rPr>
        <w:t>不论投标结果如何，投标人应承担其编制投标文件与递交投标文件所涉及的一切费用。</w:t>
      </w:r>
    </w:p>
    <w:p w14:paraId="471B2A21">
      <w:pPr>
        <w:rPr>
          <w:rFonts w:hint="eastAsia" w:ascii="黑体" w:hAnsi="宋体" w:eastAsia="黑体"/>
          <w:sz w:val="24"/>
        </w:rPr>
      </w:pPr>
      <w:r>
        <w:rPr>
          <w:rFonts w:hint="eastAsia" w:ascii="黑体" w:hAnsi="宋体" w:eastAsia="黑体"/>
          <w:sz w:val="24"/>
        </w:rPr>
        <w:t>9.踏勘现场</w:t>
      </w:r>
    </w:p>
    <w:p w14:paraId="7BF9B734">
      <w:pPr>
        <w:ind w:firstLine="411" w:firstLineChars="196"/>
        <w:rPr>
          <w:rFonts w:hint="eastAsia"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18C6F055">
      <w:pPr>
        <w:ind w:firstLine="411" w:firstLineChars="196"/>
        <w:rPr>
          <w:rFonts w:hint="eastAsia"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425AC886">
      <w:pPr>
        <w:ind w:firstLine="411" w:firstLineChars="196"/>
        <w:rPr>
          <w:rFonts w:hint="eastAsia" w:ascii="宋体" w:hAnsi="宋体"/>
        </w:rPr>
      </w:pPr>
      <w:r>
        <w:rPr>
          <w:rFonts w:hint="eastAsia" w:ascii="宋体" w:hAnsi="宋体"/>
        </w:rPr>
        <w:t>9.3采购人应当通过政府集中采购机构向投标人提供有关现场的书面资料和数据。</w:t>
      </w:r>
    </w:p>
    <w:p w14:paraId="2DB14FEA">
      <w:pPr>
        <w:ind w:firstLine="411" w:firstLineChars="196"/>
        <w:rPr>
          <w:rFonts w:hint="eastAsia"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463B3AE3">
      <w:pPr>
        <w:ind w:firstLine="411" w:firstLineChars="196"/>
        <w:rPr>
          <w:rFonts w:hint="eastAsia"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11002D74">
      <w:pPr>
        <w:rPr>
          <w:rFonts w:hint="eastAsia" w:ascii="宋体" w:hAnsi="宋体"/>
          <w:szCs w:val="21"/>
        </w:rPr>
      </w:pPr>
      <w:r>
        <w:rPr>
          <w:rFonts w:hint="eastAsia" w:ascii="黑体" w:hAnsi="宋体" w:eastAsia="黑体"/>
          <w:sz w:val="24"/>
        </w:rPr>
        <w:t>10.标前会议</w:t>
      </w:r>
    </w:p>
    <w:p w14:paraId="0ADDEDDC">
      <w:pPr>
        <w:ind w:firstLine="411" w:firstLineChars="196"/>
        <w:rPr>
          <w:rFonts w:hint="eastAsia"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9D0009D">
      <w:pPr>
        <w:ind w:firstLine="411" w:firstLineChars="196"/>
        <w:rPr>
          <w:rFonts w:hint="eastAsia"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0E211A0E">
      <w:pPr>
        <w:ind w:firstLine="411" w:firstLineChars="196"/>
        <w:rPr>
          <w:rFonts w:hint="eastAsia"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182"/>
    <w:p w14:paraId="698F686C">
      <w:pPr>
        <w:ind w:firstLine="411" w:firstLineChars="196"/>
        <w:rPr>
          <w:rFonts w:hint="eastAsia" w:ascii="宋体" w:hAnsi="宋体"/>
        </w:rPr>
      </w:pPr>
    </w:p>
    <w:p w14:paraId="1A847EFD">
      <w:pPr>
        <w:pStyle w:val="7"/>
        <w:numPr>
          <w:ilvl w:val="0"/>
          <w:numId w:val="15"/>
        </w:numPr>
        <w:spacing w:before="120" w:beforeLines="50" w:after="120" w:afterLines="50"/>
        <w:ind w:left="562" w:hanging="562"/>
        <w:rPr>
          <w:rFonts w:hint="eastAsia"/>
          <w:sz w:val="28"/>
          <w:szCs w:val="28"/>
        </w:rPr>
      </w:pPr>
      <w:r>
        <w:rPr>
          <w:rFonts w:hint="eastAsia"/>
          <w:sz w:val="28"/>
          <w:szCs w:val="28"/>
        </w:rPr>
        <w:t>招标文件</w:t>
      </w:r>
    </w:p>
    <w:p w14:paraId="4619E95B">
      <w:pPr>
        <w:rPr>
          <w:rFonts w:hint="eastAsia" w:ascii="黑体" w:hAnsi="宋体" w:eastAsia="黑体"/>
          <w:sz w:val="24"/>
        </w:rPr>
      </w:pPr>
      <w:r>
        <w:rPr>
          <w:rFonts w:hint="eastAsia" w:ascii="黑体" w:hAnsi="宋体" w:eastAsia="黑体"/>
          <w:sz w:val="24"/>
        </w:rPr>
        <w:t>11.</w:t>
      </w:r>
      <w:bookmarkStart w:id="184" w:name="_Hlk72399819"/>
      <w:r>
        <w:rPr>
          <w:rFonts w:hint="eastAsia" w:ascii="黑体" w:hAnsi="宋体" w:eastAsia="黑体"/>
          <w:sz w:val="24"/>
        </w:rPr>
        <w:t>招标文件的编制与组成</w:t>
      </w:r>
    </w:p>
    <w:p w14:paraId="3D4CBF1E">
      <w:pPr>
        <w:snapToGrid w:val="0"/>
        <w:ind w:firstLine="420" w:firstLineChars="200"/>
        <w:rPr>
          <w:rFonts w:hint="eastAsia"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2990DD6C">
      <w:pPr>
        <w:ind w:firstLine="411" w:firstLineChars="196"/>
        <w:rPr>
          <w:rFonts w:hint="eastAsia" w:ascii="宋体" w:hAnsi="宋体"/>
          <w:szCs w:val="21"/>
        </w:rPr>
      </w:pPr>
      <w:r>
        <w:rPr>
          <w:rFonts w:hint="eastAsia" w:ascii="宋体" w:hAnsi="宋体"/>
          <w:szCs w:val="21"/>
        </w:rPr>
        <w:t>招标文件包括下列内容：</w:t>
      </w:r>
    </w:p>
    <w:p w14:paraId="5A3A7C21">
      <w:pPr>
        <w:ind w:left="420" w:leftChars="200" w:firstLine="413" w:firstLineChars="196"/>
        <w:rPr>
          <w:rFonts w:hint="eastAsia" w:ascii="宋体" w:hAnsi="宋体"/>
          <w:b/>
          <w:szCs w:val="21"/>
        </w:rPr>
      </w:pPr>
      <w:r>
        <w:rPr>
          <w:rFonts w:hint="eastAsia" w:ascii="宋体" w:hAnsi="宋体"/>
          <w:b/>
          <w:szCs w:val="21"/>
        </w:rPr>
        <w:t>第一册  专用条款</w:t>
      </w:r>
    </w:p>
    <w:p w14:paraId="5F6CC3AA">
      <w:pPr>
        <w:ind w:left="1079" w:leftChars="514"/>
        <w:rPr>
          <w:rFonts w:hint="eastAsia" w:ascii="宋体" w:hAnsi="宋体"/>
          <w:b/>
          <w:szCs w:val="21"/>
        </w:rPr>
      </w:pPr>
      <w:r>
        <w:rPr>
          <w:rFonts w:hint="eastAsia" w:ascii="宋体" w:hAnsi="宋体"/>
          <w:b/>
          <w:szCs w:val="21"/>
        </w:rPr>
        <w:t>关键信息</w:t>
      </w:r>
    </w:p>
    <w:p w14:paraId="457DECAE">
      <w:pPr>
        <w:ind w:left="630" w:leftChars="300" w:firstLine="411" w:firstLineChars="196"/>
        <w:rPr>
          <w:rFonts w:hint="eastAsia" w:ascii="宋体" w:hAnsi="宋体"/>
          <w:szCs w:val="21"/>
        </w:rPr>
      </w:pPr>
      <w:r>
        <w:rPr>
          <w:rFonts w:hint="eastAsia" w:ascii="宋体" w:hAnsi="宋体"/>
          <w:szCs w:val="21"/>
        </w:rPr>
        <w:t>第一章  招标公告</w:t>
      </w:r>
    </w:p>
    <w:p w14:paraId="0CAB792B">
      <w:pPr>
        <w:ind w:left="630" w:leftChars="300" w:firstLine="411" w:firstLineChars="196"/>
        <w:rPr>
          <w:rFonts w:hint="eastAsia" w:ascii="宋体" w:hAnsi="宋体"/>
          <w:szCs w:val="21"/>
        </w:rPr>
      </w:pPr>
      <w:r>
        <w:rPr>
          <w:rFonts w:hint="eastAsia" w:ascii="宋体" w:hAnsi="宋体"/>
          <w:szCs w:val="21"/>
        </w:rPr>
        <w:t>第二章  对通用条款的补充内容及其他关键信息</w:t>
      </w:r>
    </w:p>
    <w:p w14:paraId="27A34A64">
      <w:pPr>
        <w:ind w:left="630" w:leftChars="300" w:firstLine="411" w:firstLineChars="196"/>
        <w:rPr>
          <w:rFonts w:hint="eastAsia" w:ascii="宋体" w:hAnsi="宋体"/>
          <w:szCs w:val="21"/>
        </w:rPr>
      </w:pPr>
      <w:r>
        <w:rPr>
          <w:rFonts w:hint="eastAsia" w:ascii="宋体" w:hAnsi="宋体"/>
          <w:szCs w:val="21"/>
        </w:rPr>
        <w:t>第三章  用户需求书</w:t>
      </w:r>
    </w:p>
    <w:p w14:paraId="76692A6F">
      <w:pPr>
        <w:ind w:left="630" w:leftChars="300" w:firstLine="411" w:firstLineChars="196"/>
        <w:rPr>
          <w:rFonts w:hint="eastAsia" w:ascii="宋体" w:hAnsi="宋体"/>
          <w:szCs w:val="21"/>
        </w:rPr>
      </w:pPr>
      <w:r>
        <w:rPr>
          <w:rFonts w:hint="eastAsia"/>
        </w:rPr>
        <w:t xml:space="preserve">第四章 </w:t>
      </w:r>
      <w:r>
        <w:t xml:space="preserve"> </w:t>
      </w:r>
      <w:r>
        <w:rPr>
          <w:rFonts w:hint="eastAsia"/>
        </w:rPr>
        <w:t>投标文件格式及附件</w:t>
      </w:r>
    </w:p>
    <w:p w14:paraId="74964220">
      <w:pPr>
        <w:ind w:left="630" w:leftChars="300" w:firstLine="411" w:firstLineChars="196"/>
        <w:rPr>
          <w:rFonts w:hint="eastAsia" w:ascii="宋体" w:hAnsi="宋体"/>
          <w:szCs w:val="21"/>
        </w:rPr>
      </w:pPr>
      <w:r>
        <w:rPr>
          <w:rFonts w:hint="eastAsia" w:ascii="宋体" w:hAnsi="宋体"/>
          <w:szCs w:val="21"/>
        </w:rPr>
        <w:t>第五章  合同条款及格式</w:t>
      </w:r>
    </w:p>
    <w:p w14:paraId="3B49149B">
      <w:pPr>
        <w:ind w:left="420" w:leftChars="200" w:firstLine="413" w:firstLineChars="196"/>
        <w:rPr>
          <w:rFonts w:hint="eastAsia" w:ascii="宋体" w:hAnsi="宋体"/>
          <w:b/>
          <w:szCs w:val="21"/>
        </w:rPr>
      </w:pPr>
      <w:r>
        <w:rPr>
          <w:rFonts w:hint="eastAsia" w:ascii="宋体" w:hAnsi="宋体"/>
          <w:b/>
          <w:szCs w:val="21"/>
        </w:rPr>
        <w:t>第二册  通用条款</w:t>
      </w:r>
    </w:p>
    <w:p w14:paraId="6BDF991C">
      <w:pPr>
        <w:ind w:left="630" w:leftChars="300" w:firstLine="411" w:firstLineChars="196"/>
        <w:rPr>
          <w:rFonts w:hint="eastAsia" w:ascii="宋体" w:hAnsi="宋体"/>
          <w:szCs w:val="21"/>
        </w:rPr>
      </w:pPr>
      <w:r>
        <w:rPr>
          <w:rFonts w:hint="eastAsia" w:ascii="宋体" w:hAnsi="宋体"/>
          <w:szCs w:val="21"/>
        </w:rPr>
        <w:t>第一章  总则</w:t>
      </w:r>
    </w:p>
    <w:p w14:paraId="18CECEA1">
      <w:pPr>
        <w:ind w:left="630" w:leftChars="300" w:firstLine="411" w:firstLineChars="196"/>
        <w:rPr>
          <w:rFonts w:hint="eastAsia" w:ascii="宋体" w:hAnsi="宋体"/>
          <w:szCs w:val="21"/>
        </w:rPr>
      </w:pPr>
      <w:r>
        <w:rPr>
          <w:rFonts w:hint="eastAsia" w:ascii="宋体" w:hAnsi="宋体"/>
          <w:szCs w:val="21"/>
        </w:rPr>
        <w:t>第二章  招标文件</w:t>
      </w:r>
    </w:p>
    <w:p w14:paraId="269623BC">
      <w:pPr>
        <w:ind w:left="630" w:leftChars="300" w:firstLine="411" w:firstLineChars="196"/>
        <w:rPr>
          <w:rFonts w:hint="eastAsia" w:ascii="宋体" w:hAnsi="宋体"/>
          <w:szCs w:val="21"/>
        </w:rPr>
      </w:pPr>
      <w:r>
        <w:rPr>
          <w:rFonts w:hint="eastAsia" w:ascii="宋体" w:hAnsi="宋体"/>
          <w:szCs w:val="21"/>
        </w:rPr>
        <w:t>第三章  投标文件的编制</w:t>
      </w:r>
    </w:p>
    <w:p w14:paraId="43442CF5">
      <w:pPr>
        <w:ind w:left="630" w:leftChars="300" w:firstLine="411" w:firstLineChars="196"/>
        <w:rPr>
          <w:rFonts w:hint="eastAsia" w:ascii="宋体" w:hAnsi="宋体"/>
          <w:szCs w:val="21"/>
        </w:rPr>
      </w:pPr>
      <w:r>
        <w:rPr>
          <w:rFonts w:hint="eastAsia" w:ascii="宋体" w:hAnsi="宋体"/>
          <w:szCs w:val="21"/>
        </w:rPr>
        <w:t>第四章  投标文件的递交</w:t>
      </w:r>
    </w:p>
    <w:p w14:paraId="07D92EE3">
      <w:pPr>
        <w:ind w:left="630" w:leftChars="300" w:firstLine="411" w:firstLineChars="196"/>
        <w:rPr>
          <w:rFonts w:hint="eastAsia" w:ascii="宋体" w:hAnsi="宋体"/>
          <w:szCs w:val="21"/>
        </w:rPr>
      </w:pPr>
      <w:r>
        <w:rPr>
          <w:rFonts w:hint="eastAsia" w:ascii="宋体" w:hAnsi="宋体"/>
          <w:szCs w:val="21"/>
        </w:rPr>
        <w:t>第五章  开标</w:t>
      </w:r>
    </w:p>
    <w:p w14:paraId="4866B7C8">
      <w:pPr>
        <w:ind w:left="630" w:leftChars="300" w:firstLine="411" w:firstLineChars="196"/>
        <w:rPr>
          <w:rFonts w:hint="eastAsia" w:ascii="宋体" w:hAnsi="宋体"/>
          <w:szCs w:val="21"/>
        </w:rPr>
      </w:pPr>
      <w:r>
        <w:rPr>
          <w:rFonts w:hint="eastAsia" w:ascii="宋体" w:hAnsi="宋体"/>
          <w:szCs w:val="21"/>
        </w:rPr>
        <w:t>第六章  评审要求</w:t>
      </w:r>
    </w:p>
    <w:p w14:paraId="38611F52">
      <w:pPr>
        <w:ind w:left="630" w:leftChars="300" w:firstLine="411" w:firstLineChars="196"/>
        <w:rPr>
          <w:rFonts w:hint="eastAsia" w:ascii="宋体" w:hAnsi="宋体"/>
          <w:szCs w:val="21"/>
        </w:rPr>
      </w:pPr>
      <w:r>
        <w:rPr>
          <w:rFonts w:hint="eastAsia" w:ascii="宋体" w:hAnsi="宋体"/>
          <w:szCs w:val="21"/>
        </w:rPr>
        <w:t>第七章  评审程序及评审方法</w:t>
      </w:r>
    </w:p>
    <w:p w14:paraId="2AAC47F7">
      <w:pPr>
        <w:ind w:left="630" w:leftChars="300" w:firstLine="411" w:firstLineChars="196"/>
        <w:rPr>
          <w:rFonts w:hint="eastAsia" w:ascii="宋体" w:hAnsi="宋体"/>
          <w:szCs w:val="21"/>
        </w:rPr>
      </w:pPr>
      <w:r>
        <w:rPr>
          <w:rFonts w:hint="eastAsia" w:ascii="宋体" w:hAnsi="宋体"/>
          <w:szCs w:val="21"/>
        </w:rPr>
        <w:t>第八章  定标及公示</w:t>
      </w:r>
    </w:p>
    <w:p w14:paraId="4D2DCFF6">
      <w:pPr>
        <w:ind w:left="630" w:leftChars="300" w:firstLine="411" w:firstLineChars="196"/>
        <w:rPr>
          <w:rFonts w:hint="eastAsia" w:ascii="宋体" w:hAnsi="宋体"/>
          <w:szCs w:val="21"/>
        </w:rPr>
      </w:pPr>
      <w:r>
        <w:rPr>
          <w:rFonts w:hint="eastAsia" w:ascii="宋体" w:hAnsi="宋体"/>
          <w:szCs w:val="21"/>
        </w:rPr>
        <w:t>第九章  公开招标失败的后续处理</w:t>
      </w:r>
    </w:p>
    <w:p w14:paraId="56C5DEED">
      <w:pPr>
        <w:ind w:left="630" w:leftChars="300" w:firstLine="411" w:firstLineChars="196"/>
        <w:rPr>
          <w:rFonts w:hint="eastAsia" w:ascii="宋体" w:hAnsi="宋体"/>
          <w:szCs w:val="21"/>
        </w:rPr>
      </w:pPr>
      <w:r>
        <w:rPr>
          <w:rFonts w:hint="eastAsia" w:ascii="宋体" w:hAnsi="宋体"/>
          <w:szCs w:val="21"/>
        </w:rPr>
        <w:t>第十章  合同的授予与备案</w:t>
      </w:r>
    </w:p>
    <w:p w14:paraId="74053EC1">
      <w:pPr>
        <w:ind w:left="630" w:leftChars="300" w:firstLine="411" w:firstLineChars="196"/>
        <w:rPr>
          <w:rFonts w:hint="eastAsia" w:ascii="宋体" w:hAnsi="宋体"/>
          <w:szCs w:val="21"/>
        </w:rPr>
      </w:pPr>
      <w:r>
        <w:rPr>
          <w:rFonts w:hint="eastAsia" w:ascii="宋体" w:hAnsi="宋体"/>
          <w:szCs w:val="21"/>
        </w:rPr>
        <w:t>第十一章  质疑处理</w:t>
      </w:r>
    </w:p>
    <w:p w14:paraId="1A6C3A8E">
      <w:pPr>
        <w:ind w:firstLine="411" w:firstLineChars="196"/>
        <w:rPr>
          <w:rFonts w:hint="eastAsia"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0CB7B3A2">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45487291">
      <w:pPr>
        <w:ind w:firstLine="411" w:firstLineChars="196"/>
        <w:rPr>
          <w:rFonts w:hint="eastAsia" w:ascii="宋体" w:hAnsi="宋体"/>
          <w:szCs w:val="21"/>
        </w:rPr>
      </w:pPr>
      <w:r>
        <w:rPr>
          <w:rFonts w:hint="eastAsia" w:ascii="宋体" w:hAnsi="宋体"/>
          <w:szCs w:val="21"/>
        </w:rPr>
        <w:t>11.4招标文件所称“原件备查”，是指在项目产生质疑、投诉等阶段，主管部门、采购人、代理机构、评审委员会等可以要求供应商提供原件进行核查。</w:t>
      </w:r>
    </w:p>
    <w:p w14:paraId="367E8676">
      <w:pPr>
        <w:rPr>
          <w:rFonts w:hint="eastAsia" w:ascii="黑体" w:hAnsi="宋体" w:eastAsia="黑体"/>
          <w:sz w:val="24"/>
        </w:rPr>
      </w:pPr>
      <w:r>
        <w:rPr>
          <w:rFonts w:hint="eastAsia" w:ascii="黑体" w:hAnsi="宋体" w:eastAsia="黑体"/>
          <w:sz w:val="24"/>
        </w:rPr>
        <w:t>12.招标文件的澄清</w:t>
      </w:r>
    </w:p>
    <w:p w14:paraId="7BBB9DC1">
      <w:pPr>
        <w:ind w:firstLine="411" w:firstLineChars="196"/>
        <w:rPr>
          <w:rFonts w:hint="eastAsia"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21136BDC">
      <w:pPr>
        <w:ind w:firstLine="411" w:firstLineChars="196"/>
        <w:rPr>
          <w:rFonts w:hint="eastAsia"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5132E9F2">
      <w:pPr>
        <w:ind w:firstLine="411" w:firstLineChars="196"/>
        <w:rPr>
          <w:rFonts w:hint="eastAsia"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796EDD02">
      <w:pPr>
        <w:rPr>
          <w:rFonts w:hint="eastAsia" w:ascii="黑体" w:hAnsi="宋体" w:eastAsia="黑体"/>
          <w:sz w:val="24"/>
        </w:rPr>
      </w:pPr>
      <w:r>
        <w:rPr>
          <w:rFonts w:hint="eastAsia" w:ascii="黑体" w:hAnsi="宋体" w:eastAsia="黑体"/>
          <w:sz w:val="24"/>
        </w:rPr>
        <w:t>13.招标文件的修改</w:t>
      </w:r>
    </w:p>
    <w:p w14:paraId="3D88A241">
      <w:pPr>
        <w:ind w:firstLine="411" w:firstLineChars="196"/>
        <w:rPr>
          <w:rFonts w:hint="eastAsia"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380B0494">
      <w:pPr>
        <w:ind w:firstLine="411" w:firstLineChars="196"/>
        <w:rPr>
          <w:rFonts w:hint="eastAsia"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27A2AFC5">
      <w:pPr>
        <w:ind w:firstLine="411" w:firstLineChars="196"/>
        <w:rPr>
          <w:rFonts w:hint="eastAsia"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78A184CC">
      <w:pPr>
        <w:ind w:firstLine="411" w:firstLineChars="196"/>
        <w:rPr>
          <w:rFonts w:hint="eastAsia"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184"/>
    </w:p>
    <w:p w14:paraId="11391BB1">
      <w:pPr>
        <w:rPr>
          <w:rFonts w:hint="eastAsia" w:ascii="宋体" w:hAnsi="宋体"/>
          <w:szCs w:val="21"/>
        </w:rPr>
      </w:pPr>
    </w:p>
    <w:p w14:paraId="7AD8F289">
      <w:pPr>
        <w:pStyle w:val="7"/>
        <w:numPr>
          <w:ilvl w:val="0"/>
          <w:numId w:val="15"/>
        </w:numPr>
        <w:spacing w:before="120" w:beforeLines="50" w:after="120" w:afterLines="50"/>
        <w:ind w:left="562" w:hanging="562"/>
        <w:rPr>
          <w:rFonts w:hint="eastAsia"/>
          <w:sz w:val="28"/>
          <w:szCs w:val="28"/>
        </w:rPr>
      </w:pPr>
      <w:r>
        <w:rPr>
          <w:rFonts w:hint="eastAsia"/>
          <w:sz w:val="28"/>
          <w:szCs w:val="28"/>
        </w:rPr>
        <w:t>投标文件的编制</w:t>
      </w:r>
    </w:p>
    <w:p w14:paraId="51B43E9F">
      <w:pPr>
        <w:rPr>
          <w:rFonts w:hint="eastAsia" w:ascii="黑体" w:hAnsi="宋体" w:eastAsia="黑体"/>
          <w:sz w:val="24"/>
        </w:rPr>
      </w:pPr>
      <w:r>
        <w:rPr>
          <w:rFonts w:hint="eastAsia" w:ascii="黑体" w:hAnsi="宋体" w:eastAsia="黑体"/>
          <w:sz w:val="24"/>
        </w:rPr>
        <w:t>14.</w:t>
      </w:r>
      <w:bookmarkStart w:id="185" w:name="_Hlk72400236"/>
      <w:r>
        <w:rPr>
          <w:rFonts w:hint="eastAsia" w:ascii="黑体" w:hAnsi="宋体" w:eastAsia="黑体"/>
          <w:sz w:val="24"/>
        </w:rPr>
        <w:t>投标文件的语言及度量单位</w:t>
      </w:r>
    </w:p>
    <w:p w14:paraId="39702383">
      <w:pPr>
        <w:ind w:firstLine="411" w:firstLineChars="196"/>
        <w:rPr>
          <w:rFonts w:hint="eastAsia"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AFF6C6">
      <w:pPr>
        <w:ind w:firstLine="411" w:firstLineChars="196"/>
        <w:rPr>
          <w:rFonts w:hint="eastAsia" w:ascii="宋体" w:hAnsi="宋体"/>
          <w:szCs w:val="21"/>
        </w:rPr>
      </w:pPr>
      <w:r>
        <w:rPr>
          <w:rFonts w:hint="eastAsia" w:ascii="宋体" w:hAnsi="宋体"/>
          <w:szCs w:val="21"/>
        </w:rPr>
        <w:t>14.2 除技术规范另有规定外，投标文件使用的度量单位，均采用中华人民共和国法定计量单位。</w:t>
      </w:r>
    </w:p>
    <w:bookmarkEnd w:id="185"/>
    <w:p w14:paraId="3B25E77F">
      <w:pPr>
        <w:rPr>
          <w:rFonts w:hint="eastAsia" w:ascii="黑体" w:hAnsi="宋体" w:eastAsia="黑体"/>
          <w:sz w:val="24"/>
        </w:rPr>
      </w:pPr>
      <w:r>
        <w:rPr>
          <w:rFonts w:hint="eastAsia" w:ascii="黑体" w:hAnsi="宋体" w:eastAsia="黑体"/>
          <w:sz w:val="24"/>
        </w:rPr>
        <w:t>15.</w:t>
      </w:r>
      <w:bookmarkStart w:id="186" w:name="_Hlk72401567"/>
      <w:r>
        <w:rPr>
          <w:rFonts w:hint="eastAsia" w:ascii="黑体" w:hAnsi="宋体" w:eastAsia="黑体"/>
          <w:sz w:val="24"/>
        </w:rPr>
        <w:t>投标文件的组成</w:t>
      </w:r>
    </w:p>
    <w:p w14:paraId="38F79FC3">
      <w:pPr>
        <w:ind w:firstLine="411" w:firstLineChars="196"/>
        <w:rPr>
          <w:rFonts w:hint="eastAsia" w:ascii="宋体" w:hAnsi="宋体"/>
          <w:szCs w:val="21"/>
        </w:rPr>
      </w:pPr>
      <w:r>
        <w:rPr>
          <w:rFonts w:hint="eastAsia" w:ascii="宋体" w:hAnsi="宋体"/>
          <w:szCs w:val="21"/>
        </w:rPr>
        <w:t>具体内容在招标文件专用条款中进行规定。</w:t>
      </w:r>
    </w:p>
    <w:p w14:paraId="1B3037ED">
      <w:pPr>
        <w:rPr>
          <w:rFonts w:hint="eastAsia" w:ascii="黑体" w:hAnsi="宋体" w:eastAsia="黑体"/>
          <w:sz w:val="24"/>
        </w:rPr>
      </w:pPr>
      <w:r>
        <w:rPr>
          <w:rFonts w:hint="eastAsia" w:ascii="黑体" w:hAnsi="宋体" w:eastAsia="黑体"/>
          <w:sz w:val="24"/>
        </w:rPr>
        <w:t>16.</w:t>
      </w:r>
      <w:r>
        <w:rPr>
          <w:rFonts w:ascii="黑体" w:hAnsi="宋体" w:eastAsia="黑体"/>
          <w:sz w:val="24"/>
        </w:rPr>
        <w:t>投标文件格式</w:t>
      </w:r>
    </w:p>
    <w:p w14:paraId="681B1AE6">
      <w:pPr>
        <w:ind w:firstLine="411" w:firstLineChars="196"/>
        <w:rPr>
          <w:rFonts w:hint="eastAsia"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3BDDE20B">
      <w:pPr>
        <w:rPr>
          <w:rFonts w:hint="eastAsia" w:ascii="黑体" w:hAnsi="宋体" w:eastAsia="黑体"/>
          <w:sz w:val="24"/>
        </w:rPr>
      </w:pPr>
      <w:r>
        <w:rPr>
          <w:rFonts w:hint="eastAsia" w:ascii="黑体" w:hAnsi="宋体" w:eastAsia="黑体"/>
          <w:sz w:val="24"/>
        </w:rPr>
        <w:t>17.投标货币</w:t>
      </w:r>
    </w:p>
    <w:p w14:paraId="22E09B28">
      <w:pPr>
        <w:ind w:firstLine="411" w:firstLineChars="196"/>
        <w:rPr>
          <w:rFonts w:hint="eastAsia" w:ascii="宋体" w:hAnsi="宋体"/>
          <w:szCs w:val="21"/>
        </w:rPr>
      </w:pPr>
      <w:r>
        <w:rPr>
          <w:rFonts w:hint="eastAsia" w:ascii="宋体" w:hAnsi="宋体"/>
          <w:szCs w:val="21"/>
        </w:rPr>
        <w:t>本项目的投标报价应以人民币计。</w:t>
      </w:r>
    </w:p>
    <w:bookmarkEnd w:id="186"/>
    <w:p w14:paraId="201519E6">
      <w:pPr>
        <w:rPr>
          <w:rFonts w:hint="eastAsia" w:ascii="黑体" w:hAnsi="宋体" w:eastAsia="黑体"/>
          <w:sz w:val="24"/>
        </w:rPr>
      </w:pPr>
      <w:r>
        <w:rPr>
          <w:rFonts w:hint="eastAsia" w:ascii="黑体" w:hAnsi="宋体" w:eastAsia="黑体"/>
          <w:sz w:val="24"/>
        </w:rPr>
        <w:t>18.</w:t>
      </w:r>
      <w:bookmarkStart w:id="187" w:name="_Hlk72401735"/>
      <w:r>
        <w:rPr>
          <w:rFonts w:hint="eastAsia" w:ascii="黑体" w:hAnsi="宋体" w:eastAsia="黑体"/>
          <w:sz w:val="24"/>
        </w:rPr>
        <w:t>证明投标文件投标技术方案的合格性和符合招标文件规定的文件要求</w:t>
      </w:r>
    </w:p>
    <w:p w14:paraId="1382359C">
      <w:pPr>
        <w:ind w:firstLine="411" w:firstLineChars="196"/>
        <w:rPr>
          <w:rFonts w:hint="eastAsia"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3EE788E8">
      <w:pPr>
        <w:ind w:firstLine="411" w:firstLineChars="196"/>
        <w:rPr>
          <w:rFonts w:hint="eastAsia"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C5507A7">
      <w:pPr>
        <w:ind w:firstLine="411" w:firstLineChars="196"/>
        <w:rPr>
          <w:rFonts w:hint="eastAsia" w:ascii="宋体" w:hAnsi="宋体"/>
          <w:szCs w:val="21"/>
        </w:rPr>
      </w:pPr>
      <w:r>
        <w:rPr>
          <w:rFonts w:hint="eastAsia" w:ascii="宋体" w:hAnsi="宋体"/>
          <w:szCs w:val="21"/>
        </w:rPr>
        <w:t>18.2.1主要技术指标和性能的详细说明。</w:t>
      </w:r>
    </w:p>
    <w:p w14:paraId="04983B64">
      <w:pPr>
        <w:ind w:firstLine="411" w:firstLineChars="196"/>
        <w:rPr>
          <w:rFonts w:hint="eastAsia"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10A09BDF">
      <w:pPr>
        <w:ind w:firstLine="411" w:firstLineChars="196"/>
        <w:rPr>
          <w:rFonts w:hint="eastAsia"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5197041">
      <w:pPr>
        <w:ind w:firstLine="411" w:firstLineChars="196"/>
        <w:rPr>
          <w:rFonts w:hint="eastAsia"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3E734F0D">
      <w:pPr>
        <w:ind w:firstLine="411" w:firstLineChars="196"/>
        <w:rPr>
          <w:rFonts w:hint="eastAsia"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35500C02">
      <w:pPr>
        <w:ind w:firstLine="411" w:firstLineChars="196"/>
        <w:rPr>
          <w:rFonts w:hint="eastAsia"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31AA0B5E">
      <w:pPr>
        <w:ind w:firstLine="411" w:firstLineChars="196"/>
        <w:rPr>
          <w:rFonts w:hint="eastAsia"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5E8F51AB">
      <w:pPr>
        <w:ind w:firstLine="411" w:firstLineChars="196"/>
        <w:rPr>
          <w:rFonts w:hint="eastAsia" w:ascii="宋体" w:hAnsi="宋体"/>
          <w:szCs w:val="21"/>
        </w:rPr>
      </w:pPr>
      <w:r>
        <w:rPr>
          <w:rFonts w:hint="eastAsia" w:ascii="宋体" w:hAnsi="宋体"/>
          <w:szCs w:val="21"/>
        </w:rPr>
        <w:t>18.5除非另有规定或说明，投标人对同一项目投标时，不得同时提供两套或两套以上的投标方案。</w:t>
      </w:r>
    </w:p>
    <w:bookmarkEnd w:id="187"/>
    <w:p w14:paraId="7FFC58E1">
      <w:pPr>
        <w:rPr>
          <w:rFonts w:hint="eastAsia" w:ascii="黑体" w:hAnsi="宋体" w:eastAsia="黑体"/>
          <w:sz w:val="24"/>
        </w:rPr>
      </w:pPr>
      <w:r>
        <w:rPr>
          <w:rFonts w:hint="eastAsia" w:ascii="黑体" w:hAnsi="宋体" w:eastAsia="黑体"/>
          <w:sz w:val="24"/>
        </w:rPr>
        <w:t>19.</w:t>
      </w:r>
      <w:bookmarkStart w:id="188" w:name="_Hlk72402034"/>
      <w:r>
        <w:rPr>
          <w:rFonts w:hint="eastAsia" w:ascii="黑体" w:hAnsi="宋体" w:eastAsia="黑体"/>
          <w:sz w:val="24"/>
        </w:rPr>
        <w:t>投标文件其他证明文件的要求</w:t>
      </w:r>
    </w:p>
    <w:p w14:paraId="50F81E30">
      <w:pPr>
        <w:ind w:firstLine="420" w:firstLineChars="200"/>
        <w:rPr>
          <w:rFonts w:hint="eastAsia"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189" w:name="_Hlk71407299"/>
      <w:r>
        <w:rPr>
          <w:rFonts w:hint="eastAsia" w:ascii="宋体" w:hAnsi="宋体"/>
          <w:szCs w:val="21"/>
        </w:rPr>
        <w:t>若投标人未按要求提供证明材料或提供的是部分证明材料或提供不清晰的扫描件（或照片）的，采购人、代理机构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189"/>
    <w:p w14:paraId="5BD57053">
      <w:pPr>
        <w:ind w:firstLine="411" w:firstLineChars="196"/>
        <w:rPr>
          <w:rFonts w:hint="eastAsia"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0FDC30D7">
      <w:pPr>
        <w:rPr>
          <w:rFonts w:hint="eastAsia" w:ascii="黑体" w:hAnsi="宋体" w:eastAsia="黑体"/>
          <w:sz w:val="24"/>
        </w:rPr>
      </w:pPr>
      <w:r>
        <w:rPr>
          <w:rFonts w:hint="eastAsia" w:ascii="黑体" w:hAnsi="宋体" w:eastAsia="黑体"/>
          <w:sz w:val="24"/>
        </w:rPr>
        <w:t>20.投标有效期</w:t>
      </w:r>
    </w:p>
    <w:bookmarkEnd w:id="188"/>
    <w:p w14:paraId="7D1B97D5">
      <w:pPr>
        <w:ind w:firstLine="411" w:firstLineChars="196"/>
        <w:rPr>
          <w:rFonts w:hint="eastAsia" w:ascii="宋体" w:hAnsi="宋体"/>
          <w:szCs w:val="21"/>
        </w:rPr>
      </w:pPr>
      <w:bookmarkStart w:id="190"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65BF95A3">
      <w:pPr>
        <w:ind w:firstLine="411" w:firstLineChars="196"/>
        <w:rPr>
          <w:rFonts w:hint="eastAsia"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7B40895F">
      <w:pPr>
        <w:ind w:firstLine="411" w:firstLineChars="196"/>
        <w:rPr>
          <w:rFonts w:hint="eastAsia"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190"/>
    <w:p w14:paraId="123D0676">
      <w:pPr>
        <w:rPr>
          <w:rFonts w:hint="eastAsia" w:ascii="黑体" w:hAnsi="宋体" w:eastAsia="黑体"/>
          <w:sz w:val="24"/>
        </w:rPr>
      </w:pPr>
      <w:r>
        <w:rPr>
          <w:rFonts w:hint="eastAsia" w:ascii="黑体" w:hAnsi="宋体" w:eastAsia="黑体"/>
          <w:sz w:val="24"/>
        </w:rPr>
        <w:t>21.</w:t>
      </w:r>
      <w:bookmarkStart w:id="191" w:name="_Hlk72402325"/>
      <w:r>
        <w:rPr>
          <w:rFonts w:hint="eastAsia" w:ascii="黑体" w:hAnsi="宋体" w:eastAsia="黑体"/>
          <w:sz w:val="24"/>
        </w:rPr>
        <w:t xml:space="preserve">关于投标保证金 </w:t>
      </w:r>
    </w:p>
    <w:p w14:paraId="02AC3E59">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21.1</w:t>
      </w:r>
      <w:r>
        <w:rPr>
          <w:rFonts w:hint="eastAsia" w:asciiTheme="minorEastAsia" w:hAnsiTheme="minorEastAsia" w:eastAsiaTheme="minorEastAsia"/>
        </w:rPr>
        <w:t>根据《深圳市财政局关于调整政府采购投标（响应）保证金管理政策的通知》（深财购〔2021〕51号）的规定，本项目不收取投标保证金。</w:t>
      </w:r>
    </w:p>
    <w:p w14:paraId="31C140D9">
      <w:pPr>
        <w:rPr>
          <w:rFonts w:hint="eastAsia" w:ascii="黑体" w:hAnsi="宋体" w:eastAsia="黑体"/>
          <w:sz w:val="24"/>
        </w:rPr>
      </w:pPr>
      <w:r>
        <w:rPr>
          <w:rFonts w:hint="eastAsia" w:ascii="黑体" w:hAnsi="宋体" w:eastAsia="黑体"/>
          <w:sz w:val="24"/>
        </w:rPr>
        <w:t>22.投标人的替代方案</w:t>
      </w:r>
    </w:p>
    <w:p w14:paraId="603C8F4F">
      <w:pPr>
        <w:ind w:firstLine="411" w:firstLineChars="196"/>
        <w:rPr>
          <w:rFonts w:hint="eastAsia"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4F2DE217">
      <w:pPr>
        <w:ind w:firstLine="411" w:firstLineChars="196"/>
        <w:rPr>
          <w:rFonts w:hint="eastAsia"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191"/>
    <w:p w14:paraId="5B968394">
      <w:pPr>
        <w:rPr>
          <w:rFonts w:hint="eastAsia" w:ascii="黑体" w:hAnsi="宋体" w:eastAsia="黑体"/>
          <w:sz w:val="24"/>
        </w:rPr>
      </w:pPr>
      <w:r>
        <w:rPr>
          <w:rFonts w:hint="eastAsia" w:ascii="黑体" w:hAnsi="宋体" w:eastAsia="黑体"/>
          <w:sz w:val="24"/>
        </w:rPr>
        <w:t>23.</w:t>
      </w:r>
      <w:bookmarkStart w:id="192"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7BCB75A4">
      <w:pPr>
        <w:ind w:firstLine="411" w:firstLineChars="196"/>
        <w:rPr>
          <w:rFonts w:hint="eastAsia"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61590BB">
      <w:pPr>
        <w:ind w:firstLine="411" w:firstLineChars="196"/>
        <w:rPr>
          <w:rFonts w:hint="eastAsia" w:ascii="宋体" w:hAnsi="宋体"/>
        </w:rPr>
      </w:pPr>
      <w:r>
        <w:rPr>
          <w:rFonts w:hint="eastAsia" w:ascii="宋体" w:hAnsi="宋体"/>
        </w:rPr>
        <w:t>23.2投标人在使用《投标书编制软件》编制投标书时须注意：</w:t>
      </w:r>
    </w:p>
    <w:p w14:paraId="2A262921">
      <w:pPr>
        <w:ind w:firstLine="411" w:firstLineChars="196"/>
        <w:rPr>
          <w:rFonts w:hint="eastAsia"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05F48FD">
      <w:pPr>
        <w:ind w:firstLine="411" w:firstLineChars="196"/>
        <w:rPr>
          <w:rFonts w:hint="eastAsia" w:ascii="宋体" w:hAnsi="宋体"/>
        </w:rPr>
      </w:pPr>
      <w:r>
        <w:rPr>
          <w:rFonts w:hint="eastAsia" w:ascii="宋体" w:hAnsi="宋体"/>
        </w:rPr>
        <w:t>23.2.2不能用非本公司的电子密钥加密本公司的投标文件，或者用其它公司的登录用户上传本公司的投标文件。</w:t>
      </w:r>
    </w:p>
    <w:p w14:paraId="6192C8A1">
      <w:pPr>
        <w:ind w:firstLine="411" w:firstLineChars="196"/>
        <w:rPr>
          <w:rFonts w:hint="eastAsia" w:ascii="宋体" w:hAnsi="宋体"/>
        </w:rPr>
      </w:pPr>
      <w:r>
        <w:rPr>
          <w:rFonts w:hint="eastAsia" w:ascii="宋体" w:hAnsi="宋体"/>
        </w:rPr>
        <w:t>23.2.3要求用《投标书编制软件》编制投标书的包，不能用其它方式编制投标书。编制投标文件时，电脑须连通互联网。</w:t>
      </w:r>
    </w:p>
    <w:p w14:paraId="1A2B32AA">
      <w:pPr>
        <w:ind w:firstLine="411" w:firstLineChars="196"/>
        <w:rPr>
          <w:rFonts w:hint="eastAsia"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1525E8E8">
      <w:pPr>
        <w:ind w:firstLine="411" w:firstLineChars="196"/>
        <w:rPr>
          <w:rFonts w:hint="eastAsia" w:ascii="宋体" w:hAnsi="宋体"/>
        </w:rPr>
      </w:pPr>
      <w:r>
        <w:rPr>
          <w:rFonts w:hint="eastAsia" w:ascii="宋体" w:hAnsi="宋体"/>
        </w:rPr>
        <w:t>23.2.5完整填写“投标关键信息”，如下图所示：</w:t>
      </w:r>
    </w:p>
    <w:p w14:paraId="0A6B7639">
      <w:pPr>
        <w:rPr>
          <w:rFonts w:hint="eastAsia"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4958ACA">
      <w:pPr>
        <w:widowControl/>
        <w:jc w:val="left"/>
        <w:rPr>
          <w:rFonts w:hint="eastAsia" w:ascii="宋体" w:hAnsi="宋体" w:cs="宋体"/>
          <w:kern w:val="0"/>
          <w:sz w:val="24"/>
        </w:rPr>
      </w:pPr>
    </w:p>
    <w:p w14:paraId="0BE00C51">
      <w:pPr>
        <w:ind w:firstLine="413" w:firstLineChars="196"/>
        <w:rPr>
          <w:rFonts w:hint="eastAsia"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0DA26A94">
      <w:pPr>
        <w:ind w:firstLine="411" w:firstLineChars="196"/>
        <w:rPr>
          <w:rFonts w:hint="eastAsia"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34B3A556">
      <w:pPr>
        <w:ind w:firstLine="411" w:firstLineChars="196"/>
        <w:rPr>
          <w:rFonts w:hint="eastAsia"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590EAAEE">
      <w:pPr>
        <w:ind w:firstLine="411" w:firstLineChars="196"/>
        <w:rPr>
          <w:rFonts w:hint="eastAsia"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36DB3D5">
      <w:pPr>
        <w:ind w:firstLine="411" w:firstLineChars="196"/>
        <w:rPr>
          <w:rFonts w:hint="eastAsia"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00C65412">
      <w:pPr>
        <w:ind w:firstLine="411" w:firstLineChars="196"/>
        <w:rPr>
          <w:rFonts w:hint="eastAsia" w:ascii="宋体" w:hAnsi="宋体"/>
        </w:rPr>
      </w:pPr>
      <w:r>
        <w:rPr>
          <w:rFonts w:hint="eastAsia" w:ascii="宋体" w:hAnsi="宋体"/>
        </w:rPr>
        <w:t>23.3电报、电话、传真形式的投标概不接受。</w:t>
      </w:r>
    </w:p>
    <w:p w14:paraId="3B1A951E">
      <w:pPr>
        <w:ind w:firstLine="413" w:firstLineChars="196"/>
        <w:rPr>
          <w:rFonts w:hint="eastAsia"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477B953D">
      <w:pPr>
        <w:ind w:firstLine="411" w:firstLineChars="196"/>
        <w:rPr>
          <w:rFonts w:hint="eastAsia"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192"/>
    </w:p>
    <w:p w14:paraId="532504E8">
      <w:pPr>
        <w:ind w:firstLine="411" w:firstLineChars="196"/>
        <w:rPr>
          <w:rFonts w:hint="eastAsia" w:ascii="宋体" w:hAnsi="宋体"/>
          <w:szCs w:val="21"/>
        </w:rPr>
      </w:pPr>
    </w:p>
    <w:p w14:paraId="60484B20">
      <w:pPr>
        <w:pStyle w:val="7"/>
        <w:numPr>
          <w:ilvl w:val="0"/>
          <w:numId w:val="15"/>
        </w:numPr>
        <w:spacing w:before="120" w:beforeLines="50" w:after="120" w:afterLines="50"/>
        <w:ind w:left="562" w:hanging="562"/>
        <w:rPr>
          <w:rFonts w:hint="eastAsia"/>
          <w:sz w:val="28"/>
          <w:szCs w:val="28"/>
        </w:rPr>
      </w:pPr>
      <w:r>
        <w:rPr>
          <w:rFonts w:hint="eastAsia"/>
          <w:sz w:val="28"/>
          <w:szCs w:val="28"/>
        </w:rPr>
        <w:t>投标文件的递交</w:t>
      </w:r>
    </w:p>
    <w:p w14:paraId="6E3D4B22">
      <w:pPr>
        <w:rPr>
          <w:rFonts w:hint="eastAsia" w:ascii="黑体" w:hAnsi="宋体" w:eastAsia="黑体"/>
          <w:sz w:val="24"/>
        </w:rPr>
      </w:pPr>
      <w:bookmarkStart w:id="193" w:name="_Hlk72405459"/>
      <w:r>
        <w:rPr>
          <w:rFonts w:hint="eastAsia" w:ascii="黑体" w:hAnsi="宋体" w:eastAsia="黑体"/>
          <w:sz w:val="24"/>
        </w:rPr>
        <w:t>24.投标文件的保密</w:t>
      </w:r>
    </w:p>
    <w:p w14:paraId="10DF6545">
      <w:pPr>
        <w:ind w:firstLine="411" w:firstLineChars="196"/>
        <w:rPr>
          <w:rFonts w:hint="eastAsia"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08E4557B">
      <w:pPr>
        <w:widowControl/>
        <w:jc w:val="left"/>
        <w:rPr>
          <w:rFonts w:hint="eastAsia"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2E800BC9">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5C0105A">
      <w:pPr>
        <w:ind w:firstLine="411" w:firstLineChars="196"/>
        <w:rPr>
          <w:rFonts w:hint="eastAsia" w:ascii="宋体" w:hAnsi="宋体"/>
        </w:rPr>
      </w:pPr>
    </w:p>
    <w:p w14:paraId="36DA702E">
      <w:pPr>
        <w:rPr>
          <w:rFonts w:hint="eastAsia" w:ascii="宋体" w:hAnsi="宋体"/>
          <w:b/>
        </w:rPr>
      </w:pPr>
      <w:r>
        <w:rPr>
          <w:rFonts w:hint="eastAsia" w:ascii="黑体" w:hAnsi="宋体" w:eastAsia="黑体"/>
          <w:sz w:val="24"/>
        </w:rPr>
        <w:t>24.2若采购项目出现延期情况：</w:t>
      </w:r>
    </w:p>
    <w:p w14:paraId="2599B942">
      <w:pPr>
        <w:ind w:firstLine="420" w:firstLineChars="200"/>
        <w:rPr>
          <w:rFonts w:hint="eastAsia"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（是否重新制作投标文件根据项目实际情况确定）。否则，投标人自行承担投标文件无法解密导致投标无效的后果。</w:t>
      </w:r>
    </w:p>
    <w:p w14:paraId="4003DB67">
      <w:pPr>
        <w:rPr>
          <w:rFonts w:hint="eastAsia" w:ascii="黑体" w:hAnsi="宋体" w:eastAsia="黑体"/>
          <w:sz w:val="24"/>
        </w:rPr>
      </w:pPr>
      <w:r>
        <w:rPr>
          <w:rFonts w:hint="eastAsia" w:ascii="黑体" w:hAnsi="宋体" w:eastAsia="黑体"/>
          <w:sz w:val="24"/>
        </w:rPr>
        <w:t>25.上传投标文件及投标截止日期</w:t>
      </w:r>
    </w:p>
    <w:p w14:paraId="7FDE83C3">
      <w:pPr>
        <w:wordWrap w:val="0"/>
        <w:ind w:firstLine="411" w:firstLineChars="196"/>
        <w:rPr>
          <w:rFonts w:hint="eastAsia"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735AC30B">
      <w:pPr>
        <w:ind w:firstLine="411" w:firstLineChars="196"/>
        <w:rPr>
          <w:rFonts w:hint="eastAsia"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4CD11870">
      <w:pPr>
        <w:ind w:firstLine="411" w:firstLineChars="196"/>
        <w:rPr>
          <w:rFonts w:hint="eastAsia"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bookmarkEnd w:id="193"/>
    <w:p w14:paraId="44F91071">
      <w:pPr>
        <w:rPr>
          <w:rFonts w:hint="eastAsia" w:ascii="黑体" w:hAnsi="宋体" w:eastAsia="黑体"/>
          <w:sz w:val="24"/>
        </w:rPr>
      </w:pPr>
      <w:r>
        <w:rPr>
          <w:rFonts w:hint="eastAsia" w:ascii="黑体" w:hAnsi="宋体" w:eastAsia="黑体"/>
          <w:sz w:val="24"/>
        </w:rPr>
        <w:t>26. 样品、现场演示、方案讲解</w:t>
      </w:r>
    </w:p>
    <w:p w14:paraId="01AF2C58">
      <w:pPr>
        <w:ind w:firstLine="411" w:firstLineChars="196"/>
        <w:rPr>
          <w:rFonts w:hint="eastAsia" w:ascii="宋体" w:hAnsi="宋体"/>
          <w:szCs w:val="21"/>
        </w:rPr>
      </w:pPr>
      <w:r>
        <w:rPr>
          <w:rFonts w:hint="eastAsia" w:ascii="宋体" w:hAnsi="宋体"/>
          <w:szCs w:val="21"/>
        </w:rPr>
        <w:t>26.1 样品、现场演示、方案讲解等事项在招标文件专用条款中进行规定。</w:t>
      </w:r>
    </w:p>
    <w:p w14:paraId="6FF3030E">
      <w:pPr>
        <w:rPr>
          <w:rFonts w:hint="eastAsia" w:ascii="黑体" w:hAnsi="宋体" w:eastAsia="黑体"/>
          <w:sz w:val="24"/>
        </w:rPr>
      </w:pPr>
      <w:bookmarkStart w:id="194" w:name="_Hlk72428346"/>
      <w:r>
        <w:rPr>
          <w:rFonts w:hint="eastAsia" w:ascii="黑体" w:hAnsi="宋体" w:eastAsia="黑体"/>
          <w:sz w:val="24"/>
        </w:rPr>
        <w:t>27.</w:t>
      </w:r>
      <w:r>
        <w:rPr>
          <w:rFonts w:ascii="黑体" w:hAnsi="宋体" w:eastAsia="黑体"/>
          <w:sz w:val="24"/>
        </w:rPr>
        <w:t>投标文件的修改和撤销</w:t>
      </w:r>
    </w:p>
    <w:p w14:paraId="76C52231">
      <w:pPr>
        <w:ind w:firstLine="411" w:firstLineChars="196"/>
        <w:rPr>
          <w:rFonts w:hint="eastAsia"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1F43AC3E">
      <w:pPr>
        <w:ind w:firstLine="411" w:firstLineChars="196"/>
        <w:rPr>
          <w:rFonts w:hint="eastAsia"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969B17C">
      <w:pPr>
        <w:ind w:firstLine="411" w:firstLineChars="196"/>
        <w:rPr>
          <w:rFonts w:hint="eastAsia"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54748699">
      <w:pPr>
        <w:ind w:firstLine="411" w:firstLineChars="196"/>
        <w:rPr>
          <w:rFonts w:hint="eastAsia" w:ascii="宋体" w:hAnsi="宋体"/>
          <w:szCs w:val="21"/>
        </w:rPr>
      </w:pPr>
      <w:r>
        <w:rPr>
          <w:rFonts w:hint="eastAsia" w:ascii="宋体" w:hAnsi="宋体"/>
          <w:szCs w:val="21"/>
        </w:rPr>
        <w:t>27.4政府集中采购机构不退还投标文件，专用条款另有规定的除外。</w:t>
      </w:r>
    </w:p>
    <w:bookmarkEnd w:id="194"/>
    <w:p w14:paraId="4B90E2F6">
      <w:pPr>
        <w:pStyle w:val="7"/>
        <w:numPr>
          <w:ilvl w:val="0"/>
          <w:numId w:val="15"/>
        </w:numPr>
        <w:spacing w:before="120" w:beforeLines="50" w:after="120" w:afterLines="50"/>
        <w:ind w:left="562" w:hanging="562"/>
        <w:rPr>
          <w:rFonts w:hint="eastAsia"/>
          <w:sz w:val="28"/>
          <w:szCs w:val="28"/>
        </w:rPr>
      </w:pPr>
      <w:r>
        <w:rPr>
          <w:rFonts w:hint="eastAsia"/>
          <w:sz w:val="28"/>
          <w:szCs w:val="28"/>
        </w:rPr>
        <w:t>开标</w:t>
      </w:r>
    </w:p>
    <w:p w14:paraId="3C0E62DE">
      <w:pPr>
        <w:rPr>
          <w:rFonts w:hint="eastAsia" w:ascii="黑体" w:hAnsi="宋体" w:eastAsia="黑体"/>
          <w:sz w:val="24"/>
        </w:rPr>
      </w:pPr>
      <w:r>
        <w:rPr>
          <w:rFonts w:hint="eastAsia" w:ascii="黑体" w:hAnsi="宋体" w:eastAsia="黑体"/>
          <w:sz w:val="24"/>
        </w:rPr>
        <w:t>28.开标</w:t>
      </w:r>
    </w:p>
    <w:p w14:paraId="1FB971E9">
      <w:pPr>
        <w:ind w:firstLine="359" w:firstLineChars="171"/>
        <w:rPr>
          <w:rFonts w:hint="eastAsia"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5EC0ADC3">
      <w:pPr>
        <w:ind w:firstLine="315" w:firstLineChars="150"/>
        <w:rPr>
          <w:rFonts w:hint="eastAsia"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4DAE9B9">
      <w:pPr>
        <w:ind w:firstLine="315" w:firstLineChars="150"/>
        <w:rPr>
          <w:rFonts w:hint="eastAsia" w:ascii="宋体" w:hAnsi="宋体"/>
          <w:szCs w:val="21"/>
        </w:rPr>
      </w:pPr>
    </w:p>
    <w:p w14:paraId="643E63C1">
      <w:pPr>
        <w:pStyle w:val="7"/>
        <w:numPr>
          <w:ilvl w:val="0"/>
          <w:numId w:val="15"/>
        </w:numPr>
        <w:spacing w:before="120" w:beforeLines="50" w:after="120" w:afterLines="50"/>
        <w:ind w:left="562" w:hanging="562"/>
        <w:rPr>
          <w:rFonts w:hint="eastAsia"/>
          <w:sz w:val="28"/>
          <w:szCs w:val="28"/>
        </w:rPr>
      </w:pPr>
      <w:r>
        <w:rPr>
          <w:rFonts w:hint="eastAsia"/>
          <w:sz w:val="28"/>
          <w:szCs w:val="28"/>
        </w:rPr>
        <w:t>评审要求</w:t>
      </w:r>
    </w:p>
    <w:p w14:paraId="2D32F9B7">
      <w:pPr>
        <w:rPr>
          <w:rFonts w:hint="eastAsia" w:ascii="黑体" w:hAnsi="宋体" w:eastAsia="黑体"/>
          <w:sz w:val="24"/>
        </w:rPr>
      </w:pPr>
      <w:r>
        <w:rPr>
          <w:rFonts w:hint="eastAsia" w:ascii="黑体" w:hAnsi="宋体" w:eastAsia="黑体"/>
          <w:sz w:val="24"/>
        </w:rPr>
        <w:t>29.评审委员会组成</w:t>
      </w:r>
    </w:p>
    <w:p w14:paraId="3326C8AA">
      <w:pPr>
        <w:ind w:firstLine="411" w:firstLineChars="196"/>
        <w:rPr>
          <w:rFonts w:hint="eastAsia"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97CC3BD">
      <w:pPr>
        <w:ind w:firstLine="411" w:firstLineChars="196"/>
        <w:rPr>
          <w:rFonts w:hint="eastAsia" w:ascii="宋体" w:hAnsi="宋体"/>
        </w:rPr>
      </w:pPr>
      <w:bookmarkStart w:id="195"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195"/>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057830A8">
      <w:pPr>
        <w:ind w:firstLine="411" w:firstLineChars="196"/>
        <w:rPr>
          <w:rFonts w:hint="eastAsia" w:ascii="宋体" w:hAnsi="宋体"/>
        </w:rPr>
      </w:pPr>
      <w:r>
        <w:rPr>
          <w:rFonts w:hint="eastAsia" w:ascii="宋体" w:hAnsi="宋体"/>
        </w:rPr>
        <w:t>29.2评审定标应当遵循公平、公正、科学、择优的原则。</w:t>
      </w:r>
    </w:p>
    <w:p w14:paraId="32C2858D">
      <w:pPr>
        <w:ind w:firstLine="411" w:firstLineChars="196"/>
        <w:rPr>
          <w:rFonts w:hint="eastAsia" w:ascii="宋体" w:hAnsi="宋体"/>
        </w:rPr>
      </w:pPr>
      <w:r>
        <w:rPr>
          <w:rFonts w:hint="eastAsia" w:ascii="宋体" w:hAnsi="宋体"/>
        </w:rPr>
        <w:t>29.3评审活动依法进行，任何单位和个人不得非法干预评标过程和结果。</w:t>
      </w:r>
    </w:p>
    <w:p w14:paraId="25DD77DD">
      <w:pPr>
        <w:ind w:firstLine="411" w:firstLineChars="196"/>
        <w:rPr>
          <w:rFonts w:hint="eastAsia" w:ascii="宋体" w:hAnsi="宋体"/>
        </w:rPr>
      </w:pPr>
      <w:r>
        <w:rPr>
          <w:rFonts w:hint="eastAsia" w:ascii="宋体" w:hAnsi="宋体"/>
        </w:rPr>
        <w:t>29.4评审过程中不允许违背评标程序或采用招标文件未载明的评标方法或评标因素进行评标。</w:t>
      </w:r>
    </w:p>
    <w:p w14:paraId="09D6FF88">
      <w:pPr>
        <w:ind w:firstLine="411" w:firstLineChars="196"/>
        <w:rPr>
          <w:rFonts w:hint="eastAsia"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0FA04B9C">
      <w:pPr>
        <w:rPr>
          <w:rFonts w:hint="eastAsia" w:ascii="黑体" w:hAnsi="宋体" w:eastAsia="黑体"/>
          <w:sz w:val="24"/>
        </w:rPr>
      </w:pPr>
      <w:r>
        <w:rPr>
          <w:rFonts w:hint="eastAsia" w:ascii="黑体" w:hAnsi="宋体" w:eastAsia="黑体"/>
          <w:sz w:val="24"/>
        </w:rPr>
        <w:t>30.向评审委员会提供的资料</w:t>
      </w:r>
    </w:p>
    <w:p w14:paraId="1725C300">
      <w:pPr>
        <w:ind w:firstLine="411" w:firstLineChars="196"/>
        <w:rPr>
          <w:rFonts w:hint="eastAsia" w:ascii="宋体" w:hAnsi="宋体"/>
        </w:rPr>
      </w:pPr>
      <w:r>
        <w:rPr>
          <w:rFonts w:hint="eastAsia" w:ascii="宋体" w:hAnsi="宋体"/>
        </w:rPr>
        <w:t>30.1公开发布的招标文件，包括图纸、服务清单、答疑文件等；</w:t>
      </w:r>
    </w:p>
    <w:p w14:paraId="1184332D">
      <w:pPr>
        <w:ind w:firstLine="411" w:firstLineChars="196"/>
        <w:rPr>
          <w:rFonts w:hint="eastAsia" w:ascii="宋体" w:hAnsi="宋体"/>
        </w:rPr>
      </w:pPr>
      <w:r>
        <w:rPr>
          <w:rFonts w:hint="eastAsia" w:ascii="宋体" w:hAnsi="宋体"/>
        </w:rPr>
        <w:t>30.2其他评标必需的资料。</w:t>
      </w:r>
    </w:p>
    <w:p w14:paraId="0535C702">
      <w:pPr>
        <w:ind w:firstLine="411" w:firstLineChars="196"/>
        <w:rPr>
          <w:rFonts w:hint="eastAsia"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63EDB847">
      <w:pPr>
        <w:ind w:firstLine="411" w:firstLineChars="196"/>
        <w:rPr>
          <w:rFonts w:hint="eastAsia" w:ascii="宋体" w:hAnsi="宋体"/>
        </w:rPr>
      </w:pPr>
      <w:r>
        <w:rPr>
          <w:rFonts w:hint="eastAsia" w:ascii="宋体" w:hAnsi="宋体"/>
        </w:rPr>
        <w:t>（1）招标的目的；</w:t>
      </w:r>
    </w:p>
    <w:p w14:paraId="74993F18">
      <w:pPr>
        <w:ind w:firstLine="411" w:firstLineChars="196"/>
        <w:rPr>
          <w:rFonts w:hint="eastAsia" w:ascii="宋体" w:hAnsi="宋体"/>
        </w:rPr>
      </w:pPr>
      <w:r>
        <w:rPr>
          <w:rFonts w:hint="eastAsia" w:ascii="宋体" w:hAnsi="宋体"/>
        </w:rPr>
        <w:t>（2）招标项目需求的范围和性质；</w:t>
      </w:r>
    </w:p>
    <w:p w14:paraId="7C9AD1D4">
      <w:pPr>
        <w:ind w:firstLine="411" w:firstLineChars="196"/>
        <w:rPr>
          <w:rFonts w:hint="eastAsia" w:ascii="宋体" w:hAnsi="宋体"/>
        </w:rPr>
      </w:pPr>
      <w:r>
        <w:rPr>
          <w:rFonts w:hint="eastAsia" w:ascii="宋体" w:hAnsi="宋体"/>
        </w:rPr>
        <w:t>（3）招标文件规定的投标人的资格、财政预算限额、商务条款；</w:t>
      </w:r>
    </w:p>
    <w:p w14:paraId="465EC383">
      <w:pPr>
        <w:ind w:firstLine="411" w:firstLineChars="196"/>
        <w:rPr>
          <w:rFonts w:hint="eastAsia" w:ascii="宋体" w:hAnsi="宋体"/>
        </w:rPr>
      </w:pPr>
      <w:r>
        <w:rPr>
          <w:rFonts w:hint="eastAsia" w:ascii="宋体" w:hAnsi="宋体"/>
        </w:rPr>
        <w:t>（4）招标文件规定的评标程序、评标方法和评标因素；</w:t>
      </w:r>
    </w:p>
    <w:p w14:paraId="7518D74D">
      <w:pPr>
        <w:ind w:firstLine="411" w:firstLineChars="196"/>
        <w:rPr>
          <w:rFonts w:hint="eastAsia" w:ascii="宋体" w:hAnsi="宋体"/>
        </w:rPr>
      </w:pPr>
      <w:r>
        <w:rPr>
          <w:rFonts w:hint="eastAsia" w:ascii="宋体" w:hAnsi="宋体"/>
        </w:rPr>
        <w:t>（5）招标文件所列示的资格性审查表及符合性审查表。</w:t>
      </w:r>
    </w:p>
    <w:p w14:paraId="65B6B905">
      <w:pPr>
        <w:rPr>
          <w:rFonts w:hint="eastAsia" w:ascii="黑体" w:hAnsi="宋体" w:eastAsia="黑体"/>
          <w:sz w:val="24"/>
        </w:rPr>
      </w:pPr>
      <w:r>
        <w:rPr>
          <w:rFonts w:hint="eastAsia" w:ascii="黑体" w:hAnsi="宋体" w:eastAsia="黑体"/>
          <w:sz w:val="24"/>
        </w:rPr>
        <w:t>31.独立评审</w:t>
      </w:r>
    </w:p>
    <w:p w14:paraId="09F7D911">
      <w:pPr>
        <w:ind w:firstLine="411" w:firstLineChars="196"/>
        <w:rPr>
          <w:rFonts w:hint="eastAsia"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38E371E5">
      <w:pPr>
        <w:ind w:firstLine="411" w:firstLineChars="196"/>
        <w:rPr>
          <w:rFonts w:hint="eastAsia" w:ascii="宋体" w:hAnsi="宋体"/>
          <w:bCs/>
          <w:szCs w:val="21"/>
        </w:rPr>
      </w:pPr>
    </w:p>
    <w:p w14:paraId="1E553DE6">
      <w:pPr>
        <w:pStyle w:val="7"/>
        <w:numPr>
          <w:ilvl w:val="0"/>
          <w:numId w:val="15"/>
        </w:numPr>
        <w:spacing w:before="120" w:beforeLines="50" w:after="120" w:afterLines="50"/>
        <w:ind w:left="562" w:hanging="562"/>
        <w:rPr>
          <w:rFonts w:hint="eastAsia"/>
          <w:sz w:val="28"/>
          <w:szCs w:val="28"/>
        </w:rPr>
      </w:pPr>
      <w:r>
        <w:rPr>
          <w:rFonts w:hint="eastAsia"/>
          <w:sz w:val="28"/>
          <w:szCs w:val="28"/>
        </w:rPr>
        <w:t>评审程序及评审方法</w:t>
      </w:r>
    </w:p>
    <w:p w14:paraId="60507E80">
      <w:pPr>
        <w:rPr>
          <w:rFonts w:hint="eastAsia" w:ascii="黑体" w:hAnsi="宋体" w:eastAsia="黑体"/>
          <w:sz w:val="24"/>
        </w:rPr>
      </w:pPr>
      <w:r>
        <w:rPr>
          <w:rFonts w:hint="eastAsia" w:ascii="黑体" w:hAnsi="宋体" w:eastAsia="黑体"/>
          <w:sz w:val="24"/>
        </w:rPr>
        <w:t>32.投标文件初审</w:t>
      </w:r>
    </w:p>
    <w:p w14:paraId="2C241DDD">
      <w:pPr>
        <w:ind w:firstLine="411" w:firstLineChars="196"/>
        <w:rPr>
          <w:rFonts w:hint="eastAsia" w:ascii="宋体" w:hAnsi="宋体"/>
        </w:rPr>
      </w:pPr>
      <w:r>
        <w:rPr>
          <w:rFonts w:hint="eastAsia" w:ascii="宋体" w:hAnsi="宋体"/>
        </w:rPr>
        <w:t>32.1投标文件初审包括资格性审查、符合性审查和异常低价审查。</w:t>
      </w:r>
    </w:p>
    <w:p w14:paraId="73D67551">
      <w:pPr>
        <w:ind w:firstLine="411" w:firstLineChars="196"/>
        <w:rPr>
          <w:rFonts w:hint="eastAsia" w:ascii="宋体" w:hAnsi="宋体"/>
        </w:rPr>
      </w:pPr>
      <w:r>
        <w:rPr>
          <w:rFonts w:hint="eastAsia" w:ascii="宋体" w:hAnsi="宋体"/>
        </w:rPr>
        <w:t>资格性审查：依据法律法规和招标文件的规定，对投标文件中的资格证明等进行审查，以确定投标供应商是否具备投标资格。</w:t>
      </w:r>
    </w:p>
    <w:p w14:paraId="787B89C2">
      <w:pPr>
        <w:ind w:firstLine="411" w:firstLineChars="196"/>
        <w:rPr>
          <w:rFonts w:hint="eastAsia"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1E35C8EA">
      <w:pPr>
        <w:pStyle w:val="61"/>
        <w:ind w:firstLine="420" w:firstLineChars="200"/>
      </w:pPr>
      <w:r>
        <w:rPr>
          <w:rFonts w:hint="eastAsia" w:ascii="宋体" w:hAnsi="宋体"/>
        </w:rPr>
        <w:t>异常低价审查：依据招标文件的规定，对投标报价合理性进行审查，以确定是否存在异常低价情形。</w:t>
      </w:r>
    </w:p>
    <w:p w14:paraId="4D243ADA">
      <w:pPr>
        <w:ind w:firstLine="413" w:firstLineChars="196"/>
        <w:rPr>
          <w:rFonts w:hint="eastAsia" w:ascii="宋体" w:hAnsi="宋体"/>
          <w:b/>
          <w:bCs/>
          <w:color w:val="FF0000"/>
        </w:rPr>
      </w:pPr>
      <w:r>
        <w:rPr>
          <w:rFonts w:hint="eastAsia" w:ascii="宋体" w:hAnsi="宋体"/>
          <w:b/>
          <w:bCs/>
          <w:color w:val="FF0000"/>
        </w:rPr>
        <w:t>32.2 投标文件初审内容详见《资格性审查表》《符合性审查表》《异常低价审查表》部分。投标人若有一条审查不通过则按投标无效处理。</w:t>
      </w:r>
    </w:p>
    <w:p w14:paraId="7150E02F">
      <w:pPr>
        <w:ind w:firstLine="411" w:firstLineChars="196"/>
        <w:rPr>
          <w:rFonts w:hint="eastAsia" w:ascii="宋体" w:hAnsi="宋体"/>
          <w:bCs/>
        </w:rPr>
      </w:pPr>
      <w:r>
        <w:rPr>
          <w:rFonts w:hint="eastAsia" w:ascii="宋体" w:hAnsi="宋体"/>
          <w:bCs/>
        </w:rPr>
        <w:t>32.3 投标文件初审中关于供应商家数的计算：</w:t>
      </w:r>
    </w:p>
    <w:p w14:paraId="3D2E2398">
      <w:pPr>
        <w:ind w:firstLine="411" w:firstLineChars="196"/>
        <w:rPr>
          <w:rFonts w:hint="eastAsia"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61E75292">
      <w:pPr>
        <w:ind w:firstLine="411" w:firstLineChars="196"/>
        <w:rPr>
          <w:rFonts w:hint="eastAsia"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662D5E94">
      <w:pPr>
        <w:ind w:firstLine="411" w:firstLineChars="196"/>
        <w:rPr>
          <w:rFonts w:hint="eastAsia"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2603815E">
      <w:pPr>
        <w:ind w:firstLine="411" w:firstLineChars="196"/>
        <w:rPr>
          <w:rFonts w:hint="eastAsia" w:ascii="宋体" w:hAnsi="宋体"/>
        </w:rPr>
      </w:pPr>
      <w:r>
        <w:rPr>
          <w:rFonts w:hint="eastAsia" w:ascii="宋体" w:hAnsi="宋体"/>
        </w:rPr>
        <w:t>32.4投标人投标文件出现以下情形之一的作无效处理，具体包括：</w:t>
      </w:r>
    </w:p>
    <w:p w14:paraId="4F4A856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0C9F1C8">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7158C3A7">
      <w:pPr>
        <w:ind w:firstLine="411" w:firstLineChars="196"/>
        <w:rPr>
          <w:rFonts w:hint="eastAsia" w:ascii="宋体" w:hAnsi="宋体"/>
        </w:rPr>
      </w:pPr>
      <w:r>
        <w:rPr>
          <w:rFonts w:hint="eastAsia" w:ascii="宋体" w:hAnsi="宋体"/>
        </w:rPr>
        <w:t>32.4.3不同投标人的投标文件载明的项目管理成员或者联系人员为同一人；</w:t>
      </w:r>
    </w:p>
    <w:p w14:paraId="4E3196EC">
      <w:pPr>
        <w:ind w:firstLine="411" w:firstLineChars="196"/>
        <w:rPr>
          <w:rFonts w:hint="eastAsia" w:ascii="宋体" w:hAnsi="宋体"/>
        </w:rPr>
      </w:pPr>
      <w:r>
        <w:rPr>
          <w:rFonts w:hint="eastAsia" w:ascii="宋体" w:hAnsi="宋体"/>
        </w:rPr>
        <w:t>32.4.4不同投标人的投标文件异常一致或者投标报价呈规律性差异；</w:t>
      </w:r>
    </w:p>
    <w:p w14:paraId="4B493590">
      <w:pPr>
        <w:ind w:firstLine="411" w:firstLineChars="196"/>
        <w:rPr>
          <w:rFonts w:hint="eastAsia"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16A17304">
      <w:pPr>
        <w:ind w:firstLine="411" w:firstLineChars="196"/>
        <w:rPr>
          <w:rFonts w:hint="eastAsia" w:ascii="宋体" w:hAnsi="宋体"/>
        </w:rPr>
      </w:pPr>
      <w:r>
        <w:rPr>
          <w:rFonts w:hint="eastAsia" w:ascii="宋体" w:hAnsi="宋体"/>
        </w:rPr>
        <w:t>32.4.6投标供应商之间相互约定给予未中标的供应商利益补偿；</w:t>
      </w:r>
    </w:p>
    <w:p w14:paraId="1DFEFB33">
      <w:pPr>
        <w:ind w:firstLine="411" w:firstLineChars="196"/>
        <w:rPr>
          <w:rFonts w:hint="eastAsia"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530BCCEB">
      <w:pPr>
        <w:ind w:firstLine="411" w:firstLineChars="196"/>
        <w:rPr>
          <w:rFonts w:hint="eastAsia" w:ascii="宋体" w:hAnsi="宋体"/>
        </w:rPr>
      </w:pPr>
      <w:r>
        <w:rPr>
          <w:rFonts w:hint="eastAsia" w:ascii="宋体" w:hAnsi="宋体"/>
        </w:rPr>
        <w:t>32.4.8不同投标供应商的投标文件内容存在非正常一致；</w:t>
      </w:r>
    </w:p>
    <w:p w14:paraId="2D1A60EC">
      <w:pPr>
        <w:ind w:firstLine="411" w:firstLineChars="196"/>
        <w:rPr>
          <w:rFonts w:hint="eastAsia" w:ascii="宋体" w:hAnsi="宋体"/>
        </w:rPr>
      </w:pPr>
      <w:r>
        <w:rPr>
          <w:rFonts w:hint="eastAsia" w:ascii="宋体" w:hAnsi="宋体"/>
        </w:rPr>
        <w:t>32.4.9在同一单位工作人员为两家以上（含两家）供应商进行同一项投标活动；</w:t>
      </w:r>
    </w:p>
    <w:p w14:paraId="17AF6720">
      <w:pPr>
        <w:ind w:firstLine="411" w:firstLineChars="196"/>
        <w:rPr>
          <w:rFonts w:hint="eastAsia" w:ascii="宋体" w:hAnsi="宋体"/>
        </w:rPr>
      </w:pPr>
      <w:r>
        <w:rPr>
          <w:rFonts w:hint="eastAsia" w:ascii="宋体" w:hAnsi="宋体"/>
        </w:rPr>
        <w:t>32.4.10主管部门依照法律、法规认定的其他情形。</w:t>
      </w:r>
    </w:p>
    <w:p w14:paraId="4B362322">
      <w:pPr>
        <w:ind w:firstLine="420" w:firstLineChars="200"/>
        <w:rPr>
          <w:rFonts w:hint="eastAsia" w:ascii="宋体" w:hAnsi="宋体"/>
          <w:color w:val="FF0000"/>
        </w:rPr>
      </w:pPr>
      <w:r>
        <w:rPr>
          <w:rFonts w:hint="eastAsia" w:ascii="宋体" w:hAnsi="宋体"/>
          <w:color w:val="FF0000"/>
        </w:rPr>
        <w:t>32.5政府采购异常低价审查的程序及要求：</w:t>
      </w:r>
    </w:p>
    <w:p w14:paraId="6681DEE4">
      <w:pPr>
        <w:ind w:firstLine="420" w:firstLineChars="200"/>
        <w:rPr>
          <w:rFonts w:hint="eastAsia" w:ascii="宋体" w:hAnsi="宋体"/>
          <w:color w:val="FF0000"/>
        </w:rPr>
      </w:pPr>
      <w:r>
        <w:rPr>
          <w:rFonts w:hint="eastAsia" w:ascii="宋体" w:hAnsi="宋体"/>
          <w:color w:val="FF0000"/>
        </w:rPr>
        <w:t>32.5.1政府采购评审中出现《异常低价审查表》中四种情形之一的，评审委员会应当启动异常低价投标（响应）审查程序。</w:t>
      </w:r>
    </w:p>
    <w:p w14:paraId="68CD90CD">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58ADE1A3">
      <w:pPr>
        <w:pStyle w:val="61"/>
        <w:ind w:firstLine="420" w:firstLineChars="200"/>
        <w:rPr>
          <w:rFonts w:hint="eastAsia" w:ascii="宋体" w:hAnsi="宋体"/>
          <w:color w:val="FF0000"/>
        </w:rPr>
      </w:pPr>
      <w:r>
        <w:rPr>
          <w:rFonts w:hint="eastAsia" w:ascii="宋体" w:hAnsi="宋体"/>
          <w:color w:val="FF0000"/>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76B0F4">
      <w:pPr>
        <w:pStyle w:val="61"/>
        <w:ind w:firstLine="420" w:firstLineChars="200"/>
        <w:rPr>
          <w:rFonts w:hint="eastAsia" w:ascii="宋体" w:hAnsi="宋体"/>
        </w:rPr>
      </w:pPr>
      <w:r>
        <w:rPr>
          <w:rFonts w:hint="eastAsia" w:ascii="宋体" w:hAnsi="宋体"/>
          <w:color w:val="FF0000"/>
        </w:rPr>
        <w:t>32.5.3异常低价投标（响应）审查的启动原因、审查意见和审查结果应当在评审报告中记录，并随供应商提供的相关书面说明及证明材料，以及评审委员会有关互联网浏览、查询历史一并归档。</w:t>
      </w:r>
    </w:p>
    <w:p w14:paraId="4EA61797">
      <w:pPr>
        <w:ind w:firstLine="420" w:firstLineChars="200"/>
        <w:rPr>
          <w:rFonts w:hint="eastAsia" w:ascii="宋体" w:hAnsi="宋体"/>
        </w:rPr>
      </w:pPr>
      <w:r>
        <w:rPr>
          <w:rFonts w:hint="eastAsia" w:ascii="宋体" w:hAnsi="宋体"/>
        </w:rPr>
        <w:t>32.6对不属于《资格性审查表》《符合性审查表》《异常低价审查表》所列的其他情形，除专用条款另有规定和32.4条款所列情形外，不得作为投标无效的理由。</w:t>
      </w:r>
    </w:p>
    <w:p w14:paraId="06D754F1">
      <w:pPr>
        <w:rPr>
          <w:rFonts w:hint="eastAsia" w:ascii="黑体" w:hAnsi="宋体" w:eastAsia="黑体"/>
          <w:sz w:val="24"/>
        </w:rPr>
      </w:pPr>
      <w:r>
        <w:rPr>
          <w:rFonts w:hint="eastAsia" w:ascii="黑体" w:hAnsi="宋体" w:eastAsia="黑体"/>
          <w:sz w:val="24"/>
        </w:rPr>
        <w:t>33.澄清有关问题</w:t>
      </w:r>
    </w:p>
    <w:p w14:paraId="6B39A0BF">
      <w:pPr>
        <w:ind w:firstLine="411" w:firstLineChars="196"/>
        <w:rPr>
          <w:rFonts w:hint="eastAsia" w:ascii="宋体" w:hAnsi="宋体"/>
        </w:rPr>
      </w:pPr>
      <w:bookmarkStart w:id="196"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96"/>
    </w:p>
    <w:p w14:paraId="4DCD3884">
      <w:pPr>
        <w:ind w:firstLine="411" w:firstLineChars="196"/>
        <w:rPr>
          <w:rFonts w:hint="eastAsia"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024B5ED">
      <w:pPr>
        <w:ind w:firstLine="411" w:firstLineChars="196"/>
        <w:rPr>
          <w:rFonts w:hint="eastAsia"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19FE71F7">
      <w:pPr>
        <w:ind w:firstLine="411" w:firstLineChars="196"/>
        <w:rPr>
          <w:rFonts w:hint="eastAsia"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F0CC6D1">
      <w:pPr>
        <w:ind w:firstLine="411" w:firstLineChars="196"/>
        <w:rPr>
          <w:rFonts w:hint="eastAsia" w:ascii="宋体" w:hAnsi="宋体"/>
          <w:szCs w:val="21"/>
        </w:rPr>
      </w:pPr>
      <w:r>
        <w:rPr>
          <w:rFonts w:hint="eastAsia" w:ascii="宋体" w:hAnsi="宋体"/>
          <w:szCs w:val="21"/>
        </w:rPr>
        <w:t>根据本通用条款第34条，凡属于评审委员会在评审中发现的错误进行核实的修改不在此列。</w:t>
      </w:r>
    </w:p>
    <w:p w14:paraId="281825C7">
      <w:pPr>
        <w:rPr>
          <w:rFonts w:hint="eastAsia" w:ascii="黑体" w:hAnsi="宋体" w:eastAsia="黑体"/>
          <w:sz w:val="24"/>
        </w:rPr>
      </w:pPr>
      <w:bookmarkStart w:id="197" w:name="_Toc73521669"/>
      <w:bookmarkStart w:id="198" w:name="_Toc100052400"/>
      <w:bookmarkStart w:id="199" w:name="_Toc73517673"/>
      <w:bookmarkStart w:id="200" w:name="_Toc73518151"/>
      <w:bookmarkStart w:id="201" w:name="_Toc73521581"/>
      <w:r>
        <w:rPr>
          <w:rFonts w:hint="eastAsia" w:ascii="黑体" w:hAnsi="宋体" w:eastAsia="黑体"/>
          <w:sz w:val="24"/>
        </w:rPr>
        <w:t>34.错误的修正</w:t>
      </w:r>
      <w:bookmarkEnd w:id="197"/>
      <w:bookmarkEnd w:id="198"/>
      <w:bookmarkEnd w:id="199"/>
      <w:bookmarkEnd w:id="200"/>
      <w:bookmarkEnd w:id="201"/>
    </w:p>
    <w:p w14:paraId="722695D3">
      <w:pPr>
        <w:ind w:firstLine="411" w:firstLineChars="196"/>
        <w:rPr>
          <w:rFonts w:hint="eastAsia" w:ascii="宋体" w:hAnsi="宋体"/>
          <w:szCs w:val="21"/>
        </w:rPr>
      </w:pPr>
      <w:r>
        <w:rPr>
          <w:rFonts w:hint="eastAsia" w:ascii="宋体" w:hAnsi="宋体"/>
          <w:szCs w:val="21"/>
        </w:rPr>
        <w:t>投标文件报价出现前后不一致的，除专用条款另有规定外，按照下列规定修正：</w:t>
      </w:r>
    </w:p>
    <w:p w14:paraId="38FB26E1">
      <w:pPr>
        <w:ind w:firstLine="411" w:firstLineChars="196"/>
        <w:rPr>
          <w:rFonts w:hint="eastAsia" w:ascii="宋体" w:hAnsi="宋体"/>
          <w:szCs w:val="21"/>
        </w:rPr>
      </w:pPr>
      <w:r>
        <w:rPr>
          <w:rFonts w:hint="eastAsia" w:ascii="宋体" w:hAnsi="宋体"/>
          <w:szCs w:val="21"/>
        </w:rPr>
        <w:t>34.1投标文件中开标一览表投标报价内容与投标文件中投标报价相应内容不一致的，以开标一览表为准；</w:t>
      </w:r>
    </w:p>
    <w:p w14:paraId="07CE14B2">
      <w:pPr>
        <w:ind w:firstLine="411" w:firstLineChars="196"/>
        <w:rPr>
          <w:rFonts w:hint="eastAsia" w:ascii="宋体" w:hAnsi="宋体"/>
          <w:szCs w:val="21"/>
        </w:rPr>
      </w:pPr>
      <w:r>
        <w:rPr>
          <w:rFonts w:hint="eastAsia" w:ascii="宋体" w:hAnsi="宋体"/>
          <w:szCs w:val="21"/>
        </w:rPr>
        <w:t>34.2大写金额和小写金额不一致的，以大写金额为准；</w:t>
      </w:r>
    </w:p>
    <w:p w14:paraId="4DD5F954">
      <w:pPr>
        <w:ind w:firstLine="411" w:firstLineChars="196"/>
        <w:rPr>
          <w:rFonts w:hint="eastAsia" w:ascii="宋体" w:hAnsi="宋体"/>
          <w:szCs w:val="21"/>
        </w:rPr>
      </w:pPr>
      <w:r>
        <w:rPr>
          <w:rFonts w:hint="eastAsia" w:ascii="宋体" w:hAnsi="宋体"/>
          <w:szCs w:val="21"/>
        </w:rPr>
        <w:t>34.3单价金额小数点或者百分比有明显错位，以开标一览表的总价为准，并修改单价；</w:t>
      </w:r>
    </w:p>
    <w:p w14:paraId="59C2F381">
      <w:pPr>
        <w:ind w:firstLine="411" w:firstLineChars="196"/>
        <w:rPr>
          <w:rFonts w:hint="eastAsia" w:ascii="宋体" w:hAnsi="宋体"/>
          <w:szCs w:val="21"/>
        </w:rPr>
      </w:pPr>
      <w:r>
        <w:rPr>
          <w:rFonts w:hint="eastAsia" w:ascii="宋体" w:hAnsi="宋体"/>
          <w:szCs w:val="21"/>
        </w:rPr>
        <w:t>34.4总价金额与按单价汇总金额不一致的，以单价金额计算结果为准。</w:t>
      </w:r>
    </w:p>
    <w:p w14:paraId="0C9DC92B">
      <w:pPr>
        <w:ind w:firstLine="411" w:firstLineChars="196"/>
        <w:rPr>
          <w:rFonts w:hint="eastAsia" w:ascii="宋体" w:hAnsi="宋体"/>
          <w:szCs w:val="21"/>
        </w:rPr>
      </w:pPr>
      <w:r>
        <w:rPr>
          <w:rFonts w:hint="eastAsia" w:ascii="宋体" w:hAnsi="宋体"/>
          <w:szCs w:val="21"/>
        </w:rPr>
        <w:t>34.5同时出现两种以上不一致的，按照前款规定的顺序修正。修正后的报价按照本通用条款第33条的规定，经投标人确认后产生约束力，投标人不确认的，其投标无效。</w:t>
      </w:r>
    </w:p>
    <w:p w14:paraId="77915B18">
      <w:pPr>
        <w:rPr>
          <w:rFonts w:hint="eastAsia" w:ascii="黑体" w:hAnsi="宋体" w:eastAsia="黑体"/>
          <w:sz w:val="24"/>
        </w:rPr>
      </w:pPr>
      <w:r>
        <w:rPr>
          <w:rFonts w:hint="eastAsia" w:ascii="黑体" w:hAnsi="宋体" w:eastAsia="黑体"/>
          <w:sz w:val="24"/>
        </w:rPr>
        <w:t>35.投标文件的比较与评价</w:t>
      </w:r>
    </w:p>
    <w:p w14:paraId="27BF358E">
      <w:pPr>
        <w:ind w:firstLine="411" w:firstLineChars="196"/>
        <w:rPr>
          <w:rFonts w:hint="eastAsia"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7028C15A">
      <w:pPr>
        <w:ind w:firstLine="411" w:firstLineChars="196"/>
        <w:rPr>
          <w:rFonts w:hint="eastAsia"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70E5B2C">
      <w:pPr>
        <w:rPr>
          <w:rFonts w:hint="eastAsia" w:ascii="黑体" w:hAnsi="宋体" w:eastAsia="黑体"/>
          <w:sz w:val="24"/>
        </w:rPr>
      </w:pPr>
      <w:r>
        <w:rPr>
          <w:rFonts w:hint="eastAsia" w:ascii="黑体" w:hAnsi="宋体" w:eastAsia="黑体"/>
          <w:sz w:val="24"/>
        </w:rPr>
        <w:t>36. 评审方法</w:t>
      </w:r>
    </w:p>
    <w:p w14:paraId="783C8200">
      <w:pPr>
        <w:ind w:firstLine="413" w:firstLineChars="196"/>
        <w:rPr>
          <w:rFonts w:hint="eastAsia" w:ascii="宋体" w:hAnsi="宋体"/>
          <w:b/>
          <w:bCs/>
          <w:szCs w:val="21"/>
        </w:rPr>
      </w:pPr>
      <w:r>
        <w:rPr>
          <w:rFonts w:hint="eastAsia" w:ascii="宋体" w:hAnsi="宋体"/>
          <w:b/>
          <w:bCs/>
          <w:szCs w:val="21"/>
        </w:rPr>
        <w:t>36.1.1最低价法</w:t>
      </w:r>
    </w:p>
    <w:p w14:paraId="3F4B204D">
      <w:pPr>
        <w:ind w:firstLine="411" w:firstLineChars="196"/>
        <w:rPr>
          <w:rFonts w:hint="eastAsia" w:asciiTheme="minorEastAsia" w:hAnsiTheme="minorEastAsia" w:eastAsiaTheme="minorEastAsia"/>
        </w:rPr>
      </w:pPr>
      <w:bookmarkStart w:id="202" w:name="_Hlk72438142"/>
      <w:r>
        <w:rPr>
          <w:rFonts w:asciiTheme="minorEastAsia" w:hAnsiTheme="minorEastAsia" w:eastAsiaTheme="minorEastAsia"/>
        </w:rPr>
        <w:t>最低价法，</w:t>
      </w:r>
      <w:r>
        <w:rPr>
          <w:rFonts w:hint="eastAsia" w:asciiTheme="minorEastAsia" w:hAnsiTheme="minorEastAsia" w:eastAsiaTheme="minorEastAsia"/>
        </w:rPr>
        <w:t>是指投标文件满足招标文件全部实质性要求，且投标报价最低的投标人为中标候选人的评标方法。</w:t>
      </w:r>
    </w:p>
    <w:p w14:paraId="7B114981">
      <w:pPr>
        <w:ind w:firstLine="411" w:firstLineChars="196"/>
        <w:rPr>
          <w:rFonts w:hint="eastAsia" w:asciiTheme="minorEastAsia" w:hAnsiTheme="minorEastAsia" w:eastAsiaTheme="minorEastAsia"/>
        </w:rPr>
      </w:pP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1C2A822">
      <w:pPr>
        <w:ind w:firstLine="413" w:firstLineChars="196"/>
        <w:rPr>
          <w:rFonts w:hint="eastAsia" w:asciiTheme="minorEastAsia" w:hAnsiTheme="minorEastAsia" w:eastAsiaTheme="minorEastAsia"/>
          <w:b/>
          <w:bCs/>
          <w:szCs w:val="21"/>
        </w:rPr>
      </w:pPr>
      <w:r>
        <w:rPr>
          <w:rFonts w:hint="eastAsia" w:asciiTheme="minorEastAsia" w:hAnsiTheme="minorEastAsia" w:eastAsiaTheme="minorEastAsia"/>
          <w:b/>
          <w:bCs/>
          <w:szCs w:val="21"/>
        </w:rPr>
        <w:t>36.1.2综合评分法</w:t>
      </w:r>
    </w:p>
    <w:p w14:paraId="76340B17">
      <w:pPr>
        <w:ind w:firstLine="411" w:firstLineChars="196"/>
        <w:rPr>
          <w:rFonts w:hint="eastAsia" w:asciiTheme="minorEastAsia" w:hAnsiTheme="minorEastAsia" w:eastAsiaTheme="minorEastAsia"/>
        </w:rPr>
      </w:pPr>
      <w:r>
        <w:rPr>
          <w:rFonts w:asciiTheme="minorEastAsia" w:hAnsiTheme="minorEastAsia" w:eastAsiaTheme="minorEastAsia"/>
        </w:rPr>
        <w:t>综合评分法，是指</w:t>
      </w:r>
      <w:r>
        <w:rPr>
          <w:rFonts w:hint="eastAsia" w:asciiTheme="minorEastAsia" w:hAnsiTheme="minorEastAsia" w:eastAsiaTheme="minorEastAsia"/>
        </w:rPr>
        <w:t>在</w:t>
      </w:r>
      <w:r>
        <w:rPr>
          <w:rFonts w:asciiTheme="minorEastAsia" w:hAnsiTheme="minorEastAsia" w:eastAsiaTheme="minorEastAsia"/>
        </w:rPr>
        <w:t>满足招标文件全部实质性要求</w:t>
      </w:r>
      <w:r>
        <w:rPr>
          <w:rFonts w:hint="eastAsia" w:asciiTheme="minorEastAsia" w:hAnsiTheme="minorEastAsia" w:eastAsiaTheme="minorEastAsia"/>
        </w:rPr>
        <w:t>的前提下</w:t>
      </w:r>
      <w:r>
        <w:rPr>
          <w:rFonts w:asciiTheme="minorEastAsia" w:hAnsiTheme="minorEastAsia" w:eastAsiaTheme="minorEastAsia"/>
        </w:rPr>
        <w:t>，</w:t>
      </w:r>
      <w:r>
        <w:rPr>
          <w:rFonts w:hint="eastAsia" w:asciiTheme="minorEastAsia" w:hAnsiTheme="minorEastAsia" w:eastAsiaTheme="minorEastAsia"/>
        </w:rPr>
        <w:t>按照招标文件中规定的各项因素进行综合评审，评审总得分排名前列的投标人，作为推荐的候选中标供应商</w:t>
      </w:r>
      <w:bookmarkEnd w:id="202"/>
      <w:r>
        <w:rPr>
          <w:rFonts w:hint="eastAsia" w:asciiTheme="minorEastAsia" w:hAnsiTheme="minorEastAsia" w:eastAsiaTheme="minorEastAsia"/>
        </w:rPr>
        <w:t>。</w:t>
      </w:r>
    </w:p>
    <w:p w14:paraId="48347AAE">
      <w:pPr>
        <w:ind w:firstLine="411" w:firstLineChars="196"/>
        <w:rPr>
          <w:rFonts w:hint="eastAsia" w:asciiTheme="minorEastAsia" w:hAnsiTheme="minorEastAsia" w:eastAsiaTheme="minorEastAsia"/>
        </w:rPr>
      </w:pP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A7C7463">
      <w:pPr>
        <w:ind w:firstLine="413" w:firstLineChars="196"/>
        <w:rPr>
          <w:rFonts w:hint="eastAsia" w:ascii="宋体" w:hAnsi="宋体"/>
          <w:b/>
          <w:bCs/>
          <w:szCs w:val="21"/>
        </w:rPr>
      </w:pPr>
      <w:r>
        <w:rPr>
          <w:rFonts w:hint="eastAsia" w:ascii="宋体" w:hAnsi="宋体"/>
          <w:b/>
          <w:bCs/>
          <w:szCs w:val="21"/>
        </w:rPr>
        <w:t>36.2本项目采用的评审方法见本项目招标文件第一册“专用条款”的相关内容。</w:t>
      </w:r>
    </w:p>
    <w:p w14:paraId="77652379">
      <w:pPr>
        <w:ind w:firstLine="413" w:firstLineChars="196"/>
        <w:rPr>
          <w:rFonts w:hint="eastAsia" w:ascii="宋体" w:hAnsi="宋体"/>
          <w:b/>
          <w:bCs/>
          <w:szCs w:val="21"/>
        </w:rPr>
      </w:pPr>
      <w:r>
        <w:rPr>
          <w:rFonts w:hint="eastAsia" w:ascii="宋体" w:hAnsi="宋体"/>
          <w:b/>
          <w:bCs/>
          <w:szCs w:val="21"/>
        </w:rPr>
        <w:t>36.3重新评审的情形</w:t>
      </w:r>
    </w:p>
    <w:p w14:paraId="78895ABC">
      <w:pPr>
        <w:ind w:firstLine="411" w:firstLineChars="196"/>
        <w:rPr>
          <w:rFonts w:hint="eastAsia" w:ascii="宋体" w:hAnsi="宋体"/>
          <w:b/>
          <w:bCs/>
          <w:szCs w:val="21"/>
        </w:rPr>
      </w:pPr>
      <w:r>
        <w:rPr>
          <w:rFonts w:hint="eastAsia" w:ascii="宋体" w:hAnsi="宋体" w:cs="宋体"/>
          <w:kern w:val="0"/>
          <w:szCs w:val="21"/>
        </w:rPr>
        <w:t>评审结果汇总完成后，除下列情形外，任何人不得修改评审结果：</w:t>
      </w:r>
    </w:p>
    <w:p w14:paraId="366D00A4">
      <w:pPr>
        <w:ind w:firstLine="411" w:firstLineChars="196"/>
        <w:rPr>
          <w:rFonts w:hint="eastAsia" w:ascii="宋体" w:hAnsi="宋体" w:cs="宋体"/>
          <w:kern w:val="0"/>
          <w:szCs w:val="21"/>
        </w:rPr>
      </w:pPr>
      <w:r>
        <w:rPr>
          <w:rFonts w:hint="eastAsia" w:ascii="宋体" w:hAnsi="宋体" w:cs="宋体"/>
          <w:kern w:val="0"/>
          <w:szCs w:val="21"/>
        </w:rPr>
        <w:t>36.3.1分值汇总计算错误的；</w:t>
      </w:r>
    </w:p>
    <w:p w14:paraId="219A7C58">
      <w:pPr>
        <w:ind w:firstLine="411" w:firstLineChars="196"/>
        <w:rPr>
          <w:rFonts w:hint="eastAsia" w:ascii="宋体" w:hAnsi="宋体" w:cs="宋体"/>
          <w:kern w:val="0"/>
          <w:szCs w:val="21"/>
        </w:rPr>
      </w:pPr>
      <w:r>
        <w:rPr>
          <w:rFonts w:hint="eastAsia" w:ascii="宋体" w:hAnsi="宋体" w:cs="宋体"/>
          <w:kern w:val="0"/>
          <w:szCs w:val="21"/>
        </w:rPr>
        <w:t>36.3.2分项评分超出评分标准范围的；</w:t>
      </w:r>
    </w:p>
    <w:p w14:paraId="5B421C8B">
      <w:pPr>
        <w:ind w:firstLine="411" w:firstLineChars="196"/>
        <w:rPr>
          <w:rFonts w:hint="eastAsia" w:ascii="宋体" w:hAnsi="宋体" w:cs="宋体"/>
          <w:kern w:val="0"/>
          <w:szCs w:val="21"/>
        </w:rPr>
      </w:pPr>
      <w:r>
        <w:rPr>
          <w:rFonts w:hint="eastAsia" w:ascii="宋体" w:hAnsi="宋体" w:cs="宋体"/>
          <w:kern w:val="0"/>
          <w:szCs w:val="21"/>
        </w:rPr>
        <w:t>36.3.3评审委员会成员对客观评审因素评分不一致的；</w:t>
      </w:r>
    </w:p>
    <w:p w14:paraId="09475F29">
      <w:pPr>
        <w:ind w:firstLine="411" w:firstLineChars="196"/>
        <w:rPr>
          <w:rFonts w:hint="eastAsia" w:ascii="宋体" w:hAnsi="宋体" w:cs="宋体"/>
          <w:kern w:val="0"/>
          <w:szCs w:val="21"/>
        </w:rPr>
      </w:pPr>
      <w:r>
        <w:rPr>
          <w:rFonts w:hint="eastAsia" w:ascii="宋体" w:hAnsi="宋体" w:cs="宋体"/>
          <w:kern w:val="0"/>
          <w:szCs w:val="21"/>
        </w:rPr>
        <w:t>36.3.4经评审委员会认定评分畸高、畸低的。</w:t>
      </w:r>
    </w:p>
    <w:p w14:paraId="3959BFE7">
      <w:pPr>
        <w:ind w:firstLine="411" w:firstLineChars="196"/>
        <w:rPr>
          <w:rFonts w:hint="eastAsia"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7E74CC97">
      <w:pPr>
        <w:ind w:firstLine="411" w:firstLineChars="196"/>
        <w:rPr>
          <w:rFonts w:hint="eastAsia"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49EFB908">
      <w:pPr>
        <w:ind w:firstLine="413" w:firstLineChars="196"/>
        <w:rPr>
          <w:rFonts w:hint="eastAsia" w:ascii="宋体" w:hAnsi="宋体"/>
          <w:b/>
          <w:bCs/>
          <w:szCs w:val="21"/>
        </w:rPr>
      </w:pPr>
      <w:r>
        <w:rPr>
          <w:rFonts w:hint="eastAsia" w:ascii="宋体" w:hAnsi="宋体"/>
          <w:b/>
          <w:bCs/>
          <w:szCs w:val="21"/>
        </w:rPr>
        <w:t>36.4重新组建评审委员会的情形</w:t>
      </w:r>
    </w:p>
    <w:p w14:paraId="59017CFB">
      <w:pPr>
        <w:ind w:firstLine="411" w:firstLineChars="196"/>
        <w:rPr>
          <w:rFonts w:hint="eastAsia"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2880DC2C">
      <w:pPr>
        <w:ind w:firstLine="411" w:firstLineChars="196"/>
        <w:rPr>
          <w:rFonts w:hint="eastAsia" w:ascii="宋体" w:hAnsi="宋体" w:cs="宋体"/>
          <w:kern w:val="0"/>
          <w:szCs w:val="21"/>
        </w:rPr>
      </w:pPr>
      <w:r>
        <w:rPr>
          <w:rFonts w:hint="eastAsia" w:ascii="宋体" w:hAnsi="宋体" w:cs="宋体"/>
          <w:kern w:val="0"/>
          <w:szCs w:val="21"/>
        </w:rPr>
        <w:t>36.4.1评审委员会组成不符合《政府采购货物和服务招标投标管理办法》规定的；</w:t>
      </w:r>
    </w:p>
    <w:p w14:paraId="6FE69DF1">
      <w:pPr>
        <w:ind w:firstLine="411" w:firstLineChars="196"/>
        <w:rPr>
          <w:rFonts w:hint="eastAsia" w:ascii="宋体" w:hAnsi="宋体" w:cs="宋体"/>
          <w:kern w:val="0"/>
          <w:szCs w:val="21"/>
        </w:rPr>
      </w:pPr>
      <w:r>
        <w:rPr>
          <w:rFonts w:hint="eastAsia" w:ascii="宋体" w:hAnsi="宋体" w:cs="宋体"/>
          <w:kern w:val="0"/>
          <w:szCs w:val="21"/>
        </w:rPr>
        <w:t>36.4.2有《政府采购货物和服务招标投标管理办法》第六十二条第一至五项情形的；</w:t>
      </w:r>
    </w:p>
    <w:p w14:paraId="5CC34C77">
      <w:pPr>
        <w:ind w:firstLine="411" w:firstLineChars="196"/>
        <w:rPr>
          <w:rFonts w:hint="eastAsia" w:ascii="宋体" w:hAnsi="宋体" w:cs="宋体"/>
          <w:kern w:val="0"/>
          <w:szCs w:val="21"/>
        </w:rPr>
      </w:pPr>
      <w:r>
        <w:rPr>
          <w:rFonts w:hint="eastAsia" w:ascii="宋体" w:hAnsi="宋体" w:cs="宋体"/>
          <w:kern w:val="0"/>
          <w:szCs w:val="21"/>
        </w:rPr>
        <w:t>36.4.3评审委员会及其成员独立评标受到非法干预的；</w:t>
      </w:r>
    </w:p>
    <w:p w14:paraId="0F323464">
      <w:pPr>
        <w:ind w:firstLine="411" w:firstLineChars="196"/>
        <w:rPr>
          <w:rFonts w:hint="eastAsia" w:ascii="宋体" w:hAnsi="宋体" w:cs="宋体"/>
          <w:kern w:val="0"/>
          <w:szCs w:val="21"/>
        </w:rPr>
      </w:pPr>
      <w:r>
        <w:rPr>
          <w:rFonts w:hint="eastAsia" w:ascii="宋体" w:hAnsi="宋体" w:cs="宋体"/>
          <w:kern w:val="0"/>
          <w:szCs w:val="21"/>
        </w:rPr>
        <w:t>36.4.4有政府采购法实施条例第七十五条规定的违法行为的。</w:t>
      </w:r>
    </w:p>
    <w:p w14:paraId="6113999D">
      <w:pPr>
        <w:ind w:firstLine="411" w:firstLineChars="196"/>
        <w:rPr>
          <w:rFonts w:hint="eastAsia"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58B8F7CF">
      <w:pPr>
        <w:ind w:firstLine="411" w:firstLineChars="196"/>
        <w:rPr>
          <w:rFonts w:hint="eastAsia" w:ascii="宋体" w:hAnsi="宋体"/>
          <w:szCs w:val="21"/>
        </w:rPr>
      </w:pPr>
    </w:p>
    <w:p w14:paraId="2F4AFB00">
      <w:pPr>
        <w:pStyle w:val="7"/>
        <w:numPr>
          <w:ilvl w:val="0"/>
          <w:numId w:val="15"/>
        </w:numPr>
        <w:spacing w:before="120" w:beforeLines="50" w:after="120" w:afterLines="50"/>
        <w:ind w:left="562" w:hanging="562"/>
        <w:rPr>
          <w:rFonts w:hint="eastAsia"/>
          <w:sz w:val="28"/>
          <w:szCs w:val="28"/>
        </w:rPr>
      </w:pPr>
      <w:r>
        <w:rPr>
          <w:rFonts w:hint="eastAsia"/>
          <w:sz w:val="28"/>
          <w:szCs w:val="28"/>
        </w:rPr>
        <w:t>定标及公示</w:t>
      </w:r>
    </w:p>
    <w:p w14:paraId="1EBC7642">
      <w:pPr>
        <w:rPr>
          <w:rFonts w:hint="eastAsia" w:ascii="黑体" w:hAnsi="宋体" w:eastAsia="黑体"/>
          <w:sz w:val="24"/>
        </w:rPr>
      </w:pPr>
      <w:r>
        <w:rPr>
          <w:rFonts w:hint="eastAsia" w:ascii="黑体" w:hAnsi="宋体" w:eastAsia="黑体"/>
          <w:sz w:val="24"/>
        </w:rPr>
        <w:t>37.定标方法</w:t>
      </w:r>
    </w:p>
    <w:p w14:paraId="51B57036">
      <w:pPr>
        <w:ind w:firstLine="411" w:firstLineChars="196"/>
        <w:rPr>
          <w:rFonts w:hint="eastAsia" w:asciiTheme="minorEastAsia" w:hAnsiTheme="minorEastAsia" w:eastAsiaTheme="minorEastAsia"/>
          <w:szCs w:val="21"/>
        </w:rPr>
      </w:pPr>
      <w:bookmarkStart w:id="203" w:name="_Hlk73782795"/>
      <w:r>
        <w:rPr>
          <w:rFonts w:hint="eastAsia" w:asciiTheme="minorEastAsia" w:hAnsiTheme="minorEastAsia" w:eastAsiaTheme="minorEastAsia"/>
          <w:szCs w:val="21"/>
        </w:rPr>
        <w:t>37.1非评定分离项目定标方法</w:t>
      </w:r>
    </w:p>
    <w:p w14:paraId="46EA5ECE">
      <w:pPr>
        <w:ind w:firstLine="411" w:firstLineChars="196"/>
        <w:rPr>
          <w:rFonts w:hint="eastAsia" w:asciiTheme="minorEastAsia" w:hAnsiTheme="minorEastAsia" w:eastAsiaTheme="minorEastAsia"/>
          <w:szCs w:val="21"/>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1.1评审委员会依据本项目招标文件所约定的评审方法进行评审和比较，向政府集中采购机构提交书面评审报告，并根据评审方法比较评价结果从优到劣进行排序，确定候选中标供应商。</w:t>
      </w:r>
    </w:p>
    <w:p w14:paraId="5F0AB4EA">
      <w:pPr>
        <w:ind w:firstLine="411" w:firstLineChars="196"/>
        <w:rPr>
          <w:rFonts w:hint="eastAsia"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1.2</w:t>
      </w: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3207301E">
      <w:pPr>
        <w:ind w:firstLine="411" w:firstLineChars="196"/>
        <w:rPr>
          <w:rFonts w:hint="eastAsia"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1.3</w:t>
      </w: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7B998A2">
      <w:pPr>
        <w:ind w:firstLine="411" w:firstLineChars="196"/>
        <w:rPr>
          <w:rFonts w:hint="eastAsia" w:ascii="宋体" w:hAnsi="宋体"/>
          <w:szCs w:val="21"/>
        </w:rPr>
      </w:pPr>
      <w:r>
        <w:rPr>
          <w:rFonts w:hint="eastAsia" w:ascii="宋体" w:hAnsi="宋体"/>
          <w:szCs w:val="21"/>
        </w:rPr>
        <w:t>37.2评定分离项目定标方法</w:t>
      </w:r>
    </w:p>
    <w:p w14:paraId="72EF85FA">
      <w:pPr>
        <w:ind w:firstLine="411" w:firstLineChars="196"/>
        <w:rPr>
          <w:rFonts w:hint="eastAsia" w:ascii="宋体" w:hAnsi="宋体"/>
          <w:szCs w:val="21"/>
        </w:rPr>
      </w:pPr>
      <w:r>
        <w:rPr>
          <w:rFonts w:hint="eastAsia" w:ascii="宋体" w:hAnsi="宋体"/>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FE01229">
      <w:pPr>
        <w:ind w:firstLine="411" w:firstLineChars="196"/>
      </w:pPr>
      <w:r>
        <w:rPr>
          <w:rFonts w:ascii="宋体" w:hAnsi="宋体"/>
          <w:szCs w:val="21"/>
        </w:rPr>
        <w:t>3</w:t>
      </w:r>
      <w:r>
        <w:rPr>
          <w:rFonts w:hint="eastAsia" w:ascii="宋体" w:hAnsi="宋体"/>
          <w:szCs w:val="21"/>
        </w:rPr>
        <w:t>7</w:t>
      </w:r>
      <w:r>
        <w:rPr>
          <w:rFonts w:ascii="宋体" w:hAnsi="宋体"/>
          <w:szCs w:val="21"/>
        </w:rPr>
        <w:t xml:space="preserve">.2.2 </w:t>
      </w:r>
      <w:bookmarkStart w:id="204"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2A846CE">
      <w:pPr>
        <w:ind w:firstLine="411" w:firstLineChars="196"/>
        <w:rPr>
          <w:rFonts w:hint="eastAsia" w:ascii="宋体" w:hAnsi="宋体"/>
          <w:szCs w:val="21"/>
        </w:rPr>
      </w:pPr>
      <w:r>
        <w:rPr>
          <w:rFonts w:hint="eastAsia" w:ascii="宋体" w:hAnsi="宋体"/>
          <w:szCs w:val="21"/>
        </w:rPr>
        <w:t>37.2.3</w:t>
      </w:r>
      <w:bookmarkStart w:id="205"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204"/>
      <w:bookmarkEnd w:id="205"/>
    </w:p>
    <w:p w14:paraId="55BE45A7">
      <w:pPr>
        <w:ind w:firstLine="411" w:firstLineChars="196"/>
        <w:rPr>
          <w:rFonts w:hint="eastAsia"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7</w:t>
      </w:r>
      <w:r>
        <w:rPr>
          <w:rFonts w:asciiTheme="minorEastAsia" w:hAnsiTheme="minorEastAsia" w:eastAsiaTheme="minorEastAsia"/>
          <w:szCs w:val="21"/>
        </w:rPr>
        <w:t>.2.4</w:t>
      </w:r>
      <w:r>
        <w:rPr>
          <w:rFonts w:hint="eastAsia" w:asciiTheme="minorEastAsia" w:hAnsiTheme="minorEastAsia" w:eastAsiaTheme="minorEastAsia"/>
          <w:szCs w:val="21"/>
        </w:rPr>
        <w:t>政府集中采购机构</w:t>
      </w:r>
      <w:r>
        <w:rPr>
          <w:rFonts w:asciiTheme="minorEastAsia" w:hAnsiTheme="minorEastAsia" w:eastAsiaTheme="minorEastAsia"/>
        </w:rPr>
        <w:t>应当自评审结束之日起两个工作日内将候选中标供应商名单及其投标文件、评审报告送交采购人</w:t>
      </w:r>
      <w:r>
        <w:rPr>
          <w:rFonts w:hint="eastAsia" w:asciiTheme="minorEastAsia" w:hAnsiTheme="minorEastAsia" w:eastAsiaTheme="minorEastAsia"/>
          <w:szCs w:val="21"/>
        </w:rPr>
        <w:t>。</w:t>
      </w:r>
      <w:r>
        <w:rPr>
          <w:rFonts w:asciiTheme="minorEastAsia" w:hAnsiTheme="minorEastAsia" w:eastAsiaTheme="minorEastAsia"/>
        </w:rPr>
        <w:t>采购人应当安排专人对定标过程进行书面记录，形成定标报告，作为采购文件的组成部分存档，并及时将定标结果反馈</w:t>
      </w:r>
      <w:r>
        <w:rPr>
          <w:rFonts w:hint="eastAsia" w:asciiTheme="minorEastAsia" w:hAnsiTheme="minorEastAsia" w:eastAsiaTheme="minorEastAsia"/>
        </w:rPr>
        <w:t>政府集中采购机构。具体定标程序及相关要求按照《深圳市财政局关于&lt;深圳市政府采购评标定标分离管理办法&gt;续期的通知》（深财规〔2023〕1号）执行。</w:t>
      </w:r>
    </w:p>
    <w:p w14:paraId="6B9B58CF">
      <w:pPr>
        <w:ind w:firstLine="411" w:firstLineChars="196"/>
        <w:rPr>
          <w:rFonts w:hint="eastAsia" w:ascii="宋体" w:hAnsi="宋体"/>
          <w:szCs w:val="21"/>
        </w:rPr>
      </w:pPr>
      <w:r>
        <w:rPr>
          <w:rFonts w:hint="eastAsia" w:ascii="宋体" w:hAnsi="宋体"/>
          <w:szCs w:val="21"/>
        </w:rPr>
        <w:t>说明：采购人及投标供应商应按照上述方法提前做好相关准备。</w:t>
      </w:r>
    </w:p>
    <w:p w14:paraId="08450E6D">
      <w:pPr>
        <w:ind w:firstLine="411" w:firstLineChars="196"/>
        <w:rPr>
          <w:rFonts w:hint="eastAsia" w:ascii="宋体" w:hAnsi="宋体"/>
          <w:szCs w:val="21"/>
        </w:rPr>
      </w:pPr>
      <w:r>
        <w:rPr>
          <w:rFonts w:hint="eastAsia" w:ascii="宋体" w:hAnsi="宋体"/>
          <w:szCs w:val="21"/>
        </w:rPr>
        <w:t>37.3专用条款另有规定的，按专用条款相关要求定标。</w:t>
      </w:r>
      <w:bookmarkEnd w:id="203"/>
    </w:p>
    <w:p w14:paraId="29E07294">
      <w:pPr>
        <w:rPr>
          <w:rFonts w:hint="eastAsia" w:ascii="黑体" w:hAnsi="宋体" w:eastAsia="黑体"/>
          <w:sz w:val="24"/>
        </w:rPr>
      </w:pPr>
      <w:r>
        <w:rPr>
          <w:rFonts w:hint="eastAsia" w:ascii="黑体" w:hAnsi="宋体" w:eastAsia="黑体"/>
          <w:sz w:val="24"/>
        </w:rPr>
        <w:t>38.编写评审报告</w:t>
      </w:r>
    </w:p>
    <w:p w14:paraId="5E38286D">
      <w:pPr>
        <w:ind w:firstLine="411" w:firstLineChars="196"/>
        <w:rPr>
          <w:rFonts w:hint="eastAsia"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D55EBAB">
      <w:pPr>
        <w:rPr>
          <w:rFonts w:hint="eastAsia" w:ascii="黑体" w:hAnsi="宋体" w:eastAsia="黑体"/>
          <w:sz w:val="24"/>
        </w:rPr>
      </w:pPr>
      <w:r>
        <w:rPr>
          <w:rFonts w:hint="eastAsia" w:ascii="黑体" w:hAnsi="宋体" w:eastAsia="黑体"/>
          <w:sz w:val="24"/>
        </w:rPr>
        <w:t>39.中标公告</w:t>
      </w:r>
    </w:p>
    <w:p w14:paraId="405FB959">
      <w:pPr>
        <w:ind w:firstLine="411" w:firstLineChars="196"/>
        <w:rPr>
          <w:rFonts w:hint="eastAsia" w:ascii="宋体" w:hAnsi="宋体"/>
          <w:szCs w:val="21"/>
        </w:rPr>
      </w:pPr>
      <w:r>
        <w:rPr>
          <w:rFonts w:hint="eastAsia" w:ascii="宋体" w:hAnsi="宋体"/>
          <w:szCs w:val="21"/>
        </w:rPr>
        <w:t>39.1</w:t>
      </w:r>
      <w:bookmarkStart w:id="206"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206"/>
      <w:bookmarkStart w:id="207"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bookmarkEnd w:id="207"/>
    <w:p w14:paraId="7DF9F946">
      <w:pPr>
        <w:ind w:firstLine="411" w:firstLineChars="196"/>
        <w:rPr>
          <w:rFonts w:hint="eastAsia" w:ascii="宋体" w:hAnsi="宋体"/>
          <w:szCs w:val="21"/>
        </w:rPr>
      </w:pPr>
      <w:r>
        <w:rPr>
          <w:rFonts w:hint="eastAsia" w:ascii="宋体" w:hAnsi="宋体"/>
          <w:szCs w:val="21"/>
        </w:rPr>
        <w:t>39.2质疑、投诉供应商应保证质疑、投诉内容的真实性和可靠性，并承担相应的法律责任。</w:t>
      </w:r>
    </w:p>
    <w:p w14:paraId="16F7E5CA">
      <w:pPr>
        <w:pStyle w:val="2"/>
        <w:spacing w:line="240" w:lineRule="auto"/>
        <w:rPr>
          <w:rFonts w:hint="eastAsia" w:ascii="宋体" w:hAnsi="宋体"/>
          <w:b w:val="0"/>
          <w:bCs w:val="0"/>
          <w:sz w:val="21"/>
          <w:szCs w:val="21"/>
        </w:rPr>
      </w:pPr>
      <w:r>
        <w:rPr>
          <w:rFonts w:hint="eastAsia" w:ascii="宋体" w:hAnsi="宋体"/>
          <w:b w:val="0"/>
          <w:bCs w:val="0"/>
          <w:sz w:val="21"/>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40F89283">
      <w:pPr>
        <w:rPr>
          <w:rFonts w:hint="eastAsia" w:ascii="黑体" w:hAnsi="宋体" w:eastAsia="黑体"/>
          <w:sz w:val="24"/>
        </w:rPr>
      </w:pPr>
      <w:r>
        <w:rPr>
          <w:rFonts w:hint="eastAsia" w:ascii="黑体" w:hAnsi="宋体" w:eastAsia="黑体"/>
          <w:sz w:val="24"/>
        </w:rPr>
        <w:t>40.中标通知书</w:t>
      </w:r>
    </w:p>
    <w:p w14:paraId="21B4BE0B">
      <w:pPr>
        <w:ind w:firstLine="411" w:firstLineChars="196"/>
        <w:rPr>
          <w:rFonts w:hint="eastAsia" w:ascii="宋体" w:hAnsi="宋体"/>
          <w:szCs w:val="21"/>
        </w:rPr>
      </w:pPr>
      <w:r>
        <w:rPr>
          <w:rFonts w:hint="eastAsia" w:ascii="宋体" w:hAnsi="宋体"/>
          <w:szCs w:val="21"/>
        </w:rPr>
        <w:t>40</w:t>
      </w:r>
      <w:r>
        <w:rPr>
          <w:rFonts w:ascii="宋体" w:hAnsi="宋体"/>
          <w:szCs w:val="21"/>
        </w:rPr>
        <w:t>.</w:t>
      </w:r>
      <w:r>
        <w:rPr>
          <w:rFonts w:hint="eastAsia" w:ascii="宋体" w:hAnsi="宋体"/>
          <w:szCs w:val="21"/>
        </w:rPr>
        <w:t>1</w:t>
      </w:r>
      <w:bookmarkStart w:id="208" w:name="_Hlk72438863"/>
      <w:r>
        <w:rPr>
          <w:rFonts w:hint="eastAsia" w:ascii="宋体" w:hAnsi="宋体"/>
          <w:szCs w:val="21"/>
        </w:rPr>
        <w:t>中标结果公示期满无异议或者异议不成立的情况下，中标供应商和采购人可自行在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208"/>
    </w:p>
    <w:p w14:paraId="463E5E4E">
      <w:pPr>
        <w:ind w:firstLine="411" w:firstLineChars="196"/>
        <w:rPr>
          <w:rFonts w:hint="eastAsia"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6A02131B">
      <w:pPr>
        <w:ind w:firstLine="411" w:firstLineChars="196"/>
        <w:rPr>
          <w:rFonts w:hint="eastAsia" w:ascii="宋体" w:hAnsi="宋体"/>
          <w:szCs w:val="21"/>
        </w:rPr>
      </w:pPr>
      <w:bookmarkStart w:id="209" w:name="_Hlk71407340"/>
      <w:r>
        <w:rPr>
          <w:rFonts w:hint="eastAsia" w:ascii="宋体" w:hAnsi="宋体"/>
          <w:szCs w:val="21"/>
        </w:rPr>
        <w:t>40.3因质疑投诉或其它原因导致项目结果变更或采购终止的，政府集中采购机构有权撤销中标通知书。</w:t>
      </w:r>
    </w:p>
    <w:bookmarkEnd w:id="209"/>
    <w:p w14:paraId="33D9C030">
      <w:pPr>
        <w:ind w:firstLine="411" w:firstLineChars="196"/>
        <w:rPr>
          <w:rFonts w:hint="eastAsia" w:ascii="宋体" w:hAnsi="宋体"/>
          <w:szCs w:val="21"/>
        </w:rPr>
      </w:pPr>
    </w:p>
    <w:p w14:paraId="0B07034A">
      <w:pPr>
        <w:pStyle w:val="7"/>
        <w:numPr>
          <w:ilvl w:val="0"/>
          <w:numId w:val="15"/>
        </w:numPr>
        <w:spacing w:before="120" w:beforeLines="50" w:after="120" w:afterLines="50"/>
        <w:ind w:left="562" w:hanging="562"/>
        <w:rPr>
          <w:rFonts w:hint="eastAsia"/>
          <w:sz w:val="28"/>
          <w:szCs w:val="28"/>
        </w:rPr>
      </w:pPr>
      <w:r>
        <w:rPr>
          <w:rFonts w:hint="eastAsia"/>
          <w:sz w:val="28"/>
          <w:szCs w:val="28"/>
        </w:rPr>
        <w:t>公开招标失败的后续处理</w:t>
      </w:r>
    </w:p>
    <w:p w14:paraId="270DBC43">
      <w:pPr>
        <w:rPr>
          <w:rFonts w:hint="eastAsia" w:ascii="黑体" w:hAnsi="宋体" w:eastAsia="黑体"/>
          <w:sz w:val="24"/>
        </w:rPr>
      </w:pPr>
      <w:r>
        <w:rPr>
          <w:rFonts w:hint="eastAsia" w:ascii="黑体" w:hAnsi="宋体" w:eastAsia="黑体"/>
          <w:sz w:val="24"/>
        </w:rPr>
        <w:t>41.公开招标失败的处理</w:t>
      </w:r>
    </w:p>
    <w:p w14:paraId="63E22A89">
      <w:pPr>
        <w:ind w:firstLine="411" w:firstLineChars="196"/>
        <w:rPr>
          <w:rFonts w:hint="eastAsia" w:ascii="宋体" w:hAnsi="宋体"/>
        </w:rPr>
      </w:pPr>
      <w:r>
        <w:rPr>
          <w:rFonts w:hint="eastAsia" w:ascii="宋体" w:hAnsi="宋体"/>
          <w:szCs w:val="21"/>
        </w:rPr>
        <w:t>41.1本项目公开招标过程中若由于投标截止后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1317A7E2">
      <w:pPr>
        <w:ind w:firstLine="411" w:firstLineChars="196"/>
        <w:rPr>
          <w:rFonts w:hint="eastAsia" w:ascii="宋体" w:hAnsi="宋体"/>
          <w:szCs w:val="21"/>
        </w:rPr>
      </w:pPr>
      <w:r>
        <w:rPr>
          <w:rFonts w:hint="eastAsia" w:ascii="宋体" w:hAnsi="宋体"/>
          <w:szCs w:val="21"/>
        </w:rPr>
        <w:t>41.2对公开招标失败的项目，评审委员会在出具该项目招标失败结论的同时，可以提出重新采购组织形式的建议，以及进一步完善招标文件的资格、技术、商务要求的修改建议。</w:t>
      </w:r>
    </w:p>
    <w:p w14:paraId="351A794E">
      <w:pPr>
        <w:ind w:firstLine="411" w:firstLineChars="196"/>
        <w:rPr>
          <w:rFonts w:hint="eastAsia" w:ascii="宋体" w:hAnsi="宋体"/>
          <w:szCs w:val="21"/>
        </w:rPr>
      </w:pPr>
      <w:r>
        <w:rPr>
          <w:rFonts w:hint="eastAsia" w:ascii="宋体" w:hAnsi="宋体"/>
          <w:szCs w:val="21"/>
        </w:rPr>
        <w:t>41.3重新组织采购有以下两种组织形式：</w:t>
      </w:r>
    </w:p>
    <w:p w14:paraId="75A32897">
      <w:pPr>
        <w:ind w:firstLine="411" w:firstLineChars="196"/>
        <w:rPr>
          <w:rFonts w:hint="eastAsia" w:ascii="宋体" w:hAnsi="宋体"/>
        </w:rPr>
      </w:pPr>
      <w:r>
        <w:rPr>
          <w:rFonts w:hint="eastAsia" w:ascii="宋体" w:hAnsi="宋体"/>
        </w:rPr>
        <w:t>（1）由政府集中采购机构重新组织公开招标；</w:t>
      </w:r>
    </w:p>
    <w:p w14:paraId="72AE4B8D">
      <w:pPr>
        <w:ind w:firstLine="411" w:firstLineChars="196"/>
        <w:rPr>
          <w:rFonts w:hint="eastAsia"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6205CC63">
      <w:pPr>
        <w:ind w:firstLine="411" w:firstLineChars="196"/>
        <w:rPr>
          <w:rFonts w:hint="eastAsia" w:ascii="宋体" w:hAnsi="宋体"/>
        </w:rPr>
      </w:pPr>
      <w:r>
        <w:rPr>
          <w:rFonts w:hint="eastAsia" w:ascii="宋体" w:hAnsi="宋体"/>
        </w:rPr>
        <w:t>41.4公开招标失败的采购项目重新组织公开招标，由政府集中采购机构重新按公开招标流程组织采购活动。</w:t>
      </w:r>
    </w:p>
    <w:p w14:paraId="432B9FE5">
      <w:pPr>
        <w:ind w:firstLine="411" w:firstLineChars="196"/>
        <w:rPr>
          <w:rFonts w:hint="eastAsia" w:ascii="宋体" w:hAnsi="宋体"/>
        </w:rPr>
      </w:pPr>
      <w:r>
        <w:rPr>
          <w:rFonts w:hint="eastAsia" w:ascii="宋体" w:hAnsi="宋体"/>
        </w:rPr>
        <w:t>41.5公开招标失败的采购项目经同级财政部门批准转为竞争性谈判或单一来源谈判方式采购的，按规定要求组织政府采购工作。</w:t>
      </w:r>
    </w:p>
    <w:p w14:paraId="0EF75ED1">
      <w:pPr>
        <w:rPr>
          <w:rFonts w:hint="eastAsia" w:ascii="黑体" w:hAnsi="宋体" w:eastAsia="黑体"/>
          <w:sz w:val="24"/>
        </w:rPr>
      </w:pPr>
    </w:p>
    <w:p w14:paraId="5B213360">
      <w:pPr>
        <w:pStyle w:val="7"/>
        <w:numPr>
          <w:ilvl w:val="0"/>
          <w:numId w:val="15"/>
        </w:numPr>
        <w:spacing w:before="120" w:beforeLines="50" w:after="120" w:afterLines="50"/>
        <w:ind w:left="562" w:hanging="562"/>
        <w:rPr>
          <w:rFonts w:hint="eastAsia"/>
          <w:sz w:val="28"/>
          <w:szCs w:val="28"/>
        </w:rPr>
      </w:pPr>
      <w:bookmarkStart w:id="210" w:name="_Hlk72439043"/>
      <w:r>
        <w:rPr>
          <w:rFonts w:hint="eastAsia"/>
          <w:sz w:val="28"/>
          <w:szCs w:val="28"/>
        </w:rPr>
        <w:t>合同的授予与备案</w:t>
      </w:r>
      <w:bookmarkEnd w:id="210"/>
    </w:p>
    <w:p w14:paraId="588D9DA7">
      <w:pPr>
        <w:rPr>
          <w:rFonts w:hint="eastAsia" w:ascii="黑体" w:hAnsi="宋体" w:eastAsia="黑体"/>
          <w:sz w:val="24"/>
        </w:rPr>
      </w:pPr>
      <w:bookmarkStart w:id="211" w:name="_Toc73517679"/>
      <w:bookmarkStart w:id="212" w:name="_Toc73518157"/>
      <w:bookmarkStart w:id="213" w:name="_Toc100052408"/>
      <w:bookmarkStart w:id="214" w:name="_Toc73521586"/>
      <w:bookmarkStart w:id="215" w:name="_Toc73521674"/>
      <w:bookmarkStart w:id="216" w:name="_Hlk72439088"/>
      <w:r>
        <w:rPr>
          <w:rFonts w:hint="eastAsia" w:ascii="黑体" w:hAnsi="宋体" w:eastAsia="黑体"/>
          <w:sz w:val="24"/>
        </w:rPr>
        <w:t>42.合同授予标准</w:t>
      </w:r>
      <w:bookmarkEnd w:id="211"/>
      <w:bookmarkEnd w:id="212"/>
      <w:bookmarkEnd w:id="213"/>
      <w:bookmarkEnd w:id="214"/>
      <w:bookmarkEnd w:id="215"/>
    </w:p>
    <w:p w14:paraId="2D4C6BE1">
      <w:pPr>
        <w:ind w:firstLine="411" w:firstLineChars="196"/>
        <w:rPr>
          <w:rFonts w:hint="eastAsia" w:ascii="宋体" w:hAnsi="宋体"/>
          <w:szCs w:val="21"/>
        </w:rPr>
      </w:pPr>
      <w:r>
        <w:rPr>
          <w:rFonts w:hint="eastAsia" w:ascii="宋体" w:hAnsi="宋体"/>
          <w:szCs w:val="21"/>
        </w:rPr>
        <w:t>本项目的合同将授予经本招标文件规定评审确定的中标供应商。</w:t>
      </w:r>
    </w:p>
    <w:p w14:paraId="0B338EA6">
      <w:pPr>
        <w:rPr>
          <w:rFonts w:hint="eastAsia" w:ascii="黑体" w:hAnsi="宋体" w:eastAsia="黑体"/>
          <w:sz w:val="24"/>
        </w:rPr>
      </w:pPr>
      <w:bookmarkStart w:id="217" w:name="_Toc73518158"/>
      <w:bookmarkStart w:id="218" w:name="_Toc73521675"/>
      <w:bookmarkStart w:id="219" w:name="_Toc100052409"/>
      <w:bookmarkStart w:id="220" w:name="_Toc73521587"/>
      <w:bookmarkStart w:id="221" w:name="_Toc73517680"/>
      <w:r>
        <w:rPr>
          <w:rFonts w:hint="eastAsia" w:ascii="黑体" w:hAnsi="宋体" w:eastAsia="黑体"/>
          <w:sz w:val="24"/>
        </w:rPr>
        <w:t>43.</w:t>
      </w:r>
      <w:bookmarkEnd w:id="217"/>
      <w:bookmarkEnd w:id="218"/>
      <w:bookmarkEnd w:id="219"/>
      <w:bookmarkEnd w:id="220"/>
      <w:bookmarkEnd w:id="221"/>
      <w:r>
        <w:rPr>
          <w:rFonts w:hint="eastAsia" w:ascii="黑体" w:hAnsi="宋体" w:eastAsia="黑体"/>
          <w:sz w:val="24"/>
        </w:rPr>
        <w:t>接受和拒绝任何或所有投标的权利</w:t>
      </w:r>
    </w:p>
    <w:p w14:paraId="087B15B1">
      <w:pPr>
        <w:ind w:firstLine="411" w:firstLineChars="196"/>
        <w:rPr>
          <w:rFonts w:hint="eastAsia"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51E13D57">
      <w:pPr>
        <w:rPr>
          <w:rFonts w:hint="eastAsia" w:ascii="黑体" w:hAnsi="宋体" w:eastAsia="黑体"/>
          <w:sz w:val="24"/>
        </w:rPr>
      </w:pPr>
      <w:bookmarkStart w:id="222" w:name="_Toc73517682"/>
      <w:bookmarkStart w:id="223" w:name="_Toc100052410"/>
      <w:bookmarkStart w:id="224" w:name="_Toc73518160"/>
      <w:bookmarkStart w:id="225" w:name="_Toc73521589"/>
      <w:bookmarkStart w:id="226" w:name="_Toc73521677"/>
      <w:r>
        <w:rPr>
          <w:rFonts w:hint="eastAsia" w:ascii="黑体" w:hAnsi="宋体" w:eastAsia="黑体"/>
          <w:sz w:val="24"/>
        </w:rPr>
        <w:t>44.合同的签订</w:t>
      </w:r>
      <w:bookmarkEnd w:id="222"/>
      <w:bookmarkEnd w:id="223"/>
      <w:bookmarkEnd w:id="224"/>
      <w:bookmarkEnd w:id="225"/>
      <w:bookmarkEnd w:id="226"/>
    </w:p>
    <w:p w14:paraId="2A7C2272">
      <w:pPr>
        <w:ind w:firstLine="411" w:firstLineChars="196"/>
        <w:rPr>
          <w:rFonts w:hint="eastAsia" w:ascii="宋体" w:hAnsi="宋体"/>
          <w:szCs w:val="21"/>
        </w:rPr>
      </w:pPr>
      <w:r>
        <w:rPr>
          <w:rFonts w:hint="eastAsia" w:ascii="宋体" w:hAnsi="宋体"/>
          <w:szCs w:val="21"/>
        </w:rPr>
        <w:t>44.1中标人将于中标通知书发出之日起十个工作日内，按照采购文件（招标文件和投标文件等）内容与采购人签订政府采购合同；合同的实质性内容应当符合招标文件的规定；</w:t>
      </w:r>
    </w:p>
    <w:p w14:paraId="6A9DBF02">
      <w:pPr>
        <w:ind w:firstLine="411" w:firstLineChars="196"/>
        <w:rPr>
          <w:rFonts w:hint="eastAsia" w:ascii="宋体" w:hAnsi="宋体"/>
          <w:szCs w:val="21"/>
        </w:rPr>
      </w:pPr>
      <w:r>
        <w:rPr>
          <w:rFonts w:hint="eastAsia" w:ascii="宋体" w:hAnsi="宋体"/>
          <w:szCs w:val="21"/>
        </w:rPr>
        <w:t>44.2中标人如不按本通用条款第45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0932B3B5">
      <w:pPr>
        <w:ind w:firstLine="411" w:firstLineChars="196"/>
        <w:rPr>
          <w:rFonts w:hint="eastAsia" w:ascii="宋体" w:hAnsi="宋体"/>
          <w:szCs w:val="21"/>
        </w:rPr>
      </w:pPr>
      <w:r>
        <w:rPr>
          <w:rFonts w:hint="eastAsia" w:ascii="宋体" w:hAnsi="宋体"/>
          <w:szCs w:val="21"/>
        </w:rPr>
        <w:t>44.3中标人应当按照合同约定履行义务，完成中标项目，不得将中标项目转让（转包）给他人。</w:t>
      </w:r>
    </w:p>
    <w:p w14:paraId="47A2C4AE">
      <w:pPr>
        <w:rPr>
          <w:rFonts w:hint="eastAsia" w:ascii="黑体" w:hAnsi="宋体" w:eastAsia="黑体"/>
          <w:sz w:val="24"/>
        </w:rPr>
      </w:pPr>
      <w:bookmarkStart w:id="227" w:name="_Toc73517683"/>
      <w:bookmarkStart w:id="228" w:name="_Toc73521678"/>
      <w:bookmarkStart w:id="229" w:name="_Toc73521590"/>
      <w:bookmarkStart w:id="230" w:name="_Toc73518161"/>
      <w:bookmarkStart w:id="231" w:name="_Toc100052411"/>
      <w:r>
        <w:rPr>
          <w:rFonts w:hint="eastAsia" w:ascii="黑体" w:hAnsi="宋体" w:eastAsia="黑体"/>
          <w:sz w:val="24"/>
        </w:rPr>
        <w:t>45.履约担保</w:t>
      </w:r>
      <w:bookmarkEnd w:id="227"/>
      <w:bookmarkEnd w:id="228"/>
      <w:bookmarkEnd w:id="229"/>
      <w:bookmarkEnd w:id="230"/>
      <w:bookmarkEnd w:id="231"/>
    </w:p>
    <w:p w14:paraId="7A879028">
      <w:pPr>
        <w:ind w:firstLine="411" w:firstLineChars="196"/>
        <w:rPr>
          <w:rFonts w:hint="eastAsia" w:ascii="宋体" w:hAnsi="宋体"/>
          <w:szCs w:val="21"/>
        </w:rPr>
      </w:pPr>
      <w:r>
        <w:rPr>
          <w:rFonts w:hint="eastAsia" w:ascii="宋体" w:hAnsi="宋体"/>
          <w:szCs w:val="21"/>
        </w:rPr>
        <w:t>45.1在签订项目合同的同时，中标人应按“对通用条款的补充内容”中规定的金额向采购人提交履约担保；</w:t>
      </w:r>
    </w:p>
    <w:p w14:paraId="06022093">
      <w:pPr>
        <w:ind w:firstLine="411" w:firstLineChars="196"/>
        <w:rPr>
          <w:rFonts w:hint="eastAsia" w:ascii="宋体" w:hAnsi="宋体"/>
          <w:szCs w:val="21"/>
        </w:rPr>
      </w:pPr>
      <w:r>
        <w:rPr>
          <w:rFonts w:hint="eastAsia" w:ascii="宋体" w:hAnsi="宋体"/>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01DEE92E">
      <w:pPr>
        <w:rPr>
          <w:rFonts w:hint="eastAsia" w:ascii="黑体" w:hAnsi="宋体" w:eastAsia="黑体"/>
          <w:sz w:val="24"/>
        </w:rPr>
      </w:pPr>
      <w:r>
        <w:rPr>
          <w:rFonts w:hint="eastAsia" w:ascii="黑体" w:hAnsi="宋体" w:eastAsia="黑体"/>
          <w:sz w:val="24"/>
        </w:rPr>
        <w:t>46. 合同备案</w:t>
      </w:r>
    </w:p>
    <w:p w14:paraId="6226CD4A">
      <w:pPr>
        <w:ind w:firstLine="420" w:firstLineChars="200"/>
        <w:rPr>
          <w:rFonts w:hint="eastAsia"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40A90D4F">
      <w:pPr>
        <w:rPr>
          <w:rFonts w:hint="eastAsia" w:ascii="黑体" w:hAnsi="宋体" w:eastAsia="黑体"/>
          <w:sz w:val="24"/>
        </w:rPr>
      </w:pPr>
      <w:r>
        <w:rPr>
          <w:rFonts w:hint="eastAsia" w:ascii="黑体" w:hAnsi="宋体" w:eastAsia="黑体"/>
          <w:sz w:val="24"/>
        </w:rPr>
        <w:t>47. 合同变更</w:t>
      </w:r>
    </w:p>
    <w:p w14:paraId="632E7211">
      <w:pPr>
        <w:ind w:firstLine="411" w:firstLineChars="196"/>
        <w:rPr>
          <w:rFonts w:hint="eastAsia" w:ascii="宋体" w:hAnsi="宋体"/>
          <w:szCs w:val="21"/>
        </w:rPr>
      </w:pPr>
      <w:r>
        <w:rPr>
          <w:rFonts w:hint="eastAsia" w:ascii="宋体" w:hAnsi="宋体"/>
          <w:szCs w:val="21"/>
        </w:rPr>
        <w:t>合同变更事宜按《深圳市财政局关于优化政府采购合同备案的通知》（深财发保〔2022〕2号）相关规定执行。</w:t>
      </w:r>
    </w:p>
    <w:p w14:paraId="61EA029E">
      <w:pPr>
        <w:rPr>
          <w:rFonts w:hint="eastAsia" w:ascii="黑体" w:hAnsi="宋体" w:eastAsia="黑体"/>
          <w:sz w:val="24"/>
        </w:rPr>
      </w:pPr>
      <w:r>
        <w:rPr>
          <w:rFonts w:hint="eastAsia" w:ascii="黑体" w:hAnsi="宋体" w:eastAsia="黑体"/>
          <w:sz w:val="24"/>
        </w:rPr>
        <w:t>48. 项目验收</w:t>
      </w:r>
    </w:p>
    <w:p w14:paraId="0D0C8C3B">
      <w:pPr>
        <w:widowControl/>
        <w:ind w:right="176" w:firstLine="420"/>
        <w:jc w:val="left"/>
        <w:rPr>
          <w:rFonts w:hint="eastAsia" w:ascii="宋体" w:hAnsi="宋体"/>
        </w:rPr>
      </w:pPr>
      <w:r>
        <w:rPr>
          <w:rFonts w:hint="eastAsia" w:ascii="宋体" w:hAnsi="宋体"/>
        </w:rPr>
        <w:t>48.1采购人应当按照招标文件和合同规定的标准和方法，及时组织验收。</w:t>
      </w:r>
      <w:r>
        <w:rPr>
          <w:rFonts w:ascii="宋体" w:hAnsi="宋体"/>
        </w:rPr>
        <w:t xml:space="preserve"> </w:t>
      </w:r>
    </w:p>
    <w:p w14:paraId="2D465202">
      <w:pPr>
        <w:rPr>
          <w:rFonts w:hint="eastAsia" w:ascii="黑体" w:hAnsi="宋体" w:eastAsia="黑体"/>
          <w:sz w:val="24"/>
        </w:rPr>
      </w:pPr>
      <w:r>
        <w:rPr>
          <w:rFonts w:hint="eastAsia" w:ascii="黑体" w:hAnsi="宋体" w:eastAsia="黑体"/>
          <w:sz w:val="24"/>
        </w:rPr>
        <w:t>49. 宣传</w:t>
      </w:r>
    </w:p>
    <w:p w14:paraId="72157232">
      <w:pPr>
        <w:ind w:left="210" w:leftChars="100" w:firstLine="411" w:firstLineChars="196"/>
        <w:rPr>
          <w:rFonts w:hint="eastAsia"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26201E1">
      <w:pPr>
        <w:ind w:left="210" w:leftChars="100" w:firstLine="411" w:firstLineChars="196"/>
        <w:rPr>
          <w:rFonts w:hint="eastAsia" w:ascii="宋体" w:hAnsi="宋体"/>
        </w:rPr>
      </w:pPr>
      <w:r>
        <w:rPr>
          <w:rFonts w:ascii="宋体" w:hAnsi="宋体"/>
        </w:rPr>
        <w:t>a.名片、宣传册、广告标语等；</w:t>
      </w:r>
    </w:p>
    <w:p w14:paraId="3AA7709D">
      <w:pPr>
        <w:ind w:left="210" w:leftChars="100" w:firstLine="411" w:firstLineChars="196"/>
        <w:rPr>
          <w:rFonts w:hint="eastAsia" w:ascii="宋体" w:hAnsi="宋体"/>
        </w:rPr>
      </w:pPr>
      <w:r>
        <w:rPr>
          <w:rFonts w:ascii="宋体" w:hAnsi="宋体"/>
        </w:rPr>
        <w:t>b.案例介绍、推广等；</w:t>
      </w:r>
    </w:p>
    <w:p w14:paraId="5C2BCDAB">
      <w:pPr>
        <w:ind w:left="210" w:leftChars="100" w:firstLine="411" w:firstLineChars="196"/>
        <w:rPr>
          <w:rFonts w:hint="eastAsia" w:ascii="宋体" w:hAnsi="宋体"/>
        </w:rPr>
      </w:pPr>
      <w:r>
        <w:rPr>
          <w:rFonts w:hint="eastAsia" w:ascii="宋体" w:hAnsi="宋体"/>
        </w:rPr>
        <w:t>c.工作</w:t>
      </w:r>
      <w:r>
        <w:rPr>
          <w:rFonts w:ascii="宋体" w:hAnsi="宋体"/>
        </w:rPr>
        <w:t>人员向其他消费群体宣传。</w:t>
      </w:r>
    </w:p>
    <w:p w14:paraId="351A38A1">
      <w:pPr>
        <w:rPr>
          <w:rFonts w:hint="eastAsia" w:ascii="黑体" w:hAnsi="宋体" w:eastAsia="黑体"/>
          <w:sz w:val="24"/>
        </w:rPr>
      </w:pPr>
      <w:r>
        <w:rPr>
          <w:rFonts w:hint="eastAsia" w:ascii="黑体" w:hAnsi="宋体" w:eastAsia="黑体"/>
          <w:sz w:val="24"/>
        </w:rPr>
        <w:t>50. 供应商违法责任</w:t>
      </w:r>
    </w:p>
    <w:p w14:paraId="1AF6E22C">
      <w:pPr>
        <w:ind w:firstLine="411" w:firstLineChars="196"/>
        <w:rPr>
          <w:rFonts w:hint="eastAsia" w:ascii="宋体" w:hAnsi="宋体"/>
          <w:szCs w:val="21"/>
        </w:rPr>
      </w:pPr>
      <w:r>
        <w:rPr>
          <w:rFonts w:hint="eastAsia" w:ascii="宋体" w:hAnsi="宋体"/>
          <w:szCs w:val="21"/>
        </w:rPr>
        <w:t>50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6F95800E">
      <w:pPr>
        <w:ind w:firstLine="411" w:firstLineChars="196"/>
        <w:rPr>
          <w:rFonts w:hint="eastAsia" w:ascii="宋体" w:hAnsi="宋体"/>
          <w:szCs w:val="21"/>
        </w:rPr>
      </w:pPr>
      <w:r>
        <w:rPr>
          <w:rFonts w:hint="eastAsia" w:ascii="宋体" w:hAnsi="宋体"/>
          <w:szCs w:val="21"/>
        </w:rPr>
        <w:t>（1）在采购活动中应当回避而未回避的；</w:t>
      </w:r>
    </w:p>
    <w:p w14:paraId="12353E47">
      <w:pPr>
        <w:ind w:firstLine="411" w:firstLineChars="196"/>
        <w:rPr>
          <w:rFonts w:hint="eastAsia" w:ascii="宋体" w:hAnsi="宋体"/>
          <w:szCs w:val="21"/>
        </w:rPr>
      </w:pPr>
      <w:r>
        <w:rPr>
          <w:rFonts w:hint="eastAsia" w:ascii="宋体" w:hAnsi="宋体"/>
          <w:szCs w:val="21"/>
        </w:rPr>
        <w:t>（2）未按本条例规定签订、履行采购合同，造成严重后果的；</w:t>
      </w:r>
    </w:p>
    <w:p w14:paraId="52603B64">
      <w:pPr>
        <w:ind w:firstLine="411" w:firstLineChars="196"/>
        <w:rPr>
          <w:rFonts w:hint="eastAsia" w:ascii="宋体" w:hAnsi="宋体"/>
          <w:szCs w:val="21"/>
        </w:rPr>
      </w:pPr>
      <w:r>
        <w:rPr>
          <w:rFonts w:hint="eastAsia" w:ascii="宋体" w:hAnsi="宋体"/>
          <w:szCs w:val="21"/>
        </w:rPr>
        <w:t>（3）隐瞒真实情况，提供虚假资料的；</w:t>
      </w:r>
    </w:p>
    <w:p w14:paraId="19CA864F">
      <w:pPr>
        <w:ind w:firstLine="411" w:firstLineChars="196"/>
        <w:rPr>
          <w:rFonts w:hint="eastAsia" w:ascii="宋体" w:hAnsi="宋体"/>
          <w:szCs w:val="21"/>
        </w:rPr>
      </w:pPr>
      <w:r>
        <w:rPr>
          <w:rFonts w:hint="eastAsia" w:ascii="宋体" w:hAnsi="宋体"/>
          <w:szCs w:val="21"/>
        </w:rPr>
        <w:t>（4）以非法手段排斥其他供应商参与竞争的；</w:t>
      </w:r>
    </w:p>
    <w:p w14:paraId="4B03AD53">
      <w:pPr>
        <w:ind w:firstLine="411" w:firstLineChars="196"/>
        <w:rPr>
          <w:rFonts w:hint="eastAsia" w:ascii="宋体" w:hAnsi="宋体"/>
          <w:szCs w:val="21"/>
        </w:rPr>
      </w:pPr>
      <w:r>
        <w:rPr>
          <w:rFonts w:hint="eastAsia" w:ascii="宋体" w:hAnsi="宋体"/>
          <w:szCs w:val="21"/>
        </w:rPr>
        <w:t>（5）与其他采购参加人串通投标的；</w:t>
      </w:r>
    </w:p>
    <w:p w14:paraId="23482282">
      <w:pPr>
        <w:ind w:firstLine="411" w:firstLineChars="196"/>
        <w:rPr>
          <w:rFonts w:hint="eastAsia" w:ascii="宋体" w:hAnsi="宋体"/>
          <w:szCs w:val="21"/>
        </w:rPr>
      </w:pPr>
      <w:r>
        <w:rPr>
          <w:rFonts w:hint="eastAsia" w:ascii="宋体" w:hAnsi="宋体"/>
          <w:szCs w:val="21"/>
        </w:rPr>
        <w:t>（6）恶意投诉的；</w:t>
      </w:r>
    </w:p>
    <w:p w14:paraId="1FE8CC64">
      <w:pPr>
        <w:ind w:firstLine="411" w:firstLineChars="196"/>
        <w:rPr>
          <w:rFonts w:hint="eastAsia" w:ascii="宋体" w:hAnsi="宋体"/>
          <w:szCs w:val="21"/>
        </w:rPr>
      </w:pPr>
      <w:r>
        <w:rPr>
          <w:rFonts w:hint="eastAsia" w:ascii="宋体" w:hAnsi="宋体"/>
          <w:szCs w:val="21"/>
        </w:rPr>
        <w:t>（7）向采购项目相关人行贿或者提供其他不当利益的；</w:t>
      </w:r>
    </w:p>
    <w:p w14:paraId="3CC9F0CE">
      <w:pPr>
        <w:ind w:firstLine="411" w:firstLineChars="196"/>
        <w:rPr>
          <w:rFonts w:hint="eastAsia" w:ascii="宋体" w:hAnsi="宋体"/>
          <w:szCs w:val="21"/>
        </w:rPr>
      </w:pPr>
      <w:r>
        <w:rPr>
          <w:rFonts w:hint="eastAsia" w:ascii="宋体" w:hAnsi="宋体"/>
          <w:szCs w:val="21"/>
        </w:rPr>
        <w:t>（8）阻碍、抗拒主管部门监督检查的；</w:t>
      </w:r>
    </w:p>
    <w:p w14:paraId="0E91891D">
      <w:pPr>
        <w:ind w:firstLine="411" w:firstLineChars="196"/>
        <w:rPr>
          <w:rFonts w:hint="eastAsia" w:ascii="宋体" w:hAnsi="宋体"/>
          <w:szCs w:val="21"/>
        </w:rPr>
      </w:pPr>
      <w:r>
        <w:rPr>
          <w:rFonts w:hint="eastAsia" w:ascii="宋体" w:hAnsi="宋体"/>
          <w:szCs w:val="21"/>
        </w:rPr>
        <w:t>（9）其他违反本条例规定的行为。</w:t>
      </w:r>
    </w:p>
    <w:p w14:paraId="12AE1312">
      <w:pPr>
        <w:ind w:firstLine="411" w:firstLineChars="196"/>
        <w:rPr>
          <w:rFonts w:hint="eastAsia" w:ascii="宋体" w:hAnsi="宋体"/>
          <w:szCs w:val="21"/>
        </w:rPr>
      </w:pPr>
      <w:r>
        <w:rPr>
          <w:rFonts w:hint="eastAsia" w:ascii="宋体" w:hAnsi="宋体"/>
          <w:szCs w:val="21"/>
        </w:rPr>
        <w:t>50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232" w:name="_Hlk72440769"/>
      <w:r>
        <w:rPr>
          <w:rFonts w:hint="eastAsia" w:ascii="宋体" w:hAnsi="宋体"/>
          <w:szCs w:val="21"/>
        </w:rPr>
        <w:t>政府集中采购机构或采购人不予退还其交纳的谈判保证金，情节严重的，并由主管部门</w:t>
      </w:r>
      <w:bookmarkEnd w:id="232"/>
      <w:r>
        <w:rPr>
          <w:rFonts w:hint="eastAsia" w:ascii="宋体" w:hAnsi="宋体"/>
          <w:szCs w:val="21"/>
        </w:rPr>
        <w:t>记入供应商诚信档案，予以通报：</w:t>
      </w:r>
    </w:p>
    <w:p w14:paraId="6F6E88A4">
      <w:pPr>
        <w:ind w:firstLine="411" w:firstLineChars="196"/>
        <w:rPr>
          <w:rFonts w:hint="eastAsia" w:ascii="宋体" w:hAnsi="宋体"/>
          <w:szCs w:val="21"/>
        </w:rPr>
      </w:pPr>
      <w:r>
        <w:rPr>
          <w:rFonts w:hint="eastAsia" w:ascii="宋体" w:hAnsi="宋体"/>
          <w:szCs w:val="21"/>
        </w:rPr>
        <w:t>（1</w:t>
      </w:r>
      <w:r>
        <w:rPr>
          <w:rFonts w:ascii="宋体" w:hAnsi="宋体"/>
          <w:szCs w:val="21"/>
        </w:rPr>
        <w:t>）投标截止后，撤销投标的；</w:t>
      </w:r>
    </w:p>
    <w:p w14:paraId="57D70DC1">
      <w:pPr>
        <w:ind w:firstLine="411" w:firstLineChars="196"/>
        <w:rPr>
          <w:rFonts w:hint="eastAsia"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E0A010C">
      <w:pPr>
        <w:ind w:firstLine="411" w:firstLineChars="196"/>
        <w:rPr>
          <w:rFonts w:hint="eastAsia"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3E7904D">
      <w:pPr>
        <w:ind w:firstLine="411" w:firstLineChars="196"/>
        <w:rPr>
          <w:rFonts w:hint="eastAsia"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216"/>
    <w:p w14:paraId="4ABD758B">
      <w:pPr>
        <w:pStyle w:val="7"/>
        <w:numPr>
          <w:ilvl w:val="0"/>
          <w:numId w:val="15"/>
        </w:numPr>
        <w:spacing w:before="120" w:beforeLines="50" w:after="120" w:afterLines="50"/>
        <w:ind w:left="562" w:hanging="562"/>
        <w:rPr>
          <w:rFonts w:hint="eastAsia"/>
          <w:sz w:val="28"/>
          <w:szCs w:val="28"/>
        </w:rPr>
      </w:pPr>
      <w:r>
        <w:rPr>
          <w:rFonts w:hint="eastAsia"/>
          <w:sz w:val="28"/>
          <w:szCs w:val="28"/>
        </w:rPr>
        <w:t>质疑处理</w:t>
      </w:r>
    </w:p>
    <w:p w14:paraId="6C317C1F">
      <w:pPr>
        <w:rPr>
          <w:rFonts w:hint="eastAsia" w:ascii="黑体" w:hAnsi="宋体" w:eastAsia="黑体"/>
          <w:sz w:val="24"/>
        </w:rPr>
      </w:pPr>
      <w:bookmarkStart w:id="233" w:name="_Hlk72439706"/>
      <w:r>
        <w:rPr>
          <w:rFonts w:hint="eastAsia" w:ascii="黑体" w:hAnsi="宋体" w:eastAsia="黑体"/>
          <w:sz w:val="24"/>
        </w:rPr>
        <w:t>51.质疑提出与答复</w:t>
      </w:r>
    </w:p>
    <w:p w14:paraId="75B6A531">
      <w:pPr>
        <w:ind w:firstLine="420" w:firstLineChars="200"/>
        <w:rPr>
          <w:rFonts w:hint="eastAsia" w:ascii="宋体" w:hAnsi="宋体"/>
          <w:szCs w:val="21"/>
        </w:rPr>
      </w:pPr>
      <w:r>
        <w:rPr>
          <w:rFonts w:hint="eastAsia" w:ascii="宋体" w:hAnsi="宋体"/>
          <w:szCs w:val="21"/>
        </w:rPr>
        <w:t>51.1提出质疑</w:t>
      </w:r>
    </w:p>
    <w:p w14:paraId="48E60627">
      <w:pPr>
        <w:ind w:firstLine="420" w:firstLineChars="200"/>
        <w:rPr>
          <w:rFonts w:hint="eastAsia" w:ascii="宋体" w:hAnsi="宋体"/>
          <w:szCs w:val="21"/>
        </w:rPr>
      </w:pPr>
      <w:r>
        <w:rPr>
          <w:rFonts w:hint="eastAsia" w:ascii="宋体" w:hAnsi="宋体"/>
          <w:szCs w:val="21"/>
        </w:rPr>
        <w:t>参与政府采购活动的供应商认为自己的权益在采购活动中受到损害的，应当自知道或者应当知道其权益受到损害之日起七个工作日内向采购人、政府集中采购机构以书面形式提出质疑。</w:t>
      </w:r>
    </w:p>
    <w:p w14:paraId="3BEE297C">
      <w:pPr>
        <w:ind w:firstLine="420" w:firstLineChars="200"/>
        <w:rPr>
          <w:rFonts w:hint="eastAsia" w:ascii="宋体" w:hAnsi="宋体"/>
          <w:szCs w:val="21"/>
        </w:rPr>
      </w:pPr>
      <w:r>
        <w:rPr>
          <w:rFonts w:hint="eastAsia" w:ascii="宋体" w:hAnsi="宋体"/>
          <w:szCs w:val="21"/>
        </w:rPr>
        <w:t>51.2</w:t>
      </w:r>
      <w:r>
        <w:rPr>
          <w:rFonts w:ascii="宋体" w:hAnsi="宋体"/>
          <w:szCs w:val="21"/>
        </w:rPr>
        <w:t>法律依据</w:t>
      </w:r>
    </w:p>
    <w:p w14:paraId="1BB3CD29">
      <w:pPr>
        <w:ind w:firstLine="420" w:firstLineChars="200"/>
        <w:rPr>
          <w:rFonts w:hint="eastAsia" w:ascii="宋体" w:hAnsi="宋体"/>
          <w:szCs w:val="21"/>
        </w:rPr>
      </w:pPr>
      <w:r>
        <w:rPr>
          <w:rFonts w:hint="eastAsia" w:ascii="宋体" w:hAnsi="宋体"/>
          <w:szCs w:val="21"/>
        </w:rPr>
        <w:t>《中华人民共和国政府采购法》《中华人民共和国政府采购法实施条例》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5AE1339C">
      <w:pPr>
        <w:ind w:firstLine="420" w:firstLineChars="200"/>
        <w:rPr>
          <w:rFonts w:hint="eastAsia" w:ascii="宋体" w:hAnsi="宋体"/>
          <w:szCs w:val="21"/>
        </w:rPr>
      </w:pPr>
      <w:r>
        <w:rPr>
          <w:rFonts w:hint="eastAsia" w:ascii="宋体" w:hAnsi="宋体"/>
          <w:szCs w:val="21"/>
        </w:rPr>
        <w:t>51.3质疑条件</w:t>
      </w:r>
    </w:p>
    <w:p w14:paraId="041F8B35">
      <w:pPr>
        <w:ind w:firstLine="420" w:firstLineChars="200"/>
        <w:rPr>
          <w:rFonts w:hint="eastAsia" w:ascii="宋体" w:hAnsi="宋体"/>
          <w:szCs w:val="21"/>
        </w:rPr>
      </w:pPr>
      <w:r>
        <w:rPr>
          <w:rFonts w:hint="eastAsia" w:ascii="宋体" w:hAnsi="宋体"/>
          <w:szCs w:val="21"/>
        </w:rPr>
        <w:t>51.3.1提出质疑的供应商应当是参与所质疑项目采购活动的供应商；</w:t>
      </w:r>
      <w:bookmarkStart w:id="234" w:name="_Hlk75374941"/>
      <w:r>
        <w:rPr>
          <w:rFonts w:hint="eastAsia" w:ascii="宋体" w:hAnsi="宋体"/>
          <w:szCs w:val="21"/>
        </w:rPr>
        <w:t>以联合体形式参与的，质疑应当由组成联合体的所有成员共同提出</w:t>
      </w:r>
      <w:bookmarkEnd w:id="234"/>
      <w:r>
        <w:rPr>
          <w:rFonts w:hint="eastAsia" w:ascii="宋体" w:hAnsi="宋体"/>
          <w:szCs w:val="21"/>
        </w:rPr>
        <w:t>；</w:t>
      </w:r>
    </w:p>
    <w:p w14:paraId="72FBAAE7">
      <w:pPr>
        <w:ind w:firstLine="420" w:firstLineChars="200"/>
        <w:rPr>
          <w:rFonts w:hint="eastAsia" w:ascii="宋体" w:hAnsi="宋体"/>
          <w:szCs w:val="21"/>
        </w:rPr>
      </w:pPr>
      <w:r>
        <w:rPr>
          <w:rFonts w:hint="eastAsia" w:ascii="宋体" w:hAnsi="宋体"/>
          <w:szCs w:val="21"/>
        </w:rPr>
        <w:t>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3FBABD11">
      <w:pPr>
        <w:ind w:firstLine="420"/>
        <w:rPr>
          <w:rFonts w:hint="eastAsia" w:ascii="宋体" w:hAnsi="宋体"/>
          <w:szCs w:val="21"/>
        </w:rPr>
      </w:pPr>
      <w:r>
        <w:rPr>
          <w:rFonts w:hint="eastAsia" w:ascii="宋体" w:hAnsi="宋体"/>
          <w:szCs w:val="21"/>
        </w:rPr>
        <w:t>51.3.3应提交书面质疑函，质疑函应当包括以下内容：</w:t>
      </w:r>
      <w:r>
        <w:rPr>
          <w:rFonts w:ascii="宋体" w:hAnsi="宋体"/>
          <w:szCs w:val="21"/>
        </w:rPr>
        <w:t xml:space="preserve"> </w:t>
      </w:r>
    </w:p>
    <w:p w14:paraId="2BBF368B">
      <w:pPr>
        <w:ind w:firstLine="420"/>
        <w:rPr>
          <w:rFonts w:hint="eastAsia" w:ascii="宋体" w:hAnsi="宋体"/>
          <w:szCs w:val="21"/>
        </w:rPr>
      </w:pPr>
      <w:r>
        <w:rPr>
          <w:rFonts w:hint="eastAsia" w:ascii="宋体" w:hAnsi="宋体"/>
          <w:szCs w:val="21"/>
        </w:rPr>
        <w:t>（1）供应商的名称（或者姓名）、地址、邮编、邮箱、联系人及联系电话；</w:t>
      </w:r>
    </w:p>
    <w:p w14:paraId="69885871">
      <w:pPr>
        <w:ind w:firstLine="420" w:firstLineChars="200"/>
        <w:rPr>
          <w:rFonts w:hint="eastAsia" w:ascii="宋体" w:hAnsi="宋体"/>
          <w:szCs w:val="21"/>
        </w:rPr>
      </w:pPr>
      <w:r>
        <w:rPr>
          <w:rFonts w:hint="eastAsia" w:ascii="宋体" w:hAnsi="宋体"/>
          <w:szCs w:val="21"/>
        </w:rPr>
        <w:t>（2）质疑项目的名称、编号；</w:t>
      </w:r>
    </w:p>
    <w:p w14:paraId="5F892154">
      <w:pPr>
        <w:ind w:firstLine="420" w:firstLineChars="200"/>
        <w:rPr>
          <w:rFonts w:hint="eastAsia" w:ascii="宋体" w:hAnsi="宋体"/>
          <w:szCs w:val="21"/>
        </w:rPr>
      </w:pPr>
      <w:r>
        <w:rPr>
          <w:rFonts w:hint="eastAsia" w:ascii="宋体" w:hAnsi="宋体"/>
          <w:szCs w:val="21"/>
        </w:rPr>
        <w:t>（3）具体、明确的质疑对象、质疑事项和质疑请求；</w:t>
      </w:r>
    </w:p>
    <w:p w14:paraId="10AC693D">
      <w:pPr>
        <w:ind w:firstLine="420" w:firstLineChars="200"/>
        <w:rPr>
          <w:rFonts w:hint="eastAsia" w:ascii="宋体" w:hAnsi="宋体"/>
          <w:szCs w:val="21"/>
        </w:rPr>
      </w:pPr>
      <w:r>
        <w:rPr>
          <w:rFonts w:hint="eastAsia" w:ascii="宋体" w:hAnsi="宋体"/>
          <w:szCs w:val="21"/>
        </w:rPr>
        <w:t>（4）因质疑事项而受损害的权益；</w:t>
      </w:r>
    </w:p>
    <w:p w14:paraId="2DFE0CDE">
      <w:pPr>
        <w:ind w:firstLine="420" w:firstLineChars="200"/>
        <w:rPr>
          <w:rFonts w:hint="eastAsia" w:ascii="宋体" w:hAnsi="宋体"/>
          <w:szCs w:val="21"/>
        </w:rPr>
      </w:pPr>
      <w:r>
        <w:rPr>
          <w:rFonts w:hint="eastAsia" w:ascii="宋体" w:hAnsi="宋体"/>
          <w:szCs w:val="21"/>
        </w:rPr>
        <w:t>（5）事实依据；</w:t>
      </w:r>
    </w:p>
    <w:p w14:paraId="196BFDD7">
      <w:pPr>
        <w:ind w:firstLine="420" w:firstLineChars="200"/>
        <w:rPr>
          <w:rFonts w:hint="eastAsia" w:ascii="宋体" w:hAnsi="宋体"/>
          <w:szCs w:val="21"/>
        </w:rPr>
      </w:pPr>
      <w:r>
        <w:rPr>
          <w:rFonts w:hint="eastAsia" w:ascii="宋体" w:hAnsi="宋体"/>
          <w:szCs w:val="21"/>
        </w:rPr>
        <w:t>（6）必要的法律依据；</w:t>
      </w:r>
    </w:p>
    <w:p w14:paraId="0380B1F9">
      <w:pPr>
        <w:ind w:firstLine="420" w:firstLineChars="200"/>
        <w:rPr>
          <w:rFonts w:hint="eastAsia" w:ascii="宋体" w:hAnsi="宋体"/>
          <w:szCs w:val="21"/>
        </w:rPr>
      </w:pPr>
      <w:r>
        <w:rPr>
          <w:rFonts w:hint="eastAsia" w:ascii="宋体" w:hAnsi="宋体"/>
          <w:szCs w:val="21"/>
        </w:rPr>
        <w:t>（7）提出质疑的日期。</w:t>
      </w:r>
    </w:p>
    <w:p w14:paraId="757E2615">
      <w:pPr>
        <w:ind w:firstLine="420" w:firstLineChars="200"/>
        <w:rPr>
          <w:rFonts w:hint="eastAsia"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5DA65B92">
      <w:pPr>
        <w:ind w:firstLine="420" w:firstLineChars="200"/>
        <w:rPr>
          <w:rFonts w:hint="eastAsia" w:ascii="宋体" w:hAnsi="宋体"/>
          <w:szCs w:val="21"/>
        </w:rPr>
      </w:pPr>
      <w:r>
        <w:rPr>
          <w:rFonts w:hint="eastAsia" w:ascii="宋体" w:hAnsi="宋体"/>
          <w:szCs w:val="21"/>
        </w:rPr>
        <w:t>51.4提交</w:t>
      </w:r>
      <w:r>
        <w:rPr>
          <w:rFonts w:ascii="宋体" w:hAnsi="宋体"/>
          <w:szCs w:val="21"/>
        </w:rPr>
        <w:t>材料</w:t>
      </w:r>
    </w:p>
    <w:p w14:paraId="09C6D4EC">
      <w:pPr>
        <w:ind w:firstLine="420" w:firstLineChars="200"/>
        <w:rPr>
          <w:rFonts w:hint="eastAsia"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4CB63C0A">
      <w:pPr>
        <w:ind w:firstLine="420" w:firstLineChars="200"/>
        <w:rPr>
          <w:rFonts w:hint="eastAsia"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w:t>
      </w:r>
      <w:r>
        <w:rPr>
          <w:rFonts w:hint="eastAsia" w:ascii="宋体" w:hAnsi="宋体"/>
          <w:szCs w:val="21"/>
        </w:rPr>
        <w:t>，并附上加盖公章的代理人身份证复印件</w:t>
      </w:r>
      <w:r>
        <w:rPr>
          <w:rFonts w:ascii="宋体" w:hAnsi="宋体"/>
          <w:szCs w:val="21"/>
        </w:rPr>
        <w:t>。供应商为自然人的，应当由本人签字；供应商为法人或者其他组织的，应当由法定代表人、主要负责人签字或者盖章，并加盖公章。</w:t>
      </w:r>
    </w:p>
    <w:p w14:paraId="611549C0">
      <w:pPr>
        <w:ind w:firstLine="420" w:firstLineChars="200"/>
        <w:rPr>
          <w:rFonts w:hint="eastAsia" w:ascii="宋体" w:hAnsi="宋体"/>
          <w:szCs w:val="21"/>
        </w:rPr>
      </w:pPr>
      <w:r>
        <w:rPr>
          <w:rFonts w:hint="eastAsia" w:ascii="宋体" w:hAnsi="宋体"/>
          <w:szCs w:val="21"/>
        </w:rPr>
        <w:t>51.5提交方式</w:t>
      </w:r>
    </w:p>
    <w:p w14:paraId="1D42530C">
      <w:pPr>
        <w:ind w:firstLine="420" w:firstLineChars="200"/>
        <w:rPr>
          <w:rFonts w:hint="eastAsia" w:ascii="宋体" w:hAnsi="宋体"/>
          <w:szCs w:val="21"/>
        </w:rPr>
      </w:pPr>
      <w:r>
        <w:rPr>
          <w:rFonts w:hint="eastAsia" w:ascii="宋体" w:hAnsi="宋体"/>
          <w:szCs w:val="21"/>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6E8E3D27">
      <w:pPr>
        <w:ind w:firstLine="420" w:firstLineChars="200"/>
        <w:rPr>
          <w:rFonts w:hint="eastAsia" w:ascii="宋体" w:hAnsi="宋体"/>
          <w:b/>
          <w:bCs/>
          <w:szCs w:val="21"/>
        </w:rPr>
      </w:pPr>
      <w:r>
        <w:rPr>
          <w:rFonts w:hint="eastAsia" w:ascii="宋体" w:hAnsi="宋体"/>
          <w:szCs w:val="21"/>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2E12B33C">
      <w:pPr>
        <w:ind w:firstLine="420" w:firstLineChars="200"/>
        <w:rPr>
          <w:rFonts w:hint="eastAsia" w:ascii="宋体" w:hAnsi="宋体"/>
          <w:szCs w:val="21"/>
        </w:rPr>
      </w:pPr>
      <w:r>
        <w:rPr>
          <w:rFonts w:hint="eastAsia" w:ascii="宋体" w:hAnsi="宋体"/>
          <w:szCs w:val="21"/>
        </w:rPr>
        <w:t>51.5.1现场或邮寄提交</w:t>
      </w:r>
    </w:p>
    <w:p w14:paraId="3BA7D9E9">
      <w:pPr>
        <w:ind w:firstLine="420" w:firstLineChars="200"/>
        <w:rPr>
          <w:rFonts w:hint="eastAsia"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093724C1">
      <w:pPr>
        <w:ind w:firstLine="420" w:firstLineChars="200"/>
        <w:rPr>
          <w:rFonts w:hint="eastAsia"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430ABC3C">
      <w:pPr>
        <w:ind w:firstLine="420" w:firstLineChars="200"/>
        <w:rPr>
          <w:rFonts w:hint="eastAsia" w:ascii="宋体" w:hAnsi="宋体"/>
          <w:szCs w:val="21"/>
        </w:rPr>
      </w:pPr>
      <w:r>
        <w:rPr>
          <w:rFonts w:hint="eastAsia" w:ascii="宋体" w:hAnsi="宋体"/>
          <w:szCs w:val="21"/>
        </w:rPr>
        <w:t>51.5.2线上提交</w:t>
      </w:r>
    </w:p>
    <w:p w14:paraId="4F922EA1">
      <w:pPr>
        <w:ind w:firstLine="420" w:firstLineChars="200"/>
        <w:rPr>
          <w:rFonts w:hint="eastAsia"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4147280B">
      <w:pPr>
        <w:ind w:firstLine="422" w:firstLineChars="200"/>
        <w:rPr>
          <w:rFonts w:hint="eastAsia" w:ascii="宋体" w:hAnsi="宋体"/>
          <w:b/>
          <w:color w:val="FF0000"/>
          <w:szCs w:val="21"/>
        </w:rPr>
      </w:pPr>
      <w:r>
        <w:rPr>
          <w:rFonts w:hint="eastAsia" w:ascii="宋体" w:hAnsi="宋体"/>
          <w:b/>
          <w:color w:val="FF0000"/>
          <w:szCs w:val="21"/>
        </w:rPr>
        <w:t>该功能为试运行功能，如遇问题，请及时联系0755-36568999 转1转1、0755-86500050、0755-86500054。如因系统原因无法提交质疑，且未及时选择其他质疑途径导致质疑超期的，相关不利后果由供应商自行承担。</w:t>
      </w:r>
    </w:p>
    <w:p w14:paraId="3EDB06A0">
      <w:pPr>
        <w:ind w:firstLine="420" w:firstLineChars="200"/>
        <w:rPr>
          <w:rFonts w:hint="eastAsia" w:ascii="宋体" w:hAnsi="宋体"/>
          <w:szCs w:val="21"/>
        </w:rPr>
      </w:pPr>
      <w:r>
        <w:rPr>
          <w:rFonts w:hint="eastAsia" w:ascii="宋体" w:hAnsi="宋体"/>
          <w:szCs w:val="21"/>
        </w:rPr>
        <w:t>51.6收文办理</w:t>
      </w:r>
      <w:r>
        <w:rPr>
          <w:rFonts w:ascii="宋体" w:hAnsi="宋体"/>
          <w:szCs w:val="21"/>
        </w:rPr>
        <w:t>程序</w:t>
      </w:r>
    </w:p>
    <w:p w14:paraId="52D11B93">
      <w:pPr>
        <w:ind w:firstLine="420" w:firstLineChars="200"/>
        <w:rPr>
          <w:rFonts w:hint="eastAsia" w:ascii="宋体" w:hAnsi="宋体"/>
          <w:szCs w:val="21"/>
        </w:rPr>
      </w:pPr>
      <w:r>
        <w:rPr>
          <w:rFonts w:hint="eastAsia" w:ascii="宋体" w:hAnsi="宋体"/>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B6123A5">
      <w:pPr>
        <w:ind w:firstLine="420" w:firstLineChars="200"/>
        <w:rPr>
          <w:rFonts w:hint="eastAsia" w:ascii="仿宋" w:hAnsi="仿宋" w:eastAsia="仿宋"/>
          <w:sz w:val="28"/>
          <w:szCs w:val="28"/>
        </w:rPr>
      </w:pPr>
      <w:r>
        <w:rPr>
          <w:rFonts w:hint="eastAsia" w:ascii="宋体" w:hAnsi="宋体"/>
          <w:szCs w:val="21"/>
        </w:rPr>
        <w:t>51.6.2供应商提交的质疑材料不符合质疑条件的，视情况处理：</w:t>
      </w:r>
    </w:p>
    <w:p w14:paraId="4DE2C2B9">
      <w:pPr>
        <w:ind w:firstLine="420" w:firstLineChars="200"/>
        <w:rPr>
          <w:rFonts w:hint="eastAsia"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34CE8C73">
      <w:pPr>
        <w:ind w:firstLine="420" w:firstLineChars="200"/>
        <w:rPr>
          <w:rFonts w:hint="eastAsia" w:ascii="宋体" w:hAnsi="宋体"/>
          <w:szCs w:val="21"/>
        </w:rPr>
      </w:pPr>
      <w:r>
        <w:rPr>
          <w:rFonts w:hint="eastAsia" w:ascii="宋体" w:hAnsi="宋体"/>
          <w:szCs w:val="21"/>
        </w:rPr>
        <w:t>供应商提交的质疑存在下列情形之一的，不予受理：</w:t>
      </w:r>
    </w:p>
    <w:p w14:paraId="6433809D">
      <w:pPr>
        <w:ind w:firstLine="420" w:firstLineChars="200"/>
        <w:rPr>
          <w:rFonts w:hint="eastAsia" w:ascii="宋体" w:hAnsi="宋体"/>
          <w:szCs w:val="21"/>
        </w:rPr>
      </w:pPr>
      <w:r>
        <w:rPr>
          <w:rFonts w:hint="eastAsia" w:ascii="宋体" w:hAnsi="宋体"/>
          <w:szCs w:val="21"/>
        </w:rPr>
        <w:t>（1）质疑主体不满足要求的；</w:t>
      </w:r>
    </w:p>
    <w:p w14:paraId="178FB3F0">
      <w:pPr>
        <w:ind w:firstLine="420" w:firstLineChars="200"/>
        <w:rPr>
          <w:rFonts w:hint="eastAsia" w:ascii="宋体" w:hAnsi="宋体"/>
          <w:szCs w:val="21"/>
        </w:rPr>
      </w:pPr>
      <w:r>
        <w:rPr>
          <w:rFonts w:hint="eastAsia" w:ascii="宋体" w:hAnsi="宋体"/>
          <w:szCs w:val="21"/>
        </w:rPr>
        <w:t>（2）供应商自身权益未受到损害的；</w:t>
      </w:r>
    </w:p>
    <w:p w14:paraId="4BA0497E">
      <w:pPr>
        <w:ind w:firstLine="420" w:firstLineChars="200"/>
        <w:rPr>
          <w:rFonts w:hint="eastAsia" w:ascii="宋体" w:hAnsi="宋体"/>
          <w:szCs w:val="21"/>
        </w:rPr>
      </w:pPr>
      <w:r>
        <w:rPr>
          <w:rFonts w:hint="eastAsia" w:ascii="宋体" w:hAnsi="宋体"/>
          <w:szCs w:val="21"/>
        </w:rPr>
        <w:t>（3）供应商未在法定质疑期限内提出质疑的；</w:t>
      </w:r>
    </w:p>
    <w:p w14:paraId="0A30DB53">
      <w:pPr>
        <w:ind w:firstLine="420" w:firstLineChars="200"/>
        <w:rPr>
          <w:rFonts w:hint="eastAsia"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09027879">
      <w:pPr>
        <w:ind w:firstLine="420" w:firstLineChars="200"/>
        <w:rPr>
          <w:rFonts w:hint="eastAsia" w:ascii="宋体" w:hAnsi="宋体"/>
          <w:szCs w:val="21"/>
        </w:rPr>
      </w:pPr>
      <w:r>
        <w:rPr>
          <w:rFonts w:hint="eastAsia" w:ascii="宋体" w:hAnsi="宋体"/>
          <w:szCs w:val="21"/>
        </w:rPr>
        <w:t>（5）其他不符合受理条件情形的。</w:t>
      </w:r>
    </w:p>
    <w:p w14:paraId="723CE60D">
      <w:pPr>
        <w:ind w:firstLine="420" w:firstLineChars="200"/>
        <w:rPr>
          <w:rFonts w:hint="eastAsia"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7F13E960">
      <w:pPr>
        <w:ind w:firstLine="420" w:firstLineChars="200"/>
        <w:rPr>
          <w:rFonts w:hint="eastAsia" w:ascii="宋体" w:hAnsi="宋体"/>
          <w:szCs w:val="21"/>
        </w:rPr>
      </w:pPr>
      <w:r>
        <w:rPr>
          <w:rFonts w:hint="eastAsia" w:ascii="宋体" w:hAnsi="宋体"/>
          <w:szCs w:val="21"/>
        </w:rPr>
        <w:t>51.7质疑答复时限</w:t>
      </w:r>
    </w:p>
    <w:p w14:paraId="4B88B302">
      <w:pPr>
        <w:ind w:firstLine="420" w:firstLineChars="200"/>
        <w:rPr>
          <w:rFonts w:hint="eastAsia" w:ascii="宋体" w:hAnsi="宋体"/>
          <w:szCs w:val="21"/>
        </w:rPr>
      </w:pPr>
      <w:r>
        <w:rPr>
          <w:rFonts w:hint="eastAsia" w:ascii="宋体" w:hAnsi="宋体"/>
          <w:szCs w:val="21"/>
        </w:rPr>
        <w:t>自收文之日起七个工作日内。</w:t>
      </w:r>
    </w:p>
    <w:p w14:paraId="510D37DB">
      <w:pPr>
        <w:ind w:firstLine="420" w:firstLineChars="200"/>
        <w:rPr>
          <w:rFonts w:hint="eastAsia" w:ascii="宋体" w:hAnsi="宋体"/>
          <w:szCs w:val="21"/>
        </w:rPr>
      </w:pPr>
      <w:r>
        <w:rPr>
          <w:rFonts w:hint="eastAsia" w:ascii="宋体" w:hAnsi="宋体"/>
          <w:szCs w:val="21"/>
        </w:rPr>
        <w:t>51.8投诉</w:t>
      </w:r>
    </w:p>
    <w:p w14:paraId="1BF613A8">
      <w:pPr>
        <w:ind w:firstLine="420" w:firstLineChars="200"/>
        <w:rPr>
          <w:rFonts w:hint="eastAsia"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4F2FCA61">
      <w:pPr>
        <w:ind w:firstLine="420" w:firstLineChars="200"/>
        <w:rPr>
          <w:rFonts w:hint="eastAsia" w:ascii="宋体" w:hAnsi="宋体"/>
          <w:szCs w:val="21"/>
        </w:rPr>
      </w:pPr>
      <w:r>
        <w:rPr>
          <w:rFonts w:hint="eastAsia" w:ascii="宋体" w:hAnsi="宋体"/>
          <w:szCs w:val="21"/>
        </w:rPr>
        <w:t>如供应商采用线上提交质疑方式的，可以登录深圳政府采购智慧(监管)平台（http://zfcg.szggzy.com:8081/）→“深圳政府采购智慧(监管)平台用户网上办事子系统（http://zfcg.szggzy.com:8081/TPBidder/memberLogin）”，在“【我的项目】→【项目流程】→【投诉】”功能点中提交投诉。</w:t>
      </w:r>
    </w:p>
    <w:p w14:paraId="7A70CBD2">
      <w:pPr>
        <w:rPr>
          <w:rFonts w:hint="eastAsia" w:ascii="黑体" w:hAnsi="宋体" w:eastAsia="黑体"/>
          <w:sz w:val="24"/>
        </w:rPr>
      </w:pPr>
      <w:r>
        <w:rPr>
          <w:rFonts w:hint="eastAsia" w:ascii="黑体" w:hAnsi="宋体" w:eastAsia="黑体"/>
          <w:sz w:val="24"/>
        </w:rPr>
        <w:t>52. 质疑后续处理</w:t>
      </w:r>
    </w:p>
    <w:p w14:paraId="4C4041BD">
      <w:pPr>
        <w:ind w:firstLine="420" w:firstLineChars="200"/>
        <w:rPr>
          <w:rFonts w:hint="eastAsia" w:ascii="宋体" w:hAnsi="宋体"/>
          <w:szCs w:val="21"/>
        </w:rPr>
      </w:pPr>
      <w:r>
        <w:rPr>
          <w:rFonts w:hint="eastAsia" w:ascii="宋体" w:hAnsi="宋体"/>
          <w:szCs w:val="21"/>
        </w:rPr>
        <w:t>52.1供应商质疑不成立，或者成立但未对中标、成交结果构成影响的，继续开展采购活动。</w:t>
      </w:r>
    </w:p>
    <w:p w14:paraId="46C84CD5">
      <w:pPr>
        <w:ind w:firstLine="420"/>
        <w:rPr>
          <w:rFonts w:hint="eastAsia" w:ascii="宋体" w:hAnsi="宋体"/>
          <w:szCs w:val="21"/>
        </w:rPr>
      </w:pPr>
      <w:r>
        <w:rPr>
          <w:rFonts w:hint="eastAsia" w:ascii="宋体" w:hAnsi="宋体"/>
          <w:szCs w:val="21"/>
        </w:rPr>
        <w:t>52.2供应商质疑成立且影响或者可能影响中标、成交结果的，按照下列情况处理：</w:t>
      </w:r>
    </w:p>
    <w:p w14:paraId="051855E5">
      <w:pPr>
        <w:ind w:firstLine="420"/>
        <w:rPr>
          <w:rFonts w:hint="eastAsia" w:ascii="宋体" w:hAnsi="宋体"/>
          <w:szCs w:val="21"/>
        </w:rPr>
      </w:pPr>
      <w:r>
        <w:rPr>
          <w:rFonts w:hint="eastAsia" w:ascii="宋体" w:hAnsi="宋体"/>
          <w:szCs w:val="21"/>
        </w:rPr>
        <w:t>（1）对采购文件提出的质疑，依法通过澄清或者修改可以继续开展采购活动的，澄清或者修改采购文件后继续开展采购活动；否则应当修改采购文件后重新开展采购活动。</w:t>
      </w:r>
    </w:p>
    <w:p w14:paraId="3E480D76">
      <w:pPr>
        <w:ind w:firstLine="420"/>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2D8A3999">
      <w:pPr>
        <w:jc w:val="center"/>
      </w:pPr>
      <w:r>
        <w:t>---- END ----</w:t>
      </w:r>
      <w:bookmarkEnd w:id="233"/>
    </w:p>
    <w:sectPr>
      <w:footerReference r:id="rId5" w:type="first"/>
      <w:headerReference r:id="rId3" w:type="default"/>
      <w:footerReference r:id="rId4" w:type="default"/>
      <w:pgSz w:w="11907" w:h="16840"/>
      <w:pgMar w:top="1440" w:right="1797" w:bottom="1440" w:left="1797" w:header="851" w:footer="992" w:gutter="0"/>
      <w:cols w:space="425"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
    <w:altName w:val="微软雅黑"/>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Gungsuh">
    <w:altName w:val="Malgun Gothic"/>
    <w:panose1 w:val="00000000000000000000"/>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rPr>
      <w:id w:val="-194158713"/>
    </w:sdtPr>
    <w:sdtEndPr>
      <w:rPr>
        <w:sz w:val="21"/>
      </w:rPr>
    </w:sdtEndPr>
    <w:sdtContent>
      <w:p w14:paraId="31B941C6">
        <w:pPr>
          <w:pStyle w:val="28"/>
          <w:jc w:val="center"/>
          <w:rPr>
            <w:sz w:val="21"/>
          </w:rPr>
        </w:pPr>
        <w:r>
          <w:rPr>
            <w:sz w:val="21"/>
          </w:rPr>
          <w:fldChar w:fldCharType="begin"/>
        </w:r>
        <w:r>
          <w:rPr>
            <w:sz w:val="21"/>
          </w:rPr>
          <w:instrText xml:space="preserve">PAGE   \* MERGEFORMAT</w:instrText>
        </w:r>
        <w:r>
          <w:rPr>
            <w:sz w:val="21"/>
          </w:rPr>
          <w:fldChar w:fldCharType="separate"/>
        </w:r>
        <w:r>
          <w:rPr>
            <w:sz w:val="21"/>
            <w:lang w:val="zh-CN"/>
          </w:rPr>
          <w:t>77</w:t>
        </w:r>
        <w:r>
          <w:rPr>
            <w:sz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2"/>
      </w:rPr>
      <w:id w:val="-237402244"/>
    </w:sdtPr>
    <w:sdtEndPr>
      <w:rPr>
        <w:sz w:val="22"/>
      </w:rPr>
    </w:sdtEndPr>
    <w:sdtContent>
      <w:p w14:paraId="35FB1F0D">
        <w:pPr>
          <w:pStyle w:val="28"/>
          <w:jc w:val="center"/>
          <w:rPr>
            <w:sz w:val="22"/>
          </w:rPr>
        </w:pPr>
        <w:r>
          <w:rPr>
            <w:sz w:val="22"/>
          </w:rPr>
          <w:fldChar w:fldCharType="begin"/>
        </w:r>
        <w:r>
          <w:rPr>
            <w:sz w:val="22"/>
          </w:rPr>
          <w:instrText xml:space="preserve">PAGE   \* MERGEFORMAT</w:instrText>
        </w:r>
        <w:r>
          <w:rPr>
            <w:sz w:val="22"/>
          </w:rPr>
          <w:fldChar w:fldCharType="separate"/>
        </w:r>
        <w:r>
          <w:rPr>
            <w:sz w:val="22"/>
            <w:lang w:val="zh-CN"/>
          </w:rPr>
          <w:t>1</w:t>
        </w:r>
        <w:r>
          <w:rPr>
            <w:sz w:val="22"/>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B8C78">
    <w:pPr>
      <w:pBdr>
        <w:top w:val="none" w:color="auto" w:sz="0" w:space="1"/>
        <w:left w:val="none" w:color="auto" w:sz="0" w:space="4"/>
        <w:bottom w:val="none" w:color="auto" w:sz="0" w:space="1"/>
        <w:right w:val="none" w:color="auto" w:sz="0" w:space="4"/>
      </w:pBdr>
      <w:tabs>
        <w:tab w:val="center" w:pos="4153"/>
        <w:tab w:val="right" w:pos="8306"/>
      </w:tabs>
      <w:snapToGrid w:val="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FFFFFF7C"/>
    <w:multiLevelType w:val="singleLevel"/>
    <w:tmpl w:val="FFFFFF7C"/>
    <w:lvl w:ilvl="0" w:tentative="0">
      <w:start w:val="1"/>
      <w:numFmt w:val="decimal"/>
      <w:pStyle w:val="68"/>
      <w:lvlText w:val="%1."/>
      <w:lvlJc w:val="left"/>
      <w:pPr>
        <w:tabs>
          <w:tab w:val="left" w:pos="7994"/>
        </w:tabs>
        <w:ind w:left="7994" w:leftChars="800" w:hanging="360" w:hangingChars="200"/>
      </w:pPr>
    </w:lvl>
  </w:abstractNum>
  <w:abstractNum w:abstractNumId="7">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8">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2503483"/>
    <w:multiLevelType w:val="multilevel"/>
    <w:tmpl w:val="12503483"/>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bullet"/>
      <w:pStyle w:val="115"/>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160D20D0"/>
    <w:multiLevelType w:val="multilevel"/>
    <w:tmpl w:val="160D20D0"/>
    <w:lvl w:ilvl="0" w:tentative="0">
      <w:start w:val="1"/>
      <w:numFmt w:val="bullet"/>
      <w:pStyle w:val="84"/>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2">
    <w:nsid w:val="7A0F6431"/>
    <w:multiLevelType w:val="singleLevel"/>
    <w:tmpl w:val="7A0F6431"/>
    <w:lvl w:ilvl="0" w:tentative="0">
      <w:start w:val="1"/>
      <w:numFmt w:val="decimal"/>
      <w:suff w:val="space"/>
      <w:lvlText w:val="%1."/>
      <w:lvlJc w:val="left"/>
    </w:lvl>
  </w:abstractNum>
  <w:abstractNum w:abstractNumId="13">
    <w:nsid w:val="7AEF7716"/>
    <w:multiLevelType w:val="multilevel"/>
    <w:tmpl w:val="7AEF7716"/>
    <w:lvl w:ilvl="0" w:tentative="0">
      <w:start w:val="1"/>
      <w:numFmt w:val="chineseCountingThousand"/>
      <w:pStyle w:val="129"/>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7E9B09E1"/>
    <w:multiLevelType w:val="singleLevel"/>
    <w:tmpl w:val="7E9B09E1"/>
    <w:lvl w:ilvl="0" w:tentative="0">
      <w:start w:val="4"/>
      <w:numFmt w:val="chineseCounting"/>
      <w:suff w:val="nothing"/>
      <w:lvlText w:val="（%1）"/>
      <w:lvlJc w:val="left"/>
      <w:rPr>
        <w:rFonts w:hint="eastAsia"/>
      </w:rPr>
    </w:lvl>
  </w:abstractNum>
  <w:num w:numId="1">
    <w:abstractNumId w:val="7"/>
  </w:num>
  <w:num w:numId="2">
    <w:abstractNumId w:val="6"/>
  </w:num>
  <w:num w:numId="3">
    <w:abstractNumId w:val="10"/>
  </w:num>
  <w:num w:numId="4">
    <w:abstractNumId w:val="9"/>
  </w:num>
  <w:num w:numId="5">
    <w:abstractNumId w:val="13"/>
  </w:num>
  <w:num w:numId="6">
    <w:abstractNumId w:val="11"/>
  </w:num>
  <w:num w:numId="7">
    <w:abstractNumId w:val="14"/>
  </w:num>
  <w:num w:numId="8">
    <w:abstractNumId w:val="12"/>
  </w:num>
  <w:num w:numId="9">
    <w:abstractNumId w:val="1"/>
  </w:num>
  <w:num w:numId="10">
    <w:abstractNumId w:val="5"/>
  </w:num>
  <w:num w:numId="11">
    <w:abstractNumId w:val="3"/>
  </w:num>
  <w:num w:numId="12">
    <w:abstractNumId w:val="2"/>
  </w:num>
  <w:num w:numId="13">
    <w:abstractNumId w:val="0"/>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68C7"/>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0E22"/>
    <w:rsid w:val="00061D20"/>
    <w:rsid w:val="0006267A"/>
    <w:rsid w:val="0006335B"/>
    <w:rsid w:val="00063C25"/>
    <w:rsid w:val="00064892"/>
    <w:rsid w:val="00066026"/>
    <w:rsid w:val="0006660A"/>
    <w:rsid w:val="0006670C"/>
    <w:rsid w:val="00067960"/>
    <w:rsid w:val="00067AB6"/>
    <w:rsid w:val="0007003A"/>
    <w:rsid w:val="00070210"/>
    <w:rsid w:val="000707BF"/>
    <w:rsid w:val="00071E76"/>
    <w:rsid w:val="00072B70"/>
    <w:rsid w:val="00072CB4"/>
    <w:rsid w:val="000734CD"/>
    <w:rsid w:val="00074403"/>
    <w:rsid w:val="000750DC"/>
    <w:rsid w:val="00075497"/>
    <w:rsid w:val="00075732"/>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49A"/>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6BF8"/>
    <w:rsid w:val="000D7A20"/>
    <w:rsid w:val="000E161C"/>
    <w:rsid w:val="000E1994"/>
    <w:rsid w:val="000E2C39"/>
    <w:rsid w:val="000E355C"/>
    <w:rsid w:val="000E4445"/>
    <w:rsid w:val="000E470B"/>
    <w:rsid w:val="000E4DE8"/>
    <w:rsid w:val="000E4EF8"/>
    <w:rsid w:val="000E50F5"/>
    <w:rsid w:val="000E53CA"/>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056"/>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546"/>
    <w:rsid w:val="00156CA9"/>
    <w:rsid w:val="00157465"/>
    <w:rsid w:val="00157E23"/>
    <w:rsid w:val="00157FC3"/>
    <w:rsid w:val="00160265"/>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1EBF"/>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500"/>
    <w:rsid w:val="00192883"/>
    <w:rsid w:val="00194C98"/>
    <w:rsid w:val="00194FB7"/>
    <w:rsid w:val="00195070"/>
    <w:rsid w:val="00195D28"/>
    <w:rsid w:val="00196B4E"/>
    <w:rsid w:val="001975A1"/>
    <w:rsid w:val="001A027A"/>
    <w:rsid w:val="001A08E4"/>
    <w:rsid w:val="001A0D2C"/>
    <w:rsid w:val="001A12B5"/>
    <w:rsid w:val="001A1402"/>
    <w:rsid w:val="001A1C72"/>
    <w:rsid w:val="001A3980"/>
    <w:rsid w:val="001A422B"/>
    <w:rsid w:val="001A440A"/>
    <w:rsid w:val="001A4A55"/>
    <w:rsid w:val="001A4ABC"/>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235"/>
    <w:rsid w:val="001D58E5"/>
    <w:rsid w:val="001D5C50"/>
    <w:rsid w:val="001D5CF8"/>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32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04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5FB8"/>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7C7"/>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26A"/>
    <w:rsid w:val="00296695"/>
    <w:rsid w:val="0029693F"/>
    <w:rsid w:val="002969C6"/>
    <w:rsid w:val="00296BE2"/>
    <w:rsid w:val="00296F46"/>
    <w:rsid w:val="00296F8A"/>
    <w:rsid w:val="002A11CE"/>
    <w:rsid w:val="002A13E2"/>
    <w:rsid w:val="002A180F"/>
    <w:rsid w:val="002A1B36"/>
    <w:rsid w:val="002A284A"/>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7EA"/>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5C44"/>
    <w:rsid w:val="00306654"/>
    <w:rsid w:val="00306D5D"/>
    <w:rsid w:val="00306FF4"/>
    <w:rsid w:val="00307E99"/>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2AA8"/>
    <w:rsid w:val="00323A7C"/>
    <w:rsid w:val="00323BE9"/>
    <w:rsid w:val="00323C32"/>
    <w:rsid w:val="00323CC7"/>
    <w:rsid w:val="003247BA"/>
    <w:rsid w:val="00324A1D"/>
    <w:rsid w:val="00324C55"/>
    <w:rsid w:val="003250B4"/>
    <w:rsid w:val="00325742"/>
    <w:rsid w:val="00327224"/>
    <w:rsid w:val="00327AB3"/>
    <w:rsid w:val="00327AE1"/>
    <w:rsid w:val="00327F9E"/>
    <w:rsid w:val="00330527"/>
    <w:rsid w:val="00330C9F"/>
    <w:rsid w:val="003318A6"/>
    <w:rsid w:val="003321A8"/>
    <w:rsid w:val="00332EB1"/>
    <w:rsid w:val="00333E63"/>
    <w:rsid w:val="00334044"/>
    <w:rsid w:val="00334CB0"/>
    <w:rsid w:val="00335188"/>
    <w:rsid w:val="00335234"/>
    <w:rsid w:val="003366D0"/>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6FD"/>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558C"/>
    <w:rsid w:val="00366321"/>
    <w:rsid w:val="00366419"/>
    <w:rsid w:val="003665E3"/>
    <w:rsid w:val="003669F1"/>
    <w:rsid w:val="00366F10"/>
    <w:rsid w:val="003700A3"/>
    <w:rsid w:val="00370169"/>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B72C0"/>
    <w:rsid w:val="003C0FF8"/>
    <w:rsid w:val="003C1D0C"/>
    <w:rsid w:val="003C1F2E"/>
    <w:rsid w:val="003C42A3"/>
    <w:rsid w:val="003C49D5"/>
    <w:rsid w:val="003C4FD5"/>
    <w:rsid w:val="003C582B"/>
    <w:rsid w:val="003C6BFF"/>
    <w:rsid w:val="003D2333"/>
    <w:rsid w:val="003D28CA"/>
    <w:rsid w:val="003D2E1B"/>
    <w:rsid w:val="003D3241"/>
    <w:rsid w:val="003D39AE"/>
    <w:rsid w:val="003D3B44"/>
    <w:rsid w:val="003D4804"/>
    <w:rsid w:val="003D4A4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156"/>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106"/>
    <w:rsid w:val="004442EB"/>
    <w:rsid w:val="00444FA3"/>
    <w:rsid w:val="004459DC"/>
    <w:rsid w:val="00446553"/>
    <w:rsid w:val="00446A92"/>
    <w:rsid w:val="004501B4"/>
    <w:rsid w:val="0045082F"/>
    <w:rsid w:val="00450C00"/>
    <w:rsid w:val="0045135E"/>
    <w:rsid w:val="00451F76"/>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AF9"/>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77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2BE7"/>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1F7"/>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2F8C"/>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19B"/>
    <w:rsid w:val="00544853"/>
    <w:rsid w:val="00544CA5"/>
    <w:rsid w:val="005450E2"/>
    <w:rsid w:val="005455E0"/>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3C81"/>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0F76"/>
    <w:rsid w:val="005D4A04"/>
    <w:rsid w:val="005D4C06"/>
    <w:rsid w:val="005D4CF7"/>
    <w:rsid w:val="005D5347"/>
    <w:rsid w:val="005D5CC5"/>
    <w:rsid w:val="005D5FE6"/>
    <w:rsid w:val="005D61EA"/>
    <w:rsid w:val="005D74D8"/>
    <w:rsid w:val="005D787B"/>
    <w:rsid w:val="005E031D"/>
    <w:rsid w:val="005E03AC"/>
    <w:rsid w:val="005E04B5"/>
    <w:rsid w:val="005E0621"/>
    <w:rsid w:val="005E0934"/>
    <w:rsid w:val="005E12BE"/>
    <w:rsid w:val="005E2C81"/>
    <w:rsid w:val="005E4D3C"/>
    <w:rsid w:val="005E7158"/>
    <w:rsid w:val="005E7C9F"/>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0C9"/>
    <w:rsid w:val="00625450"/>
    <w:rsid w:val="0062557A"/>
    <w:rsid w:val="0062624F"/>
    <w:rsid w:val="006319CA"/>
    <w:rsid w:val="00633B3E"/>
    <w:rsid w:val="00634EC0"/>
    <w:rsid w:val="0063627F"/>
    <w:rsid w:val="006376C4"/>
    <w:rsid w:val="006403E7"/>
    <w:rsid w:val="00642440"/>
    <w:rsid w:val="00642D72"/>
    <w:rsid w:val="006443CB"/>
    <w:rsid w:val="006448B8"/>
    <w:rsid w:val="00644F80"/>
    <w:rsid w:val="00645874"/>
    <w:rsid w:val="00647673"/>
    <w:rsid w:val="00650F81"/>
    <w:rsid w:val="00650FC7"/>
    <w:rsid w:val="00651822"/>
    <w:rsid w:val="00651F86"/>
    <w:rsid w:val="00652D6B"/>
    <w:rsid w:val="0065395E"/>
    <w:rsid w:val="00653C24"/>
    <w:rsid w:val="00653C62"/>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751"/>
    <w:rsid w:val="00677F23"/>
    <w:rsid w:val="0068015A"/>
    <w:rsid w:val="0068055B"/>
    <w:rsid w:val="00680936"/>
    <w:rsid w:val="00680D8C"/>
    <w:rsid w:val="00680D99"/>
    <w:rsid w:val="006821B2"/>
    <w:rsid w:val="00682725"/>
    <w:rsid w:val="00682A1B"/>
    <w:rsid w:val="00682D73"/>
    <w:rsid w:val="00682ED3"/>
    <w:rsid w:val="00683126"/>
    <w:rsid w:val="00683993"/>
    <w:rsid w:val="006841BA"/>
    <w:rsid w:val="006846E8"/>
    <w:rsid w:val="00685EBD"/>
    <w:rsid w:val="006861C3"/>
    <w:rsid w:val="00686891"/>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B7F52"/>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0F8"/>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E7CDE"/>
    <w:rsid w:val="006F05B9"/>
    <w:rsid w:val="006F1972"/>
    <w:rsid w:val="006F1EA3"/>
    <w:rsid w:val="006F2024"/>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086C"/>
    <w:rsid w:val="007023EA"/>
    <w:rsid w:val="00702B1B"/>
    <w:rsid w:val="007032B3"/>
    <w:rsid w:val="00704164"/>
    <w:rsid w:val="007063BD"/>
    <w:rsid w:val="00706446"/>
    <w:rsid w:val="00706A58"/>
    <w:rsid w:val="00707517"/>
    <w:rsid w:val="007078ED"/>
    <w:rsid w:val="00710187"/>
    <w:rsid w:val="007101D7"/>
    <w:rsid w:val="00710D6E"/>
    <w:rsid w:val="00710E28"/>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438"/>
    <w:rsid w:val="00726E8A"/>
    <w:rsid w:val="00727047"/>
    <w:rsid w:val="00727A0E"/>
    <w:rsid w:val="00727C81"/>
    <w:rsid w:val="00730B33"/>
    <w:rsid w:val="00734510"/>
    <w:rsid w:val="00734887"/>
    <w:rsid w:val="00735178"/>
    <w:rsid w:val="007365B6"/>
    <w:rsid w:val="00737394"/>
    <w:rsid w:val="007401E2"/>
    <w:rsid w:val="00740205"/>
    <w:rsid w:val="007411E5"/>
    <w:rsid w:val="00741605"/>
    <w:rsid w:val="00742788"/>
    <w:rsid w:val="007436F2"/>
    <w:rsid w:val="00743B2E"/>
    <w:rsid w:val="0074436D"/>
    <w:rsid w:val="0074514B"/>
    <w:rsid w:val="00746951"/>
    <w:rsid w:val="00746F65"/>
    <w:rsid w:val="007472C3"/>
    <w:rsid w:val="0074791E"/>
    <w:rsid w:val="00750948"/>
    <w:rsid w:val="00750A23"/>
    <w:rsid w:val="0075115D"/>
    <w:rsid w:val="00751A33"/>
    <w:rsid w:val="00751B8C"/>
    <w:rsid w:val="00751E0A"/>
    <w:rsid w:val="0075222F"/>
    <w:rsid w:val="00753890"/>
    <w:rsid w:val="0075466D"/>
    <w:rsid w:val="007555DF"/>
    <w:rsid w:val="007569DC"/>
    <w:rsid w:val="0075711E"/>
    <w:rsid w:val="00757549"/>
    <w:rsid w:val="007579F2"/>
    <w:rsid w:val="00760DA4"/>
    <w:rsid w:val="00761434"/>
    <w:rsid w:val="00761FD5"/>
    <w:rsid w:val="00762AE8"/>
    <w:rsid w:val="00762BB6"/>
    <w:rsid w:val="0076341D"/>
    <w:rsid w:val="0076446D"/>
    <w:rsid w:val="007647EF"/>
    <w:rsid w:val="00765DD8"/>
    <w:rsid w:val="00766230"/>
    <w:rsid w:val="00766B33"/>
    <w:rsid w:val="00766D36"/>
    <w:rsid w:val="00767071"/>
    <w:rsid w:val="00767607"/>
    <w:rsid w:val="00767ACD"/>
    <w:rsid w:val="00770286"/>
    <w:rsid w:val="007705B5"/>
    <w:rsid w:val="0077270D"/>
    <w:rsid w:val="00773874"/>
    <w:rsid w:val="0077393B"/>
    <w:rsid w:val="00775AF0"/>
    <w:rsid w:val="00775D3B"/>
    <w:rsid w:val="0077615A"/>
    <w:rsid w:val="007806A0"/>
    <w:rsid w:val="00780FDB"/>
    <w:rsid w:val="007822E4"/>
    <w:rsid w:val="00782346"/>
    <w:rsid w:val="00782A53"/>
    <w:rsid w:val="007838CD"/>
    <w:rsid w:val="007839A9"/>
    <w:rsid w:val="00783BFF"/>
    <w:rsid w:val="007840F3"/>
    <w:rsid w:val="007849BE"/>
    <w:rsid w:val="00785491"/>
    <w:rsid w:val="007858C0"/>
    <w:rsid w:val="0078679A"/>
    <w:rsid w:val="00786BDC"/>
    <w:rsid w:val="007871FE"/>
    <w:rsid w:val="00787C89"/>
    <w:rsid w:val="007908ED"/>
    <w:rsid w:val="007908EF"/>
    <w:rsid w:val="00790F74"/>
    <w:rsid w:val="00791110"/>
    <w:rsid w:val="00792014"/>
    <w:rsid w:val="007921CD"/>
    <w:rsid w:val="00792288"/>
    <w:rsid w:val="00792447"/>
    <w:rsid w:val="007928C6"/>
    <w:rsid w:val="00792E73"/>
    <w:rsid w:val="00793136"/>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629"/>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1E5F"/>
    <w:rsid w:val="00822262"/>
    <w:rsid w:val="00822D4E"/>
    <w:rsid w:val="00822FBA"/>
    <w:rsid w:val="0082398C"/>
    <w:rsid w:val="00824FF1"/>
    <w:rsid w:val="00825196"/>
    <w:rsid w:val="00826F4C"/>
    <w:rsid w:val="008303A6"/>
    <w:rsid w:val="0083055F"/>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0BE"/>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3F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660"/>
    <w:rsid w:val="008D1DA0"/>
    <w:rsid w:val="008D2828"/>
    <w:rsid w:val="008D284E"/>
    <w:rsid w:val="008D4C01"/>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9BB"/>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5E0C"/>
    <w:rsid w:val="00977506"/>
    <w:rsid w:val="00977DFD"/>
    <w:rsid w:val="0098177A"/>
    <w:rsid w:val="00983583"/>
    <w:rsid w:val="00983EFD"/>
    <w:rsid w:val="009855B0"/>
    <w:rsid w:val="009859A8"/>
    <w:rsid w:val="00985F2F"/>
    <w:rsid w:val="00986257"/>
    <w:rsid w:val="00986564"/>
    <w:rsid w:val="0098658A"/>
    <w:rsid w:val="00986861"/>
    <w:rsid w:val="00987CBC"/>
    <w:rsid w:val="0099153F"/>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D97"/>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90A"/>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16"/>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2278"/>
    <w:rsid w:val="009F33FA"/>
    <w:rsid w:val="009F347C"/>
    <w:rsid w:val="009F3F14"/>
    <w:rsid w:val="009F54D7"/>
    <w:rsid w:val="009F5B9D"/>
    <w:rsid w:val="009F6619"/>
    <w:rsid w:val="009F68FF"/>
    <w:rsid w:val="00A00B1B"/>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5E3"/>
    <w:rsid w:val="00A23770"/>
    <w:rsid w:val="00A241FD"/>
    <w:rsid w:val="00A24BC5"/>
    <w:rsid w:val="00A2504C"/>
    <w:rsid w:val="00A26170"/>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921"/>
    <w:rsid w:val="00A40D0C"/>
    <w:rsid w:val="00A41302"/>
    <w:rsid w:val="00A41C59"/>
    <w:rsid w:val="00A4350C"/>
    <w:rsid w:val="00A43644"/>
    <w:rsid w:val="00A4383B"/>
    <w:rsid w:val="00A44BB6"/>
    <w:rsid w:val="00A45734"/>
    <w:rsid w:val="00A45B90"/>
    <w:rsid w:val="00A462F7"/>
    <w:rsid w:val="00A46659"/>
    <w:rsid w:val="00A46A8C"/>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27EB"/>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77D1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754"/>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1F5"/>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4E66"/>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3F0E"/>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3E59"/>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97F13"/>
    <w:rsid w:val="00BA0159"/>
    <w:rsid w:val="00BA0A76"/>
    <w:rsid w:val="00BA11A9"/>
    <w:rsid w:val="00BA1642"/>
    <w:rsid w:val="00BA1D08"/>
    <w:rsid w:val="00BA30C2"/>
    <w:rsid w:val="00BA31C6"/>
    <w:rsid w:val="00BA4B0A"/>
    <w:rsid w:val="00BA4FE7"/>
    <w:rsid w:val="00BA504A"/>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784"/>
    <w:rsid w:val="00BC4883"/>
    <w:rsid w:val="00BC5454"/>
    <w:rsid w:val="00BC5F7F"/>
    <w:rsid w:val="00BC74EE"/>
    <w:rsid w:val="00BC777E"/>
    <w:rsid w:val="00BD056C"/>
    <w:rsid w:val="00BD219A"/>
    <w:rsid w:val="00BD2C42"/>
    <w:rsid w:val="00BD2EF9"/>
    <w:rsid w:val="00BD2F1D"/>
    <w:rsid w:val="00BD3997"/>
    <w:rsid w:val="00BD3CFA"/>
    <w:rsid w:val="00BD5D7E"/>
    <w:rsid w:val="00BD6EF9"/>
    <w:rsid w:val="00BD754C"/>
    <w:rsid w:val="00BD764C"/>
    <w:rsid w:val="00BD78C6"/>
    <w:rsid w:val="00BE01E1"/>
    <w:rsid w:val="00BE07A5"/>
    <w:rsid w:val="00BE15DA"/>
    <w:rsid w:val="00BE19AD"/>
    <w:rsid w:val="00BE369C"/>
    <w:rsid w:val="00BE4419"/>
    <w:rsid w:val="00BE4FBC"/>
    <w:rsid w:val="00BE5B7C"/>
    <w:rsid w:val="00BE6814"/>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C0B"/>
    <w:rsid w:val="00C01DFC"/>
    <w:rsid w:val="00C02231"/>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2215"/>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2B68"/>
    <w:rsid w:val="00C437D6"/>
    <w:rsid w:val="00C4471B"/>
    <w:rsid w:val="00C45C94"/>
    <w:rsid w:val="00C4601D"/>
    <w:rsid w:val="00C46612"/>
    <w:rsid w:val="00C509D2"/>
    <w:rsid w:val="00C51258"/>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080"/>
    <w:rsid w:val="00C92931"/>
    <w:rsid w:val="00C92949"/>
    <w:rsid w:val="00C9312F"/>
    <w:rsid w:val="00C93260"/>
    <w:rsid w:val="00C94499"/>
    <w:rsid w:val="00C944FD"/>
    <w:rsid w:val="00C9491A"/>
    <w:rsid w:val="00C94BE9"/>
    <w:rsid w:val="00C95701"/>
    <w:rsid w:val="00C95DD7"/>
    <w:rsid w:val="00C95ED6"/>
    <w:rsid w:val="00C96BBB"/>
    <w:rsid w:val="00CA04D5"/>
    <w:rsid w:val="00CA0F7D"/>
    <w:rsid w:val="00CA1AC8"/>
    <w:rsid w:val="00CA1FB0"/>
    <w:rsid w:val="00CA24D1"/>
    <w:rsid w:val="00CA2AD9"/>
    <w:rsid w:val="00CA2B65"/>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4DB"/>
    <w:rsid w:val="00CC559E"/>
    <w:rsid w:val="00CC707F"/>
    <w:rsid w:val="00CC708A"/>
    <w:rsid w:val="00CC79CD"/>
    <w:rsid w:val="00CD0365"/>
    <w:rsid w:val="00CD1447"/>
    <w:rsid w:val="00CD1841"/>
    <w:rsid w:val="00CD1BF1"/>
    <w:rsid w:val="00CD1D2E"/>
    <w:rsid w:val="00CD27CD"/>
    <w:rsid w:val="00CD3689"/>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4FB6"/>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CF6CB4"/>
    <w:rsid w:val="00CF74C5"/>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0986"/>
    <w:rsid w:val="00D4104F"/>
    <w:rsid w:val="00D417A5"/>
    <w:rsid w:val="00D43988"/>
    <w:rsid w:val="00D4707E"/>
    <w:rsid w:val="00D47238"/>
    <w:rsid w:val="00D4762C"/>
    <w:rsid w:val="00D47867"/>
    <w:rsid w:val="00D47B4E"/>
    <w:rsid w:val="00D47EAF"/>
    <w:rsid w:val="00D50B2A"/>
    <w:rsid w:val="00D51517"/>
    <w:rsid w:val="00D52D4A"/>
    <w:rsid w:val="00D52D7F"/>
    <w:rsid w:val="00D53034"/>
    <w:rsid w:val="00D5331D"/>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E8C"/>
    <w:rsid w:val="00D72FAD"/>
    <w:rsid w:val="00D7314F"/>
    <w:rsid w:val="00D73259"/>
    <w:rsid w:val="00D732D3"/>
    <w:rsid w:val="00D73678"/>
    <w:rsid w:val="00D73AF1"/>
    <w:rsid w:val="00D73E64"/>
    <w:rsid w:val="00D74504"/>
    <w:rsid w:val="00D74639"/>
    <w:rsid w:val="00D74926"/>
    <w:rsid w:val="00D75407"/>
    <w:rsid w:val="00D75449"/>
    <w:rsid w:val="00D7563E"/>
    <w:rsid w:val="00D7567C"/>
    <w:rsid w:val="00D76E21"/>
    <w:rsid w:val="00D770D5"/>
    <w:rsid w:val="00D809B7"/>
    <w:rsid w:val="00D80C23"/>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CEB"/>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4F45"/>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0771"/>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3F85"/>
    <w:rsid w:val="00E149F4"/>
    <w:rsid w:val="00E14A90"/>
    <w:rsid w:val="00E16CF1"/>
    <w:rsid w:val="00E17F53"/>
    <w:rsid w:val="00E20354"/>
    <w:rsid w:val="00E207DB"/>
    <w:rsid w:val="00E20BB3"/>
    <w:rsid w:val="00E20BB5"/>
    <w:rsid w:val="00E21F5A"/>
    <w:rsid w:val="00E221D8"/>
    <w:rsid w:val="00E234F1"/>
    <w:rsid w:val="00E238C1"/>
    <w:rsid w:val="00E23ACB"/>
    <w:rsid w:val="00E23BDA"/>
    <w:rsid w:val="00E25124"/>
    <w:rsid w:val="00E261F8"/>
    <w:rsid w:val="00E26E25"/>
    <w:rsid w:val="00E27DF3"/>
    <w:rsid w:val="00E3110A"/>
    <w:rsid w:val="00E319DC"/>
    <w:rsid w:val="00E324AD"/>
    <w:rsid w:val="00E3342D"/>
    <w:rsid w:val="00E33683"/>
    <w:rsid w:val="00E33734"/>
    <w:rsid w:val="00E33F82"/>
    <w:rsid w:val="00E347D1"/>
    <w:rsid w:val="00E34AA9"/>
    <w:rsid w:val="00E36A4F"/>
    <w:rsid w:val="00E376C4"/>
    <w:rsid w:val="00E37D5F"/>
    <w:rsid w:val="00E428E9"/>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2F00"/>
    <w:rsid w:val="00E73549"/>
    <w:rsid w:val="00E7484F"/>
    <w:rsid w:val="00E74861"/>
    <w:rsid w:val="00E74B50"/>
    <w:rsid w:val="00E74EC9"/>
    <w:rsid w:val="00E75572"/>
    <w:rsid w:val="00E75733"/>
    <w:rsid w:val="00E75A9D"/>
    <w:rsid w:val="00E77754"/>
    <w:rsid w:val="00E8079A"/>
    <w:rsid w:val="00E80CF7"/>
    <w:rsid w:val="00E80FB4"/>
    <w:rsid w:val="00E81B8E"/>
    <w:rsid w:val="00E81ED7"/>
    <w:rsid w:val="00E8369B"/>
    <w:rsid w:val="00E8377F"/>
    <w:rsid w:val="00E83850"/>
    <w:rsid w:val="00E85244"/>
    <w:rsid w:val="00E85A96"/>
    <w:rsid w:val="00E86159"/>
    <w:rsid w:val="00E863ED"/>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4B41"/>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0B2"/>
    <w:rsid w:val="00EB7D9C"/>
    <w:rsid w:val="00EC01F0"/>
    <w:rsid w:val="00EC1406"/>
    <w:rsid w:val="00EC1526"/>
    <w:rsid w:val="00EC228A"/>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193"/>
    <w:rsid w:val="00EE469A"/>
    <w:rsid w:val="00EE4C7E"/>
    <w:rsid w:val="00EE531F"/>
    <w:rsid w:val="00EE556D"/>
    <w:rsid w:val="00EE55E6"/>
    <w:rsid w:val="00EE60A2"/>
    <w:rsid w:val="00EE6184"/>
    <w:rsid w:val="00EE679C"/>
    <w:rsid w:val="00EE686B"/>
    <w:rsid w:val="00EE7596"/>
    <w:rsid w:val="00EE7A2C"/>
    <w:rsid w:val="00EF06D3"/>
    <w:rsid w:val="00EF09D3"/>
    <w:rsid w:val="00EF108A"/>
    <w:rsid w:val="00EF1240"/>
    <w:rsid w:val="00EF1F75"/>
    <w:rsid w:val="00EF2240"/>
    <w:rsid w:val="00EF297A"/>
    <w:rsid w:val="00EF2B51"/>
    <w:rsid w:val="00EF2C9F"/>
    <w:rsid w:val="00EF3069"/>
    <w:rsid w:val="00EF31A5"/>
    <w:rsid w:val="00EF3742"/>
    <w:rsid w:val="00EF3EB5"/>
    <w:rsid w:val="00EF57B9"/>
    <w:rsid w:val="00EF57DF"/>
    <w:rsid w:val="00EF632B"/>
    <w:rsid w:val="00EF6556"/>
    <w:rsid w:val="00EF689A"/>
    <w:rsid w:val="00EF7F20"/>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7C5"/>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3722C"/>
    <w:rsid w:val="00F400FB"/>
    <w:rsid w:val="00F413C0"/>
    <w:rsid w:val="00F41DB0"/>
    <w:rsid w:val="00F43631"/>
    <w:rsid w:val="00F43947"/>
    <w:rsid w:val="00F439BB"/>
    <w:rsid w:val="00F43CEB"/>
    <w:rsid w:val="00F449D7"/>
    <w:rsid w:val="00F460C4"/>
    <w:rsid w:val="00F461AE"/>
    <w:rsid w:val="00F467F9"/>
    <w:rsid w:val="00F47426"/>
    <w:rsid w:val="00F50D6C"/>
    <w:rsid w:val="00F50FA0"/>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67B"/>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0C4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63F"/>
    <w:rsid w:val="00FC072E"/>
    <w:rsid w:val="00FC1364"/>
    <w:rsid w:val="00FC1B75"/>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953"/>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463C70"/>
    <w:rsid w:val="015D35F5"/>
    <w:rsid w:val="01B80B7A"/>
    <w:rsid w:val="01E55D35"/>
    <w:rsid w:val="01F72B36"/>
    <w:rsid w:val="020018D9"/>
    <w:rsid w:val="02057BE0"/>
    <w:rsid w:val="02095687"/>
    <w:rsid w:val="02743188"/>
    <w:rsid w:val="02A76009"/>
    <w:rsid w:val="02AC10D3"/>
    <w:rsid w:val="02CB1CF7"/>
    <w:rsid w:val="03231B33"/>
    <w:rsid w:val="034033B2"/>
    <w:rsid w:val="03B866D0"/>
    <w:rsid w:val="03C40B3F"/>
    <w:rsid w:val="03E11E16"/>
    <w:rsid w:val="04833B9D"/>
    <w:rsid w:val="04CE0CF5"/>
    <w:rsid w:val="04E470A0"/>
    <w:rsid w:val="04FC5581"/>
    <w:rsid w:val="0513143C"/>
    <w:rsid w:val="05821997"/>
    <w:rsid w:val="05891928"/>
    <w:rsid w:val="05BF24C9"/>
    <w:rsid w:val="05DF0DF0"/>
    <w:rsid w:val="067508F8"/>
    <w:rsid w:val="06C559AF"/>
    <w:rsid w:val="07554285"/>
    <w:rsid w:val="0775586D"/>
    <w:rsid w:val="079D7527"/>
    <w:rsid w:val="07B47A16"/>
    <w:rsid w:val="07EC528E"/>
    <w:rsid w:val="081C64DD"/>
    <w:rsid w:val="083E1B6F"/>
    <w:rsid w:val="08435461"/>
    <w:rsid w:val="08435AFA"/>
    <w:rsid w:val="087109F5"/>
    <w:rsid w:val="08AD6ADF"/>
    <w:rsid w:val="08AF0DE8"/>
    <w:rsid w:val="09091655"/>
    <w:rsid w:val="090C7C1B"/>
    <w:rsid w:val="09194284"/>
    <w:rsid w:val="0929095D"/>
    <w:rsid w:val="09493091"/>
    <w:rsid w:val="094A75C2"/>
    <w:rsid w:val="09716992"/>
    <w:rsid w:val="097F79CB"/>
    <w:rsid w:val="09FF0058"/>
    <w:rsid w:val="0A4756F2"/>
    <w:rsid w:val="0A914C01"/>
    <w:rsid w:val="0AD31787"/>
    <w:rsid w:val="0ADD6816"/>
    <w:rsid w:val="0AF96D6A"/>
    <w:rsid w:val="0B912479"/>
    <w:rsid w:val="0BCC39BB"/>
    <w:rsid w:val="0C243E02"/>
    <w:rsid w:val="0C2520CA"/>
    <w:rsid w:val="0C4C5587"/>
    <w:rsid w:val="0C6B30AA"/>
    <w:rsid w:val="0C7777A9"/>
    <w:rsid w:val="0CD30126"/>
    <w:rsid w:val="0CFC3FE1"/>
    <w:rsid w:val="0D413BD1"/>
    <w:rsid w:val="0D490A8D"/>
    <w:rsid w:val="0D6646FC"/>
    <w:rsid w:val="0DC93D4A"/>
    <w:rsid w:val="0DCE7298"/>
    <w:rsid w:val="0E5643EF"/>
    <w:rsid w:val="0E6E6F80"/>
    <w:rsid w:val="0E8E38E0"/>
    <w:rsid w:val="0E975D5A"/>
    <w:rsid w:val="0F7A7451"/>
    <w:rsid w:val="0F953AB1"/>
    <w:rsid w:val="0FF94323"/>
    <w:rsid w:val="107A34BF"/>
    <w:rsid w:val="107A51CD"/>
    <w:rsid w:val="10886050"/>
    <w:rsid w:val="108D4A90"/>
    <w:rsid w:val="10993984"/>
    <w:rsid w:val="10E64133"/>
    <w:rsid w:val="10E67EAB"/>
    <w:rsid w:val="110D1AD5"/>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841AD7"/>
    <w:rsid w:val="18A015D3"/>
    <w:rsid w:val="18BF76A9"/>
    <w:rsid w:val="18DD1382"/>
    <w:rsid w:val="18EE4ED2"/>
    <w:rsid w:val="1944578F"/>
    <w:rsid w:val="195B1BCF"/>
    <w:rsid w:val="196D7D30"/>
    <w:rsid w:val="198E1224"/>
    <w:rsid w:val="19A766B9"/>
    <w:rsid w:val="19AF5A77"/>
    <w:rsid w:val="19B1604A"/>
    <w:rsid w:val="19B95C26"/>
    <w:rsid w:val="19E46AD9"/>
    <w:rsid w:val="1A126E19"/>
    <w:rsid w:val="1A614E7E"/>
    <w:rsid w:val="1A652503"/>
    <w:rsid w:val="1A78230D"/>
    <w:rsid w:val="1A7A5D34"/>
    <w:rsid w:val="1AC668AF"/>
    <w:rsid w:val="1B325F2A"/>
    <w:rsid w:val="1B405AA4"/>
    <w:rsid w:val="1B62301A"/>
    <w:rsid w:val="1BA459D3"/>
    <w:rsid w:val="1C1F1E0E"/>
    <w:rsid w:val="1C1F3E4C"/>
    <w:rsid w:val="1CF12935"/>
    <w:rsid w:val="1CF96B9F"/>
    <w:rsid w:val="1D190873"/>
    <w:rsid w:val="1D4B710C"/>
    <w:rsid w:val="1DCF425D"/>
    <w:rsid w:val="1DE3703A"/>
    <w:rsid w:val="1E183A88"/>
    <w:rsid w:val="1E2F35DD"/>
    <w:rsid w:val="1E330E9C"/>
    <w:rsid w:val="1E340CEE"/>
    <w:rsid w:val="1E9C6591"/>
    <w:rsid w:val="1F507A92"/>
    <w:rsid w:val="1FD21930"/>
    <w:rsid w:val="1FE91CDF"/>
    <w:rsid w:val="20043B19"/>
    <w:rsid w:val="203A1396"/>
    <w:rsid w:val="20607ACB"/>
    <w:rsid w:val="20BE2A44"/>
    <w:rsid w:val="20BE2B36"/>
    <w:rsid w:val="20C55B80"/>
    <w:rsid w:val="20D17B68"/>
    <w:rsid w:val="2112344B"/>
    <w:rsid w:val="21481A39"/>
    <w:rsid w:val="219A1B7F"/>
    <w:rsid w:val="21B22A5C"/>
    <w:rsid w:val="21C34AF1"/>
    <w:rsid w:val="21C65CFD"/>
    <w:rsid w:val="21E65C8F"/>
    <w:rsid w:val="22422275"/>
    <w:rsid w:val="23085A6D"/>
    <w:rsid w:val="232E551F"/>
    <w:rsid w:val="235220CD"/>
    <w:rsid w:val="239C2664"/>
    <w:rsid w:val="239D5477"/>
    <w:rsid w:val="23A51A80"/>
    <w:rsid w:val="23AA6A32"/>
    <w:rsid w:val="23C9229F"/>
    <w:rsid w:val="23F24EDE"/>
    <w:rsid w:val="24195A43"/>
    <w:rsid w:val="24215D08"/>
    <w:rsid w:val="245D31B5"/>
    <w:rsid w:val="246E2D6D"/>
    <w:rsid w:val="247D5ABB"/>
    <w:rsid w:val="24826101"/>
    <w:rsid w:val="25421DE8"/>
    <w:rsid w:val="25735D35"/>
    <w:rsid w:val="25784A9C"/>
    <w:rsid w:val="2596668B"/>
    <w:rsid w:val="25E16A45"/>
    <w:rsid w:val="25F11338"/>
    <w:rsid w:val="25F46AB0"/>
    <w:rsid w:val="26EB5B81"/>
    <w:rsid w:val="27217B54"/>
    <w:rsid w:val="274348DC"/>
    <w:rsid w:val="277D1EE5"/>
    <w:rsid w:val="27977E3D"/>
    <w:rsid w:val="279E52B8"/>
    <w:rsid w:val="27A31B59"/>
    <w:rsid w:val="27B87AF2"/>
    <w:rsid w:val="27EB78CC"/>
    <w:rsid w:val="27EE3E21"/>
    <w:rsid w:val="286C3B37"/>
    <w:rsid w:val="28873C56"/>
    <w:rsid w:val="289002C6"/>
    <w:rsid w:val="28B86003"/>
    <w:rsid w:val="28C47C6D"/>
    <w:rsid w:val="28C71A62"/>
    <w:rsid w:val="292336CA"/>
    <w:rsid w:val="293801B5"/>
    <w:rsid w:val="296A0DDB"/>
    <w:rsid w:val="29750E2D"/>
    <w:rsid w:val="298A23AD"/>
    <w:rsid w:val="2B033371"/>
    <w:rsid w:val="2B067EC8"/>
    <w:rsid w:val="2B3A56AF"/>
    <w:rsid w:val="2BB71443"/>
    <w:rsid w:val="2BF00047"/>
    <w:rsid w:val="2C0853D9"/>
    <w:rsid w:val="2C240F34"/>
    <w:rsid w:val="2C254DE0"/>
    <w:rsid w:val="2C64115C"/>
    <w:rsid w:val="2C70392E"/>
    <w:rsid w:val="2C916D01"/>
    <w:rsid w:val="2CFC0146"/>
    <w:rsid w:val="2D0B54A3"/>
    <w:rsid w:val="2D230138"/>
    <w:rsid w:val="2D355E3C"/>
    <w:rsid w:val="2D5632C8"/>
    <w:rsid w:val="2D6F4378"/>
    <w:rsid w:val="2DED1D9C"/>
    <w:rsid w:val="2DFF521E"/>
    <w:rsid w:val="2E4079E2"/>
    <w:rsid w:val="2E590BD6"/>
    <w:rsid w:val="2EA0509E"/>
    <w:rsid w:val="2EF15869"/>
    <w:rsid w:val="2F3F3850"/>
    <w:rsid w:val="2F815A0A"/>
    <w:rsid w:val="2FCA7C19"/>
    <w:rsid w:val="2FDE752F"/>
    <w:rsid w:val="2FF73D1D"/>
    <w:rsid w:val="300801AF"/>
    <w:rsid w:val="3009697D"/>
    <w:rsid w:val="30104524"/>
    <w:rsid w:val="30113460"/>
    <w:rsid w:val="30204AC3"/>
    <w:rsid w:val="304B4E50"/>
    <w:rsid w:val="3063463F"/>
    <w:rsid w:val="30724482"/>
    <w:rsid w:val="308F3CFA"/>
    <w:rsid w:val="30A04ED5"/>
    <w:rsid w:val="30E262DA"/>
    <w:rsid w:val="31223C40"/>
    <w:rsid w:val="312F7772"/>
    <w:rsid w:val="316450E1"/>
    <w:rsid w:val="316C62E2"/>
    <w:rsid w:val="31A11AE9"/>
    <w:rsid w:val="31B435CB"/>
    <w:rsid w:val="31DF34C4"/>
    <w:rsid w:val="31FC3EF9"/>
    <w:rsid w:val="322D10A2"/>
    <w:rsid w:val="322E5E24"/>
    <w:rsid w:val="324B16F5"/>
    <w:rsid w:val="32A777DC"/>
    <w:rsid w:val="32CF303F"/>
    <w:rsid w:val="32FB0035"/>
    <w:rsid w:val="33117E79"/>
    <w:rsid w:val="3350673E"/>
    <w:rsid w:val="33977D4F"/>
    <w:rsid w:val="33B67A9F"/>
    <w:rsid w:val="33E02E1C"/>
    <w:rsid w:val="341D63B4"/>
    <w:rsid w:val="346120F3"/>
    <w:rsid w:val="346C42A4"/>
    <w:rsid w:val="34E60A39"/>
    <w:rsid w:val="3513289C"/>
    <w:rsid w:val="351D0A98"/>
    <w:rsid w:val="354F755A"/>
    <w:rsid w:val="355C0DE1"/>
    <w:rsid w:val="35893F26"/>
    <w:rsid w:val="35F03911"/>
    <w:rsid w:val="361D3B28"/>
    <w:rsid w:val="36383DD0"/>
    <w:rsid w:val="36557684"/>
    <w:rsid w:val="36E54C6B"/>
    <w:rsid w:val="36F1018E"/>
    <w:rsid w:val="371138BD"/>
    <w:rsid w:val="37503F9E"/>
    <w:rsid w:val="37670E18"/>
    <w:rsid w:val="376857B1"/>
    <w:rsid w:val="377622CB"/>
    <w:rsid w:val="3780685D"/>
    <w:rsid w:val="378902E6"/>
    <w:rsid w:val="37BA2F63"/>
    <w:rsid w:val="37C81053"/>
    <w:rsid w:val="37E817A5"/>
    <w:rsid w:val="37E82428"/>
    <w:rsid w:val="380F16BA"/>
    <w:rsid w:val="38704532"/>
    <w:rsid w:val="38924579"/>
    <w:rsid w:val="38AA04E2"/>
    <w:rsid w:val="38B04014"/>
    <w:rsid w:val="38D77AF6"/>
    <w:rsid w:val="38DA1EF9"/>
    <w:rsid w:val="38E050B1"/>
    <w:rsid w:val="38FC0F21"/>
    <w:rsid w:val="393D75AA"/>
    <w:rsid w:val="39480D00"/>
    <w:rsid w:val="394E75C1"/>
    <w:rsid w:val="398A2C99"/>
    <w:rsid w:val="398F7DD0"/>
    <w:rsid w:val="39A602C9"/>
    <w:rsid w:val="39B41E0D"/>
    <w:rsid w:val="39B853D1"/>
    <w:rsid w:val="39DB34A5"/>
    <w:rsid w:val="39F411FB"/>
    <w:rsid w:val="3A3C23C2"/>
    <w:rsid w:val="3A3E27D3"/>
    <w:rsid w:val="3AA0244D"/>
    <w:rsid w:val="3B040851"/>
    <w:rsid w:val="3B0D3470"/>
    <w:rsid w:val="3B441599"/>
    <w:rsid w:val="3BA76A03"/>
    <w:rsid w:val="3BE30FA7"/>
    <w:rsid w:val="3BFE1F56"/>
    <w:rsid w:val="3C002C09"/>
    <w:rsid w:val="3C56385D"/>
    <w:rsid w:val="3C895347"/>
    <w:rsid w:val="3CDF3135"/>
    <w:rsid w:val="3CE41001"/>
    <w:rsid w:val="3D177A29"/>
    <w:rsid w:val="3D1D0F09"/>
    <w:rsid w:val="3D4153BD"/>
    <w:rsid w:val="3D5F6F75"/>
    <w:rsid w:val="3D605B64"/>
    <w:rsid w:val="3D6F3FD5"/>
    <w:rsid w:val="3DB42DAD"/>
    <w:rsid w:val="3DB66D48"/>
    <w:rsid w:val="3DF750A4"/>
    <w:rsid w:val="3DFB5183"/>
    <w:rsid w:val="3E424BBC"/>
    <w:rsid w:val="3E42676A"/>
    <w:rsid w:val="3E807311"/>
    <w:rsid w:val="3EE70705"/>
    <w:rsid w:val="3F1A6A78"/>
    <w:rsid w:val="3F26350E"/>
    <w:rsid w:val="3F2B5786"/>
    <w:rsid w:val="3F3E428E"/>
    <w:rsid w:val="3F513CB1"/>
    <w:rsid w:val="3FA86688"/>
    <w:rsid w:val="3FB269C3"/>
    <w:rsid w:val="3FC054E8"/>
    <w:rsid w:val="3FD032C7"/>
    <w:rsid w:val="3FDB1D7E"/>
    <w:rsid w:val="405F4E39"/>
    <w:rsid w:val="406D3E71"/>
    <w:rsid w:val="40767C0D"/>
    <w:rsid w:val="40C1045A"/>
    <w:rsid w:val="40E45FD9"/>
    <w:rsid w:val="410061AC"/>
    <w:rsid w:val="413E22CD"/>
    <w:rsid w:val="41571D6E"/>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AC22B9"/>
    <w:rsid w:val="451275EF"/>
    <w:rsid w:val="453353B2"/>
    <w:rsid w:val="459C606B"/>
    <w:rsid w:val="4659090B"/>
    <w:rsid w:val="46652E15"/>
    <w:rsid w:val="46C076E7"/>
    <w:rsid w:val="46C5522D"/>
    <w:rsid w:val="46CC258D"/>
    <w:rsid w:val="46E42C4A"/>
    <w:rsid w:val="46EF7FDA"/>
    <w:rsid w:val="472C7633"/>
    <w:rsid w:val="47385FC3"/>
    <w:rsid w:val="474256D1"/>
    <w:rsid w:val="475D2AB1"/>
    <w:rsid w:val="47D965EA"/>
    <w:rsid w:val="47EE7F4E"/>
    <w:rsid w:val="48C3442B"/>
    <w:rsid w:val="48D2515B"/>
    <w:rsid w:val="48D43EA7"/>
    <w:rsid w:val="48EA0098"/>
    <w:rsid w:val="48ED46B3"/>
    <w:rsid w:val="4939352B"/>
    <w:rsid w:val="49451217"/>
    <w:rsid w:val="496D4057"/>
    <w:rsid w:val="49807693"/>
    <w:rsid w:val="49BF2665"/>
    <w:rsid w:val="49C56BCC"/>
    <w:rsid w:val="49D82CEC"/>
    <w:rsid w:val="49E44F5F"/>
    <w:rsid w:val="4A66111F"/>
    <w:rsid w:val="4AD36F68"/>
    <w:rsid w:val="4ADA6DED"/>
    <w:rsid w:val="4B3157D1"/>
    <w:rsid w:val="4BC16430"/>
    <w:rsid w:val="4BD0754A"/>
    <w:rsid w:val="4BE72D78"/>
    <w:rsid w:val="4BF700B0"/>
    <w:rsid w:val="4BFD54DB"/>
    <w:rsid w:val="4C164FBE"/>
    <w:rsid w:val="4C271A49"/>
    <w:rsid w:val="4C325CE4"/>
    <w:rsid w:val="4C58015D"/>
    <w:rsid w:val="4C623D84"/>
    <w:rsid w:val="4C767065"/>
    <w:rsid w:val="4C9E35A6"/>
    <w:rsid w:val="4CE935CD"/>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F227A3B"/>
    <w:rsid w:val="4F2B0C9E"/>
    <w:rsid w:val="4FA63CB9"/>
    <w:rsid w:val="4FCD0FCF"/>
    <w:rsid w:val="4FDB49B8"/>
    <w:rsid w:val="4FEC07C0"/>
    <w:rsid w:val="4FF039BD"/>
    <w:rsid w:val="4FF35972"/>
    <w:rsid w:val="4FF813ED"/>
    <w:rsid w:val="50043987"/>
    <w:rsid w:val="5024506F"/>
    <w:rsid w:val="502F5B05"/>
    <w:rsid w:val="505144B9"/>
    <w:rsid w:val="50525CE5"/>
    <w:rsid w:val="509960DB"/>
    <w:rsid w:val="50C76ECF"/>
    <w:rsid w:val="50EC4ED3"/>
    <w:rsid w:val="50F67A62"/>
    <w:rsid w:val="510E78E7"/>
    <w:rsid w:val="51574F3C"/>
    <w:rsid w:val="5164091A"/>
    <w:rsid w:val="51D73B45"/>
    <w:rsid w:val="51F21254"/>
    <w:rsid w:val="523258FE"/>
    <w:rsid w:val="524C7109"/>
    <w:rsid w:val="52680501"/>
    <w:rsid w:val="5282149F"/>
    <w:rsid w:val="529B7D50"/>
    <w:rsid w:val="52BC16D6"/>
    <w:rsid w:val="52DF6974"/>
    <w:rsid w:val="53292792"/>
    <w:rsid w:val="53671321"/>
    <w:rsid w:val="537A4A16"/>
    <w:rsid w:val="53B57275"/>
    <w:rsid w:val="540A2A63"/>
    <w:rsid w:val="54581151"/>
    <w:rsid w:val="54A27FE5"/>
    <w:rsid w:val="54CE030F"/>
    <w:rsid w:val="54E126EC"/>
    <w:rsid w:val="55023F43"/>
    <w:rsid w:val="551A77A3"/>
    <w:rsid w:val="552B71DA"/>
    <w:rsid w:val="55C80ACA"/>
    <w:rsid w:val="55F9355F"/>
    <w:rsid w:val="56025086"/>
    <w:rsid w:val="5606548A"/>
    <w:rsid w:val="56562CF2"/>
    <w:rsid w:val="56685DB8"/>
    <w:rsid w:val="56927A26"/>
    <w:rsid w:val="571C57E1"/>
    <w:rsid w:val="572A016E"/>
    <w:rsid w:val="5730509E"/>
    <w:rsid w:val="573D71DF"/>
    <w:rsid w:val="577D0663"/>
    <w:rsid w:val="57AE734F"/>
    <w:rsid w:val="57E24BEB"/>
    <w:rsid w:val="58236A15"/>
    <w:rsid w:val="58321EC6"/>
    <w:rsid w:val="583B2279"/>
    <w:rsid w:val="58501D07"/>
    <w:rsid w:val="585A3C87"/>
    <w:rsid w:val="58620FD6"/>
    <w:rsid w:val="586757C9"/>
    <w:rsid w:val="5875255A"/>
    <w:rsid w:val="58807305"/>
    <w:rsid w:val="58A446B9"/>
    <w:rsid w:val="58DF11CE"/>
    <w:rsid w:val="597C3E85"/>
    <w:rsid w:val="59B30690"/>
    <w:rsid w:val="59C8253B"/>
    <w:rsid w:val="5A0C7DA1"/>
    <w:rsid w:val="5A2F24DA"/>
    <w:rsid w:val="5A62271F"/>
    <w:rsid w:val="5A654C49"/>
    <w:rsid w:val="5A7638DB"/>
    <w:rsid w:val="5ABF28B9"/>
    <w:rsid w:val="5AC22B45"/>
    <w:rsid w:val="5ADD3C34"/>
    <w:rsid w:val="5B24477E"/>
    <w:rsid w:val="5B743E4F"/>
    <w:rsid w:val="5BBA6FCE"/>
    <w:rsid w:val="5BCA3A6F"/>
    <w:rsid w:val="5C9F097E"/>
    <w:rsid w:val="5CC93D27"/>
    <w:rsid w:val="5D12364D"/>
    <w:rsid w:val="5D5F6EC4"/>
    <w:rsid w:val="5D652999"/>
    <w:rsid w:val="5D6730F6"/>
    <w:rsid w:val="5D8D7C8E"/>
    <w:rsid w:val="5DC61182"/>
    <w:rsid w:val="5DDB3655"/>
    <w:rsid w:val="5E123C25"/>
    <w:rsid w:val="5E2935C7"/>
    <w:rsid w:val="5E424D48"/>
    <w:rsid w:val="5E515E45"/>
    <w:rsid w:val="5E60690D"/>
    <w:rsid w:val="5E643D94"/>
    <w:rsid w:val="5E6E14AE"/>
    <w:rsid w:val="5E8748C3"/>
    <w:rsid w:val="5E8819C0"/>
    <w:rsid w:val="5EB13F24"/>
    <w:rsid w:val="5EB43E99"/>
    <w:rsid w:val="5EB54CAB"/>
    <w:rsid w:val="5EC74A26"/>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106379C"/>
    <w:rsid w:val="610C012A"/>
    <w:rsid w:val="61237EB8"/>
    <w:rsid w:val="61622839"/>
    <w:rsid w:val="61686204"/>
    <w:rsid w:val="61712D59"/>
    <w:rsid w:val="61775C20"/>
    <w:rsid w:val="61FC3A17"/>
    <w:rsid w:val="62035FCE"/>
    <w:rsid w:val="623A3232"/>
    <w:rsid w:val="623F0400"/>
    <w:rsid w:val="624C3ACF"/>
    <w:rsid w:val="626A1B08"/>
    <w:rsid w:val="629666C7"/>
    <w:rsid w:val="62D81168"/>
    <w:rsid w:val="63096ADD"/>
    <w:rsid w:val="633C34A4"/>
    <w:rsid w:val="636429FB"/>
    <w:rsid w:val="63723E5E"/>
    <w:rsid w:val="63751812"/>
    <w:rsid w:val="63BA64B1"/>
    <w:rsid w:val="63D1522A"/>
    <w:rsid w:val="63F2576A"/>
    <w:rsid w:val="63FA13F4"/>
    <w:rsid w:val="64232B20"/>
    <w:rsid w:val="64365814"/>
    <w:rsid w:val="64CB312C"/>
    <w:rsid w:val="64DB3FFC"/>
    <w:rsid w:val="64E32783"/>
    <w:rsid w:val="64F733FB"/>
    <w:rsid w:val="65007F4E"/>
    <w:rsid w:val="6560477F"/>
    <w:rsid w:val="65633210"/>
    <w:rsid w:val="6585379C"/>
    <w:rsid w:val="658A3520"/>
    <w:rsid w:val="65E5782A"/>
    <w:rsid w:val="66072141"/>
    <w:rsid w:val="662D4763"/>
    <w:rsid w:val="664513D6"/>
    <w:rsid w:val="664B644A"/>
    <w:rsid w:val="666B09B5"/>
    <w:rsid w:val="66885224"/>
    <w:rsid w:val="66BA43AC"/>
    <w:rsid w:val="67000CC4"/>
    <w:rsid w:val="67236729"/>
    <w:rsid w:val="673D1D44"/>
    <w:rsid w:val="677360E3"/>
    <w:rsid w:val="67F65590"/>
    <w:rsid w:val="686B0388"/>
    <w:rsid w:val="68D357B0"/>
    <w:rsid w:val="68E21A43"/>
    <w:rsid w:val="68F366C9"/>
    <w:rsid w:val="68F669DD"/>
    <w:rsid w:val="69962BD5"/>
    <w:rsid w:val="69CB7493"/>
    <w:rsid w:val="69D4537F"/>
    <w:rsid w:val="6A117774"/>
    <w:rsid w:val="6A2949C1"/>
    <w:rsid w:val="6A365264"/>
    <w:rsid w:val="6AB30BF4"/>
    <w:rsid w:val="6AD0599B"/>
    <w:rsid w:val="6B981DF8"/>
    <w:rsid w:val="6B9D025C"/>
    <w:rsid w:val="6BA75FB6"/>
    <w:rsid w:val="6BCA0C7C"/>
    <w:rsid w:val="6BFE0F28"/>
    <w:rsid w:val="6BFF52D4"/>
    <w:rsid w:val="6C59487A"/>
    <w:rsid w:val="6CAA794A"/>
    <w:rsid w:val="6CDA2501"/>
    <w:rsid w:val="6D2B53FD"/>
    <w:rsid w:val="6D342340"/>
    <w:rsid w:val="6D9B19E5"/>
    <w:rsid w:val="6E3D3472"/>
    <w:rsid w:val="6E791175"/>
    <w:rsid w:val="6E984CF8"/>
    <w:rsid w:val="6F5E0FC0"/>
    <w:rsid w:val="6F6F4E5B"/>
    <w:rsid w:val="6FCD69D4"/>
    <w:rsid w:val="70A80E7F"/>
    <w:rsid w:val="70E241C6"/>
    <w:rsid w:val="71034F30"/>
    <w:rsid w:val="7153093F"/>
    <w:rsid w:val="71603DA0"/>
    <w:rsid w:val="71956476"/>
    <w:rsid w:val="71FA5537"/>
    <w:rsid w:val="722E2B52"/>
    <w:rsid w:val="723A2045"/>
    <w:rsid w:val="728B1D53"/>
    <w:rsid w:val="72991E28"/>
    <w:rsid w:val="72D26514"/>
    <w:rsid w:val="72DC5D50"/>
    <w:rsid w:val="7310706F"/>
    <w:rsid w:val="73B9644B"/>
    <w:rsid w:val="74564E86"/>
    <w:rsid w:val="74983967"/>
    <w:rsid w:val="74C434B7"/>
    <w:rsid w:val="753D3F57"/>
    <w:rsid w:val="756D573F"/>
    <w:rsid w:val="75BA3232"/>
    <w:rsid w:val="75C50E33"/>
    <w:rsid w:val="76A16BB3"/>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B1E65F5"/>
    <w:rsid w:val="7B9F5272"/>
    <w:rsid w:val="7BBB7C03"/>
    <w:rsid w:val="7BE14791"/>
    <w:rsid w:val="7C0741E9"/>
    <w:rsid w:val="7C230F73"/>
    <w:rsid w:val="7C3A16BA"/>
    <w:rsid w:val="7C77544F"/>
    <w:rsid w:val="7D1B52B4"/>
    <w:rsid w:val="7D312AC1"/>
    <w:rsid w:val="7D3744CD"/>
    <w:rsid w:val="7D7173A1"/>
    <w:rsid w:val="7DB23C95"/>
    <w:rsid w:val="7E433576"/>
    <w:rsid w:val="7EAE4F3F"/>
    <w:rsid w:val="7EAF5740"/>
    <w:rsid w:val="7EED3340"/>
    <w:rsid w:val="7F727327"/>
    <w:rsid w:val="7F7471EB"/>
    <w:rsid w:val="7FA93818"/>
    <w:rsid w:val="7FCB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65"/>
    <w:qFormat/>
    <w:uiPriority w:val="0"/>
    <w:pPr>
      <w:spacing w:before="340" w:after="330" w:line="360" w:lineRule="auto"/>
      <w:jc w:val="center"/>
      <w:outlineLvl w:val="0"/>
    </w:pPr>
    <w:rPr>
      <w:rFonts w:eastAsia="黑体"/>
      <w:kern w:val="44"/>
      <w:szCs w:val="44"/>
    </w:rPr>
  </w:style>
  <w:style w:type="paragraph" w:styleId="7">
    <w:name w:val="heading 2"/>
    <w:basedOn w:val="5"/>
    <w:next w:val="6"/>
    <w:link w:val="80"/>
    <w:qFormat/>
    <w:uiPriority w:val="0"/>
    <w:pPr>
      <w:adjustRightInd w:val="0"/>
      <w:jc w:val="center"/>
      <w:textAlignment w:val="baseline"/>
      <w:outlineLvl w:val="1"/>
    </w:pPr>
    <w:rPr>
      <w:kern w:val="0"/>
      <w:sz w:val="24"/>
      <w:szCs w:val="20"/>
    </w:rPr>
  </w:style>
  <w:style w:type="paragraph" w:styleId="5">
    <w:name w:val="heading 3"/>
    <w:basedOn w:val="6"/>
    <w:next w:val="1"/>
    <w:link w:val="64"/>
    <w:qFormat/>
    <w:uiPriority w:val="9"/>
    <w:pPr>
      <w:spacing w:before="260" w:after="260" w:line="240" w:lineRule="auto"/>
      <w:outlineLvl w:val="2"/>
    </w:pPr>
    <w:rPr>
      <w:rFonts w:ascii="宋体" w:hAnsi="宋体" w:eastAsia="宋体"/>
      <w:szCs w:val="32"/>
    </w:rPr>
  </w:style>
  <w:style w:type="paragraph" w:styleId="6">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89"/>
    <w:qFormat/>
    <w:uiPriority w:val="0"/>
    <w:pPr>
      <w:keepNext/>
      <w:keepLines/>
      <w:spacing w:before="280" w:after="290" w:line="376" w:lineRule="auto"/>
      <w:outlineLvl w:val="4"/>
    </w:pPr>
    <w:rPr>
      <w:b/>
      <w:sz w:val="28"/>
      <w:szCs w:val="20"/>
    </w:rPr>
  </w:style>
  <w:style w:type="paragraph" w:styleId="10">
    <w:name w:val="heading 6"/>
    <w:basedOn w:val="1"/>
    <w:next w:val="9"/>
    <w:link w:val="92"/>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9"/>
    <w:link w:val="93"/>
    <w:qFormat/>
    <w:uiPriority w:val="0"/>
    <w:pPr>
      <w:keepNext/>
      <w:keepLines/>
      <w:spacing w:before="240" w:after="64" w:line="320" w:lineRule="auto"/>
      <w:outlineLvl w:val="6"/>
    </w:pPr>
    <w:rPr>
      <w:b/>
      <w:sz w:val="24"/>
      <w:szCs w:val="20"/>
    </w:rPr>
  </w:style>
  <w:style w:type="paragraph" w:styleId="12">
    <w:name w:val="heading 8"/>
    <w:basedOn w:val="1"/>
    <w:next w:val="9"/>
    <w:link w:val="94"/>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9"/>
    <w:link w:val="95"/>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01"/>
    <w:qFormat/>
    <w:uiPriority w:val="0"/>
    <w:pPr>
      <w:spacing w:line="360" w:lineRule="auto"/>
    </w:pPr>
    <w:rPr>
      <w:b/>
      <w:bCs/>
      <w:sz w:val="24"/>
    </w:rPr>
  </w:style>
  <w:style w:type="paragraph" w:styleId="3">
    <w:name w:val="Body Text 2"/>
    <w:basedOn w:val="1"/>
    <w:link w:val="105"/>
    <w:qFormat/>
    <w:uiPriority w:val="0"/>
    <w:pPr>
      <w:spacing w:line="360" w:lineRule="auto"/>
    </w:pPr>
    <w:rPr>
      <w:sz w:val="24"/>
    </w:rPr>
  </w:style>
  <w:style w:type="paragraph" w:styleId="9">
    <w:name w:val="Normal Indent"/>
    <w:basedOn w:val="1"/>
    <w:next w:val="2"/>
    <w:link w:val="66"/>
    <w:qFormat/>
    <w:uiPriority w:val="0"/>
    <w:pPr>
      <w:ind w:firstLine="420"/>
    </w:pPr>
    <w:rPr>
      <w:szCs w:val="20"/>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3"/>
    <w:qFormat/>
    <w:uiPriority w:val="0"/>
    <w:pPr>
      <w:autoSpaceDE w:val="0"/>
      <w:autoSpaceDN w:val="0"/>
      <w:adjustRightInd w:val="0"/>
      <w:jc w:val="left"/>
      <w:textAlignment w:val="baseline"/>
    </w:pPr>
    <w:rPr>
      <w:rFonts w:ascii="宋体"/>
      <w:kern w:val="0"/>
      <w:sz w:val="34"/>
      <w:szCs w:val="20"/>
    </w:rPr>
  </w:style>
  <w:style w:type="paragraph" w:styleId="19">
    <w:name w:val="Body Text 3"/>
    <w:basedOn w:val="1"/>
    <w:link w:val="107"/>
    <w:qFormat/>
    <w:uiPriority w:val="0"/>
    <w:pPr>
      <w:spacing w:after="120"/>
    </w:pPr>
    <w:rPr>
      <w:sz w:val="16"/>
      <w:szCs w:val="16"/>
    </w:rPr>
  </w:style>
  <w:style w:type="paragraph" w:styleId="20">
    <w:name w:val="Body Text Indent"/>
    <w:basedOn w:val="1"/>
    <w:link w:val="88"/>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9"/>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7"/>
    <w:qFormat/>
    <w:uiPriority w:val="0"/>
    <w:rPr>
      <w:rFonts w:ascii="宋体" w:hAnsi="Courier New"/>
      <w:sz w:val="32"/>
      <w:szCs w:val="20"/>
    </w:rPr>
  </w:style>
  <w:style w:type="paragraph" w:styleId="26">
    <w:name w:val="Body Text Indent 2"/>
    <w:basedOn w:val="1"/>
    <w:link w:val="102"/>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8"/>
    <w:semiHidden/>
    <w:qFormat/>
    <w:uiPriority w:val="99"/>
    <w:rPr>
      <w:sz w:val="18"/>
      <w:szCs w:val="18"/>
    </w:rPr>
  </w:style>
  <w:style w:type="paragraph" w:styleId="28">
    <w:name w:val="footer"/>
    <w:basedOn w:val="1"/>
    <w:link w:val="106"/>
    <w:qFormat/>
    <w:uiPriority w:val="99"/>
    <w:pPr>
      <w:tabs>
        <w:tab w:val="center" w:pos="4153"/>
        <w:tab w:val="right" w:pos="8306"/>
      </w:tabs>
      <w:snapToGrid w:val="0"/>
      <w:jc w:val="left"/>
    </w:pPr>
    <w:rPr>
      <w:sz w:val="18"/>
      <w:szCs w:val="18"/>
    </w:rPr>
  </w:style>
  <w:style w:type="paragraph" w:styleId="29">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4"/>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6"/>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next w:val="18"/>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2"/>
    <w:link w:val="139"/>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uiPriority w:val="0"/>
  </w:style>
  <w:style w:type="character" w:styleId="52">
    <w:name w:val="HTML Typewriter"/>
    <w:basedOn w:val="46"/>
    <w:semiHidden/>
    <w:unhideWhenUsed/>
    <w:uiPriority w:val="0"/>
    <w:rPr>
      <w:rFonts w:hint="default" w:ascii="monospace" w:hAnsi="monospace" w:eastAsia="monospace" w:cs="monospace"/>
      <w:sz w:val="20"/>
      <w:bdr w:val="single" w:color="D6D6D6" w:sz="4" w:space="0"/>
      <w:shd w:val="clear" w:fill="FFFFFF"/>
    </w:rPr>
  </w:style>
  <w:style w:type="character" w:styleId="53">
    <w:name w:val="HTML Acronym"/>
    <w:basedOn w:val="46"/>
    <w:semiHidden/>
    <w:unhideWhenUsed/>
    <w:uiPriority w:val="0"/>
    <w:rPr>
      <w:bdr w:val="none" w:color="auto" w:sz="0" w:space="0"/>
    </w:rPr>
  </w:style>
  <w:style w:type="character" w:styleId="54">
    <w:name w:val="HTML Variable"/>
    <w:basedOn w:val="46"/>
    <w:semiHidden/>
    <w:unhideWhenUsed/>
    <w:uiPriority w:val="0"/>
  </w:style>
  <w:style w:type="character" w:styleId="55">
    <w:name w:val="Hyperlink"/>
    <w:qFormat/>
    <w:uiPriority w:val="0"/>
    <w:rPr>
      <w:color w:val="0000FF"/>
      <w:u w:val="single"/>
    </w:rPr>
  </w:style>
  <w:style w:type="character" w:styleId="56">
    <w:name w:val="HTML Code"/>
    <w:basedOn w:val="46"/>
    <w:semiHidden/>
    <w:unhideWhenUsed/>
    <w:uiPriority w:val="0"/>
    <w:rPr>
      <w:rFonts w:ascii="monospace" w:hAnsi="monospace" w:eastAsia="monospace" w:cs="monospace"/>
      <w:sz w:val="20"/>
      <w:bdr w:val="none" w:color="auto" w:sz="0" w:space="0"/>
    </w:rPr>
  </w:style>
  <w:style w:type="character" w:styleId="57">
    <w:name w:val="annotation reference"/>
    <w:basedOn w:val="46"/>
    <w:qFormat/>
    <w:uiPriority w:val="0"/>
    <w:rPr>
      <w:sz w:val="21"/>
      <w:szCs w:val="21"/>
    </w:rPr>
  </w:style>
  <w:style w:type="character" w:styleId="58">
    <w:name w:val="HTML Cite"/>
    <w:basedOn w:val="46"/>
    <w:semiHidden/>
    <w:unhideWhenUsed/>
    <w:uiPriority w:val="0"/>
  </w:style>
  <w:style w:type="character" w:styleId="59">
    <w:name w:val="HTML Keyboard"/>
    <w:basedOn w:val="46"/>
    <w:semiHidden/>
    <w:unhideWhenUsed/>
    <w:uiPriority w:val="0"/>
    <w:rPr>
      <w:rFonts w:hint="default" w:ascii="monospace" w:hAnsi="monospace" w:eastAsia="monospace" w:cs="monospace"/>
      <w:sz w:val="20"/>
    </w:rPr>
  </w:style>
  <w:style w:type="character" w:styleId="60">
    <w:name w:val="HTML Sample"/>
    <w:basedOn w:val="46"/>
    <w:semiHidden/>
    <w:unhideWhenUsed/>
    <w:uiPriority w:val="0"/>
    <w:rPr>
      <w:rFonts w:hint="default" w:ascii="monospace" w:hAnsi="monospace" w:eastAsia="monospace" w:cs="monospace"/>
    </w:rPr>
  </w:style>
  <w:style w:type="paragraph" w:styleId="6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2">
    <w:name w:val="标题 4 字符"/>
    <w:link w:val="6"/>
    <w:qFormat/>
    <w:uiPriority w:val="9"/>
    <w:rPr>
      <w:rFonts w:ascii="Arial" w:hAnsi="Arial" w:eastAsia="黑体"/>
      <w:b/>
      <w:bCs/>
      <w:kern w:val="2"/>
      <w:sz w:val="28"/>
      <w:szCs w:val="28"/>
      <w:lang w:val="en-US" w:eastAsia="zh-CN" w:bidi="ar-SA"/>
    </w:rPr>
  </w:style>
  <w:style w:type="paragraph" w:customStyle="1" w:styleId="6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4">
    <w:name w:val="标题 3 字符"/>
    <w:link w:val="5"/>
    <w:qFormat/>
    <w:uiPriority w:val="9"/>
    <w:rPr>
      <w:rFonts w:ascii="宋体" w:hAnsi="宋体" w:eastAsia="宋体"/>
      <w:b/>
      <w:bCs/>
      <w:kern w:val="2"/>
      <w:sz w:val="28"/>
      <w:szCs w:val="32"/>
      <w:lang w:val="en-US" w:eastAsia="zh-CN" w:bidi="ar-SA"/>
    </w:rPr>
  </w:style>
  <w:style w:type="character" w:customStyle="1" w:styleId="65">
    <w:name w:val="标题 1 字符"/>
    <w:link w:val="4"/>
    <w:qFormat/>
    <w:uiPriority w:val="0"/>
    <w:rPr>
      <w:rFonts w:ascii="宋体" w:hAnsi="宋体" w:eastAsia="黑体"/>
      <w:b/>
      <w:bCs/>
      <w:kern w:val="44"/>
      <w:sz w:val="28"/>
      <w:szCs w:val="44"/>
      <w:lang w:val="en-US" w:eastAsia="zh-CN" w:bidi="ar-SA"/>
    </w:rPr>
  </w:style>
  <w:style w:type="character" w:customStyle="1" w:styleId="66">
    <w:name w:val="正文缩进 字符"/>
    <w:link w:val="9"/>
    <w:qFormat/>
    <w:uiPriority w:val="0"/>
    <w:rPr>
      <w:rFonts w:eastAsia="宋体"/>
      <w:kern w:val="2"/>
      <w:sz w:val="21"/>
      <w:lang w:val="en-US" w:eastAsia="zh-CN" w:bidi="ar-SA"/>
    </w:rPr>
  </w:style>
  <w:style w:type="character" w:customStyle="1" w:styleId="67">
    <w:name w:val="标题 3 Char"/>
    <w:qFormat/>
    <w:uiPriority w:val="0"/>
    <w:rPr>
      <w:rFonts w:ascii="黑体" w:eastAsia="黑体"/>
      <w:bCs/>
      <w:sz w:val="30"/>
    </w:rPr>
  </w:style>
  <w:style w:type="paragraph" w:customStyle="1" w:styleId="68">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9">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0">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5">
    <w:name w:val="自定义正文"/>
    <w:basedOn w:val="1"/>
    <w:qFormat/>
    <w:uiPriority w:val="0"/>
    <w:pPr>
      <w:spacing w:afterLines="50"/>
      <w:ind w:left="600" w:leftChars="600"/>
    </w:pPr>
  </w:style>
  <w:style w:type="paragraph" w:customStyle="1" w:styleId="76">
    <w:name w:val="Char Char Char Char Char"/>
    <w:basedOn w:val="1"/>
    <w:qFormat/>
    <w:uiPriority w:val="0"/>
    <w:rPr>
      <w:rFonts w:ascii="Tahoma" w:hAnsi="Tahoma"/>
      <w:sz w:val="24"/>
      <w:szCs w:val="20"/>
    </w:rPr>
  </w:style>
  <w:style w:type="paragraph" w:customStyle="1" w:styleId="7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8">
    <w:name w:val="Char Char"/>
    <w:basedOn w:val="1"/>
    <w:qFormat/>
    <w:uiPriority w:val="0"/>
    <w:rPr>
      <w:rFonts w:ascii="Tahoma" w:hAnsi="Tahoma"/>
      <w:sz w:val="24"/>
      <w:szCs w:val="20"/>
    </w:rPr>
  </w:style>
  <w:style w:type="paragraph" w:customStyle="1" w:styleId="79">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0">
    <w:name w:val="标题 2 字符"/>
    <w:link w:val="7"/>
    <w:qFormat/>
    <w:uiPriority w:val="0"/>
    <w:rPr>
      <w:rFonts w:ascii="宋体" w:hAnsi="宋体" w:eastAsia="宋体"/>
      <w:b/>
      <w:bCs/>
      <w:sz w:val="24"/>
      <w:lang w:val="en-US" w:eastAsia="zh-CN" w:bidi="ar-SA"/>
    </w:rPr>
  </w:style>
  <w:style w:type="paragraph" w:customStyle="1" w:styleId="8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2">
    <w:name w:val="List Paragraph"/>
    <w:basedOn w:val="1"/>
    <w:qFormat/>
    <w:uiPriority w:val="0"/>
    <w:pPr>
      <w:ind w:firstLine="420" w:firstLineChars="200"/>
    </w:pPr>
    <w:rPr>
      <w:rFonts w:ascii="Calibri" w:hAnsi="Calibri"/>
      <w:szCs w:val="22"/>
    </w:rPr>
  </w:style>
  <w:style w:type="paragraph" w:customStyle="1" w:styleId="83">
    <w:name w:val="USE 1"/>
    <w:basedOn w:val="1"/>
    <w:qFormat/>
    <w:uiPriority w:val="0"/>
    <w:pPr>
      <w:spacing w:line="200" w:lineRule="atLeast"/>
      <w:jc w:val="left"/>
    </w:pPr>
    <w:rPr>
      <w:rFonts w:ascii="宋体" w:hAnsi="宋体"/>
      <w:b/>
      <w:sz w:val="24"/>
      <w:szCs w:val="28"/>
    </w:rPr>
  </w:style>
  <w:style w:type="paragraph" w:customStyle="1" w:styleId="8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5">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6">
    <w:name w:val="样式 标题 2 + 段前: 13 磅 段后: 13 磅 行距: 单倍行距"/>
    <w:basedOn w:val="7"/>
    <w:qFormat/>
    <w:uiPriority w:val="0"/>
    <w:pPr>
      <w:adjustRightInd/>
      <w:spacing w:before="0" w:after="0"/>
      <w:jc w:val="both"/>
      <w:textAlignment w:val="auto"/>
    </w:pPr>
    <w:rPr>
      <w:rFonts w:ascii="Cambria" w:hAnsi="Cambria" w:cs="宋体"/>
      <w:kern w:val="2"/>
      <w:sz w:val="32"/>
    </w:rPr>
  </w:style>
  <w:style w:type="character" w:customStyle="1" w:styleId="87">
    <w:name w:val="H4 Char2"/>
    <w:qFormat/>
    <w:uiPriority w:val="0"/>
    <w:rPr>
      <w:rFonts w:ascii="Arial" w:hAnsi="Arial" w:eastAsia="黑体"/>
      <w:b/>
      <w:bCs/>
      <w:kern w:val="2"/>
      <w:sz w:val="28"/>
      <w:szCs w:val="28"/>
      <w:lang w:val="en-US" w:eastAsia="zh-CN" w:bidi="ar-SA"/>
    </w:rPr>
  </w:style>
  <w:style w:type="character" w:customStyle="1" w:styleId="88">
    <w:name w:val="正文文本缩进 字符"/>
    <w:link w:val="20"/>
    <w:qFormat/>
    <w:uiPriority w:val="0"/>
    <w:rPr>
      <w:rFonts w:eastAsia="宋体"/>
      <w:kern w:val="2"/>
      <w:sz w:val="21"/>
      <w:szCs w:val="24"/>
      <w:lang w:val="en-US" w:eastAsia="zh-CN" w:bidi="ar-SA"/>
    </w:rPr>
  </w:style>
  <w:style w:type="character" w:customStyle="1" w:styleId="89">
    <w:name w:val="标题 5 字符"/>
    <w:link w:val="8"/>
    <w:qFormat/>
    <w:uiPriority w:val="0"/>
    <w:rPr>
      <w:rFonts w:eastAsia="宋体"/>
      <w:b/>
      <w:kern w:val="2"/>
      <w:sz w:val="28"/>
      <w:lang w:val="en-US" w:eastAsia="zh-CN" w:bidi="ar-SA"/>
    </w:rPr>
  </w:style>
  <w:style w:type="character" w:customStyle="1" w:styleId="90">
    <w:name w:val="第*章 Char"/>
    <w:qFormat/>
    <w:uiPriority w:val="0"/>
    <w:rPr>
      <w:rFonts w:ascii="Arial" w:hAnsi="Arial" w:eastAsia="黑体"/>
      <w:b/>
      <w:bCs/>
      <w:kern w:val="2"/>
      <w:sz w:val="32"/>
      <w:szCs w:val="32"/>
    </w:rPr>
  </w:style>
  <w:style w:type="character" w:customStyle="1" w:styleId="91">
    <w:name w:val="章标题1 Char"/>
    <w:qFormat/>
    <w:uiPriority w:val="0"/>
    <w:rPr>
      <w:rFonts w:eastAsia="宋体"/>
      <w:b/>
      <w:bCs/>
      <w:kern w:val="2"/>
      <w:sz w:val="32"/>
      <w:szCs w:val="32"/>
      <w:lang w:val="en-US" w:eastAsia="zh-CN" w:bidi="ar-SA"/>
    </w:rPr>
  </w:style>
  <w:style w:type="character" w:customStyle="1" w:styleId="92">
    <w:name w:val="标题 6 字符"/>
    <w:link w:val="10"/>
    <w:qFormat/>
    <w:uiPriority w:val="0"/>
    <w:rPr>
      <w:rFonts w:ascii="Arial" w:hAnsi="Arial" w:eastAsia="黑体"/>
      <w:b/>
      <w:kern w:val="2"/>
      <w:sz w:val="24"/>
      <w:lang w:val="en-US" w:eastAsia="zh-CN" w:bidi="ar-SA"/>
    </w:rPr>
  </w:style>
  <w:style w:type="character" w:customStyle="1" w:styleId="93">
    <w:name w:val="标题 7 字符"/>
    <w:link w:val="11"/>
    <w:qFormat/>
    <w:uiPriority w:val="0"/>
    <w:rPr>
      <w:rFonts w:eastAsia="宋体"/>
      <w:b/>
      <w:kern w:val="2"/>
      <w:sz w:val="24"/>
      <w:lang w:val="en-US" w:eastAsia="zh-CN" w:bidi="ar-SA"/>
    </w:rPr>
  </w:style>
  <w:style w:type="character" w:customStyle="1" w:styleId="94">
    <w:name w:val="标题 8 字符"/>
    <w:link w:val="12"/>
    <w:qFormat/>
    <w:uiPriority w:val="0"/>
    <w:rPr>
      <w:rFonts w:ascii="Arial" w:hAnsi="Arial" w:eastAsia="黑体"/>
      <w:kern w:val="2"/>
      <w:sz w:val="24"/>
      <w:lang w:val="en-US" w:eastAsia="zh-CN" w:bidi="ar-SA"/>
    </w:rPr>
  </w:style>
  <w:style w:type="character" w:customStyle="1" w:styleId="95">
    <w:name w:val="标题 9 字符"/>
    <w:link w:val="13"/>
    <w:qFormat/>
    <w:uiPriority w:val="0"/>
    <w:rPr>
      <w:rFonts w:ascii="Arial" w:hAnsi="Arial" w:eastAsia="黑体"/>
      <w:kern w:val="2"/>
      <w:sz w:val="21"/>
      <w:lang w:val="en-US" w:eastAsia="zh-CN" w:bidi="ar-SA"/>
    </w:rPr>
  </w:style>
  <w:style w:type="character" w:customStyle="1" w:styleId="96">
    <w:name w:val="标题 字符"/>
    <w:link w:val="40"/>
    <w:qFormat/>
    <w:uiPriority w:val="0"/>
    <w:rPr>
      <w:rFonts w:ascii="Arial" w:hAnsi="Arial" w:eastAsia="隶书" w:cs="Arial"/>
      <w:b/>
      <w:bCs/>
      <w:kern w:val="2"/>
      <w:sz w:val="32"/>
      <w:szCs w:val="32"/>
      <w:lang w:val="en-US" w:eastAsia="zh-CN" w:bidi="ar-SA"/>
    </w:rPr>
  </w:style>
  <w:style w:type="character" w:customStyle="1" w:styleId="97">
    <w:name w:val="日期 字符"/>
    <w:link w:val="25"/>
    <w:qFormat/>
    <w:uiPriority w:val="0"/>
    <w:rPr>
      <w:rFonts w:ascii="宋体" w:hAnsi="Courier New" w:eastAsia="宋体"/>
      <w:kern w:val="2"/>
      <w:sz w:val="32"/>
      <w:lang w:val="en-US" w:eastAsia="zh-CN" w:bidi="ar-SA"/>
    </w:rPr>
  </w:style>
  <w:style w:type="character" w:customStyle="1" w:styleId="98">
    <w:name w:val="HTML 预设格式 字符"/>
    <w:link w:val="37"/>
    <w:qFormat/>
    <w:uiPriority w:val="0"/>
    <w:rPr>
      <w:rFonts w:ascii="Arial Unicode MS" w:hAnsi="Arial Unicode MS" w:eastAsia="Arial Unicode MS"/>
      <w:color w:val="000000"/>
      <w:lang w:val="en-US" w:eastAsia="zh-CN" w:bidi="ar-SA"/>
    </w:rPr>
  </w:style>
  <w:style w:type="character" w:customStyle="1" w:styleId="99">
    <w:name w:val="纯文本 字符"/>
    <w:link w:val="23"/>
    <w:qFormat/>
    <w:uiPriority w:val="0"/>
    <w:rPr>
      <w:rFonts w:ascii="宋体" w:hAnsi="Courier New" w:eastAsia="宋体"/>
      <w:kern w:val="2"/>
      <w:sz w:val="21"/>
      <w:lang w:val="en-US" w:eastAsia="zh-CN" w:bidi="ar-SA"/>
    </w:rPr>
  </w:style>
  <w:style w:type="character" w:customStyle="1" w:styleId="100">
    <w:name w:val="正文文字首行缩进 Char"/>
    <w:qFormat/>
    <w:uiPriority w:val="0"/>
    <w:rPr>
      <w:kern w:val="2"/>
      <w:sz w:val="21"/>
      <w:szCs w:val="24"/>
    </w:rPr>
  </w:style>
  <w:style w:type="character" w:customStyle="1" w:styleId="101">
    <w:name w:val="正文文本 字符"/>
    <w:link w:val="2"/>
    <w:qFormat/>
    <w:uiPriority w:val="0"/>
    <w:rPr>
      <w:rFonts w:eastAsia="宋体"/>
      <w:b/>
      <w:bCs/>
      <w:kern w:val="2"/>
      <w:sz w:val="24"/>
      <w:szCs w:val="24"/>
      <w:lang w:val="en-US" w:eastAsia="zh-CN" w:bidi="ar-SA"/>
    </w:rPr>
  </w:style>
  <w:style w:type="character" w:customStyle="1" w:styleId="102">
    <w:name w:val="正文文本缩进 2 字符"/>
    <w:link w:val="26"/>
    <w:qFormat/>
    <w:uiPriority w:val="0"/>
    <w:rPr>
      <w:rFonts w:ascii="宋体" w:hAnsi="宋体" w:eastAsia="宋体"/>
      <w:kern w:val="2"/>
      <w:sz w:val="21"/>
      <w:szCs w:val="24"/>
      <w:lang w:val="en-US" w:eastAsia="zh-CN" w:bidi="ar-SA"/>
    </w:rPr>
  </w:style>
  <w:style w:type="character" w:customStyle="1" w:styleId="103">
    <w:name w:val="页眉 字符"/>
    <w:link w:val="29"/>
    <w:qFormat/>
    <w:uiPriority w:val="99"/>
    <w:rPr>
      <w:rFonts w:eastAsia="宋体"/>
      <w:kern w:val="2"/>
      <w:sz w:val="18"/>
      <w:szCs w:val="18"/>
      <w:lang w:val="en-US" w:eastAsia="zh-CN" w:bidi="ar-SA"/>
    </w:rPr>
  </w:style>
  <w:style w:type="character" w:customStyle="1" w:styleId="104">
    <w:name w:val="正文文本缩进 3 字符"/>
    <w:link w:val="34"/>
    <w:qFormat/>
    <w:uiPriority w:val="0"/>
    <w:rPr>
      <w:rFonts w:ascii="宋体" w:eastAsia="宋体"/>
      <w:b/>
      <w:bCs/>
      <w:kern w:val="2"/>
      <w:sz w:val="24"/>
      <w:szCs w:val="24"/>
      <w:lang w:val="en-US" w:eastAsia="zh-CN" w:bidi="ar-SA"/>
    </w:rPr>
  </w:style>
  <w:style w:type="character" w:customStyle="1" w:styleId="105">
    <w:name w:val="正文文本 2 字符"/>
    <w:link w:val="3"/>
    <w:qFormat/>
    <w:uiPriority w:val="0"/>
    <w:rPr>
      <w:rFonts w:eastAsia="宋体"/>
      <w:kern w:val="2"/>
      <w:sz w:val="24"/>
      <w:szCs w:val="24"/>
      <w:lang w:val="en-US" w:eastAsia="zh-CN" w:bidi="ar-SA"/>
    </w:rPr>
  </w:style>
  <w:style w:type="character" w:customStyle="1" w:styleId="106">
    <w:name w:val="页脚 字符"/>
    <w:link w:val="28"/>
    <w:qFormat/>
    <w:uiPriority w:val="99"/>
    <w:rPr>
      <w:rFonts w:eastAsia="宋体"/>
      <w:kern w:val="2"/>
      <w:sz w:val="18"/>
      <w:szCs w:val="18"/>
      <w:lang w:val="en-US" w:eastAsia="zh-CN" w:bidi="ar-SA"/>
    </w:rPr>
  </w:style>
  <w:style w:type="character" w:customStyle="1" w:styleId="107">
    <w:name w:val="正文文本 3 字符"/>
    <w:link w:val="19"/>
    <w:qFormat/>
    <w:uiPriority w:val="0"/>
    <w:rPr>
      <w:rFonts w:eastAsia="宋体"/>
      <w:kern w:val="2"/>
      <w:sz w:val="16"/>
      <w:szCs w:val="16"/>
      <w:lang w:val="en-US" w:eastAsia="zh-CN" w:bidi="ar-SA"/>
    </w:rPr>
  </w:style>
  <w:style w:type="character" w:customStyle="1" w:styleId="108">
    <w:name w:val="批注框文本 字符"/>
    <w:link w:val="27"/>
    <w:semiHidden/>
    <w:qFormat/>
    <w:uiPriority w:val="99"/>
    <w:rPr>
      <w:rFonts w:eastAsia="宋体"/>
      <w:kern w:val="2"/>
      <w:sz w:val="18"/>
      <w:szCs w:val="18"/>
      <w:lang w:val="en-US" w:eastAsia="zh-CN" w:bidi="ar-SA"/>
    </w:rPr>
  </w:style>
  <w:style w:type="paragraph" w:customStyle="1" w:styleId="109">
    <w:name w:val="样式1"/>
    <w:basedOn w:val="40"/>
    <w:qFormat/>
    <w:uiPriority w:val="0"/>
    <w:pPr>
      <w:spacing w:before="120" w:after="120"/>
    </w:pPr>
    <w:rPr>
      <w:rFonts w:eastAsia="黑体"/>
      <w:b w:val="0"/>
      <w:sz w:val="30"/>
      <w:szCs w:val="21"/>
    </w:rPr>
  </w:style>
  <w:style w:type="paragraph" w:customStyle="1" w:styleId="110">
    <w:name w:val="样式2"/>
    <w:basedOn w:val="40"/>
    <w:next w:val="109"/>
    <w:qFormat/>
    <w:uiPriority w:val="0"/>
    <w:pPr>
      <w:spacing w:before="120" w:after="120"/>
    </w:pPr>
    <w:rPr>
      <w:rFonts w:eastAsia="黑体"/>
      <w:b w:val="0"/>
      <w:sz w:val="30"/>
      <w:szCs w:val="30"/>
    </w:rPr>
  </w:style>
  <w:style w:type="character" w:customStyle="1" w:styleId="111">
    <w:name w:val="标题 3 Char Char"/>
    <w:qFormat/>
    <w:uiPriority w:val="0"/>
    <w:rPr>
      <w:rFonts w:eastAsia="宋体"/>
      <w:b/>
      <w:bCs/>
      <w:kern w:val="2"/>
      <w:sz w:val="32"/>
      <w:szCs w:val="32"/>
      <w:lang w:val="en-US" w:eastAsia="zh-CN" w:bidi="ar-SA"/>
    </w:rPr>
  </w:style>
  <w:style w:type="paragraph" w:customStyle="1" w:styleId="112">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4">
    <w:name w:val="--规划正文"/>
    <w:basedOn w:val="1"/>
    <w:qFormat/>
    <w:uiPriority w:val="0"/>
    <w:pPr>
      <w:spacing w:line="360" w:lineRule="auto"/>
      <w:ind w:firstLine="200" w:firstLineChars="200"/>
    </w:pPr>
    <w:rPr>
      <w:szCs w:val="20"/>
    </w:rPr>
  </w:style>
  <w:style w:type="paragraph" w:customStyle="1" w:styleId="115">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6">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7">
    <w:name w:val="样式4"/>
    <w:basedOn w:val="1"/>
    <w:qFormat/>
    <w:uiPriority w:val="0"/>
    <w:pPr>
      <w:tabs>
        <w:tab w:val="left" w:pos="842"/>
      </w:tabs>
      <w:spacing w:line="360" w:lineRule="auto"/>
      <w:ind w:left="842" w:hanging="420"/>
    </w:pPr>
    <w:rPr>
      <w:sz w:val="24"/>
    </w:rPr>
  </w:style>
  <w:style w:type="paragraph" w:customStyle="1" w:styleId="118">
    <w:name w:val="文字"/>
    <w:basedOn w:val="1"/>
    <w:qFormat/>
    <w:uiPriority w:val="0"/>
    <w:pPr>
      <w:tabs>
        <w:tab w:val="left" w:pos="8520"/>
      </w:tabs>
      <w:spacing w:line="312" w:lineRule="auto"/>
      <w:ind w:right="-210" w:firstLine="556"/>
    </w:pPr>
    <w:rPr>
      <w:rFonts w:ascii="宋体"/>
      <w:sz w:val="28"/>
      <w:szCs w:val="20"/>
    </w:rPr>
  </w:style>
  <w:style w:type="paragraph" w:customStyle="1" w:styleId="119">
    <w:name w:val="--规划-表格-居左"/>
    <w:basedOn w:val="114"/>
    <w:qFormat/>
    <w:uiPriority w:val="0"/>
    <w:pPr>
      <w:spacing w:line="240" w:lineRule="auto"/>
      <w:ind w:firstLine="0" w:firstLineChars="0"/>
    </w:pPr>
    <w:rPr>
      <w:sz w:val="20"/>
    </w:rPr>
  </w:style>
  <w:style w:type="paragraph" w:customStyle="1" w:styleId="120">
    <w:name w:val="--规划-表格-居中"/>
    <w:basedOn w:val="114"/>
    <w:qFormat/>
    <w:uiPriority w:val="0"/>
    <w:pPr>
      <w:spacing w:line="240" w:lineRule="auto"/>
      <w:ind w:firstLine="0" w:firstLineChars="0"/>
      <w:jc w:val="center"/>
    </w:pPr>
    <w:rPr>
      <w:sz w:val="20"/>
    </w:rPr>
  </w:style>
  <w:style w:type="paragraph" w:customStyle="1" w:styleId="121">
    <w:name w:val="--编号内缩进"/>
    <w:basedOn w:val="1"/>
    <w:qFormat/>
    <w:uiPriority w:val="0"/>
    <w:pPr>
      <w:spacing w:line="360" w:lineRule="auto"/>
      <w:ind w:left="420" w:firstLine="200" w:firstLineChars="200"/>
    </w:pPr>
    <w:rPr>
      <w:szCs w:val="21"/>
    </w:rPr>
  </w:style>
  <w:style w:type="paragraph" w:customStyle="1" w:styleId="122">
    <w:name w:val="--规划-题注"/>
    <w:basedOn w:val="1"/>
    <w:next w:val="114"/>
    <w:qFormat/>
    <w:uiPriority w:val="0"/>
    <w:pPr>
      <w:spacing w:line="360" w:lineRule="auto"/>
      <w:jc w:val="center"/>
    </w:pPr>
    <w:rPr>
      <w:rFonts w:eastAsia="黑体"/>
    </w:rPr>
  </w:style>
  <w:style w:type="paragraph" w:customStyle="1" w:styleId="123">
    <w:name w:val="--规划-图和表"/>
    <w:next w:val="114"/>
    <w:qFormat/>
    <w:uiPriority w:val="0"/>
    <w:pPr>
      <w:jc w:val="center"/>
    </w:pPr>
    <w:rPr>
      <w:rFonts w:ascii="Times New Roman" w:hAnsi="Times New Roman" w:eastAsia="宋体" w:cs="Times New Roman"/>
      <w:kern w:val="2"/>
      <w:sz w:val="21"/>
      <w:lang w:val="en-US" w:eastAsia="zh-CN" w:bidi="ar-SA"/>
    </w:rPr>
  </w:style>
  <w:style w:type="paragraph" w:customStyle="1" w:styleId="124">
    <w:name w:val="--规划-小标题"/>
    <w:basedOn w:val="1"/>
    <w:next w:val="114"/>
    <w:qFormat/>
    <w:uiPriority w:val="0"/>
    <w:pPr>
      <w:keepNext/>
      <w:keepLines/>
      <w:spacing w:line="360" w:lineRule="auto"/>
      <w:outlineLvl w:val="4"/>
    </w:pPr>
    <w:rPr>
      <w:rFonts w:eastAsia="黑体"/>
    </w:rPr>
  </w:style>
  <w:style w:type="paragraph" w:customStyle="1" w:styleId="125">
    <w:name w:val="--规划正文 Char"/>
    <w:basedOn w:val="1"/>
    <w:qFormat/>
    <w:uiPriority w:val="0"/>
    <w:pPr>
      <w:spacing w:line="360" w:lineRule="auto"/>
      <w:ind w:firstLine="200" w:firstLineChars="200"/>
    </w:pPr>
    <w:rPr>
      <w:sz w:val="24"/>
    </w:rPr>
  </w:style>
  <w:style w:type="paragraph" w:customStyle="1" w:styleId="126">
    <w:name w:val="缺省文本"/>
    <w:basedOn w:val="1"/>
    <w:qFormat/>
    <w:uiPriority w:val="0"/>
    <w:pPr>
      <w:autoSpaceDE w:val="0"/>
      <w:autoSpaceDN w:val="0"/>
      <w:adjustRightInd w:val="0"/>
      <w:jc w:val="left"/>
    </w:pPr>
    <w:rPr>
      <w:kern w:val="0"/>
    </w:rPr>
  </w:style>
  <w:style w:type="paragraph" w:customStyle="1" w:styleId="127">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8">
    <w:name w:val="--规划正文 Char Char"/>
    <w:qFormat/>
    <w:uiPriority w:val="0"/>
    <w:rPr>
      <w:rFonts w:eastAsia="宋体"/>
      <w:kern w:val="2"/>
      <w:sz w:val="24"/>
      <w:szCs w:val="24"/>
      <w:lang w:val="en-US" w:eastAsia="zh-CN" w:bidi="ar-SA"/>
    </w:rPr>
  </w:style>
  <w:style w:type="paragraph" w:customStyle="1" w:styleId="129">
    <w:name w:val="样式3"/>
    <w:basedOn w:val="4"/>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0">
    <w:name w:val="--规划正文 Char1"/>
    <w:qFormat/>
    <w:uiPriority w:val="0"/>
    <w:rPr>
      <w:rFonts w:eastAsia="宋体"/>
      <w:kern w:val="2"/>
      <w:sz w:val="21"/>
      <w:lang w:val="en-US" w:eastAsia="zh-CN" w:bidi="ar-SA"/>
    </w:rPr>
  </w:style>
  <w:style w:type="paragraph" w:customStyle="1" w:styleId="131">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2">
    <w:name w:val="列表项目"/>
    <w:basedOn w:val="1"/>
    <w:qFormat/>
    <w:uiPriority w:val="0"/>
    <w:pPr>
      <w:tabs>
        <w:tab w:val="left" w:pos="420"/>
        <w:tab w:val="left" w:pos="1080"/>
      </w:tabs>
      <w:spacing w:line="288" w:lineRule="auto"/>
      <w:ind w:left="1080" w:hanging="360"/>
    </w:pPr>
    <w:rPr>
      <w:sz w:val="24"/>
      <w:szCs w:val="20"/>
    </w:rPr>
  </w:style>
  <w:style w:type="character" w:customStyle="1" w:styleId="133">
    <w:name w:val="content1"/>
    <w:qFormat/>
    <w:uiPriority w:val="0"/>
    <w:rPr>
      <w:rFonts w:hint="default" w:ascii="??" w:hAnsi="??"/>
      <w:sz w:val="16"/>
      <w:szCs w:val="16"/>
      <w:u w:val="none"/>
    </w:rPr>
  </w:style>
  <w:style w:type="character" w:customStyle="1" w:styleId="134">
    <w:name w:val="unnamed4"/>
    <w:basedOn w:val="46"/>
    <w:qFormat/>
    <w:uiPriority w:val="0"/>
  </w:style>
  <w:style w:type="character" w:customStyle="1" w:styleId="135">
    <w:name w:val="font2"/>
    <w:basedOn w:val="46"/>
    <w:qFormat/>
    <w:uiPriority w:val="0"/>
  </w:style>
  <w:style w:type="character" w:customStyle="1" w:styleId="136">
    <w:name w:val="font41"/>
    <w:qFormat/>
    <w:uiPriority w:val="0"/>
    <w:rPr>
      <w:color w:val="000000"/>
      <w:spacing w:val="260"/>
      <w:sz w:val="18"/>
      <w:szCs w:val="18"/>
      <w:u w:val="none"/>
    </w:rPr>
  </w:style>
  <w:style w:type="paragraph" w:customStyle="1" w:styleId="137">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8">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9">
    <w:name w:val="正文文本首行缩进 字符"/>
    <w:link w:val="42"/>
    <w:qFormat/>
    <w:uiPriority w:val="0"/>
    <w:rPr>
      <w:rFonts w:eastAsia="宋体"/>
      <w:b/>
      <w:bCs/>
      <w:kern w:val="2"/>
      <w:sz w:val="21"/>
      <w:szCs w:val="24"/>
      <w:lang w:val="en-US" w:eastAsia="zh-CN" w:bidi="ar-SA"/>
    </w:rPr>
  </w:style>
  <w:style w:type="paragraph" w:customStyle="1" w:styleId="140">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2">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3">
    <w:name w:val="mode"/>
    <w:basedOn w:val="46"/>
    <w:qFormat/>
    <w:uiPriority w:val="0"/>
  </w:style>
  <w:style w:type="paragraph" w:customStyle="1" w:styleId="144">
    <w:name w:val="9"/>
    <w:basedOn w:val="1"/>
    <w:next w:val="9"/>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unnamed3"/>
    <w:basedOn w:val="46"/>
    <w:qFormat/>
    <w:uiPriority w:val="0"/>
  </w:style>
  <w:style w:type="paragraph" w:customStyle="1" w:styleId="146">
    <w:name w:val="8"/>
    <w:basedOn w:val="1"/>
    <w:next w:val="20"/>
    <w:qFormat/>
    <w:uiPriority w:val="0"/>
    <w:pPr>
      <w:spacing w:after="120"/>
      <w:ind w:left="420" w:leftChars="200"/>
    </w:pPr>
  </w:style>
  <w:style w:type="paragraph" w:customStyle="1" w:styleId="147">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8">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9">
    <w:name w:val="5"/>
    <w:basedOn w:val="1"/>
    <w:qFormat/>
    <w:uiPriority w:val="0"/>
    <w:pPr>
      <w:autoSpaceDE w:val="0"/>
      <w:autoSpaceDN w:val="0"/>
      <w:adjustRightInd w:val="0"/>
      <w:jc w:val="left"/>
    </w:pPr>
    <w:rPr>
      <w:rFonts w:ascii="宋体"/>
      <w:b/>
      <w:bCs/>
      <w:kern w:val="0"/>
      <w:sz w:val="18"/>
      <w:szCs w:val="18"/>
    </w:rPr>
  </w:style>
  <w:style w:type="paragraph" w:customStyle="1" w:styleId="150">
    <w:name w:val="6"/>
    <w:basedOn w:val="149"/>
    <w:qFormat/>
    <w:uiPriority w:val="0"/>
    <w:pPr>
      <w:spacing w:line="270" w:lineRule="atLeast"/>
      <w:jc w:val="both"/>
    </w:pPr>
    <w:rPr>
      <w:b w:val="0"/>
      <w:bCs w:val="0"/>
    </w:rPr>
  </w:style>
  <w:style w:type="paragraph" w:customStyle="1" w:styleId="151">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2">
    <w:name w:val="姜文清定义的正文"/>
    <w:basedOn w:val="1"/>
    <w:qFormat/>
    <w:uiPriority w:val="0"/>
    <w:pPr>
      <w:spacing w:line="240" w:lineRule="atLeast"/>
      <w:ind w:firstLine="567"/>
    </w:pPr>
    <w:rPr>
      <w:szCs w:val="20"/>
    </w:rPr>
  </w:style>
  <w:style w:type="paragraph" w:customStyle="1" w:styleId="15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4">
    <w:name w:val="CM2"/>
    <w:basedOn w:val="153"/>
    <w:next w:val="153"/>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3"/>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字符"/>
    <w:basedOn w:val="46"/>
    <w:link w:val="18"/>
    <w:qFormat/>
    <w:uiPriority w:val="0"/>
    <w:rPr>
      <w:rFonts w:ascii="宋体"/>
      <w:sz w:val="34"/>
    </w:rPr>
  </w:style>
  <w:style w:type="character" w:customStyle="1" w:styleId="194">
    <w:name w:val="批注主题 字符"/>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字符"/>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字符"/>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字符"/>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85">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86">
    <w:name w:val="Revision"/>
    <w:hidden/>
    <w:unhideWhenUsed/>
    <w:uiPriority w:val="99"/>
    <w:rPr>
      <w:rFonts w:ascii="Times New Roman" w:hAnsi="Times New Roman" w:eastAsia="宋体" w:cs="Times New Roman"/>
      <w:kern w:val="2"/>
      <w:sz w:val="21"/>
      <w:szCs w:val="24"/>
      <w:lang w:val="en-US" w:eastAsia="zh-CN" w:bidi="ar-SA"/>
    </w:rPr>
  </w:style>
  <w:style w:type="character" w:customStyle="1" w:styleId="487">
    <w:name w:val="hover"/>
    <w:basedOn w:val="46"/>
    <w:uiPriority w:val="0"/>
    <w:rPr>
      <w:color w:val="2590EB"/>
    </w:rPr>
  </w:style>
  <w:style w:type="character" w:customStyle="1" w:styleId="488">
    <w:name w:val="hover1"/>
    <w:basedOn w:val="46"/>
    <w:uiPriority w:val="0"/>
    <w:rPr>
      <w:color w:val="2590EB"/>
    </w:rPr>
  </w:style>
  <w:style w:type="character" w:customStyle="1" w:styleId="489">
    <w:name w:val="hover2"/>
    <w:basedOn w:val="46"/>
    <w:uiPriority w:val="0"/>
    <w:rPr>
      <w:bdr w:val="none" w:color="AFD1EE" w:sz="0" w:space="0"/>
    </w:rPr>
  </w:style>
  <w:style w:type="character" w:customStyle="1" w:styleId="490">
    <w:name w:val="hover3"/>
    <w:basedOn w:val="46"/>
    <w:uiPriority w:val="0"/>
    <w:rPr>
      <w:color w:val="2590EB"/>
      <w:shd w:val="clear" w:fill="E9F4FD"/>
    </w:rPr>
  </w:style>
  <w:style w:type="character" w:customStyle="1" w:styleId="491">
    <w:name w:val="mini-outputtext1"/>
    <w:basedOn w:val="46"/>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3C68141F</paraID>
      <start>311</start>
      <end>316</end>
      <status>ignored</status>
      <modifiedWord/>
      <trackRevisions>false</trackRevisions>
    </reviewItem>
    <reviewItem>
      <errorID>6fefe659-9ff0-48d4-b553-e76f19179446</errorID>
      <errorWord>（</errorWord>
      <group>L1_Punc</group>
      <groupName>标点问题</groupName>
      <ability>L2_Punc_CN</ability>
      <abilityName/>
      <candidateList/>
      <explain>同一形式括号套用。</explain>
      <paraID>2CDB65D5</paraID>
      <start>39</start>
      <end>40</end>
      <status>ignored</status>
      <modifiedWord/>
      <trackRevisions>false</trackRevisions>
    </reviewItem>
    <reviewItem>
      <errorID>84fa72e6-58dc-41e2-b241-2f38f6ece96f</errorID>
      <errorWord>）</errorWord>
      <group>L1_Punc</group>
      <groupName>标点问题</groupName>
      <ability>L2_Punc_CN</ability>
      <abilityName/>
      <candidateList/>
      <explain>同一形式括号套用。</explain>
      <paraID>2CDB65D5</paraID>
      <start>47</start>
      <end>48</end>
      <status>ignored</status>
      <modifiedWord/>
      <trackRevisions>false</trackRevisions>
    </reviewItem>
    <reviewItem>
      <errorID>7d0e8dc3-eb42-4a99-bcc1-88da7ba4bab5</errorID>
      <errorWord>（</errorWord>
      <group>L1_Punc</group>
      <groupName>标点问题</groupName>
      <ability>L2_Punc_CN</ability>
      <abilityName/>
      <candidateList/>
      <explain>同一形式括号套用。</explain>
      <paraID>2CDB65D5</paraID>
      <start>69</start>
      <end>70</end>
      <status>ignored</status>
      <modifiedWord/>
      <trackRevisions>false</trackRevisions>
    </reviewItem>
    <reviewItem>
      <errorID>d0d39dd2-0ffa-4751-993a-5b5186b6da54</errorID>
      <errorWord>）</errorWord>
      <group>L1_Punc</group>
      <groupName>标点问题</groupName>
      <ability>L2_Punc_CN</ability>
      <abilityName/>
      <candidateList/>
      <explain>同一形式括号套用。</explain>
      <paraID>2CDB65D5</paraID>
      <start>74</start>
      <end>75</end>
      <status>ignored</status>
      <modifiedWord/>
      <trackRevisions>false</trackRevisions>
    </reviewItem>
    <reviewItem>
      <errorID>ba5f1e11-9fa5-4f98-88fc-78897c0676e4</errorID>
      <errorWord>法律、法规</errorWord>
      <group>L1_Word</group>
      <groupName>字词问题</groupName>
      <ability>L2_Typo</ability>
      <abilityName>字词错误</abilityName>
      <candidateList>
        <item>法律法规</item>
      </candidateList>
      <explain/>
      <paraID>31461415</paraID>
      <start>0</start>
      <end>5</end>
      <status>ignored</status>
      <modifiedWord/>
      <trackRevisions>false</trackRevisions>
    </reviewItem>
    <reviewItem>
      <errorID>e679103d-38ea-4f52-ba1a-9b5ca07928dd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39e8dd6e-4d22-4e7b-b6a8-7c86ac933c5c</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567bf7db-6d1e-4147-8e23-78cf386c050d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c278776a-43ad-4c17-a074-f2025e2d52f4</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803f49c3-6236-416c-8db1-2404c4929f3f</errorID>
      <errorWord>(</errorWord>
      <group>L1_Format</group>
      <groupName>格式问题</groupName>
      <ability>L2_HalfPunc_CN</ability>
      <abilityName/>
      <candidateList>
        <item>（</item>
      </candidateList>
      <explain>文本全半角错误。</explain>
      <paraID>1C5B7A15</paraID>
      <start>7</start>
      <end>8</end>
      <status>ignored</status>
      <modifiedWord/>
      <trackRevisions>false</trackRevisions>
    </reviewItem>
    <reviewItem>
      <errorID>4f7881b9-3536-4ce7-87b4-797ecbc1e5f5</errorID>
      <errorWord>)</errorWord>
      <group>L1_Format</group>
      <groupName>格式问题</groupName>
      <ability>L2_HalfPunc_CN</ability>
      <abilityName/>
      <candidateList>
        <item>）</item>
      </candidateList>
      <explain>文本全半角错误。</explain>
      <paraID>1C5B7A15</paraID>
      <start>18</start>
      <end>19</end>
      <status>ignored</status>
      <modifiedWord/>
      <trackRevisions>false</trackRevisions>
    </reviewItem>
    <reviewItem>
      <errorID>9aee4c8a-ef68-4a14-a2e6-69cc0d8b2730</errorID>
      <errorWord>(</errorWord>
      <group>L1_Format</group>
      <groupName>格式问题</groupName>
      <ability>L2_HalfPunc_CN</ability>
      <abilityName/>
      <candidateList>
        <item>（</item>
      </candidateList>
      <explain>文本全半角错误。</explain>
      <paraID>29949ADD</paraID>
      <start>25</start>
      <end>26</end>
      <status>ignored</status>
      <modifiedWord/>
      <trackRevisions>false</trackRevisions>
    </reviewItem>
    <reviewItem>
      <errorID>326df2c6-0581-4078-9b3d-0e92a68f92d2</errorID>
      <errorWord>)</errorWord>
      <group>L1_Format</group>
      <groupName>格式问题</groupName>
      <ability>L2_HalfPunc_CN</ability>
      <abilityName/>
      <candidateList>
        <item>）</item>
      </candidateList>
      <explain>文本全半角错误。</explain>
      <paraID>29949ADD</paraID>
      <start>39</start>
      <end>40</end>
      <status>ignored</status>
      <modifiedWord/>
      <trackRevisions>false</trackRevisions>
    </reviewItem>
    <reviewItem>
      <errorID>c3fe67f6-6458-4e9f-90c9-0ea55cb6402a</errorID>
      <errorWord>(</errorWord>
      <group>L1_Format</group>
      <groupName>格式问题</groupName>
      <ability>L2_HalfPunc_CN</ability>
      <abilityName/>
      <candidateList>
        <item>（</item>
      </candidateList>
      <explain>文本全半角错误。</explain>
      <paraID>379FB88F</paraID>
      <start>2</start>
      <end>3</end>
      <status>ignored</status>
      <modifiedWord/>
      <trackRevisions>false</trackRevisions>
    </reviewItem>
    <reviewItem>
      <errorID>4ea3fe6b-497b-4634-ba95-9fbaf82e9494</errorID>
      <errorWord>)</errorWord>
      <group>L1_Format</group>
      <groupName>格式问题</groupName>
      <ability>L2_HalfPunc_CN</ability>
      <abilityName/>
      <candidateList>
        <item>）</item>
      </candidateList>
      <explain>文本全半角错误。</explain>
      <paraID>379FB88F</paraID>
      <start>4</start>
      <end>5</end>
      <status>ignored</status>
      <modifiedWord/>
      <trackRevisions>false</trackRevisions>
    </reviewItem>
    <reviewItem>
      <errorID>cc7a1823-e262-4c63-a056-64462025d05e</errorID>
      <errorWord>(</errorWord>
      <group>L1_Format</group>
      <groupName>格式问题</groupName>
      <ability>L2_HalfPunc_CN</ability>
      <abilityName/>
      <candidateList>
        <item>（</item>
      </candidateList>
      <explain>文本全半角错误。</explain>
      <paraID>6B4BDD48</paraID>
      <start>2</start>
      <end>3</end>
      <status>ignored</status>
      <modifiedWord/>
      <trackRevisions>false</trackRevisions>
    </reviewItem>
    <reviewItem>
      <errorID>be8b5573-be28-447d-9158-c1e3c83fe66d</errorID>
      <errorWord>)</errorWord>
      <group>L1_Format</group>
      <groupName>格式问题</groupName>
      <ability>L2_HalfPunc_CN</ability>
      <abilityName/>
      <candidateList>
        <item>）</item>
      </candidateList>
      <explain>文本全半角错误。</explain>
      <paraID>6B4BDD48</paraID>
      <start>4</start>
      <end>5</end>
      <status>ignored</status>
      <modifiedWord/>
      <trackRevisions>false</trackRevisions>
    </reviewItem>
    <reviewItem>
      <errorID>0ad5884f-42a6-47f3-a7e5-283fb8af62f5</errorID>
      <errorWord>(</errorWord>
      <group>L1_Format</group>
      <groupName>格式问题</groupName>
      <ability>L2_HalfPunc_CN</ability>
      <abilityName/>
      <candidateList>
        <item>（</item>
      </candidateList>
      <explain>文本全半角错误。</explain>
      <paraID>2E259656</paraID>
      <start>2</start>
      <end>3</end>
      <status>ignored</status>
      <modifiedWord/>
      <trackRevisions>false</trackRevisions>
    </reviewItem>
    <reviewItem>
      <errorID>ef403cd2-8851-4b7f-b8ed-c946c5415ca4</errorID>
      <errorWord>)</errorWord>
      <group>L1_Format</group>
      <groupName>格式问题</groupName>
      <ability>L2_HalfPunc_CN</ability>
      <abilityName/>
      <candidateList>
        <item>）</item>
      </candidateList>
      <explain>文本全半角错误。</explain>
      <paraID>2E259656</paraID>
      <start>4</start>
      <end>5</end>
      <status>ignored</status>
      <modifiedWord/>
      <trackRevisions>false</trackRevisions>
    </reviewItem>
    <reviewItem>
      <errorID>bedc3c52-992c-4483-b480-234826a134b1</errorID>
      <errorWord>(</errorWord>
      <group>L1_Format</group>
      <groupName>格式问题</groupName>
      <ability>L2_HalfPunc_CN</ability>
      <abilityName/>
      <candidateList>
        <item>（</item>
      </candidateList>
      <explain>文本全半角错误。</explain>
      <paraID>1D13C693</paraID>
      <start>2</start>
      <end>3</end>
      <status>ignored</status>
      <modifiedWord/>
      <trackRevisions>false</trackRevisions>
    </reviewItem>
    <reviewItem>
      <errorID>d9eba2b7-828f-48f0-abbc-78efcf992d61</errorID>
      <errorWord>)</errorWord>
      <group>L1_Format</group>
      <groupName>格式问题</groupName>
      <ability>L2_HalfPunc_CN</ability>
      <abilityName/>
      <candidateList>
        <item>）</item>
      </candidateList>
      <explain>文本全半角错误。</explain>
      <paraID>1D13C693</paraID>
      <start>4</start>
      <end>5</end>
      <status>ignored</status>
      <modifiedWord/>
      <trackRevisions>false</trackRevisions>
    </reviewItem>
    <reviewItem>
      <errorID>491261a5-e348-4100-bf74-e9f33791749a</errorID>
      <errorWord>(</errorWord>
      <group>L1_Format</group>
      <groupName>格式问题</groupName>
      <ability>L2_HalfPunc_CN</ability>
      <abilityName/>
      <candidateList>
        <item>（</item>
      </candidateList>
      <explain>文本全半角错误。</explain>
      <paraID>4E5D9FE3</paraID>
      <start>2</start>
      <end>3</end>
      <status>ignored</status>
      <modifiedWord/>
      <trackRevisions>false</trackRevisions>
    </reviewItem>
    <reviewItem>
      <errorID>a5ded3c1-dd65-4a71-b2ca-017bb8699227</errorID>
      <errorWord>)</errorWord>
      <group>L1_Format</group>
      <groupName>格式问题</groupName>
      <ability>L2_HalfPunc_CN</ability>
      <abilityName/>
      <candidateList>
        <item>）</item>
      </candidateList>
      <explain>文本全半角错误。</explain>
      <paraID>4E5D9FE3</paraID>
      <start>4</start>
      <end>5</end>
      <status>ignored</status>
      <modifiedWord/>
      <trackRevisions>false</trackRevisions>
    </reviewItem>
    <reviewItem>
      <errorID>a49a0f28-52a3-4983-94e3-c7e15fbe952d</errorID>
      <errorWord>（</errorWord>
      <group>L1_Format</group>
      <groupName>格式问题</groupName>
      <ability>L2_HalfPunc_CN</ability>
      <abilityName/>
      <candidateList>
        <item>(</item>
      </candidateList>
      <explain>文本全半角错误。</explain>
      <paraID>  11F4BD</paraID>
      <start>0</start>
      <end>1</end>
      <status>ignored</status>
      <modifiedWord/>
      <trackRevisions>false</trackRevisions>
    </reviewItem>
    <reviewItem>
      <errorID>46d76b28-0ab0-4361-973c-4537eb70a322</errorID>
      <errorWord>）</errorWord>
      <group>L1_Format</group>
      <groupName>格式问题</groupName>
      <ability>L2_HalfPunc_CN</ability>
      <abilityName/>
      <candidateList>
        <item>)</item>
      </candidateList>
      <explain>文本全半角错误。</explain>
      <paraID>  11F4BD</paraID>
      <start>9</start>
      <end>10</end>
      <status>ignored</status>
      <modifiedWord/>
      <trackRevisions>false</trackRevisions>
    </reviewItem>
    <reviewItem>
      <errorID>342fac84-9c9f-4457-9d07-91243467cbfa</errorID>
      <errorWord>（</errorWord>
      <group>L1_Punc</group>
      <groupName>标点问题</groupName>
      <ability>L2_Punc_CN</ability>
      <abilityName/>
      <candidateList/>
      <explain>此处标点可能未正确匹配，请检查句子中是否存在标点冗余、缺失或使用错误的情况。</explain>
      <paraID>3BD5F41E</paraID>
      <start>115</start>
      <end>116</end>
      <status>ignored</status>
      <modifiedWord/>
      <trackRevisions>false</trackRevisions>
    </reviewItem>
    <reviewItem>
      <errorID>b19d5ba7-0313-40a0-ba27-4729b84a7557</errorID>
      <errorWord>)</errorWord>
      <group>L1_Format</group>
      <groupName>格式问题</groupName>
      <ability>L2_HalfPunc_CN</ability>
      <abilityName/>
      <candidateList>
        <item>）</item>
      </candidateList>
      <explain>文本全半角错误。</explain>
      <paraID>3BD5F41E</paraID>
      <start>131</start>
      <end>132</end>
      <status>ignored</status>
      <modifiedWord/>
      <trackRevisions>false</trackRevisions>
    </reviewItem>
    <reviewItem>
      <errorID>f9648576-afef-4172-8653-c6f694b5ab8d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109</start>
      <end>116</end>
      <status>ignored</status>
      <modifiedWord/>
      <trackRevisions>false</trackRevisions>
    </reviewItem>
    <reviewItem>
      <errorID>3bad7e6b-8492-4838-8003-c5fd68ec0f66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248</start>
      <end>253</end>
      <status>ignored</status>
      <modifiedWord/>
      <trackRevisions>false</trackRevisions>
    </reviewItem>
    <reviewItem>
      <errorID>a806106e-9c1c-4d73-8fb1-84571cf92fa9</errorID>
      <errorWord>）</errorWord>
      <group>L1_Punc</group>
      <groupName>标点问题</groupName>
      <ability>L2_Punc_CN</ability>
      <abilityName/>
      <candidateList/>
      <explain>此处标点可能未正确匹配，请检查句子中是否存在标点冗余、缺失或使用错误的情况。</explain>
      <paraID> A50FA62</paraID>
      <start>171</start>
      <end>172</end>
      <status>ignored</status>
      <modifiedWord/>
      <trackRevisions>false</trackRevisions>
    </reviewItem>
    <reviewItem>
      <errorID>5575f0e5-41bc-40e7-9029-636d104777ce</errorID>
      <errorWord>）</errorWord>
      <group>L1_Punc</group>
      <groupName>标点问题</groupName>
      <ability>L2_Punc_CN</ability>
      <abilityName/>
      <candidateList/>
      <explain>此处标点可能未正确匹配，请检查句子中是否存在标点冗余、缺失或使用错误的情况。</explain>
      <paraID>196B32C5</paraID>
      <start>119</start>
      <end>120</end>
      <status>ignored</status>
      <modifiedWord/>
      <trackRevisions>false</trackRevisions>
    </reviewItem>
    <reviewItem>
      <errorID>65170128-5f58-46de-b4b0-83ecc817804f</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b063469c-d065-469e-b137-8c2755e80793</errorID>
      <errorWord>)</errorWord>
      <group>L1_Format</group>
      <groupName>格式问题</groupName>
      <ability>L2_HalfPunc_CN</ability>
      <abilityName/>
      <candidateList>
        <item>）</item>
      </candidateList>
      <explain>文本全半角错误。</explain>
      <paraID>253F0ACE</paraID>
      <start>16</start>
      <end>17</end>
      <status>ignored</status>
      <modifiedWord/>
      <trackRevisions>false</trackRevisions>
    </reviewItem>
    <reviewItem>
      <errorID>8d5638df-b406-4eb9-aaeb-ea825a0dd8e4</errorID>
      <errorWord>(</errorWord>
      <group>L1_Format</group>
      <groupName>格式问题</groupName>
      <ability>L2_HalfPunc_CN</ability>
      <abilityName/>
      <candidateList>
        <item>（</item>
      </candidateList>
      <explain>文本全半角错误。</explain>
      <paraID>7A39F26C</paraID>
      <start>1</start>
      <end>2</end>
      <status>ignored</status>
      <modifiedWord/>
      <trackRevisions>false</trackRevisions>
    </reviewItem>
    <reviewItem>
      <errorID>0a4b95d4-f56b-487d-9a83-bc0931d81dc7</errorID>
      <errorWord>)</errorWord>
      <group>L1_Format</group>
      <groupName>格式问题</groupName>
      <ability>L2_HalfPunc_CN</ability>
      <abilityName/>
      <candidateList>
        <item>）</item>
      </candidateList>
      <explain>文本全半角错误。</explain>
      <paraID>7A39F26C</paraID>
      <start>9</start>
      <end>10</end>
      <status>ignored</status>
      <modifiedWord/>
      <trackRevisions>false</trackRevisions>
    </reviewItem>
    <reviewItem>
      <errorID>d1fbb53a-9b9e-4f3f-bc13-85d8fc20cdcb</errorID>
      <errorWord>（</errorWord>
      <group>L1_Punc</group>
      <groupName>标点问题</groupName>
      <ability>L2_Punc_CN</ability>
      <abilityName/>
      <candidateList/>
      <explain>此处标点可能未正确匹配，请检查句子中是否存在标点冗余、缺失或使用错误的情况。</explain>
      <paraID> B2C65CD</paraID>
      <start>21</start>
      <end>22</end>
      <status>ignored</status>
      <modifiedWord/>
      <trackRevisions>false</trackRevisions>
    </reviewItem>
    <reviewItem>
      <errorID>0fd21611-f775-4e31-8388-50d1639cda95</errorID>
      <errorWord>&lt;</errorWord>
      <group>L1_Format</group>
      <groupName>格式问题</groupName>
      <ability>L2_HalfPunc_CN</ability>
      <abilityName/>
      <candidateList>
        <item>〈</item>
      </candidateList>
      <explain>文本全半角错误。</explain>
      <paraID> B2C65CD</paraID>
      <start>94</start>
      <end>95</end>
      <status>ignored</status>
      <modifiedWord/>
      <trackRevisions>false</trackRevisions>
    </reviewItem>
    <reviewItem>
      <errorID>9ee161dd-1938-43f9-8ad9-e52287948a02</errorID>
      <errorWord>&gt;的通知》</errorWord>
      <group>L1_Punc</group>
      <groupName>标点问题</groupName>
      <ability>L2_Punc_CN</ability>
      <abilityName/>
      <candidateList>
        <item>〉的通知》</item>
      </candidateList>
      <explain/>
      <paraID> B2C65CD</paraID>
      <start>113</start>
      <end>118</end>
      <status>ignored</status>
      <modifiedWord/>
      <trackRevisions>false</trackRevisions>
    </reviewItem>
    <reviewItem>
      <errorID>ea13d96c-a2fd-4315-bbc6-b9734974153c</errorID>
      <errorWord>(</errorWord>
      <group>L1_Format</group>
      <groupName>格式问题</groupName>
      <ability>L2_HalfPunc_CN</ability>
      <abilityName/>
      <candidateList>
        <item>（</item>
      </candidateList>
      <explain>文本全半角错误。</explain>
      <paraID>38929917</paraID>
      <start>1</start>
      <end>2</end>
      <status>ignored</status>
      <modifiedWord/>
      <trackRevisions>false</trackRevisions>
    </reviewItem>
    <reviewItem>
      <errorID>a116d16f-c581-4d19-9733-7b2fe01fd229</errorID>
      <errorWord>)</errorWord>
      <group>L1_Format</group>
      <groupName>格式问题</groupName>
      <ability>L2_HalfPunc_CN</ability>
      <abilityName/>
      <candidateList>
        <item>）</item>
      </candidateList>
      <explain>文本全半角错误。</explain>
      <paraID>38929917</paraID>
      <start>9</start>
      <end>10</end>
      <status>ignored</status>
      <modifiedWord/>
      <trackRevisions>false</trackRevisions>
    </reviewItem>
    <reviewItem>
      <errorID>12425f7b-9767-4d90-ab88-a35dc4effdea</errorID>
      <errorWord>(</errorWord>
      <group>L1_Format</group>
      <groupName>格式问题</groupName>
      <ability>L2_HalfPunc_CN</ability>
      <abilityName/>
      <candidateList>
        <item>（</item>
      </candidateList>
      <explain>文本全半角错误。</explain>
      <paraID>1C4257D7</paraID>
      <start>1</start>
      <end>2</end>
      <status>ignored</status>
      <modifiedWord/>
      <trackRevisions>false</trackRevisions>
    </reviewItem>
    <reviewItem>
      <errorID>ec9213d6-35d7-40ba-9513-5d28524dd6a2</errorID>
      <errorWord>)</errorWord>
      <group>L1_Format</group>
      <groupName>格式问题</groupName>
      <ability>L2_HalfPunc_CN</ability>
      <abilityName/>
      <candidateList>
        <item>）</item>
      </candidateList>
      <explain>文本全半角错误。</explain>
      <paraID>1C4257D7</paraID>
      <start>9</start>
      <end>10</end>
      <status>ignored</status>
      <modifiedWord/>
      <trackRevisions>false</trackRevisions>
    </reviewItem>
    <reviewItem>
      <errorID>468681c4-627d-4d02-92c3-5029cc8fe651</errorID>
      <errorWord>*</errorWord>
      <group>L1_Punc</group>
      <groupName>标点问题</groupName>
      <ability>L2_Punc_CN</ability>
      <abilityName/>
      <candidateList/>
      <explain/>
      <paraID> 13AE17F</paraID>
      <start>0</start>
      <end>1</end>
      <status>ignored</status>
      <modifiedWord/>
      <trackRevisions>false</trackRevisions>
    </reviewItem>
    <reviewItem>
      <errorID>65a0f9b4-fbe0-495b-a682-c503113959b4</errorID>
      <errorWord>。</errorWord>
      <group>L1_Format</group>
      <groupName>格式问题</groupName>
      <ability>L2_HalfPunc_CN</ability>
      <abilityName/>
      <candidateList>
        <item>.</item>
      </candidateList>
      <explain>文本全半角错误。</explain>
      <paraID>292C74F4</paraID>
      <start>8</start>
      <end>9</end>
      <status>ignored</status>
      <modifiedWord/>
      <trackRevisions>false</trackRevisions>
    </reviewItem>
    <reviewItem>
      <errorID>7d64e8fc-95bf-41d1-9e41-f3188cd660a2</errorID>
      <errorWord>。</errorWord>
      <group>L1_Format</group>
      <groupName>格式问题</groupName>
      <ability>L2_HalfPunc_CN</ability>
      <abilityName/>
      <candidateList>
        <item>.</item>
      </candidateList>
      <explain>文本全半角错误。</explain>
      <paraID>67870981</paraID>
      <start>12</start>
      <end>13</end>
      <status>ignored</status>
      <modifiedWord/>
      <trackRevisions>false</trackRevisions>
    </reviewItem>
    <reviewItem>
      <errorID>4dc1886e-13cf-4111-b772-68927c283ee5</errorID>
      <errorWord>*</errorWord>
      <group>L1_Punc</group>
      <groupName>标点问题</groupName>
      <ability>L2_Punc_CN</ability>
      <abilityName/>
      <candidateList/>
      <explain/>
      <paraID>7D094638</paraID>
      <start>0</start>
      <end>1</end>
      <status>ignored</status>
      <modifiedWord/>
      <trackRevisions>false</trackRevisions>
    </reviewItem>
    <reviewItem>
      <errorID>bd384a11-2d79-4ba5-b1ca-bdc69e2cc367</errorID>
      <errorWord>其它</errorWord>
      <group>L1_Word</group>
      <groupName>字词问题</groupName>
      <ability>L2_Alias</ability>
      <abilityName>也作/曾用词</abilityName>
      <candidateList>
        <item>其他</item>
      </candidateList>
      <explain>词汇[其它]为不规范表述或旧称，其规范书面表述为[其他]。</explain>
      <paraID>2E820DED</paraID>
      <start>24</start>
      <end>26</end>
      <status>ignored</status>
      <modifiedWord/>
      <trackRevisions>false</trackRevisions>
    </reviewItem>
    <reviewItem>
      <errorID>5fa0c7fc-186a-4999-9826-efc409edaa5d</errorID>
      <errorWord>…………</errorWord>
      <group>L1_Punc</group>
      <groupName>标点问题</groupName>
      <ability>L2_Punc_CN</ability>
      <abilityName/>
      <candidateList>
        <item>……</item>
      </candidateList>
      <explain/>
      <paraID>644DC23D</paraID>
      <start>0</start>
      <end>2</end>
      <status>modified</status>
      <modifiedWord>……</modifiedWord>
      <trackRevisions>false</trackRevisions>
    </reviewItem>
    <reviewItem>
      <errorID>fae6f616-6d43-46ad-aeaa-ed6202658838</errorID>
      <errorWord>…………</errorWord>
      <group>L1_Punc</group>
      <groupName>标点问题</groupName>
      <ability>L2_Punc_CN</ability>
      <abilityName/>
      <candidateList>
        <item>……</item>
      </candidateList>
      <explain/>
      <paraID>354E3D12</paraID>
      <start>0</start>
      <end>2</end>
      <status>modified</status>
      <modifiedWord>……</modifiedWord>
      <trackRevisions>false</trackRevisions>
    </reviewItem>
    <reviewItem>
      <errorID>476564d3-f4a3-456c-9a01-a8a21eba98bc</errorID>
      <errorWord>其它</errorWord>
      <group>L1_Word</group>
      <groupName>字词问题</groupName>
      <ability>L2_Alias</ability>
      <abilityName>也作/曾用词</abilityName>
      <candidateList>
        <item>其他</item>
      </candidateList>
      <explain>词汇[其它]为不规范表述或旧称，其规范书面表述为[其他]。</explain>
      <paraID>42C4C631</paraID>
      <start>26</start>
      <end>28</end>
      <status>ignored</status>
      <modifiedWord/>
      <trackRevisions>false</trackRevisions>
    </reviewItem>
    <reviewItem>
      <errorID>5423a1b7-5196-416a-8bff-892ed3b755e0</errorID>
      <errorWord>&lt;</errorWord>
      <group>L1_Format</group>
      <groupName>格式问题</groupName>
      <ability>L2_HalfPunc_CN</ability>
      <abilityName/>
      <candidateList>
        <item>〈</item>
      </candidateList>
      <explain>文本全半角错误。</explain>
      <paraID>6BF6252B</paraID>
      <start>40</start>
      <end>41</end>
      <status>ignored</status>
      <modifiedWord/>
      <trackRevisions>false</trackRevisions>
    </reviewItem>
    <reviewItem>
      <errorID>60bc3f86-6dc4-4282-a12d-c1105552b824</errorID>
      <errorWord>&gt;的通知》</errorWord>
      <group>L1_Punc</group>
      <groupName>标点问题</groupName>
      <ability>L2_Punc_CN</ability>
      <abilityName/>
      <candidateList>
        <item>〉的通知》</item>
      </candidateList>
      <explain/>
      <paraID>6BF6252B</paraID>
      <start>62</start>
      <end>67</end>
      <status>ignored</status>
      <modifiedWord/>
      <trackRevisions>false</trackRevisions>
    </reviewItem>
    <reviewItem>
      <errorID>2a59c64e-86e0-4732-b084-144bf8c90142</errorID>
      <errorWord>（</errorWord>
      <group>L1_Punc</group>
      <groupName>标点问题</groupName>
      <ability>L2_Punc_CN</ability>
      <abilityName/>
      <candidateList/>
      <explain>同一形式括号套用。</explain>
      <paraID>368861D4</paraID>
      <start>36</start>
      <end>37</end>
      <status>ignored</status>
      <modifiedWord/>
      <trackRevisions>false</trackRevisions>
    </reviewItem>
    <reviewItem>
      <errorID>cc2b231f-ec72-4311-b98c-05dd01eae15c</errorID>
      <errorWord>）</errorWord>
      <group>L1_Punc</group>
      <groupName>标点问题</groupName>
      <ability>L2_Punc_CN</ability>
      <abilityName/>
      <candidateList/>
      <explain>同一形式括号套用。</explain>
      <paraID>368861D4</paraID>
      <start>45</start>
      <end>46</end>
      <status>ignored</status>
      <modifiedWord/>
      <trackRevisions>false</trackRevisions>
    </reviewItem>
    <reviewItem>
      <errorID>38384a59-867f-48c8-8c72-16f35efd5186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1FD830C4</paraID>
      <start>0</start>
      <end>3</end>
      <status>ignored</status>
      <modifiedWord/>
      <trackRevisions>false</trackRevisions>
    </reviewItem>
    <reviewItem>
      <errorID>c4d0c075-73eb-4c13-8400-f6604535f7ac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19560827</paraID>
      <start>0</start>
      <end>3</end>
      <status>ignored</status>
      <modifiedWord/>
      <trackRevisions>false</trackRevisions>
    </reviewItem>
    <reviewItem>
      <errorID>78f148dc-529a-4417-94e0-dd588537b126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6BEC5652</paraID>
      <start>0</start>
      <end>3</end>
      <status>ignored</status>
      <modifiedWord/>
      <trackRevisions>false</trackRevisions>
    </reviewItem>
    <reviewItem>
      <errorID>795e498f-841e-41de-97cc-63b8f4f028dd</errorID>
      <errorWord>(</errorWord>
      <group>L1_Format</group>
      <groupName>格式问题</groupName>
      <ability>L2_HalfPunc_CN</ability>
      <abilityName/>
      <candidateList>
        <item>（</item>
      </candidateList>
      <explain>文本全半角错误。</explain>
      <paraID>6BEC5652</paraID>
      <start>18</start>
      <end>19</end>
      <status>ignored</status>
      <modifiedWord/>
      <trackRevisions>false</trackRevisions>
    </reviewItem>
    <reviewItem>
      <errorID>a51041a5-257b-4ffe-a0e8-8fb817c05fee</errorID>
      <errorWord>)</errorWord>
      <group>L1_Format</group>
      <groupName>格式问题</groupName>
      <ability>L2_HalfPunc_CN</ability>
      <abilityName/>
      <candidateList>
        <item>）</item>
      </candidateList>
      <explain>文本全半角错误。</explain>
      <paraID>6BEC5652</paraID>
      <start>23</start>
      <end>24</end>
      <status>ignored</status>
      <modifiedWord/>
      <trackRevisions>false</trackRevisions>
    </reviewItem>
    <reviewItem>
      <errorID>7192074a-3339-4664-986c-361f39e496c8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1914BF72</paraID>
      <start>0</start>
      <end>3</end>
      <status>ignored</status>
      <modifiedWord/>
      <trackRevisions>false</trackRevisions>
    </reviewItem>
    <reviewItem>
      <errorID>a7b7cb00-03a6-4cb3-9ba9-33799cedf5af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33FEF194</paraID>
      <start>0</start>
      <end>3</end>
      <status>ignored</status>
      <modifiedWord/>
      <trackRevisions>false</trackRevisions>
    </reviewItem>
    <reviewItem>
      <errorID>3d8a6412-8828-45c2-9a31-6a3b4182039c</errorID>
      <errorWord>于</errorWord>
      <group>L1_Word</group>
      <groupName>字词问题</groupName>
      <ability>L2_Typo</ability>
      <abilityName>字词错误</abilityName>
      <candidateList>
        <item>于以</item>
      </candidateList>
      <explain/>
      <paraID>3BDCB99B</paraID>
      <start>33</start>
      <end>34</end>
      <status>ignored</status>
      <modifiedWord/>
      <trackRevisions>false</trackRevisions>
    </reviewItem>
    <reviewItem>
      <errorID>ff633cdf-dd66-410a-9ea9-f1733bd7f378</errorID>
      <errorWord>于</errorWord>
      <group>L1_Word</group>
      <groupName>字词问题</groupName>
      <ability>L2_Typo</ability>
      <abilityName>字词错误</abilityName>
      <candidateList>
        <item>于以</item>
      </candidateList>
      <explain/>
      <paraID>4C2B6B9D</paraID>
      <start>111</start>
      <end>112</end>
      <status>ignored</status>
      <modifiedWord/>
      <trackRevisions>false</trackRevisions>
    </reviewItem>
    <reviewItem>
      <errorID>85b76116-e580-4437-b480-5523cf94243f</errorID>
      <errorWord>于</errorWord>
      <group>L1_Word</group>
      <groupName>字词问题</groupName>
      <ability>L2_Typo</ability>
      <abilityName>字词错误</abilityName>
      <candidateList>
        <item>于以</item>
      </candidateList>
      <explain/>
      <paraID>26B37C6B</paraID>
      <start>118</start>
      <end>119</end>
      <status>ignored</status>
      <modifiedWord/>
      <trackRevisions>false</trackRevisions>
    </reviewItem>
    <reviewItem>
      <errorID>a02c2942-40f0-444d-87ad-8fcd61883c39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73F5AE23</paraID>
      <start>14</start>
      <end>16</end>
      <status>modified</status>
      <modifiedWord>”“</modifiedWord>
      <trackRevisions>false</trackRevisions>
    </reviewItem>
    <reviewItem>
      <errorID>e2b44d3f-bbec-468b-b079-5ac69af07d3a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73F5AE23</paraID>
      <start>20</start>
      <end>22</end>
      <status>modified</status>
      <modifiedWord>”“</modifiedWord>
      <trackRevisions>false</trackRevisions>
    </reviewItem>
    <reviewItem>
      <errorID>657fe8ae-0408-4f2b-b79d-14bc76c86858</errorID>
      <errorWord>《政府采购法》</errorWord>
      <group>L1_Word</group>
      <groupName>字词问题</groupName>
      <ability>L2_Typo</ability>
      <abilityName>字词错误</abilityName>
      <candidateList>
        <item>《中华人民共和国政府采购法》</item>
      </candidateList>
      <explain/>
      <paraID>70CCA621</paraID>
      <start>190</start>
      <end>197</end>
      <status>ignored</status>
      <modifiedWord/>
      <trackRevisions>false</trackRevisions>
    </reviewItem>
    <reviewItem>
      <errorID>afe21320-4ecc-466a-bda6-231cb92fc75b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37046E12</paraID>
      <start>0</start>
      <end>2</end>
      <status>modified</status>
      <modifiedWord>2.</modifiedWord>
      <trackRevisions>false</trackRevisions>
    </reviewItem>
    <reviewItem>
      <errorID>ad084a59-0fc3-4c62-8d6a-068a3c0e7e06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7C5A7A24</paraID>
      <start>0</start>
      <end>2</end>
      <status>modified</status>
      <modifiedWord>3.</modifiedWord>
      <trackRevisions>false</trackRevisions>
    </reviewItem>
    <reviewItem>
      <errorID>71ea3f79-4241-4d35-81f9-b83533bf5b6e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a2140fa7-4d33-402e-a682-b78c844dfdbc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be8f4211-154e-4b6e-8787-fbe42ac229b3</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f76971b6-12ab-4079-b54f-2972e2a9a2a8</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8e879555-1e2a-486f-b882-69736f155efd</errorID>
      <errorWord>股东大会</errorWord>
      <group>L1_Word</group>
      <groupName>字词问题</groupName>
      <ability>L2_Typo</ability>
      <abilityName>字词错误</abilityName>
      <candidateList>
        <item>股东会</item>
      </candidateList>
      <explain/>
      <paraID>6101C888</paraID>
      <start>102</start>
      <end>106</end>
      <status>ignored</status>
      <modifiedWord/>
      <trackRevisions>false</trackRevisions>
    </reviewItem>
    <reviewItem>
      <errorID>619f2fe3-ae2a-4508-8553-49b5450d40fe</errorID>
      <errorWord>(</errorWord>
      <group>L1_Format</group>
      <groupName>格式问题</groupName>
      <ability>L2_HalfPunc_CN</ability>
      <abilityName/>
      <candidateList>
        <item>（</item>
      </candidateList>
      <explain>文本全半角错误。</explain>
      <paraID>1ADBC451</paraID>
      <start>2</start>
      <end>3</end>
      <status>ignored</status>
      <modifiedWord/>
      <trackRevisions>false</trackRevisions>
    </reviewItem>
    <reviewItem>
      <errorID>a07b486b-8484-4970-bcf3-b1d9b2e5fe4c</errorID>
      <errorWord>)</errorWord>
      <group>L1_Format</group>
      <groupName>格式问题</groupName>
      <ability>L2_HalfPunc_CN</ability>
      <abilityName/>
      <candidateList>
        <item>）</item>
      </candidateList>
      <explain>文本全半角错误。</explain>
      <paraID>1ADBC451</paraID>
      <start>4</start>
      <end>5</end>
      <status>ignored</status>
      <modifiedWord/>
      <trackRevisions>false</trackRevisions>
    </reviewItem>
    <reviewItem>
      <errorID>9eefbc7e-9a31-4c4b-a949-1a1484620f9f</errorID>
      <errorWord>(</errorWord>
      <group>L1_Format</group>
      <groupName>格式问题</groupName>
      <ability>L2_HalfPunc_CN</ability>
      <abilityName/>
      <candidateList>
        <item>（</item>
      </candidateList>
      <explain>文本全半角错误。</explain>
      <paraID> EFDE8AC</paraID>
      <start>2</start>
      <end>3</end>
      <status>ignored</status>
      <modifiedWord/>
      <trackRevisions>false</trackRevisions>
    </reviewItem>
    <reviewItem>
      <errorID>ec5d7eb0-436e-480b-9e40-862a223d497b</errorID>
      <errorWord>)</errorWord>
      <group>L1_Format</group>
      <groupName>格式问题</groupName>
      <ability>L2_HalfPunc_CN</ability>
      <abilityName/>
      <candidateList>
        <item>）</item>
      </candidateList>
      <explain>文本全半角错误。</explain>
      <paraID> EFDE8AC</paraID>
      <start>4</start>
      <end>5</end>
      <status>ignored</status>
      <modifiedWord/>
      <trackRevisions>false</trackRevisions>
    </reviewItem>
    <reviewItem>
      <errorID>f484e193-d602-402b-9967-68d3874d82e3</errorID>
      <errorWord>*</errorWord>
      <group>L1_Punc</group>
      <groupName>标点问题</groupName>
      <ability>L2_Punc_CN</ability>
      <abilityName/>
      <candidateList/>
      <explain/>
      <paraID>148E22CB</paraID>
      <start>0</start>
      <end>1</end>
      <status>ignored</status>
      <modifiedWord/>
      <trackRevisions>false</trackRevisions>
    </reviewItem>
    <reviewItem>
      <errorID>e09c3174-2ee2-4fe1-90db-99d06ed89a81</errorID>
      <errorWord>*</errorWord>
      <group>L1_Punc</group>
      <groupName>标点问题</groupName>
      <ability>L2_Punc_CN</ability>
      <abilityName/>
      <candidateList/>
      <explain/>
      <paraID>225FD808</paraID>
      <start>0</start>
      <end>1</end>
      <status>ignored</status>
      <modifiedWord/>
      <trackRevisions>false</trackRevisions>
    </reviewItem>
    <reviewItem>
      <errorID>95ea7faf-2e9f-4b9d-be1d-3b82c64d271d</errorID>
      <errorWord>*</errorWord>
      <group>L1_Punc</group>
      <groupName>标点问题</groupName>
      <ability>L2_Punc_CN</ability>
      <abilityName/>
      <candidateList/>
      <explain/>
      <paraID>32E10B44</paraID>
      <start>0</start>
      <end>1</end>
      <status>ignored</status>
      <modifiedWord/>
      <trackRevisions>false</trackRevisions>
    </reviewItem>
    <reviewItem>
      <errorID>d684e551-7a42-4466-8460-786a17d363d2</errorID>
      <errorWord>*</errorWord>
      <group>L1_Punc</group>
      <groupName>标点问题</groupName>
      <ability>L2_Punc_CN</ability>
      <abilityName/>
      <candidateList/>
      <explain/>
      <paraID> 3D4D364</paraID>
      <start>0</start>
      <end>1</end>
      <status>ignored</status>
      <modifiedWord/>
      <trackRevisions>false</trackRevisions>
    </reviewItem>
    <reviewItem>
      <errorID>5e64e983-4f92-4d05-bd90-11b80b8fa13b</errorID>
      <errorWord>*</errorWord>
      <group>L1_Punc</group>
      <groupName>标点问题</groupName>
      <ability>L2_Punc_CN</ability>
      <abilityName/>
      <candidateList/>
      <explain/>
      <paraID> 724E50F</paraID>
      <start>0</start>
      <end>1</end>
      <status>ignored</status>
      <modifiedWord/>
      <trackRevisions>false</trackRevisions>
    </reviewItem>
    <reviewItem>
      <errorID>c820eeef-97da-4df0-95b9-00113b01170d</errorID>
      <errorWord>*</errorWord>
      <group>L1_Punc</group>
      <groupName>标点问题</groupName>
      <ability>L2_Punc_CN</ability>
      <abilityName/>
      <candidateList/>
      <explain/>
      <paraID>5E117C31</paraID>
      <start>0</start>
      <end>1</end>
      <status>ignored</status>
      <modifiedWord/>
      <trackRevisions>false</trackRevisions>
    </reviewItem>
    <reviewItem>
      <errorID>3ce266d9-f82a-4969-a28d-c45feb87c6de</errorID>
      <errorWord>*</errorWord>
      <group>L1_Punc</group>
      <groupName>标点问题</groupName>
      <ability>L2_Punc_CN</ability>
      <abilityName/>
      <candidateList/>
      <explain/>
      <paraID> 2CE5E88</paraID>
      <start>0</start>
      <end>1</end>
      <status>ignored</status>
      <modifiedWord/>
      <trackRevisions>false</trackRevisions>
    </reviewItem>
    <reviewItem>
      <errorID>b3adbe78-e9e7-4169-ab84-12cd7a9abf7b</errorID>
      <errorWord>*</errorWord>
      <group>L1_Punc</group>
      <groupName>标点问题</groupName>
      <ability>L2_Punc_CN</ability>
      <abilityName/>
      <candidateList/>
      <explain/>
      <paraID>41844808</paraID>
      <start>0</start>
      <end>1</end>
      <status>ignored</status>
      <modifiedWord/>
      <trackRevisions>false</trackRevisions>
    </reviewItem>
    <reviewItem>
      <errorID>6dc5b68b-e5bd-445a-88fa-c3c6249f76ec</errorID>
      <errorWord>*</errorWord>
      <group>L1_Punc</group>
      <groupName>标点问题</groupName>
      <ability>L2_Punc_CN</ability>
      <abilityName/>
      <candidateList/>
      <explain/>
      <paraID>6420AB2C</paraID>
      <start>0</start>
      <end>1</end>
      <status>ignored</status>
      <modifiedWord/>
      <trackRevisions>false</trackRevisions>
    </reviewItem>
    <reviewItem>
      <errorID>73ee0cff-fda0-48cf-91a1-86ebc0b66116</errorID>
      <errorWord>*</errorWord>
      <group>L1_Punc</group>
      <groupName>标点问题</groupName>
      <ability>L2_Punc_CN</ability>
      <abilityName/>
      <candidateList/>
      <explain/>
      <paraID>7191F3BE</paraID>
      <start>0</start>
      <end>1</end>
      <status>ignored</status>
      <modifiedWord/>
      <trackRevisions>false</trackRevisions>
    </reviewItem>
    <reviewItem>
      <errorID>35bd85a3-2b1b-4fa3-93fb-60c61ee67b0d</errorID>
      <errorWord>…………</errorWord>
      <group>L1_Punc</group>
      <groupName>标点问题</groupName>
      <ability>L2_Punc_CN</ability>
      <abilityName/>
      <candidateList>
        <item>……</item>
      </candidateList>
      <explain/>
      <paraID>3A2F358D</paraID>
      <start>0</start>
      <end>2</end>
      <status>modified</status>
      <modifiedWord>……</modifiedWord>
      <trackRevisions>false</trackRevisions>
    </reviewItem>
    <reviewItem>
      <errorID>095a7aa5-8a2b-455c-bb1e-77c855b538a8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68193FE3</paraID>
      <start>17</start>
      <end>20</end>
      <status>ignored</status>
      <modifiedWord/>
      <trackRevisions>false</trackRevisions>
    </reviewItem>
    <reviewItem>
      <errorID>4db785d4-5fdd-49e2-80ca-b752dd7f177a</errorID>
      <errorWord>,</errorWord>
      <group>L1_Format</group>
      <groupName>格式问题</groupName>
      <ability>L2_HalfPunc_CN</ability>
      <abilityName/>
      <candidateList>
        <item>，</item>
      </candidateList>
      <explain>文本全半角错误。</explain>
      <paraID>7CE4894B</paraID>
      <start>28</start>
      <end>29</end>
      <status>modified</status>
      <modifiedWord>，</modifiedWord>
      <trackRevisions>false</trackRevisions>
    </reviewItem>
    <reviewItem>
      <errorID>a35147ed-9cf4-4569-b6f0-32288602d0b5</errorID>
      <errorWord>*</errorWord>
      <group>L1_Punc</group>
      <groupName>标点问题</groupName>
      <ability>L2_Punc_CN</ability>
      <abilityName/>
      <candidateList/>
      <explain/>
      <paraID>1DE4349B</paraID>
      <start>0</start>
      <end>1</end>
      <status>ignored</status>
      <modifiedWord/>
      <trackRevisions>false</trackRevisions>
    </reviewItem>
    <reviewItem>
      <errorID>9896049d-a120-4757-bbbc-a6cfb26d391e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41C4E2B9</paraID>
      <start>20</start>
      <end>23</end>
      <status>ignored</status>
      <modifiedWord/>
      <trackRevisions>false</trackRevisions>
    </reviewItem>
    <reviewItem>
      <errorID>e8de76b9-e542-441d-9307-417141119ac4</errorID>
      <errorWord>,</errorWord>
      <group>L1_Format</group>
      <groupName>格式问题</groupName>
      <ability>L2_HalfPunc_CN</ability>
      <abilityName/>
      <candidateList>
        <item>，</item>
      </candidateList>
      <explain>文本全半角错误。</explain>
      <paraID>7EBDF382</paraID>
      <start>103</start>
      <end>104</end>
      <status>modified</status>
      <modifiedWord>，</modifiedWord>
      <trackRevisions>false</trackRevisions>
    </reviewItem>
    <reviewItem>
      <errorID>13d1ea8e-b0a0-4861-987a-48541d07adce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6C0C17AB</paraID>
      <start>33</start>
      <end>37</end>
      <status>ignored</status>
      <modifiedWord/>
      <trackRevisions>false</trackRevisions>
    </reviewItem>
    <reviewItem>
      <errorID>5bb89f92-bbc4-43cc-a98d-834b81a3ca3d</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619AD7B5</paraID>
      <start>0</start>
      <end>4</end>
      <status>ignored</status>
      <modifiedWord/>
      <trackRevisions>false</trackRevisions>
    </reviewItem>
    <reviewItem>
      <errorID>ab5b6c9e-3ff7-4d85-bc23-682d701e0a91</errorID>
      <errorWord>其它</errorWord>
      <group>L1_Word</group>
      <groupName>字词问题</groupName>
      <ability>L2_Alias</ability>
      <abilityName>也作/曾用词</abilityName>
      <candidateList>
        <item>其他</item>
      </candidateList>
      <explain>词汇[其它]为不规范表述或旧称，其规范书面表述为[其他]。</explain>
      <paraID>103225D7</paraID>
      <start>2</start>
      <end>4</end>
      <status>ignored</status>
      <modifiedWord/>
      <trackRevisions>false</trackRevisions>
    </reviewItem>
    <reviewItem>
      <errorID>b152db65-0e0b-4cc2-a67c-26192473ff3d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95F18A9</paraID>
      <start>20</start>
      <end>23</end>
      <status>ignored</status>
      <modifiedWord/>
      <trackRevisions>false</trackRevisions>
    </reviewItem>
    <reviewItem>
      <errorID>66a5bd63-7ec7-42d9-8a41-ba8eaa1cb2b9</errorID>
      <errorWord>法律、法规</errorWord>
      <group>L1_Word</group>
      <groupName>字词问题</groupName>
      <ability>L2_Typo</ability>
      <abilityName>字词错误</abilityName>
      <candidateList>
        <item>法律法规</item>
      </candidateList>
      <explain/>
      <paraID>107D7769</paraID>
      <start>9</start>
      <end>14</end>
      <status>ignored</status>
      <modifiedWord/>
      <trackRevisions>false</trackRevisions>
    </reviewItem>
    <reviewItem>
      <errorID>df9063c6-8c72-4fc1-a563-6ac8f3b43374</errorID>
      <errorWord>(</errorWord>
      <group>L1_Format</group>
      <groupName>格式问题</groupName>
      <ability>L2_HalfPunc_CN</ability>
      <abilityName/>
      <candidateList>
        <item>（</item>
      </candidateList>
      <explain>文本全半角错误。</explain>
      <paraID>48081CEC</paraID>
      <start>217</start>
      <end>218</end>
      <status>ignored</status>
      <modifiedWord/>
      <trackRevisions>false</trackRevisions>
    </reviewItem>
    <reviewItem>
      <errorID>fc817771-7300-49dd-bd26-0aa58a3a8769</errorID>
      <errorWord>/)</errorWord>
      <group>L1_Punc</group>
      <groupName>标点问题</groupName>
      <ability>L2_Punc_CN</ability>
      <abilityName/>
      <candidateList>
        <item>)</item>
      </candidateList>
      <explain/>
      <paraID>48081CEC</paraID>
      <start>265</start>
      <end>267</end>
      <status>ignored</status>
      <modifiedWord/>
      <trackRevisions>false</trackRevisions>
    </reviewItem>
    <reviewItem>
      <errorID>297997e7-9098-4950-bf81-eb241fc6428d</errorID>
      <errorWord>/）</errorWord>
      <group>L1_Punc</group>
      <groupName>标点问题</groupName>
      <ability>L2_Punc_CN</ability>
      <abilityName/>
      <candidateList>
        <item>）</item>
      </candidateList>
      <explain/>
      <paraID>48081CEC</paraID>
      <start>308</start>
      <end>310</end>
      <status>ignored</status>
      <modifiedWord/>
      <trackRevisions>false</trackRevisions>
    </reviewItem>
    <reviewItem>
      <errorID>3d788a25-6e70-4054-acea-8e5094c28d41</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3A5471F0</paraID>
      <start>43</start>
      <end>44</end>
      <status>ignored</status>
      <modifiedWord/>
      <trackRevisions>false</trackRevisions>
    </reviewItem>
    <reviewItem>
      <errorID>4ea33c71-b7e6-41a6-a293-4e5ddb9a89c4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63358AAB</paraID>
      <start>42</start>
      <end>45</end>
      <status>ignored</status>
      <modifiedWord/>
      <trackRevisions>false</trackRevisions>
    </reviewItem>
    <reviewItem>
      <errorID>0752cac7-fc4d-463b-b0c2-8deadd887f75</errorID>
      <errorWord>下</errorWord>
      <group>L1_Word</group>
      <groupName>字词问题</groupName>
      <ability>L2_Typo</ability>
      <abilityName>字词错误</abilityName>
      <candidateList>
        <item>下简</item>
      </candidateList>
      <explain/>
      <paraID>57972872</paraID>
      <start>8</start>
      <end>9</end>
      <status>ignored</status>
      <modifiedWord/>
      <trackRevisions>false</trackRevisions>
    </reviewItem>
    <reviewItem>
      <errorID>ffdfa71c-e7c7-4bb3-a87b-a8ebc8c1af5a</errorID>
      <errorWord>下</errorWord>
      <group>L1_Word</group>
      <groupName>字词问题</groupName>
      <ability>L2_Typo</ability>
      <abilityName>字词错误</abilityName>
      <candidateList>
        <item>下简</item>
      </candidateList>
      <explain/>
      <paraID> 2F84979</paraID>
      <start>8</start>
      <end>9</end>
      <status>ignored</status>
      <modifiedWord/>
      <trackRevisions>false</trackRevisions>
    </reviewItem>
    <reviewItem>
      <errorID>f53e69f2-0310-4562-b14b-27a39e80b66f</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54E16F32</paraID>
      <start>57</start>
      <end>58</end>
      <status>ignored</status>
      <modifiedWord/>
      <trackRevisions>false</trackRevisions>
    </reviewItem>
    <reviewItem>
      <errorID>929405fa-f9c8-455a-8fd4-fc838d0be523</errorID>
      <errorWord>应</errorWord>
      <group>L1_Word</group>
      <groupName>字词问题</groupName>
      <ability>L2_Typo</ability>
      <abilityName>字词错误</abilityName>
      <candidateList>
        <item>应当</item>
      </candidateList>
      <explain/>
      <paraID>73FE2936</paraID>
      <start>34</start>
      <end>35</end>
      <status>ignored</status>
      <modifiedWord/>
      <trackRevisions>false</trackRevisions>
    </reviewItem>
    <reviewItem>
      <errorID>2bfa5e7c-ec78-4551-86d1-89eb9bb796be</errorID>
      <errorWord>作</errorWord>
      <group>L1_Word</group>
      <groupName>字词问题</groupName>
      <ability>L2_Typo</ability>
      <abilityName>字词错误</abilityName>
      <candidateList>
        <item>做</item>
      </candidateList>
      <explain>存在发音相同字词的误用。</explain>
      <paraID>7845DBA3</paraID>
      <start>4</start>
      <end>5</end>
      <status>ignored</status>
      <modifiedWord/>
      <trackRevisions>false</trackRevisions>
    </reviewItem>
    <reviewItem>
      <errorID>096a5e32-1e5e-4e0b-8fb2-917252f647ac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257C2CD8</paraID>
      <start>0</start>
      <end>2</end>
      <status>modified</status>
      <modifiedWord>2.</modifiedWord>
      <trackRevisions>false</trackRevisions>
    </reviewItem>
    <reviewItem>
      <errorID>02a3896f-47be-4085-b495-8ad10ba6ca9c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4E872241</paraID>
      <start>0</start>
      <end>2</end>
      <status>modified</status>
      <modifiedWord>3.</modifiedWord>
      <trackRevisions>false</trackRevisions>
    </reviewItem>
    <reviewItem>
      <errorID>e1d6a10c-4622-4da9-a853-13fa94c74bac</errorID>
      <errorWord>》</errorWord>
      <group>L1_Word</group>
      <groupName>字词问题</groupName>
      <ability>L2_Typo</ability>
      <abilityName>字词错误</abilityName>
      <candidateList>
        <item>》和</item>
      </candidateList>
      <explain/>
      <paraID>4FD8B99D</paraID>
      <start>26</start>
      <end>27</end>
      <status>ignored</status>
      <modifiedWord/>
      <trackRevisions>false</trackRevisions>
    </reviewItem>
    <reviewItem>
      <errorID>83071de0-e7d2-498e-94fc-b6a777030e70</errorID>
      <errorWord>,</errorWord>
      <group>L1_Format</group>
      <groupName>格式问题</groupName>
      <ability>L2_HalfPunc_CN</ability>
      <abilityName/>
      <candidateList>
        <item>，</item>
      </candidateList>
      <explain>文本全半角错误。</explain>
      <paraID>53C954B8</paraID>
      <start>90</start>
      <end>91</end>
      <status>modified</status>
      <modifiedWord>，</modifiedWord>
      <trackRevisions>false</trackRevisions>
    </reviewItem>
    <reviewItem>
      <errorID>756dfaee-28ae-4604-8c89-e028f3ad29b8</errorID>
      <errorWord>.</errorWord>
      <group>L1_Format</group>
      <groupName>格式问题</groupName>
      <ability>L2_HalfPunc_CN</ability>
      <abilityName/>
      <candidateList>
        <item>。</item>
      </candidateList>
      <explain>文本全半角错误。</explain>
      <paraID>53C954B8</paraID>
      <start>224</start>
      <end>225</end>
      <status>ignored</status>
      <modifiedWord/>
      <trackRevisions>false</trackRevisions>
    </reviewItem>
    <reviewItem>
      <errorID>b604c37d-e471-40d2-aee8-3fccd13a9bd3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DD0DC5F</paraID>
      <start>0</start>
      <end>2</end>
      <status>modified</status>
      <modifiedWord>5.</modifiedWord>
      <trackRevisions>false</trackRevisions>
    </reviewItem>
    <reviewItem>
      <errorID>736b8042-a123-4deb-b20e-b68257cc5386</errorID>
      <errorWord>-</errorWord>
      <group>L1_Format</group>
      <groupName>格式问题</groupName>
      <ability>L2_HalfPunc_CN</ability>
      <abilityName/>
      <candidateList>
        <item>－</item>
      </candidateList>
      <explain>文本全半角错误。</explain>
      <paraID>58D07F45</paraID>
      <start>101</start>
      <end>102</end>
      <status>modified</status>
      <modifiedWord>－</modifiedWord>
      <trackRevisions>false</trackRevisions>
    </reviewItem>
    <reviewItem>
      <errorID>16f69533-31e5-4c0d-a968-6e16a7b5d384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4D7A4A10</paraID>
      <start>0</start>
      <end>2</end>
      <status>modified</status>
      <modifiedWord>6.</modifiedWord>
      <trackRevisions>false</trackRevisions>
    </reviewItem>
    <reviewItem>
      <errorID>0307c4fc-974f-4635-abb8-1dc30aad0d69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5504FC0D</paraID>
      <start>0</start>
      <end>2</end>
      <status>modified</status>
      <modifiedWord>8.</modifiedWord>
      <trackRevisions>false</trackRevisions>
    </reviewItem>
    <reviewItem>
      <errorID>07d5c810-0313-42da-9bff-6cf1483543d3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647E9F9F</paraID>
      <start>0</start>
      <end>2</end>
      <status>modified</status>
      <modifiedWord>9.</modifiedWord>
      <trackRevisions>false</trackRevisions>
    </reviewItem>
    <reviewItem>
      <errorID>0427a20f-c6bc-4aba-8532-5fc5308e5a55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49207C08</paraID>
      <start>0</start>
      <end>3</end>
      <status>modified</status>
      <modifiedWord>10.</modifiedWord>
      <trackRevisions>false</trackRevisions>
    </reviewItem>
    <reviewItem>
      <errorID>a0bd06c4-77a6-4d2a-bc75-1ed8be64ec56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38EA5779</paraID>
      <start>0</start>
      <end>3</end>
      <status>modified</status>
      <modifiedWord>11.</modifiedWord>
      <trackRevisions>false</trackRevisions>
    </reviewItem>
    <reviewItem>
      <errorID>49b6ab11-c168-44a0-b211-d2abc810c86d</errorID>
      <errorWord>/）</errorWord>
      <group>L1_Punc</group>
      <groupName>标点问题</groupName>
      <ability>L2_Punc_CN</ability>
      <abilityName/>
      <candidateList>
        <item>）</item>
      </candidateList>
      <explain/>
      <paraID> 20D13C7</paraID>
      <start>47</start>
      <end>49</end>
      <status>ignored</status>
      <modifiedWord/>
      <trackRevisions>false</trackRevisions>
    </reviewItem>
    <reviewItem>
      <errorID>99fb9685-37f8-4228-b536-0aeda85c001b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3D9E6BE4</paraID>
      <start>0</start>
      <end>3</end>
      <status>modified</status>
      <modifiedWord>12.</modifiedWord>
      <trackRevisions>false</trackRevisions>
    </reviewItem>
    <reviewItem>
      <errorID>36e82400-65d7-4e4b-a3a4-7e47ab4f4cd5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5587F721</paraID>
      <start>0</start>
      <end>3</end>
      <status>modified</status>
      <modifiedWord>13.</modifiedWord>
      <trackRevisions>false</trackRevisions>
    </reviewItem>
    <reviewItem>
      <errorID>eeb25a1f-f7fc-4f14-9355-bc7b625ffcdd</errorID>
      <errorWord>/）</errorWord>
      <group>L1_Punc</group>
      <groupName>标点问题</groupName>
      <ability>L2_Punc_CN</ability>
      <abilityName/>
      <candidateList>
        <item>）</item>
      </candidateList>
      <explain/>
      <paraID>37D5144B</paraID>
      <start>116</start>
      <end>118</end>
      <status>ignored</status>
      <modifiedWord/>
      <trackRevisions>false</trackRevisions>
    </reviewItem>
    <reviewItem>
      <errorID>2ba74191-ff10-4f0a-9155-b48bda5684e1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604D49FD</paraID>
      <start>0</start>
      <end>3</end>
      <status>modified</status>
      <modifiedWord>14.</modifiedWord>
      <trackRevisions>false</trackRevisions>
    </reviewItem>
    <reviewItem>
      <errorID>cf8916c7-1533-44d2-8408-85dfca146bac</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27DB8C27</paraID>
      <start>67</start>
      <end>71</end>
      <status>ignored</status>
      <modifiedWord/>
      <trackRevisions>false</trackRevisions>
    </reviewItem>
    <reviewItem>
      <errorID>4f9331ec-7df0-430a-b69a-abac3a544306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738903E</paraID>
      <start>0</start>
      <end>3</end>
      <status>modified</status>
      <modifiedWord>15.</modifiedWord>
      <trackRevisions>false</trackRevisions>
    </reviewItem>
    <reviewItem>
      <errorID>ca3bce92-0d8e-4fd3-8783-c7e60d5e4680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3F194A34</paraID>
      <start>0</start>
      <end>3</end>
      <status>modified</status>
      <modifiedWord>16.</modifiedWord>
      <trackRevisions>false</trackRevisions>
    </reviewItem>
    <reviewItem>
      <errorID>0d9a627c-ba11-4205-8331-f97a48db2385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6FDAF132</paraID>
      <start>0</start>
      <end>3</end>
      <status>modified</status>
      <modifiedWord>17.</modifiedWord>
      <trackRevisions>false</trackRevisions>
    </reviewItem>
    <reviewItem>
      <errorID>f3d70dc6-5ce2-4386-afcf-c47bc9425f70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7B4BABB0</paraID>
      <start>0</start>
      <end>3</end>
      <status>modified</status>
      <modifiedWord>18.</modifiedWord>
      <trackRevisions>false</trackRevisions>
    </reviewItem>
    <reviewItem>
      <errorID>9faba99a-5aaf-4496-bd9d-45431d8ee9d0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74DF6126</paraID>
      <start>0</start>
      <end>3</end>
      <status>modified</status>
      <modifiedWord>19.</modifiedWord>
      <trackRevisions>false</trackRevisions>
    </reviewItem>
    <reviewItem>
      <errorID>08b2d437-5183-4130-bae4-86185fe80d8c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45C55A50</paraID>
      <start>0</start>
      <end>3</end>
      <status>modified</status>
      <modifiedWord>20.</modifiedWord>
      <trackRevisions>false</trackRevisions>
    </reviewItem>
    <reviewItem>
      <errorID>aa0ff61e-ac26-4ee8-95d4-4d047b4e2476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5E71D079</paraID>
      <start>0</start>
      <end>3</end>
      <status>modified</status>
      <modifiedWord>21.</modifiedWord>
      <trackRevisions>false</trackRevisions>
    </reviewItem>
    <reviewItem>
      <errorID>dd8acbe0-3116-408c-aabe-4ac638ede203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32C3D0BA</paraID>
      <start>0</start>
      <end>3</end>
      <status>modified</status>
      <modifiedWord>22.</modifiedWord>
      <trackRevisions>false</trackRevisions>
    </reviewItem>
    <reviewItem>
      <errorID>dda7c805-41db-4e0c-b09b-b7968b6508c1</errorID>
      <errorWord>其它</errorWord>
      <group>L1_Word</group>
      <groupName>字词问题</groupName>
      <ability>L2_Alias</ability>
      <abilityName>也作/曾用词</abilityName>
      <candidateList>
        <item>其他</item>
      </candidateList>
      <explain>词汇[其它]为不规范表述或旧称，其规范书面表述为[其他]。</explain>
      <paraID>726C6B82</paraID>
      <start>126</start>
      <end>128</end>
      <status>ignored</status>
      <modifiedWord/>
      <trackRevisions>false</trackRevisions>
    </reviewItem>
    <reviewItem>
      <errorID>de3ed848-7347-4b20-84c0-f4d3a5445677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6F91680B</paraID>
      <start>0</start>
      <end>3</end>
      <status>modified</status>
      <modifiedWord>23.</modifiedWord>
      <trackRevisions>false</trackRevisions>
    </reviewItem>
    <reviewItem>
      <errorID>446f201f-21b6-4ac1-af57-8b5883a69475</errorID>
      <errorWord>.</errorWord>
      <group>L1_Format</group>
      <groupName>格式问题</groupName>
      <ability>L2_HalfPunc_CN</ability>
      <abilityName/>
      <candidateList>
        <item>。</item>
      </candidateList>
      <explain>文本全半角错误。</explain>
      <paraID>640AB105</paraID>
      <start>53</start>
      <end>54</end>
      <status>ignored</status>
      <modifiedWord/>
      <trackRevisions>false</trackRevisions>
    </reviewItem>
    <reviewItem>
      <errorID>8166ded1-0e66-441b-8c4d-dcaa04ebf3a3</errorID>
      <errorWord>.</errorWord>
      <group>L1_Format</group>
      <groupName>格式问题</groupName>
      <ability>L2_HalfPunc_CN</ability>
      <abilityName/>
      <candidateList>
        <item>。</item>
      </candidateList>
      <explain>文本全半角错误。</explain>
      <paraID>640AB105</paraID>
      <start>101</start>
      <end>102</end>
      <status>ignored</status>
      <modifiedWord/>
      <trackRevisions>false</trackRevisions>
    </reviewItem>
    <reviewItem>
      <errorID>340be2b8-7016-4568-b591-7eebc0d6dc0d</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44ACCD01</paraID>
      <start>32</start>
      <end>37</end>
      <status>ignored</status>
      <modifiedWord/>
      <trackRevisions>false</trackRevisions>
    </reviewItem>
    <reviewItem>
      <errorID>f633e7f8-96c7-4248-a907-5babca4fd92e</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32CB703C</paraID>
      <start>28</start>
      <end>33</end>
      <status>ignored</status>
      <modifiedWord/>
      <trackRevisions>false</trackRevisions>
    </reviewItem>
    <reviewItem>
      <errorID>fc328b75-b403-49b6-bfed-8055d244160e</errorID>
      <errorWord>其它</errorWord>
      <group>L1_Word</group>
      <groupName>字词问题</groupName>
      <ability>L2_Alias</ability>
      <abilityName>也作/曾用词</abilityName>
      <candidateList>
        <item>其他</item>
      </candidateList>
      <explain>词汇[其它]为不规范表述或旧称，其规范书面表述为[其他]。</explain>
      <paraID>60227B03</paraID>
      <start>31</start>
      <end>33</end>
      <status>ignored</status>
      <modifiedWord/>
      <trackRevisions>false</trackRevisions>
    </reviewItem>
    <reviewItem>
      <errorID>a7bf139d-c8f9-482f-89aa-978ce7bfc4d1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47C082E1</paraID>
      <start>0</start>
      <end>3</end>
      <status>modified</status>
      <modifiedWord>24.</modifiedWord>
      <trackRevisions>false</trackRevisions>
    </reviewItem>
    <reviewItem>
      <errorID>cd87cce3-f325-4d27-9a7c-458425d4869f</errorID>
      <errorWord>.</errorWord>
      <group>L1_Format</group>
      <groupName>格式问题</groupName>
      <ability>L2_HalfPunc_CN</ability>
      <abilityName/>
      <candidateList>
        <item>。</item>
      </candidateList>
      <explain>文本全半角错误。</explain>
      <paraID>735745E1</paraID>
      <start>15</start>
      <end>16</end>
      <status>ignored</status>
      <modifiedWord/>
      <trackRevisions>false</trackRevisions>
    </reviewItem>
    <reviewItem>
      <errorID>c0d55e3e-872e-4d46-b800-83b04a93d366</errorID>
      <errorWord>.</errorWord>
      <group>L1_Format</group>
      <groupName>格式问题</groupName>
      <ability>L2_HalfPunc_CN</ability>
      <abilityName/>
      <candidateList>
        <item>。</item>
      </candidateList>
      <explain>文本全半角错误。</explain>
      <paraID>735745E1</paraID>
      <start>83</start>
      <end>84</end>
      <status>ignored</status>
      <modifiedWord/>
      <trackRevisions>false</trackRevisions>
    </reviewItem>
    <reviewItem>
      <errorID>39b9ac1e-87d0-4e4e-9ec4-a7234cbe1539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409253A3</paraID>
      <start>0</start>
      <end>3</end>
      <status>modified</status>
      <modifiedWord>25.</modifiedWord>
      <trackRevisions>false</trackRevisions>
    </reviewItem>
    <reviewItem>
      <errorID>44163639-18fc-455d-8a82-5173ac09ac4c</errorID>
      <errorWord>(</errorWord>
      <group>L1_Format</group>
      <groupName>格式问题</groupName>
      <ability>L2_HalfPunc_CN</ability>
      <abilityName/>
      <candidateList>
        <item>（</item>
      </candidateList>
      <explain>文本全半角错误。</explain>
      <paraID>46148DAB</paraID>
      <start>131</start>
      <end>132</end>
      <status>ignored</status>
      <modifiedWord/>
      <trackRevisions>false</trackRevisions>
    </reviewItem>
    <reviewItem>
      <errorID>d60c9efb-f78b-4e32-9a47-ce217346368a</errorID>
      <errorWord>)</errorWord>
      <group>L1_Format</group>
      <groupName>格式问题</groupName>
      <ability>L2_HalfPunc_CN</ability>
      <abilityName/>
      <candidateList>
        <item>）</item>
      </candidateList>
      <explain>文本全半角错误。</explain>
      <paraID>46148DAB</paraID>
      <start>134</start>
      <end>135</end>
      <status>ignored</status>
      <modifiedWord/>
      <trackRevisions>false</trackRevisions>
    </reviewItem>
    <reviewItem>
      <errorID>e532703d-cbec-4c2d-80b9-6f30eb50b9c4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27E5D28A</paraID>
      <start>0</start>
      <end>3</end>
      <status>modified</status>
      <modifiedWord>27.</modifiedWord>
      <trackRevisions>false</trackRevisions>
    </reviewItem>
    <reviewItem>
      <errorID>cda5c90a-c427-4832-b1e2-120417abfe8c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6CBD6064</paraID>
      <start>0</start>
      <end>3</end>
      <status>modified</status>
      <modifiedWord>28.</modifiedWord>
      <trackRevisions>false</trackRevisions>
    </reviewItem>
    <reviewItem>
      <errorID>ba279b08-9d94-4077-ad1e-04261eb44385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3B82695B</paraID>
      <start>0</start>
      <end>3</end>
      <status>modified</status>
      <modifiedWord>29.</modifiedWord>
      <trackRevisions>false</trackRevisions>
    </reviewItem>
    <reviewItem>
      <errorID>f6714114-8022-4a20-9857-fceaa3ec2998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5674C18D</paraID>
      <start>0</start>
      <end>3</end>
      <status>modified</status>
      <modifiedWord>30.</modifiedWord>
      <trackRevisions>false</trackRevisions>
    </reviewItem>
    <reviewItem>
      <errorID>d60dde4a-1324-45a4-8238-180e510a3ca9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5772FB2D</paraID>
      <start>8</start>
      <end>11</end>
      <status>modified</status>
      <modifiedWord>必需的</modifiedWord>
      <trackRevisions>false</trackRevisions>
    </reviewItem>
    <reviewItem>
      <errorID>8205a1f7-e3a1-486b-8a04-15a5acb1aba7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CBD47E5</paraID>
      <start>0</start>
      <end>3</end>
      <status>modified</status>
      <modifiedWord>31.</modifiedWord>
      <trackRevisions>false</trackRevisions>
    </reviewItem>
    <reviewItem>
      <errorID>77273e9d-2ae9-4763-a8ee-c6bbe8517abe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2EA3F28D</paraID>
      <start>0</start>
      <end>3</end>
      <status>modified</status>
      <modifiedWord>32.</modifiedWord>
      <trackRevisions>false</trackRevisions>
    </reviewItem>
    <reviewItem>
      <errorID>66b62f48-5be5-477b-b0c5-a8075bb27c57</errorID>
      <errorWord>:</errorWord>
      <group>L1_Format</group>
      <groupName>格式问题</groupName>
      <ability>L2_HalfPunc_CN</ability>
      <abilityName/>
      <candidateList>
        <item>：</item>
      </candidateList>
      <explain>文本全半角错误。</explain>
      <paraID>357C698A</paraID>
      <start>22</start>
      <end>23</end>
      <status>modified</status>
      <modifiedWord>：</modifiedWord>
      <trackRevisions>false</trackRevisions>
    </reviewItem>
    <reviewItem>
      <errorID>5d91adca-f7b4-4aea-bcce-bd188a10fa6f</errorID>
      <errorWord>法律、法规</errorWord>
      <group>L1_Word</group>
      <groupName>字词问题</groupName>
      <ability>L2_Typo</ability>
      <abilityName>字词错误</abilityName>
      <candidateList>
        <item>法律法规</item>
      </candidateList>
      <explain/>
      <paraID>5E3B9D69</paraID>
      <start>13</start>
      <end>18</end>
      <status>ignored</status>
      <modifiedWord/>
      <trackRevisions>false</trackRevisions>
    </reviewItem>
    <reviewItem>
      <errorID>aecd34dc-d00b-443d-a737-1504860b61ab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1923DDED</paraID>
      <start>0</start>
      <end>3</end>
      <status>modified</status>
      <modifiedWord>33.</modifiedWord>
      <trackRevisions>false</trackRevisions>
    </reviewItem>
    <reviewItem>
      <errorID>670dc70c-69c7-4752-a3a8-19f8576c72e5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2C304541</paraID>
      <start>0</start>
      <end>3</end>
      <status>modified</status>
      <modifiedWord>34.</modifiedWord>
      <trackRevisions>false</trackRevisions>
    </reviewItem>
    <reviewItem>
      <errorID>2efc2982-a024-4485-bfd7-565776625bfb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52122C6E</paraID>
      <start>0</start>
      <end>3</end>
      <status>modified</status>
      <modifiedWord>35.</modifiedWord>
      <trackRevisions>false</trackRevisions>
    </reviewItem>
    <reviewItem>
      <errorID>55d695b0-91ef-49e7-aa31-be4b2a024b86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4992BE46</paraID>
      <start>0</start>
      <end>3</end>
      <status>modified</status>
      <modifiedWord>37.</modifiedWord>
      <trackRevisions>false</trackRevisions>
    </reviewItem>
    <reviewItem>
      <errorID>7dfaa1c8-f1d1-461b-9acd-422be0e3ef3c</errorID>
      <errorWord>以</errorWord>
      <group>L1_Word</group>
      <groupName>字词问题</groupName>
      <ability>L2_Typo</ability>
      <abilityName>字词错误</abilityName>
      <candidateList>
        <item>已</item>
      </candidateList>
      <explain>存在发音相同字词的误用。</explain>
      <paraID>388A8067</paraID>
      <start>129</start>
      <end>130</end>
      <status>ignored</status>
      <modifiedWord/>
      <trackRevisions>false</trackRevisions>
    </reviewItem>
    <reviewItem>
      <errorID>9f74a543-8eb7-4d95-a1fb-c4d39caa2aaf</errorID>
      <errorWord>&lt;</errorWord>
      <group>L1_Format</group>
      <groupName>格式问题</groupName>
      <ability>L2_HalfPunc_CN</ability>
      <abilityName/>
      <candidateList>
        <item>〈</item>
      </candidateList>
      <explain>文本全半角错误。</explain>
      <paraID>388A8067</paraID>
      <start>141</start>
      <end>142</end>
      <status>ignored</status>
      <modifiedWord/>
      <trackRevisions>false</trackRevisions>
    </reviewItem>
    <reviewItem>
      <errorID>cc71745e-2413-427a-abf2-0c6d1dd3d76d</errorID>
      <errorWord>&gt;</errorWord>
      <group>L1_Format</group>
      <groupName>格式问题</groupName>
      <ability>L2_HalfPunc_CN</ability>
      <abilityName/>
      <candidateList>
        <item>〉</item>
      </candidateList>
      <explain>文本全半角错误。</explain>
      <paraID>388A8067</paraID>
      <start>159</start>
      <end>160</end>
      <status>ignored</status>
      <modifiedWord/>
      <trackRevisions>false</trackRevisions>
    </reviewItem>
    <reviewItem>
      <errorID>d55be865-5297-4829-a2a2-f65d91ddcd0e</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72F1A56</paraID>
      <start>0</start>
      <end>3</end>
      <status>modified</status>
      <modifiedWord>38.</modifiedWord>
      <trackRevisions>false</trackRevisions>
    </reviewItem>
    <reviewItem>
      <errorID>bafb1245-550f-41f3-a81b-23bf2a6700f3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E6928E4</paraID>
      <start>0</start>
      <end>3</end>
      <status>modified</status>
      <modifiedWord>39.</modifiedWord>
      <trackRevisions>false</trackRevisions>
    </reviewItem>
    <reviewItem>
      <errorID>a0a64067-607e-4206-a3f9-b81d5bbac765</errorID>
      <errorWord>/）</errorWord>
      <group>L1_Punc</group>
      <groupName>标点问题</groupName>
      <ability>L2_Punc_CN</ability>
      <abilityName/>
      <candidateList>
        <item>）</item>
      </candidateList>
      <explain/>
      <paraID>1123C40A</paraID>
      <start>79</start>
      <end>81</end>
      <status>ignored</status>
      <modifiedWord/>
      <trackRevisions>false</trackRevisions>
    </reviewItem>
    <reviewItem>
      <errorID>79c93094-554e-41c2-8ae8-a9c7f73df335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1123C40A</paraID>
      <start>160</start>
      <end>164</end>
      <status>ignored</status>
      <modifiedWord/>
      <trackRevisions>false</trackRevisions>
    </reviewItem>
    <reviewItem>
      <errorID>ed1fd1e0-06e3-4d15-8cb1-5eebfc218b69</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5C98DA6D</paraID>
      <start>0</start>
      <end>3</end>
      <status>modified</status>
      <modifiedWord>40.</modifiedWord>
      <trackRevisions>false</trackRevisions>
    </reviewItem>
    <reviewItem>
      <errorID>7670758c-a40f-4d56-b340-0458296a8170</errorID>
      <errorWord>,</errorWord>
      <group>L1_Format</group>
      <groupName>格式问题</groupName>
      <ability>L2_HalfPunc_CN</ability>
      <abilityName/>
      <candidateList>
        <item>，</item>
      </candidateList>
      <explain>文本全半角错误。</explain>
      <paraID>40F6F25C</paraID>
      <start>35</start>
      <end>36</end>
      <status>modified</status>
      <modifiedWord>，</modifiedWord>
      <trackRevisions>false</trackRevisions>
    </reviewItem>
    <reviewItem>
      <errorID>e5915a31-a274-42bf-b225-aa2d7ecee57f</errorID>
      <errorWord>/）</errorWord>
      <group>L1_Punc</group>
      <groupName>标点问题</groupName>
      <ability>L2_Punc_CN</ability>
      <abilityName/>
      <candidateList>
        <item>）</item>
      </candidateList>
      <explain/>
      <paraID>40F6F25C</paraID>
      <start>88</start>
      <end>90</end>
      <status>ignored</status>
      <modifiedWord/>
      <trackRevisions>false</trackRevisions>
    </reviewItem>
    <reviewItem>
      <errorID>5f2cb6ac-c3fc-44f3-8b51-9c0a423a3ab9</errorID>
      <errorWord>其它</errorWord>
      <group>L1_Word</group>
      <groupName>字词问题</groupName>
      <ability>L2_Alias</ability>
      <abilityName>也作/曾用词</abilityName>
      <candidateList>
        <item>其他</item>
      </candidateList>
      <explain>词汇[其它]为不规范表述或旧称，其规范书面表述为[其他]。</explain>
      <paraID>52D9AB10</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51E9A3FA</paraID>
      <start>0</start>
      <end>3</end>
      <status>modified</status>
      <modifiedWord>41.</modifiedWord>
      <trackRevisions>false</trackRevisions>
    </reviewItem>
    <reviewItem>
      <errorID>11b247c9-1d28-446e-bc50-3aa572b50438</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5A57E4CB</paraID>
      <start>0</start>
      <end>3</end>
      <status>modified</status>
      <modifiedWord>42.</modifiedWord>
      <trackRevisions>false</trackRevisions>
    </reviewItem>
    <reviewItem>
      <errorID>b3e6feec-6446-4327-8ed2-57904603f2f2</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6E413A06</paraID>
      <start>0</start>
      <end>3</end>
      <status>modified</status>
      <modifiedWord>43.</modifiedWord>
      <trackRevisions>false</trackRevisions>
    </reviewItem>
    <reviewItem>
      <errorID>8903398a-94e6-4346-a5d9-ba9e74f6ec97</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22E9EEB8</paraID>
      <start>0</start>
      <end>3</end>
      <status>modified</status>
      <modifiedWord>44.</modifiedWord>
      <trackRevisions>false</trackRevisions>
    </reviewItem>
    <reviewItem>
      <errorID>6fa13e31-0249-4fab-bc71-f6c34e1ee0af</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31B4952F</paraID>
      <start>0</start>
      <end>3</end>
      <status>modified</status>
      <modifiedWord>45.</modifiedWord>
      <trackRevisions>false</trackRevisions>
    </reviewItem>
    <reviewItem>
      <errorID>f945d75c-84f9-44a3-92f7-b0c64b83888f</errorID>
      <errorWord>法律、法规</errorWord>
      <group>L1_Word</group>
      <groupName>字词问题</groupName>
      <ability>L2_Typo</ability>
      <abilityName>字词错误</abilityName>
      <candidateList>
        <item>法律法规</item>
      </candidateList>
      <explain/>
      <paraID>5EFC4077</paraID>
      <start>69</start>
      <end>74</end>
      <status>ignored</status>
      <modifiedWord/>
      <trackRevisions>false</trackRevisions>
    </reviewItem>
    <reviewItem>
      <errorID>83a63cc8-5d06-470f-8826-cc9e1c708db1</errorID>
      <errorWord>、或者</errorWord>
      <group>L1_Word</group>
      <groupName>字词问题</groupName>
      <ability>L2_Typo</ability>
      <abilityName>字词错误</abilityName>
      <candidateList>
        <item>，或者</item>
      </candidateList>
      <explain/>
      <paraID>7766F0CD</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294BC563</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162EC2CE</paraID>
      <start>80</start>
      <end>84</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65ED4-4C1D-452E-AECC-BB6A2385BD78}">
  <ds:schemaRefs/>
</ds:datastoreItem>
</file>

<file path=customXml/itemProps2.xml><?xml version="1.0" encoding="utf-8"?>
<ds:datastoreItem xmlns:ds="http://schemas.openxmlformats.org/officeDocument/2006/customXml" ds:itemID="{B1A3062D-CB70-4BC7-82DB-2BCC2BBC1DB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103</Pages>
  <Words>12215</Words>
  <Characters>12910</Characters>
  <Lines>596</Lines>
  <Paragraphs>167</Paragraphs>
  <TotalTime>0</TotalTime>
  <ScaleCrop>false</ScaleCrop>
  <LinksUpToDate>false</LinksUpToDate>
  <CharactersWithSpaces>12997</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2026-10-29T08:01:00Z</dcterms:created>
  <dc:creator>thsware</dc:creator>
  <cp:lastModifiedBy>董馨如</cp:lastModifiedBy>
  <cp:lastPrinted>2021-05-16T11:04:00Z</cp:lastPrinted>
  <dcterms:modified xsi:type="dcterms:W3CDTF">2026-10-29T12:24:26Z</dcterms:modified>
  <dc:title>招  标　文　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7626ABB928E04DE9A24CEE64155CDE41_13</vt:lpwstr>
  </property>
  <property fmtid="{D5CDD505-2E9C-101B-9397-08002B2CF9AE}" pid="4" name="KSOTemplateDocerSaveRecord">
    <vt:lpwstr>eyJoZGlkIjoiZDJmODNjNDNiNWUzNGEyZjM1ZjcyMGZhNjllN2NkMTgiLCJ1c2VySWQiOiIyNzgzNjc0MzMifQ==</vt:lpwstr>
  </property>
</Properties>
</file>