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654" w:firstLineChars="1300"/>
        <w:outlineLvl w:val="1"/>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313" w:afterLines="100" w:line="400" w:lineRule="exact"/>
        <w:ind w:firstLine="422" w:firstLineChars="200"/>
        <w:jc w:val="both"/>
        <w:textAlignment w:val="auto"/>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ascii="宋体" w:hAnsi="宋体"/>
          <w:color w:val="FF0000"/>
          <w:sz w:val="20"/>
          <w:szCs w:val="20"/>
        </w:rPr>
      </w:pP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一、</w:t>
      </w:r>
      <w:r>
        <w:rPr>
          <w:rFonts w:hint="eastAsia" w:ascii="宋体" w:hAnsi="宋体" w:eastAsia="宋体" w:cs="宋体"/>
          <w:b/>
          <w:bCs/>
          <w:color w:val="FF0000"/>
          <w:sz w:val="21"/>
          <w:szCs w:val="21"/>
        </w:rPr>
        <w:t>《深圳经济特区政府采购条例》第五十七条</w:t>
      </w:r>
      <w:r>
        <w:rPr>
          <w:rFonts w:hint="eastAsia" w:ascii="宋体" w:hAnsi="宋体" w:eastAsia="宋体" w:cs="宋体"/>
          <w:color w:val="FF0000"/>
          <w:sz w:val="21"/>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（一）在采购活动中应当回避而未回避的；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（二）未按本条例规定签订、履行采购合同，造成严重后果的；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（三）隐瞒真实情况，提供虚假资料的；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（四）以非法手段排斥其他供应商参与竞争的；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（五）与其他采购参加人串通投标的；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（六）恶意投诉的；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（七）向采购项目相关人行贿或者提供其他不当利益的；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（八）阻碍、抗拒主管部门监督检查的；</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（九）其他违反本条例规定的行为。</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二、《深圳经济特区政府采购条例实施细则》第七十五条</w:t>
      </w:r>
      <w:r>
        <w:rPr>
          <w:rFonts w:hint="eastAsia" w:ascii="宋体" w:hAnsi="宋体" w:eastAsia="宋体" w:cs="宋体"/>
          <w:b/>
          <w:bCs/>
          <w:color w:val="FF0000"/>
          <w:sz w:val="21"/>
          <w:szCs w:val="21"/>
          <w:lang w:val="en-US" w:eastAsia="zh-CN"/>
        </w:rPr>
        <w:t xml:space="preserve"> </w:t>
      </w:r>
      <w:r>
        <w:rPr>
          <w:rFonts w:hint="eastAsia" w:ascii="宋体" w:hAnsi="宋体" w:eastAsia="宋体" w:cs="宋体"/>
          <w:color w:val="FF0000"/>
          <w:sz w:val="21"/>
          <w:szCs w:val="21"/>
        </w:rPr>
        <w:t>供应商有下列情形</w:t>
      </w:r>
      <w:r>
        <w:rPr>
          <w:rFonts w:hint="eastAsia" w:ascii="宋体" w:hAnsi="宋体" w:eastAsia="宋体" w:cs="宋体"/>
          <w:color w:val="FF0000"/>
          <w:sz w:val="21"/>
          <w:szCs w:val="21"/>
          <w:lang w:val="en-US" w:eastAsia="zh-CN"/>
        </w:rPr>
        <w:t>之一</w:t>
      </w:r>
      <w:r>
        <w:rPr>
          <w:rFonts w:hint="eastAsia" w:ascii="宋体" w:hAnsi="宋体" w:eastAsia="宋体" w:cs="宋体"/>
          <w:color w:val="FF0000"/>
          <w:sz w:val="21"/>
          <w:szCs w:val="21"/>
        </w:rPr>
        <w:t>的，属于采购条例所称的串通投标行为，按照采购条例第五十七条有关规定处理：（一）投标供应商之间相互约定给予未中标的供应商利益补偿</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（二）不同投标供应商的法定代表人、主要经营负责人、项目投标授权代表人、项目负责人、主要技术人员为同一人、属同一单位或者在同一单位缴纳社会保险</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（三）不同投标供应商的投标文件由同一单位或者同一人编制，或者由同一人分阶段参与编制的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（四）不同投标供应商的投标文件或部分投标文件相互混装</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（五）不同投标供应商的投标文件内容存在非正常一致</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（六）由同一单位工作人员为两家以上（含两家）供应商进行同一项投标活动的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（七）主管部门依照法律、法规认定的其他情形。</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三、《深圳经济特区政府采购条例实施细则》第七十七条</w:t>
      </w:r>
      <w:r>
        <w:rPr>
          <w:rFonts w:hint="eastAsia" w:ascii="宋体" w:hAnsi="宋体" w:eastAsia="宋体" w:cs="宋体"/>
          <w:b/>
          <w:bCs/>
          <w:color w:val="FF0000"/>
          <w:sz w:val="21"/>
          <w:szCs w:val="21"/>
          <w:lang w:val="en-US" w:eastAsia="zh-CN"/>
        </w:rPr>
        <w:t xml:space="preserve"> </w:t>
      </w:r>
      <w:r>
        <w:rPr>
          <w:rFonts w:hint="eastAsia" w:ascii="宋体" w:hAnsi="宋体" w:eastAsia="宋体" w:cs="宋体"/>
          <w:color w:val="FF0000"/>
          <w:sz w:val="21"/>
          <w:szCs w:val="21"/>
        </w:rPr>
        <w:t>供应商有下列情形之一的，属于隐瞒真实情况，提供虚假资料，按照采购条例第五十七</w:t>
      </w:r>
      <w:r>
        <w:rPr>
          <w:rFonts w:hint="eastAsia" w:ascii="宋体" w:hAnsi="宋体" w:eastAsia="宋体" w:cs="宋体"/>
          <w:color w:val="FF0000"/>
          <w:sz w:val="21"/>
          <w:szCs w:val="21"/>
          <w:lang w:val="en-US" w:eastAsia="zh-CN"/>
        </w:rPr>
        <w:t>条</w:t>
      </w:r>
      <w:r>
        <w:rPr>
          <w:rFonts w:hint="eastAsia" w:ascii="宋体" w:hAnsi="宋体" w:eastAsia="宋体" w:cs="宋体"/>
          <w:color w:val="FF0000"/>
          <w:sz w:val="21"/>
          <w:szCs w:val="21"/>
        </w:rPr>
        <w:t>的有关规定处理：（一）通过转让或者租借等方式从其他单位获取资格或者资质证书投标的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（二）由其他单位或者其他单位负责人在投标供应商编制的投标文件上加盖印章或者签字的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（三）项目负责人或者主要技术人员不是本单位人员的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（四）投标保证金不是从投标供应商基本账户转出的</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（五）其他隐瞒真实情况、提供虚假资料的行为。</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sz w:val="21"/>
          <w:szCs w:val="21"/>
        </w:rPr>
      </w:pPr>
      <w:r>
        <w:rPr>
          <w:rFonts w:hint="eastAsia" w:ascii="宋体" w:hAnsi="宋体" w:eastAsia="宋体" w:cs="宋体"/>
          <w:color w:val="FF0000"/>
          <w:sz w:val="21"/>
          <w:szCs w:val="21"/>
        </w:rPr>
        <w:t>投标供应商不能提供项目负责人或者主要技术人员的劳动合同、社会保险等劳动关系证明材料的，视为存在前款第（三）项规定的情形。</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FF0000"/>
          <w:sz w:val="21"/>
          <w:szCs w:val="21"/>
          <w:lang w:val="en-US" w:eastAsia="zh-CN"/>
        </w:rPr>
      </w:pPr>
      <w:r>
        <w:rPr>
          <w:rFonts w:hint="eastAsia" w:ascii="宋体" w:hAnsi="宋体" w:eastAsia="宋体" w:cs="宋体"/>
          <w:b w:val="0"/>
          <w:bCs/>
          <w:color w:val="FF0000"/>
          <w:sz w:val="21"/>
          <w:szCs w:val="21"/>
          <w:lang w:val="en-US" w:eastAsia="zh-CN"/>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FF0000"/>
          <w:sz w:val="21"/>
          <w:szCs w:val="21"/>
          <w:lang w:val="en-US" w:eastAsia="zh-CN"/>
        </w:rPr>
      </w:pPr>
      <w:r>
        <w:rPr>
          <w:rFonts w:hint="eastAsia" w:ascii="宋体" w:hAnsi="宋体" w:eastAsia="宋体" w:cs="宋体"/>
          <w:b w:val="0"/>
          <w:bCs/>
          <w:color w:val="FF0000"/>
          <w:sz w:val="21"/>
          <w:szCs w:val="21"/>
          <w:lang w:val="en-US" w:eastAsia="zh-CN"/>
        </w:rPr>
        <w:t>为避免出现不同供应商投标文件的文件制作机器码、文件创建标识码、IP地址一致的异常情况，建议各供应商编制、上传投标文件时不要使用公共电脑设备或公共网络。</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0" w:firstLineChars="200"/>
        <w:textAlignment w:val="auto"/>
        <w:rPr>
          <w:rFonts w:hint="eastAsia" w:ascii="宋体" w:hAnsi="宋体" w:eastAsia="宋体" w:cs="宋体"/>
          <w:b w:val="0"/>
          <w:bCs/>
          <w:color w:val="FF0000"/>
          <w:sz w:val="21"/>
          <w:szCs w:val="21"/>
          <w:lang w:val="en-US" w:eastAsia="zh-CN"/>
        </w:rPr>
      </w:pPr>
      <w:r>
        <w:rPr>
          <w:rFonts w:hint="eastAsia" w:ascii="宋体" w:hAnsi="宋体" w:eastAsia="宋体" w:cs="宋体"/>
          <w:b w:val="0"/>
          <w:bCs/>
          <w:color w:val="FF0000"/>
          <w:sz w:val="21"/>
          <w:szCs w:val="21"/>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eastAsia="宋体" w:cs="宋体"/>
          <w:color w:val="FF0000"/>
          <w:sz w:val="21"/>
          <w:szCs w:val="21"/>
        </w:rPr>
        <w:t>取消参与本市政府采购资格</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rPr>
        <w:t>依法吊销其营业</w:t>
      </w:r>
      <w:r>
        <w:rPr>
          <w:rFonts w:hint="eastAsia" w:ascii="宋体" w:hAnsi="宋体" w:eastAsia="宋体" w:cs="宋体"/>
          <w:color w:val="FF0000"/>
          <w:sz w:val="21"/>
          <w:szCs w:val="21"/>
          <w:lang w:val="en-US" w:eastAsia="zh-CN"/>
        </w:rPr>
        <w:t>执照等行政处罚，</w:t>
      </w:r>
      <w:r>
        <w:rPr>
          <w:rFonts w:hint="eastAsia" w:ascii="宋体" w:hAnsi="宋体" w:eastAsia="宋体" w:cs="宋体"/>
          <w:color w:val="FF0000"/>
          <w:sz w:val="21"/>
          <w:szCs w:val="21"/>
        </w:rPr>
        <w:t>构成犯罪的，依法追究刑事责任</w:t>
      </w:r>
      <w:r>
        <w:rPr>
          <w:rFonts w:hint="eastAsia" w:ascii="宋体" w:hAnsi="宋体" w:eastAsia="宋体" w:cs="宋体"/>
          <w:b w:val="0"/>
          <w:bCs/>
          <w:color w:val="FF0000"/>
          <w:sz w:val="21"/>
          <w:szCs w:val="21"/>
          <w:lang w:val="en-US" w:eastAsia="zh-CN"/>
        </w:rPr>
        <w:t>，请各供应商独立编制、上传投标文件，妥善保管和使用电子秘钥。</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ascii="宋体" w:hAnsi="宋体" w:eastAsia="宋体" w:cs="宋体"/>
          <w:b/>
          <w:color w:val="FF0000"/>
          <w:sz w:val="21"/>
          <w:szCs w:val="21"/>
          <w:lang w:val="en-US" w:eastAsia="zh-CN"/>
        </w:rPr>
      </w:pPr>
      <w:r>
        <w:rPr>
          <w:rFonts w:hint="eastAsia" w:ascii="宋体" w:hAnsi="宋体" w:eastAsia="宋体" w:cs="宋体"/>
          <w:b/>
          <w:color w:val="FF0000"/>
          <w:sz w:val="21"/>
          <w:szCs w:val="21"/>
          <w:lang w:val="en-US" w:eastAsia="zh-CN"/>
        </w:rPr>
        <w:t>五、</w:t>
      </w:r>
      <w:r>
        <w:rPr>
          <w:rFonts w:hint="eastAsia" w:ascii="宋体" w:hAnsi="宋体" w:eastAsia="宋体" w:cs="宋体"/>
          <w:b/>
          <w:color w:val="FF0000"/>
          <w:sz w:val="21"/>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ascii="宋体" w:hAnsi="宋体" w:eastAsia="宋体" w:cs="宋体"/>
          <w:b/>
          <w:color w:val="FF0000"/>
          <w:sz w:val="21"/>
          <w:szCs w:val="21"/>
          <w:lang w:eastAsia="zh-CN"/>
        </w:rPr>
        <w:t>。</w:t>
      </w:r>
    </w:p>
    <w:p>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ascii="宋体" w:hAnsi="宋体" w:eastAsia="宋体" w:cs="宋体"/>
          <w:b/>
          <w:color w:val="FF0000"/>
          <w:sz w:val="21"/>
          <w:szCs w:val="21"/>
          <w:lang w:val="en-US" w:eastAsia="zh-CN"/>
        </w:rPr>
      </w:pPr>
    </w:p>
    <w:p>
      <w:pPr>
        <w:keepNext w:val="0"/>
        <w:keepLines w:val="0"/>
        <w:pageBreakBefore w:val="0"/>
        <w:numPr>
          <w:ilvl w:val="-1"/>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textAlignment w:val="auto"/>
        <w:rPr>
          <w:rFonts w:hint="eastAsia" w:ascii="宋体" w:hAnsi="宋体" w:eastAsia="宋体" w:cs="宋体"/>
          <w:b/>
          <w:color w:val="FF0000"/>
          <w:sz w:val="21"/>
          <w:szCs w:val="21"/>
          <w:highlight w:val="yellow"/>
        </w:rPr>
      </w:pPr>
      <w:r>
        <w:rPr>
          <w:rFonts w:hint="eastAsia" w:ascii="宋体" w:hAnsi="宋体" w:eastAsia="宋体" w:cs="宋体"/>
          <w:b/>
          <w:color w:val="FF0000"/>
          <w:sz w:val="21"/>
          <w:szCs w:val="21"/>
          <w:lang w:val="en-US" w:eastAsia="zh-CN"/>
        </w:rPr>
        <w:t>六</w:t>
      </w:r>
      <w:r>
        <w:rPr>
          <w:rFonts w:hint="eastAsia" w:ascii="宋体" w:hAnsi="宋体" w:eastAsia="宋体" w:cs="宋体"/>
          <w:b/>
          <w:color w:val="FF0000"/>
          <w:sz w:val="21"/>
          <w:szCs w:val="21"/>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pPr>
        <w:pStyle w:val="202"/>
        <w:rPr>
          <w:rFonts w:hint="eastAsia" w:ascii="宋体" w:hAnsi="宋体" w:eastAsia="宋体" w:cs="宋体"/>
          <w:sz w:val="21"/>
          <w:szCs w:val="21"/>
          <w:lang w:val="en-US" w:eastAsia="zh-CN"/>
        </w:rPr>
      </w:pPr>
    </w:p>
    <w:p>
      <w:pPr>
        <w:pStyle w:val="37"/>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22" w:firstLineChars="200"/>
        <w:jc w:val="both"/>
        <w:textAlignment w:val="auto"/>
        <w:outlineLvl w:val="9"/>
        <w:rPr>
          <w:rFonts w:hint="eastAsia" w:ascii="宋体" w:hAnsi="宋体" w:eastAsia="宋体" w:cs="宋体"/>
          <w:b/>
          <w:color w:val="FF0000"/>
          <w:kern w:val="2"/>
          <w:sz w:val="21"/>
          <w:szCs w:val="21"/>
          <w:lang w:val="en-US" w:eastAsia="zh-CN" w:bidi="ar-SA"/>
        </w:rPr>
      </w:pPr>
      <w:r>
        <w:rPr>
          <w:rFonts w:hint="eastAsia" w:ascii="宋体" w:hAnsi="宋体" w:eastAsia="宋体" w:cs="宋体"/>
          <w:b/>
          <w:color w:val="FF0000"/>
          <w:kern w:val="2"/>
          <w:sz w:val="21"/>
          <w:szCs w:val="21"/>
          <w:lang w:val="en-US" w:eastAsia="zh-CN" w:bidi="ar-SA"/>
        </w:rPr>
        <w:t>注：“特别警示条款”和《政府采购违法行为风险知悉确认书》用于对供应商违法行为的提醒，不作为供应商资格性审查及符合性审查条件。</w:t>
      </w:r>
    </w:p>
    <w:p>
      <w:pPr>
        <w:pStyle w:val="2"/>
        <w:rPr>
          <w:rFonts w:hint="eastAsia"/>
        </w:rPr>
        <w:sectPr>
          <w:headerReference r:id="rId3" w:type="first"/>
          <w:footerReference r:id="rId4" w:type="default"/>
          <w:pgSz w:w="11907" w:h="16840"/>
          <w:pgMar w:top="1440" w:right="1417" w:bottom="1440" w:left="1417" w:header="851" w:footer="992" w:gutter="0"/>
          <w:cols w:space="425" w:num="1"/>
          <w:titlePg/>
          <w:docGrid w:linePitch="462" w:charSpace="0"/>
        </w:sectPr>
      </w:pPr>
    </w:p>
    <w:p>
      <w:pPr>
        <w:keepNext w:val="0"/>
        <w:keepLines w:val="0"/>
        <w:pageBreakBefore w:val="0"/>
        <w:widowControl/>
        <w:kinsoku/>
        <w:wordWrap/>
        <w:overflowPunct/>
        <w:topLinePunct w:val="0"/>
        <w:autoSpaceDE/>
        <w:autoSpaceDN/>
        <w:bidi w:val="0"/>
        <w:adjustRightInd/>
        <w:snapToGrid/>
        <w:spacing w:beforeAutospacing="1" w:afterAutospacing="1"/>
        <w:jc w:val="center"/>
        <w:textAlignment w:val="auto"/>
        <w:outlineLvl w:val="9"/>
        <w:rPr>
          <w:rFonts w:hint="eastAsia" w:ascii="黑体" w:hAnsi="宋体" w:eastAsia="黑体" w:cs="黑体"/>
          <w:kern w:val="0"/>
          <w:sz w:val="40"/>
          <w:szCs w:val="40"/>
        </w:rPr>
      </w:pPr>
    </w:p>
    <w:p>
      <w:pPr>
        <w:keepNext w:val="0"/>
        <w:keepLines w:val="0"/>
        <w:pageBreakBefore w:val="0"/>
        <w:widowControl/>
        <w:kinsoku/>
        <w:wordWrap/>
        <w:overflowPunct/>
        <w:topLinePunct w:val="0"/>
        <w:autoSpaceDE/>
        <w:autoSpaceDN/>
        <w:bidi w:val="0"/>
        <w:adjustRightInd/>
        <w:snapToGrid/>
        <w:spacing w:beforeAutospacing="1" w:afterAutospacing="1"/>
        <w:jc w:val="center"/>
        <w:textAlignment w:val="auto"/>
        <w:outlineLvl w:val="9"/>
        <w:rPr>
          <w:rFonts w:hint="eastAsia" w:ascii="黑体" w:hAnsi="宋体" w:eastAsia="黑体" w:cs="黑体"/>
          <w:kern w:val="0"/>
          <w:sz w:val="40"/>
          <w:szCs w:val="40"/>
        </w:rPr>
      </w:pPr>
    </w:p>
    <w:p>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项目编号：</w:t>
            </w:r>
          </w:p>
        </w:tc>
        <w:tc>
          <w:tcPr>
            <w:tcW w:w="5220" w:type="dxa"/>
            <w:shd w:val="clear" w:color="auto" w:fill="auto"/>
            <w:vAlign w:val="center"/>
          </w:tcPr>
          <w:p>
            <w:pPr>
              <w:widowControl/>
              <w:jc w:val="left"/>
              <w:rPr>
                <w:sz w:val="30"/>
                <w:szCs w:val="30"/>
              </w:rPr>
            </w:pPr>
            <w:r>
              <w:rPr>
                <w:rFonts w:hint="eastAsia"/>
                <w:sz w:val="30"/>
                <w:szCs w:val="30"/>
              </w:rPr>
              <w:t>LHACG2026000111</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项目名称：</w:t>
            </w:r>
          </w:p>
        </w:tc>
        <w:tc>
          <w:tcPr>
            <w:tcW w:w="5220" w:type="dxa"/>
            <w:shd w:val="clear" w:color="auto" w:fill="auto"/>
            <w:vAlign w:val="center"/>
          </w:tcPr>
          <w:p>
            <w:pPr>
              <w:widowControl/>
              <w:jc w:val="left"/>
              <w:rPr>
                <w:sz w:val="30"/>
                <w:szCs w:val="30"/>
              </w:rPr>
            </w:pPr>
            <w:r>
              <w:rPr>
                <w:rFonts w:hint="eastAsia"/>
                <w:sz w:val="30"/>
                <w:szCs w:val="30"/>
              </w:rPr>
              <w:t>深圳市龙华区教育局（本级）2026年9月各公办学校及幼儿园教职工食材配送集中批量采购</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包 号：</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A</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项目类型：</w:t>
            </w:r>
          </w:p>
        </w:tc>
        <w:tc>
          <w:tcPr>
            <w:tcW w:w="5220" w:type="dxa"/>
            <w:shd w:val="clear" w:color="auto" w:fill="auto"/>
            <w:vAlign w:val="center"/>
          </w:tcPr>
          <w:p>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采购方式：</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公开招标</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货币类型：</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人民币</w:t>
            </w:r>
          </w:p>
        </w:tc>
      </w:tr>
      <w:tr>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pPr>
              <w:widowControl/>
              <w:jc w:val="right"/>
              <w:rPr>
                <w:sz w:val="30"/>
                <w:szCs w:val="30"/>
              </w:rPr>
            </w:pPr>
            <w:r>
              <w:rPr>
                <w:rFonts w:ascii="宋体" w:hAnsi="宋体" w:cs="宋体"/>
                <w:kern w:val="0"/>
                <w:sz w:val="30"/>
                <w:szCs w:val="30"/>
                <w:lang w:bidi="ar"/>
              </w:rPr>
              <w:t>评标方法：</w:t>
            </w:r>
          </w:p>
        </w:tc>
        <w:tc>
          <w:tcPr>
            <w:tcW w:w="5220" w:type="dxa"/>
            <w:shd w:val="clear" w:color="auto" w:fill="auto"/>
            <w:vAlign w:val="center"/>
          </w:tcPr>
          <w:p>
            <w:pPr>
              <w:widowControl/>
              <w:jc w:val="left"/>
              <w:rPr>
                <w:sz w:val="30"/>
                <w:szCs w:val="30"/>
              </w:rPr>
            </w:pPr>
            <w:r>
              <w:rPr>
                <w:rFonts w:ascii="宋体" w:hAnsi="宋体" w:cs="宋体"/>
                <w:kern w:val="0"/>
                <w:sz w:val="30"/>
                <w:szCs w:val="30"/>
                <w:lang w:bidi="ar"/>
              </w:rPr>
              <w:t>综合评分法</w:t>
            </w:r>
          </w:p>
        </w:tc>
      </w:tr>
    </w:tbl>
    <w:p>
      <w:pPr>
        <w:pStyle w:val="37"/>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sz w:val="40"/>
          <w:szCs w:val="40"/>
        </w:rPr>
      </w:pPr>
    </w:p>
    <w:p>
      <w:pPr>
        <w:pStyle w:val="37"/>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hint="eastAsia" w:ascii="宋体" w:hAnsi="宋体" w:eastAsia="宋体" w:cs="宋体"/>
                <w:sz w:val="28"/>
                <w:szCs w:val="28"/>
              </w:rPr>
            </w:pPr>
            <w:r>
              <w:rPr>
                <w:rFonts w:hint="eastAsia" w:ascii="宋体" w:hAnsi="宋体" w:eastAsia="宋体" w:cs="宋体"/>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hint="eastAsia" w:ascii="宋体" w:hAnsi="宋体" w:eastAsia="宋体" w:cs="宋体"/>
                <w:sz w:val="28"/>
                <w:szCs w:val="28"/>
              </w:rPr>
            </w:pPr>
            <w:r>
              <w:rPr>
                <w:rFonts w:hint="eastAsia" w:ascii="宋体" w:hAnsi="宋体" w:eastAsia="宋体" w:cs="宋体"/>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kern w:val="0"/>
                <w:szCs w:val="21"/>
                <w:lang w:bidi="ar"/>
              </w:rPr>
              <w:t>投标人不符合资格要求，或未提交相应的资格证明资料（详见招标公告</w:t>
            </w:r>
            <w:r>
              <w:rPr>
                <w:rFonts w:hint="eastAsia" w:ascii="宋体" w:hAnsi="宋体" w:eastAsia="宋体" w:cs="宋体"/>
                <w:szCs w:val="21"/>
              </w:rPr>
              <w:t>投标人资格要求，即申请人的资格要求</w:t>
            </w:r>
            <w:r>
              <w:rPr>
                <w:rFonts w:hint="eastAsia" w:ascii="宋体" w:hAnsi="宋体" w:eastAsia="宋体" w:cs="宋体"/>
                <w:kern w:val="0"/>
                <w:szCs w:val="21"/>
                <w:lang w:bidi="ar"/>
              </w:rPr>
              <w:t>）</w:t>
            </w:r>
          </w:p>
        </w:tc>
      </w:tr>
    </w:tbl>
    <w:p>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hint="eastAsia" w:ascii="宋体" w:hAnsi="宋体" w:eastAsia="宋体" w:cs="宋体"/>
                <w:sz w:val="28"/>
                <w:szCs w:val="28"/>
              </w:rPr>
            </w:pPr>
            <w:r>
              <w:rPr>
                <w:rFonts w:hint="eastAsia" w:ascii="宋体" w:hAnsi="宋体" w:eastAsia="宋体" w:cs="宋体"/>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hint="eastAsia" w:ascii="宋体" w:hAnsi="宋体" w:eastAsia="宋体" w:cs="宋体"/>
                <w:sz w:val="28"/>
                <w:szCs w:val="28"/>
              </w:rPr>
            </w:pPr>
            <w:r>
              <w:rPr>
                <w:rFonts w:hint="eastAsia" w:ascii="宋体" w:hAnsi="宋体" w:eastAsia="宋体" w:cs="宋体"/>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lang w:val="en-US" w:eastAsia="zh-CN"/>
              </w:rPr>
              <w:t>不得</w:t>
            </w:r>
            <w:r>
              <w:rPr>
                <w:rFonts w:hint="eastAsia" w:ascii="宋体" w:hAnsi="宋体" w:eastAsia="宋体" w:cs="宋体"/>
              </w:rPr>
              <w:t>将一个包的内容拆开投标；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对同一项目投标时，</w:t>
            </w:r>
            <w:r>
              <w:rPr>
                <w:rFonts w:hint="eastAsia" w:ascii="宋体" w:hAnsi="宋体" w:eastAsia="宋体" w:cs="宋体"/>
                <w:lang w:val="en-US" w:eastAsia="zh-CN"/>
              </w:rPr>
              <w:t>不得</w:t>
            </w:r>
            <w:r>
              <w:rPr>
                <w:rFonts w:hint="eastAsia" w:ascii="宋体" w:hAnsi="宋体" w:eastAsia="宋体" w:cs="宋体"/>
              </w:rPr>
              <w:t>提供两套以上的投标方案（招标文件另有规定的除外）；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“折扣率”不满足“0&lt;折扣率≤1”公式要求的；“折扣率”缺填、漏填或者填报了两个及以上“折扣率”；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Cs w:val="21"/>
              </w:rPr>
            </w:pPr>
            <w:r>
              <w:rPr>
                <w:rFonts w:hint="eastAsia" w:ascii="宋体" w:hAnsi="宋体" w:eastAsia="宋体" w:cs="宋体"/>
                <w:kern w:val="0"/>
                <w:sz w:val="21"/>
                <w:szCs w:val="21"/>
                <w:lang w:bidi="ar"/>
              </w:rPr>
              <w:t>4</w:t>
            </w:r>
          </w:p>
        </w:tc>
        <w:tc>
          <w:tcPr>
            <w:tcW w:w="8278"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评审中出现下列情形之一的，评审委员会应当启动异常低价投标（响应）审查程序：</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1.投标（响应）报价低于全部通过符合性审查供应商投标（响应）报价平均值50%的，即投标（响应）报价&lt;全部通过符合性审查供应商投标（响应）报价平均值×50%；</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2.投标（响应）报价低于通过符合性审查的次低报价供应商投标（响应）报价50%的，即投标（响应）报价&lt;通过符合性审查的次低报价供应商投标（响应）报价×50%；</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3.投标（响应）报价低于采购项目最高限价45%的，即投标（响应）报价&lt;采购项目最高限价×45%；</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4.评审委员会基于专业判断，认为供应商报价过低，有可能影响产品质量或者不能诚信履约的其他情形。</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Cs w:val="21"/>
              </w:rPr>
            </w:pPr>
            <w:r>
              <w:rPr>
                <w:rFonts w:hint="eastAsia" w:ascii="宋体" w:hAnsi="宋体" w:eastAsia="宋体" w:cs="宋体"/>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5</w:t>
            </w:r>
          </w:p>
        </w:tc>
        <w:tc>
          <w:tcPr>
            <w:tcW w:w="8278" w:type="dxa"/>
            <w:tcBorders>
              <w:top w:val="single" w:color="000000" w:sz="8" w:space="0"/>
              <w:left w:val="single" w:color="000000" w:sz="8" w:space="0"/>
              <w:bottom w:val="single" w:color="000000" w:sz="8" w:space="0"/>
              <w:right w:val="single" w:color="000000" w:sz="8" w:space="0"/>
            </w:tcBorders>
            <w:vAlign w:val="top"/>
          </w:tcPr>
          <w:p>
            <w:pPr>
              <w:rPr>
                <w:rFonts w:hint="eastAsia" w:ascii="宋体" w:hAnsi="宋体" w:eastAsia="宋体" w:cs="宋体"/>
                <w:szCs w:val="21"/>
              </w:rPr>
            </w:pPr>
            <w:r>
              <w:rPr>
                <w:rFonts w:hint="eastAsia" w:ascii="宋体" w:hAnsi="宋体" w:eastAsia="宋体" w:cs="宋体"/>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未按招标文件所提供的样式填写《投标函》；未按招标文件所提供的《政府采购投标及履约承诺函》进行承诺；未按招标文件对投标文件组成的要求提供投标文件；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color w:val="auto"/>
                <w:lang w:val="en-US" w:eastAsia="zh-CN"/>
              </w:rPr>
              <w:t>采购标的/服务清单/报价等任意一类有缺漏项或响应不全，</w:t>
            </w:r>
            <w:r>
              <w:rPr>
                <w:rFonts w:hint="eastAsia" w:ascii="宋体" w:hAnsi="宋体" w:eastAsia="宋体" w:cs="宋体"/>
              </w:rPr>
              <w:t>或者对招标文件规定的项目需求内容或者需求数量进行修改</w:t>
            </w:r>
            <w:r>
              <w:rPr>
                <w:rFonts w:hint="eastAsia" w:ascii="宋体" w:hAnsi="宋体" w:eastAsia="宋体" w:cs="宋体"/>
                <w:szCs w:val="21"/>
              </w:rPr>
              <w:t>，评审委员会判定投标响应不满足采购需求</w:t>
            </w:r>
            <w:r>
              <w:rPr>
                <w:rFonts w:hint="eastAsia" w:ascii="宋体" w:hAnsi="宋体" w:eastAsia="宋体" w:cs="宋体"/>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投标文件存在列放位置错误，导致属于信息公开情形的没有被公开；</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rPr>
            </w:pPr>
            <w:r>
              <w:rPr>
                <w:rFonts w:hint="eastAsia" w:ascii="宋体" w:hAnsi="宋体" w:eastAsia="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投标文件电子文档</w:t>
            </w:r>
            <w:r>
              <w:rPr>
                <w:rFonts w:hint="eastAsia" w:ascii="宋体" w:hAnsi="宋体" w:eastAsia="宋体" w:cs="宋体"/>
                <w:lang w:val="en-US" w:eastAsia="zh-CN"/>
              </w:rPr>
              <w:t>不得</w:t>
            </w:r>
            <w:r>
              <w:rPr>
                <w:rFonts w:hint="eastAsia" w:ascii="宋体" w:hAnsi="宋体" w:eastAsia="宋体" w:cs="宋体"/>
              </w:rPr>
              <w:t>带病毒；</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pPr>
              <w:jc w:val="center"/>
              <w:rPr>
                <w:rFonts w:hint="eastAsia" w:ascii="宋体" w:hAnsi="宋体" w:eastAsia="宋体" w:cs="宋体"/>
                <w:szCs w:val="21"/>
              </w:rPr>
            </w:pPr>
            <w:r>
              <w:rPr>
                <w:rFonts w:hint="eastAsia" w:ascii="宋体" w:hAnsi="宋体" w:eastAsia="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vAlign w:val="top"/>
          </w:tcPr>
          <w:p>
            <w:pPr>
              <w:rPr>
                <w:rFonts w:hint="eastAsia" w:ascii="宋体" w:hAnsi="宋体" w:eastAsia="宋体" w:cs="宋体"/>
                <w:szCs w:val="21"/>
              </w:rPr>
            </w:pPr>
            <w:r>
              <w:rPr>
                <w:rFonts w:hint="eastAsia" w:ascii="宋体" w:hAnsi="宋体" w:eastAsia="宋体" w:cs="宋体"/>
              </w:rPr>
              <w:t>投标文件</w:t>
            </w:r>
            <w:r>
              <w:rPr>
                <w:rFonts w:hint="eastAsia" w:ascii="宋体" w:hAnsi="宋体" w:eastAsia="宋体" w:cs="宋体"/>
                <w:lang w:val="en-US" w:eastAsia="zh-CN"/>
              </w:rPr>
              <w:t>不得</w:t>
            </w:r>
            <w:r>
              <w:rPr>
                <w:rFonts w:hint="eastAsia" w:ascii="宋体" w:hAnsi="宋体" w:eastAsia="宋体" w:cs="宋体"/>
              </w:rPr>
              <w:t>用不属于本公司的电子密钥或电子营业执照进行加密；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pPr>
              <w:widowControl/>
              <w:jc w:val="center"/>
              <w:textAlignment w:val="top"/>
              <w:rPr>
                <w:rFonts w:hint="eastAsia" w:ascii="宋体" w:hAnsi="宋体" w:eastAsia="宋体" w:cs="宋体"/>
                <w:szCs w:val="21"/>
              </w:rPr>
            </w:pPr>
            <w:r>
              <w:rPr>
                <w:rFonts w:hint="eastAsia" w:ascii="宋体" w:hAnsi="宋体" w:eastAsia="宋体" w:cs="宋体"/>
                <w:szCs w:val="24"/>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vAlign w:val="top"/>
          </w:tcPr>
          <w:p>
            <w:pPr>
              <w:widowControl/>
              <w:jc w:val="left"/>
              <w:textAlignment w:val="top"/>
              <w:rPr>
                <w:rFonts w:hint="eastAsia" w:ascii="宋体" w:hAnsi="宋体" w:eastAsia="宋体" w:cs="宋体"/>
              </w:rPr>
            </w:pPr>
            <w:r>
              <w:rPr>
                <w:rFonts w:hint="eastAsia" w:ascii="宋体" w:hAnsi="宋体" w:eastAsia="宋体" w:cs="宋体"/>
                <w:sz w:val="21"/>
                <w:szCs w:val="24"/>
                <w:lang w:val="en-US" w:eastAsia="zh-CN"/>
              </w:rPr>
              <w:t>不得与其他</w:t>
            </w:r>
            <w:r>
              <w:rPr>
                <w:rFonts w:hint="eastAsia" w:ascii="宋体" w:hAnsi="宋体" w:eastAsia="宋体" w:cs="宋体"/>
                <w:sz w:val="21"/>
                <w:szCs w:val="24"/>
              </w:rPr>
              <w:t>投标供应商投标文件“文件制作机器码”一致</w:t>
            </w:r>
            <w:r>
              <w:rPr>
                <w:rFonts w:hint="eastAsia" w:ascii="宋体" w:hAnsi="宋体" w:eastAsia="宋体" w:cs="宋体"/>
                <w:sz w:val="21"/>
                <w:szCs w:val="24"/>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pPr>
              <w:widowControl/>
              <w:jc w:val="center"/>
              <w:textAlignment w:val="top"/>
              <w:rPr>
                <w:rFonts w:hint="eastAsia" w:ascii="宋体" w:hAnsi="宋体" w:eastAsia="宋体" w:cs="宋体"/>
                <w:szCs w:val="21"/>
              </w:rPr>
            </w:pPr>
            <w:r>
              <w:rPr>
                <w:rFonts w:hint="eastAsia" w:ascii="宋体" w:hAnsi="宋体" w:eastAsia="宋体" w:cs="宋体"/>
                <w:szCs w:val="24"/>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pPr>
              <w:widowControl/>
              <w:jc w:val="left"/>
              <w:textAlignment w:val="top"/>
              <w:rPr>
                <w:rFonts w:hint="eastAsia" w:ascii="宋体" w:hAnsi="宋体" w:eastAsia="宋体" w:cs="宋体"/>
              </w:rPr>
            </w:pPr>
            <w:r>
              <w:rPr>
                <w:rFonts w:hint="eastAsia" w:ascii="宋体" w:hAnsi="宋体" w:eastAsia="宋体" w:cs="宋体"/>
                <w:sz w:val="21"/>
                <w:szCs w:val="24"/>
                <w:lang w:val="en-US" w:eastAsia="zh-CN"/>
              </w:rPr>
              <w:t>不得与其他</w:t>
            </w:r>
            <w:r>
              <w:rPr>
                <w:rFonts w:hint="eastAsia" w:ascii="宋体" w:hAnsi="宋体" w:eastAsia="宋体" w:cs="宋体"/>
                <w:sz w:val="21"/>
                <w:szCs w:val="24"/>
              </w:rPr>
              <w:t>投标供应商投标文件“文件创建标识码”一致</w:t>
            </w:r>
            <w:r>
              <w:rPr>
                <w:rFonts w:hint="eastAsia" w:ascii="宋体" w:hAnsi="宋体" w:eastAsia="宋体" w:cs="宋体"/>
                <w:sz w:val="21"/>
                <w:szCs w:val="24"/>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pPr>
              <w:jc w:val="center"/>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szCs w:val="21"/>
              </w:rPr>
            </w:pPr>
            <w:r>
              <w:rPr>
                <w:rFonts w:hint="eastAsia" w:ascii="宋体" w:hAnsi="宋体" w:eastAsia="宋体" w:cs="宋体"/>
              </w:rPr>
              <w:t>法律、法规、规章、规范性文件规定的其他情形。</w:t>
            </w:r>
          </w:p>
        </w:tc>
      </w:tr>
    </w:tbl>
    <w:p>
      <w:pPr>
        <w:pStyle w:val="37"/>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pPr>
              <w:widowControl/>
              <w:jc w:val="left"/>
              <w:rPr>
                <w:b/>
                <w:bCs/>
                <w:sz w:val="24"/>
              </w:rPr>
            </w:pPr>
            <w:r>
              <w:rPr>
                <w:b/>
                <w:bCs/>
              </w:rPr>
              <w:t>评标方法：</w:t>
            </w:r>
            <w:r>
              <w:rPr>
                <w:b/>
                <w:bCs/>
                <w:strike w:val="0"/>
                <w:dstrike w:val="0"/>
              </w:rPr>
              <w:t>综合评分法</w:t>
            </w:r>
          </w:p>
        </w:tc>
        <w:tc>
          <w:tcPr>
            <w:tcW w:w="240" w:type="dxa"/>
            <w:shd w:val="clear" w:color="auto" w:fill="auto"/>
            <w:vAlign w:val="center"/>
          </w:tcPr>
          <w:p>
            <w:pPr>
              <w:jc w:val="right"/>
              <w:rPr>
                <w:rFonts w:ascii="宋体"/>
                <w:b/>
                <w:bCs/>
                <w:sz w:val="24"/>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sz w:val="21"/>
                <w:szCs w:val="21"/>
              </w:rPr>
            </w:pPr>
            <w:r>
              <w:rPr>
                <w:sz w:val="21"/>
                <w:szCs w:val="21"/>
              </w:rPr>
              <w:t>综合评分法，是指</w:t>
            </w:r>
            <w:r>
              <w:rPr>
                <w:rFonts w:hint="eastAsia" w:ascii="Times New Roman" w:hAnsi="Times New Roman" w:eastAsia="宋体" w:cs="Times New Roman"/>
                <w:kern w:val="0"/>
                <w:sz w:val="21"/>
                <w:szCs w:val="21"/>
                <w:lang w:val="en-US" w:eastAsia="zh-CN" w:bidi="ar-SA"/>
              </w:rPr>
              <w:t>投标文件满足招标文件全部实质性要求</w:t>
            </w:r>
            <w:r>
              <w:rPr>
                <w:sz w:val="21"/>
                <w:szCs w:val="21"/>
              </w:rPr>
              <w:t>，且按照</w:t>
            </w:r>
            <w:r>
              <w:rPr>
                <w:rFonts w:hint="eastAsia" w:ascii="Times New Roman" w:eastAsia="宋体"/>
                <w:sz w:val="21"/>
                <w:szCs w:val="21"/>
                <w:lang w:val="en-US" w:eastAsia="zh-CN"/>
              </w:rPr>
              <w:t>招标文件规定的各项因素进行综合评审，评标总得分排名前列</w:t>
            </w:r>
            <w:r>
              <w:rPr>
                <w:sz w:val="21"/>
                <w:szCs w:val="21"/>
              </w:rPr>
              <w:t>的投标人为中标候选人的评标方法。</w:t>
            </w:r>
          </w:p>
          <w:p>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sz w:val="21"/>
                <w:szCs w:val="21"/>
              </w:rPr>
            </w:pPr>
            <w:r>
              <w:rPr>
                <w:sz w:val="21"/>
                <w:szCs w:val="21"/>
              </w:rPr>
              <w:t>价格分计算方法：</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r>
              <w:rPr>
                <w:rFonts w:ascii="Times New Roman" w:hAnsi="Times New Roman" w:eastAsia="宋体" w:cs="Times New Roman"/>
                <w:kern w:val="2"/>
                <w:sz w:val="21"/>
                <w:szCs w:val="21"/>
                <w:lang w:val="en-US" w:eastAsia="zh-CN" w:bidi="ar-SA"/>
              </w:rPr>
              <w:br w:type="textWrapping"/>
            </w:r>
            <w:r>
              <w:rPr>
                <w:rFonts w:ascii="Times New Roman" w:hAnsi="Times New Roman" w:eastAsia="宋体" w:cs="Times New Roman"/>
                <w:kern w:val="2"/>
                <w:sz w:val="21"/>
                <w:szCs w:val="21"/>
                <w:lang w:val="en-US" w:eastAsia="zh-CN" w:bidi="ar-SA"/>
              </w:rPr>
              <w:t xml:space="preserve">投标报价得分=(评标基准价／投标报价)×100 </w:t>
            </w:r>
            <w:r>
              <w:rPr>
                <w:rFonts w:ascii="Times New Roman" w:hAnsi="Times New Roman" w:eastAsia="宋体" w:cs="Times New Roman"/>
                <w:kern w:val="2"/>
                <w:sz w:val="21"/>
                <w:szCs w:val="21"/>
                <w:lang w:val="en-US" w:eastAsia="zh-CN" w:bidi="ar-SA"/>
              </w:rPr>
              <w:br w:type="textWrapping"/>
            </w:r>
            <w:r>
              <w:rPr>
                <w:rFonts w:ascii="Times New Roman" w:hAnsi="Times New Roman" w:eastAsia="宋体" w:cs="Times New Roman"/>
                <w:kern w:val="2"/>
                <w:sz w:val="21"/>
                <w:szCs w:val="21"/>
                <w:lang w:val="en-US" w:eastAsia="zh-CN" w:bidi="ar-SA"/>
              </w:rPr>
              <w:t xml:space="preserve">评标总得分＝F1×A1＋F2×A2＋……＋Fn×An </w:t>
            </w:r>
            <w:r>
              <w:rPr>
                <w:rFonts w:ascii="Times New Roman" w:hAnsi="Times New Roman" w:eastAsia="宋体" w:cs="Times New Roman"/>
                <w:kern w:val="2"/>
                <w:sz w:val="21"/>
                <w:szCs w:val="21"/>
                <w:lang w:val="en-US" w:eastAsia="zh-CN" w:bidi="ar-SA"/>
              </w:rPr>
              <w:br w:type="textWrapping"/>
            </w:r>
            <w:r>
              <w:rPr>
                <w:rFonts w:ascii="Times New Roman" w:hAnsi="Times New Roman" w:eastAsia="宋体" w:cs="Times New Roman"/>
                <w:kern w:val="2"/>
                <w:sz w:val="21"/>
                <w:szCs w:val="21"/>
                <w:lang w:val="en-US" w:eastAsia="zh-CN" w:bidi="ar-SA"/>
              </w:rPr>
              <w:t xml:space="preserve">F1、F2……Fn分别为各项评审因素的得分； </w:t>
            </w:r>
            <w:r>
              <w:rPr>
                <w:rFonts w:ascii="Times New Roman" w:hAnsi="Times New Roman" w:eastAsia="宋体" w:cs="Times New Roman"/>
                <w:kern w:val="2"/>
                <w:sz w:val="21"/>
                <w:szCs w:val="21"/>
                <w:lang w:val="en-US" w:eastAsia="zh-CN" w:bidi="ar-SA"/>
              </w:rPr>
              <w:br w:type="textWrapping"/>
            </w:r>
            <w:r>
              <w:rPr>
                <w:rFonts w:ascii="Times New Roman" w:hAnsi="Times New Roman" w:eastAsia="宋体" w:cs="Times New Roman"/>
                <w:kern w:val="2"/>
                <w:sz w:val="21"/>
                <w:szCs w:val="21"/>
                <w:lang w:val="en-US" w:eastAsia="zh-CN" w:bidi="ar-SA"/>
              </w:rPr>
              <w:t xml:space="preserve">A1、A2、……An 分别为各项评审因素所占的权重(A1＋A2＋……＋An＝1)。 </w:t>
            </w:r>
            <w:r>
              <w:rPr>
                <w:rFonts w:ascii="Times New Roman" w:hAnsi="Times New Roman" w:eastAsia="宋体" w:cs="Times New Roman"/>
                <w:kern w:val="2"/>
                <w:sz w:val="21"/>
                <w:szCs w:val="21"/>
                <w:lang w:val="en-US" w:eastAsia="zh-CN" w:bidi="ar-SA"/>
              </w:rPr>
              <w:br w:type="textWrapping"/>
            </w:r>
            <w:r>
              <w:rPr>
                <w:rFonts w:ascii="Times New Roman" w:hAnsi="Times New Roman" w:eastAsia="宋体" w:cs="Times New Roman"/>
                <w:kern w:val="2"/>
                <w:sz w:val="21"/>
                <w:szCs w:val="21"/>
                <w:lang w:val="en-US" w:eastAsia="zh-CN" w:bidi="ar-SA"/>
              </w:rPr>
              <w:t>评标过程中，不得去掉报价中的最高报价和最低报价。</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因落实政府采购政策进行价格调整的，以调整后的价格计算评标基准价和投标报价。</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0"/>
                <w:sz w:val="24"/>
                <w:szCs w:val="24"/>
                <w:lang w:val="en-US" w:eastAsia="zh-CN" w:bidi="ar-SA"/>
              </w:rPr>
            </w:pPr>
          </w:p>
        </w:tc>
      </w:tr>
    </w:tbl>
    <w:p>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835"/>
        <w:gridCol w:w="681"/>
        <w:gridCol w:w="419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sz w:val="24"/>
                <w:highlight w:val="none"/>
              </w:rPr>
            </w:pPr>
            <w:r>
              <w:rPr>
                <w:rFonts w:hint="eastAsia" w:ascii="宋体" w:hAnsi="宋体" w:eastAsia="宋体" w:cs="宋体"/>
                <w:b/>
                <w:bCs/>
                <w:highlight w:val="none"/>
              </w:rPr>
              <w:t>序号</w:t>
            </w:r>
          </w:p>
        </w:tc>
        <w:tc>
          <w:tcPr>
            <w:tcW w:w="4196"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sz w:val="24"/>
                <w:highlight w:val="none"/>
              </w:rPr>
            </w:pPr>
            <w:r>
              <w:rPr>
                <w:rFonts w:hint="eastAsia" w:ascii="宋体" w:hAnsi="宋体" w:eastAsia="宋体" w:cs="宋体"/>
                <w:b/>
                <w:bCs/>
                <w:highlight w:val="none"/>
              </w:rPr>
              <w:t>评分项</w:t>
            </w:r>
          </w:p>
        </w:tc>
        <w:tc>
          <w:tcPr>
            <w:tcW w:w="4196" w:type="dxa"/>
            <w:tcBorders>
              <w:top w:val="single" w:color="000000" w:sz="8" w:space="0"/>
              <w:left w:val="single" w:color="000000" w:sz="8" w:space="0"/>
              <w:bottom w:val="single" w:color="000000" w:sz="8" w:space="0"/>
              <w:right w:val="single" w:color="000000" w:sz="8"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sz w:val="24"/>
                <w:highlight w:val="none"/>
              </w:rPr>
            </w:pPr>
            <w:r>
              <w:rPr>
                <w:rFonts w:hint="eastAsia" w:ascii="宋体" w:hAnsi="宋体" w:eastAsia="宋体" w:cs="宋体"/>
                <w:b/>
                <w:bCs/>
                <w:highlight w:val="none"/>
              </w:rPr>
              <w:t>权重(%)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1</w:t>
            </w:r>
          </w:p>
        </w:tc>
        <w:tc>
          <w:tcPr>
            <w:tcW w:w="4196" w:type="dxa"/>
            <w:gridSpan w:val="3"/>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价格</w:t>
            </w:r>
          </w:p>
        </w:tc>
        <w:tc>
          <w:tcPr>
            <w:tcW w:w="4196" w:type="dxa"/>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10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2</w:t>
            </w:r>
          </w:p>
        </w:tc>
        <w:tc>
          <w:tcPr>
            <w:tcW w:w="4196" w:type="dxa"/>
            <w:gridSpan w:val="3"/>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技术部分</w:t>
            </w:r>
          </w:p>
        </w:tc>
        <w:tc>
          <w:tcPr>
            <w:tcW w:w="4196" w:type="dxa"/>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cs="宋体"/>
                <w:b/>
                <w:bCs/>
                <w:color w:val="0000FF"/>
                <w:sz w:val="21"/>
                <w:szCs w:val="21"/>
                <w:highlight w:val="none"/>
                <w:lang w:val="en-US" w:eastAsia="zh-CN"/>
              </w:rPr>
              <w:t>55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0" w:type="dxa"/>
            <w:vMerge w:val="continue"/>
            <w:tcBorders>
              <w:left w:val="single" w:color="000000" w:sz="8" w:space="0"/>
              <w:right w:val="single" w:color="000000" w:sz="8" w:space="0"/>
            </w:tcBorders>
            <w:shd w:val="clear" w:color="auto" w:fill="E6EFFA"/>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实施方案</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7</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eastAsia="宋体"/>
                <w:highlight w:val="none"/>
              </w:rPr>
            </w:pPr>
            <w:r>
              <w:rPr>
                <w:rFonts w:hint="eastAsia"/>
                <w:highlight w:val="none"/>
              </w:rPr>
              <w:t>投标人根据本项目需求制定项目整体实施方</w:t>
            </w:r>
            <w:r>
              <w:rPr>
                <w:rFonts w:hint="eastAsia" w:eastAsia="宋体"/>
                <w:highlight w:val="none"/>
              </w:rPr>
              <w:t>案，方案内容包括以下内容：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eastAsia="宋体"/>
                <w:highlight w:val="none"/>
              </w:rPr>
            </w:pPr>
            <w:r>
              <w:rPr>
                <w:rFonts w:hint="eastAsia" w:eastAsia="宋体"/>
                <w:highlight w:val="none"/>
              </w:rPr>
              <w:t>1、专项服务小组人员配备；</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eastAsia="宋体"/>
                <w:highlight w:val="none"/>
              </w:rPr>
            </w:pPr>
            <w:r>
              <w:rPr>
                <w:rFonts w:hint="eastAsia" w:eastAsia="宋体"/>
                <w:highlight w:val="none"/>
              </w:rPr>
              <w:t>2、配送实施计划；</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eastAsia="宋体"/>
                <w:color w:val="auto"/>
                <w:highlight w:val="none"/>
              </w:rPr>
            </w:pPr>
            <w:r>
              <w:rPr>
                <w:rFonts w:hint="eastAsia" w:eastAsia="宋体"/>
                <w:highlight w:val="none"/>
              </w:rPr>
              <w:t>3、日常</w:t>
            </w:r>
            <w:r>
              <w:rPr>
                <w:rFonts w:hint="eastAsia" w:eastAsia="宋体"/>
                <w:color w:val="auto"/>
                <w:highlight w:val="none"/>
              </w:rPr>
              <w:t>管理组织；</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eastAsia="宋体"/>
                <w:color w:val="auto"/>
                <w:highlight w:val="none"/>
              </w:rPr>
              <w:t>4、应急预案(应急预案应包括自然灾害应急预案、</w:t>
            </w:r>
            <w:r>
              <w:rPr>
                <w:rFonts w:hint="eastAsia"/>
                <w:color w:val="auto"/>
                <w:highlight w:val="none"/>
                <w:lang w:val="en-US" w:eastAsia="zh-CN"/>
              </w:rPr>
              <w:t>退货加单应急预案</w:t>
            </w:r>
            <w:r>
              <w:rPr>
                <w:rFonts w:hint="eastAsia" w:eastAsia="宋体"/>
                <w:color w:val="auto"/>
                <w:highlight w:val="none"/>
              </w:rPr>
              <w:t>、</w:t>
            </w:r>
            <w:r>
              <w:rPr>
                <w:rFonts w:hint="eastAsia"/>
                <w:color w:val="auto"/>
                <w:highlight w:val="none"/>
                <w:lang w:val="en-US" w:eastAsia="zh-CN"/>
              </w:rPr>
              <w:t>物流配送</w:t>
            </w:r>
            <w:r>
              <w:rPr>
                <w:rFonts w:hint="eastAsia" w:eastAsia="宋体"/>
                <w:color w:val="auto"/>
                <w:highlight w:val="none"/>
              </w:rPr>
              <w:t>应急预案、</w:t>
            </w:r>
            <w:r>
              <w:rPr>
                <w:rFonts w:hint="eastAsia" w:eastAsia="宋体"/>
                <w:color w:val="auto"/>
                <w:highlight w:val="none"/>
                <w:lang w:val="zh-CN"/>
              </w:rPr>
              <w:t>提供货品遇质量</w:t>
            </w:r>
            <w:r>
              <w:rPr>
                <w:rFonts w:hint="eastAsia" w:eastAsia="宋体"/>
                <w:highlight w:val="none"/>
                <w:lang w:val="zh-CN"/>
              </w:rPr>
              <w:t>不符合要求</w:t>
            </w:r>
            <w:r>
              <w:rPr>
                <w:rFonts w:hint="eastAsia" w:eastAsia="宋体"/>
                <w:highlight w:val="none"/>
              </w:rPr>
              <w:t>应急预案) 。</w:t>
            </w:r>
            <w:r>
              <w:rPr>
                <w:rFonts w:hint="eastAsia" w:ascii="宋体" w:hAnsi="宋体" w:eastAsia="宋体" w:cs="宋体"/>
                <w:b/>
                <w:bCs/>
                <w:sz w:val="21"/>
                <w:szCs w:val="21"/>
                <w:highlight w:val="none"/>
                <w:lang w:eastAsia="zh-CN"/>
              </w:rPr>
              <w:t>评审标准：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1.每提供以上任意一项得</w:t>
            </w:r>
            <w:r>
              <w:rPr>
                <w:rFonts w:hint="eastAsia" w:ascii="宋体" w:hAnsi="宋体" w:cs="宋体"/>
                <w:szCs w:val="21"/>
                <w:highlight w:val="none"/>
                <w:lang w:val="en-US" w:eastAsia="zh-CN"/>
              </w:rPr>
              <w:t>20</w:t>
            </w:r>
            <w:r>
              <w:rPr>
                <w:rFonts w:hint="eastAsia" w:ascii="宋体" w:hAnsi="宋体" w:eastAsia="宋体" w:cs="宋体"/>
                <w:szCs w:val="21"/>
                <w:highlight w:val="none"/>
              </w:rPr>
              <w:t>分，本项最高得</w:t>
            </w:r>
            <w:r>
              <w:rPr>
                <w:rFonts w:hint="eastAsia" w:ascii="宋体" w:hAnsi="宋体" w:cs="宋体"/>
                <w:szCs w:val="21"/>
                <w:highlight w:val="none"/>
                <w:lang w:val="en-US" w:eastAsia="zh-CN"/>
              </w:rPr>
              <w:t>80</w:t>
            </w:r>
            <w:r>
              <w:rPr>
                <w:rFonts w:hint="eastAsia" w:ascii="宋体" w:hAnsi="宋体" w:eastAsia="宋体" w:cs="宋体"/>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2.在此基础上，专家根据各投标人的具体响应内容按照量化的评审因素指标进一步评审：</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评审为优（项目整体</w:t>
            </w:r>
            <w:r>
              <w:rPr>
                <w:rFonts w:hint="eastAsia" w:ascii="宋体" w:hAnsi="宋体" w:cs="宋体"/>
                <w:szCs w:val="21"/>
                <w:highlight w:val="none"/>
                <w:lang w:val="en-US" w:eastAsia="zh-CN"/>
              </w:rPr>
              <w:t>实施</w:t>
            </w:r>
            <w:r>
              <w:rPr>
                <w:rFonts w:hint="eastAsia" w:ascii="宋体" w:hAnsi="宋体" w:eastAsia="宋体" w:cs="宋体"/>
                <w:szCs w:val="21"/>
                <w:highlight w:val="none"/>
              </w:rPr>
              <w:t>方案符合实际情况且人员配备及</w:t>
            </w:r>
            <w:r>
              <w:rPr>
                <w:rFonts w:hint="eastAsia" w:eastAsia="宋体"/>
                <w:highlight w:val="none"/>
              </w:rPr>
              <w:t>配送实施计划</w:t>
            </w:r>
            <w:r>
              <w:rPr>
                <w:rFonts w:hint="eastAsia" w:ascii="宋体" w:hAnsi="宋体" w:eastAsia="宋体" w:cs="宋体"/>
                <w:szCs w:val="21"/>
                <w:highlight w:val="none"/>
              </w:rPr>
              <w:t>完善，且</w:t>
            </w:r>
            <w:r>
              <w:rPr>
                <w:rFonts w:hint="eastAsia" w:eastAsia="宋体"/>
                <w:color w:val="auto"/>
                <w:highlight w:val="none"/>
              </w:rPr>
              <w:t>应急预案</w:t>
            </w:r>
            <w:r>
              <w:rPr>
                <w:rFonts w:hint="eastAsia" w:ascii="宋体" w:hAnsi="宋体" w:eastAsia="宋体" w:cs="宋体"/>
                <w:szCs w:val="21"/>
                <w:highlight w:val="none"/>
              </w:rPr>
              <w:t>的可操作性强）的加</w:t>
            </w:r>
            <w:r>
              <w:rPr>
                <w:rFonts w:hint="eastAsia" w:ascii="宋体" w:hAnsi="宋体" w:cs="宋体"/>
                <w:szCs w:val="21"/>
                <w:highlight w:val="none"/>
                <w:lang w:val="en-US" w:eastAsia="zh-CN"/>
              </w:rPr>
              <w:t>2</w:t>
            </w:r>
            <w:r>
              <w:rPr>
                <w:rFonts w:hint="eastAsia" w:ascii="宋体" w:hAnsi="宋体" w:eastAsia="宋体" w:cs="宋体"/>
                <w:szCs w:val="21"/>
                <w:highlight w:val="none"/>
              </w:rPr>
              <w:t>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评审为良（项目整体</w:t>
            </w:r>
            <w:r>
              <w:rPr>
                <w:rFonts w:hint="eastAsia" w:ascii="宋体" w:hAnsi="宋体" w:cs="宋体"/>
                <w:szCs w:val="21"/>
                <w:highlight w:val="none"/>
                <w:lang w:val="en-US" w:eastAsia="zh-CN"/>
              </w:rPr>
              <w:t>实施</w:t>
            </w:r>
            <w:r>
              <w:rPr>
                <w:rFonts w:hint="eastAsia" w:ascii="宋体" w:hAnsi="宋体" w:eastAsia="宋体" w:cs="宋体"/>
                <w:szCs w:val="21"/>
                <w:highlight w:val="none"/>
              </w:rPr>
              <w:t>方案符合实际情况且人员配备及</w:t>
            </w:r>
            <w:r>
              <w:rPr>
                <w:rFonts w:hint="eastAsia" w:eastAsia="宋体"/>
                <w:highlight w:val="none"/>
              </w:rPr>
              <w:t>配送实施计划</w:t>
            </w:r>
            <w:r>
              <w:rPr>
                <w:rFonts w:hint="eastAsia"/>
                <w:highlight w:val="none"/>
                <w:lang w:val="en-US" w:eastAsia="zh-CN"/>
              </w:rPr>
              <w:t>较</w:t>
            </w:r>
            <w:r>
              <w:rPr>
                <w:rFonts w:hint="eastAsia" w:ascii="宋体" w:hAnsi="宋体" w:eastAsia="宋体" w:cs="宋体"/>
                <w:szCs w:val="21"/>
                <w:highlight w:val="none"/>
              </w:rPr>
              <w:t>完善，且</w:t>
            </w:r>
            <w:r>
              <w:rPr>
                <w:rFonts w:hint="eastAsia" w:eastAsia="宋体"/>
                <w:color w:val="auto"/>
                <w:highlight w:val="none"/>
              </w:rPr>
              <w:t>应急预案</w:t>
            </w:r>
            <w:r>
              <w:rPr>
                <w:rFonts w:hint="eastAsia" w:ascii="宋体" w:hAnsi="宋体" w:eastAsia="宋体" w:cs="宋体"/>
                <w:szCs w:val="21"/>
                <w:highlight w:val="none"/>
              </w:rPr>
              <w:t>的可操作性</w:t>
            </w:r>
            <w:r>
              <w:rPr>
                <w:rFonts w:hint="eastAsia" w:ascii="宋体" w:hAnsi="宋体" w:cs="宋体"/>
                <w:szCs w:val="21"/>
                <w:highlight w:val="none"/>
                <w:lang w:val="en-US" w:eastAsia="zh-CN"/>
              </w:rPr>
              <w:t>较</w:t>
            </w:r>
            <w:r>
              <w:rPr>
                <w:rFonts w:hint="eastAsia" w:ascii="宋体" w:hAnsi="宋体" w:eastAsia="宋体" w:cs="宋体"/>
                <w:szCs w:val="21"/>
                <w:highlight w:val="none"/>
              </w:rPr>
              <w:t>强）的加</w:t>
            </w:r>
            <w:r>
              <w:rPr>
                <w:rFonts w:hint="eastAsia" w:ascii="宋体" w:hAnsi="宋体" w:cs="宋体"/>
                <w:szCs w:val="21"/>
                <w:highlight w:val="none"/>
                <w:lang w:val="en-US" w:eastAsia="zh-CN"/>
              </w:rPr>
              <w:t>1</w:t>
            </w:r>
            <w:r>
              <w:rPr>
                <w:rFonts w:hint="eastAsia" w:ascii="宋体" w:hAnsi="宋体" w:eastAsia="宋体" w:cs="宋体"/>
                <w:szCs w:val="21"/>
                <w:highlight w:val="none"/>
              </w:rPr>
              <w:t>5分；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评审为中（项目整体</w:t>
            </w:r>
            <w:r>
              <w:rPr>
                <w:rFonts w:hint="eastAsia" w:ascii="宋体" w:hAnsi="宋体" w:cs="宋体"/>
                <w:szCs w:val="21"/>
                <w:highlight w:val="none"/>
                <w:lang w:val="en-US" w:eastAsia="zh-CN"/>
              </w:rPr>
              <w:t>实施</w:t>
            </w:r>
            <w:r>
              <w:rPr>
                <w:rFonts w:hint="eastAsia" w:ascii="宋体" w:hAnsi="宋体" w:eastAsia="宋体" w:cs="宋体"/>
                <w:szCs w:val="21"/>
                <w:highlight w:val="none"/>
              </w:rPr>
              <w:t>方案</w:t>
            </w:r>
            <w:r>
              <w:rPr>
                <w:rFonts w:hint="eastAsia" w:ascii="宋体" w:hAnsi="宋体" w:cs="宋体"/>
                <w:szCs w:val="21"/>
                <w:highlight w:val="none"/>
                <w:lang w:val="en-US" w:eastAsia="zh-CN"/>
              </w:rPr>
              <w:t>不</w:t>
            </w:r>
            <w:r>
              <w:rPr>
                <w:rFonts w:hint="eastAsia" w:ascii="宋体" w:hAnsi="宋体" w:eastAsia="宋体" w:cs="宋体"/>
                <w:szCs w:val="21"/>
                <w:highlight w:val="none"/>
              </w:rPr>
              <w:t>符合实际情况且人员配备及</w:t>
            </w:r>
            <w:r>
              <w:rPr>
                <w:rFonts w:hint="eastAsia" w:eastAsia="宋体"/>
                <w:highlight w:val="none"/>
              </w:rPr>
              <w:t>配送实施计划</w:t>
            </w:r>
            <w:r>
              <w:rPr>
                <w:rFonts w:hint="eastAsia"/>
                <w:highlight w:val="none"/>
                <w:lang w:val="en-US" w:eastAsia="zh-CN"/>
              </w:rPr>
              <w:t>不</w:t>
            </w:r>
            <w:r>
              <w:rPr>
                <w:rFonts w:hint="eastAsia" w:ascii="宋体" w:hAnsi="宋体" w:eastAsia="宋体" w:cs="宋体"/>
                <w:szCs w:val="21"/>
                <w:highlight w:val="none"/>
              </w:rPr>
              <w:t>完善，且</w:t>
            </w:r>
            <w:r>
              <w:rPr>
                <w:rFonts w:hint="eastAsia" w:eastAsia="宋体"/>
                <w:color w:val="auto"/>
                <w:highlight w:val="none"/>
              </w:rPr>
              <w:t>应急预案</w:t>
            </w:r>
            <w:r>
              <w:rPr>
                <w:rFonts w:hint="eastAsia" w:ascii="宋体" w:hAnsi="宋体" w:eastAsia="宋体" w:cs="宋体"/>
                <w:szCs w:val="21"/>
                <w:highlight w:val="none"/>
              </w:rPr>
              <w:t>的可操作性</w:t>
            </w:r>
            <w:r>
              <w:rPr>
                <w:rFonts w:hint="eastAsia" w:ascii="宋体" w:hAnsi="宋体" w:cs="宋体"/>
                <w:szCs w:val="21"/>
                <w:highlight w:val="none"/>
                <w:lang w:val="en-US" w:eastAsia="zh-CN"/>
              </w:rPr>
              <w:t>一般</w:t>
            </w:r>
            <w:r>
              <w:rPr>
                <w:rFonts w:hint="eastAsia" w:ascii="宋体" w:hAnsi="宋体" w:eastAsia="宋体" w:cs="宋体"/>
                <w:szCs w:val="21"/>
                <w:highlight w:val="none"/>
              </w:rPr>
              <w:t>）的加10分；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评审为差（项目整体</w:t>
            </w:r>
            <w:r>
              <w:rPr>
                <w:rFonts w:hint="eastAsia" w:ascii="宋体" w:hAnsi="宋体" w:cs="宋体"/>
                <w:szCs w:val="21"/>
                <w:highlight w:val="none"/>
                <w:lang w:val="en-US" w:eastAsia="zh-CN"/>
              </w:rPr>
              <w:t>实施</w:t>
            </w:r>
            <w:r>
              <w:rPr>
                <w:rFonts w:hint="eastAsia" w:ascii="宋体" w:hAnsi="宋体" w:eastAsia="宋体" w:cs="宋体"/>
                <w:szCs w:val="21"/>
                <w:highlight w:val="none"/>
              </w:rPr>
              <w:t>方案</w:t>
            </w:r>
            <w:r>
              <w:rPr>
                <w:rFonts w:hint="eastAsia" w:ascii="宋体" w:hAnsi="宋体" w:cs="宋体"/>
                <w:szCs w:val="21"/>
                <w:highlight w:val="none"/>
                <w:lang w:val="en-US" w:eastAsia="zh-CN"/>
              </w:rPr>
              <w:t>不</w:t>
            </w:r>
            <w:r>
              <w:rPr>
                <w:rFonts w:hint="eastAsia" w:ascii="宋体" w:hAnsi="宋体" w:eastAsia="宋体" w:cs="宋体"/>
                <w:szCs w:val="21"/>
                <w:highlight w:val="none"/>
              </w:rPr>
              <w:t>符合实际情况且人员配备及</w:t>
            </w:r>
            <w:r>
              <w:rPr>
                <w:rFonts w:hint="eastAsia" w:eastAsia="宋体"/>
                <w:highlight w:val="none"/>
              </w:rPr>
              <w:t>配送实施计划</w:t>
            </w:r>
            <w:r>
              <w:rPr>
                <w:rFonts w:hint="eastAsia"/>
                <w:highlight w:val="none"/>
                <w:lang w:val="en-US" w:eastAsia="zh-CN"/>
              </w:rPr>
              <w:t>不</w:t>
            </w:r>
            <w:r>
              <w:rPr>
                <w:rFonts w:hint="eastAsia" w:ascii="宋体" w:hAnsi="宋体" w:eastAsia="宋体" w:cs="宋体"/>
                <w:szCs w:val="21"/>
                <w:highlight w:val="none"/>
              </w:rPr>
              <w:t>完善，且</w:t>
            </w:r>
            <w:r>
              <w:rPr>
                <w:rFonts w:hint="eastAsia" w:eastAsia="宋体"/>
                <w:color w:val="auto"/>
                <w:highlight w:val="none"/>
              </w:rPr>
              <w:t>应急预案</w:t>
            </w:r>
            <w:r>
              <w:rPr>
                <w:rFonts w:hint="eastAsia" w:ascii="宋体" w:hAnsi="宋体" w:eastAsia="宋体" w:cs="宋体"/>
                <w:szCs w:val="21"/>
                <w:highlight w:val="none"/>
              </w:rPr>
              <w:t>的可操作性</w:t>
            </w:r>
            <w:r>
              <w:rPr>
                <w:rFonts w:hint="eastAsia" w:ascii="宋体" w:hAnsi="宋体" w:cs="宋体"/>
                <w:szCs w:val="21"/>
                <w:highlight w:val="none"/>
                <w:lang w:val="en-US" w:eastAsia="zh-CN"/>
              </w:rPr>
              <w:t>差</w:t>
            </w:r>
            <w:r>
              <w:rPr>
                <w:rFonts w:hint="eastAsia" w:ascii="宋体" w:hAnsi="宋体" w:eastAsia="宋体" w:cs="宋体"/>
                <w:szCs w:val="21"/>
                <w:highlight w:val="none"/>
              </w:rPr>
              <w:t>）的，不加分。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以上2项得分累计，最高得100分。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color w:val="auto"/>
                <w:szCs w:val="21"/>
                <w:highlight w:val="none"/>
              </w:rPr>
              <w:t>规章管理制度、工作流程等</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6</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考察针对本项目的项目规章管理制度、工作流程等，包括以下内容:</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食品安全保障制度；</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人员岗位职责；</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操作规程；</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劳动纪律和奖惩办法；</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客户投诉反馈管理制度。</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评审标准：</w:t>
            </w:r>
          </w:p>
          <w:p>
            <w:pPr>
              <w:keepNext w:val="0"/>
              <w:keepLines w:val="0"/>
              <w:pageBreakBefore w:val="0"/>
              <w:widowControl w:val="0"/>
              <w:numPr>
                <w:ilvl w:val="0"/>
                <w:numId w:val="0"/>
              </w:numPr>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Cs w:val="21"/>
                <w:highlight w:val="none"/>
                <w:lang w:eastAsia="zh-CN"/>
              </w:rPr>
              <w:t>每提供以上任意一项得</w:t>
            </w:r>
            <w:r>
              <w:rPr>
                <w:rFonts w:hint="eastAsia" w:ascii="宋体" w:hAnsi="宋体" w:cs="宋体"/>
                <w:color w:val="auto"/>
                <w:szCs w:val="21"/>
                <w:highlight w:val="none"/>
                <w:lang w:val="en-US" w:eastAsia="zh-CN"/>
              </w:rPr>
              <w:t>16</w:t>
            </w:r>
            <w:r>
              <w:rPr>
                <w:rFonts w:hint="eastAsia" w:ascii="宋体" w:hAnsi="宋体" w:eastAsia="宋体" w:cs="宋体"/>
                <w:color w:val="auto"/>
                <w:szCs w:val="21"/>
                <w:highlight w:val="none"/>
                <w:lang w:val="en-US" w:eastAsia="zh-CN"/>
              </w:rPr>
              <w:t>分，本项最高得</w:t>
            </w:r>
            <w:r>
              <w:rPr>
                <w:rFonts w:hint="eastAsia" w:ascii="宋体" w:hAnsi="宋体" w:cs="宋体"/>
                <w:color w:val="auto"/>
                <w:szCs w:val="21"/>
                <w:highlight w:val="none"/>
                <w:lang w:val="en-US" w:eastAsia="zh-CN"/>
              </w:rPr>
              <w:t>80</w:t>
            </w:r>
            <w:r>
              <w:rPr>
                <w:rFonts w:hint="eastAsia" w:ascii="宋体" w:hAnsi="宋体" w:eastAsia="宋体" w:cs="宋体"/>
                <w:color w:val="auto"/>
                <w:szCs w:val="21"/>
                <w:highlight w:val="none"/>
                <w:lang w:val="en-US" w:eastAsia="zh-CN"/>
              </w:rPr>
              <w:t>分。</w:t>
            </w:r>
          </w:p>
          <w:p>
            <w:pPr>
              <w:keepNext w:val="0"/>
              <w:keepLines w:val="0"/>
              <w:pageBreakBefore w:val="0"/>
              <w:widowControl w:val="0"/>
              <w:numPr>
                <w:ilvl w:val="0"/>
                <w:numId w:val="0"/>
              </w:numPr>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Cs w:val="21"/>
                <w:highlight w:val="none"/>
              </w:rPr>
              <w:t>在此基础上，专家根据各投标人的具体响应内容按照量化的评审因素指标进一步评审：</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评审为优（</w:t>
            </w:r>
            <w:r>
              <w:rPr>
                <w:rFonts w:hint="eastAsia"/>
                <w:highlight w:val="none"/>
                <w:lang w:val="en-US" w:eastAsia="zh-CN"/>
              </w:rPr>
              <w:t>食品安全保障制度完整且人员岗位职责清晰，且操作规程的可操作性强</w:t>
            </w:r>
            <w:r>
              <w:rPr>
                <w:rFonts w:hint="eastAsia" w:ascii="宋体" w:hAnsi="宋体" w:eastAsia="宋体" w:cs="宋体"/>
                <w:color w:val="auto"/>
                <w:szCs w:val="21"/>
                <w:highlight w:val="none"/>
              </w:rPr>
              <w:t>）的加</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评审为良（</w:t>
            </w:r>
            <w:r>
              <w:rPr>
                <w:rFonts w:hint="eastAsia"/>
                <w:highlight w:val="none"/>
                <w:lang w:val="en-US" w:eastAsia="zh-CN"/>
              </w:rPr>
              <w:t>食品安全保障制度较完整且人员岗位职责较清晰，且操作规程的可操作性较强</w:t>
            </w:r>
            <w:r>
              <w:rPr>
                <w:rFonts w:hint="eastAsia" w:ascii="宋体" w:hAnsi="宋体" w:eastAsia="宋体" w:cs="宋体"/>
                <w:color w:val="auto"/>
                <w:szCs w:val="21"/>
                <w:highlight w:val="none"/>
              </w:rPr>
              <w:t>）的加</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评审为中（</w:t>
            </w:r>
            <w:r>
              <w:rPr>
                <w:rFonts w:hint="eastAsia"/>
                <w:highlight w:val="none"/>
                <w:lang w:val="en-US" w:eastAsia="zh-CN"/>
              </w:rPr>
              <w:t>食品安全保障制度较完整且人员岗位职责较清晰，且操作规程的可操作性一般</w:t>
            </w:r>
            <w:r>
              <w:rPr>
                <w:rFonts w:hint="eastAsia" w:ascii="宋体" w:hAnsi="宋体" w:eastAsia="宋体" w:cs="宋体"/>
                <w:color w:val="auto"/>
                <w:szCs w:val="21"/>
                <w:highlight w:val="none"/>
              </w:rPr>
              <w:t>）的加10分；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评审为差（</w:t>
            </w:r>
            <w:r>
              <w:rPr>
                <w:rFonts w:hint="eastAsia"/>
                <w:highlight w:val="none"/>
                <w:lang w:val="en-US" w:eastAsia="zh-CN"/>
              </w:rPr>
              <w:t>食品安全保障制度不完整且人员岗位职责不清晰，且操作规程的可操作性差</w:t>
            </w:r>
            <w:r>
              <w:rPr>
                <w:rFonts w:hint="eastAsia" w:ascii="宋体" w:hAnsi="宋体" w:eastAsia="宋体" w:cs="宋体"/>
                <w:color w:val="auto"/>
                <w:szCs w:val="21"/>
                <w:highlight w:val="none"/>
              </w:rPr>
              <w:t>）的，不加分。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Cs w:val="21"/>
                <w:highlight w:val="none"/>
                <w:lang w:val="en-US" w:eastAsia="zh-CN"/>
              </w:rPr>
            </w:pPr>
            <w:r>
              <w:rPr>
                <w:rFonts w:hint="eastAsia" w:ascii="宋体" w:hAnsi="宋体" w:eastAsia="宋体" w:cs="宋体"/>
                <w:color w:val="auto"/>
                <w:szCs w:val="21"/>
                <w:highlight w:val="none"/>
              </w:rPr>
              <w:t>以上2项得分累计，最高得100分。</w:t>
            </w:r>
            <w:r>
              <w:rPr>
                <w:rFonts w:hint="eastAsia" w:ascii="宋体" w:hAnsi="宋体" w:cs="宋体"/>
                <w:szCs w:val="21"/>
                <w:highlight w:val="none"/>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质量保障措施及方案</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投标人根据本项目需求制定质量保障措施及方案，方案内容包括以下内容：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1、</w:t>
            </w:r>
            <w:r>
              <w:rPr>
                <w:rFonts w:hint="eastAsia"/>
                <w:highlight w:val="none"/>
                <w:lang w:eastAsia="zh-CN"/>
              </w:rPr>
              <w:t>食材</w:t>
            </w:r>
            <w:r>
              <w:rPr>
                <w:rFonts w:hint="eastAsia" w:ascii="宋体" w:hAnsi="宋体" w:eastAsia="宋体" w:cs="宋体"/>
                <w:bCs/>
                <w:szCs w:val="21"/>
                <w:highlight w:val="none"/>
              </w:rPr>
              <w:t>的来源；</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2、</w:t>
            </w:r>
            <w:r>
              <w:rPr>
                <w:rFonts w:hint="eastAsia"/>
                <w:highlight w:val="none"/>
                <w:lang w:eastAsia="zh-CN"/>
              </w:rPr>
              <w:t>食材</w:t>
            </w:r>
            <w:r>
              <w:rPr>
                <w:rFonts w:hint="eastAsia" w:ascii="宋体" w:hAnsi="宋体" w:eastAsia="宋体" w:cs="宋体"/>
                <w:bCs/>
                <w:szCs w:val="21"/>
                <w:highlight w:val="none"/>
              </w:rPr>
              <w:t>的包装；</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3、</w:t>
            </w:r>
            <w:r>
              <w:rPr>
                <w:rFonts w:hint="eastAsia"/>
                <w:highlight w:val="none"/>
                <w:lang w:eastAsia="zh-CN"/>
              </w:rPr>
              <w:t>食材</w:t>
            </w:r>
            <w:r>
              <w:rPr>
                <w:rFonts w:hint="eastAsia" w:ascii="宋体" w:hAnsi="宋体" w:eastAsia="宋体" w:cs="宋体"/>
                <w:bCs/>
                <w:szCs w:val="21"/>
                <w:highlight w:val="none"/>
              </w:rPr>
              <w:t>的储存；</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bCs/>
                <w:szCs w:val="21"/>
                <w:highlight w:val="none"/>
                <w:lang w:eastAsia="zh-CN"/>
              </w:rPr>
            </w:pPr>
            <w:r>
              <w:rPr>
                <w:rFonts w:hint="eastAsia" w:ascii="宋体" w:hAnsi="宋体" w:eastAsia="宋体" w:cs="宋体"/>
                <w:bCs/>
                <w:szCs w:val="21"/>
                <w:highlight w:val="none"/>
              </w:rPr>
              <w:t>4、</w:t>
            </w:r>
            <w:r>
              <w:rPr>
                <w:rFonts w:hint="eastAsia"/>
                <w:highlight w:val="none"/>
                <w:lang w:eastAsia="zh-CN"/>
              </w:rPr>
              <w:t>食材</w:t>
            </w:r>
            <w:r>
              <w:rPr>
                <w:rFonts w:hint="eastAsia" w:ascii="宋体" w:hAnsi="宋体" w:eastAsia="宋体" w:cs="宋体"/>
                <w:bCs/>
                <w:szCs w:val="21"/>
                <w:highlight w:val="none"/>
              </w:rPr>
              <w:t>的品质监控</w:t>
            </w:r>
            <w:r>
              <w:rPr>
                <w:rFonts w:hint="eastAsia" w:ascii="宋体" w:hAnsi="宋体" w:cs="宋体"/>
                <w:bCs/>
                <w:szCs w:val="21"/>
                <w:highlight w:val="none"/>
                <w:lang w:eastAsia="zh-CN"/>
              </w:rPr>
              <w:t>。</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评审标准：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每提供以上任意一项得</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分，本项最高得</w:t>
            </w:r>
            <w:r>
              <w:rPr>
                <w:rFonts w:hint="eastAsia" w:ascii="宋体" w:hAnsi="宋体" w:cs="宋体"/>
                <w:color w:val="auto"/>
                <w:szCs w:val="21"/>
                <w:highlight w:val="none"/>
                <w:lang w:val="en-US" w:eastAsia="zh-CN"/>
              </w:rPr>
              <w:t>80</w:t>
            </w:r>
            <w:r>
              <w:rPr>
                <w:rFonts w:hint="eastAsia" w:ascii="宋体" w:hAnsi="宋体" w:eastAsia="宋体" w:cs="宋体"/>
                <w:color w:val="auto"/>
                <w:szCs w:val="21"/>
                <w:highlight w:val="none"/>
                <w:lang w:val="en-US" w:eastAsia="zh-CN"/>
              </w:rPr>
              <w:t>分。</w:t>
            </w:r>
          </w:p>
          <w:p>
            <w:pPr>
              <w:keepNext w:val="0"/>
              <w:keepLines w:val="0"/>
              <w:pageBreakBefore w:val="0"/>
              <w:widowControl w:val="0"/>
              <w:numPr>
                <w:ilvl w:val="0"/>
                <w:numId w:val="0"/>
              </w:numPr>
              <w:kinsoku/>
              <w:wordWrap w:val="0"/>
              <w:overflowPunct/>
              <w:topLinePunct w:val="0"/>
              <w:autoSpaceDE/>
              <w:autoSpaceDN/>
              <w:bidi w:val="0"/>
              <w:adjustRightInd/>
              <w:spacing w:beforeAutospacing="0" w:afterAutospacing="0" w:line="360" w:lineRule="exact"/>
              <w:ind w:leftChars="0" w:right="0" w:right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在此基础上，专家根据各投标人的具体响应内容按照量化的评审因素指标进一步评审：</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评审为优（</w:t>
            </w:r>
            <w:r>
              <w:rPr>
                <w:rFonts w:hint="eastAsia"/>
                <w:highlight w:val="none"/>
                <w:lang w:val="en-US" w:eastAsia="zh-CN"/>
              </w:rPr>
              <w:t>食品来源标准完整且食品包装标准清晰，且食材品质监控的可操作性强</w:t>
            </w:r>
            <w:r>
              <w:rPr>
                <w:rFonts w:hint="eastAsia" w:ascii="宋体" w:hAnsi="宋体" w:eastAsia="宋体" w:cs="宋体"/>
                <w:color w:val="auto"/>
                <w:szCs w:val="21"/>
                <w:highlight w:val="none"/>
              </w:rPr>
              <w:t>）的加</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评审为良（</w:t>
            </w:r>
            <w:r>
              <w:rPr>
                <w:rFonts w:hint="eastAsia"/>
                <w:highlight w:val="none"/>
                <w:lang w:val="en-US" w:eastAsia="zh-CN"/>
              </w:rPr>
              <w:t>食品来源标准较完整且食品包装标准较清晰，且食材品质监控的可操作性较强</w:t>
            </w:r>
            <w:r>
              <w:rPr>
                <w:rFonts w:hint="eastAsia" w:ascii="宋体" w:hAnsi="宋体" w:eastAsia="宋体" w:cs="宋体"/>
                <w:color w:val="auto"/>
                <w:szCs w:val="21"/>
                <w:highlight w:val="none"/>
              </w:rPr>
              <w:t>）的加</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评审为中（</w:t>
            </w:r>
            <w:r>
              <w:rPr>
                <w:rFonts w:hint="eastAsia"/>
                <w:highlight w:val="none"/>
                <w:lang w:val="en-US" w:eastAsia="zh-CN"/>
              </w:rPr>
              <w:t>食品来源标准较完整且食品包装标准较清晰，且食材品质监控的可操作性较强</w:t>
            </w:r>
            <w:r>
              <w:rPr>
                <w:rFonts w:hint="eastAsia" w:ascii="宋体" w:hAnsi="宋体" w:eastAsia="宋体" w:cs="宋体"/>
                <w:color w:val="auto"/>
                <w:szCs w:val="21"/>
                <w:highlight w:val="none"/>
              </w:rPr>
              <w:t>）的加</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评审为差（</w:t>
            </w:r>
            <w:r>
              <w:rPr>
                <w:rFonts w:hint="eastAsia"/>
                <w:highlight w:val="none"/>
                <w:lang w:val="en-US" w:eastAsia="zh-CN"/>
              </w:rPr>
              <w:t>食品来源标准不完整且食品包装标准不清晰，且食材品质监控的可操作性差</w:t>
            </w:r>
            <w:r>
              <w:rPr>
                <w:rFonts w:hint="eastAsia" w:ascii="宋体" w:hAnsi="宋体" w:eastAsia="宋体" w:cs="宋体"/>
                <w:color w:val="auto"/>
                <w:szCs w:val="21"/>
                <w:highlight w:val="none"/>
              </w:rPr>
              <w:t>）的，不加分。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Cs w:val="21"/>
                <w:highlight w:val="none"/>
              </w:rPr>
            </w:pPr>
            <w:r>
              <w:rPr>
                <w:rFonts w:hint="eastAsia" w:ascii="宋体" w:hAnsi="宋体" w:eastAsia="宋体" w:cs="宋体"/>
                <w:color w:val="auto"/>
                <w:szCs w:val="21"/>
                <w:highlight w:val="none"/>
              </w:rPr>
              <w:t>以上2项得分累计，最高得100分。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eastAsia="zh-CN"/>
              </w:rPr>
              <w:t>项目履约</w:t>
            </w:r>
            <w:r>
              <w:rPr>
                <w:rFonts w:hint="eastAsia" w:ascii="宋体" w:hAnsi="宋体" w:eastAsia="宋体" w:cs="宋体"/>
                <w:sz w:val="21"/>
                <w:szCs w:val="21"/>
                <w:highlight w:val="none"/>
              </w:rPr>
              <w:t>承诺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考察内容：</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投标人项目履约承诺包括：</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“202</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7月</w:t>
            </w:r>
            <w:r>
              <w:rPr>
                <w:rFonts w:hint="eastAsia" w:ascii="宋体" w:hAnsi="宋体" w:eastAsia="宋体" w:cs="宋体"/>
                <w:color w:val="auto"/>
                <w:szCs w:val="21"/>
                <w:highlight w:val="none"/>
              </w:rPr>
              <w:t>-</w:t>
            </w:r>
            <w:r>
              <w:rPr>
                <w:rFonts w:hint="eastAsia"/>
                <w:highlight w:val="none"/>
              </w:rPr>
              <w:t>至本项目投标截止之日</w:t>
            </w:r>
            <w:r>
              <w:rPr>
                <w:rFonts w:hint="eastAsia" w:ascii="宋体" w:hAnsi="宋体" w:eastAsia="宋体" w:cs="宋体"/>
                <w:color w:val="auto"/>
                <w:szCs w:val="21"/>
                <w:highlight w:val="none"/>
              </w:rPr>
              <w:t>期间未出现因供应商合同履约不合格或供应商过错等原因与采购单位解除合同的情形”</w:t>
            </w:r>
            <w:r>
              <w:rPr>
                <w:rFonts w:hint="eastAsia" w:ascii="宋体" w:hAnsi="宋体" w:cs="宋体"/>
                <w:color w:val="auto"/>
                <w:szCs w:val="21"/>
                <w:highlight w:val="none"/>
                <w:lang w:eastAsia="zh-CN"/>
              </w:rPr>
              <w:t>。</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按以上要求提供承诺函的得100分，其他不得分。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评分依据：</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color w:val="auto"/>
                <w:szCs w:val="21"/>
                <w:highlight w:val="none"/>
              </w:rPr>
              <w:t>提供承诺函（格式自拟），未提供或未按要求提供或提供的不清晰导致专家无法判断的，不得分。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项目完成（服务期满）后的服务承诺</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overflowPunct/>
              <w:topLinePunct w:val="0"/>
              <w:autoSpaceDE/>
              <w:autoSpaceDN/>
              <w:bidi w:val="0"/>
              <w:adjustRightInd/>
              <w:spacing w:line="360" w:lineRule="exact"/>
              <w:textAlignment w:val="auto"/>
              <w:rPr>
                <w:rFonts w:ascii="宋体" w:hAnsi="宋体" w:eastAsia="宋体" w:cs="宋体"/>
                <w:szCs w:val="21"/>
                <w:highlight w:val="none"/>
              </w:rPr>
            </w:pPr>
            <w:r>
              <w:rPr>
                <w:rFonts w:hint="eastAsia" w:ascii="宋体" w:hAnsi="宋体" w:eastAsia="宋体" w:cs="宋体"/>
                <w:szCs w:val="21"/>
                <w:highlight w:val="none"/>
              </w:rPr>
              <w:t>投标人服务期满后，如不续约的离岗承诺：</w:t>
            </w:r>
          </w:p>
          <w:p>
            <w:pPr>
              <w:keepNext w:val="0"/>
              <w:keepLines w:val="0"/>
              <w:pageBreakBefore w:val="0"/>
              <w:widowControl w:val="0"/>
              <w:kinsoku/>
              <w:overflowPunct/>
              <w:topLinePunct w:val="0"/>
              <w:autoSpaceDE/>
              <w:autoSpaceDN/>
              <w:bidi w:val="0"/>
              <w:adjustRightInd/>
              <w:spacing w:line="360" w:lineRule="exact"/>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rPr>
              <w:t>服务期满，后续配送公司未到位前仍按原合同服务承诺提供配送服务的承诺；其他原因需短期配送服务仍按原合同服务承诺提供综合类配送服务的承诺。</w:t>
            </w:r>
            <w:r>
              <w:rPr>
                <w:rFonts w:hint="eastAsia" w:ascii="宋体" w:hAnsi="宋体" w:eastAsia="宋体" w:cs="宋体"/>
                <w:szCs w:val="21"/>
                <w:highlight w:val="none"/>
                <w:lang w:eastAsia="zh-CN"/>
              </w:rPr>
              <w:t>按要求提供承诺函的得</w:t>
            </w:r>
            <w:r>
              <w:rPr>
                <w:rFonts w:hint="eastAsia" w:ascii="宋体" w:hAnsi="宋体" w:eastAsia="宋体" w:cs="宋体"/>
                <w:szCs w:val="21"/>
                <w:highlight w:val="none"/>
                <w:lang w:val="en-US" w:eastAsia="zh-CN"/>
              </w:rPr>
              <w:t>100分。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b/>
                <w:bCs/>
                <w:szCs w:val="21"/>
                <w:highlight w:val="none"/>
                <w:lang w:eastAsia="zh-CN"/>
              </w:rPr>
              <w:t>证明文件</w:t>
            </w:r>
            <w:r>
              <w:rPr>
                <w:rFonts w:hint="eastAsia" w:ascii="宋体" w:hAnsi="宋体" w:eastAsia="宋体" w:cs="宋体"/>
                <w:szCs w:val="21"/>
                <w:highlight w:val="none"/>
              </w:rPr>
              <w:t>：</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提供承诺函（格式自拟），未提供或未按要求提供或提供的不清晰导致专家无法判断的，不得分</w:t>
            </w:r>
            <w:r>
              <w:rPr>
                <w:rFonts w:hint="eastAsia" w:ascii="宋体" w:hAnsi="宋体" w:eastAsia="宋体" w:cs="宋体"/>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6</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拟安排项目负责人情况（仅限1人）</w:t>
            </w:r>
          </w:p>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3</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kinsoku/>
              <w:overflowPunct/>
              <w:topLinePunct w:val="0"/>
              <w:autoSpaceDE/>
              <w:autoSpaceDN/>
              <w:bidi w:val="0"/>
              <w:adjustRightInd/>
              <w:spacing w:line="360" w:lineRule="exact"/>
              <w:textAlignment w:val="auto"/>
            </w:pPr>
            <w:r>
              <w:rPr>
                <w:rFonts w:hint="eastAsia" w:ascii="宋体" w:hAnsi="宋体" w:eastAsia="宋体" w:cs="宋体"/>
                <w:b/>
                <w:bCs/>
                <w:szCs w:val="21"/>
                <w:highlight w:val="none"/>
                <w:lang w:val="en-US" w:eastAsia="zh-CN"/>
              </w:rPr>
              <w:t>考察内容：</w:t>
            </w:r>
            <w:r>
              <w:rPr>
                <w:rFonts w:hint="eastAsia" w:ascii="宋体" w:hAnsi="宋体" w:eastAsia="宋体" w:cs="宋体"/>
                <w:b/>
                <w:bCs/>
                <w:szCs w:val="21"/>
                <w:highlight w:val="none"/>
                <w:lang w:val="en-US" w:eastAsia="zh-CN"/>
              </w:rPr>
              <w:br w:type="textWrapping"/>
            </w:r>
            <w:r>
              <w:rPr>
                <w:rFonts w:hint="eastAsia" w:ascii="宋体" w:hAnsi="宋体" w:cs="宋体"/>
                <w:szCs w:val="21"/>
              </w:rPr>
              <w:t>为本项目拟安排项目负责人情况（仅限1人），项目负责人需为投标人在职员工（以社保证明文件为准）。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1、具有本科或以上学历的，得30分；具有大专学历的，得15分；本小项最高得30分；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2、具备3年或以上食材配送项目管理经验的，得30分；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3、具有市场监督管理局或食品药品监督局颁发的高级食品安全管理员（师）证书或高级食品安全管理（人）员考试合格证明证书的得20分。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4、具有</w:t>
            </w:r>
            <w:r>
              <w:rPr>
                <w:rFonts w:hint="eastAsia" w:ascii="宋体" w:hAnsi="宋体" w:eastAsia="宋体" w:cs="宋体"/>
                <w:sz w:val="21"/>
                <w:szCs w:val="21"/>
                <w:highlight w:val="none"/>
              </w:rPr>
              <w:t>行政机关或事业单位</w:t>
            </w:r>
            <w:r>
              <w:rPr>
                <w:rFonts w:hint="eastAsia" w:ascii="宋体" w:hAnsi="宋体" w:eastAsia="宋体" w:cs="宋体"/>
                <w:color w:val="auto"/>
                <w:sz w:val="21"/>
                <w:szCs w:val="21"/>
                <w:highlight w:val="none"/>
                <w:lang w:eastAsia="zh-CN"/>
              </w:rPr>
              <w:t>（或经人社部门备案的社评组织或用人单位）颁发的</w:t>
            </w:r>
            <w:r>
              <w:rPr>
                <w:rFonts w:hint="eastAsia" w:ascii="宋体" w:hAnsi="宋体"/>
                <w:szCs w:val="21"/>
                <w:highlight w:val="none"/>
                <w:lang w:val="en-US" w:eastAsia="zh-CN"/>
              </w:rPr>
              <w:t>食品检验（检测）员（师/工）或农产品食品检验员证书的得20分；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以上四项累计得分，本项最高得100分；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证明文件：</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1、评分内容第一项提供毕业证书及学历信息在学信网查询结果截图（https://www.chsi.com.cn/xlcx/index.jsp），由于日期较早无法查询的，需提供毕业院校或者人社部门出具的证明，国外学历证书提供教育部留学服务中心出具的国外学历认证书以及教育部留学服务中心官网查询截图（查询网址https://zwfw.cscse.edu.cn/）；</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2、评分内容第二项：提供合同关键页（包括但不限于合同的项目名称、服务内容、签订日期、合同双方签字盖章页），通过合同关键信息无法判断是否得分的，还同时提供能证明得分的其它证明资料，如项目报告或合同甲方出具的证明文件等；</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szCs w:val="21"/>
                <w:highlight w:val="none"/>
                <w:lang w:val="en-US" w:eastAsia="zh-CN"/>
              </w:rPr>
              <w:t>3、评分内容第三项和第四项：提供该人员证书扫描件，第四项</w:t>
            </w:r>
            <w:r>
              <w:rPr>
                <w:rFonts w:hint="eastAsia" w:ascii="宋体" w:hAnsi="宋体" w:cs="宋体"/>
                <w:szCs w:val="21"/>
              </w:rPr>
              <w:t>证书提供在“技能人才评价证书全国联网查询”（网址：http://zscx.osta.org.cn）官网查询截图，如证书为人社部门备案的社评组织或用人单位颁发的，并提供其在职业技能等级评价机构公示查询系统（https://pjjg.osta.org.cn/）的截图；以上证书如由协会颁发的证书，除上述内容，还需提供该协会(机构)在“中国社会组织政务服务平台</w:t>
            </w:r>
            <w:r>
              <w:rPr>
                <w:rFonts w:ascii="宋体" w:hAnsi="宋体" w:cs="宋体"/>
                <w:szCs w:val="21"/>
              </w:rPr>
              <w:t>(https://chinanpo.mca.gov.cn/)</w:t>
            </w:r>
            <w:r>
              <w:rPr>
                <w:rFonts w:hint="eastAsia" w:ascii="宋体" w:hAnsi="宋体" w:cs="宋体"/>
                <w:szCs w:val="21"/>
              </w:rPr>
              <w:t xml:space="preserve"> ”的已合法登记且状态正常截图，或该协会(机构)由政府部门或行政事业单位审批的证明文件扫描件，否则不予认可，视为无效证书；若证书暂未能</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在技能人才评价证书全国联网查询的，则可</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提供证书颁发机构在技能人才评价证书全</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国联网（职业技能等级评价机构公示查询系</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统）查询截图(https://pjjg.osta.org.cn</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/)，且开展职业技能等级认定的对象是面向</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社会开展职业技能等级认定，如开展职业技</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能等级认定的对象仅限面向本单位职工开</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展职业技能等级认定，证书的颁发机构和投</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标人名称应保持一致。如该人员已从证书颁</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发机构离职，同时提供该人员在原证书颁发</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cs="宋体"/>
                <w:szCs w:val="21"/>
              </w:rPr>
            </w:pPr>
            <w:r>
              <w:rPr>
                <w:rFonts w:hint="eastAsia" w:ascii="宋体" w:hAnsi="宋体" w:cs="宋体"/>
                <w:szCs w:val="21"/>
              </w:rPr>
              <w:t>机构的社保证明或劳动合同或工作证明，也</w:t>
            </w:r>
          </w:p>
          <w:p>
            <w:pPr>
              <w:keepNext w:val="0"/>
              <w:keepLines w:val="0"/>
              <w:pageBreakBefore w:val="0"/>
              <w:kinsoku/>
              <w:wordWrap w:val="0"/>
              <w:overflowPunct/>
              <w:topLinePunct w:val="0"/>
              <w:autoSpaceDE/>
              <w:autoSpaceDN/>
              <w:bidi w:val="0"/>
              <w:adjustRightInd/>
              <w:spacing w:line="360" w:lineRule="exact"/>
              <w:jc w:val="left"/>
              <w:textAlignment w:val="auto"/>
              <w:rPr>
                <w:rFonts w:hint="eastAsia" w:ascii="宋体" w:hAnsi="宋体"/>
                <w:szCs w:val="21"/>
                <w:highlight w:val="none"/>
                <w:lang w:val="en-US" w:eastAsia="zh-CN"/>
              </w:rPr>
            </w:pPr>
            <w:r>
              <w:rPr>
                <w:rFonts w:hint="eastAsia" w:ascii="宋体" w:hAnsi="宋体" w:cs="宋体"/>
                <w:szCs w:val="21"/>
              </w:rPr>
              <w:t>可得分</w:t>
            </w:r>
            <w:r>
              <w:rPr>
                <w:rFonts w:hint="eastAsia" w:ascii="宋体" w:hAnsi="宋体" w:cs="宋体"/>
                <w:szCs w:val="21"/>
                <w:lang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cs="Times New Roman"/>
                <w:szCs w:val="21"/>
                <w:highlight w:val="none"/>
                <w:lang w:val="en-US" w:eastAsia="zh-CN"/>
              </w:rPr>
            </w:pPr>
            <w:r>
              <w:rPr>
                <w:rFonts w:hint="eastAsia" w:ascii="宋体" w:hAnsi="宋体"/>
                <w:szCs w:val="21"/>
                <w:highlight w:val="none"/>
                <w:lang w:val="en-US" w:eastAsia="zh-CN"/>
              </w:rPr>
              <w:t>4、</w:t>
            </w:r>
            <w:r>
              <w:rPr>
                <w:rFonts w:hint="eastAsia" w:ascii="宋体" w:hAnsi="宋体" w:eastAsia="宋体" w:cs="宋体"/>
                <w:sz w:val="21"/>
                <w:szCs w:val="21"/>
                <w:highlight w:val="none"/>
              </w:rPr>
              <w:t>提供开标日前由</w:t>
            </w:r>
            <w:r>
              <w:rPr>
                <w:rFonts w:hint="eastAsia" w:ascii="宋体" w:hAnsi="宋体" w:cs="Times New Roman"/>
                <w:szCs w:val="21"/>
                <w:highlight w:val="none"/>
                <w:lang w:val="en-US" w:eastAsia="zh-CN"/>
              </w:rPr>
              <w:t>投标人为拟投入本项目的人员缴交的载有政府部门公章（或专用章）的2026年5-7月的社保缴交证明材料，如开标日上一个月的社保材料因政府部门原因暂时无法取得，则可以往前顺延一个月；社保资料至少显示缴交养老保险信息，未显示该信息的该社保资料则不符合要求，如供应商为新成立企业且成立时间不足3个月的，需承诺相关人员为投标人自有员工，承诺函格式自拟并加盖公章；</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cs="Times New Roman"/>
                <w:szCs w:val="21"/>
                <w:highlight w:val="none"/>
                <w:lang w:val="en-US" w:eastAsia="zh-CN"/>
              </w:rPr>
              <w:t>5、</w:t>
            </w:r>
            <w:r>
              <w:rPr>
                <w:rFonts w:hint="eastAsia" w:ascii="宋体" w:hAnsi="宋体"/>
                <w:szCs w:val="21"/>
                <w:highlight w:val="none"/>
                <w:lang w:val="en-US" w:eastAsia="zh-CN"/>
              </w:rPr>
              <w:t>以上证明文件原件备查</w:t>
            </w:r>
            <w:r>
              <w:rPr>
                <w:rFonts w:hint="eastAsia" w:ascii="宋体" w:hAnsi="宋体" w:cs="Times New Roman"/>
                <w:szCs w:val="21"/>
                <w:highlight w:val="none"/>
                <w:lang w:val="en-US" w:eastAsia="zh-CN"/>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7</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拟安排的项目团队成员（项目负责人除外）情况</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lang w:eastAsia="zh-CN"/>
              </w:rPr>
            </w:pPr>
            <w:r>
              <w:rPr>
                <w:rFonts w:hint="eastAsia" w:ascii="宋体" w:hAnsi="宋体" w:cs="宋体"/>
                <w:szCs w:val="21"/>
                <w:highlight w:val="none"/>
              </w:rPr>
              <w:t>拟安排的项目团队成员（项目负责人除外）投标人现有员工</w:t>
            </w:r>
            <w:r>
              <w:rPr>
                <w:rFonts w:hint="eastAsia" w:ascii="宋体" w:hAnsi="宋体" w:eastAsia="宋体"/>
                <w:szCs w:val="21"/>
                <w:highlight w:val="none"/>
                <w:lang w:eastAsia="zh-CN"/>
              </w:rPr>
              <w:t>，否则不得分，在此基础上：</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rPr>
            </w:pPr>
            <w:r>
              <w:rPr>
                <w:rFonts w:hint="eastAsia" w:ascii="宋体" w:hAnsi="宋体" w:eastAsia="宋体"/>
                <w:szCs w:val="21"/>
                <w:highlight w:val="none"/>
              </w:rPr>
              <w:t>1、</w:t>
            </w:r>
            <w:r>
              <w:rPr>
                <w:rFonts w:hint="eastAsia" w:ascii="宋体" w:hAnsi="宋体"/>
                <w:szCs w:val="21"/>
                <w:highlight w:val="none"/>
                <w:lang w:val="en-US" w:eastAsia="zh-CN"/>
              </w:rPr>
              <w:t>每提供一人</w:t>
            </w:r>
            <w:r>
              <w:rPr>
                <w:rFonts w:hint="eastAsia" w:ascii="宋体" w:hAnsi="宋体" w:eastAsia="宋体"/>
                <w:szCs w:val="21"/>
                <w:highlight w:val="none"/>
              </w:rPr>
              <w:t>具有市场监督管理局或食品药品监督局颁发的高级食品安全管理员（师）证书或高级食品安全管理（人）员考试合格证明证书的，得1</w:t>
            </w:r>
            <w:r>
              <w:rPr>
                <w:rFonts w:hint="eastAsia" w:ascii="宋体" w:hAnsi="宋体"/>
                <w:szCs w:val="21"/>
                <w:highlight w:val="none"/>
                <w:lang w:val="en-US" w:eastAsia="zh-CN"/>
              </w:rPr>
              <w:t>5</w:t>
            </w:r>
            <w:r>
              <w:rPr>
                <w:rFonts w:hint="eastAsia" w:ascii="宋体" w:hAnsi="宋体" w:eastAsia="宋体"/>
                <w:szCs w:val="21"/>
                <w:highlight w:val="none"/>
              </w:rPr>
              <w:t>分，本小项最高</w:t>
            </w:r>
            <w:r>
              <w:rPr>
                <w:rFonts w:hint="eastAsia" w:ascii="宋体" w:hAnsi="宋体"/>
                <w:szCs w:val="21"/>
                <w:highlight w:val="none"/>
                <w:lang w:val="en-US" w:eastAsia="zh-CN"/>
              </w:rPr>
              <w:t>累计</w:t>
            </w:r>
            <w:r>
              <w:rPr>
                <w:rFonts w:hint="eastAsia" w:ascii="宋体" w:hAnsi="宋体" w:eastAsia="宋体"/>
                <w:szCs w:val="21"/>
                <w:highlight w:val="none"/>
              </w:rPr>
              <w:t>得</w:t>
            </w:r>
            <w:r>
              <w:rPr>
                <w:rFonts w:hint="eastAsia" w:ascii="宋体" w:hAnsi="宋体"/>
                <w:szCs w:val="21"/>
                <w:highlight w:val="none"/>
                <w:lang w:val="en-US" w:eastAsia="zh-CN"/>
              </w:rPr>
              <w:t>60</w:t>
            </w:r>
            <w:r>
              <w:rPr>
                <w:rFonts w:hint="eastAsia" w:ascii="宋体" w:hAnsi="宋体" w:eastAsia="宋体"/>
                <w:szCs w:val="21"/>
                <w:highlight w:val="none"/>
              </w:rPr>
              <w:t>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rPr>
            </w:pPr>
            <w:r>
              <w:rPr>
                <w:rFonts w:hint="eastAsia" w:ascii="宋体" w:hAnsi="宋体" w:eastAsia="宋体"/>
                <w:szCs w:val="21"/>
                <w:highlight w:val="none"/>
              </w:rPr>
              <w:t>2、</w:t>
            </w:r>
            <w:r>
              <w:rPr>
                <w:rFonts w:hint="eastAsia" w:ascii="宋体" w:hAnsi="宋体"/>
                <w:szCs w:val="21"/>
                <w:highlight w:val="none"/>
                <w:lang w:val="en-US" w:eastAsia="zh-CN"/>
              </w:rPr>
              <w:t>提供一人</w:t>
            </w:r>
            <w:r>
              <w:rPr>
                <w:rFonts w:hint="eastAsia" w:ascii="宋体" w:hAnsi="宋体" w:eastAsia="宋体"/>
                <w:szCs w:val="21"/>
                <w:highlight w:val="none"/>
              </w:rPr>
              <w:t>具有</w:t>
            </w:r>
            <w:r>
              <w:rPr>
                <w:rFonts w:hint="eastAsia"/>
              </w:rPr>
              <w:t>行政机关或事业单位</w:t>
            </w:r>
            <w:r>
              <w:rPr>
                <w:rFonts w:hint="eastAsia" w:ascii="宋体" w:hAnsi="宋体" w:eastAsia="宋体" w:cs="宋体"/>
                <w:color w:val="auto"/>
                <w:sz w:val="21"/>
                <w:szCs w:val="21"/>
                <w:highlight w:val="none"/>
                <w:lang w:eastAsia="zh-CN"/>
              </w:rPr>
              <w:t>（或经人社部门备案的社评组织或用人单位）</w:t>
            </w:r>
            <w:r>
              <w:rPr>
                <w:rFonts w:hint="eastAsia"/>
              </w:rPr>
              <w:t>颁发的</w:t>
            </w:r>
            <w:r>
              <w:rPr>
                <w:rFonts w:hint="eastAsia" w:ascii="宋体" w:hAnsi="宋体"/>
                <w:szCs w:val="21"/>
                <w:highlight w:val="none"/>
                <w:lang w:eastAsia="zh-CN"/>
              </w:rPr>
              <w:t>（</w:t>
            </w:r>
            <w:r>
              <w:rPr>
                <w:rFonts w:hint="eastAsia" w:ascii="宋体" w:hAnsi="宋体" w:eastAsia="宋体"/>
                <w:szCs w:val="21"/>
                <w:highlight w:val="none"/>
              </w:rPr>
              <w:t>一级/高级技师</w:t>
            </w:r>
            <w:r>
              <w:rPr>
                <w:rFonts w:hint="eastAsia" w:ascii="宋体" w:hAnsi="宋体"/>
                <w:szCs w:val="21"/>
                <w:highlight w:val="none"/>
                <w:lang w:eastAsia="zh-CN"/>
              </w:rPr>
              <w:t>）</w:t>
            </w:r>
            <w:r>
              <w:rPr>
                <w:rFonts w:hint="eastAsia"/>
              </w:rPr>
              <w:t>食品检验（检测）员（师/工）或农产品食品检验员</w:t>
            </w:r>
            <w:r>
              <w:rPr>
                <w:rFonts w:hint="eastAsia" w:ascii="宋体" w:hAnsi="宋体" w:eastAsia="宋体"/>
                <w:szCs w:val="21"/>
                <w:highlight w:val="none"/>
              </w:rPr>
              <w:t>证书的，得</w:t>
            </w:r>
            <w:r>
              <w:rPr>
                <w:rFonts w:hint="eastAsia" w:ascii="宋体" w:hAnsi="宋体"/>
                <w:szCs w:val="21"/>
                <w:highlight w:val="none"/>
                <w:lang w:val="en-US" w:eastAsia="zh-CN"/>
              </w:rPr>
              <w:t>40</w:t>
            </w:r>
            <w:r>
              <w:rPr>
                <w:rFonts w:hint="eastAsia" w:ascii="宋体" w:hAnsi="宋体" w:eastAsia="宋体"/>
                <w:szCs w:val="21"/>
                <w:highlight w:val="none"/>
              </w:rPr>
              <w:t>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rPr>
            </w:pPr>
            <w:r>
              <w:rPr>
                <w:rFonts w:hint="eastAsia" w:ascii="宋体" w:hAnsi="宋体"/>
                <w:szCs w:val="21"/>
                <w:highlight w:val="none"/>
                <w:lang w:val="en-US" w:eastAsia="zh-CN"/>
              </w:rPr>
              <w:t>3、提供一人</w:t>
            </w:r>
            <w:r>
              <w:rPr>
                <w:rFonts w:hint="eastAsia" w:ascii="宋体" w:hAnsi="宋体" w:eastAsia="宋体"/>
                <w:szCs w:val="21"/>
                <w:highlight w:val="none"/>
              </w:rPr>
              <w:t>具有</w:t>
            </w:r>
            <w:r>
              <w:rPr>
                <w:rFonts w:hint="eastAsia"/>
              </w:rPr>
              <w:t>行政机关或事业单位</w:t>
            </w:r>
            <w:r>
              <w:rPr>
                <w:rFonts w:hint="eastAsia" w:ascii="宋体" w:hAnsi="宋体" w:eastAsia="宋体" w:cs="宋体"/>
                <w:color w:val="auto"/>
                <w:sz w:val="21"/>
                <w:szCs w:val="21"/>
                <w:highlight w:val="none"/>
                <w:lang w:eastAsia="zh-CN"/>
              </w:rPr>
              <w:t>（或经人社部门备案的社评组织或用人单位）</w:t>
            </w:r>
            <w:r>
              <w:rPr>
                <w:rFonts w:hint="eastAsia"/>
              </w:rPr>
              <w:t>颁发的</w:t>
            </w:r>
            <w:r>
              <w:rPr>
                <w:rFonts w:hint="eastAsia" w:ascii="宋体" w:hAnsi="宋体"/>
                <w:szCs w:val="21"/>
                <w:highlight w:val="none"/>
                <w:lang w:eastAsia="zh-CN"/>
              </w:rPr>
              <w:t>（</w:t>
            </w:r>
            <w:r>
              <w:rPr>
                <w:rFonts w:hint="eastAsia" w:ascii="宋体" w:hAnsi="宋体" w:eastAsia="宋体"/>
                <w:szCs w:val="21"/>
                <w:highlight w:val="none"/>
              </w:rPr>
              <w:t>二级/技师</w:t>
            </w:r>
            <w:r>
              <w:rPr>
                <w:rFonts w:hint="eastAsia" w:ascii="宋体" w:hAnsi="宋体"/>
                <w:szCs w:val="21"/>
                <w:highlight w:val="none"/>
                <w:lang w:eastAsia="zh-CN"/>
              </w:rPr>
              <w:t>）食品检验（检测）员（师/工）或农产品食品检验员</w:t>
            </w:r>
            <w:r>
              <w:rPr>
                <w:rFonts w:hint="eastAsia" w:ascii="宋体" w:hAnsi="宋体" w:eastAsia="宋体"/>
                <w:szCs w:val="21"/>
                <w:highlight w:val="none"/>
              </w:rPr>
              <w:t>证书的</w:t>
            </w:r>
            <w:r>
              <w:rPr>
                <w:rFonts w:hint="eastAsia" w:ascii="宋体" w:hAnsi="宋体"/>
                <w:szCs w:val="21"/>
                <w:highlight w:val="none"/>
                <w:lang w:eastAsia="zh-CN"/>
              </w:rPr>
              <w:t>，</w:t>
            </w:r>
            <w:r>
              <w:rPr>
                <w:rFonts w:hint="eastAsia" w:ascii="宋体" w:hAnsi="宋体" w:eastAsia="宋体"/>
                <w:szCs w:val="21"/>
                <w:highlight w:val="none"/>
              </w:rPr>
              <w:t>得30分，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rPr>
            </w:pPr>
            <w:r>
              <w:rPr>
                <w:rFonts w:hint="eastAsia" w:ascii="宋体" w:hAnsi="宋体"/>
                <w:szCs w:val="21"/>
                <w:highlight w:val="none"/>
                <w:lang w:val="en-US" w:eastAsia="zh-CN"/>
              </w:rPr>
              <w:t>4、提供一人</w:t>
            </w:r>
            <w:r>
              <w:rPr>
                <w:rFonts w:hint="eastAsia" w:ascii="宋体" w:hAnsi="宋体" w:eastAsia="宋体"/>
                <w:szCs w:val="21"/>
                <w:highlight w:val="none"/>
              </w:rPr>
              <w:t>具有</w:t>
            </w:r>
            <w:r>
              <w:rPr>
                <w:rFonts w:hint="eastAsia"/>
              </w:rPr>
              <w:t>行政机关或事业单位</w:t>
            </w:r>
            <w:r>
              <w:rPr>
                <w:rFonts w:hint="eastAsia" w:ascii="宋体" w:hAnsi="宋体" w:eastAsia="宋体" w:cs="宋体"/>
                <w:color w:val="auto"/>
                <w:sz w:val="21"/>
                <w:szCs w:val="21"/>
                <w:highlight w:val="none"/>
                <w:lang w:eastAsia="zh-CN"/>
              </w:rPr>
              <w:t>（或经人社部门备案的社评组织或用人单位）</w:t>
            </w:r>
            <w:r>
              <w:rPr>
                <w:rFonts w:hint="eastAsia"/>
              </w:rPr>
              <w:t>颁发的</w:t>
            </w:r>
            <w:r>
              <w:rPr>
                <w:rFonts w:hint="eastAsia" w:ascii="宋体" w:hAnsi="宋体"/>
                <w:szCs w:val="21"/>
                <w:highlight w:val="none"/>
                <w:lang w:eastAsia="zh-CN"/>
              </w:rPr>
              <w:t>（</w:t>
            </w:r>
            <w:r>
              <w:rPr>
                <w:rFonts w:hint="eastAsia" w:ascii="宋体" w:hAnsi="宋体" w:eastAsia="宋体"/>
                <w:szCs w:val="21"/>
                <w:highlight w:val="none"/>
              </w:rPr>
              <w:t>三级/高级</w:t>
            </w:r>
            <w:r>
              <w:rPr>
                <w:rFonts w:hint="eastAsia" w:ascii="宋体" w:hAnsi="宋体"/>
                <w:szCs w:val="21"/>
                <w:highlight w:val="none"/>
                <w:lang w:eastAsia="zh-CN"/>
              </w:rPr>
              <w:t>）食品检验（检测）员（师/工）或农产品食品检验员</w:t>
            </w:r>
            <w:r>
              <w:rPr>
                <w:rFonts w:hint="eastAsia" w:ascii="宋体" w:hAnsi="宋体" w:eastAsia="宋体"/>
                <w:szCs w:val="21"/>
                <w:highlight w:val="none"/>
              </w:rPr>
              <w:t>证书</w:t>
            </w:r>
            <w:r>
              <w:rPr>
                <w:rFonts w:hint="eastAsia" w:ascii="宋体" w:hAnsi="宋体"/>
                <w:szCs w:val="21"/>
                <w:highlight w:val="none"/>
                <w:lang w:val="en-US" w:eastAsia="zh-CN"/>
              </w:rPr>
              <w:t>的，</w:t>
            </w:r>
            <w:r>
              <w:rPr>
                <w:rFonts w:hint="eastAsia" w:ascii="宋体" w:hAnsi="宋体" w:eastAsia="宋体"/>
                <w:szCs w:val="21"/>
                <w:highlight w:val="none"/>
              </w:rPr>
              <w:t>得25分，</w:t>
            </w:r>
          </w:p>
          <w:p>
            <w:pPr>
              <w:keepNext w:val="0"/>
              <w:keepLines w:val="0"/>
              <w:pageBreakBefore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lang w:val="en-US" w:eastAsia="zh-CN"/>
              </w:rPr>
            </w:pPr>
            <w:r>
              <w:rPr>
                <w:rFonts w:hint="eastAsia" w:ascii="宋体" w:hAnsi="宋体"/>
                <w:szCs w:val="21"/>
                <w:highlight w:val="none"/>
                <w:lang w:val="en-US" w:eastAsia="zh-CN"/>
              </w:rPr>
              <w:t>提供一人</w:t>
            </w:r>
            <w:r>
              <w:rPr>
                <w:rFonts w:hint="eastAsia" w:ascii="宋体" w:hAnsi="宋体" w:eastAsia="宋体"/>
                <w:szCs w:val="21"/>
                <w:highlight w:val="none"/>
              </w:rPr>
              <w:t>具有</w:t>
            </w:r>
            <w:r>
              <w:rPr>
                <w:rFonts w:hint="eastAsia" w:ascii="宋体" w:hAnsi="宋体"/>
                <w:szCs w:val="21"/>
                <w:highlight w:val="none"/>
              </w:rPr>
              <w:t>行政机关或事业单位</w:t>
            </w:r>
            <w:r>
              <w:rPr>
                <w:rFonts w:hint="eastAsia" w:ascii="宋体" w:hAnsi="宋体" w:eastAsia="宋体" w:cs="宋体"/>
                <w:color w:val="auto"/>
                <w:sz w:val="21"/>
                <w:szCs w:val="21"/>
                <w:highlight w:val="none"/>
                <w:lang w:eastAsia="zh-CN"/>
              </w:rPr>
              <w:t>（或经人社部门备案的社评组织或用人单位）</w:t>
            </w:r>
            <w:r>
              <w:rPr>
                <w:rFonts w:hint="eastAsia" w:ascii="宋体" w:hAnsi="宋体"/>
                <w:szCs w:val="21"/>
                <w:highlight w:val="none"/>
              </w:rPr>
              <w:t>颁发的</w:t>
            </w:r>
            <w:r>
              <w:rPr>
                <w:rFonts w:hint="eastAsia" w:ascii="宋体" w:hAnsi="宋体"/>
                <w:szCs w:val="21"/>
                <w:highlight w:val="none"/>
                <w:lang w:eastAsia="zh-CN"/>
              </w:rPr>
              <w:t>四级/中级（含）或以下食品检验（检测）员（师/工）或农产品食品检验员</w:t>
            </w:r>
            <w:r>
              <w:rPr>
                <w:rFonts w:hint="eastAsia" w:ascii="宋体" w:hAnsi="宋体" w:eastAsia="宋体"/>
                <w:szCs w:val="21"/>
                <w:highlight w:val="none"/>
              </w:rPr>
              <w:t>证书</w:t>
            </w:r>
            <w:r>
              <w:rPr>
                <w:rFonts w:hint="eastAsia" w:ascii="宋体" w:hAnsi="宋体"/>
                <w:szCs w:val="21"/>
                <w:highlight w:val="none"/>
                <w:lang w:val="en-US" w:eastAsia="zh-CN"/>
              </w:rPr>
              <w:t>的，</w:t>
            </w:r>
            <w:r>
              <w:rPr>
                <w:rFonts w:hint="eastAsia" w:ascii="宋体" w:hAnsi="宋体" w:eastAsia="宋体"/>
                <w:szCs w:val="21"/>
                <w:highlight w:val="none"/>
              </w:rPr>
              <w:t>得20分，</w:t>
            </w:r>
            <w:r>
              <w:rPr>
                <w:rFonts w:hint="eastAsia" w:ascii="宋体" w:hAnsi="宋体"/>
                <w:szCs w:val="21"/>
                <w:highlight w:val="none"/>
                <w:lang w:val="en-US" w:eastAsia="zh-CN"/>
              </w:rPr>
              <w:t>本小项可累积得分，本小项最高得40分。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szCs w:val="21"/>
                <w:highlight w:val="none"/>
              </w:rPr>
            </w:pPr>
            <w:r>
              <w:rPr>
                <w:rFonts w:hint="eastAsia" w:ascii="宋体" w:hAnsi="宋体"/>
                <w:szCs w:val="21"/>
                <w:highlight w:val="none"/>
                <w:lang w:val="en-US" w:eastAsia="zh-CN"/>
              </w:rPr>
              <w:t>以上累计得分，本项最高得100分；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szCs w:val="21"/>
                <w:highlight w:val="none"/>
              </w:rPr>
            </w:pPr>
            <w:r>
              <w:rPr>
                <w:rFonts w:hint="eastAsia" w:asciiTheme="minorEastAsia" w:hAnsiTheme="minorEastAsia" w:eastAsiaTheme="minorEastAsia" w:cstheme="minorEastAsia"/>
                <w:szCs w:val="20"/>
                <w:highlight w:val="none"/>
              </w:rPr>
              <w:t>同一人员具有多个证书的不重复得分</w:t>
            </w:r>
            <w:r>
              <w:rPr>
                <w:rFonts w:hint="eastAsia" w:ascii="宋体" w:hAnsi="宋体" w:eastAsia="宋体"/>
                <w:szCs w:val="21"/>
                <w:highlight w:val="none"/>
              </w:rPr>
              <w:t>。</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证明文件</w:t>
            </w:r>
            <w:r>
              <w:rPr>
                <w:rFonts w:hint="eastAsia" w:ascii="宋体" w:hAnsi="宋体" w:eastAsia="宋体" w:cs="宋体"/>
                <w:b/>
                <w:bCs/>
                <w:szCs w:val="21"/>
                <w:highlight w:val="none"/>
              </w:rPr>
              <w:t>：</w:t>
            </w:r>
          </w:p>
          <w:p>
            <w:pPr>
              <w:keepNext w:val="0"/>
              <w:keepLines w:val="0"/>
              <w:pageBreakBefore w:val="0"/>
              <w:kinsoku/>
              <w:wordWrap w:val="0"/>
              <w:overflowPunct/>
              <w:topLinePunct w:val="0"/>
              <w:autoSpaceDE/>
              <w:autoSpaceDN/>
              <w:bidi w:val="0"/>
              <w:adjustRightInd/>
              <w:spacing w:line="360" w:lineRule="exact"/>
              <w:jc w:val="left"/>
              <w:textAlignment w:val="auto"/>
              <w:rPr>
                <w:rFonts w:ascii="宋体" w:hAnsi="宋体" w:eastAsia="宋体"/>
                <w:szCs w:val="21"/>
                <w:highlight w:val="none"/>
              </w:rPr>
            </w:pPr>
            <w:r>
              <w:rPr>
                <w:rFonts w:hint="eastAsia" w:ascii="宋体" w:hAnsi="宋体" w:eastAsia="宋体"/>
                <w:szCs w:val="21"/>
                <w:highlight w:val="none"/>
              </w:rPr>
              <w:t>1</w:t>
            </w:r>
            <w:r>
              <w:rPr>
                <w:rFonts w:hint="eastAsia" w:ascii="宋体" w:hAnsi="宋体"/>
                <w:szCs w:val="21"/>
                <w:highlight w:val="none"/>
                <w:lang w:val="en-US" w:eastAsia="zh-CN"/>
              </w:rPr>
              <w:t>、</w:t>
            </w:r>
            <w:r>
              <w:rPr>
                <w:rFonts w:hint="eastAsia" w:ascii="宋体" w:hAnsi="宋体" w:eastAsia="宋体"/>
                <w:szCs w:val="21"/>
                <w:highlight w:val="none"/>
                <w:lang w:val="en-US" w:eastAsia="zh-CN"/>
              </w:rPr>
              <w:t>提供证书扫描件；</w:t>
            </w:r>
            <w:r>
              <w:rPr>
                <w:rFonts w:hint="eastAsia" w:ascii="宋体" w:hAnsi="宋体"/>
                <w:szCs w:val="21"/>
                <w:highlight w:val="none"/>
                <w:lang w:val="en-US" w:eastAsia="zh-CN"/>
              </w:rPr>
              <w:t>2-4项还需提供</w:t>
            </w:r>
            <w:r>
              <w:rPr>
                <w:rFonts w:hint="eastAsia" w:ascii="宋体" w:hAnsi="宋体" w:cs="宋体"/>
                <w:szCs w:val="21"/>
              </w:rPr>
              <w:t>证书提供在“技能人才评价证书全国联网查询”（网址：http://zscx.osta.org.cn）官网查询截图，如证书为人社部门备案的社评组织或用人单位颁发的，并提供其在职业技能等级评价机构公示查询系统（https://pjjg.osta.org.cn/）的截图；以上证书如由协会颁发的证书，除上述内容，还需提供该协会(机构)在“中国社会组织政务服务平台</w:t>
            </w:r>
            <w:r>
              <w:rPr>
                <w:rFonts w:ascii="宋体" w:hAnsi="宋体" w:cs="宋体"/>
                <w:szCs w:val="21"/>
              </w:rPr>
              <w:t>(https://chinanpo.mca.gov.cn/)</w:t>
            </w:r>
            <w:r>
              <w:rPr>
                <w:rFonts w:hint="eastAsia" w:ascii="宋体" w:hAnsi="宋体" w:cs="宋体"/>
                <w:szCs w:val="21"/>
              </w:rPr>
              <w:t xml:space="preserve"> ”的已合法登记且状态正常截图，或该协会(机构)由政府部门或行政事业单位审批的证明文件扫描件，否则不予认可，视为无效证书；若证书暂未能在技能人才评价证书全国联网查询的，则可提供证书颁发机构在技能人才评价证书全国联网（职业技能等级评价机构公示查询系统）查询截图(https://pjjg.osta.org.cn/)，且开展职业技能等级认定的对象是面向社会开展职业技能等级认定，如开展职业技能等级认定的对象仅限面向本单位职工开展职业技能等级认定，证书的颁发机构和投标人名称应保持一致。如该人员已从证书颁发机构离职，同时提供该人员在原证书颁发机构的社保证明或劳动合同或工作证明，也可得分</w:t>
            </w:r>
            <w:r>
              <w:rPr>
                <w:rFonts w:hint="eastAsia" w:ascii="宋体" w:hAnsi="宋体" w:cs="宋体"/>
                <w:szCs w:val="21"/>
                <w:lang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szCs w:val="21"/>
                <w:highlight w:val="none"/>
                <w:lang w:val="en-US" w:eastAsia="zh-CN"/>
              </w:rPr>
            </w:pPr>
            <w:r>
              <w:rPr>
                <w:rFonts w:hint="eastAsia" w:ascii="宋体" w:hAnsi="宋体"/>
                <w:szCs w:val="21"/>
                <w:highlight w:val="none"/>
                <w:lang w:val="en-US" w:eastAsia="zh-CN"/>
              </w:rPr>
              <w:t>2、</w:t>
            </w:r>
            <w:r>
              <w:rPr>
                <w:rFonts w:hint="eastAsia" w:ascii="宋体" w:hAnsi="宋体" w:eastAsia="宋体" w:cs="宋体"/>
                <w:sz w:val="21"/>
                <w:szCs w:val="21"/>
                <w:highlight w:val="none"/>
              </w:rPr>
              <w:t>提供开标日前由投标人为</w:t>
            </w:r>
            <w:r>
              <w:rPr>
                <w:rFonts w:hint="eastAsia" w:ascii="宋体" w:hAnsi="宋体" w:cs="宋体"/>
                <w:sz w:val="21"/>
                <w:szCs w:val="21"/>
                <w:highlight w:val="none"/>
                <w:lang w:eastAsia="zh-CN"/>
              </w:rPr>
              <w:t>拟投入本项目的</w:t>
            </w:r>
            <w:r>
              <w:rPr>
                <w:rFonts w:hint="eastAsia" w:ascii="宋体" w:hAnsi="宋体" w:cs="宋体"/>
                <w:sz w:val="21"/>
                <w:szCs w:val="21"/>
                <w:highlight w:val="none"/>
                <w:lang w:val="en-US" w:eastAsia="zh-CN"/>
              </w:rPr>
              <w:t>人员</w:t>
            </w:r>
            <w:r>
              <w:rPr>
                <w:rFonts w:hint="eastAsia" w:ascii="宋体" w:hAnsi="宋体" w:eastAsia="宋体" w:cs="宋体"/>
                <w:sz w:val="21"/>
                <w:szCs w:val="21"/>
                <w:highlight w:val="none"/>
              </w:rPr>
              <w:t>缴交</w:t>
            </w:r>
            <w:r>
              <w:rPr>
                <w:rFonts w:hint="eastAsia" w:ascii="宋体" w:hAnsi="宋体" w:cs="宋体"/>
                <w:sz w:val="21"/>
                <w:szCs w:val="21"/>
                <w:highlight w:val="none"/>
                <w:lang w:val="en-US" w:eastAsia="zh-CN"/>
              </w:rPr>
              <w:t>的载有政府部门公章（或专用章）的</w:t>
            </w:r>
            <w:r>
              <w:rPr>
                <w:rFonts w:hint="eastAsia" w:ascii="宋体" w:hAnsi="宋体" w:cs="Times New Roman"/>
                <w:szCs w:val="21"/>
                <w:highlight w:val="none"/>
                <w:lang w:val="en-US" w:eastAsia="zh-CN"/>
              </w:rPr>
              <w:t>2026年5-7月</w:t>
            </w:r>
            <w:r>
              <w:rPr>
                <w:rFonts w:hint="eastAsia" w:ascii="宋体" w:hAnsi="宋体" w:cs="宋体"/>
                <w:sz w:val="21"/>
                <w:szCs w:val="21"/>
                <w:highlight w:val="none"/>
                <w:lang w:val="en-US" w:eastAsia="zh-CN"/>
              </w:rPr>
              <w:t>的社保缴交证明材料，如开标日上一个月的社保材料因政府部门原因暂时无法取得，则可以往前顺延一个月；社保资料至少显示缴交养老保险信息，未显示该信息的该社保资料则不符合要求，如供应商为新成立企业且成立时间不足3个月的，需承诺相关人员为投标人自有员工，承诺函格式自拟并加盖公章；</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Cs w:val="21"/>
                <w:highlight w:val="none"/>
              </w:rPr>
            </w:pPr>
            <w:r>
              <w:rPr>
                <w:rFonts w:hint="eastAsia" w:ascii="宋体" w:hAnsi="宋体"/>
                <w:szCs w:val="21"/>
                <w:highlight w:val="none"/>
                <w:lang w:val="en-US" w:eastAsia="zh-CN"/>
              </w:rPr>
              <w:t>3、以上证明文件原件备查，</w:t>
            </w:r>
            <w:r>
              <w:rPr>
                <w:rFonts w:hint="eastAsia" w:ascii="宋体" w:hAnsi="宋体" w:eastAsia="宋体" w:cs="宋体"/>
                <w:sz w:val="21"/>
                <w:szCs w:val="21"/>
                <w:highlight w:val="none"/>
                <w:lang w:eastAsia="zh-CN"/>
              </w:rPr>
              <w:t>未提供或未按要求提供或提供的不清晰导致专家无法判断的，不得分</w:t>
            </w:r>
            <w:r>
              <w:rPr>
                <w:rFonts w:hint="eastAsia" w:ascii="宋体" w:hAnsi="宋体"/>
                <w:szCs w:val="21"/>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拟投入检测设备情况</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6</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
                <w:szCs w:val="21"/>
                <w:highlight w:val="none"/>
              </w:rPr>
            </w:pPr>
            <w:r>
              <w:rPr>
                <w:rFonts w:hint="eastAsia" w:ascii="宋体" w:hAnsi="宋体" w:eastAsia="宋体" w:cs="宋体"/>
                <w:szCs w:val="21"/>
                <w:highlight w:val="none"/>
              </w:rPr>
              <w:t>投标人具有检测室</w:t>
            </w:r>
            <w:r>
              <w:rPr>
                <w:rFonts w:hint="eastAsia" w:ascii="宋体" w:hAnsi="宋体" w:cs="宋体"/>
                <w:szCs w:val="21"/>
                <w:highlight w:val="none"/>
                <w:lang w:eastAsia="zh-CN"/>
              </w:rPr>
              <w:t>（自有或租赁均可）</w:t>
            </w:r>
            <w:r>
              <w:rPr>
                <w:rFonts w:hint="eastAsia" w:ascii="宋体" w:hAnsi="宋体" w:eastAsia="宋体" w:cs="宋体"/>
                <w:szCs w:val="21"/>
                <w:highlight w:val="none"/>
                <w:lang w:eastAsia="zh-CN"/>
              </w:rPr>
              <w:t>，</w:t>
            </w:r>
            <w:r>
              <w:rPr>
                <w:rFonts w:hint="eastAsia" w:ascii="宋体" w:hAnsi="宋体" w:eastAsia="宋体" w:cs="宋体"/>
                <w:szCs w:val="21"/>
                <w:highlight w:val="none"/>
              </w:rPr>
              <w:t>在此基础上</w:t>
            </w:r>
            <w:r>
              <w:rPr>
                <w:rFonts w:hint="eastAsia" w:ascii="宋体" w:hAnsi="宋体" w:eastAsia="宋体" w:cs="宋体"/>
                <w:szCs w:val="21"/>
                <w:highlight w:val="none"/>
                <w:lang w:eastAsia="zh-CN"/>
              </w:rPr>
              <w:t>，</w:t>
            </w:r>
            <w:r>
              <w:rPr>
                <w:rFonts w:hint="eastAsia" w:ascii="宋体" w:hAnsi="宋体" w:eastAsia="宋体" w:cs="宋体"/>
                <w:szCs w:val="21"/>
                <w:highlight w:val="none"/>
              </w:rPr>
              <w:t>具有仪器</w:t>
            </w:r>
            <w:r>
              <w:rPr>
                <w:rFonts w:hint="eastAsia" w:ascii="宋体" w:hAnsi="宋体" w:cs="宋体"/>
                <w:szCs w:val="21"/>
                <w:highlight w:val="none"/>
                <w:lang w:eastAsia="zh-CN"/>
              </w:rPr>
              <w:t>（</w:t>
            </w:r>
            <w:r>
              <w:rPr>
                <w:rFonts w:hint="eastAsia" w:ascii="宋体" w:hAnsi="宋体" w:eastAsia="宋体" w:cs="宋体"/>
                <w:szCs w:val="21"/>
                <w:highlight w:val="none"/>
              </w:rPr>
              <w:t>自有</w:t>
            </w:r>
            <w:r>
              <w:rPr>
                <w:rFonts w:hint="eastAsia" w:ascii="宋体" w:hAnsi="宋体" w:eastAsia="宋体" w:cs="宋体"/>
                <w:szCs w:val="21"/>
                <w:highlight w:val="none"/>
                <w:lang w:eastAsia="zh-CN"/>
              </w:rPr>
              <w:t>或租赁</w:t>
            </w:r>
            <w:r>
              <w:rPr>
                <w:rFonts w:hint="eastAsia" w:ascii="宋体" w:hAnsi="宋体" w:cs="宋体"/>
                <w:szCs w:val="21"/>
                <w:highlight w:val="none"/>
                <w:lang w:eastAsia="zh-CN"/>
              </w:rPr>
              <w:t>均可）</w:t>
            </w:r>
            <w:r>
              <w:rPr>
                <w:rFonts w:hint="eastAsia" w:ascii="宋体" w:hAnsi="宋体" w:eastAsia="宋体" w:cs="宋体"/>
                <w:szCs w:val="21"/>
                <w:highlight w:val="none"/>
              </w:rPr>
              <w:t>的情况</w:t>
            </w:r>
            <w:r>
              <w:rPr>
                <w:rFonts w:hint="eastAsia" w:ascii="宋体" w:hAnsi="宋体" w:cs="宋体"/>
                <w:szCs w:val="21"/>
                <w:highlight w:val="none"/>
                <w:lang w:eastAsia="zh-CN"/>
              </w:rPr>
              <w:t>进行评分</w:t>
            </w:r>
            <w:r>
              <w:rPr>
                <w:rFonts w:hint="eastAsia" w:ascii="宋体" w:hAnsi="宋体" w:eastAsia="宋体" w:cs="宋体"/>
                <w:szCs w:val="21"/>
                <w:highlight w:val="none"/>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
                <w:bCs/>
                <w:szCs w:val="21"/>
                <w:highlight w:val="none"/>
              </w:rPr>
            </w:pPr>
            <w:r>
              <w:rPr>
                <w:rFonts w:hint="eastAsia" w:ascii="宋体" w:hAnsi="宋体" w:eastAsia="宋体" w:cs="宋体"/>
                <w:szCs w:val="21"/>
                <w:highlight w:val="none"/>
              </w:rPr>
              <w:t>1、具有</w:t>
            </w:r>
            <w:r>
              <w:rPr>
                <w:rFonts w:hint="eastAsia" w:ascii="宋体" w:hAnsi="宋体" w:cs="宋体"/>
                <w:szCs w:val="21"/>
                <w:highlight w:val="none"/>
                <w:lang w:eastAsia="zh-CN"/>
              </w:rPr>
              <w:t>农药</w:t>
            </w:r>
            <w:r>
              <w:rPr>
                <w:rFonts w:hint="eastAsia" w:ascii="宋体" w:hAnsi="宋体" w:eastAsia="宋体" w:cs="宋体"/>
                <w:szCs w:val="21"/>
                <w:highlight w:val="none"/>
              </w:rPr>
              <w:t>残留检测仪的，得</w:t>
            </w:r>
            <w:r>
              <w:rPr>
                <w:rFonts w:hint="eastAsia" w:ascii="宋体" w:hAnsi="宋体" w:eastAsia="宋体" w:cs="宋体"/>
                <w:szCs w:val="21"/>
                <w:highlight w:val="none"/>
                <w:lang w:val="en-US" w:eastAsia="zh-CN"/>
              </w:rPr>
              <w:t>2</w:t>
            </w:r>
            <w:r>
              <w:rPr>
                <w:rFonts w:hint="eastAsia" w:ascii="宋体" w:hAnsi="宋体" w:cs="宋体"/>
                <w:szCs w:val="21"/>
                <w:highlight w:val="none"/>
                <w:lang w:val="en-US" w:eastAsia="zh-CN"/>
              </w:rPr>
              <w:t>0</w:t>
            </w:r>
            <w:r>
              <w:rPr>
                <w:rFonts w:hint="eastAsia" w:ascii="宋体" w:hAnsi="宋体" w:eastAsia="宋体" w:cs="宋体"/>
                <w:szCs w:val="21"/>
                <w:highlight w:val="none"/>
              </w:rPr>
              <w:t>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、具有</w:t>
            </w:r>
            <w:r>
              <w:rPr>
                <w:rFonts w:hint="eastAsia" w:ascii="宋体" w:hAnsi="宋体" w:eastAsia="宋体" w:cs="宋体"/>
                <w:b w:val="0"/>
                <w:bCs w:val="0"/>
                <w:kern w:val="2"/>
                <w:sz w:val="21"/>
                <w:szCs w:val="21"/>
                <w:highlight w:val="none"/>
                <w:lang w:val="en-US" w:eastAsia="zh-CN" w:bidi="ar-SA"/>
              </w:rPr>
              <w:t>微生物检测仪的，</w:t>
            </w:r>
            <w:r>
              <w:rPr>
                <w:rFonts w:hint="eastAsia" w:ascii="宋体" w:hAnsi="宋体" w:eastAsia="宋体" w:cs="宋体"/>
                <w:szCs w:val="21"/>
                <w:highlight w:val="none"/>
              </w:rPr>
              <w:t>得2</w:t>
            </w:r>
            <w:r>
              <w:rPr>
                <w:rFonts w:hint="eastAsia" w:ascii="宋体" w:hAnsi="宋体" w:cs="宋体"/>
                <w:szCs w:val="21"/>
                <w:highlight w:val="none"/>
                <w:lang w:val="en-US" w:eastAsia="zh-CN"/>
              </w:rPr>
              <w:t>0</w:t>
            </w:r>
            <w:r>
              <w:rPr>
                <w:rFonts w:hint="eastAsia" w:ascii="宋体" w:hAnsi="宋体" w:eastAsia="宋体" w:cs="宋体"/>
                <w:szCs w:val="21"/>
                <w:highlight w:val="none"/>
              </w:rPr>
              <w:t>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
                <w:bCs/>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、具有重金属检测仪的，得2</w:t>
            </w:r>
            <w:r>
              <w:rPr>
                <w:rFonts w:hint="eastAsia" w:ascii="宋体" w:hAnsi="宋体" w:cs="宋体"/>
                <w:szCs w:val="21"/>
                <w:highlight w:val="none"/>
                <w:lang w:val="en-US" w:eastAsia="zh-CN"/>
              </w:rPr>
              <w:t>0</w:t>
            </w:r>
            <w:r>
              <w:rPr>
                <w:rFonts w:hint="eastAsia" w:ascii="宋体" w:hAnsi="宋体" w:eastAsia="宋体" w:cs="宋体"/>
                <w:szCs w:val="21"/>
                <w:highlight w:val="none"/>
              </w:rPr>
              <w:t>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w:t>
            </w:r>
            <w:r>
              <w:rPr>
                <w:rFonts w:hint="eastAsia" w:ascii="宋体" w:hAnsi="宋体" w:cs="宋体"/>
                <w:szCs w:val="21"/>
                <w:highlight w:val="none"/>
                <w:lang w:eastAsia="zh-CN"/>
              </w:rPr>
              <w:t>具有食品添加剂检测仪的，得</w:t>
            </w:r>
            <w:r>
              <w:rPr>
                <w:rFonts w:hint="eastAsia" w:ascii="宋体" w:hAnsi="宋体" w:cs="宋体"/>
                <w:szCs w:val="21"/>
                <w:highlight w:val="none"/>
                <w:lang w:val="en-US" w:eastAsia="zh-CN"/>
              </w:rPr>
              <w:t>20分；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5、具有多功能食品安全综合分析检测仪的，得20分；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
                <w:bCs/>
                <w:szCs w:val="21"/>
                <w:highlight w:val="none"/>
              </w:rPr>
            </w:pPr>
            <w:r>
              <w:rPr>
                <w:rFonts w:hint="eastAsia" w:ascii="宋体" w:hAnsi="宋体" w:cs="宋体"/>
                <w:szCs w:val="21"/>
                <w:highlight w:val="none"/>
              </w:rPr>
              <w:t>如一个设备同时具备（满足）以上第1至4项检测仪器中多个检测仪器的检测功能，可同时获得对应仪器的得分。同一类仪器只计一次分，不重复计分，本项最高得100分（仪器名称如有出入，需提供说明书扫描件或相关证明材料证明功能能满足对应检测仪的功能亦可得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lang w:eastAsia="zh-CN"/>
              </w:rPr>
              <w:t>证明文件：</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olor w:val="000000"/>
                <w:szCs w:val="21"/>
                <w:highlight w:val="none"/>
                <w:lang w:eastAsia="zh-CN"/>
              </w:rPr>
            </w:pPr>
            <w:r>
              <w:rPr>
                <w:rFonts w:hint="eastAsia" w:ascii="宋体" w:hAnsi="宋体" w:eastAsia="宋体"/>
                <w:color w:val="000000"/>
                <w:szCs w:val="21"/>
                <w:highlight w:val="none"/>
              </w:rPr>
              <w:t>1、</w:t>
            </w:r>
            <w:r>
              <w:rPr>
                <w:rFonts w:hint="eastAsia" w:ascii="宋体" w:hAnsi="宋体"/>
                <w:color w:val="000000"/>
                <w:szCs w:val="21"/>
                <w:highlight w:val="none"/>
                <w:lang w:eastAsia="zh-CN"/>
              </w:rPr>
              <w:t>自</w:t>
            </w:r>
            <w:r>
              <w:rPr>
                <w:rFonts w:hint="eastAsia" w:ascii="宋体" w:hAnsi="宋体" w:eastAsia="宋体" w:cs="宋体"/>
                <w:color w:val="auto"/>
                <w:szCs w:val="21"/>
                <w:highlight w:val="none"/>
              </w:rPr>
              <w:t>有检测室的证明文件</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提供检测室建设合同或实验室设施设备购买合同；</w:t>
            </w:r>
            <w:r>
              <w:rPr>
                <w:rFonts w:hint="eastAsia" w:ascii="宋体" w:hAnsi="宋体" w:cs="宋体"/>
                <w:color w:val="auto"/>
                <w:szCs w:val="21"/>
                <w:highlight w:val="none"/>
                <w:lang w:eastAsia="zh-CN"/>
              </w:rPr>
              <w:t>租赁检测室的证明文件：提供租赁合同以及</w:t>
            </w:r>
            <w:r>
              <w:rPr>
                <w:rFonts w:hint="eastAsia"/>
                <w:highlight w:val="none"/>
                <w:lang w:eastAsia="zh-CN"/>
              </w:rPr>
              <w:t>本项目投标截止前近三个月</w:t>
            </w:r>
            <w:r>
              <w:rPr>
                <w:rFonts w:hint="eastAsia"/>
                <w:highlight w:val="none"/>
              </w:rPr>
              <w:t>（</w:t>
            </w:r>
            <w:r>
              <w:rPr>
                <w:rFonts w:hint="eastAsia"/>
                <w:highlight w:val="none"/>
                <w:lang w:val="en-US" w:eastAsia="zh-CN"/>
              </w:rPr>
              <w:t>2026年5月-7月</w:t>
            </w:r>
            <w:r>
              <w:rPr>
                <w:rFonts w:hint="eastAsia"/>
                <w:highlight w:val="none"/>
              </w:rPr>
              <w:t>）</w:t>
            </w:r>
            <w:r>
              <w:rPr>
                <w:rFonts w:hint="eastAsia"/>
                <w:highlight w:val="none"/>
                <w:lang w:eastAsia="zh-CN"/>
              </w:rPr>
              <w:t>的任意一次</w:t>
            </w:r>
            <w:r>
              <w:rPr>
                <w:rFonts w:hint="eastAsia"/>
                <w:highlight w:val="none"/>
              </w:rPr>
              <w:t>租金发票</w:t>
            </w:r>
            <w:r>
              <w:rPr>
                <w:rFonts w:hint="eastAsia"/>
                <w:highlight w:val="none"/>
                <w:lang w:eastAsia="zh-CN"/>
              </w:rPr>
              <w:t>（</w:t>
            </w:r>
            <w:r>
              <w:rPr>
                <w:rFonts w:hint="eastAsia"/>
                <w:highlight w:val="none"/>
                <w:lang w:val="en-US" w:eastAsia="zh-CN"/>
              </w:rPr>
              <w:t>发票时间为2026年5月-7月</w:t>
            </w:r>
            <w:r>
              <w:rPr>
                <w:rFonts w:hint="eastAsia"/>
                <w:highlight w:val="none"/>
                <w:lang w:eastAsia="zh-CN"/>
              </w:rPr>
              <w:t>）</w:t>
            </w:r>
            <w:r>
              <w:rPr>
                <w:rFonts w:hint="eastAsia"/>
                <w:highlight w:val="none"/>
              </w:rPr>
              <w:t>或银行流水</w:t>
            </w:r>
            <w:r>
              <w:rPr>
                <w:rFonts w:hint="eastAsia"/>
                <w:highlight w:val="none"/>
                <w:lang w:eastAsia="zh-CN"/>
              </w:rPr>
              <w:t>（</w:t>
            </w:r>
            <w:r>
              <w:rPr>
                <w:rFonts w:hint="eastAsia"/>
                <w:highlight w:val="none"/>
                <w:lang w:val="en-US" w:eastAsia="zh-CN"/>
              </w:rPr>
              <w:t>流水时间为2026年5月-7月</w:t>
            </w:r>
            <w:r>
              <w:rPr>
                <w:rFonts w:hint="eastAsia"/>
                <w:highlight w:val="none"/>
                <w:lang w:eastAsia="zh-CN"/>
              </w:rPr>
              <w:t>）</w:t>
            </w:r>
            <w:r>
              <w:rPr>
                <w:rFonts w:hint="eastAsia"/>
                <w:highlight w:val="none"/>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default" w:ascii="宋体" w:hAnsi="宋体" w:eastAsia="宋体"/>
                <w:color w:val="auto"/>
                <w:szCs w:val="21"/>
                <w:highlight w:val="none"/>
                <w:lang w:val="en-US" w:eastAsia="zh-CN"/>
              </w:rPr>
            </w:pPr>
            <w:r>
              <w:rPr>
                <w:rFonts w:hint="eastAsia" w:ascii="宋体" w:hAnsi="宋体" w:eastAsia="宋体"/>
                <w:color w:val="000000"/>
                <w:szCs w:val="21"/>
                <w:highlight w:val="none"/>
              </w:rPr>
              <w:t>2、</w:t>
            </w:r>
            <w:r>
              <w:rPr>
                <w:rFonts w:hint="eastAsia" w:ascii="宋体" w:hAnsi="宋体"/>
                <w:color w:val="000000"/>
                <w:szCs w:val="21"/>
                <w:highlight w:val="none"/>
                <w:lang w:eastAsia="zh-CN"/>
              </w:rPr>
              <w:t>若为自有</w:t>
            </w:r>
            <w:r>
              <w:rPr>
                <w:rFonts w:hint="eastAsia" w:ascii="宋体" w:hAnsi="宋体" w:eastAsia="宋体"/>
                <w:color w:val="000000"/>
                <w:szCs w:val="21"/>
                <w:highlight w:val="none"/>
              </w:rPr>
              <w:t>仪器</w:t>
            </w:r>
            <w:r>
              <w:rPr>
                <w:rFonts w:hint="eastAsia" w:ascii="宋体" w:hAnsi="宋体"/>
                <w:color w:val="000000"/>
                <w:szCs w:val="21"/>
                <w:highlight w:val="none"/>
                <w:lang w:eastAsia="zh-CN"/>
              </w:rPr>
              <w:t>，则</w:t>
            </w:r>
            <w:r>
              <w:rPr>
                <w:rFonts w:hint="eastAsia" w:ascii="宋体" w:hAnsi="宋体" w:eastAsia="宋体"/>
                <w:color w:val="000000"/>
                <w:szCs w:val="21"/>
                <w:highlight w:val="none"/>
              </w:rPr>
              <w:t>同时提供①</w:t>
            </w:r>
            <w:r>
              <w:rPr>
                <w:rFonts w:hint="eastAsia" w:ascii="宋体" w:hAnsi="宋体"/>
                <w:color w:val="000000"/>
                <w:szCs w:val="21"/>
                <w:highlight w:val="none"/>
                <w:lang w:eastAsia="zh-CN"/>
              </w:rPr>
              <w:t>仪器</w:t>
            </w:r>
            <w:r>
              <w:rPr>
                <w:rFonts w:hint="eastAsia" w:ascii="宋体" w:hAnsi="宋体" w:eastAsia="宋体"/>
                <w:color w:val="auto"/>
                <w:szCs w:val="21"/>
                <w:highlight w:val="none"/>
              </w:rPr>
              <w:t>购买发票②</w:t>
            </w:r>
            <w:r>
              <w:rPr>
                <w:rFonts w:hint="eastAsia" w:ascii="宋体" w:hAnsi="宋体"/>
                <w:color w:val="auto"/>
                <w:szCs w:val="21"/>
                <w:highlight w:val="none"/>
                <w:lang w:eastAsia="zh-CN"/>
              </w:rPr>
              <w:t>仪器</w:t>
            </w:r>
            <w:r>
              <w:rPr>
                <w:rFonts w:hint="eastAsia" w:ascii="宋体" w:hAnsi="宋体" w:eastAsia="宋体"/>
                <w:color w:val="auto"/>
                <w:szCs w:val="21"/>
                <w:highlight w:val="none"/>
              </w:rPr>
              <w:t>照片</w:t>
            </w:r>
            <w:r>
              <w:rPr>
                <w:rFonts w:hint="eastAsia" w:ascii="宋体" w:hAnsi="宋体" w:eastAsia="宋体"/>
                <w:color w:val="auto"/>
                <w:szCs w:val="21"/>
                <w:highlight w:val="none"/>
                <w:lang w:val="en-US" w:eastAsia="zh-CN"/>
              </w:rPr>
              <w:t>③有效期内</w:t>
            </w:r>
            <w:r>
              <w:rPr>
                <w:rFonts w:hint="eastAsia" w:ascii="宋体" w:hAnsi="宋体"/>
                <w:color w:val="auto"/>
                <w:szCs w:val="21"/>
                <w:highlight w:val="none"/>
                <w:lang w:val="en-US" w:eastAsia="zh-CN"/>
              </w:rPr>
              <w:t>仪器</w:t>
            </w:r>
            <w:r>
              <w:rPr>
                <w:rFonts w:hint="eastAsia" w:ascii="宋体" w:hAnsi="宋体" w:eastAsia="宋体"/>
                <w:color w:val="auto"/>
                <w:szCs w:val="21"/>
                <w:highlight w:val="none"/>
                <w:lang w:val="en-US" w:eastAsia="zh-CN"/>
              </w:rPr>
              <w:t>校准报告</w:t>
            </w:r>
            <w:r>
              <w:rPr>
                <w:rFonts w:hint="eastAsia" w:ascii="宋体" w:hAnsi="宋体"/>
                <w:color w:val="auto"/>
                <w:szCs w:val="21"/>
                <w:highlight w:val="none"/>
                <w:lang w:val="en-US" w:eastAsia="zh-CN"/>
              </w:rPr>
              <w:t>；若为租赁仪器，则同时提供①仪器租赁合同以及本项目投标截止前近三个月（</w:t>
            </w:r>
            <w:r>
              <w:rPr>
                <w:rFonts w:hint="eastAsia"/>
                <w:highlight w:val="none"/>
                <w:lang w:val="en-US" w:eastAsia="zh-CN"/>
              </w:rPr>
              <w:t>2026年5月-7月</w:t>
            </w:r>
            <w:r>
              <w:rPr>
                <w:rFonts w:hint="eastAsia" w:ascii="宋体" w:hAnsi="宋体"/>
                <w:color w:val="auto"/>
                <w:szCs w:val="21"/>
                <w:highlight w:val="none"/>
                <w:lang w:val="en-US" w:eastAsia="zh-CN"/>
              </w:rPr>
              <w:t>）的任意一次租金</w:t>
            </w:r>
            <w:r>
              <w:rPr>
                <w:rFonts w:hint="eastAsia"/>
                <w:highlight w:val="none"/>
              </w:rPr>
              <w:t>发票</w:t>
            </w:r>
            <w:r>
              <w:rPr>
                <w:rFonts w:hint="eastAsia"/>
                <w:highlight w:val="none"/>
                <w:lang w:eastAsia="zh-CN"/>
              </w:rPr>
              <w:t>（</w:t>
            </w:r>
            <w:r>
              <w:rPr>
                <w:rFonts w:hint="eastAsia"/>
                <w:highlight w:val="none"/>
                <w:lang w:val="en-US" w:eastAsia="zh-CN"/>
              </w:rPr>
              <w:t>发票开票时间为2026年5月-7月</w:t>
            </w:r>
            <w:r>
              <w:rPr>
                <w:rFonts w:hint="eastAsia"/>
                <w:highlight w:val="none"/>
                <w:lang w:eastAsia="zh-CN"/>
              </w:rPr>
              <w:t>）</w:t>
            </w:r>
            <w:r>
              <w:rPr>
                <w:rFonts w:hint="eastAsia"/>
                <w:highlight w:val="none"/>
              </w:rPr>
              <w:t>或银行流水</w:t>
            </w:r>
            <w:r>
              <w:rPr>
                <w:rFonts w:hint="eastAsia"/>
                <w:highlight w:val="none"/>
                <w:lang w:eastAsia="zh-CN"/>
              </w:rPr>
              <w:t>（</w:t>
            </w:r>
            <w:r>
              <w:rPr>
                <w:rFonts w:hint="eastAsia"/>
                <w:highlight w:val="none"/>
                <w:lang w:val="en-US" w:eastAsia="zh-CN"/>
              </w:rPr>
              <w:t>流水时间为2026年5月-7月</w:t>
            </w:r>
            <w:r>
              <w:rPr>
                <w:rFonts w:hint="eastAsia"/>
                <w:highlight w:val="none"/>
                <w:lang w:eastAsia="zh-CN"/>
              </w:rPr>
              <w:t>）</w:t>
            </w:r>
            <w:r>
              <w:rPr>
                <w:rFonts w:hint="eastAsia" w:ascii="宋体" w:hAnsi="宋体"/>
                <w:color w:val="auto"/>
                <w:szCs w:val="21"/>
                <w:highlight w:val="none"/>
                <w:lang w:val="en-US" w:eastAsia="zh-CN"/>
              </w:rPr>
              <w:t>②仪器照片③</w:t>
            </w:r>
            <w:r>
              <w:rPr>
                <w:rFonts w:hint="eastAsia" w:ascii="宋体" w:hAnsi="宋体" w:eastAsia="宋体"/>
                <w:color w:val="auto"/>
                <w:szCs w:val="21"/>
                <w:highlight w:val="none"/>
                <w:lang w:val="en-US" w:eastAsia="zh-CN"/>
              </w:rPr>
              <w:t>有效期内</w:t>
            </w:r>
            <w:r>
              <w:rPr>
                <w:rFonts w:hint="eastAsia" w:ascii="宋体" w:hAnsi="宋体"/>
                <w:color w:val="auto"/>
                <w:szCs w:val="21"/>
                <w:highlight w:val="none"/>
                <w:lang w:val="en-US" w:eastAsia="zh-CN"/>
              </w:rPr>
              <w:t>仪器</w:t>
            </w:r>
            <w:r>
              <w:rPr>
                <w:rFonts w:hint="eastAsia" w:ascii="宋体" w:hAnsi="宋体" w:eastAsia="宋体"/>
                <w:color w:val="auto"/>
                <w:szCs w:val="21"/>
                <w:highlight w:val="none"/>
                <w:lang w:val="en-US" w:eastAsia="zh-CN"/>
              </w:rPr>
              <w:t>校准报告</w:t>
            </w:r>
            <w:r>
              <w:rPr>
                <w:rFonts w:hint="eastAsia" w:ascii="宋体" w:hAnsi="宋体"/>
                <w:color w:val="auto"/>
                <w:szCs w:val="21"/>
                <w:highlight w:val="none"/>
                <w:lang w:val="en-US"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rPr>
              <w:t>同时满足多项检测功能的设备（同一设备具备多种检测功能的仪器）以及第5项仪器（多功能食品安全综合分析检测仪）需同时提供说明书扫描件或相关证明材料。</w:t>
            </w:r>
          </w:p>
          <w:p>
            <w:pPr>
              <w:keepNext w:val="0"/>
              <w:keepLines w:val="0"/>
              <w:pageBreakBefore w:val="0"/>
              <w:widowControl w:val="0"/>
              <w:kinsoku/>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 w:val="21"/>
                <w:szCs w:val="21"/>
                <w:highlight w:val="none"/>
                <w:lang w:val="en-US" w:eastAsia="zh-CN"/>
              </w:rPr>
            </w:pPr>
            <w:r>
              <w:rPr>
                <w:rFonts w:hint="eastAsia" w:ascii="宋体" w:hAnsi="宋体" w:cs="宋体"/>
                <w:szCs w:val="21"/>
                <w:highlight w:val="none"/>
                <w:lang w:val="en-US" w:eastAsia="zh-CN"/>
              </w:rPr>
              <w:t>4、</w:t>
            </w:r>
            <w:r>
              <w:rPr>
                <w:rFonts w:hint="eastAsia" w:ascii="宋体" w:hAnsi="宋体" w:eastAsia="宋体" w:cs="宋体"/>
                <w:szCs w:val="21"/>
                <w:highlight w:val="none"/>
                <w:lang w:eastAsia="zh-CN"/>
              </w:rPr>
              <w:t>未提供或未按要求提供或提供的不清晰导致专家无法判断的，不得分</w:t>
            </w:r>
            <w:r>
              <w:rPr>
                <w:rFonts w:hint="eastAsia" w:ascii="宋体" w:hAnsi="宋体" w:eastAsia="宋体" w:cs="宋体"/>
                <w:kern w:val="0"/>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9</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rPr>
              <w:t>项目拟使用的车辆情况</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line="360" w:lineRule="exact"/>
              <w:textAlignment w:val="auto"/>
              <w:rPr>
                <w:highlight w:val="none"/>
              </w:rPr>
            </w:pPr>
            <w:r>
              <w:rPr>
                <w:rFonts w:hint="eastAsia"/>
                <w:b/>
                <w:bCs/>
                <w:highlight w:val="none"/>
              </w:rPr>
              <w:t>考察内容</w:t>
            </w:r>
            <w:r>
              <w:rPr>
                <w:rFonts w:hint="eastAsia"/>
                <w:highlight w:val="none"/>
              </w:rPr>
              <w:t>：</w:t>
            </w:r>
          </w:p>
          <w:p>
            <w:pPr>
              <w:keepNext w:val="0"/>
              <w:keepLines w:val="0"/>
              <w:pageBreakBefore w:val="0"/>
              <w:widowControl w:val="0"/>
              <w:kinsoku/>
              <w:wordWrap w:val="0"/>
              <w:overflowPunct/>
              <w:topLinePunct w:val="0"/>
              <w:autoSpaceDE/>
              <w:autoSpaceDN/>
              <w:bidi w:val="0"/>
              <w:adjustRightInd/>
              <w:spacing w:line="360" w:lineRule="exact"/>
              <w:textAlignment w:val="auto"/>
              <w:rPr>
                <w:highlight w:val="none"/>
              </w:rPr>
            </w:pPr>
            <w:r>
              <w:rPr>
                <w:rFonts w:hint="eastAsia"/>
                <w:highlight w:val="none"/>
              </w:rPr>
              <w:t>投标人提供自有或者租赁的冷藏（或冷冻）车辆，每提供1台冷藏（或冷冻）车辆得</w:t>
            </w:r>
            <w:r>
              <w:rPr>
                <w:rFonts w:hint="eastAsia"/>
                <w:highlight w:val="none"/>
                <w:lang w:val="en-US" w:eastAsia="zh-CN"/>
              </w:rPr>
              <w:t>6</w:t>
            </w:r>
            <w:r>
              <w:rPr>
                <w:rFonts w:hint="eastAsia"/>
                <w:highlight w:val="none"/>
              </w:rPr>
              <w:t>分，本项最高得100分。</w:t>
            </w:r>
          </w:p>
          <w:p>
            <w:pPr>
              <w:keepNext w:val="0"/>
              <w:keepLines w:val="0"/>
              <w:pageBreakBefore w:val="0"/>
              <w:widowControl w:val="0"/>
              <w:kinsoku/>
              <w:wordWrap w:val="0"/>
              <w:overflowPunct/>
              <w:topLinePunct w:val="0"/>
              <w:autoSpaceDE/>
              <w:autoSpaceDN/>
              <w:bidi w:val="0"/>
              <w:adjustRightInd/>
              <w:spacing w:line="360" w:lineRule="exact"/>
              <w:textAlignment w:val="auto"/>
              <w:rPr>
                <w:b/>
                <w:bCs/>
                <w:highlight w:val="none"/>
              </w:rPr>
            </w:pPr>
            <w:r>
              <w:rPr>
                <w:rFonts w:hint="eastAsia"/>
                <w:b/>
                <w:bCs/>
                <w:highlight w:val="none"/>
              </w:rPr>
              <w:t>证明文件：</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eastAsia="宋体"/>
                <w:highlight w:val="none"/>
                <w:lang w:eastAsia="zh-CN"/>
              </w:rPr>
            </w:pPr>
            <w:r>
              <w:rPr>
                <w:rFonts w:hint="eastAsia"/>
                <w:highlight w:val="none"/>
              </w:rPr>
              <w:t>1、自有的同时提供车辆行驶证（年审在有效期内</w:t>
            </w:r>
            <w:r>
              <w:rPr>
                <w:rFonts w:hint="eastAsia"/>
                <w:highlight w:val="none"/>
                <w:lang w:eastAsia="zh-CN"/>
              </w:rPr>
              <w:t>，</w:t>
            </w:r>
            <w:r>
              <w:rPr>
                <w:rFonts w:hint="eastAsia"/>
                <w:highlight w:val="none"/>
              </w:rPr>
              <w:t>车辆所有人为投标单位或投标人法定代表人）</w:t>
            </w:r>
            <w:r>
              <w:rPr>
                <w:rFonts w:hint="eastAsia"/>
                <w:highlight w:val="none"/>
                <w:lang w:eastAsia="zh-CN"/>
              </w:rPr>
              <w:t>、</w:t>
            </w:r>
            <w:r>
              <w:rPr>
                <w:rFonts w:hint="eastAsia"/>
                <w:highlight w:val="none"/>
              </w:rPr>
              <w:t>车辆购置发票</w:t>
            </w:r>
            <w:r>
              <w:rPr>
                <w:rFonts w:hint="eastAsia"/>
                <w:highlight w:val="none"/>
                <w:lang w:eastAsia="zh-CN"/>
              </w:rPr>
              <w:t>及</w:t>
            </w:r>
            <w:r>
              <w:rPr>
                <w:rFonts w:hint="eastAsia"/>
                <w:highlight w:val="none"/>
              </w:rPr>
              <w:t>车头完整正面图片（</w:t>
            </w:r>
            <w:r>
              <w:rPr>
                <w:rFonts w:hint="eastAsia"/>
                <w:highlight w:val="none"/>
                <w:lang w:eastAsia="zh-CN"/>
              </w:rPr>
              <w:t>需显示车牌及制冷设备</w:t>
            </w:r>
            <w:r>
              <w:rPr>
                <w:rFonts w:hint="eastAsia"/>
                <w:highlight w:val="none"/>
              </w:rPr>
              <w:t>）</w:t>
            </w:r>
            <w:r>
              <w:rPr>
                <w:rFonts w:hint="eastAsia"/>
                <w:highlight w:val="none"/>
                <w:lang w:eastAsia="zh-CN"/>
              </w:rPr>
              <w:t>；</w:t>
            </w:r>
          </w:p>
          <w:p>
            <w:pPr>
              <w:keepNext w:val="0"/>
              <w:keepLines w:val="0"/>
              <w:pageBreakBefore w:val="0"/>
              <w:widowControl w:val="0"/>
              <w:kinsoku/>
              <w:overflowPunct/>
              <w:topLinePunct w:val="0"/>
              <w:autoSpaceDE/>
              <w:autoSpaceDN/>
              <w:bidi w:val="0"/>
              <w:adjustRightInd/>
              <w:spacing w:line="360" w:lineRule="exact"/>
              <w:jc w:val="left"/>
              <w:textAlignment w:val="auto"/>
              <w:rPr>
                <w:rFonts w:hint="eastAsia" w:eastAsia="宋体"/>
                <w:highlight w:val="none"/>
                <w:lang w:eastAsia="zh-CN"/>
              </w:rPr>
            </w:pPr>
            <w:r>
              <w:rPr>
                <w:rFonts w:hint="eastAsia"/>
                <w:highlight w:val="none"/>
              </w:rPr>
              <w:t>2、租赁的同时提供车辆行驶证</w:t>
            </w:r>
            <w:r>
              <w:rPr>
                <w:rFonts w:hint="eastAsia"/>
                <w:highlight w:val="none"/>
                <w:lang w:eastAsia="zh-CN"/>
              </w:rPr>
              <w:t>（</w:t>
            </w:r>
            <w:r>
              <w:rPr>
                <w:rFonts w:hint="eastAsia"/>
                <w:highlight w:val="none"/>
              </w:rPr>
              <w:t>年审在有效期内</w:t>
            </w:r>
            <w:r>
              <w:rPr>
                <w:rFonts w:hint="eastAsia"/>
                <w:highlight w:val="none"/>
                <w:lang w:eastAsia="zh-CN"/>
              </w:rPr>
              <w:t>）、</w:t>
            </w:r>
            <w:r>
              <w:rPr>
                <w:rFonts w:hint="eastAsia"/>
                <w:highlight w:val="none"/>
              </w:rPr>
              <w:t>车辆租赁合同</w:t>
            </w:r>
            <w:r>
              <w:rPr>
                <w:rFonts w:hint="eastAsia"/>
                <w:highlight w:val="none"/>
                <w:lang w:eastAsia="zh-CN"/>
              </w:rPr>
              <w:t>、</w:t>
            </w:r>
            <w:r>
              <w:rPr>
                <w:rFonts w:hint="eastAsia"/>
                <w:highlight w:val="none"/>
              </w:rPr>
              <w:t>车头完整正面图片（</w:t>
            </w:r>
            <w:r>
              <w:rPr>
                <w:rFonts w:hint="eastAsia"/>
                <w:highlight w:val="none"/>
                <w:lang w:eastAsia="zh-CN"/>
              </w:rPr>
              <w:t>需显示车牌及制冷设备</w:t>
            </w:r>
            <w:r>
              <w:rPr>
                <w:rFonts w:hint="eastAsia"/>
                <w:highlight w:val="none"/>
              </w:rPr>
              <w:t>）</w:t>
            </w:r>
            <w:r>
              <w:rPr>
                <w:rFonts w:hint="eastAsia"/>
                <w:highlight w:val="none"/>
                <w:lang w:eastAsia="zh-CN"/>
              </w:rPr>
              <w:t>及本项目投标截止前近三个月</w:t>
            </w: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5-7</w:t>
            </w:r>
            <w:r>
              <w:rPr>
                <w:rFonts w:hint="eastAsia"/>
                <w:highlight w:val="none"/>
              </w:rPr>
              <w:t>月）</w:t>
            </w:r>
            <w:r>
              <w:rPr>
                <w:rFonts w:hint="eastAsia"/>
                <w:highlight w:val="none"/>
                <w:lang w:eastAsia="zh-CN"/>
              </w:rPr>
              <w:t>的任意一次</w:t>
            </w:r>
            <w:r>
              <w:rPr>
                <w:rFonts w:hint="eastAsia"/>
                <w:highlight w:val="none"/>
              </w:rPr>
              <w:t>租金发票或银行流水</w:t>
            </w:r>
            <w:r>
              <w:rPr>
                <w:rFonts w:hint="eastAsia"/>
                <w:highlight w:val="none"/>
                <w:lang w:eastAsia="zh-CN"/>
              </w:rPr>
              <w:t>；</w:t>
            </w:r>
          </w:p>
          <w:p>
            <w:pPr>
              <w:keepNext w:val="0"/>
              <w:keepLines w:val="0"/>
              <w:pageBreakBefore w:val="0"/>
              <w:widowControl w:val="0"/>
              <w:kinsoku/>
              <w:overflowPunct/>
              <w:topLinePunct w:val="0"/>
              <w:autoSpaceDE/>
              <w:autoSpaceDN/>
              <w:bidi w:val="0"/>
              <w:adjustRightInd/>
              <w:spacing w:beforeAutospacing="0" w:afterAutospacing="0" w:line="360" w:lineRule="exact"/>
              <w:ind w:left="0" w:leftChars="0" w:right="0" w:rightChars="0" w:firstLine="0" w:firstLineChars="0"/>
              <w:jc w:val="left"/>
              <w:textAlignment w:val="auto"/>
              <w:rPr>
                <w:rFonts w:hint="eastAsia" w:ascii="宋体" w:hAnsi="宋体" w:eastAsia="宋体" w:cs="宋体"/>
                <w:szCs w:val="21"/>
                <w:highlight w:val="none"/>
              </w:rPr>
            </w:pPr>
            <w:r>
              <w:rPr>
                <w:rFonts w:hint="eastAsia" w:ascii="Times New Roman" w:hAnsi="Times New Roman" w:eastAsia="宋体" w:cs="Times New Roman"/>
                <w:b w:val="0"/>
                <w:bCs w:val="0"/>
                <w:kern w:val="2"/>
                <w:sz w:val="21"/>
                <w:szCs w:val="24"/>
                <w:highlight w:val="none"/>
                <w:lang w:val="en-US" w:eastAsia="zh-CN" w:bidi="ar-SA"/>
              </w:rPr>
              <w:t>3、未提供或未按要求提供或提供的不清晰导致专家无法判断的，不得分。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10</w:t>
            </w:r>
          </w:p>
        </w:tc>
        <w:tc>
          <w:tcPr>
            <w:tcW w:w="2835"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olor w:val="000000"/>
                <w:szCs w:val="21"/>
                <w:highlight w:val="none"/>
              </w:rPr>
              <w:t>检验检测报告</w:t>
            </w:r>
          </w:p>
        </w:tc>
        <w:tc>
          <w:tcPr>
            <w:tcW w:w="681"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7</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bCs/>
                <w:kern w:val="2"/>
                <w:sz w:val="21"/>
                <w:szCs w:val="24"/>
                <w:highlight w:val="none"/>
                <w:lang w:val="en-US" w:eastAsia="zh-CN" w:bidi="ar-SA"/>
              </w:rPr>
            </w:pPr>
            <w:r>
              <w:rPr>
                <w:rFonts w:hint="eastAsia" w:ascii="Times New Roman" w:hAnsi="Times New Roman" w:eastAsia="宋体" w:cs="Times New Roman"/>
                <w:b/>
                <w:bCs/>
                <w:kern w:val="2"/>
                <w:sz w:val="21"/>
                <w:szCs w:val="24"/>
                <w:highlight w:val="none"/>
                <w:lang w:val="en-US" w:eastAsia="zh-CN" w:bidi="ar-SA"/>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投标人提供20</w:t>
            </w:r>
            <w:r>
              <w:rPr>
                <w:rFonts w:hint="eastAsia" w:cs="Times New Roman"/>
                <w:b w:val="0"/>
                <w:bCs w:val="0"/>
                <w:kern w:val="2"/>
                <w:sz w:val="21"/>
                <w:szCs w:val="24"/>
                <w:highlight w:val="none"/>
                <w:lang w:val="en-US" w:eastAsia="zh-CN" w:bidi="ar-SA"/>
              </w:rPr>
              <w:t>25</w:t>
            </w:r>
            <w:r>
              <w:rPr>
                <w:rFonts w:hint="eastAsia" w:ascii="Times New Roman" w:hAnsi="Times New Roman" w:eastAsia="宋体" w:cs="Times New Roman"/>
                <w:b w:val="0"/>
                <w:bCs w:val="0"/>
                <w:kern w:val="2"/>
                <w:sz w:val="21"/>
                <w:szCs w:val="24"/>
                <w:highlight w:val="none"/>
                <w:lang w:val="en-US" w:eastAsia="zh-CN" w:bidi="ar-SA"/>
              </w:rPr>
              <w:t>年12月1日至本项目投标截止之日前</w:t>
            </w:r>
            <w:r>
              <w:rPr>
                <w:rFonts w:hint="eastAsia" w:cs="Times New Roman"/>
                <w:b w:val="0"/>
                <w:bCs w:val="0"/>
                <w:kern w:val="2"/>
                <w:sz w:val="21"/>
                <w:szCs w:val="24"/>
                <w:highlight w:val="none"/>
                <w:lang w:val="en-US" w:eastAsia="zh-CN" w:bidi="ar-SA"/>
              </w:rPr>
              <w:t>，具有CMA标识的检测报告</w:t>
            </w:r>
            <w:r>
              <w:rPr>
                <w:rFonts w:hint="eastAsia" w:ascii="Times New Roman" w:hAnsi="Times New Roman" w:eastAsia="宋体" w:cs="Times New Roman"/>
                <w:b w:val="0"/>
                <w:bCs w:val="0"/>
                <w:kern w:val="2"/>
                <w:sz w:val="21"/>
                <w:szCs w:val="24"/>
                <w:highlight w:val="none"/>
                <w:lang w:val="en-US" w:eastAsia="zh-CN" w:bidi="ar-SA"/>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①大米类；②小麦粉或面粉类；③食用油类；④乳制品类；⑤鲜蛋类；⑥调味品类；⑦畜肉类；⑧冻品类；⑨蔬菜类；⑩干货类；⑪豆制品类；⑫水果类；⑬水产类；⑭家禽类；投标人提供的以上任意品类的每个检测报告均检测10个或以上检测项目的：</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rPr>
              <w:t>每提供一个种类的检测报告的得20分，本项最高得100分；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同一种类不可重复得分。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bCs/>
                <w:kern w:val="2"/>
                <w:sz w:val="21"/>
                <w:szCs w:val="24"/>
                <w:highlight w:val="none"/>
                <w:lang w:val="en-US" w:eastAsia="zh-CN" w:bidi="ar-SA"/>
              </w:rPr>
            </w:pPr>
            <w:r>
              <w:rPr>
                <w:rFonts w:hint="eastAsia" w:ascii="Times New Roman" w:hAnsi="Times New Roman" w:eastAsia="宋体" w:cs="Times New Roman"/>
                <w:b/>
                <w:bCs/>
                <w:kern w:val="2"/>
                <w:sz w:val="21"/>
                <w:szCs w:val="24"/>
                <w:highlight w:val="none"/>
                <w:lang w:val="en-US" w:eastAsia="zh-CN" w:bidi="ar-SA"/>
              </w:rPr>
              <w:t>证明文件：</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1、提供具有在检验检测机构资质认定证书规定的能力范围内出具合格或达标等同等意义表述的检验检测报告（带有CMA认证标志）；若检测报告注明检测事项不在实施该项检测的机构许可（认可）CMA资质范围内的，则该检测报告视为不满足招标文件要求，对于无法判断机构检测范围的，投标人需提供“检测报告载明的检测事项未超出本机构检测范围”的承诺</w:t>
            </w:r>
            <w:r>
              <w:rPr>
                <w:rFonts w:hint="eastAsia" w:cs="Times New Roman"/>
                <w:b w:val="0"/>
                <w:bCs w:val="0"/>
                <w:kern w:val="2"/>
                <w:sz w:val="21"/>
                <w:szCs w:val="24"/>
                <w:highlight w:val="none"/>
                <w:lang w:val="en-US" w:eastAsia="zh-CN" w:bidi="ar-SA"/>
              </w:rPr>
              <w:t>函</w:t>
            </w:r>
            <w:r>
              <w:rPr>
                <w:rFonts w:hint="eastAsia" w:ascii="Times New Roman" w:hAnsi="Times New Roman" w:eastAsia="宋体" w:cs="Times New Roman"/>
                <w:b w:val="0"/>
                <w:bCs w:val="0"/>
                <w:kern w:val="2"/>
                <w:sz w:val="21"/>
                <w:szCs w:val="24"/>
                <w:highlight w:val="none"/>
                <w:lang w:val="en-US" w:eastAsia="zh-CN" w:bidi="ar-SA"/>
              </w:rPr>
              <w:t>（格式自拟）</w:t>
            </w:r>
            <w:r>
              <w:rPr>
                <w:rFonts w:hint="eastAsia" w:cs="Times New Roman"/>
                <w:b w:val="0"/>
                <w:bCs w:val="0"/>
                <w:kern w:val="2"/>
                <w:sz w:val="21"/>
                <w:szCs w:val="24"/>
                <w:highlight w:val="none"/>
                <w:lang w:val="en-US" w:eastAsia="zh-CN" w:bidi="ar-SA"/>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2、同时提供检测报告应在检测机构官网或者全国认证认可信息公共服务平台（http://cx.cnca.cn/）上进行查询且编号一致</w:t>
            </w:r>
            <w:r>
              <w:rPr>
                <w:rFonts w:hint="eastAsia" w:cs="Times New Roman"/>
                <w:b w:val="0"/>
                <w:bCs w:val="0"/>
                <w:kern w:val="2"/>
                <w:sz w:val="21"/>
                <w:szCs w:val="24"/>
                <w:highlight w:val="none"/>
                <w:lang w:val="en-US" w:eastAsia="zh-CN" w:bidi="ar-SA"/>
              </w:rPr>
              <w:t>，或提供检测机构网站查询截图或提供检测机构加盖公章的说明函（格式自拟）</w:t>
            </w:r>
            <w:r>
              <w:rPr>
                <w:rFonts w:hint="eastAsia" w:ascii="Times New Roman" w:hAnsi="Times New Roman" w:eastAsia="宋体" w:cs="Times New Roman"/>
                <w:b w:val="0"/>
                <w:bCs w:val="0"/>
                <w:kern w:val="2"/>
                <w:sz w:val="21"/>
                <w:szCs w:val="24"/>
                <w:highlight w:val="none"/>
                <w:lang w:val="en-US" w:eastAsia="zh-CN" w:bidi="ar-SA"/>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3、检验检测报告的委托单位需为投标人，如委托第三方检测的需提供对应月份（覆盖检测月份亦可）的检测费用发票或转账凭证；</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cs="Times New Roman"/>
                <w:b w:val="0"/>
                <w:bCs w:val="0"/>
                <w:kern w:val="2"/>
                <w:sz w:val="21"/>
                <w:szCs w:val="24"/>
                <w:highlight w:val="none"/>
                <w:lang w:val="en-US" w:eastAsia="zh-CN" w:bidi="ar-SA"/>
              </w:rPr>
              <w:t>4</w:t>
            </w:r>
            <w:r>
              <w:rPr>
                <w:rFonts w:hint="eastAsia" w:ascii="Times New Roman" w:hAnsi="Times New Roman" w:eastAsia="宋体" w:cs="Times New Roman"/>
                <w:b w:val="0"/>
                <w:bCs w:val="0"/>
                <w:kern w:val="2"/>
                <w:sz w:val="21"/>
                <w:szCs w:val="24"/>
                <w:highlight w:val="none"/>
                <w:lang w:val="en-US" w:eastAsia="zh-CN" w:bidi="ar-SA"/>
              </w:rPr>
              <w:t>、</w:t>
            </w:r>
            <w:r>
              <w:rPr>
                <w:rFonts w:hint="eastAsia" w:ascii="宋体" w:hAnsi="宋体" w:eastAsia="宋体" w:cs="宋体"/>
                <w:szCs w:val="21"/>
                <w:highlight w:val="none"/>
                <w:lang w:eastAsia="zh-CN"/>
              </w:rPr>
              <w:t>未提供或未按要求提供或提供的不清晰导致专家无法判断的，不得分</w:t>
            </w:r>
            <w:r>
              <w:rPr>
                <w:rFonts w:hint="eastAsia" w:ascii="宋体" w:hAnsi="宋体" w:eastAsia="宋体" w:cs="宋体"/>
                <w:kern w:val="0"/>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3</w:t>
            </w:r>
          </w:p>
        </w:tc>
        <w:tc>
          <w:tcPr>
            <w:tcW w:w="4196" w:type="dxa"/>
            <w:gridSpan w:val="3"/>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highlight w:val="none"/>
                <w:lang w:eastAsia="zh-CN"/>
              </w:rPr>
              <w:t>商务部分</w:t>
            </w:r>
          </w:p>
        </w:tc>
        <w:tc>
          <w:tcPr>
            <w:tcW w:w="4196" w:type="dxa"/>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val="0"/>
              <w:overflowPunct/>
              <w:topLinePunct w:val="0"/>
              <w:autoSpaceDE/>
              <w:autoSpaceDN/>
              <w:bidi w:val="0"/>
              <w:adjustRightInd/>
              <w:spacing w:beforeAutospacing="0" w:afterAutospacing="0" w:line="360" w:lineRule="exact"/>
              <w:ind w:left="0" w:leftChars="0" w:right="0" w:firstLine="0" w:firstLineChars="0"/>
              <w:jc w:val="center"/>
              <w:textAlignment w:val="auto"/>
              <w:rPr>
                <w:rFonts w:hint="default" w:ascii="宋体" w:hAnsi="宋体" w:eastAsia="宋体" w:cs="宋体"/>
                <w:b/>
                <w:bCs/>
                <w:color w:val="0000FF"/>
                <w:sz w:val="24"/>
                <w:highlight w:val="none"/>
                <w:lang w:val="en-US" w:eastAsia="zh-CN"/>
              </w:rPr>
            </w:pPr>
            <w:r>
              <w:rPr>
                <w:rFonts w:hint="eastAsia" w:ascii="宋体" w:hAnsi="宋体" w:cs="宋体"/>
                <w:b/>
                <w:bCs/>
                <w:color w:val="0000FF"/>
                <w:sz w:val="24"/>
                <w:highlight w:val="none"/>
                <w:lang w:val="en-US" w:eastAsia="zh-CN"/>
              </w:rPr>
              <w:t>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tcPr>
          <w:p>
            <w:pPr>
              <w:keepNext w:val="0"/>
              <w:keepLines w:val="0"/>
              <w:pageBreakBefore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0" w:type="dxa"/>
            <w:vMerge w:val="continue"/>
            <w:tcBorders>
              <w:left w:val="single" w:color="000000" w:sz="8" w:space="0"/>
              <w:right w:val="single" w:color="000000" w:sz="8" w:space="0"/>
            </w:tcBorders>
            <w:shd w:val="clear" w:color="auto" w:fill="E6EFFA"/>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pPr>
              <w:keepNext w:val="0"/>
              <w:keepLines w:val="0"/>
              <w:pageBreakBefore w:val="0"/>
              <w:kinsoku/>
              <w:wordWrap w:val="0"/>
              <w:overflowPunct/>
              <w:topLinePunct w:val="0"/>
              <w:autoSpaceDE/>
              <w:autoSpaceDN/>
              <w:bidi w:val="0"/>
              <w:adjustRightInd/>
              <w:spacing w:beforeAutospacing="0" w:afterAutospacing="0" w:line="360" w:lineRule="exact"/>
              <w:ind w:left="0" w:leftChars="0" w:right="0" w:firstLine="0" w:firstLineChars="0"/>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投标人通过相关认证情况</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1、具有质量管理体系认证证书的</w:t>
            </w:r>
            <w:r>
              <w:rPr>
                <w:rFonts w:hint="eastAsia" w:ascii="宋体" w:hAnsi="宋体" w:cs="宋体"/>
                <w:szCs w:val="21"/>
                <w:highlight w:val="none"/>
                <w:lang w:eastAsia="zh-CN"/>
              </w:rPr>
              <w:t>，</w:t>
            </w:r>
            <w:r>
              <w:rPr>
                <w:rFonts w:hint="eastAsia" w:ascii="宋体" w:hAnsi="宋体" w:eastAsia="宋体" w:cs="宋体"/>
                <w:szCs w:val="21"/>
                <w:highlight w:val="none"/>
              </w:rPr>
              <w:t>得20分；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2、具有职业健康安全管理体系认证证书的</w:t>
            </w:r>
            <w:r>
              <w:rPr>
                <w:rFonts w:hint="eastAsia" w:ascii="宋体" w:hAnsi="宋体" w:cs="宋体"/>
                <w:szCs w:val="21"/>
                <w:highlight w:val="none"/>
                <w:lang w:eastAsia="zh-CN"/>
              </w:rPr>
              <w:t>，</w:t>
            </w:r>
            <w:r>
              <w:rPr>
                <w:rFonts w:hint="eastAsia" w:ascii="宋体" w:hAnsi="宋体" w:eastAsia="宋体" w:cs="宋体"/>
                <w:szCs w:val="21"/>
                <w:highlight w:val="none"/>
              </w:rPr>
              <w:t>得20分；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3、具有环境管理体系认证证书的</w:t>
            </w:r>
            <w:r>
              <w:rPr>
                <w:rFonts w:hint="eastAsia" w:ascii="宋体" w:hAnsi="宋体" w:cs="宋体"/>
                <w:szCs w:val="21"/>
                <w:highlight w:val="none"/>
                <w:lang w:eastAsia="zh-CN"/>
              </w:rPr>
              <w:t>，</w:t>
            </w:r>
            <w:r>
              <w:rPr>
                <w:rFonts w:hint="eastAsia" w:ascii="宋体" w:hAnsi="宋体" w:eastAsia="宋体" w:cs="宋体"/>
                <w:szCs w:val="21"/>
                <w:highlight w:val="none"/>
              </w:rPr>
              <w:t>得20分；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4、具有食品安全管理体系认证证书的</w:t>
            </w:r>
            <w:r>
              <w:rPr>
                <w:rFonts w:hint="eastAsia" w:ascii="宋体" w:hAnsi="宋体" w:cs="宋体"/>
                <w:szCs w:val="21"/>
                <w:highlight w:val="none"/>
                <w:lang w:eastAsia="zh-CN"/>
              </w:rPr>
              <w:t>，</w:t>
            </w:r>
            <w:r>
              <w:rPr>
                <w:rFonts w:hint="eastAsia" w:ascii="宋体" w:hAnsi="宋体" w:eastAsia="宋体" w:cs="宋体"/>
                <w:szCs w:val="21"/>
                <w:highlight w:val="none"/>
              </w:rPr>
              <w:t>得20分；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5、具有HACCP危害分析与关键控制点体系认证证书的</w:t>
            </w:r>
            <w:r>
              <w:rPr>
                <w:rFonts w:hint="eastAsia" w:ascii="宋体" w:hAnsi="宋体" w:cs="宋体"/>
                <w:szCs w:val="21"/>
                <w:highlight w:val="none"/>
                <w:lang w:eastAsia="zh-CN"/>
              </w:rPr>
              <w:t>，</w:t>
            </w:r>
            <w:r>
              <w:rPr>
                <w:rFonts w:hint="eastAsia" w:ascii="宋体" w:hAnsi="宋体" w:eastAsia="宋体" w:cs="宋体"/>
                <w:szCs w:val="21"/>
                <w:highlight w:val="none"/>
              </w:rPr>
              <w:t>得20分；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以上5项累计得分，本项最高得100分。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证明文件：</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1、提供有效的相关证书扫描件及提供“国家认证认可信息统一查询平台”（http://cx.cnca.cn/）中查询的有效证书信息截图。</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2、未提供或未按要求提供或提供的不清晰导致专家无法判断的，不得分。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2</w:t>
            </w:r>
          </w:p>
        </w:tc>
        <w:tc>
          <w:tcPr>
            <w:tcW w:w="2835"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eastAsia="zh-CN"/>
              </w:rPr>
              <w:t>配送场所及服务便利性</w:t>
            </w:r>
          </w:p>
        </w:tc>
        <w:tc>
          <w:tcPr>
            <w:tcW w:w="681"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rPr>
            </w:pPr>
            <w:r>
              <w:rPr>
                <w:rFonts w:hint="eastAsia" w:ascii="宋体" w:hAnsi="宋体" w:cs="宋体"/>
                <w:szCs w:val="21"/>
                <w:highlight w:val="none"/>
                <w:lang w:val="en-US" w:eastAsia="zh-CN"/>
              </w:rPr>
              <w:t>7</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考察内容：</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ascii="宋体" w:hAnsi="宋体" w:eastAsia="宋体" w:cs="宋体"/>
                <w:color w:val="000000"/>
                <w:szCs w:val="21"/>
                <w:highlight w:val="none"/>
              </w:rPr>
            </w:pPr>
            <w:r>
              <w:rPr>
                <w:rFonts w:hint="eastAsia" w:ascii="宋体" w:hAnsi="宋体" w:eastAsia="宋体" w:cs="宋体"/>
                <w:color w:val="000000"/>
                <w:szCs w:val="21"/>
                <w:highlight w:val="none"/>
              </w:rPr>
              <w:t>1、根据投标人拟投入的配送场所面积进行评分：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①</w:t>
            </w:r>
            <w:r>
              <w:rPr>
                <w:rFonts w:hint="eastAsia" w:ascii="宋体" w:hAnsi="宋体" w:cs="宋体"/>
                <w:szCs w:val="21"/>
                <w:highlight w:val="none"/>
              </w:rPr>
              <w:t>配送场所面积</w:t>
            </w:r>
            <w:r>
              <w:rPr>
                <w:rFonts w:hint="eastAsia" w:ascii="宋体" w:hAnsi="宋体" w:cs="宋体"/>
                <w:szCs w:val="21"/>
                <w:highlight w:val="none"/>
                <w:lang w:val="en-US" w:eastAsia="zh-CN"/>
              </w:rPr>
              <w:t>5</w:t>
            </w:r>
            <w:r>
              <w:rPr>
                <w:rFonts w:hint="eastAsia" w:ascii="宋体" w:hAnsi="宋体" w:cs="宋体"/>
                <w:szCs w:val="21"/>
                <w:highlight w:val="none"/>
              </w:rPr>
              <w:t>000平方米（含）以上的，得</w:t>
            </w:r>
            <w:r>
              <w:rPr>
                <w:rFonts w:hint="eastAsia" w:ascii="宋体" w:hAnsi="宋体" w:cs="宋体"/>
                <w:szCs w:val="21"/>
                <w:highlight w:val="none"/>
                <w:lang w:val="en-US" w:eastAsia="zh-CN"/>
              </w:rPr>
              <w:t>80</w:t>
            </w:r>
            <w:r>
              <w:rPr>
                <w:rFonts w:hint="eastAsia" w:ascii="宋体" w:hAnsi="宋体" w:cs="宋体"/>
                <w:szCs w:val="21"/>
                <w:highlight w:val="none"/>
              </w:rPr>
              <w:t>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cs="宋体"/>
                <w:szCs w:val="21"/>
                <w:highlight w:val="none"/>
              </w:rPr>
            </w:pPr>
            <w:r>
              <w:rPr>
                <w:rFonts w:hint="eastAsia" w:ascii="宋体" w:hAnsi="宋体" w:eastAsia="宋体" w:cs="宋体"/>
                <w:color w:val="000000"/>
                <w:szCs w:val="21"/>
                <w:highlight w:val="none"/>
                <w:lang w:eastAsia="zh-CN"/>
              </w:rPr>
              <w:t>②</w:t>
            </w:r>
            <w:r>
              <w:rPr>
                <w:rFonts w:hint="eastAsia" w:ascii="宋体" w:hAnsi="宋体" w:cs="宋体"/>
                <w:szCs w:val="21"/>
                <w:highlight w:val="none"/>
                <w:lang w:val="en-US" w:eastAsia="zh-CN"/>
              </w:rPr>
              <w:t>40</w:t>
            </w:r>
            <w:r>
              <w:rPr>
                <w:rFonts w:hint="eastAsia" w:ascii="宋体" w:hAnsi="宋体" w:cs="宋体"/>
                <w:szCs w:val="21"/>
                <w:highlight w:val="none"/>
              </w:rPr>
              <w:t>00平方米≤配送场所面积＜</w:t>
            </w:r>
            <w:r>
              <w:rPr>
                <w:rFonts w:hint="eastAsia" w:ascii="宋体" w:hAnsi="宋体" w:cs="宋体"/>
                <w:szCs w:val="21"/>
                <w:highlight w:val="none"/>
                <w:lang w:val="en-US" w:eastAsia="zh-CN"/>
              </w:rPr>
              <w:t>5</w:t>
            </w:r>
            <w:r>
              <w:rPr>
                <w:rFonts w:hint="eastAsia" w:ascii="宋体" w:hAnsi="宋体" w:cs="宋体"/>
                <w:szCs w:val="21"/>
                <w:highlight w:val="none"/>
              </w:rPr>
              <w:t>000平方米的，得</w:t>
            </w:r>
            <w:r>
              <w:rPr>
                <w:rFonts w:hint="eastAsia" w:ascii="宋体" w:hAnsi="宋体" w:cs="宋体"/>
                <w:szCs w:val="21"/>
                <w:highlight w:val="none"/>
                <w:lang w:val="en-US" w:eastAsia="zh-CN"/>
              </w:rPr>
              <w:t>60</w:t>
            </w:r>
            <w:r>
              <w:rPr>
                <w:rFonts w:hint="eastAsia" w:ascii="宋体" w:hAnsi="宋体" w:cs="宋体"/>
                <w:szCs w:val="21"/>
                <w:highlight w:val="none"/>
              </w:rPr>
              <w:t>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cs="宋体"/>
                <w:szCs w:val="21"/>
                <w:highlight w:val="none"/>
              </w:rPr>
            </w:pPr>
            <w:r>
              <w:rPr>
                <w:rFonts w:hint="eastAsia" w:ascii="宋体" w:hAnsi="宋体" w:eastAsia="宋体" w:cs="宋体"/>
                <w:color w:val="000000"/>
                <w:szCs w:val="21"/>
                <w:highlight w:val="none"/>
                <w:lang w:eastAsia="zh-CN"/>
              </w:rPr>
              <w:t>③</w:t>
            </w:r>
            <w:r>
              <w:rPr>
                <w:rFonts w:hint="eastAsia" w:ascii="宋体" w:hAnsi="宋体" w:cs="宋体"/>
                <w:szCs w:val="21"/>
                <w:highlight w:val="none"/>
                <w:lang w:val="en-US" w:eastAsia="zh-CN"/>
              </w:rPr>
              <w:t>3</w:t>
            </w:r>
            <w:r>
              <w:rPr>
                <w:rFonts w:hint="eastAsia" w:ascii="宋体" w:hAnsi="宋体" w:cs="宋体"/>
                <w:szCs w:val="21"/>
                <w:highlight w:val="none"/>
              </w:rPr>
              <w:t>000平方米≤配送场所面积＜</w:t>
            </w:r>
            <w:r>
              <w:rPr>
                <w:rFonts w:hint="eastAsia" w:ascii="宋体" w:hAnsi="宋体" w:cs="宋体"/>
                <w:szCs w:val="21"/>
                <w:highlight w:val="none"/>
                <w:lang w:val="en-US" w:eastAsia="zh-CN"/>
              </w:rPr>
              <w:t>40</w:t>
            </w:r>
            <w:r>
              <w:rPr>
                <w:rFonts w:hint="eastAsia" w:ascii="宋体" w:hAnsi="宋体" w:cs="宋体"/>
                <w:szCs w:val="21"/>
                <w:highlight w:val="none"/>
              </w:rPr>
              <w:t>00平方米的，得4</w:t>
            </w:r>
            <w:r>
              <w:rPr>
                <w:rFonts w:hint="eastAsia" w:ascii="宋体" w:hAnsi="宋体" w:cs="宋体"/>
                <w:szCs w:val="21"/>
                <w:highlight w:val="none"/>
                <w:lang w:val="en-US" w:eastAsia="zh-CN"/>
              </w:rPr>
              <w:t>0</w:t>
            </w:r>
            <w:r>
              <w:rPr>
                <w:rFonts w:hint="eastAsia" w:ascii="宋体" w:hAnsi="宋体" w:cs="宋体"/>
                <w:szCs w:val="21"/>
                <w:highlight w:val="none"/>
              </w:rPr>
              <w:t>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cs="宋体"/>
                <w:szCs w:val="21"/>
                <w:highlight w:val="none"/>
              </w:rPr>
            </w:pPr>
            <w:r>
              <w:rPr>
                <w:rFonts w:hint="eastAsia" w:ascii="宋体" w:hAnsi="宋体" w:eastAsia="宋体" w:cs="宋体"/>
                <w:color w:val="000000"/>
                <w:szCs w:val="21"/>
                <w:highlight w:val="none"/>
                <w:lang w:eastAsia="zh-CN"/>
              </w:rPr>
              <w:t>④</w:t>
            </w:r>
            <w:r>
              <w:rPr>
                <w:rFonts w:hint="eastAsia" w:ascii="宋体" w:hAnsi="宋体" w:cs="宋体"/>
                <w:szCs w:val="21"/>
                <w:highlight w:val="none"/>
                <w:lang w:val="en-US" w:eastAsia="zh-CN"/>
              </w:rPr>
              <w:t>20</w:t>
            </w:r>
            <w:r>
              <w:rPr>
                <w:rFonts w:hint="eastAsia" w:ascii="宋体" w:hAnsi="宋体" w:cs="宋体"/>
                <w:szCs w:val="21"/>
                <w:highlight w:val="none"/>
              </w:rPr>
              <w:t>00平方米≤配送场所面积＜</w:t>
            </w:r>
            <w:r>
              <w:rPr>
                <w:rFonts w:hint="eastAsia" w:ascii="宋体" w:hAnsi="宋体" w:cs="宋体"/>
                <w:szCs w:val="21"/>
                <w:highlight w:val="none"/>
                <w:lang w:val="en-US" w:eastAsia="zh-CN"/>
              </w:rPr>
              <w:t>3</w:t>
            </w:r>
            <w:r>
              <w:rPr>
                <w:rFonts w:hint="eastAsia" w:ascii="宋体" w:hAnsi="宋体" w:cs="宋体"/>
                <w:szCs w:val="21"/>
                <w:highlight w:val="none"/>
              </w:rPr>
              <w:t>000平方米的，得</w:t>
            </w:r>
            <w:r>
              <w:rPr>
                <w:rFonts w:hint="eastAsia" w:ascii="宋体" w:hAnsi="宋体" w:eastAsia="宋体" w:cs="宋体"/>
                <w:szCs w:val="21"/>
                <w:highlight w:val="none"/>
                <w:lang w:val="en-US" w:eastAsia="zh-CN"/>
              </w:rPr>
              <w:t>2</w:t>
            </w:r>
            <w:r>
              <w:rPr>
                <w:rFonts w:hint="eastAsia" w:ascii="宋体" w:hAnsi="宋体" w:cs="宋体"/>
                <w:szCs w:val="21"/>
                <w:highlight w:val="none"/>
                <w:lang w:val="en-US" w:eastAsia="zh-CN"/>
              </w:rPr>
              <w:t>0</w:t>
            </w:r>
            <w:r>
              <w:rPr>
                <w:rFonts w:hint="eastAsia" w:ascii="宋体" w:hAnsi="宋体" w:cs="宋体"/>
                <w:szCs w:val="21"/>
                <w:highlight w:val="none"/>
              </w:rPr>
              <w:t>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Style w:val="55"/>
                <w:rFonts w:ascii="宋体" w:hAnsi="宋体" w:eastAsia="宋体"/>
                <w:highlight w:val="none"/>
              </w:rPr>
            </w:pPr>
            <w:r>
              <w:rPr>
                <w:rFonts w:hint="eastAsia" w:ascii="宋体" w:hAnsi="宋体" w:eastAsia="宋体" w:cs="宋体"/>
                <w:color w:val="000000"/>
                <w:szCs w:val="21"/>
                <w:highlight w:val="none"/>
                <w:lang w:eastAsia="zh-CN"/>
              </w:rPr>
              <w:t>⑤</w:t>
            </w:r>
            <w:r>
              <w:rPr>
                <w:rFonts w:hint="eastAsia" w:ascii="宋体" w:hAnsi="宋体" w:cs="宋体"/>
                <w:szCs w:val="21"/>
                <w:highlight w:val="none"/>
                <w:lang w:val="en-US" w:eastAsia="zh-CN"/>
              </w:rPr>
              <w:t>1000</w:t>
            </w:r>
            <w:r>
              <w:rPr>
                <w:rFonts w:hint="eastAsia" w:ascii="宋体" w:hAnsi="宋体" w:cs="宋体"/>
                <w:szCs w:val="21"/>
                <w:highlight w:val="none"/>
              </w:rPr>
              <w:t>平方米≤配送场所面积＜</w:t>
            </w:r>
            <w:r>
              <w:rPr>
                <w:rFonts w:hint="eastAsia" w:ascii="宋体" w:hAnsi="宋体" w:cs="宋体"/>
                <w:szCs w:val="21"/>
                <w:highlight w:val="none"/>
                <w:lang w:val="en-US" w:eastAsia="zh-CN"/>
              </w:rPr>
              <w:t>20</w:t>
            </w:r>
            <w:r>
              <w:rPr>
                <w:rFonts w:hint="eastAsia" w:ascii="宋体" w:hAnsi="宋体" w:cs="宋体"/>
                <w:szCs w:val="21"/>
                <w:highlight w:val="none"/>
              </w:rPr>
              <w:t>00平方米的，得</w:t>
            </w:r>
            <w:r>
              <w:rPr>
                <w:rFonts w:hint="eastAsia" w:ascii="宋体" w:hAnsi="宋体" w:eastAsia="宋体" w:cs="宋体"/>
                <w:szCs w:val="21"/>
                <w:highlight w:val="none"/>
                <w:lang w:val="en-US" w:eastAsia="zh-CN"/>
              </w:rPr>
              <w:t>1</w:t>
            </w:r>
            <w:r>
              <w:rPr>
                <w:rFonts w:hint="eastAsia" w:ascii="宋体" w:hAnsi="宋体" w:cs="宋体"/>
                <w:szCs w:val="21"/>
                <w:highlight w:val="none"/>
                <w:lang w:val="en-US" w:eastAsia="zh-CN"/>
              </w:rPr>
              <w:t>0</w:t>
            </w:r>
            <w:r>
              <w:rPr>
                <w:rFonts w:hint="eastAsia" w:ascii="宋体" w:hAnsi="宋体" w:cs="宋体"/>
                <w:szCs w:val="21"/>
                <w:highlight w:val="none"/>
              </w:rPr>
              <w:t>分；</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Style w:val="55"/>
                <w:rFonts w:hint="default" w:ascii="宋体" w:hAnsi="宋体" w:eastAsia="宋体"/>
                <w:highlight w:val="none"/>
                <w:lang w:val="en-US" w:eastAsia="zh-CN"/>
              </w:rPr>
            </w:pPr>
            <w:r>
              <w:rPr>
                <w:rStyle w:val="55"/>
                <w:rFonts w:hint="eastAsia" w:ascii="宋体" w:hAnsi="宋体" w:eastAsia="宋体"/>
                <w:highlight w:val="none"/>
              </w:rPr>
              <w:t>提供多个配送场所面积不累计（</w:t>
            </w:r>
            <w:r>
              <w:rPr>
                <w:rStyle w:val="55"/>
                <w:rFonts w:hint="eastAsia" w:ascii="宋体" w:hAnsi="宋体"/>
                <w:highlight w:val="none"/>
              </w:rPr>
              <w:t>同一地址或同一工业园内或同一产业园内的多个配送场地所视为处同一配送场所</w:t>
            </w:r>
            <w:r>
              <w:rPr>
                <w:rStyle w:val="55"/>
                <w:rFonts w:hint="eastAsia" w:ascii="宋体" w:hAnsi="宋体" w:eastAsia="宋体"/>
                <w:highlight w:val="none"/>
              </w:rPr>
              <w:t>），以面积最大的配送场所面积计分</w:t>
            </w:r>
            <w:r>
              <w:rPr>
                <w:rStyle w:val="55"/>
                <w:rFonts w:hint="eastAsia" w:ascii="宋体" w:hAnsi="宋体" w:eastAsia="宋体"/>
                <w:highlight w:val="none"/>
                <w:lang w:eastAsia="zh-CN"/>
              </w:rPr>
              <w:t>。</w:t>
            </w:r>
            <w:r>
              <w:rPr>
                <w:rFonts w:hint="eastAsia"/>
                <w:highlight w:val="none"/>
                <w:lang w:eastAsia="zh-CN"/>
              </w:rPr>
              <w:t>本小项最高得</w:t>
            </w:r>
            <w:r>
              <w:rPr>
                <w:rFonts w:hint="eastAsia"/>
                <w:highlight w:val="none"/>
                <w:lang w:val="en-US" w:eastAsia="zh-CN"/>
              </w:rPr>
              <w:t>80分；</w:t>
            </w:r>
          </w:p>
          <w:p>
            <w:pPr>
              <w:keepNext w:val="0"/>
              <w:keepLines w:val="0"/>
              <w:pageBreakBefore w:val="0"/>
              <w:widowControl w:val="0"/>
              <w:kinsoku/>
              <w:overflowPunct/>
              <w:topLinePunct w:val="0"/>
              <w:autoSpaceDE/>
              <w:autoSpaceDN/>
              <w:bidi w:val="0"/>
              <w:adjustRightInd/>
              <w:snapToGrid/>
              <w:spacing w:line="360" w:lineRule="exact"/>
              <w:textAlignment w:val="auto"/>
              <w:rPr>
                <w:rFonts w:ascii="宋体" w:hAnsi="宋体"/>
                <w:color w:val="000000"/>
                <w:szCs w:val="21"/>
                <w:highlight w:val="none"/>
              </w:rPr>
            </w:pPr>
            <w:r>
              <w:rPr>
                <w:rFonts w:hint="eastAsia" w:ascii="宋体" w:hAnsi="宋体" w:eastAsia="宋体" w:cs="宋体"/>
                <w:color w:val="000000"/>
                <w:szCs w:val="21"/>
                <w:highlight w:val="none"/>
              </w:rPr>
              <w:t>2、考</w:t>
            </w:r>
            <w:r>
              <w:rPr>
                <w:rFonts w:hint="eastAsia" w:ascii="宋体" w:hAnsi="宋体"/>
                <w:color w:val="000000"/>
                <w:szCs w:val="21"/>
                <w:highlight w:val="none"/>
              </w:rPr>
              <w:t>察投标人服务便捷性，结合项目实际，</w:t>
            </w:r>
            <w:r>
              <w:rPr>
                <w:rFonts w:hint="eastAsia" w:ascii="宋体" w:hAnsi="宋体" w:cs="宋体"/>
                <w:color w:val="000000"/>
                <w:szCs w:val="21"/>
                <w:highlight w:val="none"/>
              </w:rPr>
              <w:t>为快速处理突发应急事项，有利于配送便捷性</w:t>
            </w:r>
            <w:r>
              <w:rPr>
                <w:rFonts w:hint="eastAsia" w:ascii="宋体" w:hAnsi="宋体"/>
                <w:color w:val="000000"/>
                <w:szCs w:val="21"/>
                <w:highlight w:val="none"/>
              </w:rPr>
              <w:t>：</w:t>
            </w:r>
          </w:p>
          <w:p>
            <w:pPr>
              <w:keepNext w:val="0"/>
              <w:keepLines w:val="0"/>
              <w:pageBreakBefore w:val="0"/>
              <w:widowControl w:val="0"/>
              <w:kinsoku/>
              <w:overflowPunct/>
              <w:topLinePunct w:val="0"/>
              <w:autoSpaceDE/>
              <w:autoSpaceDN/>
              <w:bidi w:val="0"/>
              <w:adjustRightInd/>
              <w:snapToGrid/>
              <w:spacing w:line="360" w:lineRule="exact"/>
              <w:textAlignment w:val="auto"/>
              <w:rPr>
                <w:rFonts w:ascii="宋体" w:hAnsi="宋体"/>
                <w:color w:val="000000"/>
                <w:szCs w:val="21"/>
                <w:highlight w:val="none"/>
              </w:rPr>
            </w:pPr>
            <w:r>
              <w:rPr>
                <w:rFonts w:hint="eastAsia" w:ascii="宋体" w:hAnsi="宋体"/>
                <w:color w:val="000000"/>
                <w:szCs w:val="21"/>
                <w:highlight w:val="none"/>
                <w:lang w:eastAsia="zh-CN"/>
              </w:rPr>
              <w:t>①</w:t>
            </w:r>
            <w:r>
              <w:rPr>
                <w:rFonts w:hint="eastAsia" w:ascii="宋体" w:hAnsi="宋体"/>
                <w:color w:val="000000"/>
                <w:szCs w:val="21"/>
                <w:highlight w:val="none"/>
              </w:rPr>
              <w:t>投标人在深圳市设有固定服务网点的得</w:t>
            </w:r>
            <w:r>
              <w:rPr>
                <w:rFonts w:hint="eastAsia" w:ascii="宋体" w:hAnsi="宋体"/>
                <w:color w:val="000000"/>
                <w:szCs w:val="21"/>
                <w:highlight w:val="none"/>
                <w:lang w:val="en-US" w:eastAsia="zh-CN"/>
              </w:rPr>
              <w:t>2</w:t>
            </w:r>
            <w:r>
              <w:rPr>
                <w:rFonts w:hint="eastAsia" w:ascii="宋体" w:hAnsi="宋体"/>
                <w:color w:val="000000"/>
                <w:szCs w:val="21"/>
                <w:highlight w:val="none"/>
              </w:rPr>
              <w:t>0分；</w:t>
            </w:r>
          </w:p>
          <w:p>
            <w:pPr>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color w:val="000000"/>
                <w:szCs w:val="21"/>
                <w:highlight w:val="none"/>
              </w:rPr>
            </w:pPr>
            <w:r>
              <w:rPr>
                <w:rFonts w:hint="eastAsia" w:ascii="宋体" w:hAnsi="宋体"/>
                <w:color w:val="000000"/>
                <w:szCs w:val="21"/>
                <w:highlight w:val="none"/>
                <w:lang w:eastAsia="zh-CN"/>
              </w:rPr>
              <w:t>②</w:t>
            </w:r>
            <w:r>
              <w:rPr>
                <w:rFonts w:hint="eastAsia" w:ascii="宋体" w:hAnsi="宋体" w:cs="宋体"/>
                <w:color w:val="000000"/>
                <w:szCs w:val="21"/>
                <w:highlight w:val="none"/>
              </w:rPr>
              <w:t>如</w:t>
            </w:r>
            <w:r>
              <w:rPr>
                <w:rFonts w:hint="eastAsia" w:ascii="宋体" w:hAnsi="宋体"/>
                <w:color w:val="000000"/>
                <w:szCs w:val="21"/>
                <w:highlight w:val="none"/>
              </w:rPr>
              <w:t>投标人在深圳市</w:t>
            </w:r>
            <w:r>
              <w:rPr>
                <w:rFonts w:hint="eastAsia" w:ascii="宋体" w:hAnsi="宋体"/>
                <w:color w:val="000000"/>
                <w:szCs w:val="21"/>
                <w:highlight w:val="none"/>
                <w:lang w:eastAsia="zh-CN"/>
              </w:rPr>
              <w:t>未设置</w:t>
            </w:r>
            <w:r>
              <w:rPr>
                <w:rFonts w:hint="eastAsia" w:ascii="宋体" w:hAnsi="宋体"/>
                <w:color w:val="000000"/>
                <w:szCs w:val="21"/>
                <w:highlight w:val="none"/>
              </w:rPr>
              <w:t>固定服务网点，承诺中标后在深圳市设立</w:t>
            </w:r>
            <w:r>
              <w:rPr>
                <w:rFonts w:hint="eastAsia" w:ascii="宋体" w:hAnsi="宋体"/>
                <w:szCs w:val="21"/>
                <w:highlight w:val="none"/>
              </w:rPr>
              <w:t>服务网点</w:t>
            </w:r>
            <w:r>
              <w:rPr>
                <w:rFonts w:hint="eastAsia" w:ascii="宋体" w:hAnsi="宋体"/>
                <w:color w:val="000000"/>
                <w:szCs w:val="21"/>
                <w:highlight w:val="none"/>
              </w:rPr>
              <w:t>的得</w:t>
            </w:r>
            <w:r>
              <w:rPr>
                <w:rFonts w:hint="eastAsia" w:ascii="宋体" w:hAnsi="宋体"/>
                <w:color w:val="000000"/>
                <w:szCs w:val="21"/>
                <w:highlight w:val="none"/>
                <w:lang w:val="en-US" w:eastAsia="zh-CN"/>
              </w:rPr>
              <w:t>2</w:t>
            </w:r>
            <w:r>
              <w:rPr>
                <w:rFonts w:hint="eastAsia" w:ascii="宋体" w:hAnsi="宋体"/>
                <w:color w:val="000000"/>
                <w:szCs w:val="21"/>
                <w:highlight w:val="none"/>
              </w:rPr>
              <w:t>0分；其他不得分。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color w:val="000000"/>
                <w:szCs w:val="21"/>
                <w:highlight w:val="none"/>
              </w:rPr>
            </w:pPr>
            <w:r>
              <w:rPr>
                <w:rFonts w:hint="eastAsia" w:ascii="宋体" w:hAnsi="宋体"/>
                <w:color w:val="000000"/>
                <w:szCs w:val="21"/>
                <w:highlight w:val="none"/>
              </w:rPr>
              <w:t>本</w:t>
            </w:r>
            <w:r>
              <w:rPr>
                <w:rFonts w:hint="eastAsia" w:ascii="宋体" w:hAnsi="宋体"/>
                <w:color w:val="000000"/>
                <w:szCs w:val="21"/>
                <w:highlight w:val="none"/>
                <w:lang w:eastAsia="zh-CN"/>
              </w:rPr>
              <w:t>小</w:t>
            </w:r>
            <w:r>
              <w:rPr>
                <w:rFonts w:hint="eastAsia" w:ascii="宋体" w:hAnsi="宋体"/>
                <w:color w:val="000000"/>
                <w:szCs w:val="21"/>
                <w:highlight w:val="none"/>
              </w:rPr>
              <w:t>项最高得</w:t>
            </w:r>
            <w:r>
              <w:rPr>
                <w:rFonts w:hint="eastAsia" w:ascii="宋体" w:hAnsi="宋体"/>
                <w:color w:val="000000"/>
                <w:szCs w:val="21"/>
                <w:highlight w:val="none"/>
                <w:lang w:val="en-US" w:eastAsia="zh-CN"/>
              </w:rPr>
              <w:t>20</w:t>
            </w:r>
            <w:r>
              <w:rPr>
                <w:rFonts w:hint="eastAsia" w:ascii="宋体" w:hAnsi="宋体"/>
                <w:color w:val="000000"/>
                <w:szCs w:val="21"/>
                <w:highlight w:val="none"/>
              </w:rPr>
              <w:t>分。</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firstLine="0" w:firstLineChars="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证明文件：</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ascii="宋体" w:hAnsi="宋体" w:eastAsia="宋体" w:cs="宋体"/>
                <w:szCs w:val="21"/>
                <w:highlight w:val="none"/>
              </w:rPr>
            </w:pPr>
            <w:r>
              <w:rPr>
                <w:rFonts w:hint="eastAsia" w:ascii="宋体" w:hAnsi="宋体" w:eastAsia="宋体" w:cs="宋体"/>
                <w:szCs w:val="21"/>
                <w:highlight w:val="none"/>
              </w:rPr>
              <w:t>1、自有配送场所提供自有产权证明；</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2、租赁的配送场所提供租赁合同关键页（包括但不限于：合同名称页、合同主要内容页、合同签订日期页、合同双方签字盖章页），租赁日期涵盖本项目投标截止日期；同时提供投标截止日期前3个月</w:t>
            </w:r>
            <w:r>
              <w:rPr>
                <w:rFonts w:hint="eastAsia" w:ascii="宋体" w:hAnsi="宋体" w:cs="Times New Roman"/>
                <w:kern w:val="2"/>
                <w:sz w:val="21"/>
                <w:szCs w:val="21"/>
                <w:highlight w:val="none"/>
                <w:lang w:val="en-US" w:eastAsia="zh-CN" w:bidi="ar-SA"/>
              </w:rPr>
              <w:t>（2026年5-7月）</w:t>
            </w:r>
            <w:r>
              <w:rPr>
                <w:rFonts w:hint="eastAsia" w:ascii="宋体" w:hAnsi="宋体" w:eastAsia="宋体" w:cs="宋体"/>
                <w:szCs w:val="21"/>
                <w:highlight w:val="none"/>
              </w:rPr>
              <w:t>中任意一月的租金发票或银行流水</w:t>
            </w:r>
            <w:r>
              <w:rPr>
                <w:rFonts w:hint="eastAsia" w:ascii="宋体" w:hAnsi="宋体" w:eastAsia="宋体" w:cs="宋体"/>
                <w:szCs w:val="21"/>
                <w:highlight w:val="none"/>
                <w:lang w:eastAsia="zh-CN"/>
              </w:rPr>
              <w:t>；</w:t>
            </w:r>
          </w:p>
          <w:p>
            <w:pPr>
              <w:pStyle w:val="2"/>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3、已有服务网点或中标后设置服务网点的</w:t>
            </w:r>
          </w:p>
          <w:p>
            <w:pPr>
              <w:pStyle w:val="2"/>
              <w:keepNext w:val="0"/>
              <w:keepLines w:val="0"/>
              <w:pageBreakBefore w:val="0"/>
              <w:widowControl w:val="0"/>
              <w:kinsoku/>
              <w:overflowPunct/>
              <w:topLinePunct w:val="0"/>
              <w:autoSpaceDE/>
              <w:autoSpaceDN/>
              <w:bidi w:val="0"/>
              <w:adjustRightInd/>
              <w:snapToGrid/>
              <w:spacing w:line="360" w:lineRule="exact"/>
              <w:textAlignment w:val="auto"/>
              <w:rPr>
                <w:rFonts w:hint="eastAsia" w:eastAsia="宋体"/>
                <w:sz w:val="21"/>
                <w:szCs w:val="21"/>
                <w:highlight w:val="none"/>
                <w:lang w:eastAsia="zh-CN"/>
              </w:rPr>
            </w:pPr>
            <w:r>
              <w:rPr>
                <w:rFonts w:hint="eastAsia" w:ascii="宋体" w:hAnsi="宋体" w:eastAsia="宋体" w:cs="宋体"/>
                <w:b w:val="0"/>
                <w:bCs w:val="0"/>
                <w:kern w:val="2"/>
                <w:sz w:val="21"/>
                <w:szCs w:val="21"/>
                <w:highlight w:val="none"/>
                <w:lang w:val="en-US" w:eastAsia="zh-CN" w:bidi="ar-SA"/>
              </w:rPr>
              <w:t>均提供</w:t>
            </w:r>
            <w:r>
              <w:rPr>
                <w:rFonts w:hint="eastAsia" w:ascii="宋体" w:hAnsi="宋体"/>
                <w:b w:val="0"/>
                <w:sz w:val="21"/>
                <w:szCs w:val="21"/>
                <w:highlight w:val="none"/>
              </w:rPr>
              <w:t>承诺函（格式自拟</w:t>
            </w:r>
            <w:r>
              <w:rPr>
                <w:rFonts w:hint="eastAsia" w:ascii="宋体" w:hAnsi="宋体"/>
                <w:b w:val="0"/>
                <w:bCs w:val="0"/>
                <w:sz w:val="21"/>
                <w:szCs w:val="21"/>
                <w:highlight w:val="none"/>
              </w:rPr>
              <w:t>）</w:t>
            </w:r>
            <w:r>
              <w:rPr>
                <w:rFonts w:hint="eastAsia" w:ascii="宋体" w:hAnsi="宋体"/>
                <w:b w:val="0"/>
                <w:bCs w:val="0"/>
                <w:sz w:val="21"/>
                <w:szCs w:val="21"/>
                <w:highlight w:val="none"/>
                <w:lang w:eastAsia="zh-CN"/>
              </w:rPr>
              <w:t>；</w:t>
            </w:r>
          </w:p>
          <w:p>
            <w:pPr>
              <w:keepNext w:val="0"/>
              <w:keepLines w:val="0"/>
              <w:pageBreakBefore w:val="0"/>
              <w:widowControl w:val="0"/>
              <w:kinsoku/>
              <w:wordWrap w:val="0"/>
              <w:overflowPunct/>
              <w:topLinePunct w:val="0"/>
              <w:autoSpaceDE/>
              <w:autoSpaceDN/>
              <w:bidi w:val="0"/>
              <w:adjustRightInd/>
              <w:spacing w:beforeAutospacing="0" w:afterAutospacing="0" w:line="360" w:lineRule="exact"/>
              <w:ind w:left="0" w:leftChars="0" w:right="0" w:rightChars="0" w:firstLine="0" w:firstLineChars="0"/>
              <w:textAlignment w:val="auto"/>
              <w:rPr>
                <w:rFonts w:hint="eastAsia" w:ascii="宋体" w:hAnsi="宋体" w:eastAsia="宋体" w:cs="宋体"/>
                <w:szCs w:val="21"/>
                <w:highlight w:val="none"/>
              </w:rPr>
            </w:pPr>
            <w:r>
              <w:rPr>
                <w:rFonts w:hint="eastAsia" w:ascii="宋体" w:hAnsi="宋体" w:eastAsia="宋体" w:cs="宋体"/>
                <w:b w:val="0"/>
                <w:sz w:val="21"/>
                <w:szCs w:val="21"/>
                <w:highlight w:val="none"/>
              </w:rPr>
              <w:t>4、未提供或未按要求提供或提供的不清晰导致专家无法判断的，不得分。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3</w:t>
            </w:r>
          </w:p>
        </w:tc>
        <w:tc>
          <w:tcPr>
            <w:tcW w:w="2835"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szCs w:val="21"/>
                <w:highlight w:val="none"/>
              </w:rPr>
              <w:t>食品安全保险</w:t>
            </w:r>
          </w:p>
        </w:tc>
        <w:tc>
          <w:tcPr>
            <w:tcW w:w="681"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szCs w:val="21"/>
                <w:highlight w:val="none"/>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overflowPunct/>
              <w:topLinePunct w:val="0"/>
              <w:autoSpaceDE/>
              <w:autoSpaceDN/>
              <w:bidi w:val="0"/>
              <w:adjustRightInd/>
              <w:snapToGrid w:val="0"/>
              <w:spacing w:line="360" w:lineRule="exact"/>
              <w:textAlignment w:val="auto"/>
              <w:rPr>
                <w:rFonts w:ascii="宋体" w:hAnsi="宋体" w:eastAsia="宋体" w:cs="宋体"/>
                <w:b/>
                <w:bCs/>
                <w:szCs w:val="21"/>
                <w:highlight w:val="none"/>
              </w:rPr>
            </w:pPr>
            <w:r>
              <w:rPr>
                <w:rFonts w:hint="eastAsia" w:ascii="宋体" w:hAnsi="宋体" w:eastAsia="宋体" w:cs="宋体"/>
                <w:b/>
                <w:bCs/>
                <w:szCs w:val="21"/>
                <w:highlight w:val="none"/>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1、投标人购买相关食品安全责任险（购买保险日期需在投标截止日前）：</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①</w:t>
            </w:r>
            <w:r>
              <w:rPr>
                <w:rFonts w:hint="eastAsia" w:ascii="宋体" w:hAnsi="宋体" w:eastAsia="宋体" w:cs="宋体"/>
                <w:bCs/>
                <w:szCs w:val="21"/>
                <w:highlight w:val="none"/>
              </w:rPr>
              <w:t>投保金额</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亿元（含）以上的，得</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②</w:t>
            </w:r>
            <w:r>
              <w:rPr>
                <w:rFonts w:hint="eastAsia" w:ascii="宋体" w:hAnsi="宋体" w:cs="宋体"/>
                <w:bCs/>
                <w:szCs w:val="21"/>
                <w:highlight w:val="none"/>
                <w:lang w:val="en-US" w:eastAsia="zh-CN"/>
              </w:rPr>
              <w:t>1.5</w:t>
            </w:r>
            <w:r>
              <w:rPr>
                <w:rFonts w:hint="eastAsia" w:ascii="宋体" w:hAnsi="宋体" w:eastAsia="宋体" w:cs="宋体"/>
                <w:bCs/>
                <w:szCs w:val="21"/>
                <w:highlight w:val="none"/>
              </w:rPr>
              <w:t>亿元≤投保金额＜</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亿元的，得</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③</w:t>
            </w:r>
            <w:r>
              <w:rPr>
                <w:rFonts w:hint="eastAsia" w:ascii="宋体" w:hAnsi="宋体" w:eastAsia="宋体" w:cs="宋体"/>
                <w:bCs/>
                <w:szCs w:val="21"/>
                <w:highlight w:val="none"/>
              </w:rPr>
              <w:t>5000万元≤投保金额＜1</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亿元的，得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④</w:t>
            </w:r>
            <w:r>
              <w:rPr>
                <w:rFonts w:hint="eastAsia" w:ascii="宋体" w:hAnsi="宋体" w:eastAsia="宋体" w:cs="宋体"/>
                <w:bCs/>
                <w:szCs w:val="21"/>
                <w:highlight w:val="none"/>
              </w:rPr>
              <w:t>其他不得分。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bCs/>
                <w:szCs w:val="21"/>
                <w:highlight w:val="none"/>
              </w:rPr>
            </w:pPr>
            <w:r>
              <w:rPr>
                <w:rStyle w:val="55"/>
                <w:rFonts w:hint="eastAsia" w:ascii="宋体" w:hAnsi="宋体" w:eastAsia="宋体"/>
                <w:bCs/>
                <w:highlight w:val="none"/>
              </w:rPr>
              <w:t>提供多个保险投保金额不累计。</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2、投标人购买相关公众责任险（购买保险日期需投标截止日前）：</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①</w:t>
            </w:r>
            <w:r>
              <w:rPr>
                <w:rFonts w:hint="eastAsia" w:ascii="宋体" w:hAnsi="宋体" w:eastAsia="宋体" w:cs="宋体"/>
                <w:bCs/>
                <w:szCs w:val="21"/>
                <w:highlight w:val="none"/>
              </w:rPr>
              <w:t>投保金额</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亿元（含）以上的，得</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②</w:t>
            </w:r>
            <w:r>
              <w:rPr>
                <w:rFonts w:hint="eastAsia" w:ascii="宋体" w:hAnsi="宋体" w:eastAsia="宋体" w:cs="宋体"/>
                <w:bCs/>
                <w:szCs w:val="21"/>
                <w:highlight w:val="none"/>
              </w:rPr>
              <w:t>1</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亿元≤投保金额＜</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亿元的，得</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③</w:t>
            </w:r>
            <w:r>
              <w:rPr>
                <w:rFonts w:hint="eastAsia" w:ascii="宋体" w:hAnsi="宋体" w:eastAsia="宋体" w:cs="宋体"/>
                <w:bCs/>
                <w:szCs w:val="21"/>
                <w:highlight w:val="none"/>
              </w:rPr>
              <w:t>5000万元≤投保金额＜1</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亿元的，得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lang w:eastAsia="zh-CN"/>
              </w:rPr>
              <w:t>④</w:t>
            </w:r>
            <w:r>
              <w:rPr>
                <w:rFonts w:hint="eastAsia" w:ascii="宋体" w:hAnsi="宋体" w:eastAsia="宋体" w:cs="宋体"/>
                <w:bCs/>
                <w:szCs w:val="21"/>
                <w:highlight w:val="none"/>
              </w:rPr>
              <w:t>其他不得分。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bCs/>
                <w:szCs w:val="21"/>
                <w:highlight w:val="none"/>
              </w:rPr>
            </w:pPr>
            <w:r>
              <w:rPr>
                <w:rFonts w:hint="eastAsia" w:ascii="宋体" w:hAnsi="宋体" w:eastAsia="宋体" w:cs="宋体"/>
                <w:szCs w:val="21"/>
                <w:highlight w:val="none"/>
              </w:rPr>
              <w:t>提供</w:t>
            </w:r>
            <w:r>
              <w:rPr>
                <w:rStyle w:val="55"/>
                <w:rFonts w:hint="eastAsia" w:ascii="宋体" w:hAnsi="宋体" w:eastAsia="宋体"/>
                <w:bCs/>
                <w:highlight w:val="none"/>
              </w:rPr>
              <w:t>多个保险投保金额不累计。</w:t>
            </w:r>
          </w:p>
          <w:p>
            <w:pPr>
              <w:keepNext w:val="0"/>
              <w:keepLines w:val="0"/>
              <w:pageBreakBefore w:val="0"/>
              <w:widowControl w:val="0"/>
              <w:kinsoku/>
              <w:overflowPunct/>
              <w:topLinePunct w:val="0"/>
              <w:autoSpaceDE/>
              <w:autoSpaceDN/>
              <w:bidi w:val="0"/>
              <w:adjustRightInd/>
              <w:snapToGrid w:val="0"/>
              <w:spacing w:line="360" w:lineRule="exact"/>
              <w:textAlignment w:val="auto"/>
              <w:rPr>
                <w:rFonts w:ascii="宋体" w:hAnsi="宋体" w:eastAsia="宋体" w:cs="宋体"/>
                <w:b/>
                <w:bCs w:val="0"/>
                <w:szCs w:val="21"/>
                <w:highlight w:val="none"/>
              </w:rPr>
            </w:pPr>
            <w:r>
              <w:rPr>
                <w:rFonts w:hint="eastAsia" w:ascii="宋体" w:hAnsi="宋体" w:eastAsia="宋体" w:cs="宋体"/>
                <w:b/>
                <w:bCs w:val="0"/>
                <w:szCs w:val="21"/>
                <w:highlight w:val="none"/>
              </w:rPr>
              <w:t>证明文件：</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bCs/>
                <w:szCs w:val="21"/>
                <w:highlight w:val="none"/>
              </w:rPr>
            </w:pPr>
            <w:r>
              <w:rPr>
                <w:rFonts w:hint="eastAsia" w:ascii="宋体" w:hAnsi="宋体" w:eastAsia="宋体" w:cs="宋体"/>
                <w:bCs/>
                <w:szCs w:val="21"/>
                <w:highlight w:val="none"/>
              </w:rPr>
              <w:t>1、提供投保单</w:t>
            </w:r>
            <w:r>
              <w:rPr>
                <w:rFonts w:hint="eastAsia" w:ascii="宋体" w:hAnsi="宋体" w:eastAsia="宋体" w:cs="宋体"/>
                <w:bCs/>
                <w:szCs w:val="21"/>
                <w:highlight w:val="none"/>
                <w:lang w:eastAsia="zh-CN"/>
              </w:rPr>
              <w:t>及</w:t>
            </w:r>
            <w:r>
              <w:rPr>
                <w:rFonts w:hint="eastAsia" w:ascii="宋体" w:hAnsi="宋体" w:eastAsia="宋体" w:cs="宋体"/>
                <w:bCs/>
                <w:szCs w:val="21"/>
                <w:highlight w:val="none"/>
              </w:rPr>
              <w:t>保险购买发票</w:t>
            </w:r>
            <w:r>
              <w:rPr>
                <w:rFonts w:hint="eastAsia" w:ascii="宋体" w:hAnsi="宋体" w:eastAsia="宋体" w:cs="宋体"/>
                <w:bCs/>
                <w:szCs w:val="21"/>
                <w:highlight w:val="none"/>
                <w:lang w:eastAsia="zh-CN"/>
              </w:rPr>
              <w:t>扫描件</w:t>
            </w:r>
            <w:r>
              <w:rPr>
                <w:rFonts w:hint="eastAsia" w:ascii="宋体" w:hAnsi="宋体" w:eastAsia="宋体" w:cs="宋体"/>
                <w:bCs/>
                <w:szCs w:val="21"/>
                <w:highlight w:val="none"/>
              </w:rPr>
              <w:t>；</w:t>
            </w:r>
          </w:p>
          <w:p>
            <w:pPr>
              <w:pStyle w:val="2"/>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b w:val="0"/>
                <w:sz w:val="21"/>
                <w:szCs w:val="21"/>
                <w:highlight w:val="none"/>
                <w:lang w:val="en-US" w:eastAsia="zh-CN"/>
              </w:rPr>
              <w:t>2</w:t>
            </w:r>
            <w:r>
              <w:rPr>
                <w:rFonts w:hint="eastAsia" w:ascii="宋体" w:hAnsi="宋体" w:eastAsia="宋体" w:cs="宋体"/>
                <w:b w:val="0"/>
                <w:sz w:val="21"/>
                <w:szCs w:val="21"/>
                <w:highlight w:val="none"/>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4</w:t>
            </w:r>
          </w:p>
        </w:tc>
        <w:tc>
          <w:tcPr>
            <w:tcW w:w="2835"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szCs w:val="21"/>
                <w:highlight w:val="none"/>
              </w:rPr>
              <w:t>冷库</w:t>
            </w:r>
          </w:p>
        </w:tc>
        <w:tc>
          <w:tcPr>
            <w:tcW w:w="681"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val="0"/>
              <w:overflowPunct/>
              <w:topLinePunct w:val="0"/>
              <w:autoSpaceDE/>
              <w:autoSpaceDN/>
              <w:bidi w:val="0"/>
              <w:adjustRightInd/>
              <w:spacing w:line="360" w:lineRule="exact"/>
              <w:textAlignment w:val="auto"/>
              <w:rPr>
                <w:b/>
                <w:bCs/>
                <w:highlight w:val="none"/>
              </w:rPr>
            </w:pPr>
            <w:r>
              <w:rPr>
                <w:rFonts w:hint="eastAsia"/>
                <w:b/>
                <w:bCs/>
                <w:highlight w:val="none"/>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highlight w:val="none"/>
              </w:rPr>
            </w:pPr>
            <w:r>
              <w:rPr>
                <w:rFonts w:hint="eastAsia"/>
                <w:highlight w:val="none"/>
              </w:rPr>
              <w:t>根据投标人拟投入的冷库（含冷冻和冷藏）</w:t>
            </w:r>
            <w:r>
              <w:rPr>
                <w:rFonts w:hint="eastAsia"/>
                <w:highlight w:val="none"/>
                <w:lang w:eastAsia="zh-CN"/>
              </w:rPr>
              <w:t>容</w:t>
            </w:r>
            <w:r>
              <w:rPr>
                <w:rFonts w:hint="eastAsia"/>
                <w:highlight w:val="none"/>
              </w:rPr>
              <w:t>积进行评分：</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szCs w:val="21"/>
                <w:highlight w:val="none"/>
                <w:lang w:eastAsia="zh-CN"/>
              </w:rPr>
              <w:t>、</w:t>
            </w:r>
            <w:r>
              <w:rPr>
                <w:rFonts w:hint="eastAsia" w:ascii="宋体" w:hAnsi="宋体" w:eastAsia="宋体" w:cs="宋体"/>
                <w:szCs w:val="21"/>
                <w:highlight w:val="none"/>
              </w:rPr>
              <w:t>冷库</w:t>
            </w:r>
            <w:r>
              <w:rPr>
                <w:rFonts w:hint="eastAsia" w:ascii="宋体" w:hAnsi="宋体" w:eastAsia="宋体" w:cs="宋体"/>
                <w:szCs w:val="21"/>
                <w:highlight w:val="none"/>
                <w:lang w:val="en-US" w:eastAsia="zh-CN"/>
              </w:rPr>
              <w:t>容</w:t>
            </w:r>
            <w:r>
              <w:rPr>
                <w:rFonts w:hint="eastAsia" w:ascii="宋体" w:hAnsi="宋体" w:eastAsia="宋体" w:cs="宋体"/>
                <w:szCs w:val="21"/>
                <w:highlight w:val="none"/>
              </w:rPr>
              <w:t>积</w:t>
            </w:r>
            <w:r>
              <w:rPr>
                <w:rFonts w:hint="eastAsia" w:ascii="宋体" w:hAnsi="宋体" w:cs="宋体"/>
                <w:szCs w:val="21"/>
                <w:highlight w:val="none"/>
                <w:lang w:val="en-US" w:eastAsia="zh-CN"/>
              </w:rPr>
              <w:t>1</w:t>
            </w:r>
            <w:r>
              <w:rPr>
                <w:rFonts w:hint="eastAsia" w:ascii="宋体" w:hAnsi="宋体" w:eastAsia="宋体" w:cs="宋体"/>
                <w:szCs w:val="21"/>
                <w:highlight w:val="none"/>
              </w:rPr>
              <w:t>000立方米（含）以上的，得</w:t>
            </w:r>
            <w:r>
              <w:rPr>
                <w:rFonts w:hint="eastAsia" w:ascii="宋体" w:hAnsi="宋体" w:eastAsia="宋体" w:cs="宋体"/>
                <w:szCs w:val="21"/>
                <w:highlight w:val="none"/>
                <w:lang w:val="en-US" w:eastAsia="zh-CN"/>
              </w:rPr>
              <w:t>100</w:t>
            </w:r>
            <w:r>
              <w:rPr>
                <w:rFonts w:hint="eastAsia" w:ascii="宋体" w:hAnsi="宋体" w:eastAsia="宋体" w:cs="宋体"/>
                <w:szCs w:val="21"/>
                <w:highlight w:val="none"/>
              </w:rPr>
              <w:t>分；</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zh-CN"/>
              </w:rPr>
              <w:t>、</w:t>
            </w:r>
            <w:r>
              <w:rPr>
                <w:rFonts w:hint="eastAsia" w:ascii="宋体" w:hAnsi="宋体" w:cs="宋体"/>
                <w:szCs w:val="21"/>
                <w:highlight w:val="none"/>
                <w:lang w:val="en-US" w:eastAsia="zh-CN"/>
              </w:rPr>
              <w:t>9</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立方米≤冷库</w:t>
            </w:r>
            <w:r>
              <w:rPr>
                <w:rFonts w:hint="eastAsia" w:ascii="宋体" w:hAnsi="宋体" w:eastAsia="宋体" w:cs="宋体"/>
                <w:szCs w:val="21"/>
                <w:highlight w:val="none"/>
                <w:lang w:val="en-US" w:eastAsia="zh-CN"/>
              </w:rPr>
              <w:t>容积</w:t>
            </w:r>
            <w:r>
              <w:rPr>
                <w:rFonts w:hint="eastAsia" w:ascii="宋体" w:hAnsi="宋体" w:eastAsia="宋体" w:cs="宋体"/>
                <w:szCs w:val="21"/>
                <w:highlight w:val="none"/>
              </w:rPr>
              <w:t>＜</w:t>
            </w:r>
            <w:r>
              <w:rPr>
                <w:rFonts w:hint="eastAsia" w:ascii="宋体" w:hAnsi="宋体" w:cs="宋体"/>
                <w:szCs w:val="21"/>
                <w:highlight w:val="none"/>
                <w:lang w:val="en-US" w:eastAsia="zh-CN"/>
              </w:rPr>
              <w:t>1</w:t>
            </w:r>
            <w:r>
              <w:rPr>
                <w:rFonts w:hint="eastAsia" w:ascii="宋体" w:hAnsi="宋体" w:eastAsia="宋体" w:cs="宋体"/>
                <w:szCs w:val="21"/>
                <w:highlight w:val="none"/>
              </w:rPr>
              <w:t>00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立方米的，得</w:t>
            </w:r>
            <w:r>
              <w:rPr>
                <w:rFonts w:hint="eastAsia" w:ascii="宋体" w:hAnsi="宋体" w:cs="宋体"/>
                <w:szCs w:val="21"/>
                <w:highlight w:val="none"/>
                <w:lang w:val="en-US" w:eastAsia="zh-CN"/>
              </w:rPr>
              <w:t>8</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分；</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lang w:eastAsia="zh-CN"/>
              </w:rPr>
              <w:t>、</w:t>
            </w:r>
            <w:r>
              <w:rPr>
                <w:rFonts w:hint="eastAsia" w:ascii="宋体" w:hAnsi="宋体" w:cs="宋体"/>
                <w:szCs w:val="21"/>
                <w:highlight w:val="none"/>
                <w:lang w:val="en-US" w:eastAsia="zh-CN"/>
              </w:rPr>
              <w:t>8</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立方米≤冷库</w:t>
            </w:r>
            <w:r>
              <w:rPr>
                <w:rFonts w:hint="eastAsia" w:ascii="宋体" w:hAnsi="宋体" w:eastAsia="宋体" w:cs="宋体"/>
                <w:szCs w:val="21"/>
                <w:highlight w:val="none"/>
                <w:lang w:val="en-US" w:eastAsia="zh-CN"/>
              </w:rPr>
              <w:t>容积</w:t>
            </w:r>
            <w:r>
              <w:rPr>
                <w:rFonts w:hint="eastAsia" w:ascii="宋体" w:hAnsi="宋体" w:eastAsia="宋体" w:cs="宋体"/>
                <w:szCs w:val="21"/>
                <w:highlight w:val="none"/>
              </w:rPr>
              <w:t>＜</w:t>
            </w:r>
            <w:r>
              <w:rPr>
                <w:rFonts w:hint="eastAsia" w:ascii="宋体" w:hAnsi="宋体" w:cs="宋体"/>
                <w:szCs w:val="21"/>
                <w:highlight w:val="none"/>
                <w:lang w:val="en-US" w:eastAsia="zh-CN"/>
              </w:rPr>
              <w:t>9</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立方米的，得</w:t>
            </w:r>
            <w:r>
              <w:rPr>
                <w:rFonts w:hint="eastAsia" w:ascii="宋体" w:hAnsi="宋体" w:cs="宋体"/>
                <w:szCs w:val="21"/>
                <w:highlight w:val="none"/>
                <w:lang w:val="en-US" w:eastAsia="zh-CN"/>
              </w:rPr>
              <w:t>60</w:t>
            </w:r>
            <w:r>
              <w:rPr>
                <w:rFonts w:hint="eastAsia" w:ascii="宋体" w:hAnsi="宋体" w:eastAsia="宋体" w:cs="宋体"/>
                <w:szCs w:val="21"/>
                <w:highlight w:val="none"/>
              </w:rPr>
              <w:t>分；</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eastAsia="zh-CN"/>
              </w:rPr>
              <w:t>、</w:t>
            </w:r>
            <w:r>
              <w:rPr>
                <w:rFonts w:hint="eastAsia" w:ascii="宋体" w:hAnsi="宋体" w:cs="宋体"/>
                <w:szCs w:val="21"/>
                <w:highlight w:val="none"/>
                <w:lang w:val="en-US" w:eastAsia="zh-CN"/>
              </w:rPr>
              <w:t>7</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立方米≤冷库</w:t>
            </w:r>
            <w:r>
              <w:rPr>
                <w:rFonts w:hint="eastAsia" w:ascii="宋体" w:hAnsi="宋体" w:eastAsia="宋体" w:cs="宋体"/>
                <w:szCs w:val="21"/>
                <w:highlight w:val="none"/>
                <w:lang w:val="en-US" w:eastAsia="zh-CN"/>
              </w:rPr>
              <w:t>容积</w:t>
            </w:r>
            <w:r>
              <w:rPr>
                <w:rFonts w:hint="eastAsia" w:ascii="宋体" w:hAnsi="宋体" w:eastAsia="宋体" w:cs="宋体"/>
                <w:szCs w:val="21"/>
                <w:highlight w:val="none"/>
              </w:rPr>
              <w:t>＜</w:t>
            </w:r>
            <w:r>
              <w:rPr>
                <w:rFonts w:hint="eastAsia" w:ascii="宋体" w:hAnsi="宋体" w:cs="宋体"/>
                <w:szCs w:val="21"/>
                <w:highlight w:val="none"/>
                <w:lang w:val="en-US" w:eastAsia="zh-CN"/>
              </w:rPr>
              <w:t>8</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立方米的，得</w:t>
            </w:r>
            <w:r>
              <w:rPr>
                <w:rFonts w:hint="eastAsia" w:ascii="宋体" w:hAnsi="宋体" w:cs="宋体"/>
                <w:szCs w:val="21"/>
                <w:highlight w:val="none"/>
                <w:lang w:val="en-US" w:eastAsia="zh-CN"/>
              </w:rPr>
              <w:t>40</w:t>
            </w:r>
            <w:r>
              <w:rPr>
                <w:rFonts w:hint="eastAsia" w:ascii="宋体" w:hAnsi="宋体" w:eastAsia="宋体" w:cs="宋体"/>
                <w:szCs w:val="21"/>
                <w:highlight w:val="none"/>
              </w:rPr>
              <w:t>分；</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eastAsia="宋体" w:cs="宋体"/>
                <w:szCs w:val="21"/>
                <w:highlight w:val="none"/>
                <w:lang w:eastAsia="zh-CN"/>
              </w:rPr>
              <w:t>、</w:t>
            </w:r>
            <w:r>
              <w:rPr>
                <w:rFonts w:hint="eastAsia" w:ascii="宋体" w:hAnsi="宋体" w:cs="宋体"/>
                <w:szCs w:val="21"/>
                <w:highlight w:val="none"/>
                <w:lang w:val="en-US" w:eastAsia="zh-CN"/>
              </w:rPr>
              <w:t>6</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立方米≤冷库</w:t>
            </w:r>
            <w:r>
              <w:rPr>
                <w:rFonts w:hint="eastAsia" w:ascii="宋体" w:hAnsi="宋体" w:eastAsia="宋体" w:cs="宋体"/>
                <w:szCs w:val="21"/>
                <w:highlight w:val="none"/>
                <w:lang w:val="en-US" w:eastAsia="zh-CN"/>
              </w:rPr>
              <w:t>容积</w:t>
            </w:r>
            <w:r>
              <w:rPr>
                <w:rFonts w:hint="eastAsia" w:ascii="宋体" w:hAnsi="宋体" w:eastAsia="宋体" w:cs="宋体"/>
                <w:szCs w:val="21"/>
                <w:highlight w:val="none"/>
              </w:rPr>
              <w:t>＜</w:t>
            </w:r>
            <w:r>
              <w:rPr>
                <w:rFonts w:hint="eastAsia" w:ascii="宋体" w:hAnsi="宋体" w:cs="宋体"/>
                <w:szCs w:val="21"/>
                <w:highlight w:val="none"/>
                <w:lang w:val="en-US" w:eastAsia="zh-CN"/>
              </w:rPr>
              <w:t>7</w:t>
            </w:r>
            <w:r>
              <w:rPr>
                <w:rFonts w:hint="eastAsia" w:ascii="宋体" w:hAnsi="宋体" w:eastAsia="宋体" w:cs="宋体"/>
                <w:szCs w:val="21"/>
                <w:highlight w:val="none"/>
              </w:rPr>
              <w:t>0</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立方米的，得</w:t>
            </w: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分；</w:t>
            </w:r>
          </w:p>
          <w:p>
            <w:pPr>
              <w:keepNext w:val="0"/>
              <w:keepLines w:val="0"/>
              <w:pageBreakBefore w:val="0"/>
              <w:widowControl w:val="0"/>
              <w:numPr>
                <w:ilvl w:val="0"/>
                <w:numId w:val="7"/>
              </w:numPr>
              <w:kinsoku/>
              <w:overflowPunct/>
              <w:topLinePunct w:val="0"/>
              <w:autoSpaceDE/>
              <w:autoSpaceDN/>
              <w:bidi w:val="0"/>
              <w:adjustRightInd/>
              <w:spacing w:line="360" w:lineRule="exact"/>
              <w:textAlignment w:val="auto"/>
              <w:rPr>
                <w:rFonts w:hint="eastAsia"/>
                <w:highlight w:val="none"/>
              </w:rPr>
            </w:pPr>
            <w:r>
              <w:rPr>
                <w:rFonts w:hint="eastAsia" w:ascii="宋体" w:hAnsi="宋体" w:eastAsia="宋体" w:cs="宋体"/>
                <w:szCs w:val="21"/>
                <w:highlight w:val="none"/>
              </w:rPr>
              <w:t>其他情形不得分</w:t>
            </w:r>
            <w:r>
              <w:rPr>
                <w:rFonts w:hint="eastAsia" w:ascii="宋体" w:hAnsi="宋体" w:cs="宋体"/>
                <w:szCs w:val="21"/>
                <w:highlight w:val="none"/>
                <w:lang w:eastAsia="zh-CN"/>
              </w:rPr>
              <w:t>。</w:t>
            </w:r>
          </w:p>
          <w:p>
            <w:pPr>
              <w:keepNext w:val="0"/>
              <w:keepLines w:val="0"/>
              <w:pageBreakBefore w:val="0"/>
              <w:widowControl w:val="0"/>
              <w:numPr>
                <w:ilvl w:val="0"/>
                <w:numId w:val="0"/>
              </w:numPr>
              <w:kinsoku/>
              <w:overflowPunct/>
              <w:topLinePunct w:val="0"/>
              <w:autoSpaceDE/>
              <w:autoSpaceDN/>
              <w:bidi w:val="0"/>
              <w:adjustRightInd/>
              <w:spacing w:line="360" w:lineRule="exact"/>
              <w:textAlignment w:val="auto"/>
              <w:rPr>
                <w:rFonts w:hint="eastAsia" w:eastAsia="宋体"/>
                <w:highlight w:val="none"/>
                <w:lang w:eastAsia="zh-CN"/>
              </w:rPr>
            </w:pPr>
            <w:r>
              <w:rPr>
                <w:rStyle w:val="55"/>
                <w:rFonts w:hint="eastAsia" w:ascii="宋体" w:hAnsi="宋体" w:eastAsia="宋体"/>
                <w:highlight w:val="none"/>
              </w:rPr>
              <w:t>提供多个</w:t>
            </w:r>
            <w:r>
              <w:rPr>
                <w:rFonts w:hint="eastAsia" w:ascii="宋体" w:hAnsi="宋体" w:cs="宋体"/>
                <w:szCs w:val="21"/>
                <w:highlight w:val="none"/>
                <w:lang w:eastAsia="zh-CN"/>
              </w:rPr>
              <w:t>冷库容积</w:t>
            </w:r>
            <w:r>
              <w:rPr>
                <w:rStyle w:val="55"/>
                <w:rFonts w:hint="eastAsia" w:ascii="宋体" w:hAnsi="宋体" w:eastAsia="宋体"/>
                <w:highlight w:val="none"/>
              </w:rPr>
              <w:t>不累计</w:t>
            </w:r>
            <w:r>
              <w:rPr>
                <w:rStyle w:val="55"/>
                <w:rFonts w:hint="eastAsia" w:ascii="宋体" w:hAnsi="宋体"/>
                <w:highlight w:val="none"/>
                <w:lang w:eastAsia="zh-CN"/>
              </w:rPr>
              <w:t>（同一地址或同一工业园内或同一产业园内的多个</w:t>
            </w:r>
            <w:r>
              <w:rPr>
                <w:rStyle w:val="55"/>
                <w:rFonts w:hint="eastAsia" w:ascii="宋体" w:hAnsi="宋体"/>
                <w:highlight w:val="none"/>
                <w:lang w:val="en-US" w:eastAsia="zh-CN"/>
              </w:rPr>
              <w:t>冷库</w:t>
            </w:r>
            <w:r>
              <w:rPr>
                <w:rStyle w:val="55"/>
                <w:rFonts w:hint="eastAsia" w:ascii="宋体" w:hAnsi="宋体"/>
                <w:highlight w:val="none"/>
                <w:lang w:eastAsia="zh-CN"/>
              </w:rPr>
              <w:t>所视为处同一</w:t>
            </w:r>
            <w:r>
              <w:rPr>
                <w:rStyle w:val="55"/>
                <w:rFonts w:hint="eastAsia" w:ascii="宋体" w:hAnsi="宋体"/>
                <w:highlight w:val="none"/>
                <w:lang w:val="en-US" w:eastAsia="zh-CN"/>
              </w:rPr>
              <w:t>冷库</w:t>
            </w:r>
            <w:r>
              <w:rPr>
                <w:rStyle w:val="55"/>
                <w:rFonts w:hint="eastAsia" w:ascii="宋体" w:hAnsi="宋体"/>
                <w:highlight w:val="none"/>
                <w:lang w:eastAsia="zh-CN"/>
              </w:rPr>
              <w:t>）</w:t>
            </w:r>
            <w:r>
              <w:rPr>
                <w:rStyle w:val="55"/>
                <w:rFonts w:hint="eastAsia" w:ascii="宋体" w:hAnsi="宋体" w:eastAsia="宋体"/>
                <w:highlight w:val="none"/>
              </w:rPr>
              <w:t>，以</w:t>
            </w:r>
            <w:r>
              <w:rPr>
                <w:rFonts w:hint="eastAsia" w:ascii="宋体" w:hAnsi="宋体" w:cs="宋体"/>
                <w:szCs w:val="21"/>
                <w:highlight w:val="none"/>
                <w:lang w:eastAsia="zh-CN"/>
              </w:rPr>
              <w:t>容积</w:t>
            </w:r>
            <w:r>
              <w:rPr>
                <w:rStyle w:val="55"/>
                <w:rFonts w:hint="eastAsia" w:ascii="宋体" w:hAnsi="宋体" w:eastAsia="宋体"/>
                <w:highlight w:val="none"/>
              </w:rPr>
              <w:t>最大的</w:t>
            </w:r>
            <w:r>
              <w:rPr>
                <w:rFonts w:hint="eastAsia" w:ascii="宋体" w:hAnsi="宋体" w:cs="宋体"/>
                <w:szCs w:val="21"/>
                <w:highlight w:val="none"/>
                <w:lang w:eastAsia="zh-CN"/>
              </w:rPr>
              <w:t>冷库容</w:t>
            </w:r>
            <w:r>
              <w:rPr>
                <w:rStyle w:val="55"/>
                <w:rFonts w:hint="eastAsia" w:ascii="宋体" w:hAnsi="宋体" w:eastAsia="宋体"/>
                <w:highlight w:val="none"/>
              </w:rPr>
              <w:t>积计分</w:t>
            </w:r>
            <w:r>
              <w:rPr>
                <w:rStyle w:val="55"/>
                <w:rFonts w:hint="eastAsia" w:ascii="宋体" w:hAnsi="宋体" w:eastAsia="宋体"/>
                <w:highlight w:val="none"/>
                <w:lang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b/>
                <w:bCs/>
                <w:highlight w:val="none"/>
              </w:rPr>
            </w:pPr>
            <w:r>
              <w:rPr>
                <w:rFonts w:hint="eastAsia"/>
                <w:b/>
                <w:bCs/>
                <w:highlight w:val="none"/>
              </w:rPr>
              <w:t>证明文件：</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highlight w:val="none"/>
              </w:rPr>
            </w:pPr>
            <w:r>
              <w:rPr>
                <w:rFonts w:hint="eastAsia"/>
                <w:highlight w:val="none"/>
              </w:rPr>
              <w:t>投标人提供冷库证明材料（证明材料需体现冷库容积，若下列材料无容积信息，可增加其他能体现冷库容积信息的材料）：</w:t>
            </w:r>
          </w:p>
          <w:p>
            <w:pPr>
              <w:pStyle w:val="2"/>
              <w:keepNext w:val="0"/>
              <w:keepLines w:val="0"/>
              <w:pageBreakBefore w:val="0"/>
              <w:widowControl w:val="0"/>
              <w:kinsoku/>
              <w:overflowPunct/>
              <w:topLinePunct w:val="0"/>
              <w:autoSpaceDE/>
              <w:autoSpaceDN/>
              <w:bidi w:val="0"/>
              <w:adjustRightInd/>
              <w:spacing w:line="360" w:lineRule="exact"/>
              <w:textAlignment w:val="auto"/>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1、第三方测绘机构出具的冷库容积测绘报告扫描件(委托单位为投标人)</w:t>
            </w:r>
            <w:r>
              <w:rPr>
                <w:rFonts w:hint="eastAsia" w:eastAsia="宋体" w:cs="Times New Roman"/>
                <w:b w:val="0"/>
                <w:bCs w:val="0"/>
                <w:kern w:val="2"/>
                <w:sz w:val="21"/>
                <w:szCs w:val="24"/>
                <w:highlight w:val="none"/>
                <w:lang w:val="en-US" w:eastAsia="zh-CN" w:bidi="ar-SA"/>
              </w:rPr>
              <w:t>；</w:t>
            </w:r>
          </w:p>
          <w:p>
            <w:pPr>
              <w:keepNext w:val="0"/>
              <w:keepLines w:val="0"/>
              <w:pageBreakBefore w:val="0"/>
              <w:widowControl w:val="0"/>
              <w:kinsoku/>
              <w:wordWrap w:val="0"/>
              <w:overflowPunct/>
              <w:topLinePunct w:val="0"/>
              <w:autoSpaceDE/>
              <w:autoSpaceDN/>
              <w:bidi w:val="0"/>
              <w:adjustRightInd/>
              <w:spacing w:line="360" w:lineRule="exact"/>
              <w:textAlignment w:val="auto"/>
              <w:rPr>
                <w:highlight w:val="none"/>
              </w:rPr>
            </w:pPr>
            <w:r>
              <w:rPr>
                <w:rFonts w:hint="eastAsia"/>
                <w:highlight w:val="none"/>
                <w:lang w:val="en-US" w:eastAsia="zh-CN"/>
              </w:rPr>
              <w:t>2、</w:t>
            </w:r>
            <w:r>
              <w:rPr>
                <w:rFonts w:hint="eastAsia"/>
                <w:highlight w:val="none"/>
              </w:rPr>
              <w:t>自有冷库的同时提供①自有证明（冷库设备购买合同或冷库建设合同或其他）；②冷库正门全景照片和内景照片各一张；③有效的冷库温度校准报告（包括冷藏和冷冻）；</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highlight w:val="none"/>
              </w:rPr>
            </w:pPr>
            <w:r>
              <w:rPr>
                <w:rFonts w:hint="eastAsia"/>
                <w:highlight w:val="none"/>
                <w:lang w:val="en-US" w:eastAsia="zh-CN"/>
              </w:rPr>
              <w:t>3、</w:t>
            </w:r>
            <w:r>
              <w:rPr>
                <w:rFonts w:hint="eastAsia"/>
                <w:highlight w:val="none"/>
              </w:rPr>
              <w:t>租赁冷库的同时提供①租赁合同关键页（包括但不限于：合同名称页、合同主要内容页、合同签订日期页、合同双方签字盖章页）；②冷库正门全景照片和内景照片各一张；③有效的冷库温度校准报告（包括冷藏和冷冻）。租赁日期涵盖本项目投标截止日期</w:t>
            </w:r>
            <w:r>
              <w:rPr>
                <w:rFonts w:hint="eastAsia"/>
                <w:highlight w:val="none"/>
                <w:lang w:eastAsia="zh-CN"/>
              </w:rPr>
              <w:t>，</w:t>
            </w:r>
            <w:r>
              <w:rPr>
                <w:rFonts w:hint="eastAsia"/>
                <w:highlight w:val="none"/>
              </w:rPr>
              <w:t>同时提供</w:t>
            </w:r>
            <w:r>
              <w:rPr>
                <w:rFonts w:hint="eastAsia"/>
                <w:highlight w:val="none"/>
                <w:lang w:eastAsia="zh-CN"/>
              </w:rPr>
              <w:t>本项目</w:t>
            </w:r>
            <w:r>
              <w:rPr>
                <w:rFonts w:hint="eastAsia" w:ascii="宋体" w:hAnsi="宋体" w:eastAsia="宋体" w:cs="宋体"/>
                <w:szCs w:val="21"/>
                <w:highlight w:val="none"/>
              </w:rPr>
              <w:t>投标截止日期前3个月</w:t>
            </w:r>
            <w:r>
              <w:rPr>
                <w:rFonts w:hint="eastAsia" w:ascii="宋体" w:hAnsi="宋体" w:cs="Times New Roman"/>
                <w:kern w:val="2"/>
                <w:sz w:val="21"/>
                <w:szCs w:val="21"/>
                <w:highlight w:val="none"/>
                <w:lang w:val="en-US" w:eastAsia="zh-CN" w:bidi="ar-SA"/>
              </w:rPr>
              <w:t>（2026年5-7月）</w:t>
            </w:r>
            <w:r>
              <w:rPr>
                <w:rFonts w:hint="eastAsia" w:ascii="宋体" w:hAnsi="宋体" w:eastAsia="宋体" w:cs="宋体"/>
                <w:szCs w:val="21"/>
                <w:highlight w:val="none"/>
              </w:rPr>
              <w:t>中任意一月</w:t>
            </w:r>
            <w:r>
              <w:rPr>
                <w:rFonts w:hint="eastAsia"/>
                <w:highlight w:val="none"/>
                <w:lang w:eastAsia="zh-CN"/>
              </w:rPr>
              <w:t>的</w:t>
            </w:r>
            <w:r>
              <w:rPr>
                <w:rFonts w:hint="eastAsia"/>
                <w:highlight w:val="none"/>
              </w:rPr>
              <w:t>租金发票或银行流水。</w:t>
            </w:r>
          </w:p>
          <w:p>
            <w:pPr>
              <w:pStyle w:val="2"/>
              <w:keepNext w:val="0"/>
              <w:keepLines w:val="0"/>
              <w:pageBreakBefore w:val="0"/>
              <w:widowControl w:val="0"/>
              <w:kinsoku/>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cs="Times New Roman"/>
                <w:b w:val="0"/>
                <w:bCs w:val="0"/>
                <w:sz w:val="21"/>
                <w:szCs w:val="24"/>
                <w:highlight w:val="none"/>
                <w:lang w:val="en-US" w:eastAsia="zh-CN"/>
              </w:rPr>
              <w:t>4、</w:t>
            </w:r>
            <w:r>
              <w:rPr>
                <w:rFonts w:hint="eastAsia" w:ascii="Times New Roman" w:hAnsi="Times New Roman" w:eastAsia="宋体" w:cs="Times New Roman"/>
                <w:b w:val="0"/>
                <w:bCs w:val="0"/>
                <w:sz w:val="21"/>
                <w:szCs w:val="24"/>
                <w:highlight w:val="none"/>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5</w:t>
            </w:r>
          </w:p>
        </w:tc>
        <w:tc>
          <w:tcPr>
            <w:tcW w:w="2835"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color w:val="000000"/>
                <w:szCs w:val="21"/>
                <w:highlight w:val="none"/>
              </w:rPr>
              <w:t>同类项目业绩</w:t>
            </w:r>
          </w:p>
        </w:tc>
        <w:tc>
          <w:tcPr>
            <w:tcW w:w="681"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overflowPunct/>
              <w:topLinePunct w:val="0"/>
              <w:autoSpaceDE/>
              <w:autoSpaceDN/>
              <w:bidi w:val="0"/>
              <w:adjustRightInd/>
              <w:snapToGrid w:val="0"/>
              <w:spacing w:line="360" w:lineRule="exact"/>
              <w:textAlignment w:val="auto"/>
              <w:rPr>
                <w:rFonts w:ascii="宋体" w:hAnsi="宋体" w:eastAsia="宋体" w:cs="宋体"/>
                <w:b/>
                <w:bCs/>
                <w:szCs w:val="21"/>
                <w:highlight w:val="none"/>
              </w:rPr>
            </w:pPr>
            <w:r>
              <w:rPr>
                <w:rFonts w:hint="eastAsia" w:ascii="宋体" w:hAnsi="宋体" w:eastAsia="宋体" w:cs="宋体"/>
                <w:b/>
                <w:bCs/>
                <w:szCs w:val="21"/>
                <w:highlight w:val="none"/>
              </w:rPr>
              <w:t>考察内容：</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投标人自 </w:t>
            </w:r>
            <w:r>
              <w:rPr>
                <w:rFonts w:hint="eastAsia" w:ascii="宋体" w:hAnsi="宋体" w:cs="宋体"/>
                <w:color w:val="000000"/>
                <w:szCs w:val="21"/>
                <w:highlight w:val="none"/>
                <w:lang w:val="en-US" w:eastAsia="zh-CN"/>
              </w:rPr>
              <w:t>2023</w:t>
            </w:r>
            <w:r>
              <w:rPr>
                <w:rFonts w:hint="eastAsia" w:ascii="宋体" w:hAnsi="宋体" w:eastAsia="宋体" w:cs="宋体"/>
                <w:color w:val="000000"/>
                <w:szCs w:val="21"/>
                <w:highlight w:val="none"/>
              </w:rPr>
              <w:t>年1月1日至本项目投标截止</w:t>
            </w:r>
            <w:r>
              <w:rPr>
                <w:rFonts w:hint="eastAsia" w:ascii="宋体" w:hAnsi="宋体" w:cs="宋体"/>
                <w:color w:val="000000"/>
                <w:szCs w:val="21"/>
                <w:highlight w:val="none"/>
                <w:lang w:eastAsia="zh-CN"/>
              </w:rPr>
              <w:t>之</w:t>
            </w:r>
            <w:r>
              <w:rPr>
                <w:rFonts w:hint="eastAsia" w:ascii="宋体" w:hAnsi="宋体" w:eastAsia="宋体" w:cs="宋体"/>
                <w:color w:val="000000"/>
                <w:szCs w:val="21"/>
                <w:highlight w:val="none"/>
              </w:rPr>
              <w:t xml:space="preserve">日，以合同签订日期为准： </w:t>
            </w:r>
          </w:p>
          <w:p>
            <w:pPr>
              <w:keepNext w:val="0"/>
              <w:keepLines w:val="0"/>
              <w:pageBreakBefore w:val="0"/>
              <w:widowControl w:val="0"/>
              <w:kinsoku/>
              <w:overflowPunct/>
              <w:topLinePunct w:val="0"/>
              <w:autoSpaceDE/>
              <w:autoSpaceDN/>
              <w:bidi w:val="0"/>
              <w:adjustRightInd/>
              <w:snapToGrid w:val="0"/>
              <w:spacing w:line="360" w:lineRule="exact"/>
              <w:jc w:val="left"/>
              <w:textAlignment w:val="auto"/>
              <w:rPr>
                <w:rFonts w:ascii="宋体" w:hAnsi="宋体" w:eastAsia="宋体" w:cs="宋体"/>
                <w:szCs w:val="21"/>
                <w:highlight w:val="none"/>
              </w:rPr>
            </w:pPr>
            <w:r>
              <w:rPr>
                <w:rFonts w:hint="eastAsia" w:ascii="宋体" w:hAnsi="宋体" w:eastAsia="宋体" w:cs="宋体"/>
                <w:color w:val="000000"/>
                <w:szCs w:val="21"/>
                <w:highlight w:val="none"/>
              </w:rPr>
              <w:t>每具有一项行政</w:t>
            </w:r>
            <w:r>
              <w:rPr>
                <w:rFonts w:hint="eastAsia" w:ascii="宋体" w:hAnsi="宋体" w:eastAsia="宋体" w:cs="宋体"/>
                <w:color w:val="000000"/>
                <w:szCs w:val="21"/>
                <w:highlight w:val="none"/>
                <w:lang w:eastAsia="zh-CN"/>
              </w:rPr>
              <w:t>机关</w:t>
            </w:r>
            <w:r>
              <w:rPr>
                <w:rFonts w:hint="eastAsia" w:ascii="宋体" w:hAnsi="宋体" w:eastAsia="宋体" w:cs="宋体"/>
                <w:color w:val="000000"/>
                <w:szCs w:val="21"/>
                <w:highlight w:val="none"/>
              </w:rPr>
              <w:t>或事业单位食材配送类采购项目，且经采购单位或被服务单位总体履约评价结果为优</w:t>
            </w:r>
            <w:r>
              <w:rPr>
                <w:rFonts w:hint="eastAsia"/>
                <w:highlight w:val="none"/>
              </w:rPr>
              <w:t>或满意或同等最高级评价</w:t>
            </w:r>
            <w:r>
              <w:rPr>
                <w:rFonts w:hint="eastAsia" w:ascii="宋体" w:hAnsi="宋体" w:eastAsia="宋体" w:cs="宋体"/>
                <w:szCs w:val="21"/>
                <w:highlight w:val="none"/>
              </w:rPr>
              <w:t>得10分，本项累计最高得100分。</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注：</w:t>
            </w:r>
            <w:r>
              <w:rPr>
                <w:rFonts w:hint="eastAsia" w:ascii="宋体" w:hAnsi="宋体" w:eastAsia="宋体" w:cs="宋体"/>
                <w:color w:val="000000"/>
                <w:szCs w:val="21"/>
                <w:highlight w:val="none"/>
              </w:rPr>
              <w:t>一年一签的长期服务续签合同</w:t>
            </w:r>
            <w:r>
              <w:rPr>
                <w:rFonts w:hint="eastAsia" w:ascii="宋体" w:hAnsi="宋体" w:eastAsia="宋体" w:cs="宋体"/>
                <w:color w:val="000000"/>
                <w:szCs w:val="21"/>
                <w:highlight w:val="none"/>
                <w:lang w:eastAsia="zh-CN"/>
              </w:rPr>
              <w:t>不重复计分</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同一个中标通知书具有多个合同的按一项业绩计算</w:t>
            </w:r>
            <w:r>
              <w:rPr>
                <w:rFonts w:hint="eastAsia" w:ascii="宋体" w:hAnsi="宋体" w:eastAsia="宋体" w:cs="宋体"/>
                <w:color w:val="000000"/>
                <w:szCs w:val="21"/>
                <w:highlight w:val="none"/>
                <w:lang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lang w:eastAsia="zh-CN"/>
              </w:rPr>
            </w:pPr>
            <w:r>
              <w:rPr>
                <w:rFonts w:hint="eastAsia" w:ascii="宋体" w:hAnsi="宋体" w:eastAsia="宋体" w:cs="宋体"/>
                <w:b/>
                <w:bCs/>
                <w:szCs w:val="21"/>
                <w:highlight w:val="none"/>
              </w:rPr>
              <w:t>证明文件：</w:t>
            </w:r>
            <w:r>
              <w:rPr>
                <w:rFonts w:hint="eastAsia" w:ascii="宋体" w:hAnsi="宋体" w:eastAsia="宋体" w:cs="宋体"/>
                <w:b/>
                <w:bCs/>
                <w:szCs w:val="21"/>
                <w:highlight w:val="none"/>
              </w:rPr>
              <w:br w:type="textWrapping"/>
            </w:r>
            <w:r>
              <w:rPr>
                <w:rFonts w:hint="eastAsia" w:ascii="宋体" w:hAnsi="宋体" w:eastAsia="宋体" w:cs="宋体"/>
                <w:szCs w:val="21"/>
                <w:highlight w:val="none"/>
                <w:lang w:eastAsia="zh-CN"/>
              </w:rPr>
              <w:t>同时提供：</w:t>
            </w:r>
          </w:p>
          <w:p>
            <w:pPr>
              <w:keepNext w:val="0"/>
              <w:keepLines w:val="0"/>
              <w:pageBreakBefore w:val="0"/>
              <w:widowControl w:val="0"/>
              <w:kinsoku/>
              <w:wordWrap w:val="0"/>
              <w:overflowPunct/>
              <w:topLinePunct w:val="0"/>
              <w:autoSpaceDE/>
              <w:autoSpaceDN/>
              <w:bidi w:val="0"/>
              <w:adjustRightInd/>
              <w:spacing w:line="360" w:lineRule="exact"/>
              <w:textAlignment w:val="auto"/>
              <w:rPr>
                <w:rFonts w:ascii="宋体" w:hAnsi="宋体" w:eastAsia="宋体" w:cs="宋体"/>
                <w:szCs w:val="21"/>
                <w:highlight w:val="none"/>
              </w:rPr>
            </w:pPr>
            <w:r>
              <w:rPr>
                <w:rFonts w:hint="eastAsia" w:ascii="宋体" w:hAnsi="宋体" w:eastAsia="宋体" w:cs="宋体"/>
                <w:szCs w:val="21"/>
                <w:highlight w:val="none"/>
              </w:rPr>
              <w:t>1、中标通知书</w:t>
            </w:r>
            <w:r>
              <w:rPr>
                <w:rFonts w:hint="eastAsia" w:ascii="宋体" w:hAnsi="宋体" w:eastAsia="宋体" w:cs="宋体"/>
                <w:szCs w:val="21"/>
                <w:highlight w:val="none"/>
                <w:lang w:eastAsia="zh-CN"/>
              </w:rPr>
              <w:t>扫描件</w:t>
            </w:r>
            <w:r>
              <w:rPr>
                <w:rFonts w:hint="eastAsia" w:ascii="宋体" w:hAnsi="宋体" w:eastAsia="宋体" w:cs="宋体"/>
                <w:szCs w:val="21"/>
                <w:highlight w:val="none"/>
              </w:rPr>
              <w:t xml:space="preserve">； </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2、合同关键页</w:t>
            </w:r>
            <w:r>
              <w:rPr>
                <w:rFonts w:hint="eastAsia" w:ascii="宋体" w:hAnsi="宋体" w:eastAsia="宋体" w:cs="宋体"/>
                <w:color w:val="000000"/>
                <w:szCs w:val="21"/>
                <w:highlight w:val="none"/>
                <w:lang w:eastAsia="zh-CN"/>
              </w:rPr>
              <w:t>扫描件</w:t>
            </w:r>
            <w:r>
              <w:rPr>
                <w:rFonts w:hint="eastAsia" w:ascii="宋体" w:hAnsi="宋体" w:eastAsia="宋体" w:cs="宋体"/>
                <w:color w:val="000000"/>
                <w:szCs w:val="21"/>
                <w:highlight w:val="none"/>
              </w:rPr>
              <w:t>（关键信息包括但不仅限于合同的项目名称、服务内容、合同服务的起止时间、签订日期等）；</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3、提供采购单位为行政机关或事业单位的承诺函（格式自拟）。</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采购单位或被服务单位出具的总体履约评价证明文件。证明文件的内容包括但不仅限于合同的项目名称、总体履约评价结果、出具证明的签署日期等相关内容,如提交的证明材料其评价结果没有结论而仅是打分的（比如打100分、98分、95分、85分等的）不计分</w:t>
            </w:r>
            <w:r>
              <w:rPr>
                <w:rFonts w:hint="eastAsia" w:ascii="宋体" w:hAnsi="宋体" w:eastAsia="宋体" w:cs="宋体"/>
                <w:color w:val="000000"/>
                <w:szCs w:val="21"/>
                <w:highlight w:val="none"/>
                <w:lang w:eastAsia="zh-CN"/>
              </w:rPr>
              <w:t>；</w:t>
            </w:r>
          </w:p>
          <w:p>
            <w:pPr>
              <w:keepNext w:val="0"/>
              <w:keepLines w:val="0"/>
              <w:pageBreakBefore w:val="0"/>
              <w:widowControl w:val="0"/>
              <w:kinsoku/>
              <w:wordWrap w:val="0"/>
              <w:overflowPunct/>
              <w:topLinePunct w:val="0"/>
              <w:autoSpaceDE/>
              <w:autoSpaceDN/>
              <w:bidi w:val="0"/>
              <w:adjustRightInd/>
              <w:spacing w:line="360" w:lineRule="exact"/>
              <w:textAlignment w:val="auto"/>
              <w:rPr>
                <w:rFonts w:hint="eastAsia" w:ascii="宋体" w:hAnsi="宋体" w:eastAsia="宋体" w:cs="宋体"/>
                <w:szCs w:val="21"/>
                <w:highlight w:val="none"/>
              </w:rPr>
            </w:pPr>
            <w:r>
              <w:rPr>
                <w:rFonts w:hint="eastAsia" w:ascii="宋体" w:hAnsi="宋体" w:cs="宋体"/>
                <w:color w:val="000000"/>
                <w:szCs w:val="21"/>
                <w:highlight w:val="none"/>
                <w:lang w:val="en-US" w:eastAsia="zh-CN"/>
              </w:rPr>
              <w:t>5</w:t>
            </w:r>
            <w:r>
              <w:rPr>
                <w:rFonts w:hint="eastAsia" w:ascii="宋体" w:hAnsi="宋体" w:eastAsia="宋体" w:cs="宋体"/>
                <w:color w:val="000000"/>
                <w:szCs w:val="21"/>
                <w:highlight w:val="none"/>
                <w:lang w:val="en-US" w:eastAsia="zh-CN"/>
              </w:rPr>
              <w:t>、</w:t>
            </w:r>
            <w:r>
              <w:rPr>
                <w:rFonts w:hint="eastAsia" w:ascii="Times New Roman" w:hAnsi="Times New Roman" w:eastAsia="宋体" w:cs="Times New Roman"/>
                <w:b w:val="0"/>
                <w:bCs w:val="0"/>
                <w:sz w:val="21"/>
                <w:szCs w:val="24"/>
                <w:highlight w:val="none"/>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vAlign w:val="top"/>
          </w:tcPr>
          <w:p>
            <w:pPr>
              <w:pageBreakBefore w:val="0"/>
              <w:kinsoku/>
              <w:wordWrap w:val="0"/>
              <w:overflowPunct/>
              <w:topLinePunct w:val="0"/>
              <w:autoSpaceDE/>
              <w:autoSpaceDN/>
              <w:bidi w:val="0"/>
              <w:spacing w:beforeAutospacing="0" w:afterAutospacing="0" w:line="360" w:lineRule="auto"/>
              <w:ind w:left="0" w:leftChars="0" w:right="0" w:rightChars="0" w:firstLine="0" w:firstLine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6</w:t>
            </w:r>
          </w:p>
        </w:tc>
        <w:tc>
          <w:tcPr>
            <w:tcW w:w="2835" w:type="dxa"/>
            <w:tcBorders>
              <w:top w:val="single" w:color="000000" w:sz="8" w:space="0"/>
              <w:left w:val="single" w:color="000000" w:sz="8" w:space="0"/>
              <w:bottom w:val="single" w:color="000000" w:sz="8" w:space="0"/>
              <w:right w:val="single" w:color="000000" w:sz="8" w:space="0"/>
            </w:tcBorders>
            <w:vAlign w:val="center"/>
          </w:tcPr>
          <w:p>
            <w:pPr>
              <w:spacing w:line="360" w:lineRule="auto"/>
              <w:jc w:val="center"/>
              <w:rPr>
                <w:rFonts w:hint="eastAsia" w:ascii="宋体" w:hAnsi="宋体" w:eastAsia="宋体" w:cs="宋体"/>
                <w:szCs w:val="21"/>
                <w:highlight w:val="none"/>
              </w:rPr>
            </w:pPr>
            <w:r>
              <w:rPr>
                <w:rFonts w:hint="eastAsia" w:ascii="宋体" w:cs="宋体"/>
                <w:kern w:val="0"/>
                <w:szCs w:val="21"/>
                <w:highlight w:val="none"/>
              </w:rPr>
              <w:t>仓储安全</w:t>
            </w:r>
          </w:p>
        </w:tc>
        <w:tc>
          <w:tcPr>
            <w:tcW w:w="681" w:type="dxa"/>
            <w:tcBorders>
              <w:top w:val="single" w:color="000000" w:sz="8" w:space="0"/>
              <w:left w:val="single" w:color="000000" w:sz="8" w:space="0"/>
              <w:bottom w:val="single" w:color="000000" w:sz="8" w:space="0"/>
              <w:right w:val="single" w:color="000000" w:sz="8" w:space="0"/>
            </w:tcBorders>
            <w:vAlign w:val="center"/>
          </w:tcPr>
          <w:p>
            <w:pPr>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p>
        </w:tc>
        <w:tc>
          <w:tcPr>
            <w:tcW w:w="4196" w:type="dxa"/>
            <w:tcBorders>
              <w:top w:val="single" w:color="000000" w:sz="8" w:space="0"/>
              <w:left w:val="single" w:color="000000" w:sz="8" w:space="0"/>
              <w:bottom w:val="single" w:color="000000" w:sz="8" w:space="0"/>
              <w:right w:val="single" w:color="000000" w:sz="8" w:space="0"/>
            </w:tcBorders>
            <w:vAlign w:val="top"/>
          </w:tcPr>
          <w:p>
            <w:pPr>
              <w:keepNext w:val="0"/>
              <w:keepLines w:val="0"/>
              <w:pageBreakBefore w:val="0"/>
              <w:widowControl w:val="0"/>
              <w:kinsoku/>
              <w:overflowPunct/>
              <w:topLinePunct w:val="0"/>
              <w:autoSpaceDE/>
              <w:autoSpaceDN/>
              <w:bidi w:val="0"/>
              <w:adjustRightInd/>
              <w:snapToGrid w:val="0"/>
              <w:spacing w:line="360" w:lineRule="exact"/>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考察内容：</w:t>
            </w:r>
          </w:p>
          <w:p>
            <w:pPr>
              <w:keepNext w:val="0"/>
              <w:keepLines w:val="0"/>
              <w:pageBreakBefore w:val="0"/>
              <w:widowControl w:val="0"/>
              <w:kinsoku/>
              <w:overflowPunct/>
              <w:topLinePunct w:val="0"/>
              <w:autoSpaceDE/>
              <w:autoSpaceDN/>
              <w:bidi w:val="0"/>
              <w:adjustRightInd/>
              <w:snapToGrid w:val="0"/>
              <w:spacing w:line="360" w:lineRule="exac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1、为考察供应商的食材情况，供应商对仓储中心进行每月定期</w:t>
            </w:r>
            <w:r>
              <w:rPr>
                <w:rFonts w:hint="eastAsia" w:ascii="宋体" w:hAnsi="宋体" w:cs="宋体"/>
                <w:szCs w:val="21"/>
                <w:highlight w:val="none"/>
                <w:lang w:val="en-US" w:eastAsia="zh-CN"/>
              </w:rPr>
              <w:t>细菌</w:t>
            </w:r>
            <w:r>
              <w:rPr>
                <w:rFonts w:hint="eastAsia" w:ascii="宋体" w:hAnsi="宋体" w:eastAsia="宋体" w:cs="宋体"/>
                <w:szCs w:val="21"/>
                <w:highlight w:val="none"/>
                <w:lang w:val="en-US" w:eastAsia="zh-CN"/>
              </w:rPr>
              <w:t>消毒的得50分；</w:t>
            </w:r>
          </w:p>
          <w:p>
            <w:pPr>
              <w:keepNext w:val="0"/>
              <w:keepLines w:val="0"/>
              <w:pageBreakBefore w:val="0"/>
              <w:widowControl w:val="0"/>
              <w:kinsoku/>
              <w:overflowPunct/>
              <w:topLinePunct w:val="0"/>
              <w:autoSpaceDE/>
              <w:autoSpaceDN/>
              <w:bidi w:val="0"/>
              <w:adjustRightInd/>
              <w:snapToGrid w:val="0"/>
              <w:spacing w:line="360" w:lineRule="exac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2、为考察供应商的食材情况，供应商对仓储中心进行每月定期</w:t>
            </w:r>
            <w:r>
              <w:rPr>
                <w:rFonts w:hint="eastAsia" w:ascii="宋体" w:hAnsi="宋体" w:cs="宋体"/>
                <w:szCs w:val="21"/>
                <w:highlight w:val="none"/>
                <w:lang w:val="en-US" w:eastAsia="zh-CN"/>
              </w:rPr>
              <w:t>四害</w:t>
            </w:r>
            <w:r>
              <w:rPr>
                <w:rFonts w:hint="eastAsia" w:ascii="宋体" w:hAnsi="宋体" w:eastAsia="宋体" w:cs="宋体"/>
                <w:szCs w:val="21"/>
                <w:highlight w:val="none"/>
                <w:lang w:val="en-US" w:eastAsia="zh-CN"/>
              </w:rPr>
              <w:t>消杀的得50分；</w:t>
            </w:r>
          </w:p>
          <w:p>
            <w:pPr>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b/>
                <w:bCs/>
                <w:szCs w:val="21"/>
                <w:highlight w:val="none"/>
                <w:lang w:val="en-US" w:eastAsia="zh-CN"/>
              </w:rPr>
            </w:pPr>
            <w:r>
              <w:rPr>
                <w:rFonts w:hint="eastAsia" w:ascii="宋体" w:hAnsi="宋体" w:eastAsia="宋体" w:cs="宋体"/>
                <w:sz w:val="21"/>
                <w:szCs w:val="21"/>
                <w:highlight w:val="none"/>
              </w:rPr>
              <w:t>注：</w:t>
            </w:r>
            <w:r>
              <w:rPr>
                <w:rFonts w:hint="eastAsia" w:ascii="宋体" w:hAnsi="宋体" w:eastAsia="宋体" w:cs="宋体"/>
                <w:sz w:val="21"/>
                <w:szCs w:val="21"/>
                <w:highlight w:val="none"/>
                <w:lang w:val="en-US" w:eastAsia="zh-CN"/>
              </w:rPr>
              <w:t>需</w:t>
            </w:r>
            <w:r>
              <w:rPr>
                <w:rFonts w:hint="eastAsia" w:ascii="宋体" w:hAnsi="宋体" w:eastAsia="宋体" w:cs="宋体"/>
                <w:sz w:val="21"/>
                <w:szCs w:val="21"/>
                <w:highlight w:val="none"/>
              </w:rPr>
              <w:t>包含</w:t>
            </w:r>
            <w:r>
              <w:rPr>
                <w:rFonts w:hint="eastAsia" w:ascii="宋体" w:hAnsi="宋体" w:eastAsia="宋体" w:cs="宋体"/>
                <w:sz w:val="21"/>
                <w:szCs w:val="21"/>
                <w:highlight w:val="none"/>
                <w:lang w:val="en-US" w:eastAsia="zh-CN"/>
              </w:rPr>
              <w:t>细菌消毒或四害消杀</w:t>
            </w:r>
            <w:r>
              <w:rPr>
                <w:rFonts w:hint="eastAsia" w:ascii="宋体" w:hAnsi="宋体" w:eastAsia="宋体" w:cs="宋体"/>
                <w:sz w:val="21"/>
                <w:szCs w:val="21"/>
                <w:highlight w:val="none"/>
              </w:rPr>
              <w:t>即可，</w:t>
            </w:r>
            <w:r>
              <w:rPr>
                <w:rFonts w:hint="eastAsia" w:ascii="宋体" w:hAnsi="宋体" w:eastAsia="宋体" w:cs="宋体"/>
                <w:sz w:val="21"/>
                <w:szCs w:val="21"/>
                <w:highlight w:val="none"/>
                <w:lang w:val="en-US" w:eastAsia="zh-CN"/>
              </w:rPr>
              <w:t>表述</w:t>
            </w:r>
            <w:r>
              <w:rPr>
                <w:rFonts w:hint="eastAsia" w:ascii="宋体" w:hAnsi="宋体" w:eastAsia="宋体" w:cs="宋体"/>
                <w:sz w:val="21"/>
                <w:szCs w:val="21"/>
                <w:highlight w:val="none"/>
              </w:rPr>
              <w:t>可不完全一致。</w:t>
            </w:r>
          </w:p>
          <w:p>
            <w:pPr>
              <w:keepNext w:val="0"/>
              <w:keepLines w:val="0"/>
              <w:pageBreakBefore w:val="0"/>
              <w:widowControl w:val="0"/>
              <w:kinsoku/>
              <w:overflowPunct/>
              <w:topLinePunct w:val="0"/>
              <w:autoSpaceDE/>
              <w:autoSpaceDN/>
              <w:bidi w:val="0"/>
              <w:adjustRightInd/>
              <w:snapToGrid w:val="0"/>
              <w:spacing w:line="360" w:lineRule="exact"/>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证明文件：</w:t>
            </w:r>
          </w:p>
          <w:p>
            <w:pPr>
              <w:keepNext w:val="0"/>
              <w:keepLines w:val="0"/>
              <w:pageBreakBefore w:val="0"/>
              <w:widowControl w:val="0"/>
              <w:kinsoku/>
              <w:overflowPunct/>
              <w:topLinePunct w:val="0"/>
              <w:autoSpaceDE/>
              <w:autoSpaceDN/>
              <w:bidi w:val="0"/>
              <w:adjustRightInd/>
              <w:snapToGrid w:val="0"/>
              <w:spacing w:line="360" w:lineRule="exact"/>
              <w:textAlignment w:val="auto"/>
              <w:rPr>
                <w:rFonts w:hint="eastAsia" w:ascii="宋体" w:hAnsi="宋体" w:eastAsia="宋体" w:cs="宋体"/>
                <w:szCs w:val="21"/>
                <w:highlight w:val="none"/>
              </w:rPr>
            </w:pPr>
            <w:r>
              <w:rPr>
                <w:rFonts w:hint="eastAsia" w:ascii="Times New Roman" w:hAnsi="Times New Roman" w:eastAsia="宋体" w:cs="Times New Roman"/>
                <w:b w:val="0"/>
                <w:kern w:val="2"/>
                <w:sz w:val="21"/>
                <w:szCs w:val="21"/>
                <w:highlight w:val="none"/>
                <w:lang w:val="en-US" w:eastAsia="zh-CN" w:bidi="ar-SA"/>
              </w:rPr>
              <w:t>提供与第三方机构签订的消杀和消毒合同，以及20</w:t>
            </w:r>
            <w:r>
              <w:rPr>
                <w:rFonts w:hint="eastAsia" w:cs="Times New Roman"/>
                <w:b w:val="0"/>
                <w:kern w:val="2"/>
                <w:sz w:val="21"/>
                <w:szCs w:val="21"/>
                <w:highlight w:val="none"/>
                <w:lang w:val="en-US" w:eastAsia="zh-CN" w:bidi="ar-SA"/>
              </w:rPr>
              <w:t>26</w:t>
            </w:r>
            <w:r>
              <w:rPr>
                <w:rFonts w:hint="eastAsia" w:ascii="Times New Roman" w:hAnsi="Times New Roman" w:eastAsia="宋体" w:cs="Times New Roman"/>
                <w:b w:val="0"/>
                <w:kern w:val="2"/>
                <w:sz w:val="21"/>
                <w:szCs w:val="21"/>
                <w:highlight w:val="none"/>
                <w:lang w:val="en-US" w:eastAsia="zh-CN" w:bidi="ar-SA"/>
              </w:rPr>
              <w:t>年</w:t>
            </w:r>
            <w:r>
              <w:rPr>
                <w:rFonts w:hint="eastAsia" w:cs="Times New Roman"/>
                <w:b w:val="0"/>
                <w:kern w:val="2"/>
                <w:sz w:val="21"/>
                <w:szCs w:val="21"/>
                <w:highlight w:val="none"/>
                <w:lang w:val="en-US" w:eastAsia="zh-CN" w:bidi="ar-SA"/>
              </w:rPr>
              <w:t>5</w:t>
            </w:r>
            <w:r>
              <w:rPr>
                <w:rFonts w:hint="eastAsia" w:ascii="Times New Roman" w:hAnsi="Times New Roman" w:eastAsia="宋体" w:cs="Times New Roman"/>
                <w:b w:val="0"/>
                <w:kern w:val="2"/>
                <w:sz w:val="21"/>
                <w:szCs w:val="21"/>
                <w:highlight w:val="none"/>
                <w:lang w:val="en-US" w:eastAsia="zh-CN" w:bidi="ar-SA"/>
              </w:rPr>
              <w:t>月至</w:t>
            </w:r>
            <w:r>
              <w:rPr>
                <w:rFonts w:hint="eastAsia" w:cs="Times New Roman"/>
                <w:b w:val="0"/>
                <w:kern w:val="2"/>
                <w:sz w:val="21"/>
                <w:szCs w:val="21"/>
                <w:highlight w:val="none"/>
                <w:lang w:val="en-US" w:eastAsia="zh-CN" w:bidi="ar-SA"/>
              </w:rPr>
              <w:t>7</w:t>
            </w:r>
            <w:r>
              <w:rPr>
                <w:rFonts w:hint="eastAsia" w:ascii="Times New Roman" w:hAnsi="Times New Roman" w:eastAsia="宋体" w:cs="Times New Roman"/>
                <w:b w:val="0"/>
                <w:kern w:val="2"/>
                <w:sz w:val="21"/>
                <w:szCs w:val="21"/>
                <w:highlight w:val="none"/>
                <w:lang w:val="en-US" w:eastAsia="zh-CN" w:bidi="ar-SA"/>
              </w:rPr>
              <w:t>月任意一个月的发票和转账记录和消杀消毒记录</w:t>
            </w:r>
            <w:r>
              <w:rPr>
                <w:rFonts w:hint="eastAsia" w:cs="Times New Roman"/>
                <w:b w:val="0"/>
                <w:kern w:val="2"/>
                <w:sz w:val="21"/>
                <w:szCs w:val="21"/>
                <w:highlight w:val="none"/>
                <w:lang w:val="en-US" w:eastAsia="zh-CN" w:bidi="ar-SA"/>
              </w:rPr>
              <w:t>（</w:t>
            </w:r>
            <w:r>
              <w:rPr>
                <w:rFonts w:hint="eastAsia"/>
                <w:highlight w:val="none"/>
                <w:lang w:val="en-US" w:eastAsia="zh-CN"/>
              </w:rPr>
              <w:t>发票开票时间</w:t>
            </w:r>
            <w:r>
              <w:rPr>
                <w:rFonts w:hint="eastAsia" w:cs="Times New Roman"/>
                <w:b w:val="0"/>
                <w:kern w:val="2"/>
                <w:sz w:val="21"/>
                <w:szCs w:val="21"/>
                <w:highlight w:val="none"/>
                <w:lang w:val="en-US" w:eastAsia="zh-CN" w:bidi="ar-SA"/>
              </w:rPr>
              <w:t>需要与</w:t>
            </w:r>
            <w:r>
              <w:rPr>
                <w:rFonts w:hint="eastAsia" w:ascii="Times New Roman" w:hAnsi="Times New Roman" w:eastAsia="宋体" w:cs="Times New Roman"/>
                <w:b w:val="0"/>
                <w:kern w:val="2"/>
                <w:sz w:val="21"/>
                <w:szCs w:val="21"/>
                <w:highlight w:val="none"/>
                <w:lang w:val="en-US" w:eastAsia="zh-CN" w:bidi="ar-SA"/>
              </w:rPr>
              <w:t>转账记录和消杀消毒记录</w:t>
            </w:r>
            <w:r>
              <w:rPr>
                <w:rFonts w:hint="eastAsia" w:cs="Times New Roman"/>
                <w:b w:val="0"/>
                <w:kern w:val="2"/>
                <w:sz w:val="21"/>
                <w:szCs w:val="21"/>
                <w:highlight w:val="none"/>
                <w:lang w:val="en-US" w:eastAsia="zh-CN" w:bidi="ar-SA"/>
              </w:rPr>
              <w:t>为同一个月，发票下方补充说明不予认可）</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4</w:t>
            </w:r>
          </w:p>
        </w:tc>
        <w:tc>
          <w:tcPr>
            <w:tcW w:w="4196" w:type="dxa"/>
            <w:gridSpan w:val="3"/>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诚信情况</w:t>
            </w:r>
          </w:p>
        </w:tc>
        <w:tc>
          <w:tcPr>
            <w:tcW w:w="4196" w:type="dxa"/>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b/>
                <w:bCs/>
                <w:color w:val="0000FF"/>
                <w:sz w:val="24"/>
                <w:highlight w:val="none"/>
              </w:rPr>
            </w:pPr>
            <w:r>
              <w:rPr>
                <w:rFonts w:hint="eastAsia" w:ascii="宋体" w:hAnsi="宋体" w:eastAsia="宋体" w:cs="宋体"/>
                <w:b/>
                <w:bCs/>
                <w:color w:val="0000FF"/>
                <w:highlight w:val="none"/>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bookmarkStart w:id="0" w:name="OLE_LINK2" w:colFirst="4" w:colLast="4"/>
          </w:p>
        </w:tc>
        <w:tc>
          <w:tcPr>
            <w:tcW w:w="680" w:type="dxa"/>
            <w:tcBorders>
              <w:top w:val="single" w:color="000000" w:sz="8" w:space="0"/>
              <w:left w:val="single" w:color="000000" w:sz="8" w:space="0"/>
              <w:bottom w:val="single" w:color="000000" w:sz="8" w:space="0"/>
              <w:right w:val="single" w:color="000000" w:sz="8" w:space="0"/>
            </w:tcBorders>
            <w:vAlign w:val="center"/>
          </w:tcPr>
          <w:p>
            <w:pPr>
              <w:pageBreakBefore w:val="0"/>
              <w:kinsoku/>
              <w:wordWrap w:val="0"/>
              <w:overflowPunct/>
              <w:topLinePunct w:val="0"/>
              <w:autoSpaceDE/>
              <w:autoSpaceDN/>
              <w:bidi w:val="0"/>
              <w:spacing w:beforeAutospacing="0" w:afterAutospacing="0" w:line="360" w:lineRule="auto"/>
              <w:ind w:left="0" w:leftChars="0" w:right="0"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2835" w:type="dxa"/>
            <w:tcBorders>
              <w:top w:val="single" w:color="000000" w:sz="8" w:space="0"/>
              <w:left w:val="single" w:color="000000" w:sz="8" w:space="0"/>
              <w:bottom w:val="single" w:color="000000" w:sz="8" w:space="0"/>
              <w:right w:val="single" w:color="000000" w:sz="8" w:space="0"/>
            </w:tcBorders>
            <w:vAlign w:val="center"/>
          </w:tcPr>
          <w:p>
            <w:pPr>
              <w:wordWrap w:val="0"/>
              <w:jc w:val="center"/>
              <w:rPr>
                <w:rFonts w:hint="eastAsia" w:ascii="宋体" w:hAnsi="宋体" w:eastAsia="宋体" w:cs="宋体"/>
                <w:szCs w:val="21"/>
                <w:highlight w:val="none"/>
              </w:rPr>
            </w:pPr>
            <w:r>
              <w:rPr>
                <w:szCs w:val="21"/>
              </w:rPr>
              <w:t>诚信情况</w:t>
            </w:r>
          </w:p>
        </w:tc>
        <w:tc>
          <w:tcPr>
            <w:tcW w:w="681" w:type="dxa"/>
            <w:tcBorders>
              <w:top w:val="single" w:color="000000" w:sz="8" w:space="0"/>
              <w:left w:val="single" w:color="000000" w:sz="8" w:space="0"/>
              <w:bottom w:val="single" w:color="000000" w:sz="8" w:space="0"/>
              <w:right w:val="single" w:color="000000" w:sz="8" w:space="0"/>
            </w:tcBorders>
            <w:vAlign w:val="center"/>
          </w:tcPr>
          <w:p>
            <w:pPr>
              <w:widowControl/>
              <w:wordWrap w:val="0"/>
              <w:jc w:val="center"/>
              <w:textAlignment w:val="top"/>
              <w:rPr>
                <w:rFonts w:hint="eastAsia" w:ascii="宋体" w:hAnsi="宋体" w:eastAsia="宋体" w:cs="宋体"/>
                <w:szCs w:val="21"/>
                <w:highlight w:val="none"/>
              </w:rPr>
            </w:pPr>
            <w:r>
              <w:rPr>
                <w:rFonts w:hint="eastAsia"/>
              </w:rPr>
              <w:t>5</w:t>
            </w:r>
          </w:p>
        </w:tc>
        <w:tc>
          <w:tcPr>
            <w:tcW w:w="4196" w:type="dxa"/>
            <w:tcBorders>
              <w:top w:val="single" w:color="000000" w:sz="8" w:space="0"/>
              <w:left w:val="single" w:color="000000" w:sz="8" w:space="0"/>
              <w:bottom w:val="single" w:color="000000" w:sz="8" w:space="0"/>
              <w:right w:val="single" w:color="000000" w:sz="8" w:space="0"/>
            </w:tcBorders>
            <w:vAlign w:val="top"/>
          </w:tcPr>
          <w:p>
            <w:pPr>
              <w:pStyle w:val="2"/>
              <w:wordWrap w:val="0"/>
              <w:spacing w:line="240" w:lineRule="auto"/>
              <w:ind w:firstLine="420" w:firstLineChars="200"/>
              <w:rPr>
                <w:rFonts w:hint="eastAsia" w:ascii="Times New Roman" w:hAnsi="Times New Roman" w:eastAsia="宋体" w:cs="Times New Roman"/>
                <w:b w:val="0"/>
                <w:bCs w:val="0"/>
                <w:kern w:val="2"/>
                <w:sz w:val="21"/>
                <w:szCs w:val="21"/>
                <w:highlight w:val="none"/>
                <w:lang w:val="en-US" w:eastAsia="zh-CN" w:bidi="ar-SA"/>
              </w:rPr>
            </w:pPr>
            <w:r>
              <w:rPr>
                <w:rFonts w:hint="eastAsia" w:ascii="Times New Roman" w:hAnsi="Times New Roman" w:eastAsia="宋体" w:cs="Times New Roman"/>
                <w:b w:val="0"/>
                <w:bCs w:val="0"/>
                <w:kern w:val="2"/>
                <w:sz w:val="21"/>
                <w:szCs w:val="21"/>
                <w:highlight w:val="none"/>
                <w:lang w:val="en-US" w:eastAsia="zh-CN" w:bidi="ar-SA"/>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pPr>
              <w:pStyle w:val="2"/>
              <w:wordWrap w:val="0"/>
              <w:spacing w:line="240" w:lineRule="auto"/>
              <w:ind w:firstLine="420" w:firstLineChars="200"/>
              <w:rPr>
                <w:rFonts w:hint="eastAsia" w:ascii="宋体" w:hAnsi="宋体" w:eastAsia="宋体" w:cs="宋体"/>
                <w:szCs w:val="21"/>
                <w:highlight w:val="none"/>
              </w:rPr>
            </w:pPr>
            <w:r>
              <w:rPr>
                <w:rFonts w:hint="eastAsia" w:ascii="Times New Roman" w:hAnsi="Times New Roman" w:eastAsia="宋体" w:cs="Times New Roman"/>
                <w:b w:val="0"/>
                <w:bCs w:val="0"/>
                <w:kern w:val="2"/>
                <w:sz w:val="21"/>
                <w:szCs w:val="21"/>
                <w:highlight w:val="none"/>
                <w:lang w:val="en-US" w:eastAsia="zh-CN" w:bidi="ar-SA"/>
              </w:rPr>
              <w:t>查询渠道：通过“信用中国”（www.creditchina.gov.cn，下载信用信息报告）、“中国政府采购网”（www.ccgp.gov.cn）、“深圳市政府采购监管网”（http://zfcg.sz.gov.cn）以及财政部门认可的“供应商诚信档案库”查询供应商信用信息，信用信息以开标当日的查询结果为准。</w:t>
            </w:r>
          </w:p>
        </w:tc>
      </w:tr>
      <w:bookmarkEnd w:id="0"/>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pPr>
              <w:pageBreakBefore w:val="0"/>
              <w:kinsoku/>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b/>
                <w:bCs/>
                <w:color w:val="0000FF"/>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tcPr>
          <w:p>
            <w:pPr>
              <w:pageBreakBefore w:val="0"/>
              <w:kinsoku/>
              <w:wordWrap w:val="0"/>
              <w:overflowPunct/>
              <w:topLinePunct w:val="0"/>
              <w:autoSpaceDE/>
              <w:autoSpaceDN/>
              <w:bidi w:val="0"/>
              <w:spacing w:beforeAutospacing="0" w:afterAutospacing="0" w:line="360" w:lineRule="auto"/>
              <w:ind w:left="0" w:leftChars="0" w:right="0" w:firstLine="0" w:firstLineChars="0"/>
              <w:rPr>
                <w:rFonts w:hint="eastAsia" w:ascii="宋体" w:hAnsi="宋体" w:eastAsia="宋体" w:cs="宋体"/>
                <w:szCs w:val="21"/>
                <w:highlight w:val="none"/>
              </w:rPr>
            </w:pPr>
          </w:p>
        </w:tc>
      </w:tr>
    </w:tbl>
    <w:p>
      <w:pPr>
        <w:rPr>
          <w:rFonts w:ascii="宋体" w:hAnsi="宋体"/>
          <w:sz w:val="24"/>
        </w:rPr>
      </w:pPr>
    </w:p>
    <w:p>
      <w:pPr>
        <w:jc w:val="center"/>
        <w:rPr>
          <w:rFonts w:hint="eastAsia"/>
          <w:b/>
          <w:sz w:val="120"/>
          <w:szCs w:val="120"/>
        </w:rPr>
      </w:pPr>
    </w:p>
    <w:p>
      <w:pPr>
        <w:pStyle w:val="2"/>
        <w:rPr>
          <w:rFonts w:hint="eastAsia"/>
        </w:rPr>
      </w:pPr>
    </w:p>
    <w:p>
      <w:pPr>
        <w:jc w:val="center"/>
        <w:rPr>
          <w:rFonts w:hint="eastAsia"/>
          <w:b/>
          <w:sz w:val="120"/>
          <w:szCs w:val="120"/>
        </w:rPr>
      </w:pPr>
    </w:p>
    <w:p>
      <w:pPr>
        <w:jc w:val="center"/>
        <w:rPr>
          <w:b/>
          <w:sz w:val="120"/>
          <w:szCs w:val="120"/>
        </w:rPr>
      </w:pPr>
      <w:r>
        <w:rPr>
          <w:rFonts w:hint="eastAsia"/>
          <w:b/>
          <w:sz w:val="120"/>
          <w:szCs w:val="120"/>
        </w:rPr>
        <w:t>政府采购</w:t>
      </w:r>
    </w:p>
    <w:p>
      <w:pPr>
        <w:jc w:val="center"/>
        <w:rPr>
          <w:b/>
          <w:sz w:val="120"/>
          <w:szCs w:val="120"/>
        </w:rPr>
      </w:pPr>
      <w:r>
        <w:rPr>
          <w:rFonts w:hint="eastAsia"/>
          <w:b/>
          <w:sz w:val="120"/>
          <w:szCs w:val="120"/>
        </w:rPr>
        <w:t>招标文件</w:t>
      </w:r>
    </w:p>
    <w:p>
      <w:pPr>
        <w:jc w:val="center"/>
        <w:rPr>
          <w:b/>
          <w:sz w:val="52"/>
          <w:szCs w:val="52"/>
        </w:rPr>
      </w:pPr>
      <w:r>
        <w:rPr>
          <w:rFonts w:hint="eastAsia"/>
          <w:b/>
          <w:sz w:val="52"/>
          <w:szCs w:val="52"/>
        </w:rPr>
        <w:t>（服务类）</w:t>
      </w: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bookmarkStart w:id="1" w:name="_Hlk71465316"/>
      <w:r>
        <w:rPr>
          <w:rFonts w:hint="eastAsia"/>
          <w:b/>
          <w:sz w:val="44"/>
          <w:szCs w:val="44"/>
        </w:rPr>
        <w:t>深圳公共资源交易中心</w:t>
      </w:r>
    </w:p>
    <w:p>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1"/>
    </w:p>
    <w:p>
      <w:pPr>
        <w:ind w:firstLine="420" w:firstLineChars="200"/>
        <w:rPr>
          <w:rFonts w:hint="eastAsia"/>
        </w:rPr>
      </w:pPr>
      <w:r>
        <w:rPr>
          <w:rFonts w:hint="eastAsia"/>
        </w:rPr>
        <w:br w:type="page"/>
      </w:r>
    </w:p>
    <w:p>
      <w:pPr>
        <w:pStyle w:val="35"/>
        <w:sectPr>
          <w:pgSz w:w="11907" w:h="16840"/>
          <w:pgMar w:top="1440" w:right="1797" w:bottom="1440" w:left="1797" w:header="851" w:footer="992" w:gutter="0"/>
          <w:cols w:space="425" w:num="1"/>
          <w:titlePg/>
          <w:docGrid w:linePitch="462" w:charSpace="0"/>
        </w:sectPr>
      </w:pPr>
    </w:p>
    <w:p>
      <w:pPr>
        <w:pStyle w:val="3"/>
      </w:pPr>
      <w:r>
        <w:rPr>
          <w:rFonts w:hint="eastAsia"/>
        </w:rPr>
        <w:t>目   录</w:t>
      </w:r>
    </w:p>
    <w:p>
      <w:pPr>
        <w:outlineLvl w:val="0"/>
        <w:rPr>
          <w:b/>
          <w:sz w:val="24"/>
        </w:rPr>
      </w:pPr>
      <w:r>
        <w:rPr>
          <w:rFonts w:hint="eastAsia"/>
          <w:b/>
          <w:sz w:val="24"/>
        </w:rPr>
        <w:t>第一册  专用条款</w:t>
      </w:r>
    </w:p>
    <w:p>
      <w:pPr>
        <w:ind w:firstLine="960" w:firstLineChars="400"/>
        <w:rPr>
          <w:sz w:val="24"/>
        </w:rPr>
      </w:pPr>
      <w:r>
        <w:rPr>
          <w:rFonts w:hint="eastAsia"/>
          <w:sz w:val="24"/>
        </w:rPr>
        <w:t>关键信息</w:t>
      </w:r>
    </w:p>
    <w:p>
      <w:pPr>
        <w:ind w:left="630" w:leftChars="300" w:firstLine="630" w:firstLineChars="300"/>
        <w:rPr>
          <w:rFonts w:ascii="宋体" w:hAnsi="宋体"/>
          <w:szCs w:val="21"/>
        </w:rPr>
      </w:pPr>
      <w:r>
        <w:rPr>
          <w:rFonts w:hint="eastAsia" w:ascii="宋体" w:hAnsi="宋体"/>
          <w:szCs w:val="21"/>
        </w:rPr>
        <w:t>第一章  招标公告</w:t>
      </w:r>
    </w:p>
    <w:p>
      <w:pPr>
        <w:ind w:left="630" w:leftChars="300" w:firstLine="630" w:firstLineChars="300"/>
        <w:rPr>
          <w:rFonts w:ascii="宋体" w:hAnsi="宋体"/>
          <w:szCs w:val="21"/>
        </w:rPr>
      </w:pPr>
      <w:r>
        <w:rPr>
          <w:rFonts w:hint="eastAsia" w:ascii="宋体" w:hAnsi="宋体"/>
          <w:szCs w:val="21"/>
        </w:rPr>
        <w:t xml:space="preserve">第二章  </w:t>
      </w:r>
      <w:bookmarkStart w:id="2" w:name="_Hlk71994379"/>
      <w:r>
        <w:rPr>
          <w:rFonts w:hint="eastAsia" w:ascii="宋体" w:hAnsi="宋体"/>
          <w:szCs w:val="21"/>
        </w:rPr>
        <w:t>对通用条款的补充内容及其他关键信息</w:t>
      </w:r>
      <w:bookmarkEnd w:id="2"/>
    </w:p>
    <w:p>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pPr>
        <w:ind w:left="630" w:leftChars="300" w:firstLine="630" w:firstLineChars="300"/>
        <w:rPr>
          <w:rFonts w:ascii="宋体" w:hAnsi="宋体"/>
          <w:szCs w:val="21"/>
        </w:rPr>
      </w:pPr>
      <w:r>
        <w:rPr>
          <w:rFonts w:hint="eastAsia" w:ascii="宋体" w:hAnsi="宋体"/>
          <w:szCs w:val="21"/>
        </w:rPr>
        <w:t>第五章  合同条款及格式</w:t>
      </w:r>
    </w:p>
    <w:p>
      <w:pPr>
        <w:rPr>
          <w:b/>
          <w:sz w:val="24"/>
        </w:rPr>
      </w:pPr>
    </w:p>
    <w:p>
      <w:pPr>
        <w:outlineLvl w:val="0"/>
        <w:rPr>
          <w:b/>
          <w:sz w:val="24"/>
        </w:rPr>
      </w:pPr>
      <w:r>
        <w:rPr>
          <w:rFonts w:hint="eastAsia"/>
          <w:b/>
          <w:sz w:val="24"/>
        </w:rPr>
        <w:t>第二册  通用条款</w:t>
      </w:r>
    </w:p>
    <w:p>
      <w:pPr>
        <w:ind w:left="630" w:leftChars="300" w:firstLine="411" w:firstLineChars="196"/>
        <w:rPr>
          <w:rFonts w:ascii="宋体" w:hAnsi="宋体"/>
          <w:szCs w:val="21"/>
        </w:rPr>
      </w:pPr>
      <w:r>
        <w:rPr>
          <w:rFonts w:hint="eastAsia" w:ascii="宋体" w:hAnsi="宋体"/>
          <w:szCs w:val="21"/>
        </w:rPr>
        <w:t>第一章  总则</w:t>
      </w:r>
    </w:p>
    <w:p>
      <w:pPr>
        <w:ind w:left="630" w:leftChars="300" w:firstLine="411" w:firstLineChars="196"/>
        <w:rPr>
          <w:rFonts w:ascii="宋体" w:hAnsi="宋体"/>
          <w:szCs w:val="21"/>
        </w:rPr>
      </w:pPr>
      <w:r>
        <w:rPr>
          <w:rFonts w:hint="eastAsia" w:ascii="宋体" w:hAnsi="宋体"/>
          <w:szCs w:val="21"/>
        </w:rPr>
        <w:t>第二章  招标文件</w:t>
      </w:r>
    </w:p>
    <w:p>
      <w:pPr>
        <w:ind w:left="630" w:leftChars="300" w:firstLine="411" w:firstLineChars="196"/>
        <w:rPr>
          <w:rFonts w:ascii="宋体" w:hAnsi="宋体"/>
          <w:szCs w:val="21"/>
        </w:rPr>
      </w:pPr>
      <w:r>
        <w:rPr>
          <w:rFonts w:hint="eastAsia" w:ascii="宋体" w:hAnsi="宋体"/>
          <w:szCs w:val="21"/>
        </w:rPr>
        <w:t>第三章  投标文件的编制</w:t>
      </w:r>
    </w:p>
    <w:p>
      <w:pPr>
        <w:ind w:left="630" w:leftChars="300" w:firstLine="411" w:firstLineChars="196"/>
        <w:rPr>
          <w:rFonts w:ascii="宋体" w:hAnsi="宋体"/>
          <w:szCs w:val="21"/>
        </w:rPr>
      </w:pPr>
      <w:r>
        <w:rPr>
          <w:rFonts w:hint="eastAsia" w:ascii="宋体" w:hAnsi="宋体"/>
          <w:szCs w:val="21"/>
        </w:rPr>
        <w:t>第四章  投标文件的递交</w:t>
      </w:r>
    </w:p>
    <w:p>
      <w:pPr>
        <w:ind w:left="630" w:leftChars="300" w:firstLine="411" w:firstLineChars="196"/>
        <w:rPr>
          <w:rFonts w:ascii="宋体" w:hAnsi="宋体"/>
          <w:szCs w:val="21"/>
        </w:rPr>
      </w:pPr>
      <w:r>
        <w:rPr>
          <w:rFonts w:hint="eastAsia" w:ascii="宋体" w:hAnsi="宋体"/>
          <w:szCs w:val="21"/>
        </w:rPr>
        <w:t>第五章  开标</w:t>
      </w:r>
    </w:p>
    <w:p>
      <w:pPr>
        <w:ind w:left="630" w:leftChars="300" w:firstLine="411" w:firstLineChars="196"/>
        <w:rPr>
          <w:rFonts w:ascii="宋体" w:hAnsi="宋体"/>
          <w:szCs w:val="21"/>
        </w:rPr>
      </w:pPr>
      <w:r>
        <w:rPr>
          <w:rFonts w:hint="eastAsia" w:ascii="宋体" w:hAnsi="宋体"/>
          <w:szCs w:val="21"/>
        </w:rPr>
        <w:t>第六章  评审要求</w:t>
      </w:r>
    </w:p>
    <w:p>
      <w:pPr>
        <w:ind w:left="630" w:leftChars="300" w:firstLine="411" w:firstLineChars="196"/>
        <w:rPr>
          <w:rFonts w:ascii="宋体" w:hAnsi="宋体"/>
          <w:szCs w:val="21"/>
        </w:rPr>
      </w:pPr>
      <w:r>
        <w:rPr>
          <w:rFonts w:hint="eastAsia" w:ascii="宋体" w:hAnsi="宋体"/>
          <w:szCs w:val="21"/>
        </w:rPr>
        <w:t>第七章  评审程序及评审方法</w:t>
      </w:r>
    </w:p>
    <w:p>
      <w:pPr>
        <w:ind w:left="630" w:leftChars="300" w:firstLine="411" w:firstLineChars="196"/>
        <w:rPr>
          <w:rFonts w:ascii="宋体" w:hAnsi="宋体"/>
          <w:szCs w:val="21"/>
        </w:rPr>
      </w:pPr>
      <w:r>
        <w:rPr>
          <w:rFonts w:hint="eastAsia" w:ascii="宋体" w:hAnsi="宋体"/>
          <w:szCs w:val="21"/>
        </w:rPr>
        <w:t>第八章  定标及公示</w:t>
      </w:r>
    </w:p>
    <w:p>
      <w:pPr>
        <w:ind w:left="630" w:leftChars="300" w:firstLine="411" w:firstLineChars="196"/>
        <w:rPr>
          <w:rFonts w:ascii="宋体" w:hAnsi="宋体"/>
          <w:szCs w:val="21"/>
        </w:rPr>
      </w:pPr>
      <w:r>
        <w:rPr>
          <w:rFonts w:hint="eastAsia" w:ascii="宋体" w:hAnsi="宋体"/>
          <w:szCs w:val="21"/>
        </w:rPr>
        <w:t>第九章  公开招标失败的后续处理</w:t>
      </w:r>
    </w:p>
    <w:p>
      <w:pPr>
        <w:ind w:left="630" w:leftChars="300" w:firstLine="411" w:firstLineChars="196"/>
        <w:rPr>
          <w:rFonts w:ascii="宋体" w:hAnsi="宋体"/>
          <w:szCs w:val="21"/>
        </w:rPr>
      </w:pPr>
      <w:r>
        <w:rPr>
          <w:rFonts w:hint="eastAsia" w:ascii="宋体" w:hAnsi="宋体"/>
          <w:szCs w:val="21"/>
        </w:rPr>
        <w:t>第十章  合同的授予与备案</w:t>
      </w:r>
    </w:p>
    <w:p>
      <w:pPr>
        <w:keepNext w:val="0"/>
        <w:keepLines w:val="0"/>
        <w:pageBreakBefore w:val="0"/>
        <w:widowControl w:val="0"/>
        <w:kinsoku/>
        <w:wordWrap/>
        <w:overflowPunct/>
        <w:topLinePunct w:val="0"/>
        <w:autoSpaceDE/>
        <w:autoSpaceDN/>
        <w:bidi w:val="0"/>
        <w:adjustRightInd/>
        <w:snapToGrid/>
        <w:ind w:firstLine="1050" w:firstLineChars="500"/>
        <w:textAlignment w:val="auto"/>
        <w:outlineLvl w:val="9"/>
        <w:rPr>
          <w:b/>
          <w:sz w:val="24"/>
        </w:rPr>
      </w:pPr>
      <w:r>
        <w:rPr>
          <w:rFonts w:hint="eastAsia" w:ascii="宋体" w:hAnsi="宋体"/>
          <w:szCs w:val="21"/>
        </w:rPr>
        <w:t>第十一章  质疑处理</w:t>
      </w:r>
    </w:p>
    <w:p>
      <w:pPr>
        <w:spacing w:line="360" w:lineRule="auto"/>
        <w:ind w:firstLine="420" w:firstLineChars="200"/>
        <w:jc w:val="left"/>
        <w:rPr>
          <w:rFonts w:ascii="宋体" w:hAnsi="宋体"/>
          <w:szCs w:val="21"/>
        </w:rPr>
      </w:pPr>
    </w:p>
    <w:p>
      <w:pPr>
        <w:pStyle w:val="3"/>
        <w:rPr>
          <w:sz w:val="24"/>
        </w:rPr>
      </w:pPr>
      <w:r>
        <w:br w:type="page"/>
      </w:r>
      <w:bookmarkStart w:id="3" w:name="合同格式"/>
      <w:bookmarkEnd w:id="3"/>
      <w:bookmarkStart w:id="4" w:name="bt合同条款"/>
      <w:bookmarkEnd w:id="4"/>
      <w:bookmarkStart w:id="5" w:name="bt投标报价汇总表"/>
      <w:bookmarkEnd w:id="5"/>
      <w:bookmarkStart w:id="6" w:name="bt项目管理班子配备情况"/>
      <w:bookmarkEnd w:id="6"/>
      <w:bookmarkStart w:id="7" w:name="bt投标人须知"/>
      <w:bookmarkEnd w:id="7"/>
      <w:bookmarkStart w:id="8" w:name="bt商务标投标文件格式"/>
      <w:bookmarkEnd w:id="8"/>
      <w:bookmarkStart w:id="9" w:name="bt其他资料由投标人自定"/>
      <w:bookmarkEnd w:id="9"/>
      <w:bookmarkStart w:id="10" w:name="bt本工程承诺书"/>
      <w:bookmarkEnd w:id="10"/>
      <w:bookmarkStart w:id="11" w:name="bt说明"/>
      <w:bookmarkEnd w:id="11"/>
      <w:bookmarkStart w:id="12" w:name="bt技术标投标文件格式"/>
      <w:bookmarkEnd w:id="12"/>
      <w:bookmarkStart w:id="13" w:name="bt合同条款及格式"/>
      <w:bookmarkEnd w:id="13"/>
      <w:bookmarkStart w:id="14" w:name="bt开标一览表"/>
      <w:bookmarkEnd w:id="14"/>
      <w:bookmarkStart w:id="15" w:name="bt其他资料2"/>
      <w:bookmarkEnd w:id="15"/>
      <w:bookmarkStart w:id="16" w:name="bt投标函"/>
      <w:bookmarkEnd w:id="16"/>
      <w:bookmarkStart w:id="17" w:name="bt投标人情况介绍"/>
      <w:bookmarkEnd w:id="17"/>
      <w:bookmarkStart w:id="18" w:name="bt投标文件签署授权委托书"/>
      <w:bookmarkEnd w:id="18"/>
      <w:bookmarkStart w:id="19" w:name="bt合同格式"/>
      <w:bookmarkEnd w:id="19"/>
      <w:r>
        <w:rPr>
          <w:rFonts w:hint="eastAsia"/>
        </w:rPr>
        <w:t>第一册</w:t>
      </w:r>
      <w:r>
        <w:rPr>
          <w:rFonts w:hint="eastAsia"/>
          <w:lang w:val="en-US" w:eastAsia="zh-CN"/>
        </w:rPr>
        <w:t xml:space="preserve">  </w:t>
      </w:r>
      <w:r>
        <w:rPr>
          <w:rFonts w:hint="eastAsia"/>
        </w:rPr>
        <w:t>专用条款</w:t>
      </w:r>
    </w:p>
    <w:p>
      <w:pPr>
        <w:pStyle w:val="6"/>
        <w:rPr>
          <w:rFonts w:hint="eastAsia"/>
          <w:sz w:val="28"/>
          <w:szCs w:val="28"/>
        </w:rPr>
      </w:pPr>
      <w:r>
        <w:rPr>
          <w:rFonts w:hint="eastAsia"/>
          <w:sz w:val="28"/>
          <w:szCs w:val="28"/>
        </w:rPr>
        <w:t>第一章  招标公告</w:t>
      </w:r>
    </w:p>
    <w:tbl>
      <w:tblPr>
        <w:tblStyle w:val="42"/>
        <w:tblW w:w="8147" w:type="dxa"/>
        <w:jc w:val="center"/>
        <w:tblCellSpacing w:w="0" w:type="dxa"/>
        <w:tblLayout w:type="fixed"/>
        <w:tblCellMar>
          <w:top w:w="0" w:type="dxa"/>
          <w:left w:w="0" w:type="dxa"/>
          <w:bottom w:w="0" w:type="dxa"/>
          <w:right w:w="0" w:type="dxa"/>
        </w:tblCellMar>
      </w:tblPr>
      <w:tblGrid>
        <w:gridCol w:w="8147"/>
      </w:tblGrid>
      <w:tr>
        <w:tblPrEx>
          <w:tblCellMar>
            <w:top w:w="0" w:type="dxa"/>
            <w:left w:w="0" w:type="dxa"/>
            <w:bottom w:w="0" w:type="dxa"/>
            <w:right w:w="0" w:type="dxa"/>
          </w:tblCellMar>
        </w:tblPrEx>
        <w:trPr>
          <w:trHeight w:val="90" w:hRule="atLeast"/>
          <w:tblCellSpacing w:w="0" w:type="dxa"/>
          <w:jc w:val="center"/>
        </w:trPr>
        <w:tc>
          <w:tcPr>
            <w:tcW w:w="8147"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tblPrEx>
                <w:tblCellMar>
                  <w:top w:w="30" w:type="dxa"/>
                  <w:left w:w="30" w:type="dxa"/>
                  <w:bottom w:w="30" w:type="dxa"/>
                  <w:right w:w="30" w:type="dxa"/>
                </w:tblCellMar>
              </w:tblPrEx>
              <w:trPr>
                <w:tblCellSpacing w:w="0" w:type="dxa"/>
                <w:jc w:val="center"/>
              </w:trPr>
              <w:tc>
                <w:tcPr>
                  <w:tcW w:w="8147" w:type="dxa"/>
                </w:tcPr>
                <w:p>
                  <w:pPr>
                    <w:spacing w:line="360" w:lineRule="auto"/>
                    <w:rPr>
                      <w:rFonts w:ascii="宋体" w:hAnsi="宋体" w:cs="宋体"/>
                      <w:b/>
                      <w:bCs/>
                      <w:kern w:val="0"/>
                      <w:szCs w:val="21"/>
                    </w:rPr>
                  </w:pPr>
                  <w:r>
                    <w:rPr>
                      <w:rFonts w:hint="eastAsia" w:ascii="宋体" w:hAnsi="宋体" w:cs="宋体"/>
                      <w:b/>
                      <w:bCs/>
                      <w:kern w:val="0"/>
                      <w:szCs w:val="21"/>
                    </w:rPr>
                    <w:t>申请人的资格要求：</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rPr>
                    <w:t>1.</w:t>
                  </w:r>
                  <w:r>
                    <w:rPr>
                      <w:rFonts w:hint="eastAsia" w:ascii="宋体" w:hAnsi="宋体" w:eastAsia="宋体" w:cs="宋体"/>
                      <w:sz w:val="21"/>
                      <w:szCs w:val="21"/>
                      <w:highlight w:val="none"/>
                      <w:lang w:eastAsia="zh-CN"/>
                    </w:rPr>
                    <w:t>具有独立承担民事责任的能力（提供营业执照或事业单位法人证书等证明资料扫描件，原件备查，分公司参与投标的，须提供分公司营业执照、其所属集团(或总公司)等具有独立法人资格的组织的营业执照及其出具的载明愿为其参与本项目投标的行为以及履约等行为承担民事责任的加盖总公司公章的授权函）；</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kern w:val="0"/>
                      <w:szCs w:val="21"/>
                    </w:rPr>
                  </w:pPr>
                  <w:r>
                    <w:rPr>
                      <w:rFonts w:hint="eastAsia" w:ascii="宋体" w:hAnsi="宋体" w:eastAsia="宋体" w:cs="宋体"/>
                      <w:color w:val="FF0000"/>
                      <w:kern w:val="0"/>
                      <w:szCs w:val="21"/>
                    </w:rPr>
                    <w:t>2.本项目不接受联合体投标</w:t>
                  </w:r>
                  <w:r>
                    <w:rPr>
                      <w:rFonts w:hint="eastAsia" w:ascii="宋体" w:hAnsi="宋体" w:eastAsia="宋体" w:cs="宋体"/>
                      <w:color w:val="FF0000"/>
                      <w:kern w:val="0"/>
                      <w:szCs w:val="21"/>
                      <w:lang w:val="en-US" w:eastAsia="zh-CN"/>
                    </w:rPr>
                    <w:t>，</w:t>
                  </w:r>
                  <w:r>
                    <w:rPr>
                      <w:rFonts w:hint="eastAsia" w:ascii="宋体" w:hAnsi="宋体" w:cs="宋体"/>
                      <w:color w:val="FF0000"/>
                      <w:kern w:val="0"/>
                      <w:szCs w:val="21"/>
                      <w:lang w:val="en-US" w:eastAsia="zh-CN"/>
                    </w:rPr>
                    <w:t>不</w:t>
                  </w:r>
                  <w:r>
                    <w:rPr>
                      <w:rFonts w:hint="eastAsia" w:ascii="宋体" w:hAnsi="宋体" w:eastAsia="宋体" w:cs="宋体"/>
                      <w:color w:val="FF0000"/>
                      <w:kern w:val="0"/>
                      <w:szCs w:val="21"/>
                      <w:lang w:val="en-US" w:eastAsia="zh-CN"/>
                    </w:rPr>
                    <w:t>允许</w:t>
                  </w:r>
                  <w:r>
                    <w:rPr>
                      <w:rFonts w:hint="eastAsia" w:ascii="宋体" w:hAnsi="宋体" w:eastAsia="宋体" w:cs="宋体"/>
                      <w:color w:val="FF0000"/>
                      <w:kern w:val="0"/>
                      <w:szCs w:val="21"/>
                    </w:rPr>
                    <w:t>投标人选用进口产品参与投标</w:t>
                  </w:r>
                  <w:r>
                    <w:rPr>
                      <w:rFonts w:hint="eastAsia" w:ascii="宋体" w:hAnsi="宋体" w:eastAsia="宋体" w:cs="宋体"/>
                      <w:color w:val="FF0000"/>
                      <w:kern w:val="0"/>
                      <w:szCs w:val="21"/>
                      <w:lang w:val="en-US" w:eastAsia="zh-CN"/>
                    </w:rPr>
                    <w:t>以</w:t>
                  </w:r>
                  <w:r>
                    <w:rPr>
                      <w:rFonts w:hint="eastAsia" w:ascii="宋体" w:hAnsi="宋体" w:eastAsia="宋体" w:cs="宋体"/>
                      <w:color w:val="FF0000"/>
                      <w:kern w:val="0"/>
                      <w:szCs w:val="21"/>
                    </w:rPr>
                    <w:t>招标文件</w:t>
                  </w:r>
                  <w:r>
                    <w:rPr>
                      <w:rFonts w:hint="eastAsia" w:ascii="宋体" w:hAnsi="宋体" w:eastAsia="宋体" w:cs="宋体"/>
                      <w:color w:val="FF0000"/>
                      <w:kern w:val="0"/>
                      <w:szCs w:val="21"/>
                      <w:lang w:eastAsia="zh-CN"/>
                    </w:rPr>
                    <w:t>“</w:t>
                  </w:r>
                  <w:r>
                    <w:rPr>
                      <w:rFonts w:hint="eastAsia" w:ascii="宋体" w:hAnsi="宋体" w:eastAsia="宋体" w:cs="宋体"/>
                      <w:color w:val="FF0000"/>
                      <w:kern w:val="0"/>
                      <w:szCs w:val="21"/>
                      <w:lang w:val="en-US" w:eastAsia="zh-CN"/>
                    </w:rPr>
                    <w:t>第三章 用户需求书</w:t>
                  </w:r>
                  <w:r>
                    <w:rPr>
                      <w:rFonts w:hint="eastAsia" w:ascii="宋体" w:hAnsi="宋体" w:eastAsia="宋体" w:cs="宋体"/>
                      <w:color w:val="FF0000"/>
                      <w:kern w:val="0"/>
                      <w:szCs w:val="21"/>
                    </w:rPr>
                    <w:t>”</w:t>
                  </w:r>
                  <w:r>
                    <w:rPr>
                      <w:rFonts w:hint="eastAsia" w:ascii="宋体" w:hAnsi="宋体" w:eastAsia="宋体" w:cs="宋体"/>
                      <w:color w:val="FF0000"/>
                      <w:kern w:val="0"/>
                      <w:szCs w:val="21"/>
                      <w:lang w:val="en-US" w:eastAsia="zh-CN"/>
                    </w:rPr>
                    <w:t>为准</w:t>
                  </w:r>
                  <w:r>
                    <w:rPr>
                      <w:rFonts w:hint="eastAsia" w:ascii="宋体" w:hAnsi="宋体" w:eastAsia="宋体" w:cs="宋体"/>
                      <w:color w:val="FF0000"/>
                      <w:kern w:val="0"/>
                      <w:szCs w:val="21"/>
                    </w:rPr>
                    <w:t>（由供应商在《政府采购投标及履约承诺函》中作出声明）；</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rPr>
                  </w:pPr>
                  <w:r>
                    <w:rPr>
                      <w:rFonts w:hint="eastAsia" w:ascii="宋体" w:hAnsi="宋体" w:eastAsia="宋体" w:cs="宋体"/>
                      <w:kern w:val="0"/>
                      <w:szCs w:val="21"/>
                    </w:rPr>
                    <w:t>3.参与本项目政府采购活动时不存在被有关部门禁止参与政府采购活动且在有效期内的情况（由供应商在《政府采购投标及履约承诺函》中作出声明）；</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.具备《中华人民共和国政府采购法》第二十二条第一款的条件（由供应商在《政府采购投标及履约承诺函》中作出声明）；</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5</w:t>
                  </w:r>
                  <w:r>
                    <w:rPr>
                      <w:rFonts w:hint="eastAsia" w:ascii="宋体" w:hAnsi="宋体" w:eastAsia="宋体" w:cs="宋体"/>
                      <w:kern w:val="0"/>
                      <w:szCs w:val="21"/>
                    </w:rPr>
                    <w:t>.未被列入失信被执行人、重大税收违法案件当事人名单、政府采购严重违法失信行为记录名单（由供应商在《政府采购投标及履约承诺函》中作出声明）</w:t>
                  </w:r>
                  <w:r>
                    <w:rPr>
                      <w:rFonts w:hint="eastAsia" w:ascii="宋体" w:hAnsi="宋体" w:eastAsia="宋体" w:cs="宋体"/>
                      <w:kern w:val="0"/>
                      <w:szCs w:val="21"/>
                      <w:lang w:val="en-US" w:eastAsia="zh-CN"/>
                    </w:rPr>
                    <w:t>；</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color w:val="FF0000"/>
                      <w:kern w:val="0"/>
                      <w:szCs w:val="21"/>
                      <w:lang w:val="en-US" w:eastAsia="zh-CN"/>
                    </w:rPr>
                  </w:pPr>
                  <w:r>
                    <w:rPr>
                      <w:rFonts w:hint="eastAsia" w:ascii="宋体" w:hAnsi="宋体" w:eastAsia="宋体" w:cs="宋体"/>
                      <w:color w:val="FF0000"/>
                      <w:kern w:val="0"/>
                      <w:szCs w:val="21"/>
                      <w:lang w:val="en-US" w:eastAsia="zh-CN"/>
                    </w:rPr>
                    <w:t>6.不存在《深圳市财政局政府采购供应商信用信息管理办法》（深财规〔2023〕3号）列明的严重违法失信行为</w:t>
                  </w:r>
                  <w:r>
                    <w:rPr>
                      <w:rFonts w:hint="eastAsia" w:ascii="宋体" w:hAnsi="宋体" w:eastAsia="宋体" w:cs="宋体"/>
                      <w:color w:val="FF0000"/>
                      <w:kern w:val="0"/>
                      <w:szCs w:val="21"/>
                    </w:rPr>
                    <w:t>（由供应商在《政府采购投标及履约承诺函》中作出声明）</w:t>
                  </w:r>
                  <w:r>
                    <w:rPr>
                      <w:rFonts w:hint="eastAsia" w:ascii="宋体" w:hAnsi="宋体" w:eastAsia="宋体" w:cs="宋体"/>
                      <w:color w:val="FF0000"/>
                      <w:kern w:val="0"/>
                      <w:szCs w:val="21"/>
                      <w:lang w:eastAsia="zh-CN"/>
                    </w:rPr>
                    <w:t>；</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lang w:val="en-US" w:eastAsia="zh-CN"/>
                    </w:rPr>
                    <w:t>7</w:t>
                  </w:r>
                  <w:r>
                    <w:rPr>
                      <w:rFonts w:hint="eastAsia" w:ascii="宋体" w:hAnsi="宋体" w:eastAsia="宋体" w:cs="宋体"/>
                      <w:kern w:val="0"/>
                      <w:szCs w:val="21"/>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eastAsia="宋体" w:cs="宋体"/>
                      <w:kern w:val="0"/>
                      <w:szCs w:val="21"/>
                      <w:lang w:val="en-US" w:eastAsia="zh-CN"/>
                    </w:rPr>
                    <w:t>；</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ascii="宋体" w:hAnsi="宋体" w:eastAsia="宋体" w:cs="宋体"/>
                      <w:kern w:val="0"/>
                      <w:szCs w:val="21"/>
                      <w:lang w:eastAsia="zh-CN"/>
                    </w:rPr>
                    <w:t>；</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lang w:val="en-US" w:eastAsia="zh-CN"/>
                    </w:rPr>
                    <w:t>9.</w:t>
                  </w:r>
                  <w:r>
                    <w:rPr>
                      <w:rFonts w:hint="eastAsia" w:ascii="宋体" w:hAnsi="宋体" w:eastAsia="宋体" w:cs="宋体"/>
                      <w:kern w:val="0"/>
                      <w:szCs w:val="21"/>
                    </w:rPr>
                    <w:t>本项目</w:t>
                  </w:r>
                  <w:r>
                    <w:rPr>
                      <w:rFonts w:hint="eastAsia" w:ascii="宋体" w:hAnsi="宋体" w:eastAsia="宋体" w:cs="宋体"/>
                      <w:kern w:val="0"/>
                      <w:szCs w:val="21"/>
                      <w:lang w:val="en-US" w:eastAsia="zh-CN"/>
                    </w:rPr>
                    <w:t>全部</w:t>
                  </w:r>
                  <w:r>
                    <w:rPr>
                      <w:rFonts w:hint="eastAsia" w:ascii="宋体" w:hAnsi="宋体" w:eastAsia="宋体" w:cs="宋体"/>
                      <w:kern w:val="0"/>
                      <w:szCs w:val="21"/>
                    </w:rPr>
                    <w:t>专门面向中小企业采购：否</w:t>
                  </w:r>
                  <w:r>
                    <w:rPr>
                      <w:rFonts w:hint="eastAsia" w:ascii="宋体" w:hAnsi="宋体" w:eastAsia="宋体" w:cs="宋体"/>
                      <w:kern w:val="0"/>
                      <w:szCs w:val="21"/>
                      <w:lang w:eastAsia="zh-CN"/>
                    </w:rPr>
                    <w:t>；</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10.</w:t>
                  </w:r>
                  <w:r>
                    <w:rPr>
                      <w:rFonts w:hint="eastAsia" w:ascii="宋体" w:hAnsi="宋体" w:eastAsia="宋体" w:cs="宋体"/>
                      <w:kern w:val="0"/>
                      <w:szCs w:val="21"/>
                    </w:rPr>
                    <w:t>投标人具有有效期内的《食品经营许可证》。（提供证书扫描件）。</w:t>
                  </w:r>
                </w:p>
                <w:p>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hint="eastAsia" w:ascii="宋体" w:hAnsi="宋体" w:eastAsia="宋体" w:cs="宋体"/>
                      <w:kern w:val="0"/>
                      <w:szCs w:val="21"/>
                    </w:rPr>
                  </w:pPr>
                  <w:r>
                    <w:rPr>
                      <w:rFonts w:hint="eastAsia" w:ascii="宋体" w:hAnsi="宋体" w:eastAsia="宋体" w:cs="宋体"/>
                      <w:kern w:val="0"/>
                      <w:szCs w:val="21"/>
                    </w:rPr>
                    <w:t>注：（1）“信用中国”（www.creditchina.gov.cn</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查询</w:t>
                  </w:r>
                  <w:r>
                    <w:rPr>
                      <w:rFonts w:hint="eastAsia" w:ascii="宋体" w:hAnsi="宋体" w:eastAsia="宋体" w:cs="宋体"/>
                      <w:kern w:val="0"/>
                      <w:szCs w:val="21"/>
                    </w:rPr>
                    <w:t>“信用服务”栏的“重大税收违法失信主体”“失信被执行人”</w:t>
                  </w:r>
                  <w:r>
                    <w:rPr>
                      <w:rFonts w:hint="eastAsia" w:ascii="宋体" w:hAnsi="宋体" w:eastAsia="宋体" w:cs="宋体"/>
                      <w:kern w:val="0"/>
                      <w:szCs w:val="21"/>
                      <w:lang w:val="en-US" w:eastAsia="zh-CN"/>
                    </w:rPr>
                    <w:t>或者下载信用信息报告）</w:t>
                  </w:r>
                  <w:r>
                    <w:rPr>
                      <w:rFonts w:hint="eastAsia" w:ascii="宋体" w:hAnsi="宋体" w:eastAsia="宋体" w:cs="宋体"/>
                      <w:kern w:val="0"/>
                      <w:szCs w:val="21"/>
                    </w:rPr>
                    <w:t>，“中国政府采购网”（www.ccgp.gov.cn）中的“政府采购严重违法失信行为记录名单”，“深圳市政府采购监管网”（http://zfcg.sz.gov.cn）</w:t>
                  </w:r>
                  <w:r>
                    <w:rPr>
                      <w:rFonts w:hint="eastAsia" w:ascii="宋体" w:hAnsi="宋体" w:eastAsia="宋体" w:cs="宋体"/>
                      <w:b w:val="0"/>
                      <w:bCs w:val="0"/>
                      <w:sz w:val="21"/>
                      <w:szCs w:val="21"/>
                      <w:lang w:val="en-US" w:eastAsia="zh-CN"/>
                    </w:rPr>
                    <w:t>以及财政部门认可的“供应商诚信档案库”</w:t>
                  </w:r>
                  <w:r>
                    <w:rPr>
                      <w:rFonts w:hint="eastAsia" w:ascii="宋体" w:hAnsi="宋体" w:eastAsia="宋体" w:cs="宋体"/>
                      <w:kern w:val="0"/>
                      <w:szCs w:val="21"/>
                    </w:rPr>
                    <w:t>为供应商信用信息的查询渠道，相关信息以开标当日的查询结果为准；</w:t>
                  </w:r>
                </w:p>
                <w:p>
                  <w:pPr>
                    <w:keepNext w:val="0"/>
                    <w:keepLines w:val="0"/>
                    <w:pageBreakBefore w:val="0"/>
                    <w:widowControl w:val="0"/>
                    <w:kinsoku/>
                    <w:overflowPunct/>
                    <w:topLinePunct w:val="0"/>
                    <w:autoSpaceDE/>
                    <w:autoSpaceDN/>
                    <w:bidi w:val="0"/>
                    <w:adjustRightInd/>
                    <w:snapToGrid/>
                    <w:ind w:firstLine="420" w:firstLineChars="200"/>
                    <w:textAlignment w:val="auto"/>
                    <w:rPr>
                      <w:rFonts w:hint="eastAsia" w:ascii="宋体" w:hAnsi="宋体" w:eastAsia="宋体" w:cs="宋体"/>
                      <w:szCs w:val="21"/>
                    </w:rPr>
                  </w:pPr>
                  <w:r>
                    <w:rPr>
                      <w:rFonts w:hint="eastAsia" w:ascii="宋体" w:hAnsi="宋体" w:eastAsia="宋体" w:cs="宋体"/>
                      <w:szCs w:val="21"/>
                    </w:rPr>
                    <w:t>（2）供应商投标（上传投标文件）必须先行办理注册手续，具体请按照本公告“六、其他补充事宜”相关内容指引办理。</w:t>
                  </w:r>
                </w:p>
                <w:p>
                  <w:pPr>
                    <w:pStyle w:val="2"/>
                    <w:numPr>
                      <w:ilvl w:val="-1"/>
                      <w:numId w:val="0"/>
                    </w:numPr>
                    <w:spacing w:line="240" w:lineRule="auto"/>
                    <w:ind w:firstLine="420" w:firstLineChars="200"/>
                    <w:rPr>
                      <w:rFonts w:hint="default" w:eastAsia="宋体"/>
                      <w:lang w:val="en-US" w:eastAsia="zh-CN"/>
                    </w:rPr>
                  </w:pPr>
                  <w:r>
                    <w:rPr>
                      <w:rFonts w:hint="eastAsia" w:ascii="宋体" w:hAnsi="宋体" w:eastAsia="宋体" w:cs="宋体"/>
                      <w:b w:val="0"/>
                      <w:bCs w:val="0"/>
                      <w:sz w:val="21"/>
                      <w:szCs w:val="21"/>
                      <w:lang w:val="en-US" w:eastAsia="zh-CN"/>
                    </w:rPr>
                    <w:t>（3）各供应商需保留其按照公告明确的方式获取采购文件的相关证明材料（如登录“深圳政府采购智慧平台”下载采购文件的相关截图等），用以证明其具有依法</w:t>
                  </w:r>
                  <w:r>
                    <w:rPr>
                      <w:rFonts w:hint="eastAsia" w:ascii="宋体" w:hAnsi="宋体"/>
                      <w:b w:val="0"/>
                      <w:bCs w:val="0"/>
                      <w:sz w:val="21"/>
                      <w:lang w:val="en-US" w:eastAsia="zh-CN"/>
                    </w:rPr>
                    <w:t>对采购文件</w:t>
                  </w:r>
                  <w:r>
                    <w:rPr>
                      <w:rFonts w:hint="eastAsia" w:ascii="宋体" w:hAnsi="宋体" w:eastAsia="宋体" w:cs="宋体"/>
                      <w:b w:val="0"/>
                      <w:bCs w:val="0"/>
                      <w:sz w:val="21"/>
                      <w:szCs w:val="21"/>
                      <w:lang w:val="en-US" w:eastAsia="zh-CN"/>
                    </w:rPr>
                    <w:t>提出质疑的权利。</w:t>
                  </w:r>
                </w:p>
                <w:p>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pPr>
              <w:rPr>
                <w:rFonts w:ascii="宋体" w:hAnsi="宋体" w:cs="宋体"/>
                <w:sz w:val="24"/>
              </w:rPr>
            </w:pPr>
          </w:p>
        </w:tc>
      </w:tr>
    </w:tbl>
    <w:p>
      <w:r>
        <w:rPr>
          <w:rFonts w:hint="eastAsia"/>
        </w:rPr>
        <w:br w:type="page"/>
      </w:r>
    </w:p>
    <w:p>
      <w:pPr>
        <w:pStyle w:val="6"/>
        <w:rPr>
          <w:sz w:val="28"/>
          <w:szCs w:val="28"/>
        </w:rPr>
      </w:pPr>
      <w:r>
        <w:rPr>
          <w:rFonts w:hint="eastAsia"/>
          <w:sz w:val="28"/>
          <w:szCs w:val="28"/>
        </w:rPr>
        <w:t>第二章 对通用条款的补充内容及其他关键信息</w:t>
      </w:r>
    </w:p>
    <w:p>
      <w:pPr>
        <w:pStyle w:val="4"/>
        <w:spacing w:before="120" w:beforeLines="50" w:after="120" w:afterLines="50"/>
        <w:outlineLvl w:val="2"/>
        <w:rPr>
          <w:sz w:val="28"/>
          <w:szCs w:val="28"/>
        </w:rPr>
      </w:pPr>
      <w:bookmarkStart w:id="20" w:name="_Toc73521547"/>
      <w:bookmarkStart w:id="21" w:name="_Toc101074876"/>
      <w:bookmarkStart w:id="22" w:name="_Toc73521635"/>
      <w:bookmarkStart w:id="23" w:name="_Toc73517639"/>
      <w:bookmarkStart w:id="24" w:name="_Toc73518117"/>
      <w:bookmarkStart w:id="25" w:name="_Toc60631620"/>
      <w:bookmarkStart w:id="26" w:name="_Toc100052364"/>
      <w:bookmarkStart w:id="27" w:name="_Toc60560625"/>
      <w:r>
        <w:rPr>
          <w:rFonts w:hint="eastAsia"/>
          <w:szCs w:val="24"/>
        </w:rPr>
        <w:t>一、对通用条款的补充内容</w:t>
      </w:r>
    </w:p>
    <w:bookmarkEnd w:id="20"/>
    <w:bookmarkEnd w:id="21"/>
    <w:bookmarkEnd w:id="22"/>
    <w:bookmarkEnd w:id="23"/>
    <w:bookmarkEnd w:id="24"/>
    <w:bookmarkEnd w:id="25"/>
    <w:bookmarkEnd w:id="26"/>
    <w:bookmarkEnd w:id="27"/>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b/>
                <w:bCs/>
              </w:rPr>
            </w:pPr>
            <w:r>
              <w:rPr>
                <w:rFonts w:hint="eastAsia" w:ascii="宋体" w:hAnsi="宋体"/>
                <w:b/>
                <w:bCs/>
              </w:rPr>
              <w:t>通用条款序号</w:t>
            </w:r>
          </w:p>
        </w:tc>
        <w:tc>
          <w:tcPr>
            <w:tcW w:w="2409" w:type="dxa"/>
            <w:vAlign w:val="center"/>
          </w:tcPr>
          <w:p>
            <w:pPr>
              <w:jc w:val="center"/>
              <w:rPr>
                <w:rFonts w:ascii="宋体" w:hAnsi="宋体"/>
                <w:b/>
                <w:bCs/>
              </w:rPr>
            </w:pPr>
            <w:r>
              <w:rPr>
                <w:rFonts w:hint="eastAsia" w:ascii="宋体" w:hAnsi="宋体"/>
                <w:b/>
                <w:bCs/>
              </w:rPr>
              <w:t>涉及事项</w:t>
            </w:r>
          </w:p>
        </w:tc>
        <w:tc>
          <w:tcPr>
            <w:tcW w:w="4980" w:type="dxa"/>
            <w:vAlign w:val="center"/>
          </w:tcPr>
          <w:p>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.1</w:t>
            </w:r>
          </w:p>
        </w:tc>
        <w:tc>
          <w:tcPr>
            <w:tcW w:w="2409" w:type="dxa"/>
            <w:vAlign w:val="center"/>
          </w:tcPr>
          <w:p>
            <w:pPr>
              <w:jc w:val="center"/>
            </w:pPr>
            <w:r>
              <w:rPr>
                <w:rFonts w:hint="eastAsia"/>
              </w:rPr>
              <w:t>采购人</w:t>
            </w:r>
          </w:p>
        </w:tc>
        <w:tc>
          <w:tcPr>
            <w:tcW w:w="4980" w:type="dxa"/>
            <w:vAlign w:val="center"/>
          </w:tcPr>
          <w:p>
            <w:pPr>
              <w:jc w:val="center"/>
              <w:rPr>
                <w:rFonts w:ascii="宋体" w:hAnsi="宋体"/>
              </w:rPr>
            </w:pPr>
            <w:r>
              <w:rPr>
                <w:rFonts w:hint="eastAsia" w:ascii="宋体" w:hAnsi="宋体"/>
              </w:rPr>
              <w:t>深圳市龙华区教育局</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54"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.2</w:t>
            </w:r>
          </w:p>
        </w:tc>
        <w:tc>
          <w:tcPr>
            <w:tcW w:w="2409" w:type="dxa"/>
            <w:vAlign w:val="center"/>
          </w:tcPr>
          <w:p>
            <w:pPr>
              <w:jc w:val="center"/>
              <w:rPr>
                <w:rFonts w:ascii="宋体" w:hAnsi="宋体"/>
              </w:rPr>
            </w:pPr>
            <w:r>
              <w:rPr>
                <w:rFonts w:hint="eastAsia" w:ascii="宋体" w:hAnsi="宋体"/>
              </w:rPr>
              <w:t>政府集中采购机构</w:t>
            </w:r>
          </w:p>
        </w:tc>
        <w:tc>
          <w:tcPr>
            <w:tcW w:w="4980" w:type="dxa"/>
            <w:vAlign w:val="center"/>
          </w:tcPr>
          <w:p>
            <w:pPr>
              <w:jc w:val="center"/>
              <w:rPr>
                <w:rFonts w:ascii="宋体" w:hAnsi="宋体"/>
              </w:rPr>
            </w:pPr>
            <w:r>
              <w:rPr>
                <w:rFonts w:hint="eastAsia" w:ascii="宋体" w:hAnsi="宋体" w:eastAsia="宋体" w:cs="宋体"/>
                <w:highlight w:val="none"/>
                <w:lang w:eastAsia="zh-CN"/>
              </w:rPr>
              <w:t>深圳公共资源交易中心</w:t>
            </w:r>
            <w:r>
              <w:rPr>
                <w:rFonts w:hint="eastAsia" w:ascii="宋体" w:hAnsi="宋体" w:eastAsia="宋体" w:cs="宋体"/>
                <w:highlight w:val="none"/>
                <w:lang w:eastAsia="zh-CN"/>
              </w:rPr>
              <w:br w:type="textWrapping"/>
            </w:r>
            <w:r>
              <w:rPr>
                <w:rFonts w:hint="eastAsia" w:ascii="宋体" w:hAnsi="宋体" w:eastAsia="宋体" w:cs="宋体"/>
                <w:highlight w:val="none"/>
                <w:lang w:eastAsia="zh-CN"/>
              </w:rPr>
              <w:t>（深圳交易集团有限公司龙华分公司）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9</w:t>
            </w:r>
          </w:p>
        </w:tc>
        <w:tc>
          <w:tcPr>
            <w:tcW w:w="2409" w:type="dxa"/>
            <w:vAlign w:val="center"/>
          </w:tcPr>
          <w:p>
            <w:pPr>
              <w:jc w:val="center"/>
              <w:rPr>
                <w:rFonts w:ascii="宋体" w:hAnsi="宋体"/>
              </w:rPr>
            </w:pPr>
            <w:r>
              <w:rPr>
                <w:rFonts w:hint="eastAsia" w:ascii="宋体" w:hAnsi="宋体"/>
              </w:rPr>
              <w:t>踏勘现场</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1</w:t>
            </w:r>
            <w:r>
              <w:rPr>
                <w:rFonts w:ascii="宋体" w:hAnsi="宋体"/>
              </w:rPr>
              <w:t>0</w:t>
            </w:r>
          </w:p>
        </w:tc>
        <w:tc>
          <w:tcPr>
            <w:tcW w:w="2409" w:type="dxa"/>
            <w:vAlign w:val="center"/>
          </w:tcPr>
          <w:p>
            <w:pPr>
              <w:jc w:val="center"/>
              <w:rPr>
                <w:rFonts w:ascii="宋体" w:hAnsi="宋体"/>
              </w:rPr>
            </w:pPr>
            <w:r>
              <w:rPr>
                <w:rFonts w:hint="eastAsia" w:ascii="宋体" w:hAnsi="宋体"/>
              </w:rPr>
              <w:t>标前会议</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pPr>
              <w:jc w:val="center"/>
              <w:rPr>
                <w:rFonts w:ascii="宋体" w:hAnsi="宋体"/>
              </w:rPr>
            </w:pPr>
            <w:r>
              <w:rPr>
                <w:rFonts w:hint="eastAsia" w:ascii="宋体" w:hAnsi="宋体"/>
              </w:rPr>
              <w:t>招标文件的澄清和修改</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不晚于投标截止日三日前，投标人有义务在招标期间在政府集中采购机构网站浏览与本项目有关的澄清和修改信息。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0</w:t>
            </w:r>
          </w:p>
        </w:tc>
        <w:tc>
          <w:tcPr>
            <w:tcW w:w="2409" w:type="dxa"/>
            <w:vAlign w:val="center"/>
          </w:tcPr>
          <w:p>
            <w:pPr>
              <w:jc w:val="center"/>
              <w:rPr>
                <w:rFonts w:ascii="宋体" w:hAnsi="宋体"/>
              </w:rPr>
            </w:pPr>
            <w:r>
              <w:rPr>
                <w:rFonts w:hint="eastAsia" w:ascii="宋体" w:hAnsi="宋体"/>
              </w:rPr>
              <w:t>投标有效期</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color w:val="auto"/>
                <w:highlight w:val="none"/>
                <w:u w:val="single"/>
              </w:rPr>
              <w:t>120日历天</w:t>
            </w:r>
            <w:r>
              <w:rPr>
                <w:rFonts w:hint="eastAsia" w:ascii="宋体" w:hAnsi="宋体" w:eastAsia="宋体" w:cs="宋体"/>
                <w:color w:val="auto"/>
                <w:highlight w:val="none"/>
              </w:rPr>
              <w:t>（从投标截止之日算起）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2</w:t>
            </w:r>
          </w:p>
        </w:tc>
        <w:tc>
          <w:tcPr>
            <w:tcW w:w="2409" w:type="dxa"/>
            <w:vAlign w:val="center"/>
          </w:tcPr>
          <w:p>
            <w:pPr>
              <w:jc w:val="center"/>
              <w:rPr>
                <w:rFonts w:ascii="宋体" w:hAnsi="宋体"/>
              </w:rPr>
            </w:pPr>
            <w:r>
              <w:rPr>
                <w:rFonts w:hint="eastAsia" w:ascii="宋体" w:hAnsi="宋体"/>
              </w:rPr>
              <w:t>投标人的替代方案</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5</w:t>
            </w:r>
          </w:p>
        </w:tc>
        <w:tc>
          <w:tcPr>
            <w:tcW w:w="2409" w:type="dxa"/>
            <w:vAlign w:val="center"/>
          </w:tcPr>
          <w:p>
            <w:pPr>
              <w:jc w:val="center"/>
              <w:rPr>
                <w:rFonts w:ascii="宋体" w:hAnsi="宋体"/>
              </w:rPr>
            </w:pPr>
            <w:r>
              <w:rPr>
                <w:rFonts w:hint="eastAsia" w:ascii="宋体" w:hAnsi="宋体"/>
              </w:rPr>
              <w:t>投标文件的大小</w:t>
            </w:r>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投标文件大小不得超过</w:t>
            </w:r>
            <w:r>
              <w:rPr>
                <w:rFonts w:hint="eastAsia" w:ascii="宋体" w:hAnsi="宋体" w:eastAsia="宋体" w:cs="宋体"/>
                <w:highlight w:val="none"/>
                <w:lang w:val="en-US" w:eastAsia="zh-CN"/>
              </w:rPr>
              <w:t>250</w:t>
            </w:r>
            <w:r>
              <w:rPr>
                <w:rFonts w:hint="eastAsia" w:ascii="宋体" w:hAnsi="宋体" w:eastAsia="宋体" w:cs="宋体"/>
                <w:highlight w:val="none"/>
                <w:lang w:eastAsia="zh-CN"/>
              </w:rPr>
              <w:t>MB</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2</w:t>
            </w:r>
            <w:r>
              <w:rPr>
                <w:rFonts w:ascii="宋体" w:hAnsi="宋体"/>
              </w:rPr>
              <w:t>6</w:t>
            </w:r>
          </w:p>
        </w:tc>
        <w:tc>
          <w:tcPr>
            <w:tcW w:w="2409" w:type="dxa"/>
            <w:vAlign w:val="center"/>
          </w:tcPr>
          <w:p>
            <w:pPr>
              <w:jc w:val="center"/>
              <w:rPr>
                <w:rFonts w:ascii="宋体" w:hAnsi="宋体"/>
              </w:rPr>
            </w:pPr>
            <w:bookmarkStart w:id="28" w:name="_Hlk71664860"/>
            <w:r>
              <w:rPr>
                <w:rFonts w:hint="eastAsia" w:ascii="宋体" w:hAnsi="宋体"/>
              </w:rPr>
              <w:t>样品、现场演示、方案讲解</w:t>
            </w:r>
            <w:bookmarkEnd w:id="28"/>
          </w:p>
        </w:tc>
        <w:tc>
          <w:tcPr>
            <w:tcW w:w="4980" w:type="dxa"/>
            <w:vAlign w:val="center"/>
          </w:tcPr>
          <w:p>
            <w:pPr>
              <w:pageBreakBefore w:val="0"/>
              <w:kinsoku/>
              <w:overflowPunct/>
              <w:topLinePunct w:val="0"/>
              <w:autoSpaceDE/>
              <w:autoSpaceDN/>
              <w:bidi w:val="0"/>
              <w:spacing w:beforeAutospacing="0" w:afterAutospacing="0" w:line="360" w:lineRule="auto"/>
              <w:ind w:left="0" w:leftChars="0" w:right="0" w:rightChars="0" w:firstLine="0" w:firstLineChars="0"/>
              <w:jc w:val="center"/>
              <w:rPr>
                <w:rFonts w:ascii="宋体" w:hAnsi="宋体"/>
              </w:rPr>
            </w:pPr>
            <w:r>
              <w:rPr>
                <w:rFonts w:hint="eastAsia" w:ascii="宋体" w:hAnsi="宋体" w:eastAsia="宋体" w:cs="宋体"/>
                <w:highlight w:val="none"/>
                <w:lang w:eastAsia="zh-CN"/>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7</w:t>
            </w:r>
          </w:p>
        </w:tc>
        <w:tc>
          <w:tcPr>
            <w:tcW w:w="2409" w:type="dxa"/>
            <w:vAlign w:val="center"/>
          </w:tcPr>
          <w:p>
            <w:pPr>
              <w:jc w:val="center"/>
              <w:rPr>
                <w:rFonts w:ascii="宋体" w:hAnsi="宋体"/>
              </w:rPr>
            </w:pPr>
            <w:r>
              <w:rPr>
                <w:rFonts w:hint="eastAsia" w:ascii="宋体" w:hAnsi="宋体"/>
              </w:rPr>
              <w:t>评审方法</w:t>
            </w:r>
          </w:p>
        </w:tc>
        <w:tc>
          <w:tcPr>
            <w:tcW w:w="4980" w:type="dxa"/>
            <w:vAlign w:val="center"/>
          </w:tcPr>
          <w:p>
            <w:pPr>
              <w:spacing w:line="360" w:lineRule="auto"/>
              <w:jc w:val="center"/>
              <w:rPr>
                <w:rFonts w:ascii="宋体" w:hAnsi="宋体"/>
              </w:rPr>
            </w:pPr>
            <w:r>
              <w:rPr>
                <w:rFonts w:hint="eastAsia" w:ascii="宋体" w:hAnsi="宋体" w:cs="宋体"/>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3</w:t>
            </w:r>
            <w:r>
              <w:rPr>
                <w:rFonts w:ascii="宋体" w:hAnsi="宋体"/>
              </w:rPr>
              <w:t>8</w:t>
            </w:r>
          </w:p>
        </w:tc>
        <w:tc>
          <w:tcPr>
            <w:tcW w:w="2409" w:type="dxa"/>
            <w:vAlign w:val="center"/>
          </w:tcPr>
          <w:p>
            <w:pPr>
              <w:jc w:val="center"/>
              <w:rPr>
                <w:rFonts w:ascii="宋体" w:hAnsi="宋体"/>
              </w:rPr>
            </w:pPr>
            <w:r>
              <w:rPr>
                <w:rFonts w:hint="eastAsia" w:ascii="宋体" w:hAnsi="宋体"/>
              </w:rPr>
              <w:t>定标方法</w:t>
            </w:r>
          </w:p>
        </w:tc>
        <w:tc>
          <w:tcPr>
            <w:tcW w:w="4980" w:type="dxa"/>
            <w:vAlign w:val="center"/>
          </w:tcPr>
          <w:p>
            <w:pPr>
              <w:spacing w:line="360" w:lineRule="auto"/>
              <w:jc w:val="center"/>
              <w:rPr>
                <w:rFonts w:ascii="宋体" w:hAnsi="宋体"/>
              </w:rPr>
            </w:pPr>
            <w:r>
              <w:rPr>
                <w:rFonts w:hint="eastAsia" w:ascii="宋体" w:hAnsi="宋体" w:cs="宋体"/>
              </w:rPr>
              <w:t>非评定分离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pPr>
              <w:jc w:val="center"/>
              <w:rPr>
                <w:rFonts w:ascii="宋体" w:hAnsi="宋体"/>
              </w:rPr>
            </w:pPr>
            <w:r>
              <w:rPr>
                <w:rFonts w:hint="eastAsia" w:ascii="宋体" w:hAnsi="宋体"/>
              </w:rPr>
              <w:t>4</w:t>
            </w:r>
            <w:r>
              <w:rPr>
                <w:rFonts w:ascii="宋体" w:hAnsi="宋体"/>
              </w:rPr>
              <w:t>6</w:t>
            </w:r>
          </w:p>
        </w:tc>
        <w:tc>
          <w:tcPr>
            <w:tcW w:w="2409" w:type="dxa"/>
            <w:vAlign w:val="center"/>
          </w:tcPr>
          <w:p>
            <w:pPr>
              <w:jc w:val="center"/>
              <w:rPr>
                <w:rFonts w:ascii="宋体" w:hAnsi="宋体"/>
              </w:rPr>
            </w:pPr>
            <w:r>
              <w:rPr>
                <w:rFonts w:hint="eastAsia" w:ascii="宋体" w:hAnsi="宋体"/>
              </w:rPr>
              <w:t>履约担保</w:t>
            </w:r>
          </w:p>
        </w:tc>
        <w:tc>
          <w:tcPr>
            <w:tcW w:w="4980" w:type="dxa"/>
            <w:vAlign w:val="center"/>
          </w:tcPr>
          <w:p>
            <w:pPr>
              <w:spacing w:line="360" w:lineRule="auto"/>
              <w:jc w:val="center"/>
              <w:rPr>
                <w:rFonts w:ascii="宋体" w:hAnsi="宋体"/>
              </w:rPr>
            </w:pPr>
            <w:r>
              <w:rPr>
                <w:rFonts w:hint="eastAsia" w:ascii="宋体" w:hAnsi="宋体" w:eastAsia="宋体" w:cs="宋体"/>
                <w:highlight w:val="none"/>
                <w:lang w:eastAsia="zh-CN"/>
              </w:rPr>
              <w:t>不需要</w:t>
            </w:r>
          </w:p>
        </w:tc>
      </w:tr>
    </w:tbl>
    <w:p>
      <w:pPr>
        <w:rPr>
          <w:b/>
        </w:rPr>
      </w:pPr>
      <w:r>
        <w:rPr>
          <w:rFonts w:hint="eastAsia"/>
          <w:szCs w:val="21"/>
        </w:rPr>
        <w:t>备注：本表是通用条款相关条款的补充和明确，如与通用条款内容相冲突的，以本表为准。</w:t>
      </w:r>
    </w:p>
    <w:p>
      <w:pPr>
        <w:rPr>
          <w:b/>
        </w:rPr>
      </w:pPr>
    </w:p>
    <w:p>
      <w:pPr>
        <w:pStyle w:val="4"/>
        <w:spacing w:before="120" w:beforeLines="50" w:after="120" w:afterLines="50"/>
        <w:outlineLvl w:val="2"/>
        <w:rPr>
          <w:szCs w:val="24"/>
        </w:rPr>
      </w:pPr>
      <w:r>
        <w:rPr>
          <w:rFonts w:hint="eastAsia"/>
          <w:szCs w:val="24"/>
        </w:rPr>
        <w:t>二、其他关键信息</w:t>
      </w:r>
    </w:p>
    <w:p>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3"/>
        <w:rPr>
          <w:b/>
          <w:bCs/>
        </w:rPr>
      </w:pPr>
      <w:r>
        <w:rPr>
          <w:rFonts w:hint="eastAsia"/>
          <w:b/>
          <w:bCs/>
        </w:rPr>
        <w:t>（一）与“对通用条款的补充内容”章节相关的事项</w:t>
      </w:r>
    </w:p>
    <w:p>
      <w:pPr>
        <w:spacing w:line="276" w:lineRule="auto"/>
        <w:ind w:firstLine="422" w:firstLineChars="200"/>
        <w:jc w:val="left"/>
        <w:rPr>
          <w:rFonts w:asciiTheme="minorEastAsia" w:hAnsiTheme="minorEastAsia" w:eastAsiaTheme="minorEastAsia"/>
          <w:b/>
          <w:kern w:val="0"/>
          <w:szCs w:val="20"/>
        </w:rPr>
      </w:pPr>
      <w:bookmarkStart w:id="29" w:name="_Hlk72579465"/>
      <w:r>
        <w:rPr>
          <w:rFonts w:hint="eastAsia" w:asciiTheme="minorEastAsia" w:hAnsiTheme="minorEastAsia" w:eastAsiaTheme="minorEastAsia"/>
          <w:b/>
          <w:kern w:val="0"/>
          <w:szCs w:val="20"/>
        </w:rPr>
        <w:t>1、评标定标信息</w:t>
      </w:r>
    </w:p>
    <w:p>
      <w:pPr>
        <w:jc w:val="center"/>
      </w:pPr>
      <w:r>
        <w:rPr>
          <w:rFonts w:hint="eastAsia"/>
          <w:b/>
        </w:rPr>
        <w:t>非评定分离项目</w:t>
      </w:r>
    </w:p>
    <w:tbl>
      <w:tblPr>
        <w:tblStyle w:val="43"/>
        <w:tblW w:w="8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8"/>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8" w:type="dxa"/>
          </w:tcPr>
          <w:p>
            <w:pPr>
              <w:jc w:val="center"/>
            </w:pPr>
            <w:r>
              <w:rPr>
                <w:rFonts w:hint="eastAsia"/>
              </w:rPr>
              <w:t>评标方法</w:t>
            </w:r>
          </w:p>
        </w:tc>
        <w:tc>
          <w:tcPr>
            <w:tcW w:w="4264" w:type="dxa"/>
          </w:tcPr>
          <w:p>
            <w:pPr>
              <w:jc w:val="center"/>
              <w:rPr>
                <w:rFonts w:hint="default" w:eastAsia="宋体"/>
                <w:lang w:val="en-US" w:eastAsia="zh-CN"/>
              </w:rPr>
            </w:pPr>
            <w:r>
              <w:rPr>
                <w:rFonts w:hint="eastAsia"/>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8" w:type="dxa"/>
          </w:tcPr>
          <w:p>
            <w:pPr>
              <w:jc w:val="center"/>
            </w:pPr>
            <w:r>
              <w:rPr>
                <w:rFonts w:hint="eastAsia"/>
              </w:rPr>
              <w:t>候选中标供应商家数</w:t>
            </w:r>
          </w:p>
        </w:tc>
        <w:tc>
          <w:tcPr>
            <w:tcW w:w="4264" w:type="dxa"/>
          </w:tcPr>
          <w:p>
            <w:pPr>
              <w:jc w:val="center"/>
              <w:rPr>
                <w:rFonts w:hint="default" w:eastAsia="宋体"/>
                <w:lang w:val="en-US" w:eastAsia="zh-CN"/>
              </w:rPr>
            </w:pPr>
            <w:r>
              <w:rPr>
                <w:rFonts w:hint="eastAsia"/>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8" w:type="dxa"/>
          </w:tcPr>
          <w:p>
            <w:pPr>
              <w:jc w:val="center"/>
            </w:pPr>
            <w:r>
              <w:rPr>
                <w:rFonts w:hint="eastAsia"/>
              </w:rPr>
              <w:t>中标供应商家数</w:t>
            </w:r>
          </w:p>
        </w:tc>
        <w:tc>
          <w:tcPr>
            <w:tcW w:w="4264" w:type="dxa"/>
          </w:tcPr>
          <w:p>
            <w:pPr>
              <w:jc w:val="center"/>
            </w:pPr>
            <w:r>
              <w:rPr>
                <w:rFonts w:hint="eastAsia"/>
              </w:rPr>
              <w:t>1</w:t>
            </w:r>
          </w:p>
        </w:tc>
      </w:tr>
      <w:bookmarkEnd w:id="29"/>
    </w:tbl>
    <w:p>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3"/>
        <w:rPr>
          <w:rFonts w:hint="eastAsia" w:ascii="宋体" w:hAnsi="宋体" w:eastAsia="宋体" w:cs="宋体"/>
          <w:b/>
          <w:lang w:val="en-US" w:eastAsia="zh-CN"/>
        </w:rPr>
      </w:pPr>
      <w:r>
        <w:rPr>
          <w:rFonts w:hint="eastAsia" w:ascii="宋体" w:hAnsi="宋体" w:eastAsia="宋体" w:cs="宋体"/>
          <w:b/>
        </w:rPr>
        <w:t>（二）</w:t>
      </w:r>
      <w:r>
        <w:rPr>
          <w:rFonts w:hint="eastAsia" w:ascii="宋体" w:hAnsi="宋体" w:eastAsia="宋体" w:cs="宋体"/>
          <w:b/>
          <w:lang w:val="en-US" w:eastAsia="zh-CN"/>
        </w:rPr>
        <w:t>政府采购政策的有关事项说明</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lang w:val="en-US" w:eastAsia="zh-CN"/>
        </w:rPr>
      </w:pPr>
      <w:r>
        <w:rPr>
          <w:rFonts w:hint="eastAsia" w:ascii="宋体" w:hAnsi="宋体" w:eastAsia="宋体" w:cs="宋体"/>
          <w:b/>
          <w:bCs/>
        </w:rPr>
        <w:t>1、</w:t>
      </w:r>
      <w:r>
        <w:rPr>
          <w:rFonts w:hint="eastAsia" w:ascii="宋体" w:hAnsi="宋体" w:eastAsia="宋体" w:cs="宋体"/>
          <w:b/>
          <w:bCs/>
          <w:lang w:val="en-US" w:eastAsia="zh-CN"/>
        </w:rPr>
        <w:t>关于享受中小企业扶持</w:t>
      </w:r>
      <w:r>
        <w:rPr>
          <w:rFonts w:hint="eastAsia" w:ascii="宋体" w:hAnsi="宋体" w:eastAsia="宋体" w:cs="宋体"/>
          <w:b/>
          <w:bCs/>
        </w:rPr>
        <w:t>政策的主体</w:t>
      </w:r>
      <w:r>
        <w:rPr>
          <w:rFonts w:hint="eastAsia" w:ascii="宋体" w:hAnsi="宋体" w:eastAsia="宋体" w:cs="宋体"/>
          <w:b/>
          <w:bCs/>
          <w:lang w:eastAsia="zh-CN"/>
        </w:rPr>
        <w:t>、</w:t>
      </w:r>
      <w:r>
        <w:rPr>
          <w:rFonts w:hint="eastAsia" w:ascii="宋体" w:hAnsi="宋体" w:eastAsia="宋体" w:cs="宋体"/>
          <w:b/>
          <w:bCs/>
        </w:rPr>
        <w:t>价格扣除比例</w:t>
      </w:r>
      <w:r>
        <w:rPr>
          <w:rFonts w:hint="eastAsia" w:ascii="宋体" w:hAnsi="宋体" w:eastAsia="宋体" w:cs="宋体"/>
          <w:b/>
          <w:bCs/>
          <w:lang w:val="en-US" w:eastAsia="zh-CN"/>
        </w:rPr>
        <w:t>及采购标的所属行业等事项的说明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lang w:val="en-US" w:eastAsia="zh-CN"/>
        </w:rPr>
        <w:t>适用主体：中型企业、小型、微型企业（</w:t>
      </w:r>
      <w:r>
        <w:rPr>
          <w:rFonts w:hint="eastAsia" w:ascii="宋体" w:hAnsi="宋体" w:eastAsia="宋体" w:cs="宋体"/>
          <w:i w:val="0"/>
          <w:iCs w:val="0"/>
          <w:caps w:val="0"/>
          <w:spacing w:val="0"/>
          <w:sz w:val="21"/>
          <w:szCs w:val="24"/>
          <w:shd w:val="clear"/>
        </w:rPr>
        <w:t>残疾人福利性单位视同小型、微型企业</w:t>
      </w:r>
      <w:r>
        <w:rPr>
          <w:rFonts w:hint="eastAsia" w:ascii="宋体" w:hAnsi="宋体" w:eastAsia="宋体" w:cs="宋体"/>
          <w:i w:val="0"/>
          <w:iCs w:val="0"/>
          <w:caps w:val="0"/>
          <w:spacing w:val="0"/>
          <w:sz w:val="21"/>
          <w:szCs w:val="24"/>
          <w:shd w:val="clear"/>
          <w:lang w:eastAsia="zh-CN"/>
        </w:rPr>
        <w:t>；</w:t>
      </w:r>
      <w:r>
        <w:rPr>
          <w:rFonts w:hint="eastAsia" w:ascii="宋体" w:hAnsi="宋体" w:eastAsia="宋体" w:cs="宋体"/>
          <w:i w:val="0"/>
          <w:iCs w:val="0"/>
          <w:caps w:val="0"/>
          <w:spacing w:val="0"/>
          <w:sz w:val="21"/>
          <w:szCs w:val="24"/>
          <w:shd w:val="clear"/>
        </w:rPr>
        <w:t>监狱企业视同小型、微型企业</w:t>
      </w:r>
      <w:r>
        <w:rPr>
          <w:rFonts w:hint="eastAsia" w:ascii="宋体" w:hAnsi="宋体" w:eastAsia="宋体" w:cs="宋体"/>
          <w:lang w:val="en-US" w:eastAsia="zh-CN"/>
        </w:rPr>
        <w:t>）。接受联合体的项目，供应商以联合体形式参加政府采购活动，联合体各方均为中小企业的，联合体视同中小企业。其中，联合体各方均为小微企业的，联合体视同小微企业。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lang w:val="en-US" w:eastAsia="zh-CN"/>
        </w:rPr>
        <w:t>备注：</w:t>
      </w:r>
      <w:r>
        <w:rPr>
          <w:rFonts w:hint="eastAsia" w:ascii="宋体" w:hAnsi="宋体" w:eastAsia="宋体" w:cs="宋体"/>
        </w:rPr>
        <w:t>(</w:t>
      </w:r>
      <w:r>
        <w:rPr>
          <w:rFonts w:hint="eastAsia" w:ascii="宋体" w:hAnsi="宋体" w:eastAsia="宋体" w:cs="宋体"/>
          <w:lang w:val="en-US" w:eastAsia="zh-CN"/>
        </w:rPr>
        <w:t>a</w:t>
      </w:r>
      <w:r>
        <w:rPr>
          <w:rFonts w:hint="eastAsia" w:ascii="宋体" w:hAnsi="宋体" w:eastAsia="宋体" w:cs="宋体"/>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w:t>
      </w:r>
      <w:r>
        <w:rPr>
          <w:rFonts w:hint="eastAsia" w:ascii="宋体" w:hAnsi="宋体" w:eastAsia="宋体" w:cs="宋体"/>
          <w:lang w:eastAsia="zh-CN"/>
        </w:rPr>
        <w:t>）</w:t>
      </w:r>
      <w:r>
        <w:rPr>
          <w:rFonts w:hint="eastAsia" w:ascii="宋体" w:hAnsi="宋体" w:eastAsia="宋体" w:cs="宋体"/>
          <w:sz w:val="21"/>
          <w:szCs w:val="22"/>
        </w:rPr>
        <w:t>在货物采购项目中，货物由中小企业制造，即货物由中小企业生产且使用该中小企业商号或者注册商标</w:t>
      </w:r>
      <w:r>
        <w:rPr>
          <w:rFonts w:hint="eastAsia" w:ascii="宋体" w:hAnsi="宋体" w:eastAsia="宋体" w:cs="宋体"/>
          <w:sz w:val="21"/>
          <w:szCs w:val="22"/>
          <w:lang w:eastAsia="zh-CN"/>
        </w:rPr>
        <w:t>（</w:t>
      </w:r>
      <w:r>
        <w:rPr>
          <w:rFonts w:hint="eastAsia" w:ascii="宋体" w:hAnsi="宋体" w:eastAsia="宋体" w:cs="宋体"/>
          <w:sz w:val="21"/>
          <w:szCs w:val="22"/>
          <w:lang w:val="en-US" w:eastAsia="zh-CN"/>
        </w:rPr>
        <w:t>供应商提供的货物既有中小企业制造货物，也有大型企业制造货物的，不享受中小企业扶持政策）</w:t>
      </w:r>
      <w:r>
        <w:rPr>
          <w:rFonts w:hint="eastAsia" w:ascii="宋体" w:hAnsi="宋体" w:eastAsia="宋体" w:cs="宋体"/>
          <w:sz w:val="21"/>
          <w:szCs w:val="22"/>
        </w:rPr>
        <w:t>；在工程采购项目中，工程由中小企业承建，即工程施工单位为中小企业</w:t>
      </w:r>
      <w:r>
        <w:rPr>
          <w:rFonts w:hint="eastAsia" w:ascii="宋体" w:hAnsi="宋体" w:eastAsia="宋体" w:cs="宋体"/>
          <w:sz w:val="21"/>
          <w:szCs w:val="22"/>
          <w:lang w:eastAsia="zh-CN"/>
        </w:rPr>
        <w:t>；</w:t>
      </w:r>
      <w:r>
        <w:rPr>
          <w:rFonts w:hint="eastAsia" w:ascii="宋体" w:hAnsi="宋体" w:eastAsia="宋体" w:cs="宋体"/>
          <w:sz w:val="21"/>
          <w:szCs w:val="22"/>
          <w:lang w:val="en-US" w:eastAsia="zh-CN"/>
        </w:rPr>
        <w:t>在服务采购项目中，服务由中小企业承接，即提供服务的人员为中小企业依照《中华人民共和国劳动合同法》订立劳动合同的从业人员。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lang w:val="en-US" w:eastAsia="zh-CN"/>
        </w:rPr>
        <w:t>预留份额专门面向中小企业采购的项目，不再执行价格扣除比例。</w:t>
      </w:r>
    </w:p>
    <w:p>
      <w:pPr>
        <w:ind w:firstLine="630" w:firstLineChars="300"/>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）未预留份额</w:t>
      </w:r>
      <w:r>
        <w:rPr>
          <w:rFonts w:hint="eastAsia" w:ascii="宋体" w:hAnsi="宋体" w:eastAsia="宋体" w:cs="宋体"/>
          <w:lang w:val="en-US" w:eastAsia="zh-CN"/>
        </w:rPr>
        <w:t>专门面向中小企业采购的项目，应执行价格扣除比例：供应商</w:t>
      </w:r>
      <w:r>
        <w:rPr>
          <w:rFonts w:hint="eastAsia" w:ascii="宋体" w:hAnsi="宋体" w:eastAsia="宋体" w:cs="宋体"/>
        </w:rPr>
        <w:t>提供的服务</w:t>
      </w:r>
      <w:r>
        <w:rPr>
          <w:rFonts w:hint="eastAsia" w:ascii="宋体" w:hAnsi="宋体" w:eastAsia="宋体" w:cs="宋体"/>
          <w:b/>
          <w:bCs/>
          <w:color w:val="FF0000"/>
        </w:rPr>
        <w:t>全部由</w:t>
      </w:r>
      <w:r>
        <w:rPr>
          <w:rFonts w:hint="eastAsia" w:ascii="宋体" w:hAnsi="宋体" w:eastAsia="宋体" w:cs="宋体"/>
          <w:b/>
          <w:bCs/>
          <w:color w:val="FF0000"/>
          <w:lang w:val="en-US" w:eastAsia="zh-CN"/>
        </w:rPr>
        <w:t>小型、微型企业</w:t>
      </w:r>
      <w:r>
        <w:rPr>
          <w:rFonts w:hint="eastAsia" w:ascii="宋体" w:hAnsi="宋体" w:eastAsia="宋体" w:cs="宋体"/>
          <w:b/>
          <w:bCs/>
          <w:color w:val="FF0000"/>
        </w:rPr>
        <w:t>承接</w:t>
      </w:r>
      <w:r>
        <w:rPr>
          <w:rFonts w:hint="eastAsia" w:ascii="宋体" w:hAnsi="宋体" w:eastAsia="宋体" w:cs="宋体"/>
        </w:rPr>
        <w:t>，则对其投标总价给予</w:t>
      </w:r>
      <w:r>
        <w:rPr>
          <w:rFonts w:hint="eastAsia" w:ascii="宋体" w:hAnsi="宋体" w:cs="宋体"/>
          <w:b/>
          <w:bCs/>
          <w:color w:val="FF0000"/>
          <w:u w:val="single"/>
          <w:lang w:val="en-US" w:eastAsia="zh-CN"/>
        </w:rPr>
        <w:t>10</w:t>
      </w:r>
      <w:r>
        <w:rPr>
          <w:rFonts w:hint="eastAsia" w:ascii="宋体" w:hAnsi="宋体" w:eastAsia="宋体" w:cs="宋体"/>
          <w:b/>
          <w:bCs/>
          <w:color w:val="FF0000"/>
          <w:u w:val="none"/>
        </w:rPr>
        <w:t>%</w:t>
      </w:r>
      <w:r>
        <w:rPr>
          <w:rFonts w:hint="eastAsia" w:ascii="宋体" w:hAnsi="宋体" w:eastAsia="宋体" w:cs="宋体"/>
        </w:rPr>
        <w:t>的扣除，用扣除后的价格参与评审</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w:t>
      </w:r>
      <w:r>
        <w:rPr>
          <w:rFonts w:hint="eastAsia" w:ascii="宋体" w:hAnsi="宋体" w:eastAsia="宋体" w:cs="宋体"/>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宋体" w:hAnsi="宋体" w:eastAsia="宋体" w:cs="宋体"/>
          <w:b/>
          <w:bCs/>
          <w:color w:val="FF0000"/>
          <w:sz w:val="21"/>
          <w:szCs w:val="21"/>
        </w:rPr>
        <w:t>《中小企业声明函》中相关企业</w:t>
      </w:r>
      <w:r>
        <w:rPr>
          <w:rFonts w:hint="eastAsia" w:ascii="宋体" w:hAnsi="宋体" w:eastAsia="宋体" w:cs="宋体"/>
          <w:b/>
          <w:bCs/>
          <w:color w:val="FF0000"/>
          <w:sz w:val="21"/>
          <w:szCs w:val="21"/>
          <w:lang w:eastAsia="zh-CN"/>
        </w:rPr>
        <w:t>（服务承接商）</w:t>
      </w:r>
      <w:r>
        <w:rPr>
          <w:rFonts w:hint="eastAsia" w:ascii="宋体" w:hAnsi="宋体" w:eastAsia="宋体" w:cs="宋体"/>
          <w:b/>
          <w:bCs/>
          <w:color w:val="FF0000"/>
          <w:sz w:val="21"/>
          <w:szCs w:val="21"/>
        </w:rPr>
        <w:t>所属行业应当与采购标的所属行业相一致</w:t>
      </w:r>
      <w:r>
        <w:rPr>
          <w:rFonts w:hint="eastAsia" w:ascii="宋体" w:hAnsi="宋体" w:eastAsia="宋体" w:cs="宋体"/>
          <w:b/>
          <w:bCs/>
          <w:color w:val="FF0000"/>
          <w:lang w:eastAsia="zh-CN"/>
        </w:rPr>
        <w:t>，</w:t>
      </w:r>
      <w:r>
        <w:rPr>
          <w:rFonts w:hint="eastAsia" w:ascii="宋体" w:hAnsi="宋体" w:eastAsia="宋体" w:cs="宋体"/>
          <w:b/>
          <w:bCs/>
          <w:color w:val="FF0000"/>
        </w:rPr>
        <w:t>标的所属行业</w:t>
      </w:r>
      <w:r>
        <w:rPr>
          <w:rFonts w:hint="eastAsia" w:ascii="宋体" w:hAnsi="宋体" w:eastAsia="宋体" w:cs="宋体"/>
          <w:b/>
          <w:bCs/>
          <w:color w:val="FF0000"/>
          <w:lang w:val="en-US" w:eastAsia="zh-CN"/>
        </w:rPr>
        <w:t>以招标文件第一册第三章用户需求书“服务需求明细”的“标的所属行业”一栏为准</w:t>
      </w:r>
      <w:r>
        <w:rPr>
          <w:rFonts w:hint="eastAsia" w:ascii="宋体" w:hAnsi="宋体" w:eastAsia="宋体" w:cs="宋体"/>
          <w:b/>
          <w:bCs/>
          <w:color w:val="FF0000"/>
          <w:sz w:val="21"/>
          <w:szCs w:val="21"/>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中型企业、</w:t>
      </w:r>
      <w:r>
        <w:rPr>
          <w:rFonts w:hint="eastAsia" w:ascii="宋体" w:hAnsi="宋体" w:eastAsia="宋体" w:cs="宋体"/>
          <w:sz w:val="21"/>
          <w:szCs w:val="21"/>
        </w:rPr>
        <w:t>小型、微型企业为优惠主体的认定资料为《中小企业声明函》</w:t>
      </w:r>
      <w:r>
        <w:rPr>
          <w:rFonts w:hint="eastAsia" w:ascii="宋体" w:hAnsi="宋体" w:eastAsia="宋体" w:cs="宋体"/>
          <w:sz w:val="21"/>
          <w:szCs w:val="21"/>
          <w:lang w:eastAsia="zh-CN"/>
        </w:rPr>
        <w:t>；</w:t>
      </w:r>
      <w:r>
        <w:rPr>
          <w:rFonts w:hint="eastAsia" w:ascii="宋体" w:hAnsi="宋体" w:eastAsia="宋体" w:cs="宋体"/>
          <w:sz w:val="21"/>
          <w:szCs w:val="21"/>
        </w:rPr>
        <w:t>残疾人福利性单位为优惠主体的认定资料为《残疾人福利性单</w:t>
      </w:r>
      <w:r>
        <w:rPr>
          <w:rFonts w:hint="eastAsia" w:ascii="宋体" w:hAnsi="宋体" w:eastAsia="宋体" w:cs="宋体"/>
        </w:rPr>
        <w:t>位声明函》；监狱企业为优惠主体的认定资料为省级以上监狱管理局、戒毒管理局出具的监狱企业证明文件。声明函样式见本招标文件第一册专用条款第三章“投标文件格式、附件”中“四、投标人情况及资格证明文件”章节提供的格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sz w:val="21"/>
          <w:szCs w:val="21"/>
        </w:rPr>
        <w:t>政府采购促进中小企业发展管理办法</w:t>
      </w:r>
      <w:r>
        <w:rPr>
          <w:rFonts w:hint="eastAsia" w:ascii="宋体" w:hAnsi="宋体" w:eastAsia="宋体" w:cs="宋体"/>
          <w:sz w:val="21"/>
          <w:szCs w:val="21"/>
          <w:lang w:eastAsia="zh-CN"/>
        </w:rPr>
        <w:t>》</w:t>
      </w:r>
      <w:r>
        <w:rPr>
          <w:rFonts w:hint="eastAsia" w:ascii="宋体" w:hAnsi="宋体" w:eastAsia="宋体" w:cs="宋体"/>
        </w:rPr>
        <w:t>规定享受扶持政策获得政府采购合同的，小微企业不得将合同分包给大中型企业，中型企业不得将合同分包给大型企业</w:t>
      </w:r>
      <w:r>
        <w:rPr>
          <w:rFonts w:hint="eastAsia" w:ascii="宋体" w:hAnsi="宋体" w:eastAsia="宋体" w:cs="宋体"/>
          <w:lang w:eastAsia="zh-CN"/>
        </w:rPr>
        <w:t>。</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FF0000"/>
          <w:highlight w:val="yellow"/>
          <w:lang w:val="en-US" w:eastAsia="zh-CN"/>
        </w:rPr>
      </w:pPr>
      <w:r>
        <w:rPr>
          <w:rFonts w:hint="eastAsia" w:ascii="宋体" w:hAnsi="宋体" w:eastAsia="宋体" w:cs="宋体"/>
          <w:b/>
          <w:bCs/>
          <w:lang w:val="en-US" w:eastAsia="zh-CN"/>
        </w:rPr>
        <w:t>2</w:t>
      </w:r>
      <w:r>
        <w:rPr>
          <w:rFonts w:hint="eastAsia" w:ascii="宋体" w:hAnsi="宋体" w:eastAsia="宋体" w:cs="宋体"/>
          <w:b/>
          <w:bCs/>
        </w:rPr>
        <w:t>、</w:t>
      </w:r>
      <w:r>
        <w:rPr>
          <w:rFonts w:hint="eastAsia" w:ascii="宋体" w:hAnsi="宋体" w:eastAsia="宋体" w:cs="宋体"/>
          <w:b/>
          <w:bCs/>
          <w:lang w:val="en-US" w:eastAsia="zh-CN"/>
        </w:rPr>
        <w:t>关于享受对本国产品的政府采购支持政策</w:t>
      </w:r>
      <w:r>
        <w:rPr>
          <w:rFonts w:hint="eastAsia" w:ascii="宋体" w:hAnsi="宋体" w:eastAsia="宋体" w:cs="宋体"/>
          <w:b/>
          <w:bCs/>
        </w:rPr>
        <w:t>的主体</w:t>
      </w:r>
      <w:r>
        <w:rPr>
          <w:rFonts w:hint="eastAsia" w:ascii="宋体" w:hAnsi="宋体" w:eastAsia="宋体" w:cs="宋体"/>
          <w:b/>
          <w:bCs/>
          <w:lang w:eastAsia="zh-CN"/>
        </w:rPr>
        <w:t>、</w:t>
      </w:r>
      <w:r>
        <w:rPr>
          <w:rFonts w:hint="eastAsia" w:ascii="宋体" w:hAnsi="宋体" w:eastAsia="宋体" w:cs="宋体"/>
          <w:b/>
          <w:bCs/>
        </w:rPr>
        <w:t>价格扣除比例</w:t>
      </w:r>
      <w:r>
        <w:rPr>
          <w:rFonts w:hint="eastAsia" w:ascii="宋体" w:hAnsi="宋体" w:eastAsia="宋体" w:cs="宋体"/>
          <w:b/>
          <w:bCs/>
          <w:lang w:val="en-US" w:eastAsia="zh-CN"/>
        </w:rPr>
        <w:t>等事项的说明</w:t>
      </w:r>
      <w:r>
        <w:rPr>
          <w:rFonts w:hint="eastAsia" w:ascii="宋体" w:hAnsi="宋体" w:cs="宋体"/>
          <w:b/>
          <w:bCs/>
          <w:color w:val="FF0000"/>
          <w:highlight w:val="yellow"/>
          <w:lang w:val="en-US" w:eastAsia="zh-CN"/>
        </w:rPr>
        <w:t>（本项目不适用）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（1）适用主体：国有企业、民营企业、外资企业等各类经营主体平等享受对本国产品的政府采购支持政策。</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（3）价格扣除：政府采购活动中既有本国产品又有非本国产品参与竞争的，依法对本国产品给予价格评审优惠，</w:t>
      </w:r>
      <w:r>
        <w:rPr>
          <w:rFonts w:hint="eastAsia" w:ascii="宋体" w:hAnsi="宋体" w:eastAsia="宋体" w:cs="宋体"/>
          <w:b/>
          <w:bCs/>
          <w:color w:val="FF0000"/>
          <w:kern w:val="2"/>
          <w:sz w:val="21"/>
          <w:szCs w:val="24"/>
          <w:lang w:val="en-US" w:eastAsia="zh-CN" w:bidi="ar-SA"/>
        </w:rPr>
        <w:t>对本国产品的报价给予20%的价格扣除</w:t>
      </w:r>
      <w:r>
        <w:rPr>
          <w:rFonts w:hint="eastAsia" w:ascii="宋体" w:hAnsi="宋体" w:eastAsia="宋体" w:cs="宋体"/>
          <w:b w:val="0"/>
          <w:bCs w:val="0"/>
          <w:color w:val="000000" w:themeColor="text1"/>
          <w:kern w:val="2"/>
          <w:sz w:val="21"/>
          <w:szCs w:val="24"/>
          <w:lang w:val="en-US" w:eastAsia="zh-CN" w:bidi="ar-SA"/>
          <w14:textFill>
            <w14:solidFill>
              <w14:schemeClr w14:val="tx1"/>
            </w14:solidFill>
          </w14:textFill>
        </w:rPr>
        <w:t>，</w:t>
      </w:r>
      <w:r>
        <w:rPr>
          <w:rFonts w:hint="eastAsia" w:ascii="宋体" w:hAnsi="宋体" w:eastAsia="宋体" w:cs="宋体"/>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宋体" w:hAnsi="宋体" w:eastAsia="宋体" w:cs="宋体"/>
          <w:b/>
          <w:bCs/>
          <w:color w:val="FF0000"/>
          <w:kern w:val="2"/>
          <w:sz w:val="21"/>
          <w:szCs w:val="24"/>
          <w:lang w:val="en-US" w:eastAsia="zh-CN" w:bidi="ar-SA"/>
        </w:rPr>
        <w:t>总报价给予20%的价格扣除</w:t>
      </w:r>
      <w:r>
        <w:rPr>
          <w:rFonts w:hint="eastAsia" w:ascii="宋体" w:hAnsi="宋体" w:eastAsia="宋体" w:cs="宋体"/>
          <w:kern w:val="2"/>
          <w:sz w:val="21"/>
          <w:szCs w:val="24"/>
          <w:lang w:val="en-US" w:eastAsia="zh-CN" w:bidi="ar-SA"/>
        </w:rPr>
        <w:t>，用扣除后的价格参与评审。</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kern w:val="2"/>
          <w:sz w:val="21"/>
          <w:szCs w:val="24"/>
          <w:lang w:val="en-US" w:eastAsia="zh-CN" w:bidi="ar-SA"/>
        </w:rPr>
        <w:t>（4）供应商</w:t>
      </w:r>
      <w:r>
        <w:rPr>
          <w:rFonts w:hint="eastAsia" w:ascii="宋体" w:hAnsi="宋体" w:eastAsia="宋体" w:cs="宋体"/>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宋体" w:hAnsi="宋体" w:eastAsia="宋体" w:cs="宋体"/>
          <w:i w:val="0"/>
          <w:iCs w:val="0"/>
          <w:caps w:val="0"/>
          <w:spacing w:val="0"/>
          <w:sz w:val="21"/>
          <w:szCs w:val="24"/>
          <w:shd w:val="clear"/>
          <w:lang w:eastAsia="zh-CN"/>
        </w:rPr>
        <w:t>。</w:t>
      </w:r>
      <w:r>
        <w:rPr>
          <w:rFonts w:hint="eastAsia" w:ascii="宋体" w:hAnsi="宋体" w:eastAsia="宋体" w:cs="宋体"/>
        </w:rPr>
        <w:t>声明函样式见本招标文件第一册专用条款第三章“投标文件格式、附件”中“四、投标人情况及资格证明文件”章节提供的格式）。</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lang w:val="en-US" w:eastAsia="zh-CN"/>
        </w:rPr>
      </w:pPr>
      <w:r>
        <w:rPr>
          <w:rFonts w:hint="eastAsia" w:ascii="宋体" w:hAnsi="宋体" w:eastAsia="宋体" w:cs="宋体"/>
          <w:b/>
          <w:bCs/>
          <w:lang w:val="en-US" w:eastAsia="zh-CN"/>
        </w:rPr>
        <w:t>3</w:t>
      </w:r>
      <w:r>
        <w:rPr>
          <w:rFonts w:hint="eastAsia" w:ascii="宋体" w:hAnsi="宋体" w:eastAsia="宋体" w:cs="宋体"/>
          <w:b/>
          <w:bCs/>
        </w:rPr>
        <w:t>、</w:t>
      </w:r>
      <w:r>
        <w:rPr>
          <w:rFonts w:hint="eastAsia" w:ascii="宋体" w:hAnsi="宋体" w:eastAsia="宋体" w:cs="宋体"/>
          <w:b/>
          <w:bCs/>
          <w:lang w:val="en-US" w:eastAsia="zh-CN"/>
        </w:rPr>
        <w:t>关于同时满足中小企业扶持政策和对本国产品的支持政策的事项说明</w:t>
      </w:r>
      <w:r>
        <w:rPr>
          <w:rFonts w:hint="eastAsia" w:ascii="宋体" w:hAnsi="宋体" w:cs="宋体"/>
          <w:b/>
          <w:bCs/>
          <w:color w:val="FF0000"/>
          <w:highlight w:val="yellow"/>
          <w:lang w:val="en-US" w:eastAsia="zh-CN"/>
        </w:rPr>
        <w:t>（本项目不适用）</w:t>
      </w:r>
    </w:p>
    <w:p>
      <w:pPr>
        <w:pStyle w:val="202"/>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宋体" w:hAnsi="宋体" w:eastAsia="宋体" w:cs="宋体"/>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pPr>
        <w:pStyle w:val="202"/>
        <w:keepNext w:val="0"/>
        <w:keepLines w:val="0"/>
        <w:pageBreakBefore w:val="0"/>
        <w:widowControl w:val="0"/>
        <w:kinsoku/>
        <w:wordWrap/>
        <w:overflowPunct/>
        <w:topLinePunct w:val="0"/>
        <w:autoSpaceDE/>
        <w:autoSpaceDN/>
        <w:bidi w:val="0"/>
        <w:adjustRightInd/>
        <w:snapToGrid/>
        <w:ind w:firstLine="422" w:firstLineChars="200"/>
        <w:textAlignment w:val="auto"/>
        <w:rPr>
          <w:rFonts w:hint="default"/>
          <w:b/>
          <w:bCs/>
          <w:lang w:val="en-US" w:eastAsia="zh-CN"/>
        </w:rPr>
      </w:pPr>
      <w:r>
        <w:rPr>
          <w:rFonts w:hint="eastAsia" w:ascii="宋体" w:hAnsi="宋体" w:eastAsia="宋体" w:cs="宋体"/>
          <w:b/>
          <w:bCs/>
          <w:lang w:val="en-US" w:eastAsia="zh-CN"/>
        </w:rPr>
        <w:t>4、上述支持政策不改变最终中标（成交）价格，政府采购合同仍按照中标（成交）供应商的报价签订。</w:t>
      </w:r>
    </w:p>
    <w:p>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3"/>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pPr>
        <w:ind w:firstLine="422" w:firstLineChars="200"/>
        <w:rPr>
          <w:rFonts w:hint="eastAsia"/>
          <w:b/>
          <w:bCs/>
          <w:lang w:val="en-US" w:eastAsia="zh-CN"/>
        </w:rPr>
      </w:pPr>
      <w:r>
        <w:rPr>
          <w:rFonts w:hint="eastAsia" w:ascii="Times New Roman" w:eastAsia="宋体"/>
          <w:b/>
          <w:bCs/>
          <w:lang w:val="en-US" w:eastAsia="zh-CN"/>
        </w:rPr>
        <w:t>本项目为代理服务项目，将向中标（成交）供应商收取代理服务费。</w:t>
      </w:r>
    </w:p>
    <w:p>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供应商须向深圳公共资源交易中心（深圳交易集团有限公司</w:t>
      </w:r>
      <w:r>
        <w:rPr>
          <w:rFonts w:hint="eastAsia"/>
          <w:lang w:val="en-US" w:eastAsia="zh-CN"/>
        </w:rPr>
        <w:t>龙华</w:t>
      </w:r>
      <w:r>
        <w:rPr>
          <w:rFonts w:hint="eastAsia"/>
        </w:rPr>
        <w:t>分公司）交纳代理服务费</w:t>
      </w:r>
      <w:r>
        <w:rPr>
          <w:rFonts w:hint="eastAsia"/>
          <w:lang w:eastAsia="zh-CN"/>
        </w:rPr>
        <w:t>，代理服务费应在中标（成交)结果公示结束之日的次日起7个工作日内缴纳</w:t>
      </w:r>
      <w:r>
        <w:rPr>
          <w:rFonts w:hint="eastAsia"/>
        </w:rPr>
        <w:t>。若因中标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pPr>
              <w:widowControl/>
              <w:spacing w:line="360" w:lineRule="auto"/>
              <w:jc w:val="center"/>
            </w:pPr>
            <w:r>
              <w:rPr>
                <w:rFonts w:hint="eastAsia"/>
              </w:rPr>
              <w:t>货物采购</w:t>
            </w:r>
          </w:p>
        </w:tc>
        <w:tc>
          <w:tcPr>
            <w:tcW w:w="1799" w:type="dxa"/>
            <w:vAlign w:val="center"/>
          </w:tcPr>
          <w:p>
            <w:pPr>
              <w:widowControl/>
              <w:spacing w:line="360" w:lineRule="auto"/>
              <w:jc w:val="center"/>
            </w:pPr>
            <w:r>
              <w:rPr>
                <w:rFonts w:hint="eastAsia"/>
              </w:rPr>
              <w:t>服务采购</w:t>
            </w:r>
          </w:p>
        </w:tc>
        <w:tc>
          <w:tcPr>
            <w:tcW w:w="1799" w:type="dxa"/>
            <w:vAlign w:val="center"/>
          </w:tcPr>
          <w:p>
            <w:pPr>
              <w:widowControl/>
              <w:spacing w:line="360" w:lineRule="auto"/>
              <w:jc w:val="center"/>
            </w:pPr>
            <w:r>
              <w:rPr>
                <w:rFonts w:hint="eastAsia"/>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100万元以下</w:t>
            </w:r>
          </w:p>
        </w:tc>
        <w:tc>
          <w:tcPr>
            <w:tcW w:w="1799" w:type="dxa"/>
            <w:vAlign w:val="center"/>
          </w:tcPr>
          <w:p>
            <w:pPr>
              <w:widowControl/>
              <w:spacing w:line="360" w:lineRule="auto"/>
              <w:jc w:val="center"/>
            </w:pPr>
            <w:r>
              <w:rPr>
                <w:rFonts w:hint="eastAsia"/>
              </w:rPr>
              <w:t>1.5%</w:t>
            </w:r>
          </w:p>
        </w:tc>
        <w:tc>
          <w:tcPr>
            <w:tcW w:w="1799" w:type="dxa"/>
            <w:vAlign w:val="center"/>
          </w:tcPr>
          <w:p>
            <w:pPr>
              <w:widowControl/>
              <w:spacing w:line="360" w:lineRule="auto"/>
              <w:jc w:val="center"/>
            </w:pPr>
            <w:r>
              <w:rPr>
                <w:rFonts w:hint="eastAsia"/>
              </w:rPr>
              <w:t>1.5%</w:t>
            </w:r>
          </w:p>
        </w:tc>
        <w:tc>
          <w:tcPr>
            <w:tcW w:w="1799" w:type="dxa"/>
            <w:vAlign w:val="center"/>
          </w:tcPr>
          <w:p>
            <w:pPr>
              <w:widowControl/>
              <w:spacing w:line="360" w:lineRule="auto"/>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100万元（含）-500万元</w:t>
            </w:r>
          </w:p>
        </w:tc>
        <w:tc>
          <w:tcPr>
            <w:tcW w:w="1799" w:type="dxa"/>
            <w:vAlign w:val="center"/>
          </w:tcPr>
          <w:p>
            <w:pPr>
              <w:widowControl/>
              <w:spacing w:line="360" w:lineRule="auto"/>
              <w:jc w:val="center"/>
            </w:pPr>
            <w:r>
              <w:rPr>
                <w:rFonts w:hint="eastAsia"/>
              </w:rPr>
              <w:t>1.1%</w:t>
            </w:r>
          </w:p>
        </w:tc>
        <w:tc>
          <w:tcPr>
            <w:tcW w:w="1799" w:type="dxa"/>
            <w:vAlign w:val="center"/>
          </w:tcPr>
          <w:p>
            <w:pPr>
              <w:widowControl/>
              <w:spacing w:line="360" w:lineRule="auto"/>
              <w:jc w:val="center"/>
            </w:pPr>
            <w:r>
              <w:rPr>
                <w:rFonts w:hint="eastAsia"/>
              </w:rPr>
              <w:t>0.8%</w:t>
            </w:r>
          </w:p>
        </w:tc>
        <w:tc>
          <w:tcPr>
            <w:tcW w:w="1799" w:type="dxa"/>
            <w:vAlign w:val="center"/>
          </w:tcPr>
          <w:p>
            <w:pPr>
              <w:widowControl/>
              <w:spacing w:line="360" w:lineRule="auto"/>
              <w:jc w:val="center"/>
            </w:pPr>
            <w:r>
              <w:rPr>
                <w:rFonts w:hint="eastAsia"/>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500万元（含）-1000万元</w:t>
            </w:r>
          </w:p>
        </w:tc>
        <w:tc>
          <w:tcPr>
            <w:tcW w:w="1799" w:type="dxa"/>
            <w:vAlign w:val="center"/>
          </w:tcPr>
          <w:p>
            <w:pPr>
              <w:widowControl/>
              <w:spacing w:line="360" w:lineRule="auto"/>
              <w:jc w:val="center"/>
            </w:pPr>
            <w:r>
              <w:rPr>
                <w:rFonts w:hint="eastAsia"/>
              </w:rPr>
              <w:t>0.8%</w:t>
            </w:r>
          </w:p>
        </w:tc>
        <w:tc>
          <w:tcPr>
            <w:tcW w:w="1799" w:type="dxa"/>
            <w:vAlign w:val="center"/>
          </w:tcPr>
          <w:p>
            <w:pPr>
              <w:widowControl/>
              <w:spacing w:line="360" w:lineRule="auto"/>
              <w:jc w:val="center"/>
            </w:pPr>
            <w:r>
              <w:rPr>
                <w:rFonts w:hint="eastAsia"/>
              </w:rPr>
              <w:t>0.45%</w:t>
            </w:r>
          </w:p>
        </w:tc>
        <w:tc>
          <w:tcPr>
            <w:tcW w:w="1799" w:type="dxa"/>
            <w:vAlign w:val="center"/>
          </w:tcPr>
          <w:p>
            <w:pPr>
              <w:widowControl/>
              <w:spacing w:line="360" w:lineRule="auto"/>
              <w:jc w:val="center"/>
            </w:pPr>
            <w:r>
              <w:rPr>
                <w:rFonts w:hint="eastAsia"/>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1000万元（含）-5000万元</w:t>
            </w:r>
          </w:p>
        </w:tc>
        <w:tc>
          <w:tcPr>
            <w:tcW w:w="1799" w:type="dxa"/>
            <w:vAlign w:val="center"/>
          </w:tcPr>
          <w:p>
            <w:pPr>
              <w:widowControl/>
              <w:spacing w:line="360" w:lineRule="auto"/>
              <w:jc w:val="center"/>
            </w:pPr>
            <w:r>
              <w:rPr>
                <w:rFonts w:hint="eastAsia"/>
              </w:rPr>
              <w:t>0.5%</w:t>
            </w:r>
          </w:p>
        </w:tc>
        <w:tc>
          <w:tcPr>
            <w:tcW w:w="1799" w:type="dxa"/>
            <w:vAlign w:val="center"/>
          </w:tcPr>
          <w:p>
            <w:pPr>
              <w:widowControl/>
              <w:spacing w:line="360" w:lineRule="auto"/>
              <w:jc w:val="center"/>
            </w:pPr>
            <w:r>
              <w:rPr>
                <w:rFonts w:hint="eastAsia"/>
              </w:rPr>
              <w:t>0.25%</w:t>
            </w:r>
          </w:p>
        </w:tc>
        <w:tc>
          <w:tcPr>
            <w:tcW w:w="1799" w:type="dxa"/>
            <w:vAlign w:val="center"/>
          </w:tcPr>
          <w:p>
            <w:pPr>
              <w:widowControl/>
              <w:spacing w:line="360" w:lineRule="auto"/>
              <w:jc w:val="center"/>
            </w:pPr>
            <w:r>
              <w:rPr>
                <w:rFonts w:hint="eastAsia"/>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5000万元（含）-1亿元</w:t>
            </w:r>
          </w:p>
        </w:tc>
        <w:tc>
          <w:tcPr>
            <w:tcW w:w="1799" w:type="dxa"/>
            <w:vAlign w:val="center"/>
          </w:tcPr>
          <w:p>
            <w:pPr>
              <w:widowControl/>
              <w:spacing w:line="360" w:lineRule="auto"/>
              <w:jc w:val="center"/>
            </w:pPr>
            <w:r>
              <w:rPr>
                <w:rFonts w:hint="eastAsia"/>
              </w:rPr>
              <w:t>0.25%</w:t>
            </w:r>
          </w:p>
        </w:tc>
        <w:tc>
          <w:tcPr>
            <w:tcW w:w="1799" w:type="dxa"/>
            <w:vAlign w:val="center"/>
          </w:tcPr>
          <w:p>
            <w:pPr>
              <w:widowControl/>
              <w:spacing w:line="360" w:lineRule="auto"/>
              <w:jc w:val="center"/>
            </w:pPr>
            <w:r>
              <w:rPr>
                <w:rFonts w:hint="eastAsia"/>
              </w:rPr>
              <w:t>0.1%</w:t>
            </w:r>
          </w:p>
        </w:tc>
        <w:tc>
          <w:tcPr>
            <w:tcW w:w="1799" w:type="dxa"/>
            <w:vAlign w:val="center"/>
          </w:tcPr>
          <w:p>
            <w:pPr>
              <w:widowControl/>
              <w:spacing w:line="360" w:lineRule="auto"/>
              <w:jc w:val="center"/>
            </w:pPr>
            <w:r>
              <w:rPr>
                <w:rFonts w:hint="eastAsia"/>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1亿元（含）-5亿元</w:t>
            </w:r>
          </w:p>
        </w:tc>
        <w:tc>
          <w:tcPr>
            <w:tcW w:w="1799" w:type="dxa"/>
            <w:vAlign w:val="center"/>
          </w:tcPr>
          <w:p>
            <w:pPr>
              <w:widowControl/>
              <w:spacing w:line="360" w:lineRule="auto"/>
              <w:jc w:val="center"/>
            </w:pPr>
            <w:r>
              <w:rPr>
                <w:rFonts w:hint="eastAsia"/>
              </w:rPr>
              <w:t>0.05%</w:t>
            </w:r>
          </w:p>
        </w:tc>
        <w:tc>
          <w:tcPr>
            <w:tcW w:w="1799" w:type="dxa"/>
            <w:vAlign w:val="center"/>
          </w:tcPr>
          <w:p>
            <w:pPr>
              <w:widowControl/>
              <w:spacing w:line="360" w:lineRule="auto"/>
              <w:jc w:val="center"/>
            </w:pPr>
            <w:r>
              <w:rPr>
                <w:rFonts w:hint="eastAsia"/>
              </w:rPr>
              <w:t>0.05%</w:t>
            </w:r>
          </w:p>
        </w:tc>
        <w:tc>
          <w:tcPr>
            <w:tcW w:w="1799" w:type="dxa"/>
            <w:vAlign w:val="center"/>
          </w:tcPr>
          <w:p>
            <w:pPr>
              <w:widowControl/>
              <w:spacing w:line="360" w:lineRule="auto"/>
              <w:jc w:val="center"/>
            </w:pPr>
            <w:r>
              <w:rPr>
                <w:rFonts w:hint="eastAsia"/>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5亿元（含）-10亿元</w:t>
            </w:r>
          </w:p>
        </w:tc>
        <w:tc>
          <w:tcPr>
            <w:tcW w:w="1799" w:type="dxa"/>
            <w:vAlign w:val="center"/>
          </w:tcPr>
          <w:p>
            <w:pPr>
              <w:widowControl/>
              <w:spacing w:line="360" w:lineRule="auto"/>
              <w:jc w:val="center"/>
            </w:pPr>
            <w:r>
              <w:rPr>
                <w:rFonts w:hint="eastAsia"/>
              </w:rPr>
              <w:t>0.035%</w:t>
            </w:r>
          </w:p>
        </w:tc>
        <w:tc>
          <w:tcPr>
            <w:tcW w:w="1799" w:type="dxa"/>
            <w:vAlign w:val="center"/>
          </w:tcPr>
          <w:p>
            <w:pPr>
              <w:widowControl/>
              <w:spacing w:line="360" w:lineRule="auto"/>
              <w:jc w:val="center"/>
            </w:pPr>
            <w:r>
              <w:rPr>
                <w:rFonts w:hint="eastAsia"/>
              </w:rPr>
              <w:t>0.035%</w:t>
            </w:r>
          </w:p>
        </w:tc>
        <w:tc>
          <w:tcPr>
            <w:tcW w:w="1799" w:type="dxa"/>
            <w:vAlign w:val="center"/>
          </w:tcPr>
          <w:p>
            <w:pPr>
              <w:widowControl/>
              <w:spacing w:line="360" w:lineRule="auto"/>
              <w:jc w:val="center"/>
            </w:pPr>
            <w:r>
              <w:rPr>
                <w:rFonts w:hint="eastAsia"/>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pPr>
              <w:widowControl/>
              <w:spacing w:line="360" w:lineRule="auto"/>
              <w:jc w:val="center"/>
            </w:pPr>
            <w:r>
              <w:rPr>
                <w:rFonts w:hint="eastAsia"/>
              </w:rPr>
              <w:t>10亿元（含）-50亿元</w:t>
            </w:r>
          </w:p>
        </w:tc>
        <w:tc>
          <w:tcPr>
            <w:tcW w:w="1799" w:type="dxa"/>
            <w:vAlign w:val="center"/>
          </w:tcPr>
          <w:p>
            <w:pPr>
              <w:widowControl/>
              <w:spacing w:line="360" w:lineRule="auto"/>
              <w:jc w:val="center"/>
            </w:pPr>
            <w:r>
              <w:rPr>
                <w:rFonts w:hint="eastAsia"/>
              </w:rPr>
              <w:t>0.008%</w:t>
            </w:r>
          </w:p>
        </w:tc>
        <w:tc>
          <w:tcPr>
            <w:tcW w:w="1799" w:type="dxa"/>
            <w:vAlign w:val="center"/>
          </w:tcPr>
          <w:p>
            <w:pPr>
              <w:widowControl/>
              <w:spacing w:line="360" w:lineRule="auto"/>
              <w:jc w:val="center"/>
            </w:pPr>
            <w:r>
              <w:rPr>
                <w:rFonts w:hint="eastAsia"/>
              </w:rPr>
              <w:t>0.008%</w:t>
            </w:r>
          </w:p>
        </w:tc>
        <w:tc>
          <w:tcPr>
            <w:tcW w:w="1799" w:type="dxa"/>
            <w:vAlign w:val="center"/>
          </w:tcPr>
          <w:p>
            <w:pPr>
              <w:widowControl/>
              <w:spacing w:line="360" w:lineRule="auto"/>
              <w:jc w:val="center"/>
            </w:pPr>
            <w:r>
              <w:rPr>
                <w:rFonts w:hint="eastAsia"/>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50亿元（含）-100亿元</w:t>
            </w:r>
          </w:p>
        </w:tc>
        <w:tc>
          <w:tcPr>
            <w:tcW w:w="1799" w:type="dxa"/>
            <w:vAlign w:val="center"/>
          </w:tcPr>
          <w:p>
            <w:pPr>
              <w:widowControl/>
              <w:spacing w:line="360" w:lineRule="auto"/>
              <w:jc w:val="center"/>
            </w:pPr>
            <w:r>
              <w:rPr>
                <w:rFonts w:hint="eastAsia"/>
              </w:rPr>
              <w:t>0.006%</w:t>
            </w:r>
          </w:p>
        </w:tc>
        <w:tc>
          <w:tcPr>
            <w:tcW w:w="1799" w:type="dxa"/>
            <w:vAlign w:val="center"/>
          </w:tcPr>
          <w:p>
            <w:pPr>
              <w:widowControl/>
              <w:spacing w:line="360" w:lineRule="auto"/>
              <w:jc w:val="center"/>
            </w:pPr>
            <w:r>
              <w:rPr>
                <w:rFonts w:hint="eastAsia"/>
              </w:rPr>
              <w:t>0.006%</w:t>
            </w:r>
          </w:p>
        </w:tc>
        <w:tc>
          <w:tcPr>
            <w:tcW w:w="1799" w:type="dxa"/>
            <w:vAlign w:val="center"/>
          </w:tcPr>
          <w:p>
            <w:pPr>
              <w:widowControl/>
              <w:spacing w:line="360" w:lineRule="auto"/>
              <w:jc w:val="center"/>
            </w:pPr>
            <w:r>
              <w:rPr>
                <w:rFonts w:hint="eastAsia"/>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pPr>
              <w:widowControl/>
              <w:spacing w:line="360" w:lineRule="auto"/>
              <w:jc w:val="center"/>
            </w:pPr>
            <w:r>
              <w:rPr>
                <w:rFonts w:hint="eastAsia"/>
              </w:rPr>
              <w:t>100亿元（含）以上</w:t>
            </w:r>
          </w:p>
        </w:tc>
        <w:tc>
          <w:tcPr>
            <w:tcW w:w="1799" w:type="dxa"/>
            <w:vAlign w:val="center"/>
          </w:tcPr>
          <w:p>
            <w:pPr>
              <w:widowControl/>
              <w:spacing w:line="360" w:lineRule="auto"/>
              <w:jc w:val="center"/>
            </w:pPr>
            <w:r>
              <w:rPr>
                <w:rFonts w:hint="eastAsia"/>
              </w:rPr>
              <w:t>0.004%</w:t>
            </w:r>
          </w:p>
        </w:tc>
        <w:tc>
          <w:tcPr>
            <w:tcW w:w="1799" w:type="dxa"/>
            <w:vAlign w:val="center"/>
          </w:tcPr>
          <w:p>
            <w:pPr>
              <w:widowControl/>
              <w:spacing w:line="360" w:lineRule="auto"/>
              <w:jc w:val="center"/>
            </w:pPr>
            <w:r>
              <w:rPr>
                <w:rFonts w:hint="eastAsia"/>
              </w:rPr>
              <w:t>0.004%</w:t>
            </w:r>
          </w:p>
        </w:tc>
        <w:tc>
          <w:tcPr>
            <w:tcW w:w="1799" w:type="dxa"/>
            <w:vAlign w:val="center"/>
          </w:tcPr>
          <w:p>
            <w:pPr>
              <w:widowControl/>
              <w:spacing w:line="360" w:lineRule="auto"/>
              <w:jc w:val="center"/>
            </w:pPr>
            <w:r>
              <w:rPr>
                <w:rFonts w:hint="eastAsia"/>
              </w:rPr>
              <w:t>0.004%</w:t>
            </w:r>
          </w:p>
        </w:tc>
      </w:tr>
    </w:tbl>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备注：1.每宗交易代理服务费不低于 </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000 元；</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2.对于报总价的采购类项目，中标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成交</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价为中标（成交）金额；对于报单价、折扣或费率的采购类项目，中标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成交</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价为预算上限金额或经委托方与代理方确定的支付上限金额；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如某</w:t>
      </w:r>
      <w:r>
        <w:rPr>
          <w:rFonts w:hint="eastAsia" w:ascii="宋体" w:hAnsi="宋体" w:eastAsia="宋体" w:cs="宋体"/>
          <w:b w:val="0"/>
          <w:bCs w:val="0"/>
          <w:sz w:val="21"/>
          <w:szCs w:val="21"/>
          <w:lang w:val="en-US" w:eastAsia="zh-CN"/>
        </w:rPr>
        <w:t>服务</w:t>
      </w:r>
      <w:r>
        <w:rPr>
          <w:rFonts w:hint="eastAsia" w:ascii="宋体" w:hAnsi="宋体" w:eastAsia="宋体" w:cs="宋体"/>
          <w:b w:val="0"/>
          <w:bCs w:val="0"/>
          <w:sz w:val="21"/>
          <w:szCs w:val="21"/>
        </w:rPr>
        <w:t>采购项目，中标（成交）金额为600万元，总共交纳的代理服务费的具体计算过程如下：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标准代理服务费＝（100万以下部分的代理服务费）+（100万～500万部分的代理服务费）+（500万～600万部分的代理服务费）＝100万元×1.5%+（500-100）万元×</w:t>
      </w:r>
      <w:r>
        <w:rPr>
          <w:rFonts w:hint="eastAsia" w:ascii="宋体" w:hAnsi="宋体" w:eastAsia="宋体" w:cs="宋体"/>
          <w:b w:val="0"/>
          <w:bCs w:val="0"/>
          <w:sz w:val="21"/>
          <w:szCs w:val="21"/>
          <w:lang w:val="en-US" w:eastAsia="zh-CN"/>
        </w:rPr>
        <w:t>0.8</w:t>
      </w:r>
      <w:r>
        <w:rPr>
          <w:rFonts w:hint="eastAsia" w:ascii="宋体" w:hAnsi="宋体" w:eastAsia="宋体" w:cs="宋体"/>
          <w:b w:val="0"/>
          <w:bCs w:val="0"/>
          <w:sz w:val="21"/>
          <w:szCs w:val="21"/>
        </w:rPr>
        <w:t>%+（600-500）万元×0.</w:t>
      </w:r>
      <w:r>
        <w:rPr>
          <w:rFonts w:hint="eastAsia" w:ascii="宋体" w:hAnsi="宋体" w:eastAsia="宋体" w:cs="宋体"/>
          <w:b w:val="0"/>
          <w:bCs w:val="0"/>
          <w:sz w:val="21"/>
          <w:szCs w:val="21"/>
          <w:lang w:val="en-US" w:eastAsia="zh-CN"/>
        </w:rPr>
        <w:t>45</w:t>
      </w:r>
      <w:r>
        <w:rPr>
          <w:rFonts w:hint="eastAsia" w:ascii="宋体" w:hAnsi="宋体" w:eastAsia="宋体" w:cs="宋体"/>
          <w:b w:val="0"/>
          <w:bCs w:val="0"/>
          <w:sz w:val="21"/>
          <w:szCs w:val="21"/>
        </w:rPr>
        <w:t>%=1.5万元+</w:t>
      </w:r>
      <w:r>
        <w:rPr>
          <w:rFonts w:hint="eastAsia" w:ascii="宋体" w:hAnsi="宋体" w:eastAsia="宋体" w:cs="宋体"/>
          <w:b w:val="0"/>
          <w:bCs w:val="0"/>
          <w:sz w:val="21"/>
          <w:szCs w:val="21"/>
          <w:lang w:val="en-US" w:eastAsia="zh-CN"/>
        </w:rPr>
        <w:t>3.2</w:t>
      </w:r>
      <w:r>
        <w:rPr>
          <w:rFonts w:hint="eastAsia" w:ascii="宋体" w:hAnsi="宋体" w:eastAsia="宋体" w:cs="宋体"/>
          <w:b w:val="0"/>
          <w:bCs w:val="0"/>
          <w:sz w:val="21"/>
          <w:szCs w:val="21"/>
        </w:rPr>
        <w:t>万元+0.</w:t>
      </w:r>
      <w:r>
        <w:rPr>
          <w:rFonts w:hint="eastAsia" w:ascii="宋体" w:hAnsi="宋体" w:eastAsia="宋体" w:cs="宋体"/>
          <w:b w:val="0"/>
          <w:bCs w:val="0"/>
          <w:sz w:val="21"/>
          <w:szCs w:val="21"/>
          <w:lang w:val="en-US" w:eastAsia="zh-CN"/>
        </w:rPr>
        <w:t>45</w:t>
      </w:r>
      <w:r>
        <w:rPr>
          <w:rFonts w:hint="eastAsia" w:ascii="宋体" w:hAnsi="宋体" w:eastAsia="宋体" w:cs="宋体"/>
          <w:b w:val="0"/>
          <w:bCs w:val="0"/>
          <w:sz w:val="21"/>
          <w:szCs w:val="21"/>
        </w:rPr>
        <w:t>万元＝</w:t>
      </w:r>
      <w:r>
        <w:rPr>
          <w:rFonts w:hint="eastAsia" w:ascii="宋体" w:hAnsi="宋体" w:eastAsia="宋体" w:cs="宋体"/>
          <w:b w:val="0"/>
          <w:bCs w:val="0"/>
          <w:sz w:val="21"/>
          <w:szCs w:val="21"/>
          <w:lang w:val="en-US" w:eastAsia="zh-CN"/>
        </w:rPr>
        <w:t>5.15</w:t>
      </w:r>
      <w:r>
        <w:rPr>
          <w:rFonts w:hint="eastAsia" w:ascii="宋体" w:hAnsi="宋体" w:eastAsia="宋体" w:cs="宋体"/>
          <w:b w:val="0"/>
          <w:bCs w:val="0"/>
          <w:sz w:val="21"/>
          <w:szCs w:val="21"/>
        </w:rPr>
        <w:t>万元</w:t>
      </w:r>
    </w:p>
    <w:p>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b/>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）中标（成交）供应商中标（成交）后，必须按规定采用银行对公转账方式向深圳交易集团有限公司直接交纳代理服务费，交纳信息及要求按照缴款</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付款</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通知书执行。</w:t>
      </w:r>
    </w:p>
    <w:p>
      <w:pPr>
        <w:pStyle w:val="35"/>
        <w:rPr>
          <w:b/>
        </w:rPr>
      </w:pPr>
    </w:p>
    <w:p>
      <w:pPr>
        <w:rPr>
          <w:b/>
        </w:rPr>
        <w:sectPr>
          <w:pgSz w:w="11907" w:h="16840"/>
          <w:pgMar w:top="1440" w:right="1797" w:bottom="1440" w:left="1797" w:header="851" w:footer="992" w:gutter="0"/>
          <w:cols w:space="425" w:num="1"/>
          <w:titlePg/>
          <w:docGrid w:linePitch="462" w:charSpace="0"/>
        </w:sectPr>
      </w:pPr>
    </w:p>
    <w:p>
      <w:pPr>
        <w:pStyle w:val="6"/>
        <w:outlineLvl w:val="1"/>
        <w:rPr>
          <w:sz w:val="28"/>
          <w:szCs w:val="28"/>
        </w:rPr>
      </w:pPr>
      <w:bookmarkStart w:id="30" w:name="_Toc128884461"/>
      <w:r>
        <w:rPr>
          <w:rFonts w:hint="eastAsia"/>
          <w:sz w:val="28"/>
          <w:szCs w:val="28"/>
        </w:rPr>
        <w:t>第三章 用户需求书</w:t>
      </w:r>
    </w:p>
    <w:p>
      <w:pPr>
        <w:pStyle w:val="4"/>
        <w:spacing w:before="120" w:beforeLines="50" w:after="120" w:afterLines="50"/>
        <w:outlineLvl w:val="2"/>
        <w:rPr>
          <w:szCs w:val="24"/>
        </w:rPr>
      </w:pPr>
      <w:r>
        <w:rPr>
          <w:rFonts w:hint="eastAsia"/>
          <w:szCs w:val="24"/>
        </w:rPr>
        <w:t>一、项目基本信息</w:t>
      </w:r>
    </w:p>
    <w:p>
      <w:pPr>
        <w:rPr>
          <w:rFonts w:ascii="宋体" w:hAnsi="宋体"/>
          <w:b/>
          <w:color w:val="FF0000"/>
          <w:szCs w:val="21"/>
        </w:rPr>
      </w:pPr>
    </w:p>
    <w:tbl>
      <w:tblPr>
        <w:tblStyle w:val="42"/>
        <w:tblW w:w="7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2231"/>
        <w:gridCol w:w="2508"/>
        <w:gridCol w:w="2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vAlign w:val="center"/>
          </w:tcPr>
          <w:p>
            <w:pPr>
              <w:jc w:val="center"/>
              <w:rPr>
                <w:bCs/>
                <w:szCs w:val="21"/>
              </w:rPr>
            </w:pPr>
            <w:r>
              <w:rPr>
                <w:rFonts w:hint="eastAsia"/>
                <w:bCs/>
                <w:szCs w:val="21"/>
              </w:rPr>
              <w:t>序号</w:t>
            </w:r>
          </w:p>
        </w:tc>
        <w:tc>
          <w:tcPr>
            <w:tcW w:w="2231" w:type="dxa"/>
            <w:vAlign w:val="center"/>
          </w:tcPr>
          <w:p>
            <w:pPr>
              <w:jc w:val="center"/>
              <w:rPr>
                <w:bCs/>
                <w:szCs w:val="21"/>
              </w:rPr>
            </w:pPr>
            <w:r>
              <w:rPr>
                <w:rFonts w:hint="eastAsia"/>
                <w:szCs w:val="21"/>
              </w:rPr>
              <w:t>采购计划编号</w:t>
            </w:r>
          </w:p>
        </w:tc>
        <w:tc>
          <w:tcPr>
            <w:tcW w:w="2508" w:type="dxa"/>
            <w:vAlign w:val="center"/>
          </w:tcPr>
          <w:p>
            <w:pPr>
              <w:jc w:val="center"/>
              <w:rPr>
                <w:bCs/>
                <w:szCs w:val="21"/>
              </w:rPr>
            </w:pPr>
            <w:r>
              <w:rPr>
                <w:rFonts w:hint="eastAsia"/>
                <w:bCs/>
                <w:szCs w:val="21"/>
              </w:rPr>
              <w:t>采购项目名称</w:t>
            </w:r>
          </w:p>
        </w:tc>
        <w:tc>
          <w:tcPr>
            <w:tcW w:w="2316" w:type="dxa"/>
            <w:vAlign w:val="center"/>
          </w:tcPr>
          <w:p>
            <w:pPr>
              <w:jc w:val="center"/>
              <w:rPr>
                <w:b/>
                <w:bCs/>
                <w:color w:val="FF0000"/>
                <w:szCs w:val="21"/>
              </w:rPr>
            </w:pPr>
            <w:r>
              <w:rPr>
                <w:rFonts w:hint="eastAsia"/>
                <w:b/>
                <w:bCs/>
                <w:color w:val="FF0000"/>
                <w:szCs w:val="21"/>
                <w:lang w:val="en-US" w:eastAsia="zh-CN"/>
              </w:rPr>
              <w:t>支付上限</w:t>
            </w:r>
            <w:r>
              <w:rPr>
                <w:rFonts w:hint="eastAsia"/>
                <w:b/>
                <w:bCs/>
                <w:color w:val="FF000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vAlign w:val="center"/>
          </w:tcPr>
          <w:p>
            <w:pPr>
              <w:jc w:val="center"/>
              <w:rPr>
                <w:bCs/>
                <w:color w:val="FF0000"/>
                <w:szCs w:val="21"/>
              </w:rPr>
            </w:pPr>
            <w:r>
              <w:rPr>
                <w:rFonts w:hint="eastAsia"/>
                <w:bCs/>
                <w:color w:val="FF0000"/>
                <w:szCs w:val="21"/>
              </w:rPr>
              <w:t>1</w:t>
            </w:r>
          </w:p>
        </w:tc>
        <w:tc>
          <w:tcPr>
            <w:tcW w:w="2231" w:type="dxa"/>
            <w:vAlign w:val="center"/>
          </w:tcPr>
          <w:p>
            <w:pPr>
              <w:jc w:val="center"/>
              <w:rPr>
                <w:bCs/>
                <w:color w:val="FF0000"/>
                <w:szCs w:val="21"/>
              </w:rPr>
            </w:pPr>
            <w:r>
              <w:rPr>
                <w:rFonts w:hint="eastAsia"/>
                <w:bCs/>
                <w:color w:val="FF0000"/>
                <w:szCs w:val="21"/>
              </w:rPr>
              <w:t>PLAN-2026-440309000-102001-02736</w:t>
            </w:r>
            <w:bookmarkStart w:id="101" w:name="_GoBack"/>
            <w:bookmarkEnd w:id="101"/>
          </w:p>
        </w:tc>
        <w:tc>
          <w:tcPr>
            <w:tcW w:w="2508" w:type="dxa"/>
            <w:vAlign w:val="center"/>
          </w:tcPr>
          <w:p>
            <w:pPr>
              <w:jc w:val="center"/>
              <w:rPr>
                <w:b/>
                <w:bCs/>
                <w:color w:val="FF0000"/>
                <w:szCs w:val="21"/>
              </w:rPr>
            </w:pPr>
            <w:r>
              <w:rPr>
                <w:rFonts w:hint="eastAsia"/>
                <w:b/>
                <w:bCs/>
                <w:color w:val="FF0000"/>
                <w:szCs w:val="21"/>
              </w:rPr>
              <w:t>深圳市龙华区教育局（本级）2026年9月各公办学校及幼儿园教职工食材配送集中批量采购</w:t>
            </w:r>
          </w:p>
        </w:tc>
        <w:tc>
          <w:tcPr>
            <w:tcW w:w="2316" w:type="dxa"/>
            <w:vAlign w:val="center"/>
          </w:tcPr>
          <w:p>
            <w:pPr>
              <w:jc w:val="center"/>
              <w:rPr>
                <w:bCs/>
                <w:color w:val="FF0000"/>
                <w:szCs w:val="21"/>
              </w:rPr>
            </w:pPr>
            <w:r>
              <w:rPr>
                <w:rFonts w:hint="eastAsia"/>
                <w:bCs/>
                <w:color w:val="FF0000"/>
                <w:szCs w:val="21"/>
              </w:rPr>
              <w:t>10588975.00</w:t>
            </w:r>
          </w:p>
        </w:tc>
      </w:tr>
    </w:tbl>
    <w:p>
      <w:pPr>
        <w:numPr>
          <w:ilvl w:val="0"/>
          <w:numId w:val="8"/>
        </w:numPr>
        <w:ind w:firstLine="420"/>
        <w:outlineLvl w:val="4"/>
        <w:rPr>
          <w:rFonts w:hint="eastAsia" w:ascii="宋体" w:hAnsi="宋体" w:eastAsia="宋体" w:cs="宋体"/>
          <w:b w:val="0"/>
          <w:szCs w:val="21"/>
        </w:rPr>
      </w:pPr>
      <w:r>
        <w:rPr>
          <w:rFonts w:hint="eastAsia" w:ascii="宋体" w:hAnsi="宋体" w:cs="宋体"/>
          <w:b w:val="0"/>
          <w:color w:val="auto"/>
          <w:szCs w:val="21"/>
        </w:rPr>
        <w:t>项目实施的时间和地点；</w:t>
      </w:r>
    </w:p>
    <w:tbl>
      <w:tblPr>
        <w:tblStyle w:val="42"/>
        <w:tblW w:w="7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50"/>
        <w:gridCol w:w="3624"/>
        <w:gridCol w:w="23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街道片区</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单位名称</w:t>
            </w:r>
          </w:p>
        </w:tc>
        <w:tc>
          <w:tcPr>
            <w:tcW w:w="23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教职工用餐人数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大浪</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深圳市龙华区大浪幼教集团珑境幼儿园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大浪</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深圳市龙华区大浪幼教集团柏奕府幼儿园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大浪</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深圳市龙华区大浪第二幼教集团珺奕府幼儿园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龙华</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深圳市龙华区龙华幼教集团盛璟幼儿园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民治</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深圳市龙华区红山幼教集团附属幼儿园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民治</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深圳市滨苑幼儿园（龙华）</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民治</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深圳市龙华区民治第三幼教集团闻华里幼儿园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民治</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深圳市龙华区北站幼教集团超核幼儿园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民治</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深圳市红山中学（民治校区）</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福城</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深圳市龙华科技实验高级中学</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福城</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深圳市龙华区福城幼教集团启城幼儿园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福城</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深圳市龙华区第六幼儿园玺园分园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观湖</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深圳市龙华区观湖第二幼教集团观城时尚幼儿园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观澜</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深圳市龙华区观澜幼教集团珑门壹品幼儿园</w:t>
            </w:r>
          </w:p>
        </w:tc>
        <w:tc>
          <w:tcPr>
            <w:tcW w:w="2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bl>
    <w:p>
      <w:pPr>
        <w:spacing w:line="360" w:lineRule="auto"/>
        <w:ind w:firstLine="420" w:firstLineChars="200"/>
        <w:outlineLvl w:val="4"/>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（二）报价要求</w:t>
      </w:r>
    </w:p>
    <w:p>
      <w:pPr>
        <w:spacing w:line="360" w:lineRule="auto"/>
        <w:ind w:firstLine="420" w:firstLineChars="200"/>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本表格的校内食堂用餐人数和采购金额为预估数，实际合同起始时间和金额以与学校（幼儿园）签订的协议约定为准。</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highlight w:val="none"/>
        </w:rPr>
        <w:t>1.本次招标不涉及具体投标金</w:t>
      </w:r>
      <w:r>
        <w:rPr>
          <w:rFonts w:hint="eastAsia" w:ascii="宋体" w:hAnsi="宋体" w:eastAsia="宋体" w:cs="宋体"/>
          <w:szCs w:val="21"/>
        </w:rPr>
        <w:t>额（无须投标人在投标文件中填报具体投标金额），投标人只需在投标一览表“投标总价”一栏里报填报唯一的“折扣率”，投标人应根据自身成本自行填报“折扣率”。</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rPr>
        <w:t>2.“折扣率”填写要求</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rPr>
        <w:t>（1）填写要求： 0＜折扣率≤1，未按此要求填写将作废标处理。</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rPr>
        <w:t>（2）填写的“折扣率”应为小数，（如：0.9000、0.80、0.78，</w:t>
      </w:r>
      <w:r>
        <w:rPr>
          <w:rFonts w:hint="eastAsia" w:ascii="宋体" w:hAnsi="宋体" w:eastAsia="宋体" w:cs="宋体"/>
          <w:szCs w:val="21"/>
          <w:lang w:val="en-US" w:eastAsia="zh-CN"/>
        </w:rPr>
        <w:t>四舍五入保留两位</w:t>
      </w:r>
      <w:r>
        <w:rPr>
          <w:rFonts w:hint="eastAsia" w:ascii="宋体" w:hAnsi="宋体" w:eastAsia="宋体" w:cs="宋体"/>
          <w:szCs w:val="21"/>
        </w:rPr>
        <w:t>）；</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rPr>
        <w:t>（3）投标人参与投标只允许填报一个“折扣率”，不允许填报2个（或以上）的“折扣率”；填报了2个或以上“折扣率”的，其投标将直接作投标无效处理；</w:t>
      </w:r>
    </w:p>
    <w:p>
      <w:pPr>
        <w:spacing w:line="360" w:lineRule="auto"/>
        <w:ind w:firstLine="420" w:firstLineChars="200"/>
        <w:outlineLvl w:val="9"/>
        <w:rPr>
          <w:rFonts w:hint="eastAsia" w:ascii="宋体" w:hAnsi="宋体" w:eastAsia="宋体" w:cs="宋体"/>
          <w:szCs w:val="21"/>
        </w:rPr>
      </w:pPr>
      <w:r>
        <w:rPr>
          <w:rFonts w:hint="eastAsia" w:ascii="宋体" w:hAnsi="宋体" w:eastAsia="宋体" w:cs="宋体"/>
          <w:szCs w:val="21"/>
        </w:rPr>
        <w:t>（4）“折扣率”缺填、漏填将直接作投标无效处理。</w:t>
      </w:r>
    </w:p>
    <w:p>
      <w:pPr>
        <w:numPr>
          <w:ilvl w:val="-1"/>
          <w:numId w:val="0"/>
        </w:numPr>
        <w:spacing w:line="360" w:lineRule="auto"/>
        <w:ind w:firstLine="420" w:firstLineChars="200"/>
        <w:outlineLvl w:val="9"/>
        <w:rPr>
          <w:rFonts w:hint="eastAsia" w:ascii="宋体" w:hAnsi="宋体" w:cs="宋体"/>
          <w:b w:val="0"/>
          <w:color w:val="auto"/>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本项目的投标价格适用所有标段，供应商无需对各标段单独报价。</w:t>
      </w:r>
    </w:p>
    <w:p>
      <w:pPr>
        <w:pStyle w:val="4"/>
        <w:spacing w:before="120" w:beforeLines="50" w:after="120" w:afterLines="50"/>
        <w:outlineLvl w:val="2"/>
        <w:rPr>
          <w:szCs w:val="24"/>
        </w:rPr>
      </w:pPr>
      <w:r>
        <w:rPr>
          <w:rFonts w:hint="eastAsia"/>
          <w:szCs w:val="24"/>
        </w:rPr>
        <w:t>二、项目概况</w:t>
      </w:r>
    </w:p>
    <w:p>
      <w:pPr>
        <w:spacing w:line="360" w:lineRule="auto"/>
        <w:ind w:firstLine="420" w:firstLineChars="200"/>
        <w:outlineLvl w:val="4"/>
        <w:rPr>
          <w:rFonts w:hint="eastAsia" w:ascii="宋体" w:hAnsi="宋体" w:eastAsia="宋体" w:cs="宋体"/>
          <w:sz w:val="21"/>
          <w:szCs w:val="21"/>
        </w:rPr>
      </w:pPr>
      <w:r>
        <w:rPr>
          <w:rFonts w:hint="eastAsia" w:ascii="宋体" w:hAnsi="宋体" w:eastAsia="宋体" w:cs="宋体"/>
          <w:sz w:val="21"/>
          <w:szCs w:val="21"/>
        </w:rPr>
        <w:t>（一）项目基本信息</w:t>
      </w:r>
    </w:p>
    <w:p>
      <w:pPr>
        <w:spacing w:line="360" w:lineRule="auto"/>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rPr>
        <w:t>1.为进一步防范采购风险，保障食材配送采购公平公正，现将龙华</w:t>
      </w:r>
      <w:r>
        <w:rPr>
          <w:rFonts w:hint="eastAsia" w:ascii="宋体" w:hAnsi="宋体" w:eastAsia="宋体" w:cs="宋体"/>
          <w:sz w:val="21"/>
          <w:szCs w:val="21"/>
          <w:highlight w:val="none"/>
        </w:rPr>
        <w:t>区公办学校及幼儿园食材配送采购通过公开招标的方式面向社会择优选取</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家配送供应商承接食材配送服务，产生中标供应商后，由各学校（幼儿园）作为采购人分别与中标供应商签订采购合同。</w:t>
      </w:r>
    </w:p>
    <w:p>
      <w:pPr>
        <w:spacing w:line="360" w:lineRule="auto"/>
        <w:ind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）食品安全保险</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中标人为学校（幼儿园）提供食材配送服务时，必须为各学校（幼儿园）购买保额至少为500万元的食品安全险和300万元的公共责任险，且受益人必须为所有就餐人员。</w:t>
      </w:r>
    </w:p>
    <w:p>
      <w:pPr>
        <w:spacing w:line="360" w:lineRule="auto"/>
        <w:ind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）本项目基准价</w:t>
      </w:r>
    </w:p>
    <w:p>
      <w:pPr>
        <w:spacing w:line="360" w:lineRule="auto"/>
        <w:ind w:firstLine="420" w:firstLineChars="200"/>
        <w:rPr>
          <w:rFonts w:hint="eastAsia" w:ascii="宋体" w:hAnsi="宋体" w:eastAsia="宋体" w:cs="宋体"/>
          <w:sz w:val="21"/>
          <w:szCs w:val="21"/>
          <w:highlight w:val="none"/>
        </w:rPr>
      </w:pPr>
      <w:r>
        <w:rPr>
          <w:rFonts w:hint="eastAsia"/>
          <w:highlight w:val="none"/>
        </w:rPr>
        <w:t>所有品类结算时价格按深圳市中农数据有限公司（天天采购平台）上月5号、15号、25号公布的价格[以学校（幼儿园）下单产品“品名”（别名）的价格（非含费价）]取平均值（平均值精确到分，即小数点后两位）确定该品类的基准价，投标人结合企业自己的实力报出折扣率，结算时价格=基准价*折扣率。</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深圳市中农数据有限公司（天天采购平台）中无价格的品类，则结算时价格=折扣率*市场价。（由片区内学校（幼儿园）和中标人到农贸市场或大型商超等现场调研决定）。</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如遇台风暴雨、供求关系、宏观调控等原因造成的市场价格上涨或下降需临时调整时，中标人应提前书面通知采购人，由采购人和中标人协调会议的形式解决，征得采购人同意后方可调整。</w:t>
      </w:r>
    </w:p>
    <w:p>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b w:val="0"/>
          <w:bCs w:val="0"/>
          <w:kern w:val="2"/>
          <w:sz w:val="21"/>
          <w:szCs w:val="21"/>
          <w:highlight w:val="none"/>
          <w:lang w:val="en-US" w:eastAsia="zh-CN" w:bidi="ar-SA"/>
        </w:rPr>
        <w:t>如上级部门要求完成消费帮扶采购任务，中标人应无条件支持配合学校（幼儿园）完成消费帮扶采购任务。</w:t>
      </w:r>
    </w:p>
    <w:p>
      <w:pPr>
        <w:spacing w:line="360" w:lineRule="auto"/>
        <w:ind w:firstLine="420" w:firstLineChars="200"/>
        <w:outlineLvl w:val="4"/>
        <w:rPr>
          <w:rFonts w:hint="eastAsia"/>
          <w:highlight w:val="none"/>
        </w:rPr>
      </w:pPr>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rPr>
        <w:t>项目采购范围</w:t>
      </w:r>
    </w:p>
    <w:p>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1</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预包装类：成品粮（大米、小麦粉或面粉）、成品食用油类、乳制品（仅限发酵乳、巴氏杀菌乳、灭菌乳、调制乳）；</w:t>
      </w:r>
    </w:p>
    <w:p>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2</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生鲜食品类：鲜蛋、生鲜肉、冻品；</w:t>
      </w:r>
    </w:p>
    <w:p>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调味品类；</w:t>
      </w:r>
    </w:p>
    <w:p>
      <w:pPr>
        <w:ind w:firstLine="420" w:firstLineChars="200"/>
        <w:rPr>
          <w:sz w:val="24"/>
        </w:rPr>
      </w:pPr>
      <w:r>
        <w:rPr>
          <w:rFonts w:hint="eastAsia" w:ascii="宋体" w:hAnsi="宋体" w:eastAsia="宋体" w:cs="宋体"/>
          <w:szCs w:val="21"/>
          <w:highlight w:val="none"/>
          <w:lang w:eastAsia="zh-CN"/>
        </w:rPr>
        <w:t>4</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蔬菜及其他类。</w:t>
      </w:r>
    </w:p>
    <w:p>
      <w:pPr>
        <w:pStyle w:val="4"/>
        <w:spacing w:before="120" w:beforeLines="50" w:after="120" w:afterLines="50"/>
        <w:outlineLvl w:val="2"/>
        <w:rPr>
          <w:szCs w:val="24"/>
        </w:rPr>
      </w:pPr>
      <w:r>
        <w:rPr>
          <w:rFonts w:hint="eastAsia"/>
          <w:szCs w:val="24"/>
        </w:rPr>
        <w:t>三、</w:t>
      </w:r>
      <w:bookmarkStart w:id="31" w:name="_Hlk72073432"/>
      <w:r>
        <w:rPr>
          <w:rFonts w:hint="eastAsia"/>
          <w:szCs w:val="24"/>
        </w:rPr>
        <w:t>服务需求明细</w:t>
      </w:r>
      <w:bookmarkEnd w:id="31"/>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150"/>
        <w:gridCol w:w="2580"/>
        <w:gridCol w:w="899"/>
        <w:gridCol w:w="821"/>
        <w:gridCol w:w="1401"/>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pPr>
              <w:jc w:val="center"/>
              <w:rPr>
                <w:rFonts w:hint="eastAsia" w:ascii="宋体" w:hAnsi="宋体" w:eastAsia="宋体" w:cs="宋体"/>
                <w:bCs/>
                <w:szCs w:val="21"/>
              </w:rPr>
            </w:pPr>
            <w:r>
              <w:rPr>
                <w:rFonts w:hint="eastAsia" w:ascii="宋体" w:hAnsi="宋体" w:eastAsia="宋体" w:cs="宋体"/>
                <w:bCs/>
                <w:szCs w:val="21"/>
              </w:rPr>
              <w:t>序号</w:t>
            </w:r>
          </w:p>
        </w:tc>
        <w:tc>
          <w:tcPr>
            <w:tcW w:w="674" w:type="pct"/>
            <w:vAlign w:val="center"/>
          </w:tcPr>
          <w:p>
            <w:pPr>
              <w:jc w:val="center"/>
              <w:rPr>
                <w:rFonts w:hint="eastAsia" w:ascii="宋体" w:hAnsi="宋体" w:eastAsia="宋体" w:cs="宋体"/>
                <w:bCs/>
                <w:szCs w:val="21"/>
              </w:rPr>
            </w:pPr>
            <w:r>
              <w:rPr>
                <w:rFonts w:hint="eastAsia" w:ascii="宋体" w:hAnsi="宋体" w:eastAsia="宋体" w:cs="宋体"/>
                <w:szCs w:val="21"/>
              </w:rPr>
              <w:t>采购计划编号</w:t>
            </w:r>
          </w:p>
        </w:tc>
        <w:tc>
          <w:tcPr>
            <w:tcW w:w="1512" w:type="pct"/>
            <w:vAlign w:val="center"/>
          </w:tcPr>
          <w:p>
            <w:pPr>
              <w:jc w:val="center"/>
              <w:rPr>
                <w:rFonts w:hint="eastAsia" w:ascii="宋体" w:hAnsi="宋体" w:eastAsia="宋体" w:cs="宋体"/>
                <w:bCs/>
                <w:szCs w:val="21"/>
              </w:rPr>
            </w:pPr>
            <w:r>
              <w:rPr>
                <w:rFonts w:hint="eastAsia" w:ascii="宋体" w:hAnsi="宋体" w:eastAsia="宋体" w:cs="宋体"/>
                <w:bCs/>
                <w:szCs w:val="21"/>
              </w:rPr>
              <w:t>服务需求名称（标的名称）</w:t>
            </w:r>
          </w:p>
        </w:tc>
        <w:tc>
          <w:tcPr>
            <w:tcW w:w="527" w:type="pct"/>
            <w:vAlign w:val="center"/>
          </w:tcPr>
          <w:p>
            <w:pPr>
              <w:jc w:val="center"/>
              <w:rPr>
                <w:rFonts w:hint="eastAsia" w:ascii="宋体" w:hAnsi="宋体" w:eastAsia="宋体" w:cs="宋体"/>
                <w:bCs/>
                <w:szCs w:val="21"/>
              </w:rPr>
            </w:pPr>
            <w:r>
              <w:rPr>
                <w:rFonts w:hint="eastAsia" w:ascii="宋体" w:hAnsi="宋体" w:eastAsia="宋体" w:cs="宋体"/>
                <w:bCs/>
                <w:szCs w:val="21"/>
              </w:rPr>
              <w:t>数量</w:t>
            </w:r>
          </w:p>
        </w:tc>
        <w:tc>
          <w:tcPr>
            <w:tcW w:w="481" w:type="pct"/>
            <w:vAlign w:val="center"/>
          </w:tcPr>
          <w:p>
            <w:pPr>
              <w:jc w:val="center"/>
              <w:rPr>
                <w:rFonts w:hint="eastAsia" w:ascii="宋体" w:hAnsi="宋体" w:eastAsia="宋体" w:cs="宋体"/>
                <w:bCs/>
                <w:szCs w:val="21"/>
              </w:rPr>
            </w:pPr>
            <w:r>
              <w:rPr>
                <w:rFonts w:hint="eastAsia" w:ascii="宋体" w:hAnsi="宋体" w:eastAsia="宋体" w:cs="宋体"/>
                <w:bCs/>
                <w:szCs w:val="21"/>
              </w:rPr>
              <w:t>单位</w:t>
            </w:r>
          </w:p>
        </w:tc>
        <w:tc>
          <w:tcPr>
            <w:tcW w:w="821" w:type="pct"/>
            <w:vAlign w:val="center"/>
          </w:tcPr>
          <w:p>
            <w:pPr>
              <w:jc w:val="center"/>
              <w:rPr>
                <w:rFonts w:hint="eastAsia" w:ascii="宋体" w:hAnsi="宋体" w:eastAsia="宋体" w:cs="宋体"/>
                <w:bCs/>
                <w:szCs w:val="21"/>
              </w:rPr>
            </w:pPr>
            <w:r>
              <w:rPr>
                <w:rFonts w:hint="eastAsia" w:ascii="宋体" w:hAnsi="宋体" w:eastAsia="宋体" w:cs="宋体"/>
                <w:b/>
                <w:bCs/>
                <w:color w:val="FF0000"/>
                <w:szCs w:val="21"/>
                <w:lang w:val="en-US" w:eastAsia="zh-CN"/>
              </w:rPr>
              <w:t>是否专门面向中小企业</w:t>
            </w:r>
          </w:p>
        </w:tc>
        <w:tc>
          <w:tcPr>
            <w:tcW w:w="729" w:type="pct"/>
            <w:vAlign w:val="center"/>
          </w:tcPr>
          <w:p>
            <w:pPr>
              <w:jc w:val="cente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标的所属行业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52" w:type="pct"/>
            <w:vAlign w:val="center"/>
          </w:tcPr>
          <w:p>
            <w:pPr>
              <w:jc w:val="center"/>
              <w:rPr>
                <w:rFonts w:hint="eastAsia" w:ascii="宋体" w:hAnsi="宋体" w:eastAsia="宋体" w:cs="宋体"/>
                <w:bCs/>
                <w:szCs w:val="21"/>
              </w:rPr>
            </w:pPr>
            <w:r>
              <w:rPr>
                <w:rFonts w:hint="eastAsia" w:ascii="宋体" w:hAnsi="宋体" w:eastAsia="宋体" w:cs="宋体"/>
                <w:bCs/>
                <w:szCs w:val="21"/>
              </w:rPr>
              <w:t>1</w:t>
            </w:r>
          </w:p>
        </w:tc>
        <w:tc>
          <w:tcPr>
            <w:tcW w:w="674" w:type="pct"/>
            <w:vAlign w:val="center"/>
          </w:tcPr>
          <w:p>
            <w:pPr>
              <w:jc w:val="center"/>
              <w:rPr>
                <w:rFonts w:hint="eastAsia" w:ascii="宋体" w:hAnsi="宋体" w:eastAsia="宋体" w:cs="宋体"/>
                <w:bCs/>
                <w:szCs w:val="21"/>
              </w:rPr>
            </w:pPr>
            <w:r>
              <w:rPr>
                <w:rFonts w:hint="eastAsia" w:ascii="宋体" w:hAnsi="宋体" w:eastAsia="宋体" w:cs="宋体"/>
                <w:bCs/>
                <w:szCs w:val="21"/>
              </w:rPr>
              <w:t>PLAN-***</w:t>
            </w:r>
          </w:p>
        </w:tc>
        <w:tc>
          <w:tcPr>
            <w:tcW w:w="1512" w:type="pct"/>
            <w:vAlign w:val="center"/>
          </w:tcPr>
          <w:p>
            <w:pPr>
              <w:jc w:val="center"/>
              <w:rPr>
                <w:rFonts w:hint="eastAsia" w:ascii="宋体" w:hAnsi="宋体" w:eastAsia="宋体" w:cs="宋体"/>
                <w:bCs/>
                <w:szCs w:val="21"/>
              </w:rPr>
            </w:pPr>
            <w:r>
              <w:rPr>
                <w:rFonts w:hint="eastAsia"/>
                <w:b/>
                <w:bCs/>
                <w:color w:val="FF0000"/>
                <w:szCs w:val="21"/>
              </w:rPr>
              <w:t>深圳市龙华区教育局2026年龙华区部分公办学校及幼儿园食材集中批量采购</w:t>
            </w:r>
          </w:p>
        </w:tc>
        <w:tc>
          <w:tcPr>
            <w:tcW w:w="527" w:type="pct"/>
            <w:vAlign w:val="center"/>
          </w:tcPr>
          <w:p>
            <w:pPr>
              <w:jc w:val="center"/>
              <w:rPr>
                <w:rFonts w:hint="eastAsia" w:ascii="宋体" w:hAnsi="宋体" w:eastAsia="宋体" w:cs="宋体"/>
                <w:bCs/>
                <w:szCs w:val="21"/>
              </w:rPr>
            </w:pPr>
            <w:r>
              <w:rPr>
                <w:rFonts w:hint="eastAsia"/>
                <w:highlight w:val="none"/>
                <w:lang w:val="en-US" w:eastAsia="zh-CN"/>
              </w:rPr>
              <w:t>1</w:t>
            </w:r>
          </w:p>
        </w:tc>
        <w:tc>
          <w:tcPr>
            <w:tcW w:w="481" w:type="pct"/>
            <w:vAlign w:val="center"/>
          </w:tcPr>
          <w:p>
            <w:pPr>
              <w:jc w:val="center"/>
              <w:rPr>
                <w:rFonts w:hint="eastAsia" w:ascii="宋体" w:hAnsi="宋体" w:eastAsia="宋体" w:cs="宋体"/>
                <w:bCs/>
                <w:szCs w:val="21"/>
              </w:rPr>
            </w:pPr>
            <w:r>
              <w:rPr>
                <w:rFonts w:hint="eastAsia"/>
                <w:bCs/>
                <w:szCs w:val="21"/>
                <w:highlight w:val="none"/>
                <w:lang w:val="en-US" w:eastAsia="zh-CN"/>
              </w:rPr>
              <w:t>项</w:t>
            </w:r>
          </w:p>
        </w:tc>
        <w:tc>
          <w:tcPr>
            <w:tcW w:w="821" w:type="pct"/>
            <w:vAlign w:val="center"/>
          </w:tcPr>
          <w:p>
            <w:pPr>
              <w:jc w:val="center"/>
              <w:rPr>
                <w:rFonts w:hint="eastAsia" w:ascii="宋体" w:hAnsi="宋体" w:eastAsia="宋体" w:cs="宋体"/>
                <w:bCs/>
                <w:szCs w:val="21"/>
              </w:rPr>
            </w:pPr>
            <w:r>
              <w:rPr>
                <w:rFonts w:hint="eastAsia"/>
                <w:bCs/>
                <w:szCs w:val="21"/>
                <w:highlight w:val="none"/>
                <w:lang w:val="en-US" w:eastAsia="zh-CN"/>
              </w:rPr>
              <w:t>否</w:t>
            </w:r>
          </w:p>
        </w:tc>
        <w:tc>
          <w:tcPr>
            <w:tcW w:w="729" w:type="pct"/>
            <w:vAlign w:val="center"/>
          </w:tcPr>
          <w:p>
            <w:pPr>
              <w:jc w:val="center"/>
              <w:rPr>
                <w:rFonts w:hint="eastAsia" w:ascii="宋体" w:hAnsi="宋体" w:eastAsia="宋体" w:cs="宋体"/>
                <w:bCs/>
                <w:szCs w:val="21"/>
              </w:rPr>
            </w:pPr>
            <w:r>
              <w:rPr>
                <w:rFonts w:hint="eastAsia"/>
                <w:bCs/>
                <w:szCs w:val="21"/>
                <w:highlight w:val="none"/>
                <w:lang w:val="en-US" w:eastAsia="zh-CN"/>
              </w:rPr>
              <w:t>批发业</w:t>
            </w:r>
          </w:p>
        </w:tc>
      </w:tr>
    </w:tbl>
    <w:p>
      <w:pPr>
        <w:rPr>
          <w:rFonts w:ascii="宋体" w:hAnsi="宋体"/>
          <w:b/>
          <w:color w:val="FF0000"/>
          <w:szCs w:val="21"/>
        </w:rPr>
      </w:pPr>
    </w:p>
    <w:p>
      <w:pPr>
        <w:pStyle w:val="4"/>
        <w:spacing w:before="120" w:beforeLines="50" w:after="120" w:afterLines="50"/>
        <w:outlineLvl w:val="2"/>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4" w:type="dxa"/>
          </w:tcPr>
          <w:p>
            <w:pPr>
              <w:adjustRightInd w:val="0"/>
              <w:snapToGrid w:val="0"/>
              <w:spacing w:line="240" w:lineRule="auto"/>
              <w:jc w:val="center"/>
              <w:rPr>
                <w:rFonts w:ascii="宋体" w:hAnsi="宋体"/>
                <w:kern w:val="0"/>
                <w:szCs w:val="21"/>
              </w:rPr>
            </w:pPr>
            <w:r>
              <w:rPr>
                <w:rFonts w:hint="eastAsia" w:ascii="宋体" w:hAnsi="宋体"/>
                <w:kern w:val="0"/>
                <w:szCs w:val="21"/>
              </w:rPr>
              <w:t>序号</w:t>
            </w:r>
          </w:p>
        </w:tc>
        <w:tc>
          <w:tcPr>
            <w:tcW w:w="7795" w:type="dxa"/>
          </w:tcPr>
          <w:p>
            <w:pPr>
              <w:adjustRightInd w:val="0"/>
              <w:snapToGrid w:val="0"/>
              <w:spacing w:line="240" w:lineRule="auto"/>
              <w:jc w:val="center"/>
              <w:rPr>
                <w:rFonts w:ascii="宋体" w:hAnsi="宋体"/>
                <w:kern w:val="0"/>
                <w:szCs w:val="21"/>
              </w:rPr>
            </w:pPr>
            <w:r>
              <w:rPr>
                <w:rFonts w:hint="eastAsia" w:ascii="宋体" w:hAnsi="宋体"/>
                <w:kern w:val="0"/>
                <w:szCs w:val="21"/>
              </w:rPr>
              <w:t>实质性条款具体内容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34" w:type="dxa"/>
            <w:vAlign w:val="center"/>
          </w:tcPr>
          <w:p>
            <w:pPr>
              <w:adjustRightInd w:val="0"/>
              <w:snapToGrid w:val="0"/>
              <w:spacing w:line="240" w:lineRule="auto"/>
              <w:jc w:val="center"/>
              <w:rPr>
                <w:rFonts w:ascii="宋体" w:hAnsi="宋体"/>
                <w:kern w:val="0"/>
                <w:szCs w:val="21"/>
              </w:rPr>
            </w:pPr>
            <w:r>
              <w:rPr>
                <w:rFonts w:hint="eastAsia" w:ascii="宋体" w:hAnsi="宋体"/>
                <w:kern w:val="0"/>
                <w:szCs w:val="21"/>
              </w:rPr>
              <w:t>1</w:t>
            </w:r>
          </w:p>
        </w:tc>
        <w:tc>
          <w:tcPr>
            <w:tcW w:w="7795" w:type="dxa"/>
            <w:vAlign w:val="center"/>
          </w:tcPr>
          <w:p>
            <w:pPr>
              <w:spacing w:line="240" w:lineRule="auto"/>
              <w:rPr>
                <w:rFonts w:hAnsi="宋体" w:eastAsiaTheme="minorEastAsia"/>
                <w:kern w:val="0"/>
                <w:szCs w:val="21"/>
              </w:rPr>
            </w:pPr>
            <w:r>
              <w:rPr>
                <w:rFonts w:hint="eastAsia" w:asciiTheme="minorEastAsia" w:hAnsiTheme="minorEastAsia" w:eastAsiaTheme="minorEastAsia" w:cstheme="minorEastAsia"/>
                <w:b/>
                <w:sz w:val="21"/>
                <w:szCs w:val="21"/>
              </w:rPr>
              <w:t>本项目第三章用户需求书全部内容</w:t>
            </w:r>
          </w:p>
        </w:tc>
      </w:tr>
    </w:tbl>
    <w:p>
      <w:pPr>
        <w:keepNext/>
        <w:keepLines/>
        <w:pageBreakBefore w:val="0"/>
        <w:widowControl w:val="0"/>
        <w:tabs>
          <w:tab w:val="left" w:pos="765"/>
        </w:tabs>
        <w:kinsoku/>
        <w:wordWrap/>
        <w:overflowPunct/>
        <w:topLinePunct w:val="0"/>
        <w:autoSpaceDE/>
        <w:autoSpaceDN/>
        <w:bidi w:val="0"/>
        <w:adjustRightInd/>
        <w:snapToGrid/>
        <w:spacing w:line="377" w:lineRule="auto"/>
        <w:ind w:firstLine="420" w:firstLineChars="200"/>
        <w:textAlignment w:val="auto"/>
        <w:outlineLvl w:val="9"/>
        <w:rPr>
          <w:rFonts w:ascii="黑体"/>
          <w:b w:val="0"/>
          <w:kern w:val="0"/>
          <w:sz w:val="21"/>
          <w:szCs w:val="21"/>
        </w:rPr>
      </w:pPr>
      <w:r>
        <w:rPr>
          <w:rFonts w:hint="eastAsia" w:ascii="黑体"/>
          <w:b w:val="0"/>
          <w:kern w:val="0"/>
          <w:sz w:val="21"/>
          <w:szCs w:val="21"/>
        </w:rPr>
        <w:t>注：上表所列内容为不可负偏离条款，</w:t>
      </w:r>
      <w:r>
        <w:rPr>
          <w:rFonts w:hint="eastAsia" w:asciiTheme="minorEastAsia" w:hAnsiTheme="minorEastAsia" w:eastAsiaTheme="minorEastAsia" w:cstheme="minorEastAsia"/>
          <w:b/>
          <w:sz w:val="21"/>
          <w:szCs w:val="21"/>
        </w:rPr>
        <w:t>如未响应或出现负偏离</w:t>
      </w:r>
      <w:r>
        <w:rPr>
          <w:rFonts w:hint="eastAsia" w:asciiTheme="minorEastAsia" w:hAnsiTheme="minorEastAsia" w:eastAsiaTheme="minorEastAsia" w:cstheme="minorEastAsia"/>
          <w:b/>
          <w:sz w:val="21"/>
          <w:szCs w:val="21"/>
          <w:lang w:val="en-US" w:eastAsia="zh-CN"/>
        </w:rPr>
        <w:t>时</w:t>
      </w:r>
      <w:r>
        <w:rPr>
          <w:rFonts w:hint="eastAsia" w:ascii="黑体"/>
          <w:b w:val="0"/>
          <w:kern w:val="0"/>
          <w:sz w:val="21"/>
          <w:szCs w:val="21"/>
        </w:rPr>
        <w:t>将视为未实质性满足招标文件要求</w:t>
      </w:r>
      <w:r>
        <w:rPr>
          <w:rFonts w:hint="eastAsia" w:ascii="黑体"/>
          <w:b w:val="0"/>
          <w:kern w:val="0"/>
          <w:sz w:val="21"/>
          <w:szCs w:val="21"/>
          <w:lang w:eastAsia="zh-CN"/>
        </w:rPr>
        <w:t>，</w:t>
      </w:r>
      <w:r>
        <w:rPr>
          <w:rFonts w:hint="eastAsia" w:ascii="黑体"/>
          <w:b w:val="0"/>
          <w:kern w:val="0"/>
          <w:sz w:val="21"/>
          <w:szCs w:val="21"/>
        </w:rPr>
        <w:t>作投标无效处理。</w:t>
      </w:r>
      <w:bookmarkEnd w:id="30"/>
    </w:p>
    <w:p>
      <w:pPr>
        <w:pStyle w:val="4"/>
        <w:spacing w:before="120" w:beforeLines="50" w:after="120" w:afterLines="50"/>
        <w:outlineLvl w:val="2"/>
        <w:rPr>
          <w:szCs w:val="24"/>
        </w:rPr>
      </w:pPr>
      <w:r>
        <w:rPr>
          <w:rFonts w:hint="eastAsia"/>
          <w:szCs w:val="24"/>
        </w:rPr>
        <w:t>五、技术要求</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（一）配套服务人员要求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1.中标单位成立食堂配送项目专项服务团队，负责跟进各学校（幼儿园）每日的采购单据的制定、修改，核价，开具发票等相关事项及提供各种服务，并</w:t>
      </w:r>
      <w:r>
        <w:rPr>
          <w:rFonts w:hint="eastAsia" w:ascii="宋体" w:hAnsi="宋体" w:eastAsia="宋体" w:cs="宋体"/>
          <w:sz w:val="21"/>
          <w:szCs w:val="21"/>
          <w:highlight w:val="none"/>
        </w:rPr>
        <w:t>根据项目包内各公办学校（幼儿园）的实际需要配备粗加工服务人员</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每个学校（幼儿园）至少配备一名粗加工服务人员，负责削皮、摘菜、肉类食材粗加工等工作</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要求在厨师炒菜前30分钟完成粗加工处理，确保食堂准时开餐。具体人数在与各公办学校（幼儿园）签订配送协议时约定，服务人员</w:t>
      </w:r>
      <w:r>
        <w:rPr>
          <w:rFonts w:hint="eastAsia" w:ascii="宋体" w:hAnsi="宋体" w:eastAsia="宋体" w:cs="宋体"/>
          <w:sz w:val="21"/>
          <w:szCs w:val="21"/>
          <w:highlight w:val="none"/>
          <w:lang w:eastAsia="zh-CN"/>
        </w:rPr>
        <w:t>需为投标人自有员工，无违法犯罪记录证明，且</w:t>
      </w:r>
      <w:r>
        <w:rPr>
          <w:rFonts w:hint="eastAsia" w:ascii="宋体" w:hAnsi="宋体" w:eastAsia="宋体" w:cs="宋体"/>
          <w:sz w:val="21"/>
          <w:szCs w:val="21"/>
          <w:highlight w:val="none"/>
        </w:rPr>
        <w:t>必须符合并遵守学校食堂管理要求与规范。</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服务人员必须持行业主管部门认可的有效期内的健康合格证明，并每年进行定期体检，所有办证费用、体检费用由中标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rPr>
        <w:t>承担。</w:t>
      </w:r>
    </w:p>
    <w:p>
      <w:pPr>
        <w:spacing w:line="360" w:lineRule="auto"/>
        <w:ind w:firstLine="420" w:firstLineChars="200"/>
        <w:outlineLvl w:val="3"/>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（二）食材质量要求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1.预包装产品保质期在一年及以上的，建议收货时的剩余质保期不得少于标注有效期的二分之一；保质期不足一年的，收货时的剩余质保期不得少于标注有效期的三分之二。</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2、食材质量等级指标不低于该产品标准的中位数水平，如质量或规格等级划分为1、2、3、4、5或大（L）、中（M）、小（S）的，应选择1、2或大（L）、中（M）等级。</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3.各种食材的感官性状无异常，无明显腐败变质、油脂酸败、发霉生虫、污秽不洁、混有异物、掺假掺杂等情况。</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农副产品外观新鲜，无明显萎蔫、腐烂、发芽、畸形等异常情况；蔬菜类必须保证无黄叶、枯死叶、无虫、无杂质；水果及其制品必须保证成熟、新鲜、无腐烂变质；鲜肉应肉质新鲜，具有动物检验检疫合格证明；冷冻食材要求冻实而坚硬,无化冻现象，无过度包裹冰衣的情况；鲜活水产要求鲜活。</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预包装食品的包装整洁、完好，无破损或胀气现象；标签内容完整、清晰，详细列明产品名称、净含量（规格）、生产日期、配料表、生产者的名称、地址、联系方式、保质期、产品标准代号、贮存条件、生产许可证编号等内容（具体符合GB7718的要求），原则上各学校及幼儿园需采购农副产品及预包装食品。</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非预包装食品及农产品的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8.属于无公害农产品、绿色食品、有机农产品、圳品的，应当标注相应的标志和附带有相关证明文件。</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三</w:t>
      </w:r>
      <w:r>
        <w:rPr>
          <w:rFonts w:hint="eastAsia" w:ascii="宋体" w:hAnsi="宋体" w:eastAsia="宋体" w:cs="宋体"/>
          <w:sz w:val="21"/>
          <w:szCs w:val="21"/>
          <w:highlight w:val="none"/>
        </w:rPr>
        <w:t>）项目验收技术要求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1.成品粮（大米、小麦粉或面粉）的食品安全指标应符合GB 2715（或最新标准）的规定。其中：大米的质量指标符合食品安全国家标准（GB 2715、GB2762、GB2763等）及产品标签明示执行标准的要求。除此之外，还应符合GB/T 1354普通大米二级（含）或优质大米二级（含）以上的要求，应提供含重金属指标（镉、铅）的产品检验合格证明；小麦粉（面粉）的质量指标符合食品安全国家标准（GB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2.成品食用油应为预包装食用植物油；食用油的食品安全指标应符合GB 2716、GB 2761和GB 2762的规定。其中：大豆油应按GB/T 1535的要求选择一级或二级的大豆油；玉米油的质量指标不低于GB/T 19111的二级成品玉米油的技术要求；菜籽油的质量指标不低于GB/T 1536的二级压榨成品菜籽油的技术要求；花生油的质量指标不低于GB/T 1534的二级压榨成品花生油或二级浸出成品花生油的技术要求；米糠油质量不低于GB/T 19112二级的要求；调和油标签或附带说明书应明确列出调和油的原料或配比。</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乳制品以生牛乳为主要原料加工，不得使用、不得添加复原乳及营养强化剂，符合食品安全国家标准及产品标签明示执行标准的要求：乳制品（仅限发酵乳、巴氏杀菌乳、灭菌乳、调制乳）的食品安全指标应分别符合GB19302、GB19645、GB25190、GB25191（或最新标准）的规定。学生饮用奶、纯牛奶、灭菌调制奶的食品安全指标应分别符合T/DAC004、T/DAC005（或最新标准）的规定。</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鲜蛋的食品安全指标应符合食品安全国家标准（GB 31650、GB 2762、GB 2749）（或最新标准）的规定。产品介绍内容清晰，明确标注产品的品名、商标、生产日期、保质期、产地、储存条件等相关信息，并与合同文件及供（送）货单内容一致；包装应采用符合国家卫生标准要求的包装材料。</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生鲜肉的食品安全指标应符合GB 2707、GB 16869（或最新标准）的规定。国家有定点屠宰、检验检疫要求的品种，应来自于定点屠宰厂出品、有国家规定的动物产品检疫合格证明及验讫印章（猪肉还需有肉品品质检验合格证明及验讫印章）。其中：猪肉的质量指标应符合GB2707、GB/T 9959.1、GB/T9959.2（或最新标准）的相应技术要求；牛肉的质量指标应符合GB2707、GB/T 17238（或最新标准）的相应技术要求；羊肉的质量指标应符合GB2707、GB/T 9961（或最新标准）的相应技术要求。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6.其他类：调味品应为预包装产品，符合产品明示执行标准、明示指标及食品安全国家标准的要求，随货有该批次产品质量检测合格证、包装完好无损、标签内容清晰明确。其中：食盐的质量指标应符合GB 2721的要求；酱油的质量指标应符合GB 2717的要求，质量指标不低于GB/T 18186的二级酱油技术要求，特征指标（氨基酸态氮）≥0.7g/100 mL；食醋的质量指标应符合GB 2719的要求，特征指标（总酸）≥3.5g/100mL；香辛料符合该产品应有的形态和特征，颜色、气味正常，无杂物，无发霉、结块等异常状况。</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7.《深圳市学校食堂食材采购验收参考标准》（详见附件）规定的其他条件。</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以上所有产品必须符合国家的相关标准与要求，在配送时按要求提供产品所涉及的《全国工业产品生产许可证》、《食品生产许可证》、《食品经营许可证》、《生猪定点屠宰证》和《动物防疫条件合格证》等国家强制规定材料，不得提供转基因食品或利用转基因食品原料加工的成品，国家有出台新的更高标准的，以新的更高标准为准，预包装类食材销售投标人需在市场监管部门备案。</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四</w:t>
      </w:r>
      <w:r>
        <w:rPr>
          <w:rFonts w:hint="eastAsia" w:ascii="宋体" w:hAnsi="宋体" w:eastAsia="宋体" w:cs="宋体"/>
          <w:sz w:val="21"/>
          <w:szCs w:val="21"/>
          <w:highlight w:val="none"/>
        </w:rPr>
        <w:t>）项目其他要求</w:t>
      </w:r>
    </w:p>
    <w:p>
      <w:pPr>
        <w:spacing w:line="360" w:lineRule="auto"/>
        <w:ind w:firstLine="420" w:firstLineChars="200"/>
        <w:rPr>
          <w:rFonts w:hint="eastAsia" w:ascii="宋体" w:hAnsi="宋体" w:eastAsia="宋体" w:cs="宋体"/>
          <w:sz w:val="21"/>
          <w:szCs w:val="21"/>
          <w:highlight w:val="none"/>
          <w:lang w:val="zh-TW"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zh-TW" w:eastAsia="zh-CN"/>
        </w:rPr>
        <w:t>本次招标结果仅代表中标供应商可获得的最高采购份额，采购</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zh-TW" w:eastAsia="zh-CN"/>
        </w:rPr>
        <w:t>无法预计实际采购量及落实政府政策等不可抗因素，同时无法保证中标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zh-TW" w:eastAsia="zh-CN"/>
        </w:rPr>
        <w:t>可以获得全部份额。</w:t>
      </w:r>
    </w:p>
    <w:p>
      <w:pPr>
        <w:spacing w:line="360" w:lineRule="auto"/>
        <w:ind w:firstLine="420" w:firstLineChars="200"/>
        <w:rPr>
          <w:rFonts w:hint="eastAsia" w:ascii="宋体" w:hAnsi="宋体" w:eastAsia="宋体" w:cs="宋体"/>
          <w:sz w:val="21"/>
          <w:szCs w:val="21"/>
          <w:highlight w:val="none"/>
          <w:lang w:val="zh-TW"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zh-TW" w:eastAsia="zh-CN"/>
        </w:rPr>
        <w:t>为确保项目质量，中标供应商不得转包、分包，否则采购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有权</w:t>
      </w:r>
      <w:r>
        <w:rPr>
          <w:rFonts w:hint="eastAsia" w:ascii="宋体" w:hAnsi="宋体" w:eastAsia="宋体" w:cs="宋体"/>
          <w:sz w:val="21"/>
          <w:szCs w:val="21"/>
          <w:highlight w:val="none"/>
          <w:lang w:val="en-US" w:eastAsia="zh-CN"/>
        </w:rPr>
        <w:t>终止其采购供应合同</w:t>
      </w:r>
      <w:r>
        <w:rPr>
          <w:rFonts w:hint="eastAsia" w:ascii="宋体" w:hAnsi="宋体" w:eastAsia="宋体" w:cs="宋体"/>
          <w:sz w:val="21"/>
          <w:szCs w:val="21"/>
          <w:highlight w:val="none"/>
          <w:lang w:val="zh-TW" w:eastAsia="zh-CN"/>
        </w:rPr>
        <w:t>，并要求中标供应商赔偿相应损失。</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3.中标人必须负责所配送货物的运输、质量检测等工作，所产生的费用由中标人负责。</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4.严禁由第三方公司配送（如货拉拉、美团跑腿等）。</w:t>
      </w:r>
    </w:p>
    <w:p>
      <w:pPr>
        <w:spacing w:line="360" w:lineRule="auto"/>
        <w:ind w:firstLine="420" w:firstLineChars="200"/>
        <w:rPr>
          <w:b/>
          <w:sz w:val="24"/>
          <w:highlight w:val="none"/>
        </w:rPr>
      </w:pPr>
      <w:r>
        <w:rPr>
          <w:rFonts w:hint="eastAsia" w:ascii="宋体" w:hAnsi="宋体" w:eastAsia="宋体" w:cs="宋体"/>
          <w:sz w:val="21"/>
          <w:szCs w:val="21"/>
          <w:highlight w:val="none"/>
          <w:lang w:val="en-US" w:eastAsia="zh-CN"/>
        </w:rPr>
        <w:t>5.本项目属于国家机关、事业单位等使用财政性资金采购服务的情形，遵循政府采购相关规定，中标人合同履约、服务质量情况接受采购人及政府采购主管部门的监督和管理。</w:t>
      </w:r>
    </w:p>
    <w:p>
      <w:pPr>
        <w:pStyle w:val="4"/>
        <w:spacing w:before="120" w:beforeLines="50" w:after="120" w:afterLines="50"/>
        <w:outlineLvl w:val="2"/>
        <w:rPr>
          <w:szCs w:val="24"/>
        </w:rPr>
      </w:pPr>
      <w:r>
        <w:rPr>
          <w:rFonts w:hint="eastAsia"/>
          <w:szCs w:val="24"/>
        </w:rPr>
        <w:t>六、商务要求</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（一）项目服务期限</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本项目合同期为自签订之日至2027年8 月31日。合同期满后，不再续签。</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付款期限和方式</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1.货款每个月结算一次。供应商提供的货款发票，发票公章必须与公司</w:t>
      </w:r>
      <w:r>
        <w:rPr>
          <w:rFonts w:hint="eastAsia" w:ascii="宋体" w:hAnsi="宋体" w:eastAsia="宋体" w:cs="宋体"/>
          <w:sz w:val="21"/>
          <w:szCs w:val="21"/>
          <w:lang w:val="en-US" w:eastAsia="zh-CN"/>
        </w:rPr>
        <w:t>名称相符，合同方、收款方、发票方三者必须一致，学校（幼儿园）确认后予以支付。因中标人原因或财政支付程序导致付款迟延的，采购人不承担任何责任，中标人应当继续履行完成任务。</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2.具体付款方式由学校（幼儿园）签订配送协议时约定。</w:t>
      </w:r>
    </w:p>
    <w:p>
      <w:pPr>
        <w:spacing w:line="360" w:lineRule="auto"/>
        <w:ind w:firstLine="420" w:firstLineChars="200"/>
        <w:outlineLvl w:val="3"/>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三</w:t>
      </w:r>
      <w:r>
        <w:rPr>
          <w:rFonts w:hint="eastAsia" w:ascii="宋体" w:hAnsi="宋体" w:eastAsia="宋体" w:cs="宋体"/>
          <w:sz w:val="21"/>
          <w:szCs w:val="21"/>
        </w:rPr>
        <w:t>）</w:t>
      </w:r>
      <w:r>
        <w:rPr>
          <w:rFonts w:hint="eastAsia" w:ascii="宋体" w:hAnsi="宋体" w:eastAsia="宋体" w:cs="宋体"/>
          <w:sz w:val="21"/>
          <w:szCs w:val="21"/>
          <w:lang w:eastAsia="zh-CN"/>
        </w:rPr>
        <w:t>下单配送及验收</w:t>
      </w:r>
      <w:r>
        <w:rPr>
          <w:rFonts w:hint="eastAsia" w:ascii="宋体" w:hAnsi="宋体" w:eastAsia="宋体" w:cs="宋体"/>
          <w:sz w:val="21"/>
          <w:szCs w:val="21"/>
        </w:rPr>
        <w:t>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学校（幼儿园）应成立由学校食品安全员和食堂管理人员等组成的食材验收小组对食材进行验收，负责核验食材种类、数量、质量和索证索票等。验收完成后，验收小组各成员须在送货单上签字确认，学校（幼儿园）和中标人至少各留存一份送货单。学校（幼儿园）可结合实际情况使用智能设备或系统进行验收和管理，并做好食堂台账管理。</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按《深圳市学校食堂食材采购验收参考标准》进行验收。货物运至指定地点后，由学校（幼儿园）对所供货物的质量、品种、数量等进行验收。货物经学校（幼儿园）相关指定部门验收合格签字后，并不能免除中标人对货物应承担的责任。若货物验收时有关质量要求不能满足招标文件的质量要求，学校（幼儿园）有权要求更换并同时有权要求索赔。中标人送货时需向学校（幼儿园）指定收货部门提供进货的各类小票、单据和相关部门出具的检验检疫报告，做好台帐工作。采购原材料应索取产品合格证以及同批次检验（测）报告。采购畜禽肉类时，需具备动物产品检疫合格证明，猪肉还需附有非洲猪瘟检测证明、肉品品质检验合格证明；大米应具备镉、黄曲霉毒素等指标的检测报告。进货查验记录和相关凭证的保存期限不少于产品保质期满后6个月；无明确保质期的，保存期限不少于2年。其他各项记录保存期限宜为2年。</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中标人与学校（幼儿园）在食品数量验收方面必须严格执行，不能弄虚作假，必须保证配送品种斤两的准确性，以学校（幼儿园）的验货数量为准，中标人每次随货送上一式三份的送货清单,供双方验货后签字确认，中标人一份，学校（幼儿园）持两份，作为送、收货的凭证。</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.根据采购单位实际需要，食材送达具体时间由学校（幼儿园）在签订服务合同时约定</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食材送达后，按照采购单位的要求进行分类清点，待食堂工作人员验收核对后送达学校指定位置（如遇特殊情况，学校（幼儿园）可以改变送货时间，但应提前通知中标方），学校（幼儿园）在合同履行过程中有权增加或减少配送点个数或者变更送货地点，中标人对此无条件配合。</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.必须具备符合食品安全要求及满足配送需要的仓储（自有或租赁深圳本地的配送场所、冷库及储存空间）、交通运输等设施设备，确保食材的安全储存和安全运输。</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.提供的大宗食材原料必须是符合国家或行业最新食品质量安全标准的食材。</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食材配送车辆应为专用封闭式，车辆内部结构应平整、便于清洁，配送冷冻、冷藏食品的车辆应有温度控制设备。凭专用通行证（各学校（幼儿园）自行制定）进出学校（幼儿园）。并配备专人对接管理，跟进做好全过程验收协调管理事宜，确保食材配送质量及安全严格符合国家标准及规范。</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.生鲜肉等鲜活类须当日配送，其余品类食材可视学校（幼儿园）实际需求酌情配送，但须确保学校（幼儿园）食品新鲜、优质、安全可靠。</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.应具备相对完善的配送服务计划。包括但不限于配送流程、学校（幼儿园）食堂专项配送服务人员、物流配送应急预案、食品安全应急预案、客户沟通及投诉反馈等相应机制。</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.学校（幼儿园）对货物进行认真验收，对不符合规格要求的商品，中标人必须无条件退货。中标人未能履行招标文件和合同所定事项, 或供应不合格的、假冒伪劣、以次充好的商品，学校（幼儿园）退货后将记录在案，并对中标人予以处罚，除要承担因此产生的一切损失和费用外，情节严重的可终止其采购供应合同。</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zh-TW" w:eastAsia="zh-CN"/>
        </w:rPr>
        <w:t>临时加货处理：对于学校（幼儿园）临时有接待餐任务或临时增加员工用餐时，供应商需快速将货物送到学校（幼儿园）的指定地点，派专人负责跟踪服务，保证用餐正常。在供货过程中，采购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学校（幼儿园）对所供货物有任何意见，可随时向中标</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反映，中标</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应及时改进，否则，采购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有权</w:t>
      </w:r>
      <w:r>
        <w:rPr>
          <w:rFonts w:hint="eastAsia" w:ascii="宋体" w:hAnsi="宋体" w:eastAsia="宋体" w:cs="宋体"/>
          <w:sz w:val="21"/>
          <w:szCs w:val="21"/>
          <w:highlight w:val="none"/>
          <w:lang w:val="en-US" w:eastAsia="zh-CN"/>
        </w:rPr>
        <w:t>终止其采购供应合同</w:t>
      </w:r>
      <w:r>
        <w:rPr>
          <w:rFonts w:hint="eastAsia" w:ascii="宋体" w:hAnsi="宋体" w:eastAsia="宋体" w:cs="宋体"/>
          <w:sz w:val="21"/>
          <w:szCs w:val="21"/>
          <w:highlight w:val="none"/>
          <w:lang w:val="zh-TW" w:eastAsia="zh-CN"/>
        </w:rPr>
        <w:t>。因配送运输中出现人身安全事故，中标</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独立承担一切刑事、民事责任，与采购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无关。中标</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应随时按采购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学校（幼儿园）要求提供各类货物检测报告。中标</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TW" w:eastAsia="zh-CN"/>
        </w:rPr>
        <w:t>所有员工凭健康证上岗，同时应成立食堂配送项目专项</w:t>
      </w:r>
      <w:r>
        <w:rPr>
          <w:rFonts w:hint="eastAsia" w:ascii="宋体" w:hAnsi="宋体" w:eastAsia="宋体" w:cs="宋体"/>
          <w:sz w:val="21"/>
          <w:szCs w:val="21"/>
          <w:highlight w:val="none"/>
          <w:lang w:val="en-US" w:eastAsia="zh-CN"/>
        </w:rPr>
        <w:t>服务团队</w:t>
      </w:r>
      <w:r>
        <w:rPr>
          <w:rFonts w:hint="eastAsia" w:ascii="宋体" w:hAnsi="宋体" w:eastAsia="宋体" w:cs="宋体"/>
          <w:sz w:val="21"/>
          <w:szCs w:val="21"/>
          <w:highlight w:val="none"/>
          <w:lang w:val="zh-TW" w:eastAsia="zh-CN"/>
        </w:rPr>
        <w:t>，负责相关工作及提供各种服务。</w:t>
      </w:r>
    </w:p>
    <w:p>
      <w:pPr>
        <w:spacing w:line="360" w:lineRule="auto"/>
        <w:ind w:firstLine="420" w:firstLineChars="200"/>
        <w:rPr>
          <w:rFonts w:hint="eastAsia" w:ascii="宋体" w:hAnsi="宋体" w:eastAsia="宋体" w:cs="宋体"/>
          <w:sz w:val="21"/>
          <w:szCs w:val="21"/>
          <w:highlight w:val="none"/>
          <w:lang w:val="en-US" w:eastAsia="zh-CN"/>
        </w:rPr>
      </w:pPr>
      <w:bookmarkStart w:id="32" w:name="OLE_LINK55"/>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lang w:val="en-US" w:eastAsia="zh-CN"/>
        </w:rPr>
        <w:t>.配送食材可通过“深圳市食品安全追溯系统”全面、及时、准确上传追溯信息，确保相关品名、规格、批次等数据真实完整，切保配送食材来源可溯、质量可控。</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w:t>
      </w:r>
      <w:bookmarkEnd w:id="32"/>
      <w:r>
        <w:rPr>
          <w:rFonts w:hint="eastAsia"/>
          <w:highlight w:val="none"/>
        </w:rPr>
        <w:t>供应商须使用深圳市教育局开通“深圳市学校食堂智慧管理平台”进行配送服务，供应商必须为所服务的每所学校（幼儿园）开通深圳市中农数据有限公司（天天采购平台）报价授权码Keyid账号对接“深圳市学校食堂智慧管理平台”，实现学校采购管理所需的货品查询、价格比对、商品下单、货品统计、送货清单及报账清单打印等，由此产生的中农授权码Keyid账号使用费用由供应商承担。采购人或具体使用学校一旦发现供应商提供报价单、送货单、报账清单与深圳市中农数据有限公司（天天采购平台）价格等信息不一致，采购人有权向主管部门申请将供应商列入政府采购失信企业名单。</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四</w:t>
      </w:r>
      <w:r>
        <w:rPr>
          <w:rFonts w:hint="eastAsia" w:ascii="宋体" w:hAnsi="宋体" w:eastAsia="宋体" w:cs="宋体"/>
          <w:sz w:val="21"/>
          <w:szCs w:val="21"/>
          <w:highlight w:val="none"/>
        </w:rPr>
        <w:t>）合同签订</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1.此次区教育局（集采集配采购实施主体）与各中标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en-US" w:eastAsia="zh-CN"/>
        </w:rPr>
        <w:t>签订片区采购合同（下称“主体合同”），明确各中标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en-US" w:eastAsia="zh-CN"/>
        </w:rPr>
        <w:t>的中标综合折扣、片区所属各公办学校（幼儿园）及其年度支付金额上限、服务期等合同内容，合同须经区教育局法律顾问审定。</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2.各公办学校（幼儿园）（集采集配对象）根据所属片区的主体合同，分别与该片区的中标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en-US" w:eastAsia="zh-CN"/>
        </w:rPr>
        <w:t>签订具体服务合同（下称“服务合同”），服务合同应当在主体合同的范围内约定双方具体的权利义务，包括但不限于服务期、年度支付金额上限、支付方式、履行期限、解决争议的方法。</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3.中标</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lang w:val="en-US" w:eastAsia="zh-CN"/>
        </w:rPr>
        <w:t>须按各公办学校（幼儿园）（集采集配对象）要求在合同签署时提交《食品质量安全承诺书》（详见附件）。</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4.各公办学校（幼儿园）（集采集配对象）将已签署的《食品质量安全承诺书》原件报区教育局登记备案。</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五</w:t>
      </w:r>
      <w:r>
        <w:rPr>
          <w:rFonts w:hint="eastAsia" w:ascii="宋体" w:hAnsi="宋体" w:eastAsia="宋体" w:cs="宋体"/>
          <w:sz w:val="21"/>
          <w:szCs w:val="21"/>
          <w:highlight w:val="none"/>
        </w:rPr>
        <w:t>）供应商退出机制</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1.中标供应商有违反法规法规规定，经查实，报财政主管部门取消其中标供应商资格：</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2.供应商在合同执行期间，出现以下行为情况之一者，经查属实的，区教育局报财政主管部门审核同意后有权终止其学校（幼儿园）大宗食材批量集中采购配送供应合同，并启动候补机制预案：</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（1）中标后无正当理由，不按照规定与采购单位签订合同的；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（2）擅自变更或者中止采购服务合同的；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（3）不按采购需求、投标文件以及采购服务合同要求全面履约，履约情况评价不合格的；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（4）未按规定出具检测报告或违背招标承诺书等情况达到二次的；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（5）不按招标文件等要求规定，发现 2 次以上虚假报价的；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（6）物资或服务以次充好，存在严重质量问题的；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（7）因供应的货物质量达不到国家有关食品安全标准而造成食物中毒或其它后果，属于供货方（配送单位）责任的；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（8）经 2 次以上（含 2 次）的有效投诉处理仍不纠正的，有效投诉指的是供应商被投诉内容经查实确定为违反服务合同或其他协议规定的事实；</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（9）因货品质量或其他原因而造成严重后果或恶劣影响的行为；</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（10）连续两次综合评议结果为不满意的；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（11）非法手段排斥其他供应商参与竞争的；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（12）拖欠工人工资、经劳动或其他政府部门催告或通报仍不清偿的；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（13）拒绝有关部门检查或者不如实反映情况，提供材料的；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（14）无正当理由，不接受或拒绝采购人订货、供货要求的；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（15）在合同期内有三次以上被抽检不合格的；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（16）供应商公司员工出现传染性疾病，继续履约存在安全风险隐患的；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（17）供应商公司所属员工在配送过程中与学校（幼儿园）工作人员产生矛盾，发生严重肢体冲突，升级为刑事案件，主要责任在供应商一方的；</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r>
        <w:rPr>
          <w:rFonts w:hint="eastAsia" w:ascii="Calibri" w:hAnsi="Calibri" w:eastAsia="宋体" w:cs="Times New Roman"/>
          <w:kern w:val="2"/>
          <w:sz w:val="21"/>
          <w:szCs w:val="22"/>
          <w:highlight w:val="none"/>
          <w:lang w:val="en-US" w:eastAsia="zh-CN" w:bidi="ar-SA"/>
        </w:rPr>
        <w:t>签订合同后十个工作日内中标人未按要求为各学校（幼儿园）开通深圳市中农数据有限公司（天天采购平台）账号并支付对应产生的费用的</w:t>
      </w:r>
      <w:r>
        <w:rPr>
          <w:rFonts w:hint="eastAsia" w:ascii="Calibri" w:hAnsi="Calibri" w:cs="Times New Roman"/>
          <w:kern w:val="2"/>
          <w:sz w:val="21"/>
          <w:szCs w:val="22"/>
          <w:highlight w:val="none"/>
          <w:lang w:val="en-US" w:eastAsia="zh-CN" w:bidi="ar-SA"/>
        </w:rPr>
        <w:t>。</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）其他违反法律、法规和协议规定的行为。</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六</w:t>
      </w:r>
      <w:r>
        <w:rPr>
          <w:rFonts w:hint="eastAsia" w:ascii="宋体" w:hAnsi="宋体" w:eastAsia="宋体" w:cs="宋体"/>
          <w:sz w:val="21"/>
          <w:szCs w:val="21"/>
          <w:highlight w:val="none"/>
        </w:rPr>
        <w:t>）供应商候补机制</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应急条款：如服务过程中出现配送供应商出现严重违反采购要求或者某一个学校供应商出现严重违反采购要求的情况，需解除合同的，经区教育行政主管部门同意后，由学校（幼儿园）与临时供应商签订配送协议书，临时配送期限至重新招标确定的供应商履约。</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七</w:t>
      </w:r>
      <w:r>
        <w:rPr>
          <w:rFonts w:hint="eastAsia" w:ascii="宋体" w:hAnsi="宋体" w:eastAsia="宋体" w:cs="宋体"/>
          <w:sz w:val="21"/>
          <w:szCs w:val="21"/>
          <w:highlight w:val="none"/>
        </w:rPr>
        <w:t>）应急处理制度</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若食材供应商出现短期供应不足等紧急问题时，可按学校（幼儿园）为单位报备区教育局，启动应急预案。市直属学校或因厨房建设时间未能确定的新开办学校（幼儿园）或因不可抗力原因停止办学，根据具体情况研究确定。</w:t>
      </w:r>
    </w:p>
    <w:p>
      <w:pPr>
        <w:spacing w:line="360" w:lineRule="auto"/>
        <w:ind w:firstLine="420" w:firstLineChars="20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八</w:t>
      </w:r>
      <w:r>
        <w:rPr>
          <w:rFonts w:hint="eastAsia" w:ascii="宋体" w:hAnsi="宋体" w:eastAsia="宋体" w:cs="宋体"/>
          <w:sz w:val="21"/>
          <w:szCs w:val="21"/>
          <w:highlight w:val="none"/>
        </w:rPr>
        <w:t>）供应商服务综合评议制度</w:t>
      </w:r>
    </w:p>
    <w:p>
      <w:pPr>
        <w:spacing w:line="360" w:lineRule="auto"/>
        <w:ind w:firstLine="420" w:firstLineChars="200"/>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zh-CN"/>
        </w:rPr>
        <w:t>本项目一年的合同期内由采购单位不定期组织考核。考察中标单位的服务态度、服务效率、服务质量等方面。经采购单位综合考核认为合格的，合同继续执行；若考核不合格的，经采购主管部门批准，采购单位可有权依法终止合同。</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2.考评完成后，由学校（幼儿园）对相关供应商档案（包括基础资料、交易记录和考核资料等）进行建立、收集、整理和归档，以备日后查阅。</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本项目供应商服务综合评议制度及其附件相关条款的解释权归区教育局所有。服务合同履约过程中，因国家相关政策、法规、标准变化调整需要、上级文件要求以及实际工作需要，区教育局有权对供应商服务综合评议制度和相关附件进行调整和更新,中标供应商需无条件接受。</w:t>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r>
    </w:p>
    <w:p>
      <w:pPr>
        <w:pageBreakBefore w:val="0"/>
        <w:kinsoku/>
        <w:overflowPunct/>
        <w:bidi w:val="0"/>
        <w:spacing w:beforeAutospacing="0" w:afterAutospacing="0" w:line="360" w:lineRule="auto"/>
        <w:ind w:left="0" w:leftChars="0" w:right="0" w:firstLine="0" w:firstLineChars="0"/>
        <w:jc w:val="left"/>
        <w:outlineLvl w:val="3"/>
        <w:rPr>
          <w:rFonts w:hint="eastAsia" w:ascii="宋体" w:hAnsi="宋体" w:eastAsia="宋体" w:cs="宋体"/>
          <w:kern w:val="0"/>
          <w:szCs w:val="21"/>
          <w:highlight w:val="none"/>
        </w:rPr>
      </w:pPr>
      <w:r>
        <w:rPr>
          <w:rFonts w:hint="eastAsia" w:ascii="宋体" w:hAnsi="宋体" w:eastAsia="宋体" w:cs="宋体"/>
          <w:kern w:val="0"/>
          <w:szCs w:val="21"/>
          <w:highlight w:val="none"/>
        </w:rPr>
        <w:t>附件 1 食堂食材供应商供货异常情况登记表</w:t>
      </w:r>
    </w:p>
    <w:p>
      <w:pPr>
        <w:pStyle w:val="2"/>
        <w:rPr>
          <w:rFonts w:hint="eastAsia"/>
          <w:highlight w:val="none"/>
        </w:rPr>
      </w:pPr>
    </w:p>
    <w:tbl>
      <w:tblPr>
        <w:tblStyle w:val="42"/>
        <w:tblW w:w="8530" w:type="dxa"/>
        <w:tblInd w:w="17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269"/>
        <w:gridCol w:w="3354"/>
        <w:gridCol w:w="1756"/>
        <w:gridCol w:w="215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trPr>
        <w:tc>
          <w:tcPr>
            <w:tcW w:w="1269" w:type="dxa"/>
            <w:tcBorders>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供应商名</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称</w:t>
            </w:r>
          </w:p>
        </w:tc>
        <w:tc>
          <w:tcPr>
            <w:tcW w:w="3354" w:type="dxa"/>
            <w:tcBorders>
              <w:left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tc>
        <w:tc>
          <w:tcPr>
            <w:tcW w:w="1756" w:type="dxa"/>
            <w:tcBorders>
              <w:left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联系人及电话</w:t>
            </w:r>
          </w:p>
        </w:tc>
        <w:tc>
          <w:tcPr>
            <w:tcW w:w="2151" w:type="dxa"/>
            <w:tcBorders>
              <w:top w:val="single" w:color="000000" w:sz="4" w:space="0"/>
              <w:left w:val="single" w:color="000000" w:sz="6" w:space="0"/>
              <w:bottom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trPr>
        <w:tc>
          <w:tcPr>
            <w:tcW w:w="1269" w:type="dxa"/>
            <w:tcBorders>
              <w:top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送货地点</w:t>
            </w:r>
          </w:p>
        </w:tc>
        <w:tc>
          <w:tcPr>
            <w:tcW w:w="3354" w:type="dxa"/>
            <w:tcBorders>
              <w:top w:val="single" w:color="000000" w:sz="6" w:space="0"/>
              <w:left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tc>
        <w:tc>
          <w:tcPr>
            <w:tcW w:w="1756" w:type="dxa"/>
            <w:tcBorders>
              <w:top w:val="single" w:color="000000" w:sz="6" w:space="0"/>
              <w:left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送货时间</w:t>
            </w:r>
          </w:p>
        </w:tc>
        <w:tc>
          <w:tcPr>
            <w:tcW w:w="2151" w:type="dxa"/>
            <w:tcBorders>
              <w:top w:val="single" w:color="000000" w:sz="6" w:space="0"/>
              <w:left w:val="single" w:color="000000" w:sz="6" w:space="0"/>
              <w:bottom w:val="single" w:color="000000" w:sz="6" w:space="0"/>
            </w:tcBorders>
            <w:vAlign w:val="center"/>
          </w:tcPr>
          <w:p>
            <w:pPr>
              <w:pStyle w:val="201"/>
              <w:pageBreakBefore w:val="0"/>
              <w:tabs>
                <w:tab w:val="left" w:pos="1189"/>
                <w:tab w:val="left" w:pos="1789"/>
              </w:tabs>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w:t>
            </w:r>
            <w:r>
              <w:rPr>
                <w:rFonts w:hint="eastAsia" w:ascii="宋体" w:hAnsi="宋体" w:eastAsia="宋体" w:cs="宋体"/>
                <w:sz w:val="21"/>
                <w:szCs w:val="21"/>
                <w:highlight w:val="none"/>
              </w:rPr>
              <w:tab/>
            </w:r>
            <w:r>
              <w:rPr>
                <w:rFonts w:hint="eastAsia" w:ascii="宋体" w:hAnsi="宋体" w:eastAsia="宋体" w:cs="宋体"/>
                <w:sz w:val="21"/>
                <w:szCs w:val="21"/>
                <w:highlight w:val="none"/>
              </w:rPr>
              <w:t>月</w:t>
            </w:r>
            <w:r>
              <w:rPr>
                <w:rFonts w:hint="eastAsia" w:ascii="宋体" w:hAnsi="宋体" w:eastAsia="宋体" w:cs="宋体"/>
                <w:sz w:val="21"/>
                <w:szCs w:val="21"/>
                <w:highlight w:val="none"/>
              </w:rPr>
              <w:tab/>
            </w:r>
            <w:r>
              <w:rPr>
                <w:rFonts w:hint="eastAsia" w:ascii="宋体" w:hAnsi="宋体" w:eastAsia="宋体" w:cs="宋体"/>
                <w:sz w:val="21"/>
                <w:szCs w:val="21"/>
                <w:highlight w:val="none"/>
              </w:rPr>
              <w:t>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trPr>
        <w:tc>
          <w:tcPr>
            <w:tcW w:w="1269" w:type="dxa"/>
            <w:tcBorders>
              <w:top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异常情况</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类别</w:t>
            </w:r>
          </w:p>
        </w:tc>
        <w:tc>
          <w:tcPr>
            <w:tcW w:w="7261" w:type="dxa"/>
            <w:gridSpan w:val="3"/>
            <w:tcBorders>
              <w:top w:val="single" w:color="000000" w:sz="6" w:space="0"/>
              <w:left w:val="single" w:color="000000" w:sz="6" w:space="0"/>
              <w:bottom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质量（ ） 时间（ ） 安全（ ） 价格（ ） 服务（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32" w:hRule="atLeast"/>
        </w:trPr>
        <w:tc>
          <w:tcPr>
            <w:tcW w:w="1269" w:type="dxa"/>
            <w:tcBorders>
              <w:top w:val="single" w:color="000000" w:sz="6" w:space="0"/>
              <w:bottom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具体情况</w:t>
            </w:r>
          </w:p>
        </w:tc>
        <w:tc>
          <w:tcPr>
            <w:tcW w:w="7261" w:type="dxa"/>
            <w:gridSpan w:val="3"/>
            <w:tcBorders>
              <w:top w:val="single" w:color="000000" w:sz="6" w:space="0"/>
              <w:left w:val="single" w:color="000000" w:sz="6" w:space="0"/>
              <w:bottom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3" w:hRule="atLeast"/>
        </w:trPr>
        <w:tc>
          <w:tcPr>
            <w:tcW w:w="1269" w:type="dxa"/>
            <w:tcBorders>
              <w:top w:val="single" w:color="000000" w:sz="6" w:space="0"/>
              <w:right w:val="single" w:color="000000" w:sz="6"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学校签名</w:t>
            </w:r>
          </w:p>
        </w:tc>
        <w:tc>
          <w:tcPr>
            <w:tcW w:w="3354" w:type="dxa"/>
            <w:tcBorders>
              <w:top w:val="single" w:color="000000" w:sz="6" w:space="0"/>
              <w:left w:val="single" w:color="000000" w:sz="6" w:space="0"/>
              <w:right w:val="single" w:color="000000" w:sz="4"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tc>
        <w:tc>
          <w:tcPr>
            <w:tcW w:w="1756" w:type="dxa"/>
            <w:tcBorders>
              <w:top w:val="single" w:color="000000" w:sz="6" w:space="0"/>
              <w:left w:val="single" w:color="000000" w:sz="4" w:space="0"/>
              <w:right w:val="single" w:color="000000" w:sz="4"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供应商签名</w:t>
            </w:r>
          </w:p>
        </w:tc>
        <w:tc>
          <w:tcPr>
            <w:tcW w:w="2151" w:type="dxa"/>
            <w:tcBorders>
              <w:top w:val="single" w:color="000000" w:sz="6" w:space="0"/>
              <w:left w:val="single" w:color="000000" w:sz="4" w:space="0"/>
            </w:tcBorders>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tc>
      </w:tr>
    </w:tbl>
    <w:p>
      <w:pPr>
        <w:pStyle w:val="2"/>
        <w:rPr>
          <w:rFonts w:hint="eastAsia" w:ascii="宋体" w:hAnsi="宋体" w:eastAsia="宋体" w:cs="宋体"/>
          <w:kern w:val="0"/>
          <w:szCs w:val="21"/>
        </w:rPr>
        <w:sectPr>
          <w:pgSz w:w="11907" w:h="16840"/>
          <w:pgMar w:top="1440" w:right="1797" w:bottom="1440" w:left="1797" w:header="851" w:footer="992" w:gutter="0"/>
          <w:cols w:space="425" w:num="1"/>
          <w:titlePg/>
          <w:docGrid w:linePitch="462" w:charSpace="0"/>
        </w:sectPr>
      </w:pPr>
      <w:r>
        <w:rPr>
          <w:rFonts w:hint="eastAsia" w:ascii="宋体" w:hAnsi="宋体" w:eastAsia="宋体" w:cs="宋体"/>
          <w:kern w:val="0"/>
          <w:szCs w:val="21"/>
        </w:rPr>
        <w:t>说明：履约异常情况分为质量、时间、安全、价格、服务共五类，请首先在对应的类别前打“√”，然后在“具体情况”一栏详细说明情况并对照《服务供应商月度考核评分表》 对相应的指标进行扣分。本表格一式两联，学校（幼儿园）及供应商各执一联。</w:t>
      </w:r>
    </w:p>
    <w:p>
      <w:pPr>
        <w:pageBreakBefore w:val="0"/>
        <w:kinsoku/>
        <w:overflowPunct/>
        <w:bidi w:val="0"/>
        <w:spacing w:beforeAutospacing="0" w:afterAutospacing="0" w:line="360" w:lineRule="auto"/>
        <w:ind w:left="0" w:leftChars="0" w:right="0" w:firstLine="0" w:firstLineChars="0"/>
        <w:jc w:val="left"/>
        <w:outlineLvl w:val="3"/>
        <w:rPr>
          <w:rFonts w:hint="eastAsia" w:ascii="宋体" w:hAnsi="宋体" w:eastAsia="宋体" w:cs="宋体"/>
          <w:szCs w:val="21"/>
        </w:rPr>
      </w:pPr>
      <w:r>
        <w:rPr>
          <w:rFonts w:hint="eastAsia" w:ascii="宋体" w:hAnsi="宋体" w:eastAsia="宋体" w:cs="宋体"/>
          <w:szCs w:val="21"/>
        </w:rPr>
        <w:t>附件 2 服务供应商月度考核评分表</w:t>
      </w:r>
    </w:p>
    <w:tbl>
      <w:tblPr>
        <w:tblStyle w:val="42"/>
        <w:tblW w:w="14146"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870"/>
        <w:gridCol w:w="1219"/>
        <w:gridCol w:w="1003"/>
        <w:gridCol w:w="2643"/>
        <w:gridCol w:w="6867"/>
        <w:gridCol w:w="7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779"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w w:val="95"/>
                <w:sz w:val="21"/>
                <w:szCs w:val="21"/>
              </w:rPr>
              <w:t>一级</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w w:val="95"/>
                <w:sz w:val="21"/>
                <w:szCs w:val="21"/>
              </w:rPr>
              <w:t>指标</w:t>
            </w:r>
          </w:p>
        </w:tc>
        <w:tc>
          <w:tcPr>
            <w:tcW w:w="870"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1219"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二级指标</w:t>
            </w:r>
          </w:p>
        </w:tc>
        <w:tc>
          <w:tcPr>
            <w:tcW w:w="1003"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2643"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考核内容</w:t>
            </w:r>
          </w:p>
        </w:tc>
        <w:tc>
          <w:tcPr>
            <w:tcW w:w="6867"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765" w:type="dxa"/>
            <w:shd w:val="clear" w:color="auto" w:fill="FFFFFF"/>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2" w:hRule="atLeast"/>
        </w:trPr>
        <w:tc>
          <w:tcPr>
            <w:tcW w:w="779" w:type="dxa"/>
            <w:vMerge w:val="restart"/>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食材管理</w:t>
            </w:r>
          </w:p>
        </w:tc>
        <w:tc>
          <w:tcPr>
            <w:tcW w:w="870" w:type="dxa"/>
            <w:vMerge w:val="restart"/>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35 分</w:t>
            </w:r>
          </w:p>
        </w:tc>
        <w:tc>
          <w:tcPr>
            <w:tcW w:w="1219"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食材质量评价指标</w:t>
            </w:r>
          </w:p>
        </w:tc>
        <w:tc>
          <w:tcPr>
            <w:tcW w:w="100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25分</w:t>
            </w:r>
          </w:p>
        </w:tc>
        <w:tc>
          <w:tcPr>
            <w:tcW w:w="264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考核内容配送物品是否</w:t>
            </w:r>
            <w:r>
              <w:rPr>
                <w:rFonts w:hint="eastAsia" w:ascii="宋体" w:hAnsi="宋体" w:eastAsia="宋体" w:cs="宋体"/>
                <w:spacing w:val="-12"/>
                <w:sz w:val="21"/>
                <w:szCs w:val="21"/>
              </w:rPr>
              <w:t>存在霉烂、变质、过期、</w:t>
            </w:r>
            <w:r>
              <w:rPr>
                <w:rFonts w:hint="eastAsia" w:ascii="宋体" w:hAnsi="宋体" w:eastAsia="宋体" w:cs="宋体"/>
                <w:sz w:val="21"/>
                <w:szCs w:val="21"/>
              </w:rPr>
              <w:t>破损、品种不达标等不符《深圳市学校食堂食材采购验收参考标准》中对质量要求的情况， 是否存在以次充好达不到学校要求等的情况。每次退换货及时补回的</w:t>
            </w:r>
            <w:r>
              <w:rPr>
                <w:rFonts w:hint="eastAsia" w:ascii="宋体" w:hAnsi="宋体" w:eastAsia="宋体" w:cs="宋体"/>
                <w:spacing w:val="-15"/>
                <w:sz w:val="21"/>
                <w:szCs w:val="21"/>
              </w:rPr>
              <w:t xml:space="preserve">每次扣 </w:t>
            </w:r>
            <w:r>
              <w:rPr>
                <w:rFonts w:hint="eastAsia" w:ascii="宋体" w:hAnsi="宋体" w:eastAsia="宋体" w:cs="宋体"/>
                <w:sz w:val="21"/>
                <w:szCs w:val="21"/>
              </w:rPr>
              <w:t>1</w:t>
            </w:r>
            <w:r>
              <w:rPr>
                <w:rFonts w:hint="eastAsia" w:ascii="宋体" w:hAnsi="宋体" w:eastAsia="宋体" w:cs="宋体"/>
                <w:spacing w:val="-30"/>
                <w:sz w:val="21"/>
                <w:szCs w:val="21"/>
              </w:rPr>
              <w:t xml:space="preserve"> 分</w:t>
            </w:r>
            <w:r>
              <w:rPr>
                <w:rFonts w:hint="eastAsia" w:ascii="宋体" w:hAnsi="宋体" w:eastAsia="宋体" w:cs="宋体"/>
                <w:sz w:val="21"/>
                <w:szCs w:val="21"/>
              </w:rPr>
              <w:t>/</w:t>
            </w:r>
            <w:r>
              <w:rPr>
                <w:rFonts w:hint="eastAsia" w:ascii="宋体" w:hAnsi="宋体" w:eastAsia="宋体" w:cs="宋体"/>
                <w:spacing w:val="-20"/>
                <w:sz w:val="21"/>
                <w:szCs w:val="21"/>
              </w:rPr>
              <w:t>品种，每次退换货未能及时补回的</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每次扣 2 分/品种。</w:t>
            </w:r>
          </w:p>
        </w:tc>
        <w:tc>
          <w:tcPr>
            <w:tcW w:w="6867"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本月每日配送食材新鲜，不存在霉烂、变质、过期、破损、品种不达标等情况，完全符合《深圳市学校食堂食材采购验收参</w:t>
            </w:r>
            <w:r>
              <w:rPr>
                <w:rFonts w:hint="eastAsia" w:ascii="宋体" w:hAnsi="宋体" w:eastAsia="宋体" w:cs="宋体"/>
                <w:spacing w:val="-8"/>
                <w:sz w:val="21"/>
                <w:szCs w:val="21"/>
              </w:rPr>
              <w:t xml:space="preserve">考标准》中的相关要求，得 </w:t>
            </w:r>
            <w:r>
              <w:rPr>
                <w:rFonts w:hint="eastAsia" w:ascii="宋体" w:hAnsi="宋体" w:eastAsia="宋体" w:cs="宋体"/>
                <w:sz w:val="21"/>
                <w:szCs w:val="21"/>
              </w:rPr>
              <w:t>25</w:t>
            </w:r>
            <w:r>
              <w:rPr>
                <w:rFonts w:hint="eastAsia" w:ascii="宋体" w:hAnsi="宋体" w:eastAsia="宋体" w:cs="宋体"/>
                <w:spacing w:val="-11"/>
                <w:sz w:val="21"/>
                <w:szCs w:val="21"/>
              </w:rPr>
              <w:t xml:space="preserve"> 分；因食材不符合《深圳市学校</w:t>
            </w:r>
            <w:r>
              <w:rPr>
                <w:rFonts w:hint="eastAsia" w:ascii="宋体" w:hAnsi="宋体" w:eastAsia="宋体" w:cs="宋体"/>
                <w:sz w:val="21"/>
                <w:szCs w:val="21"/>
              </w:rPr>
              <w:t>食堂食材采购验收参考标准》中的相关要求，校（园）方要求供应商退换货的：供应商能及时补回同品种食材的，每发生一</w:t>
            </w:r>
            <w:r>
              <w:rPr>
                <w:rFonts w:hint="eastAsia" w:ascii="宋体" w:hAnsi="宋体" w:eastAsia="宋体" w:cs="宋体"/>
                <w:spacing w:val="-20"/>
                <w:sz w:val="21"/>
                <w:szCs w:val="21"/>
              </w:rPr>
              <w:t xml:space="preserve">次扣 </w:t>
            </w:r>
            <w:r>
              <w:rPr>
                <w:rFonts w:hint="eastAsia" w:ascii="宋体" w:hAnsi="宋体" w:eastAsia="宋体" w:cs="宋体"/>
                <w:sz w:val="21"/>
                <w:szCs w:val="21"/>
              </w:rPr>
              <w:t>1</w:t>
            </w:r>
            <w:r>
              <w:rPr>
                <w:rFonts w:hint="eastAsia" w:ascii="宋体" w:hAnsi="宋体" w:eastAsia="宋体" w:cs="宋体"/>
                <w:spacing w:val="-30"/>
                <w:sz w:val="21"/>
                <w:szCs w:val="21"/>
              </w:rPr>
              <w:t xml:space="preserve"> 分</w:t>
            </w:r>
            <w:r>
              <w:rPr>
                <w:rFonts w:hint="eastAsia" w:ascii="宋体" w:hAnsi="宋体" w:eastAsia="宋体" w:cs="宋体"/>
                <w:sz w:val="21"/>
                <w:szCs w:val="21"/>
              </w:rPr>
              <w:t>/</w:t>
            </w:r>
            <w:r>
              <w:rPr>
                <w:rFonts w:hint="eastAsia" w:ascii="宋体" w:hAnsi="宋体" w:eastAsia="宋体" w:cs="宋体"/>
                <w:spacing w:val="-6"/>
                <w:sz w:val="21"/>
                <w:szCs w:val="21"/>
              </w:rPr>
              <w:t>品种；供应商不能及时补回同品种食材、但能及时提</w:t>
            </w:r>
            <w:r>
              <w:rPr>
                <w:rFonts w:hint="eastAsia" w:ascii="宋体" w:hAnsi="宋体" w:eastAsia="宋体" w:cs="宋体"/>
                <w:sz w:val="21"/>
                <w:szCs w:val="21"/>
              </w:rPr>
              <w:t>供符合《深圳市学校食堂食材采购验收参考标准》中相关要求</w:t>
            </w:r>
            <w:r>
              <w:rPr>
                <w:rFonts w:hint="eastAsia" w:ascii="宋体" w:hAnsi="宋体" w:eastAsia="宋体" w:cs="宋体"/>
                <w:spacing w:val="-8"/>
                <w:sz w:val="21"/>
                <w:szCs w:val="21"/>
              </w:rPr>
              <w:t xml:space="preserve">的替代食材的，每发生一次扣 </w:t>
            </w:r>
            <w:r>
              <w:rPr>
                <w:rFonts w:hint="eastAsia" w:ascii="宋体" w:hAnsi="宋体" w:eastAsia="宋体" w:cs="宋体"/>
                <w:sz w:val="21"/>
                <w:szCs w:val="21"/>
              </w:rPr>
              <w:t>2</w:t>
            </w:r>
            <w:r>
              <w:rPr>
                <w:rFonts w:hint="eastAsia" w:ascii="宋体" w:hAnsi="宋体" w:eastAsia="宋体" w:cs="宋体"/>
                <w:spacing w:val="-30"/>
                <w:sz w:val="21"/>
                <w:szCs w:val="21"/>
              </w:rPr>
              <w:t xml:space="preserve"> 分</w:t>
            </w:r>
            <w:r>
              <w:rPr>
                <w:rFonts w:hint="eastAsia" w:ascii="宋体" w:hAnsi="宋体" w:eastAsia="宋体" w:cs="宋体"/>
                <w:sz w:val="21"/>
                <w:szCs w:val="21"/>
              </w:rPr>
              <w:t>/</w:t>
            </w:r>
            <w:r>
              <w:rPr>
                <w:rFonts w:hint="eastAsia" w:ascii="宋体" w:hAnsi="宋体" w:eastAsia="宋体" w:cs="宋体"/>
                <w:spacing w:val="-5"/>
                <w:sz w:val="21"/>
                <w:szCs w:val="21"/>
              </w:rPr>
              <w:t>品种；供应商不能及时补回</w:t>
            </w:r>
            <w:r>
              <w:rPr>
                <w:rFonts w:hint="eastAsia" w:ascii="宋体" w:hAnsi="宋体" w:eastAsia="宋体" w:cs="宋体"/>
                <w:sz w:val="21"/>
                <w:szCs w:val="21"/>
              </w:rPr>
              <w:t>同品种食材及符合《深圳市学校食堂食材采购验收参考标准》中相关要求的替代食材，对当日餐食造成影响（如不能按时开</w:t>
            </w:r>
            <w:r>
              <w:rPr>
                <w:rFonts w:hint="eastAsia" w:ascii="宋体" w:hAnsi="宋体" w:eastAsia="宋体" w:cs="宋体"/>
                <w:spacing w:val="-3"/>
                <w:sz w:val="21"/>
                <w:szCs w:val="21"/>
              </w:rPr>
              <w:t>餐、菜品数量减少等</w:t>
            </w:r>
            <w:r>
              <w:rPr>
                <w:rFonts w:hint="eastAsia" w:ascii="宋体" w:hAnsi="宋体" w:eastAsia="宋体" w:cs="宋体"/>
                <w:spacing w:val="-9"/>
                <w:sz w:val="21"/>
                <w:szCs w:val="21"/>
              </w:rPr>
              <w:t>）</w:t>
            </w:r>
            <w:r>
              <w:rPr>
                <w:rFonts w:hint="eastAsia" w:ascii="宋体" w:hAnsi="宋体" w:eastAsia="宋体" w:cs="宋体"/>
                <w:spacing w:val="-11"/>
                <w:sz w:val="21"/>
                <w:szCs w:val="21"/>
              </w:rPr>
              <w:t xml:space="preserve">，每发生一次扣 </w:t>
            </w:r>
            <w:r>
              <w:rPr>
                <w:rFonts w:hint="eastAsia" w:ascii="宋体" w:hAnsi="宋体" w:eastAsia="宋体" w:cs="宋体"/>
                <w:sz w:val="21"/>
                <w:szCs w:val="21"/>
              </w:rPr>
              <w:t>10</w:t>
            </w:r>
            <w:r>
              <w:rPr>
                <w:rFonts w:hint="eastAsia" w:ascii="宋体" w:hAnsi="宋体" w:eastAsia="宋体" w:cs="宋体"/>
                <w:spacing w:val="-11"/>
                <w:sz w:val="21"/>
                <w:szCs w:val="21"/>
              </w:rPr>
              <w:t xml:space="preserve"> 分。本项指标累计每</w:t>
            </w:r>
            <w:r>
              <w:rPr>
                <w:rFonts w:hint="eastAsia" w:ascii="宋体" w:hAnsi="宋体" w:eastAsia="宋体" w:cs="宋体"/>
                <w:sz w:val="21"/>
                <w:szCs w:val="21"/>
              </w:rPr>
              <w:t>月最高扣25 分。</w:t>
            </w:r>
          </w:p>
        </w:tc>
        <w:tc>
          <w:tcPr>
            <w:tcW w:w="765"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9" w:hRule="atLeast"/>
        </w:trPr>
        <w:tc>
          <w:tcPr>
            <w:tcW w:w="779" w:type="dxa"/>
            <w:vMerge w:val="continue"/>
            <w:tcBorders>
              <w:top w:val="nil"/>
            </w:tcBorders>
            <w:vAlign w:val="center"/>
          </w:tcPr>
          <w:p>
            <w:pPr>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Cs w:val="21"/>
              </w:rPr>
            </w:pPr>
          </w:p>
        </w:tc>
        <w:tc>
          <w:tcPr>
            <w:tcW w:w="870" w:type="dxa"/>
            <w:vMerge w:val="continue"/>
            <w:tcBorders>
              <w:top w:val="nil"/>
            </w:tcBorders>
            <w:vAlign w:val="center"/>
          </w:tcPr>
          <w:p>
            <w:pPr>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Cs w:val="21"/>
              </w:rPr>
            </w:pPr>
          </w:p>
        </w:tc>
        <w:tc>
          <w:tcPr>
            <w:tcW w:w="1219"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食材数量评价指标</w:t>
            </w:r>
          </w:p>
        </w:tc>
        <w:tc>
          <w:tcPr>
            <w:tcW w:w="100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10 分</w:t>
            </w:r>
          </w:p>
        </w:tc>
        <w:tc>
          <w:tcPr>
            <w:tcW w:w="264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考核供应商是否按照校（园）</w:t>
            </w:r>
            <w:r>
              <w:rPr>
                <w:rFonts w:hint="eastAsia" w:ascii="宋体" w:hAnsi="宋体" w:eastAsia="宋体" w:cs="宋体"/>
                <w:spacing w:val="-3"/>
                <w:sz w:val="21"/>
                <w:szCs w:val="21"/>
              </w:rPr>
              <w:t>方订单品种和数</w:t>
            </w:r>
            <w:r>
              <w:rPr>
                <w:rFonts w:hint="eastAsia" w:ascii="宋体" w:hAnsi="宋体" w:eastAsia="宋体" w:cs="宋体"/>
                <w:spacing w:val="-2"/>
                <w:sz w:val="21"/>
                <w:szCs w:val="21"/>
              </w:rPr>
              <w:t>量进行配送物品，是否存在缺斤少两的情况。</w:t>
            </w:r>
          </w:p>
        </w:tc>
        <w:tc>
          <w:tcPr>
            <w:tcW w:w="6867"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供应商提供的食材品种与校（园）</w:t>
            </w:r>
            <w:r>
              <w:rPr>
                <w:rFonts w:hint="eastAsia" w:ascii="宋体" w:hAnsi="宋体" w:eastAsia="宋体" w:cs="宋体"/>
                <w:spacing w:val="-2"/>
                <w:sz w:val="21"/>
                <w:szCs w:val="21"/>
              </w:rPr>
              <w:t>方订单要求一致，重量短缺</w:t>
            </w:r>
            <w:r>
              <w:rPr>
                <w:rFonts w:hint="eastAsia" w:ascii="宋体" w:hAnsi="宋体" w:eastAsia="宋体" w:cs="宋体"/>
                <w:spacing w:val="-5"/>
                <w:sz w:val="21"/>
                <w:szCs w:val="21"/>
              </w:rPr>
              <w:t xml:space="preserve">不超过该类食材配送总量的 </w:t>
            </w:r>
            <w:r>
              <w:rPr>
                <w:rFonts w:hint="eastAsia" w:ascii="宋体" w:hAnsi="宋体" w:eastAsia="宋体" w:cs="宋体"/>
                <w:sz w:val="21"/>
                <w:szCs w:val="21"/>
              </w:rPr>
              <w:t>5%（</w:t>
            </w:r>
            <w:r>
              <w:rPr>
                <w:rFonts w:hint="eastAsia" w:ascii="宋体" w:hAnsi="宋体" w:eastAsia="宋体" w:cs="宋体"/>
                <w:spacing w:val="-30"/>
                <w:sz w:val="21"/>
                <w:szCs w:val="21"/>
              </w:rPr>
              <w:t xml:space="preserve">含 </w:t>
            </w:r>
            <w:r>
              <w:rPr>
                <w:rFonts w:hint="eastAsia" w:ascii="宋体" w:hAnsi="宋体" w:eastAsia="宋体" w:cs="宋体"/>
                <w:sz w:val="21"/>
                <w:szCs w:val="21"/>
              </w:rPr>
              <w:t>5%）</w:t>
            </w:r>
            <w:r>
              <w:rPr>
                <w:rFonts w:hint="eastAsia" w:ascii="宋体" w:hAnsi="宋体" w:eastAsia="宋体" w:cs="宋体"/>
                <w:spacing w:val="-15"/>
                <w:sz w:val="21"/>
                <w:szCs w:val="21"/>
              </w:rPr>
              <w:t xml:space="preserve">的，得 </w:t>
            </w:r>
            <w:r>
              <w:rPr>
                <w:rFonts w:hint="eastAsia" w:ascii="宋体" w:hAnsi="宋体" w:eastAsia="宋体" w:cs="宋体"/>
                <w:sz w:val="21"/>
                <w:szCs w:val="21"/>
              </w:rPr>
              <w:t>10</w:t>
            </w:r>
            <w:r>
              <w:rPr>
                <w:rFonts w:hint="eastAsia" w:ascii="宋体" w:hAnsi="宋体" w:eastAsia="宋体" w:cs="宋体"/>
                <w:spacing w:val="-13"/>
                <w:sz w:val="21"/>
                <w:szCs w:val="21"/>
              </w:rPr>
              <w:t xml:space="preserve"> 分；对照校</w:t>
            </w:r>
            <w:r>
              <w:rPr>
                <w:rFonts w:hint="eastAsia" w:ascii="宋体" w:hAnsi="宋体" w:eastAsia="宋体" w:cs="宋体"/>
                <w:sz w:val="21"/>
                <w:szCs w:val="21"/>
              </w:rPr>
              <w:t>（园）</w:t>
            </w:r>
            <w:r>
              <w:rPr>
                <w:rFonts w:hint="eastAsia" w:ascii="宋体" w:hAnsi="宋体" w:eastAsia="宋体" w:cs="宋体"/>
                <w:spacing w:val="-3"/>
                <w:sz w:val="21"/>
                <w:szCs w:val="21"/>
              </w:rPr>
              <w:t xml:space="preserve">方订单，供应商提供的食材每缺失一个品种，扣 </w:t>
            </w:r>
            <w:r>
              <w:rPr>
                <w:rFonts w:hint="eastAsia" w:ascii="宋体" w:hAnsi="宋体" w:eastAsia="宋体" w:cs="宋体"/>
                <w:sz w:val="21"/>
                <w:szCs w:val="21"/>
              </w:rPr>
              <w:t>1</w:t>
            </w:r>
            <w:r>
              <w:rPr>
                <w:rFonts w:hint="eastAsia" w:ascii="宋体" w:hAnsi="宋体" w:eastAsia="宋体" w:cs="宋体"/>
                <w:spacing w:val="-26"/>
                <w:sz w:val="21"/>
                <w:szCs w:val="21"/>
              </w:rPr>
              <w:t xml:space="preserve"> 分； </w:t>
            </w:r>
            <w:r>
              <w:rPr>
                <w:rFonts w:hint="eastAsia" w:ascii="宋体" w:hAnsi="宋体" w:eastAsia="宋体" w:cs="宋体"/>
                <w:spacing w:val="-3"/>
                <w:sz w:val="21"/>
                <w:szCs w:val="21"/>
              </w:rPr>
              <w:t xml:space="preserve">供应商提供的食材重量短缺在该类食材配送总量中占 </w:t>
            </w:r>
            <w:r>
              <w:rPr>
                <w:rFonts w:hint="eastAsia" w:ascii="宋体" w:hAnsi="宋体" w:eastAsia="宋体" w:cs="宋体"/>
                <w:sz w:val="21"/>
                <w:szCs w:val="21"/>
              </w:rPr>
              <w:t>5%~10%（</w:t>
            </w:r>
            <w:r>
              <w:rPr>
                <w:rFonts w:hint="eastAsia" w:ascii="宋体" w:hAnsi="宋体" w:eastAsia="宋体" w:cs="宋体"/>
                <w:spacing w:val="-30"/>
                <w:sz w:val="21"/>
                <w:szCs w:val="21"/>
              </w:rPr>
              <w:t xml:space="preserve">含 </w:t>
            </w:r>
            <w:r>
              <w:rPr>
                <w:rFonts w:hint="eastAsia" w:ascii="宋体" w:hAnsi="宋体" w:eastAsia="宋体" w:cs="宋体"/>
                <w:sz w:val="21"/>
                <w:szCs w:val="21"/>
              </w:rPr>
              <w:t>10%）</w:t>
            </w:r>
            <w:r>
              <w:rPr>
                <w:rFonts w:hint="eastAsia" w:ascii="宋体" w:hAnsi="宋体" w:eastAsia="宋体" w:cs="宋体"/>
                <w:spacing w:val="-15"/>
                <w:sz w:val="21"/>
                <w:szCs w:val="21"/>
              </w:rPr>
              <w:t xml:space="preserve">的，扣 </w:t>
            </w:r>
            <w:r>
              <w:rPr>
                <w:rFonts w:hint="eastAsia" w:ascii="宋体" w:hAnsi="宋体" w:eastAsia="宋体" w:cs="宋体"/>
                <w:sz w:val="21"/>
                <w:szCs w:val="21"/>
              </w:rPr>
              <w:t>1</w:t>
            </w:r>
            <w:r>
              <w:rPr>
                <w:rFonts w:hint="eastAsia" w:ascii="宋体" w:hAnsi="宋体" w:eastAsia="宋体" w:cs="宋体"/>
                <w:spacing w:val="-24"/>
                <w:sz w:val="21"/>
                <w:szCs w:val="21"/>
              </w:rPr>
              <w:t xml:space="preserve"> 分；占 </w:t>
            </w:r>
            <w:r>
              <w:rPr>
                <w:rFonts w:hint="eastAsia" w:ascii="宋体" w:hAnsi="宋体" w:eastAsia="宋体" w:cs="宋体"/>
                <w:sz w:val="21"/>
                <w:szCs w:val="21"/>
              </w:rPr>
              <w:t>10%~20%（</w:t>
            </w:r>
            <w:r>
              <w:rPr>
                <w:rFonts w:hint="eastAsia" w:ascii="宋体" w:hAnsi="宋体" w:eastAsia="宋体" w:cs="宋体"/>
                <w:spacing w:val="-30"/>
                <w:sz w:val="21"/>
                <w:szCs w:val="21"/>
              </w:rPr>
              <w:t xml:space="preserve">含 </w:t>
            </w:r>
            <w:r>
              <w:rPr>
                <w:rFonts w:hint="eastAsia" w:ascii="宋体" w:hAnsi="宋体" w:eastAsia="宋体" w:cs="宋体"/>
                <w:sz w:val="21"/>
                <w:szCs w:val="21"/>
              </w:rPr>
              <w:t>20%）</w:t>
            </w:r>
            <w:r>
              <w:rPr>
                <w:rFonts w:hint="eastAsia" w:ascii="宋体" w:hAnsi="宋体" w:eastAsia="宋体" w:cs="宋体"/>
                <w:spacing w:val="-15"/>
                <w:sz w:val="21"/>
                <w:szCs w:val="21"/>
              </w:rPr>
              <w:t xml:space="preserve">的，扣 </w:t>
            </w:r>
            <w:r>
              <w:rPr>
                <w:rFonts w:hint="eastAsia" w:ascii="宋体" w:hAnsi="宋体" w:eastAsia="宋体" w:cs="宋体"/>
                <w:sz w:val="21"/>
                <w:szCs w:val="21"/>
              </w:rPr>
              <w:t>2</w:t>
            </w:r>
            <w:r>
              <w:rPr>
                <w:rFonts w:hint="eastAsia" w:ascii="宋体" w:hAnsi="宋体" w:eastAsia="宋体" w:cs="宋体"/>
                <w:spacing w:val="-20"/>
                <w:sz w:val="21"/>
                <w:szCs w:val="21"/>
              </w:rPr>
              <w:t xml:space="preserve"> 分；超</w:t>
            </w:r>
            <w:r>
              <w:rPr>
                <w:rFonts w:hint="eastAsia" w:ascii="宋体" w:hAnsi="宋体" w:eastAsia="宋体" w:cs="宋体"/>
                <w:spacing w:val="-30"/>
                <w:sz w:val="21"/>
                <w:szCs w:val="21"/>
              </w:rPr>
              <w:t xml:space="preserve">过 </w:t>
            </w:r>
            <w:r>
              <w:rPr>
                <w:rFonts w:hint="eastAsia" w:ascii="宋体" w:hAnsi="宋体" w:eastAsia="宋体" w:cs="宋体"/>
                <w:sz w:val="21"/>
                <w:szCs w:val="21"/>
              </w:rPr>
              <w:t>30%（</w:t>
            </w:r>
            <w:r>
              <w:rPr>
                <w:rFonts w:hint="eastAsia" w:ascii="宋体" w:hAnsi="宋体" w:eastAsia="宋体" w:cs="宋体"/>
                <w:spacing w:val="-30"/>
                <w:sz w:val="21"/>
                <w:szCs w:val="21"/>
              </w:rPr>
              <w:t xml:space="preserve">含 </w:t>
            </w:r>
            <w:r>
              <w:rPr>
                <w:rFonts w:hint="eastAsia" w:ascii="宋体" w:hAnsi="宋体" w:eastAsia="宋体" w:cs="宋体"/>
                <w:sz w:val="21"/>
                <w:szCs w:val="21"/>
              </w:rPr>
              <w:t>30%）</w:t>
            </w:r>
            <w:r>
              <w:rPr>
                <w:rFonts w:hint="eastAsia" w:ascii="宋体" w:hAnsi="宋体" w:eastAsia="宋体" w:cs="宋体"/>
                <w:spacing w:val="-15"/>
                <w:sz w:val="21"/>
                <w:szCs w:val="21"/>
              </w:rPr>
              <w:t xml:space="preserve">的，扣 </w:t>
            </w:r>
            <w:r>
              <w:rPr>
                <w:rFonts w:hint="eastAsia" w:ascii="宋体" w:hAnsi="宋体" w:eastAsia="宋体" w:cs="宋体"/>
                <w:sz w:val="21"/>
                <w:szCs w:val="21"/>
              </w:rPr>
              <w:t>5</w:t>
            </w:r>
            <w:r>
              <w:rPr>
                <w:rFonts w:hint="eastAsia" w:ascii="宋体" w:hAnsi="宋体" w:eastAsia="宋体" w:cs="宋体"/>
                <w:spacing w:val="-12"/>
                <w:sz w:val="21"/>
                <w:szCs w:val="21"/>
              </w:rPr>
              <w:t xml:space="preserve"> 分；本项指标累计每月最高扣分 </w:t>
            </w:r>
            <w:r>
              <w:rPr>
                <w:rFonts w:hint="eastAsia" w:ascii="宋体" w:hAnsi="宋体" w:eastAsia="宋体" w:cs="宋体"/>
                <w:sz w:val="21"/>
                <w:szCs w:val="21"/>
              </w:rPr>
              <w:t>10分。</w:t>
            </w:r>
          </w:p>
        </w:tc>
        <w:tc>
          <w:tcPr>
            <w:tcW w:w="765"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779"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流程</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管理</w:t>
            </w:r>
          </w:p>
        </w:tc>
        <w:tc>
          <w:tcPr>
            <w:tcW w:w="870"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35 分</w:t>
            </w:r>
          </w:p>
        </w:tc>
        <w:tc>
          <w:tcPr>
            <w:tcW w:w="1219"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配送及时</w:t>
            </w: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性评价指</w:t>
            </w:r>
          </w:p>
        </w:tc>
        <w:tc>
          <w:tcPr>
            <w:tcW w:w="100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10 分</w:t>
            </w:r>
          </w:p>
        </w:tc>
        <w:tc>
          <w:tcPr>
            <w:tcW w:w="2643"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考核供应商能否准时送货。</w:t>
            </w:r>
          </w:p>
        </w:tc>
        <w:tc>
          <w:tcPr>
            <w:tcW w:w="6867"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pacing w:val="-1"/>
                <w:sz w:val="21"/>
                <w:szCs w:val="21"/>
              </w:rPr>
              <w:t>供应商每日按学校要求时间</w:t>
            </w:r>
            <w:r>
              <w:rPr>
                <w:rFonts w:hint="eastAsia" w:ascii="宋体" w:hAnsi="宋体" w:eastAsia="宋体" w:cs="宋体"/>
                <w:sz w:val="21"/>
                <w:szCs w:val="21"/>
              </w:rPr>
              <w:t>准时送达食材</w:t>
            </w:r>
            <w:r>
              <w:rPr>
                <w:rFonts w:hint="eastAsia" w:ascii="宋体" w:hAnsi="宋体" w:eastAsia="宋体" w:cs="宋体"/>
                <w:spacing w:val="-8"/>
                <w:sz w:val="21"/>
                <w:szCs w:val="21"/>
              </w:rPr>
              <w:t>的</w:t>
            </w:r>
            <w:r>
              <w:rPr>
                <w:rFonts w:hint="eastAsia" w:ascii="宋体" w:hAnsi="宋体" w:eastAsia="宋体" w:cs="宋体"/>
                <w:sz w:val="21"/>
                <w:szCs w:val="21"/>
              </w:rPr>
              <w:t>（因不可抗力造成的延迟或配送失败除外</w:t>
            </w:r>
            <w:r>
              <w:rPr>
                <w:rFonts w:hint="eastAsia" w:ascii="宋体" w:hAnsi="宋体" w:eastAsia="宋体" w:cs="宋体"/>
                <w:spacing w:val="-9"/>
                <w:sz w:val="21"/>
                <w:szCs w:val="21"/>
              </w:rPr>
              <w:t>）</w:t>
            </w:r>
            <w:r>
              <w:rPr>
                <w:rFonts w:hint="eastAsia" w:ascii="宋体" w:hAnsi="宋体" w:eastAsia="宋体" w:cs="宋体"/>
                <w:spacing w:val="-24"/>
                <w:sz w:val="21"/>
                <w:szCs w:val="21"/>
              </w:rPr>
              <w:t xml:space="preserve">，得 </w:t>
            </w:r>
            <w:r>
              <w:rPr>
                <w:rFonts w:hint="eastAsia" w:ascii="宋体" w:hAnsi="宋体" w:eastAsia="宋体" w:cs="宋体"/>
                <w:sz w:val="21"/>
                <w:szCs w:val="21"/>
              </w:rPr>
              <w:t>10</w:t>
            </w:r>
            <w:r>
              <w:rPr>
                <w:rFonts w:hint="eastAsia" w:ascii="宋体" w:hAnsi="宋体" w:eastAsia="宋体" w:cs="宋体"/>
                <w:spacing w:val="-15"/>
                <w:sz w:val="21"/>
                <w:szCs w:val="21"/>
              </w:rPr>
              <w:t xml:space="preserve"> 分；迟于</w:t>
            </w:r>
            <w:r>
              <w:rPr>
                <w:rFonts w:hint="eastAsia" w:ascii="宋体" w:hAnsi="宋体" w:eastAsia="宋体" w:cs="宋体"/>
                <w:spacing w:val="-1"/>
                <w:sz w:val="21"/>
                <w:szCs w:val="21"/>
              </w:rPr>
              <w:t>学校要求时间</w:t>
            </w:r>
            <w:r>
              <w:rPr>
                <w:rFonts w:hint="eastAsia" w:ascii="宋体" w:hAnsi="宋体" w:eastAsia="宋体" w:cs="宋体"/>
                <w:spacing w:val="-12"/>
                <w:sz w:val="21"/>
                <w:szCs w:val="21"/>
              </w:rPr>
              <w:t xml:space="preserve">配送的，每迟到 </w:t>
            </w:r>
            <w:r>
              <w:rPr>
                <w:rFonts w:hint="eastAsia" w:ascii="宋体" w:hAnsi="宋体" w:eastAsia="宋体" w:cs="宋体"/>
                <w:sz w:val="21"/>
                <w:szCs w:val="21"/>
              </w:rPr>
              <w:t>10</w:t>
            </w:r>
            <w:r>
              <w:rPr>
                <w:rFonts w:hint="eastAsia" w:ascii="宋体" w:hAnsi="宋体" w:eastAsia="宋体" w:cs="宋体"/>
                <w:spacing w:val="-25"/>
                <w:sz w:val="21"/>
                <w:szCs w:val="21"/>
              </w:rPr>
              <w:t xml:space="preserve"> 分钟扣 </w:t>
            </w:r>
            <w:r>
              <w:rPr>
                <w:rFonts w:hint="eastAsia" w:ascii="宋体" w:hAnsi="宋体" w:eastAsia="宋体" w:cs="宋体"/>
                <w:sz w:val="21"/>
                <w:szCs w:val="21"/>
              </w:rPr>
              <w:t>2分；本项指标累计每月最高扣分 10 分。</w:t>
            </w:r>
          </w:p>
        </w:tc>
        <w:tc>
          <w:tcPr>
            <w:tcW w:w="765" w:type="dxa"/>
            <w:vAlign w:val="center"/>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p>
        </w:tc>
      </w:tr>
    </w:tbl>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sectPr>
          <w:pgSz w:w="16840" w:h="11910" w:orient="landscape"/>
          <w:pgMar w:top="1100" w:right="1220" w:bottom="280" w:left="1240" w:header="720" w:footer="720" w:gutter="0"/>
          <w:pgBorders>
            <w:top w:val="none" w:sz="0" w:space="0"/>
            <w:left w:val="none" w:sz="0" w:space="0"/>
            <w:bottom w:val="none" w:sz="0" w:space="0"/>
            <w:right w:val="none" w:sz="0" w:space="0"/>
          </w:pgBorders>
          <w:cols w:space="720" w:num="1"/>
        </w:sectPr>
      </w:pPr>
    </w:p>
    <w:p>
      <w:pPr>
        <w:pStyle w:val="2"/>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bl>
      <w:tblPr>
        <w:tblStyle w:val="42"/>
        <w:tblW w:w="14146"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870"/>
        <w:gridCol w:w="1219"/>
        <w:gridCol w:w="1003"/>
        <w:gridCol w:w="2643"/>
        <w:gridCol w:w="6784"/>
        <w:gridCol w:w="8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79"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w w:val="95"/>
                <w:sz w:val="21"/>
                <w:szCs w:val="21"/>
              </w:rPr>
              <w:t>一级</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w w:val="95"/>
                <w:sz w:val="21"/>
                <w:szCs w:val="21"/>
              </w:rPr>
              <w:t>指标</w:t>
            </w:r>
          </w:p>
        </w:tc>
        <w:tc>
          <w:tcPr>
            <w:tcW w:w="870"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1219"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二级指标</w:t>
            </w:r>
          </w:p>
        </w:tc>
        <w:tc>
          <w:tcPr>
            <w:tcW w:w="1003"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2643"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考核内容</w:t>
            </w:r>
          </w:p>
        </w:tc>
        <w:tc>
          <w:tcPr>
            <w:tcW w:w="6784"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848"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79" w:type="dxa"/>
            <w:vMerge w:val="restart"/>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870" w:type="dxa"/>
            <w:vMerge w:val="restart"/>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3" w:hRule="atLeast"/>
        </w:trPr>
        <w:tc>
          <w:tcPr>
            <w:tcW w:w="779"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应急响应能力评价指标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10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考核供应商是否按照校</w:t>
            </w:r>
          </w:p>
          <w:p>
            <w:pPr>
              <w:pStyle w:val="201"/>
              <w:pageBreakBefore w:val="0"/>
              <w:kinsoku/>
              <w:overflowPunct/>
              <w:bidi w:val="0"/>
              <w:spacing w:beforeAutospacing="0" w:afterAutospacing="0" w:line="360" w:lineRule="auto"/>
              <w:ind w:left="0" w:leftChars="0" w:right="0" w:firstLine="0" w:firstLineChars="0"/>
              <w:jc w:val="both"/>
              <w:rPr>
                <w:rFonts w:hint="eastAsia" w:ascii="宋体" w:hAnsi="宋体" w:eastAsia="宋体" w:cs="宋体"/>
                <w:sz w:val="21"/>
                <w:szCs w:val="21"/>
              </w:rPr>
            </w:pPr>
            <w:r>
              <w:rPr>
                <w:rFonts w:hint="eastAsia" w:ascii="宋体" w:hAnsi="宋体" w:eastAsia="宋体" w:cs="宋体"/>
                <w:sz w:val="21"/>
                <w:szCs w:val="21"/>
              </w:rPr>
              <w:t>（园）</w:t>
            </w:r>
            <w:r>
              <w:rPr>
                <w:rFonts w:hint="eastAsia" w:ascii="宋体" w:hAnsi="宋体" w:eastAsia="宋体" w:cs="宋体"/>
                <w:spacing w:val="-3"/>
                <w:sz w:val="21"/>
                <w:szCs w:val="21"/>
              </w:rPr>
              <w:t>方的要求，以最</w:t>
            </w:r>
            <w:r>
              <w:rPr>
                <w:rFonts w:hint="eastAsia" w:ascii="宋体" w:hAnsi="宋体" w:eastAsia="宋体" w:cs="宋体"/>
                <w:spacing w:val="-2"/>
                <w:sz w:val="21"/>
                <w:szCs w:val="21"/>
              </w:rPr>
              <w:t>快的速度，按照招标时的承诺进行应急处理。</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供应商每次都能够按照合同签订时约定的应急方案，及时响应</w:t>
            </w:r>
            <w:r>
              <w:rPr>
                <w:rFonts w:hint="eastAsia" w:ascii="宋体" w:hAnsi="宋体" w:eastAsia="宋体" w:cs="宋体"/>
                <w:spacing w:val="-8"/>
                <w:sz w:val="21"/>
                <w:szCs w:val="21"/>
              </w:rPr>
              <w:t>校</w:t>
            </w:r>
            <w:r>
              <w:rPr>
                <w:rFonts w:hint="eastAsia" w:ascii="宋体" w:hAnsi="宋体" w:eastAsia="宋体" w:cs="宋体"/>
                <w:sz w:val="21"/>
                <w:szCs w:val="21"/>
              </w:rPr>
              <w:t>（园</w:t>
            </w:r>
            <w:r>
              <w:rPr>
                <w:rFonts w:hint="eastAsia" w:ascii="宋体" w:hAnsi="宋体" w:eastAsia="宋体" w:cs="宋体"/>
                <w:spacing w:val="-10"/>
                <w:sz w:val="21"/>
                <w:szCs w:val="21"/>
              </w:rPr>
              <w:t>）</w:t>
            </w:r>
            <w:r>
              <w:rPr>
                <w:rFonts w:hint="eastAsia" w:ascii="宋体" w:hAnsi="宋体" w:eastAsia="宋体" w:cs="宋体"/>
                <w:spacing w:val="-11"/>
                <w:sz w:val="21"/>
                <w:szCs w:val="21"/>
              </w:rPr>
              <w:t xml:space="preserve">方的要求，得 </w:t>
            </w:r>
            <w:r>
              <w:rPr>
                <w:rFonts w:hint="eastAsia" w:ascii="宋体" w:hAnsi="宋体" w:eastAsia="宋体" w:cs="宋体"/>
                <w:sz w:val="21"/>
                <w:szCs w:val="21"/>
              </w:rPr>
              <w:t>10</w:t>
            </w:r>
            <w:r>
              <w:rPr>
                <w:rFonts w:hint="eastAsia" w:ascii="宋体" w:hAnsi="宋体" w:eastAsia="宋体" w:cs="宋体"/>
                <w:spacing w:val="-10"/>
                <w:sz w:val="21"/>
                <w:szCs w:val="21"/>
              </w:rPr>
              <w:t xml:space="preserve"> 分；供应商不能按照</w:t>
            </w:r>
            <w:r>
              <w:rPr>
                <w:rFonts w:hint="eastAsia" w:ascii="宋体" w:hAnsi="宋体" w:eastAsia="宋体" w:cs="宋体"/>
                <w:sz w:val="21"/>
                <w:szCs w:val="21"/>
              </w:rPr>
              <w:t>合同签订时约定的应急方案，存在延迟响应校（园）方要求且延迟时间不超过半小时（含半小时）</w:t>
            </w:r>
            <w:r>
              <w:rPr>
                <w:rFonts w:hint="eastAsia" w:ascii="宋体" w:hAnsi="宋体" w:eastAsia="宋体" w:cs="宋体"/>
                <w:spacing w:val="-7"/>
                <w:sz w:val="21"/>
                <w:szCs w:val="21"/>
              </w:rPr>
              <w:t xml:space="preserve">的，每延迟一次扣 </w:t>
            </w:r>
            <w:r>
              <w:rPr>
                <w:rFonts w:hint="eastAsia" w:ascii="宋体" w:hAnsi="宋体" w:eastAsia="宋体" w:cs="宋体"/>
                <w:sz w:val="21"/>
                <w:szCs w:val="21"/>
              </w:rPr>
              <w:t>2</w:t>
            </w:r>
            <w:r>
              <w:rPr>
                <w:rFonts w:hint="eastAsia" w:ascii="宋体" w:hAnsi="宋体" w:eastAsia="宋体" w:cs="宋体"/>
                <w:spacing w:val="-8"/>
                <w:sz w:val="21"/>
                <w:szCs w:val="21"/>
              </w:rPr>
              <w:t xml:space="preserve"> 分；供应商延迟响应校（园）方要求超过半个小时的，或者供应商未响应校（园） </w:t>
            </w:r>
            <w:r>
              <w:rPr>
                <w:rFonts w:hint="eastAsia" w:ascii="宋体" w:hAnsi="宋体" w:eastAsia="宋体" w:cs="宋体"/>
                <w:spacing w:val="-13"/>
                <w:sz w:val="21"/>
                <w:szCs w:val="21"/>
              </w:rPr>
              <w:t xml:space="preserve">方要求的，每发生一次扣 </w:t>
            </w:r>
            <w:r>
              <w:rPr>
                <w:rFonts w:hint="eastAsia" w:ascii="宋体" w:hAnsi="宋体" w:eastAsia="宋体" w:cs="宋体"/>
                <w:sz w:val="21"/>
                <w:szCs w:val="21"/>
              </w:rPr>
              <w:t>5</w:t>
            </w:r>
            <w:r>
              <w:rPr>
                <w:rFonts w:hint="eastAsia" w:ascii="宋体" w:hAnsi="宋体" w:eastAsia="宋体" w:cs="宋体"/>
                <w:spacing w:val="-12"/>
                <w:sz w:val="21"/>
                <w:szCs w:val="21"/>
              </w:rPr>
              <w:t xml:space="preserve"> 分。本项指标累计每月最高扣分 </w:t>
            </w:r>
            <w:r>
              <w:rPr>
                <w:rFonts w:hint="eastAsia" w:ascii="宋体" w:hAnsi="宋体" w:eastAsia="宋体" w:cs="宋体"/>
                <w:sz w:val="21"/>
                <w:szCs w:val="21"/>
              </w:rPr>
              <w:t>10分。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7" w:hRule="atLeast"/>
        </w:trPr>
        <w:tc>
          <w:tcPr>
            <w:tcW w:w="779"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索证制度评价指标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考核供应商的食材追踪体系建立情况</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jc w:val="both"/>
              <w:rPr>
                <w:rFonts w:hint="eastAsia" w:ascii="宋体" w:hAnsi="宋体" w:eastAsia="宋体" w:cs="宋体"/>
                <w:sz w:val="21"/>
                <w:szCs w:val="21"/>
              </w:rPr>
            </w:pPr>
            <w:r>
              <w:rPr>
                <w:rFonts w:hint="eastAsia" w:ascii="宋体" w:hAnsi="宋体" w:eastAsia="宋体" w:cs="宋体"/>
                <w:sz w:val="21"/>
                <w:szCs w:val="21"/>
              </w:rPr>
              <w:t>供应商按照《餐饮业食品索证管理规定》，建立了食材追踪体系，并有专门的台账档案，能随时查明货物来源或产地，能及</w:t>
            </w:r>
            <w:r>
              <w:rPr>
                <w:rFonts w:hint="eastAsia" w:ascii="宋体" w:hAnsi="宋体" w:eastAsia="宋体" w:cs="宋体"/>
                <w:spacing w:val="-4"/>
                <w:sz w:val="21"/>
                <w:szCs w:val="21"/>
              </w:rPr>
              <w:t xml:space="preserve">时提供相关的票、据、证等材料的，得 </w:t>
            </w:r>
            <w:r>
              <w:rPr>
                <w:rFonts w:hint="eastAsia" w:ascii="宋体" w:hAnsi="宋体" w:eastAsia="宋体" w:cs="宋体"/>
                <w:sz w:val="21"/>
                <w:szCs w:val="21"/>
              </w:rPr>
              <w:t>5</w:t>
            </w:r>
            <w:r>
              <w:rPr>
                <w:rFonts w:hint="eastAsia" w:ascii="宋体" w:hAnsi="宋体" w:eastAsia="宋体" w:cs="宋体"/>
                <w:spacing w:val="-15"/>
                <w:sz w:val="21"/>
                <w:szCs w:val="21"/>
              </w:rPr>
              <w:t xml:space="preserve"> 分；校</w:t>
            </w:r>
            <w:r>
              <w:rPr>
                <w:rFonts w:hint="eastAsia" w:ascii="宋体" w:hAnsi="宋体" w:eastAsia="宋体" w:cs="宋体"/>
                <w:sz w:val="21"/>
                <w:szCs w:val="21"/>
              </w:rPr>
              <w:t>（园）方对食材进行抽检，每发现一次相关的票、据、证等材料不齐全的或</w:t>
            </w:r>
            <w:r>
              <w:rPr>
                <w:rFonts w:hint="eastAsia" w:ascii="宋体" w:hAnsi="宋体" w:eastAsia="宋体" w:cs="宋体"/>
                <w:spacing w:val="-6"/>
                <w:sz w:val="21"/>
                <w:szCs w:val="21"/>
              </w:rPr>
              <w:t xml:space="preserve">者无法查明货物来源或产地的，扣 </w:t>
            </w:r>
            <w:r>
              <w:rPr>
                <w:rFonts w:hint="eastAsia" w:ascii="宋体" w:hAnsi="宋体" w:eastAsia="宋体" w:cs="宋体"/>
                <w:sz w:val="21"/>
                <w:szCs w:val="21"/>
              </w:rPr>
              <w:t>1</w:t>
            </w:r>
            <w:r>
              <w:rPr>
                <w:rFonts w:hint="eastAsia" w:ascii="宋体" w:hAnsi="宋体" w:eastAsia="宋体" w:cs="宋体"/>
                <w:spacing w:val="-30"/>
                <w:sz w:val="21"/>
                <w:szCs w:val="21"/>
              </w:rPr>
              <w:t xml:space="preserve"> 分</w:t>
            </w:r>
            <w:r>
              <w:rPr>
                <w:rFonts w:hint="eastAsia" w:ascii="宋体" w:hAnsi="宋体" w:eastAsia="宋体" w:cs="宋体"/>
                <w:sz w:val="21"/>
                <w:szCs w:val="21"/>
              </w:rPr>
              <w:t>/</w:t>
            </w:r>
            <w:r>
              <w:rPr>
                <w:rFonts w:hint="eastAsia" w:ascii="宋体" w:hAnsi="宋体" w:eastAsia="宋体" w:cs="宋体"/>
                <w:spacing w:val="-6"/>
                <w:sz w:val="21"/>
                <w:szCs w:val="21"/>
              </w:rPr>
              <w:t>品种；本项目指标累计</w:t>
            </w:r>
            <w:r>
              <w:rPr>
                <w:rFonts w:hint="eastAsia" w:ascii="宋体" w:hAnsi="宋体" w:eastAsia="宋体" w:cs="宋体"/>
                <w:sz w:val="21"/>
                <w:szCs w:val="21"/>
              </w:rPr>
              <w:t>每月最高扣分 5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79"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信息化评价指标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考核供应商是否按要求运用信息化平台。</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pacing w:val="-7"/>
                <w:sz w:val="21"/>
                <w:szCs w:val="21"/>
              </w:rPr>
            </w:pPr>
            <w:r>
              <w:rPr>
                <w:rFonts w:hint="eastAsia" w:ascii="宋体" w:hAnsi="宋体" w:eastAsia="宋体" w:cs="宋体"/>
                <w:sz w:val="21"/>
                <w:szCs w:val="21"/>
              </w:rPr>
              <w:t>供应商每次全面、及时、准确上传追溯信息，相关品名、规格、批次等数据真实完整</w:t>
            </w:r>
            <w:r>
              <w:rPr>
                <w:rFonts w:hint="eastAsia" w:ascii="宋体" w:hAnsi="宋体" w:eastAsia="宋体" w:cs="宋体"/>
                <w:spacing w:val="-12"/>
                <w:sz w:val="21"/>
                <w:szCs w:val="21"/>
              </w:rPr>
              <w:t xml:space="preserve">，得 </w:t>
            </w:r>
            <w:r>
              <w:rPr>
                <w:rFonts w:hint="eastAsia" w:ascii="宋体" w:hAnsi="宋体" w:eastAsia="宋体" w:cs="宋体"/>
                <w:sz w:val="21"/>
                <w:szCs w:val="21"/>
              </w:rPr>
              <w:t>5</w:t>
            </w:r>
            <w:r>
              <w:rPr>
                <w:rFonts w:hint="eastAsia" w:ascii="宋体" w:hAnsi="宋体" w:eastAsia="宋体" w:cs="宋体"/>
                <w:spacing w:val="-8"/>
                <w:sz w:val="21"/>
                <w:szCs w:val="21"/>
              </w:rPr>
              <w:t xml:space="preserve"> 分；每发现一次上传信息不完整、不真实</w:t>
            </w:r>
            <w:r>
              <w:rPr>
                <w:rFonts w:hint="eastAsia" w:ascii="宋体" w:hAnsi="宋体" w:eastAsia="宋体" w:cs="宋体"/>
                <w:spacing w:val="-7"/>
                <w:sz w:val="21"/>
                <w:szCs w:val="21"/>
              </w:rPr>
              <w:t xml:space="preserve">，扣 </w:t>
            </w:r>
            <w:r>
              <w:rPr>
                <w:rFonts w:hint="eastAsia" w:ascii="宋体" w:hAnsi="宋体" w:eastAsia="宋体" w:cs="宋体"/>
                <w:sz w:val="21"/>
                <w:szCs w:val="21"/>
              </w:rPr>
              <w:t>1</w:t>
            </w:r>
            <w:r>
              <w:rPr>
                <w:rFonts w:hint="eastAsia" w:ascii="宋体" w:hAnsi="宋体" w:eastAsia="宋体" w:cs="宋体"/>
                <w:spacing w:val="-12"/>
                <w:sz w:val="21"/>
                <w:szCs w:val="21"/>
              </w:rPr>
              <w:t xml:space="preserve"> 分；本项目指标累计每月最高扣分 </w:t>
            </w:r>
            <w:r>
              <w:rPr>
                <w:rFonts w:hint="eastAsia" w:ascii="宋体" w:hAnsi="宋体" w:eastAsia="宋体" w:cs="宋体"/>
                <w:sz w:val="21"/>
                <w:szCs w:val="21"/>
              </w:rPr>
              <w:t>5</w:t>
            </w:r>
            <w:r>
              <w:rPr>
                <w:rFonts w:hint="eastAsia" w:ascii="宋体" w:hAnsi="宋体" w:eastAsia="宋体" w:cs="宋体"/>
                <w:spacing w:val="-20"/>
                <w:sz w:val="21"/>
                <w:szCs w:val="21"/>
              </w:rPr>
              <w:t xml:space="preserve">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79"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nil"/>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单据管理评价指标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考核供应商送货单据是否齐全、清晰。</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供应商每次提供的送货单（结算凭证）</w:t>
            </w:r>
            <w:r>
              <w:rPr>
                <w:rFonts w:hint="eastAsia" w:ascii="宋体" w:hAnsi="宋体" w:eastAsia="宋体" w:cs="宋体"/>
                <w:spacing w:val="-2"/>
                <w:sz w:val="21"/>
                <w:szCs w:val="21"/>
              </w:rPr>
              <w:t>项目齐全，及其打印清</w:t>
            </w:r>
            <w:r>
              <w:rPr>
                <w:rFonts w:hint="eastAsia" w:ascii="宋体" w:hAnsi="宋体" w:eastAsia="宋体" w:cs="宋体"/>
                <w:spacing w:val="-12"/>
                <w:sz w:val="21"/>
                <w:szCs w:val="21"/>
              </w:rPr>
              <w:t xml:space="preserve">晰的，得 </w:t>
            </w:r>
            <w:r>
              <w:rPr>
                <w:rFonts w:hint="eastAsia" w:ascii="宋体" w:hAnsi="宋体" w:eastAsia="宋体" w:cs="宋体"/>
                <w:sz w:val="21"/>
                <w:szCs w:val="21"/>
              </w:rPr>
              <w:t>5</w:t>
            </w:r>
            <w:r>
              <w:rPr>
                <w:rFonts w:hint="eastAsia" w:ascii="宋体" w:hAnsi="宋体" w:eastAsia="宋体" w:cs="宋体"/>
                <w:spacing w:val="-8"/>
                <w:sz w:val="21"/>
                <w:szCs w:val="21"/>
              </w:rPr>
              <w:t xml:space="preserve"> 分；每发现一次送货单</w:t>
            </w:r>
            <w:r>
              <w:rPr>
                <w:rFonts w:hint="eastAsia" w:ascii="宋体" w:hAnsi="宋体" w:eastAsia="宋体" w:cs="宋体"/>
                <w:sz w:val="21"/>
                <w:szCs w:val="21"/>
              </w:rPr>
              <w:t>（结算凭证）</w:t>
            </w:r>
            <w:r>
              <w:rPr>
                <w:rFonts w:hint="eastAsia" w:ascii="宋体" w:hAnsi="宋体" w:eastAsia="宋体" w:cs="宋体"/>
                <w:spacing w:val="-3"/>
                <w:sz w:val="21"/>
                <w:szCs w:val="21"/>
              </w:rPr>
              <w:t>项目不齐全或</w:t>
            </w:r>
            <w:r>
              <w:rPr>
                <w:rFonts w:hint="eastAsia" w:ascii="宋体" w:hAnsi="宋体" w:eastAsia="宋体" w:cs="宋体"/>
                <w:spacing w:val="-7"/>
                <w:sz w:val="21"/>
                <w:szCs w:val="21"/>
              </w:rPr>
              <w:t xml:space="preserve">者打印不清晰，扣 </w:t>
            </w:r>
            <w:r>
              <w:rPr>
                <w:rFonts w:hint="eastAsia" w:ascii="宋体" w:hAnsi="宋体" w:eastAsia="宋体" w:cs="宋体"/>
                <w:sz w:val="21"/>
                <w:szCs w:val="21"/>
              </w:rPr>
              <w:t>1</w:t>
            </w:r>
            <w:r>
              <w:rPr>
                <w:rFonts w:hint="eastAsia" w:ascii="宋体" w:hAnsi="宋体" w:eastAsia="宋体" w:cs="宋体"/>
                <w:spacing w:val="-12"/>
                <w:sz w:val="21"/>
                <w:szCs w:val="21"/>
              </w:rPr>
              <w:t xml:space="preserve"> 分；本项目指标累计每月最高扣分 </w:t>
            </w:r>
            <w:r>
              <w:rPr>
                <w:rFonts w:hint="eastAsia" w:ascii="宋体" w:hAnsi="宋体" w:eastAsia="宋体" w:cs="宋体"/>
                <w:sz w:val="21"/>
                <w:szCs w:val="21"/>
              </w:rPr>
              <w:t>5</w:t>
            </w:r>
            <w:r>
              <w:rPr>
                <w:rFonts w:hint="eastAsia" w:ascii="宋体" w:hAnsi="宋体" w:eastAsia="宋体" w:cs="宋体"/>
                <w:spacing w:val="-20"/>
                <w:sz w:val="21"/>
                <w:szCs w:val="21"/>
              </w:rPr>
              <w:t xml:space="preserve">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70" w:hRule="atLeast"/>
        </w:trPr>
        <w:tc>
          <w:tcPr>
            <w:tcW w:w="77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价格管理</w:t>
            </w:r>
          </w:p>
        </w:tc>
        <w:tc>
          <w:tcPr>
            <w:tcW w:w="870"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价格合理性评价指标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jc w:val="both"/>
              <w:rPr>
                <w:rFonts w:hint="eastAsia" w:ascii="宋体" w:hAnsi="宋体" w:eastAsia="宋体" w:cs="宋体"/>
                <w:sz w:val="21"/>
                <w:szCs w:val="21"/>
              </w:rPr>
            </w:pPr>
            <w:r>
              <w:rPr>
                <w:rFonts w:hint="eastAsia" w:ascii="宋体" w:hAnsi="宋体" w:eastAsia="宋体" w:cs="宋体"/>
                <w:spacing w:val="-2"/>
                <w:sz w:val="21"/>
                <w:szCs w:val="21"/>
              </w:rPr>
              <w:t>考核供应商是否建立了完善的报价机制；是否存在临时补货物品价格虚高的情况；是否存在对账单价格乱报、错报等的情况；是否存在月</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按照规定时间依时报价，且结算价格严格按照招标文件及供应</w:t>
            </w:r>
            <w:r>
              <w:rPr>
                <w:rFonts w:hint="eastAsia" w:ascii="宋体" w:hAnsi="宋体" w:eastAsia="宋体" w:cs="宋体"/>
                <w:spacing w:val="-3"/>
                <w:sz w:val="21"/>
                <w:szCs w:val="21"/>
              </w:rPr>
              <w:t xml:space="preserve">商承诺的折扣率规定执行，没有虚高、乱报、错报的行为发生， </w:t>
            </w:r>
            <w:r>
              <w:rPr>
                <w:rFonts w:hint="eastAsia" w:ascii="宋体" w:hAnsi="宋体" w:eastAsia="宋体" w:cs="宋体"/>
                <w:spacing w:val="-32"/>
                <w:sz w:val="21"/>
                <w:szCs w:val="21"/>
              </w:rPr>
              <w:t xml:space="preserve">得 </w:t>
            </w:r>
            <w:r>
              <w:rPr>
                <w:rFonts w:hint="eastAsia" w:ascii="宋体" w:hAnsi="宋体" w:eastAsia="宋体" w:cs="宋体"/>
                <w:sz w:val="21"/>
                <w:szCs w:val="21"/>
              </w:rPr>
              <w:t>10</w:t>
            </w:r>
            <w:r>
              <w:rPr>
                <w:rFonts w:hint="eastAsia" w:ascii="宋体" w:hAnsi="宋体" w:eastAsia="宋体" w:cs="宋体"/>
                <w:spacing w:val="-10"/>
                <w:sz w:val="21"/>
                <w:szCs w:val="21"/>
              </w:rPr>
              <w:t xml:space="preserve"> 分；没有在规定时间内完成本月报价，每发生一次延迟扣</w:t>
            </w:r>
            <w:r>
              <w:rPr>
                <w:rFonts w:hint="eastAsia" w:ascii="宋体" w:hAnsi="宋体" w:eastAsia="宋体" w:cs="宋体"/>
                <w:sz w:val="21"/>
                <w:szCs w:val="21"/>
              </w:rPr>
              <w:t>1</w:t>
            </w:r>
            <w:r>
              <w:rPr>
                <w:rFonts w:hint="eastAsia" w:ascii="宋体" w:hAnsi="宋体" w:eastAsia="宋体" w:cs="宋体"/>
                <w:spacing w:val="-10"/>
                <w:sz w:val="21"/>
                <w:szCs w:val="21"/>
              </w:rPr>
              <w:t xml:space="preserve"> 分；每发现一次没有按照供应商承诺的折扣率报价，扣 </w:t>
            </w:r>
            <w:r>
              <w:rPr>
                <w:rFonts w:hint="eastAsia" w:ascii="宋体" w:hAnsi="宋体" w:eastAsia="宋体" w:cs="宋体"/>
                <w:sz w:val="21"/>
                <w:szCs w:val="21"/>
              </w:rPr>
              <w:t>1</w:t>
            </w:r>
            <w:r>
              <w:rPr>
                <w:rFonts w:hint="eastAsia" w:ascii="宋体" w:hAnsi="宋体" w:eastAsia="宋体" w:cs="宋体"/>
                <w:spacing w:val="-25"/>
                <w:sz w:val="21"/>
                <w:szCs w:val="21"/>
              </w:rPr>
              <w:t xml:space="preserve"> 分；</w:t>
            </w:r>
            <w:r>
              <w:rPr>
                <w:rFonts w:hint="eastAsia" w:ascii="宋体" w:hAnsi="宋体" w:eastAsia="宋体" w:cs="宋体"/>
                <w:sz w:val="21"/>
                <w:szCs w:val="21"/>
              </w:rPr>
              <w:t>每发生一次虚高、乱报或错报行为，扣 1 分；本项指标累计每月最高扣分 10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bl>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sectPr>
          <w:pgSz w:w="16840" w:h="11910" w:orient="landscape"/>
          <w:pgMar w:top="1100" w:right="1220" w:bottom="280" w:left="1240" w:header="720" w:footer="720" w:gutter="0"/>
          <w:pgBorders>
            <w:top w:val="none" w:sz="0" w:space="0"/>
            <w:left w:val="none" w:sz="0" w:space="0"/>
            <w:bottom w:val="none" w:sz="0" w:space="0"/>
            <w:right w:val="none" w:sz="0" w:space="0"/>
          </w:pgBorders>
          <w:cols w:space="720" w:num="1"/>
        </w:sectPr>
      </w:pPr>
    </w:p>
    <w:tbl>
      <w:tblPr>
        <w:tblStyle w:val="42"/>
        <w:tblW w:w="14146"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870"/>
        <w:gridCol w:w="1219"/>
        <w:gridCol w:w="1003"/>
        <w:gridCol w:w="2643"/>
        <w:gridCol w:w="6784"/>
        <w:gridCol w:w="8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79"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w w:val="95"/>
                <w:sz w:val="21"/>
                <w:szCs w:val="21"/>
              </w:rPr>
              <w:t>一级</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w w:val="95"/>
                <w:sz w:val="21"/>
                <w:szCs w:val="21"/>
              </w:rPr>
              <w:t>指标</w:t>
            </w:r>
          </w:p>
        </w:tc>
        <w:tc>
          <w:tcPr>
            <w:tcW w:w="870"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分值</w:t>
            </w:r>
          </w:p>
        </w:tc>
        <w:tc>
          <w:tcPr>
            <w:tcW w:w="1219"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二级指标</w:t>
            </w:r>
          </w:p>
        </w:tc>
        <w:tc>
          <w:tcPr>
            <w:tcW w:w="1003"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2643"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考核内容</w:t>
            </w:r>
          </w:p>
        </w:tc>
        <w:tc>
          <w:tcPr>
            <w:tcW w:w="6784"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848" w:type="dxa"/>
            <w:shd w:val="clear" w:color="auto" w:fill="FFFFFF"/>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b/>
                <w:sz w:val="21"/>
                <w:szCs w:val="21"/>
              </w:rPr>
            </w:pPr>
            <w:r>
              <w:rPr>
                <w:rFonts w:hint="eastAsia" w:ascii="宋体" w:hAnsi="宋体" w:eastAsia="宋体" w:cs="宋体"/>
                <w:b/>
                <w:sz w:val="21"/>
                <w:szCs w:val="21"/>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7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870"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度结算对账不及时情况</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等。</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79" w:type="dxa"/>
            <w:vMerge w:val="restart"/>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安全卫生</w:t>
            </w:r>
          </w:p>
        </w:tc>
        <w:tc>
          <w:tcPr>
            <w:tcW w:w="870" w:type="dxa"/>
            <w:vMerge w:val="restart"/>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15分</w:t>
            </w:r>
          </w:p>
        </w:tc>
        <w:tc>
          <w:tcPr>
            <w:tcW w:w="1219" w:type="dxa"/>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食材安全性评价指标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10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考核食材安全检测指标是否符合国家相关规定</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校（园）方不定期对配送物品进行食品安全抽检（如农药超标检测等），</w:t>
            </w:r>
            <w:r>
              <w:rPr>
                <w:rFonts w:hint="eastAsia" w:ascii="宋体" w:hAnsi="宋体" w:eastAsia="宋体" w:cs="宋体"/>
                <w:spacing w:val="-3"/>
                <w:sz w:val="21"/>
                <w:szCs w:val="21"/>
              </w:rPr>
              <w:t xml:space="preserve">各项指标符合国家相关规范标准的要求，得 </w:t>
            </w:r>
            <w:r>
              <w:rPr>
                <w:rFonts w:hint="eastAsia" w:ascii="宋体" w:hAnsi="宋体" w:eastAsia="宋体" w:cs="宋体"/>
                <w:sz w:val="21"/>
                <w:szCs w:val="21"/>
              </w:rPr>
              <w:t>10</w:t>
            </w:r>
            <w:r>
              <w:rPr>
                <w:rFonts w:hint="eastAsia" w:ascii="宋体" w:hAnsi="宋体" w:eastAsia="宋体" w:cs="宋体"/>
                <w:spacing w:val="-26"/>
                <w:sz w:val="21"/>
                <w:szCs w:val="21"/>
              </w:rPr>
              <w:t xml:space="preserve"> 分；</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每存在一项指标不符合国家相关规范标准的要求，扣 5 分；</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本项目指标累计每月最高扣分 10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79" w:type="dxa"/>
            <w:vMerge w:val="continue"/>
            <w:tcBorders>
              <w:top w:val="nil"/>
              <w:bottom w:val="single" w:color="auto" w:sz="4" w:space="0"/>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nil"/>
              <w:bottom w:val="single" w:color="auto" w:sz="4" w:space="0"/>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配送人员评价指标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考核配送人员的综合素质。</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pacing w:val="-6"/>
                <w:sz w:val="21"/>
                <w:szCs w:val="21"/>
              </w:rPr>
              <w:t xml:space="preserve">每一名配送人员均持有健康证，配送时段统一穿工服，得 </w:t>
            </w:r>
            <w:r>
              <w:rPr>
                <w:rFonts w:hint="eastAsia" w:ascii="宋体" w:hAnsi="宋体" w:eastAsia="宋体" w:cs="宋体"/>
                <w:sz w:val="21"/>
                <w:szCs w:val="21"/>
              </w:rPr>
              <w:t>5</w:t>
            </w:r>
            <w:r>
              <w:rPr>
                <w:rFonts w:hint="eastAsia" w:ascii="宋体" w:hAnsi="宋体" w:eastAsia="宋体" w:cs="宋体"/>
                <w:spacing w:val="-24"/>
                <w:sz w:val="21"/>
                <w:szCs w:val="21"/>
              </w:rPr>
              <w:t xml:space="preserve"> 分；</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pacing w:val="-6"/>
                <w:sz w:val="21"/>
                <w:szCs w:val="21"/>
              </w:rPr>
              <w:t xml:space="preserve">每发现一次配送人员未统一着装，扣 </w:t>
            </w:r>
            <w:r>
              <w:rPr>
                <w:rFonts w:hint="eastAsia" w:ascii="宋体" w:hAnsi="宋体" w:eastAsia="宋体" w:cs="宋体"/>
                <w:sz w:val="21"/>
                <w:szCs w:val="21"/>
              </w:rPr>
              <w:t>1</w:t>
            </w:r>
            <w:r>
              <w:rPr>
                <w:rFonts w:hint="eastAsia" w:ascii="宋体" w:hAnsi="宋体" w:eastAsia="宋体" w:cs="宋体"/>
                <w:spacing w:val="-30"/>
                <w:sz w:val="21"/>
                <w:szCs w:val="21"/>
              </w:rPr>
              <w:t xml:space="preserve"> 分</w:t>
            </w:r>
            <w:r>
              <w:rPr>
                <w:rFonts w:hint="eastAsia" w:ascii="宋体" w:hAnsi="宋体" w:eastAsia="宋体" w:cs="宋体"/>
                <w:sz w:val="21"/>
                <w:szCs w:val="21"/>
              </w:rPr>
              <w:t>/</w:t>
            </w:r>
            <w:r>
              <w:rPr>
                <w:rFonts w:hint="eastAsia" w:ascii="宋体" w:hAnsi="宋体" w:eastAsia="宋体" w:cs="宋体"/>
                <w:spacing w:val="-4"/>
                <w:sz w:val="21"/>
                <w:szCs w:val="21"/>
              </w:rPr>
              <w:t>人；发现一次配送人</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员无健康证，扣 5 分；本项指标累计每月最高扣分 5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79" w:type="dxa"/>
            <w:vMerge w:val="restart"/>
            <w:tcBorders>
              <w:top w:val="single" w:color="auto" w:sz="4" w:space="0"/>
              <w:left w:val="single" w:color="auto" w:sz="4" w:space="0"/>
              <w:bottom w:val="single" w:color="auto" w:sz="4" w:space="0"/>
              <w:right w:val="single" w:color="auto" w:sz="4" w:space="0"/>
            </w:tcBorders>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服务质量</w:t>
            </w:r>
          </w:p>
        </w:tc>
        <w:tc>
          <w:tcPr>
            <w:tcW w:w="870" w:type="dxa"/>
            <w:vMerge w:val="restart"/>
            <w:tcBorders>
              <w:top w:val="single" w:color="auto" w:sz="4" w:space="0"/>
              <w:left w:val="single" w:color="auto" w:sz="4" w:space="0"/>
              <w:bottom w:val="single" w:color="auto" w:sz="4" w:space="0"/>
              <w:right w:val="single" w:color="auto" w:sz="4" w:space="0"/>
            </w:tcBorders>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10 分</w:t>
            </w:r>
          </w:p>
        </w:tc>
        <w:tc>
          <w:tcPr>
            <w:tcW w:w="1219" w:type="dxa"/>
            <w:tcBorders>
              <w:left w:val="single" w:color="auto" w:sz="4" w:space="0"/>
            </w:tcBorders>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服务态度评价指标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考核供应商服务态度是否良好。</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pacing w:val="-1"/>
                <w:sz w:val="21"/>
                <w:szCs w:val="21"/>
              </w:rPr>
              <w:t>工作人员工作认真，服务热情周到，运送搬运文明，无投诉事</w:t>
            </w:r>
            <w:r>
              <w:rPr>
                <w:rFonts w:hint="eastAsia" w:ascii="宋体" w:hAnsi="宋体" w:eastAsia="宋体" w:cs="宋体"/>
                <w:spacing w:val="-10"/>
                <w:sz w:val="21"/>
                <w:szCs w:val="21"/>
              </w:rPr>
              <w:t xml:space="preserve">件发生，得 </w:t>
            </w:r>
            <w:r>
              <w:rPr>
                <w:rFonts w:hint="eastAsia" w:ascii="宋体" w:hAnsi="宋体" w:eastAsia="宋体" w:cs="宋体"/>
                <w:sz w:val="21"/>
                <w:szCs w:val="21"/>
              </w:rPr>
              <w:t>5</w:t>
            </w:r>
            <w:r>
              <w:rPr>
                <w:rFonts w:hint="eastAsia" w:ascii="宋体" w:hAnsi="宋体" w:eastAsia="宋体" w:cs="宋体"/>
                <w:spacing w:val="-18"/>
                <w:sz w:val="21"/>
                <w:szCs w:val="21"/>
              </w:rPr>
              <w:t xml:space="preserve"> 分；每接到 </w:t>
            </w:r>
            <w:r>
              <w:rPr>
                <w:rFonts w:hint="eastAsia" w:ascii="宋体" w:hAnsi="宋体" w:eastAsia="宋体" w:cs="宋体"/>
                <w:sz w:val="21"/>
                <w:szCs w:val="21"/>
              </w:rPr>
              <w:t>1</w:t>
            </w:r>
            <w:r>
              <w:rPr>
                <w:rFonts w:hint="eastAsia" w:ascii="宋体" w:hAnsi="宋体" w:eastAsia="宋体" w:cs="宋体"/>
                <w:spacing w:val="-16"/>
                <w:sz w:val="21"/>
                <w:szCs w:val="21"/>
              </w:rPr>
              <w:t xml:space="preserve"> 次有效投诉扣 </w:t>
            </w:r>
            <w:r>
              <w:rPr>
                <w:rFonts w:hint="eastAsia" w:ascii="宋体" w:hAnsi="宋体" w:eastAsia="宋体" w:cs="宋体"/>
                <w:sz w:val="21"/>
                <w:szCs w:val="21"/>
              </w:rPr>
              <w:t>5</w:t>
            </w:r>
            <w:r>
              <w:rPr>
                <w:rFonts w:hint="eastAsia" w:ascii="宋体" w:hAnsi="宋体" w:eastAsia="宋体" w:cs="宋体"/>
                <w:spacing w:val="-9"/>
                <w:sz w:val="21"/>
                <w:szCs w:val="21"/>
              </w:rPr>
              <w:t xml:space="preserve"> 分；本项指标累计</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每月最高扣分 5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79" w:type="dxa"/>
            <w:vMerge w:val="continue"/>
            <w:tcBorders>
              <w:top w:val="single" w:color="auto" w:sz="4" w:space="0"/>
              <w:left w:val="single" w:color="auto" w:sz="4" w:space="0"/>
              <w:bottom w:val="single" w:color="auto" w:sz="4" w:space="0"/>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870" w:type="dxa"/>
            <w:vMerge w:val="continue"/>
            <w:tcBorders>
              <w:top w:val="single" w:color="auto" w:sz="4" w:space="0"/>
              <w:bottom w:val="single" w:color="auto" w:sz="4" w:space="0"/>
              <w:right w:val="single" w:color="auto" w:sz="4" w:space="0"/>
            </w:tcBorders>
            <w:vAlign w:val="top"/>
          </w:tcPr>
          <w:p>
            <w:pPr>
              <w:pageBreakBefore w:val="0"/>
              <w:kinsoku/>
              <w:overflowPunct/>
              <w:bidi w:val="0"/>
              <w:spacing w:beforeAutospacing="0" w:afterAutospacing="0" w:line="360" w:lineRule="auto"/>
              <w:ind w:left="0" w:leftChars="0" w:right="0" w:firstLine="0" w:firstLineChars="0"/>
              <w:rPr>
                <w:rFonts w:hint="eastAsia" w:ascii="宋体" w:hAnsi="宋体" w:eastAsia="宋体" w:cs="宋体"/>
                <w:szCs w:val="21"/>
              </w:rPr>
            </w:pPr>
          </w:p>
        </w:tc>
        <w:tc>
          <w:tcPr>
            <w:tcW w:w="1219" w:type="dxa"/>
            <w:tcBorders>
              <w:left w:val="single" w:color="auto" w:sz="4" w:space="0"/>
            </w:tcBorders>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反馈整改评价指标</w:t>
            </w:r>
          </w:p>
        </w:tc>
        <w:tc>
          <w:tcPr>
            <w:tcW w:w="100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5 分</w:t>
            </w:r>
          </w:p>
        </w:tc>
        <w:tc>
          <w:tcPr>
            <w:tcW w:w="2643"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考核供应商是否对校</w:t>
            </w:r>
          </w:p>
          <w:p>
            <w:pPr>
              <w:pStyle w:val="201"/>
              <w:pageBreakBefore w:val="0"/>
              <w:kinsoku/>
              <w:overflowPunct/>
              <w:bidi w:val="0"/>
              <w:spacing w:beforeAutospacing="0" w:afterAutospacing="0" w:line="360" w:lineRule="auto"/>
              <w:ind w:left="0" w:leftChars="0" w:right="0" w:firstLine="0" w:firstLineChars="0"/>
              <w:jc w:val="both"/>
              <w:rPr>
                <w:rFonts w:hint="eastAsia" w:ascii="宋体" w:hAnsi="宋体" w:eastAsia="宋体" w:cs="宋体"/>
                <w:sz w:val="21"/>
                <w:szCs w:val="21"/>
              </w:rPr>
            </w:pPr>
            <w:r>
              <w:rPr>
                <w:rFonts w:hint="eastAsia" w:ascii="宋体" w:hAnsi="宋体" w:eastAsia="宋体" w:cs="宋体"/>
                <w:sz w:val="21"/>
                <w:szCs w:val="21"/>
              </w:rPr>
              <w:t>（园）方、考评小组的反馈意见进行认真及时的整改。</w:t>
            </w:r>
          </w:p>
        </w:tc>
        <w:tc>
          <w:tcPr>
            <w:tcW w:w="6784"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pacing w:val="-4"/>
                <w:sz w:val="21"/>
                <w:szCs w:val="21"/>
              </w:rPr>
              <w:t>对校</w:t>
            </w:r>
            <w:r>
              <w:rPr>
                <w:rFonts w:hint="eastAsia" w:ascii="宋体" w:hAnsi="宋体" w:eastAsia="宋体" w:cs="宋体"/>
                <w:sz w:val="21"/>
                <w:szCs w:val="21"/>
              </w:rPr>
              <w:t>（园</w:t>
            </w:r>
            <w:r>
              <w:rPr>
                <w:rFonts w:hint="eastAsia" w:ascii="宋体" w:hAnsi="宋体" w:eastAsia="宋体" w:cs="宋体"/>
                <w:spacing w:val="-10"/>
                <w:sz w:val="21"/>
                <w:szCs w:val="21"/>
              </w:rPr>
              <w:t>）</w:t>
            </w:r>
            <w:r>
              <w:rPr>
                <w:rFonts w:hint="eastAsia" w:ascii="宋体" w:hAnsi="宋体" w:eastAsia="宋体" w:cs="宋体"/>
                <w:spacing w:val="-4"/>
                <w:sz w:val="21"/>
                <w:szCs w:val="21"/>
              </w:rPr>
              <w:t xml:space="preserve">方、考评小组的反馈意见虚心接受，认真及时更改， </w:t>
            </w:r>
            <w:r>
              <w:rPr>
                <w:rFonts w:hint="eastAsia" w:ascii="宋体" w:hAnsi="宋体" w:eastAsia="宋体" w:cs="宋体"/>
                <w:spacing w:val="-32"/>
                <w:sz w:val="21"/>
                <w:szCs w:val="21"/>
              </w:rPr>
              <w:t xml:space="preserve">得 </w:t>
            </w:r>
            <w:r>
              <w:rPr>
                <w:rFonts w:hint="eastAsia" w:ascii="宋体" w:hAnsi="宋体" w:eastAsia="宋体" w:cs="宋体"/>
                <w:sz w:val="21"/>
                <w:szCs w:val="21"/>
              </w:rPr>
              <w:t>5</w:t>
            </w:r>
            <w:r>
              <w:rPr>
                <w:rFonts w:hint="eastAsia" w:ascii="宋体" w:hAnsi="宋体" w:eastAsia="宋体" w:cs="宋体"/>
                <w:spacing w:val="-12"/>
                <w:sz w:val="21"/>
                <w:szCs w:val="21"/>
              </w:rPr>
              <w:t xml:space="preserve"> 分；对校</w:t>
            </w:r>
            <w:r>
              <w:rPr>
                <w:rFonts w:hint="eastAsia" w:ascii="宋体" w:hAnsi="宋体" w:eastAsia="宋体" w:cs="宋体"/>
                <w:sz w:val="21"/>
                <w:szCs w:val="21"/>
              </w:rPr>
              <w:t>（园）方、考评小组的反馈意见没有及时整改，</w:t>
            </w:r>
          </w:p>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每发现一次扣 1 分；本项指标累计每月最高扣分 5 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3298" w:type="dxa"/>
            <w:gridSpan w:val="6"/>
            <w:tcBorders>
              <w:top w:val="nil"/>
            </w:tcBorders>
            <w:vAlign w:val="top"/>
          </w:tcPr>
          <w:p>
            <w:pPr>
              <w:pStyle w:val="201"/>
              <w:pageBreakBefore w:val="0"/>
              <w:kinsoku/>
              <w:overflowPunct/>
              <w:bidi w:val="0"/>
              <w:spacing w:beforeAutospacing="0" w:afterAutospacing="0" w:line="360" w:lineRule="auto"/>
              <w:ind w:left="0" w:leftChars="0" w:right="0" w:firstLine="0" w:firstLineChars="0"/>
              <w:jc w:val="center"/>
              <w:rPr>
                <w:rFonts w:hint="eastAsia" w:ascii="宋体" w:hAnsi="宋体" w:eastAsia="宋体" w:cs="宋体"/>
                <w:sz w:val="21"/>
                <w:szCs w:val="21"/>
              </w:rPr>
            </w:pPr>
            <w:r>
              <w:rPr>
                <w:rFonts w:hint="eastAsia" w:ascii="宋体" w:hAnsi="宋体" w:eastAsia="宋体" w:cs="宋体"/>
                <w:sz w:val="21"/>
                <w:szCs w:val="21"/>
              </w:rPr>
              <w:t>服务供应商月度考核总得分</w:t>
            </w:r>
          </w:p>
        </w:tc>
        <w:tc>
          <w:tcPr>
            <w:tcW w:w="848" w:type="dxa"/>
            <w:vAlign w:val="top"/>
          </w:tcPr>
          <w:p>
            <w:pPr>
              <w:pStyle w:val="201"/>
              <w:pageBreakBefore w:val="0"/>
              <w:kinsoku/>
              <w:overflowPunct/>
              <w:bidi w:val="0"/>
              <w:spacing w:beforeAutospacing="0" w:afterAutospacing="0" w:line="360" w:lineRule="auto"/>
              <w:ind w:left="0" w:leftChars="0" w:right="0" w:firstLine="0" w:firstLineChars="0"/>
              <w:rPr>
                <w:rFonts w:hint="eastAsia" w:ascii="宋体" w:hAnsi="宋体" w:eastAsia="宋体" w:cs="宋体"/>
                <w:sz w:val="21"/>
                <w:szCs w:val="21"/>
              </w:rPr>
            </w:pPr>
          </w:p>
        </w:tc>
      </w:tr>
    </w:tbl>
    <w:p>
      <w:pPr>
        <w:pageBreakBefore w:val="0"/>
        <w:tabs>
          <w:tab w:val="left" w:pos="11071"/>
        </w:tabs>
        <w:kinsoku/>
        <w:overflowPunct/>
        <w:bidi w:val="0"/>
        <w:spacing w:beforeAutospacing="0" w:afterAutospacing="0" w:line="360" w:lineRule="auto"/>
        <w:ind w:left="0" w:leftChars="0" w:right="0" w:firstLine="0" w:firstLineChars="0"/>
        <w:jc w:val="left"/>
        <w:rPr>
          <w:rFonts w:hint="eastAsia" w:ascii="宋体" w:hAnsi="宋体" w:eastAsia="宋体" w:cs="宋体"/>
          <w:szCs w:val="21"/>
        </w:rPr>
      </w:pPr>
      <w:r>
        <w:rPr>
          <w:rFonts w:hint="eastAsia" w:ascii="宋体" w:hAnsi="宋体" w:eastAsia="宋体" w:cs="宋体"/>
          <w:szCs w:val="21"/>
        </w:rPr>
        <w:t>考</w:t>
      </w:r>
      <w:r>
        <w:rPr>
          <w:rFonts w:hint="eastAsia" w:ascii="宋体" w:hAnsi="宋体" w:eastAsia="宋体" w:cs="宋体"/>
          <w:spacing w:val="-3"/>
          <w:szCs w:val="21"/>
        </w:rPr>
        <w:t>评</w:t>
      </w:r>
      <w:r>
        <w:rPr>
          <w:rFonts w:hint="eastAsia" w:ascii="宋体" w:hAnsi="宋体" w:eastAsia="宋体" w:cs="宋体"/>
          <w:szCs w:val="21"/>
        </w:rPr>
        <w:t>人员签名：</w:t>
      </w:r>
      <w:r>
        <w:rPr>
          <w:rFonts w:hint="eastAsia" w:ascii="宋体" w:hAnsi="宋体" w:eastAsia="宋体" w:cs="宋体"/>
          <w:szCs w:val="21"/>
        </w:rPr>
        <w:tab/>
      </w:r>
      <w:r>
        <w:rPr>
          <w:rFonts w:hint="eastAsia" w:ascii="宋体" w:hAnsi="宋体" w:eastAsia="宋体" w:cs="宋体"/>
          <w:szCs w:val="21"/>
        </w:rPr>
        <w:t>考</w:t>
      </w:r>
      <w:r>
        <w:rPr>
          <w:rFonts w:hint="eastAsia" w:ascii="宋体" w:hAnsi="宋体" w:eastAsia="宋体" w:cs="宋体"/>
          <w:spacing w:val="-3"/>
          <w:szCs w:val="21"/>
        </w:rPr>
        <w:t>评</w:t>
      </w:r>
      <w:r>
        <w:rPr>
          <w:rFonts w:hint="eastAsia" w:ascii="宋体" w:hAnsi="宋体" w:eastAsia="宋体" w:cs="宋体"/>
          <w:szCs w:val="21"/>
        </w:rPr>
        <w:t>时间：</w:t>
      </w:r>
    </w:p>
    <w:p>
      <w:pPr>
        <w:pStyle w:val="35"/>
        <w:rPr>
          <w:rFonts w:hint="eastAsia"/>
          <w:lang w:val="en-US" w:eastAsia="zh-CN"/>
        </w:rPr>
        <w:sectPr>
          <w:pgSz w:w="16840" w:h="11907" w:orient="landscape"/>
          <w:pgMar w:top="1797" w:right="1440" w:bottom="1797" w:left="1440" w:header="851" w:footer="992" w:gutter="0"/>
          <w:cols w:space="425" w:num="1"/>
          <w:titlePg/>
          <w:docGrid w:linePitch="462" w:charSpace="0"/>
        </w:sectPr>
      </w:pPr>
    </w:p>
    <w:p>
      <w:pPr>
        <w:pageBreakBefore w:val="0"/>
        <w:kinsoku/>
        <w:overflowPunct/>
        <w:autoSpaceDE w:val="0"/>
        <w:autoSpaceDN w:val="0"/>
        <w:bidi w:val="0"/>
        <w:spacing w:beforeAutospacing="0" w:afterAutospacing="0" w:line="360" w:lineRule="auto"/>
        <w:ind w:left="0" w:leftChars="0" w:right="0" w:firstLine="0" w:firstLineChars="0"/>
        <w:jc w:val="left"/>
        <w:outlineLvl w:val="3"/>
        <w:rPr>
          <w:rFonts w:hint="eastAsia" w:ascii="宋体" w:hAnsi="宋体" w:eastAsia="宋体" w:cs="宋体"/>
          <w:szCs w:val="21"/>
        </w:rPr>
      </w:pPr>
      <w:r>
        <w:rPr>
          <w:rFonts w:hint="eastAsia" w:ascii="宋体" w:hAnsi="宋体" w:eastAsia="宋体" w:cs="宋体"/>
          <w:szCs w:val="21"/>
        </w:rPr>
        <w:t>附件 3 供应商季度综合评议考核评分表</w:t>
      </w:r>
    </w:p>
    <w:p>
      <w:pPr>
        <w:pageBreakBefore w:val="0"/>
        <w:kinsoku/>
        <w:overflowPunct/>
        <w:autoSpaceDE w:val="0"/>
        <w:autoSpaceDN w:val="0"/>
        <w:bidi w:val="0"/>
        <w:spacing w:beforeAutospacing="0" w:afterAutospacing="0" w:line="360" w:lineRule="auto"/>
        <w:ind w:left="0" w:leftChars="0" w:right="0" w:firstLine="0" w:firstLineChars="0"/>
        <w:jc w:val="left"/>
        <w:outlineLvl w:val="9"/>
        <w:rPr>
          <w:rFonts w:hint="eastAsia" w:ascii="宋体" w:hAnsi="宋体" w:eastAsia="宋体" w:cs="宋体"/>
          <w:szCs w:val="21"/>
        </w:rPr>
      </w:pPr>
      <w:r>
        <w:rPr>
          <w:rFonts w:hint="eastAsia" w:ascii="宋体" w:hAnsi="宋体" w:eastAsia="宋体" w:cs="宋体"/>
          <w:szCs w:val="21"/>
        </w:rPr>
        <w:t xml:space="preserve">  </w:t>
      </w:r>
    </w:p>
    <w:tbl>
      <w:tblPr>
        <w:tblStyle w:val="42"/>
        <w:tblW w:w="905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950"/>
        <w:gridCol w:w="2280"/>
        <w:gridCol w:w="1926"/>
        <w:gridCol w:w="290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jc w:val="center"/>
        </w:trPr>
        <w:tc>
          <w:tcPr>
            <w:tcW w:w="1950" w:type="dxa"/>
            <w:tcBorders>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供应商名称</w:t>
            </w:r>
          </w:p>
        </w:tc>
        <w:tc>
          <w:tcPr>
            <w:tcW w:w="2280" w:type="dxa"/>
            <w:tcBorders>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联系人及电话</w:t>
            </w:r>
          </w:p>
        </w:tc>
        <w:tc>
          <w:tcPr>
            <w:tcW w:w="2900" w:type="dxa"/>
            <w:tcBorders>
              <w:top w:val="single" w:color="000000" w:sz="4"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2"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合同履约时间</w:t>
            </w: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考评日期</w:t>
            </w: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tabs>
                <w:tab w:val="left" w:pos="1189"/>
                <w:tab w:val="left" w:pos="1789"/>
              </w:tabs>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年  月  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学校名称</w:t>
            </w: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季度考核评分</w:t>
            </w: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lang w:bidi="zh-CN"/>
              </w:rPr>
            </w:pPr>
            <w:r>
              <w:rPr>
                <w:rFonts w:hint="eastAsia" w:ascii="宋体" w:hAnsi="宋体" w:eastAsia="宋体" w:cs="宋体"/>
                <w:sz w:val="21"/>
                <w:szCs w:val="21"/>
              </w:rPr>
              <w:t>学校名称</w:t>
            </w: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lang w:val="zh-CN" w:bidi="zh-CN"/>
              </w:rPr>
            </w:pPr>
            <w:r>
              <w:rPr>
                <w:rFonts w:hint="eastAsia" w:ascii="宋体" w:hAnsi="宋体" w:eastAsia="宋体" w:cs="宋体"/>
                <w:sz w:val="21"/>
                <w:szCs w:val="21"/>
              </w:rPr>
              <w:t>季度考核评分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280"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c>
          <w:tcPr>
            <w:tcW w:w="1926" w:type="dxa"/>
            <w:tcBorders>
              <w:top w:val="single" w:color="000000" w:sz="6" w:space="0"/>
              <w:left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u w:val="wave"/>
              </w:rPr>
            </w:pPr>
          </w:p>
        </w:tc>
        <w:tc>
          <w:tcPr>
            <w:tcW w:w="2900" w:type="dxa"/>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81" w:hRule="atLeast"/>
          <w:jc w:val="center"/>
        </w:trPr>
        <w:tc>
          <w:tcPr>
            <w:tcW w:w="1950" w:type="dxa"/>
            <w:tcBorders>
              <w:top w:val="single" w:color="000000" w:sz="6" w:space="0"/>
              <w:bottom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i/>
                <w:iCs/>
                <w:sz w:val="21"/>
                <w:szCs w:val="21"/>
              </w:rPr>
              <w:t>区教育局</w:t>
            </w:r>
          </w:p>
        </w:tc>
        <w:tc>
          <w:tcPr>
            <w:tcW w:w="7106" w:type="dxa"/>
            <w:gridSpan w:val="3"/>
            <w:tcBorders>
              <w:top w:val="single" w:color="000000" w:sz="6" w:space="0"/>
              <w:left w:val="single" w:color="000000" w:sz="6" w:space="0"/>
              <w:bottom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i/>
                <w:iCs/>
                <w:sz w:val="21"/>
                <w:szCs w:val="21"/>
              </w:rPr>
            </w:pPr>
            <w:r>
              <w:rPr>
                <w:rFonts w:hint="eastAsia" w:ascii="宋体" w:hAnsi="宋体" w:eastAsia="宋体" w:cs="宋体"/>
                <w:i/>
                <w:iCs/>
                <w:sz w:val="21"/>
                <w:szCs w:val="21"/>
              </w:rPr>
              <w:t>供应商季度综合评议考核评分及评价。</w:t>
            </w: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签名：                           日期：</w:t>
            </w:r>
          </w:p>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3" w:hRule="atLeast"/>
          <w:jc w:val="center"/>
        </w:trPr>
        <w:tc>
          <w:tcPr>
            <w:tcW w:w="1950" w:type="dxa"/>
            <w:tcBorders>
              <w:top w:val="single" w:color="000000" w:sz="6" w:space="0"/>
              <w:righ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备注</w:t>
            </w:r>
          </w:p>
        </w:tc>
        <w:tc>
          <w:tcPr>
            <w:tcW w:w="7106" w:type="dxa"/>
            <w:gridSpan w:val="3"/>
            <w:tcBorders>
              <w:top w:val="single" w:color="000000" w:sz="6" w:space="0"/>
              <w:left w:val="single" w:color="000000" w:sz="6" w:space="0"/>
            </w:tcBorders>
            <w:vAlign w:val="center"/>
          </w:tcPr>
          <w:p>
            <w:pPr>
              <w:pStyle w:val="201"/>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firstLine="0" w:firstLineChars="0"/>
              <w:jc w:val="center"/>
              <w:textAlignment w:val="auto"/>
              <w:rPr>
                <w:rFonts w:hint="eastAsia" w:ascii="宋体" w:hAnsi="宋体" w:eastAsia="宋体" w:cs="宋体"/>
                <w:sz w:val="21"/>
                <w:szCs w:val="21"/>
              </w:rPr>
            </w:pPr>
          </w:p>
        </w:tc>
      </w:tr>
    </w:tbl>
    <w:p>
      <w:pPr>
        <w:pStyle w:val="2"/>
        <w:pageBreakBefore w:val="0"/>
        <w:kinsoku/>
        <w:overflowPunct/>
        <w:bidi w:val="0"/>
        <w:spacing w:beforeAutospacing="0" w:afterAutospacing="0" w:line="360" w:lineRule="auto"/>
        <w:ind w:left="0" w:leftChars="0" w:right="0" w:firstLine="0" w:firstLineChars="0"/>
        <w:rPr>
          <w:rFonts w:hint="eastAsia" w:ascii="宋体" w:hAnsi="宋体" w:eastAsia="宋体" w:cs="宋体"/>
          <w:highlight w:val="none"/>
        </w:rPr>
      </w:pPr>
      <w:r>
        <w:rPr>
          <w:rFonts w:hint="eastAsia" w:ascii="宋体" w:hAnsi="宋体" w:eastAsia="宋体" w:cs="宋体"/>
          <w:b w:val="0"/>
          <w:bCs w:val="0"/>
          <w:w w:val="95"/>
          <w:sz w:val="21"/>
          <w:szCs w:val="21"/>
        </w:rPr>
        <w:t>说明：</w:t>
      </w:r>
      <w:r>
        <w:rPr>
          <w:rFonts w:hint="eastAsia" w:ascii="宋体" w:hAnsi="宋体" w:eastAsia="宋体" w:cs="宋体"/>
          <w:w w:val="95"/>
          <w:sz w:val="21"/>
          <w:szCs w:val="21"/>
        </w:rPr>
        <w:t>季度考核得分</w:t>
      </w:r>
      <w:r>
        <w:rPr>
          <w:rFonts w:hint="eastAsia" w:ascii="宋体" w:hAnsi="宋体" w:eastAsia="宋体" w:cs="宋体"/>
          <w:b w:val="0"/>
          <w:bCs w:val="0"/>
          <w:w w:val="95"/>
          <w:sz w:val="21"/>
          <w:szCs w:val="21"/>
        </w:rPr>
        <w:t>为片区内各学校（幼儿园）提交的加盖学校公章的服务供应商月度考核评分表（评分内容完整无缺漏，并计算出总得分）中月度考核总得分的平均值；</w:t>
      </w:r>
      <w:r>
        <w:rPr>
          <w:rFonts w:hint="eastAsia" w:ascii="宋体" w:hAnsi="宋体" w:eastAsia="宋体" w:cs="宋体"/>
          <w:w w:val="95"/>
          <w:sz w:val="21"/>
          <w:szCs w:val="21"/>
        </w:rPr>
        <w:t>供应商季度综合评议考核评分</w:t>
      </w:r>
      <w:r>
        <w:rPr>
          <w:rFonts w:hint="eastAsia" w:ascii="宋体" w:hAnsi="宋体" w:eastAsia="宋体" w:cs="宋体"/>
          <w:b w:val="0"/>
          <w:bCs w:val="0"/>
          <w:w w:val="95"/>
          <w:sz w:val="21"/>
          <w:szCs w:val="21"/>
          <w:lang w:bidi="zh-CN"/>
        </w:rPr>
        <w:t>为其负责配送服务片区内</w:t>
      </w:r>
      <w:r>
        <w:rPr>
          <w:rFonts w:hint="eastAsia" w:ascii="宋体" w:hAnsi="宋体" w:eastAsia="宋体" w:cs="宋体"/>
          <w:b w:val="0"/>
          <w:bCs w:val="0"/>
          <w:w w:val="95"/>
          <w:sz w:val="21"/>
          <w:szCs w:val="21"/>
        </w:rPr>
        <w:t>各学校（幼儿园）季度考核得分的平均值。</w:t>
      </w:r>
    </w:p>
    <w:p>
      <w:pPr>
        <w:ind w:firstLine="420" w:firstLineChars="200"/>
        <w:rPr>
          <w:rFonts w:asciiTheme="minorEastAsia" w:hAnsiTheme="minorEastAsia" w:eastAsiaTheme="minorEastAsia"/>
        </w:rPr>
      </w:pPr>
    </w:p>
    <w:p/>
    <w:p>
      <w:pPr>
        <w:pStyle w:val="4"/>
        <w:spacing w:before="120" w:beforeLines="50" w:after="120" w:afterLines="50"/>
        <w:outlineLvl w:val="2"/>
        <w:rPr>
          <w:szCs w:val="24"/>
        </w:rPr>
      </w:pPr>
      <w:r>
        <w:rPr>
          <w:rFonts w:hint="eastAsia"/>
          <w:szCs w:val="24"/>
        </w:rPr>
        <w:t>七、其他重要条款</w:t>
      </w:r>
    </w:p>
    <w:p>
      <w:pPr>
        <w:ind w:firstLine="420" w:firstLineChars="200"/>
        <w:rPr>
          <w:bCs/>
          <w:szCs w:val="21"/>
        </w:rPr>
      </w:pPr>
      <w:r>
        <w:rPr>
          <w:rFonts w:hint="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pPr>
        <w:pStyle w:val="8"/>
        <w:spacing w:before="60" w:beforeLines="25" w:after="60" w:afterLines="25"/>
        <w:ind w:firstLine="392" w:firstLineChars="187"/>
        <w:rPr>
          <w:rFonts w:ascii="宋体" w:hAnsi="宋体"/>
          <w:szCs w:val="21"/>
        </w:rPr>
      </w:pPr>
      <w:r>
        <w:rPr>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pPr>
        <w:ind w:firstLine="420" w:firstLineChars="200"/>
        <w:rPr>
          <w:bCs/>
          <w:szCs w:val="21"/>
        </w:rPr>
      </w:pPr>
      <w:r>
        <w:rPr>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pPr>
        <w:ind w:firstLine="420" w:firstLineChars="200"/>
        <w:rPr>
          <w:bCs/>
          <w:szCs w:val="21"/>
        </w:rPr>
      </w:pPr>
      <w:r>
        <w:rPr>
          <w:rFonts w:hint="eastAsia" w:ascii="Times New Roman" w:eastAsia="宋体"/>
          <w:bCs/>
          <w:szCs w:val="21"/>
          <w:lang w:val="en-US" w:eastAsia="zh-CN"/>
        </w:rPr>
        <w:t>4</w:t>
      </w:r>
      <w:r>
        <w:rPr>
          <w:rFonts w:hint="eastAsia"/>
          <w:bCs/>
          <w:szCs w:val="21"/>
        </w:rPr>
        <w:t>、除政府采购合同继续履行将损害国家利益和社会公共利益外，双方当事人不得擅自变更、中止或者终止合同。</w:t>
      </w:r>
    </w:p>
    <w:p>
      <w:pPr>
        <w:ind w:firstLine="420" w:firstLineChars="200"/>
        <w:rPr>
          <w:rFonts w:hint="eastAsia" w:eastAsia="宋体"/>
          <w:bCs/>
          <w:szCs w:val="21"/>
          <w:lang w:val="en-US" w:eastAsia="zh-CN"/>
        </w:rPr>
      </w:pPr>
      <w:r>
        <w:rPr>
          <w:rFonts w:hint="eastAsia" w:ascii="Times New Roman" w:eastAsia="宋体"/>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b w:val="0"/>
          <w:bCs w:val="0"/>
          <w:sz w:val="21"/>
          <w:szCs w:val="21"/>
          <w:lang w:val="en-US" w:eastAsia="zh-CN"/>
        </w:rPr>
        <w:t>以及财政部门认可的“供应商诚信档案库”</w:t>
      </w:r>
      <w:r>
        <w:rPr>
          <w:rFonts w:hint="eastAsia"/>
          <w:bCs/>
          <w:szCs w:val="21"/>
        </w:rPr>
        <w:t>为供应商信用信息的查询渠道，相关信息以开标当日的查询结果为准</w:t>
      </w:r>
      <w:r>
        <w:rPr>
          <w:rFonts w:hint="eastAsia" w:ascii="Times New Roman" w:eastAsia="宋体"/>
          <w:bCs/>
          <w:szCs w:val="21"/>
          <w:lang w:val="en-US" w:eastAsia="zh-CN"/>
        </w:rPr>
        <w:t>。</w:t>
      </w:r>
    </w:p>
    <w:p>
      <w:pPr>
        <w:pStyle w:val="8"/>
        <w:spacing w:before="60" w:beforeLines="25" w:after="60" w:afterLines="25"/>
        <w:ind w:firstLine="392" w:firstLineChars="187"/>
        <w:rPr>
          <w:rFonts w:ascii="宋体" w:hAnsi="宋体"/>
          <w:szCs w:val="21"/>
        </w:rPr>
      </w:pPr>
    </w:p>
    <w:p>
      <w:pPr>
        <w:pStyle w:val="8"/>
        <w:spacing w:before="60" w:beforeLines="25" w:after="60" w:afterLines="25"/>
        <w:ind w:firstLine="392" w:firstLineChars="187"/>
        <w:rPr>
          <w:rFonts w:ascii="宋体" w:hAnsi="宋体"/>
          <w:szCs w:val="21"/>
        </w:rPr>
      </w:pPr>
    </w:p>
    <w:p>
      <w:pPr>
        <w:pStyle w:val="8"/>
        <w:spacing w:before="60" w:beforeLines="25" w:after="60" w:afterLines="25"/>
        <w:ind w:firstLine="392" w:firstLineChars="187"/>
        <w:rPr>
          <w:rFonts w:ascii="宋体" w:hAnsi="宋体"/>
          <w:szCs w:val="21"/>
        </w:rPr>
      </w:pPr>
    </w:p>
    <w:p>
      <w:r>
        <w:rPr>
          <w:rFonts w:hint="eastAsia"/>
        </w:rPr>
        <w:br w:type="page"/>
      </w:r>
    </w:p>
    <w:p>
      <w:pPr>
        <w:pStyle w:val="6"/>
        <w:rPr>
          <w:kern w:val="2"/>
        </w:rPr>
      </w:pPr>
      <w:r>
        <w:rPr>
          <w:rFonts w:hint="eastAsia"/>
          <w:kern w:val="2"/>
        </w:rPr>
        <w:t>第四章 投标文件组成要求及格式</w:t>
      </w:r>
    </w:p>
    <w:p>
      <w:pPr>
        <w:rPr>
          <w:rStyle w:val="64"/>
          <w:sz w:val="24"/>
        </w:rPr>
      </w:pPr>
      <w:r>
        <w:rPr>
          <w:rStyle w:val="64"/>
          <w:rFonts w:hint="eastAsia"/>
          <w:sz w:val="24"/>
        </w:rPr>
        <w:t>特别提醒：</w:t>
      </w:r>
    </w:p>
    <w:p>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pPr>
        <w:widowControl/>
        <w:jc w:val="left"/>
        <w:rPr>
          <w:rFonts w:ascii="宋体" w:hAnsi="宋体" w:cs="宋体"/>
          <w:kern w:val="0"/>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6"/>
                    <a:stretch>
                      <a:fillRect/>
                    </a:stretch>
                  </pic:blipFill>
                  <pic:spPr>
                    <a:xfrm>
                      <a:off x="0" y="0"/>
                      <a:ext cx="5203190" cy="4043045"/>
                    </a:xfrm>
                    <a:prstGeom prst="rect">
                      <a:avLst/>
                    </a:prstGeom>
                  </pic:spPr>
                </pic:pic>
              </a:graphicData>
            </a:graphic>
          </wp:inline>
        </w:drawing>
      </w:r>
    </w:p>
    <w:p>
      <w:pPr>
        <w:ind w:firstLine="480" w:firstLineChars="200"/>
        <w:rPr>
          <w:rFonts w:hint="default" w:eastAsia="仿宋_GB2312"/>
          <w:lang w:val="en-US" w:eastAsia="zh-CN"/>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pPr>
        <w:ind w:firstLine="480" w:firstLineChars="200"/>
        <w:rPr>
          <w:rFonts w:ascii="仿宋_GB2312" w:eastAsia="仿宋_GB2312"/>
          <w:sz w:val="24"/>
        </w:rPr>
      </w:pPr>
    </w:p>
    <w:p>
      <w:pPr>
        <w:ind w:firstLine="482" w:firstLineChars="200"/>
        <w:rPr>
          <w:rFonts w:ascii="宋体" w:hAnsi="宋体"/>
          <w:b/>
          <w:sz w:val="24"/>
        </w:rPr>
      </w:pPr>
    </w:p>
    <w:p>
      <w:pPr>
        <w:rPr>
          <w:rFonts w:hint="eastAsia" w:ascii="宋体" w:hAnsi="宋体"/>
          <w:sz w:val="24"/>
        </w:rPr>
      </w:pPr>
      <w:r>
        <w:rPr>
          <w:rFonts w:hint="eastAsia" w:ascii="宋体" w:hAnsi="宋体"/>
          <w:sz w:val="24"/>
        </w:rPr>
        <w:br w:type="page"/>
      </w:r>
    </w:p>
    <w:p>
      <w:pPr>
        <w:rPr>
          <w:rFonts w:ascii="宋体" w:hAnsi="宋体"/>
          <w:sz w:val="24"/>
        </w:rPr>
      </w:pPr>
      <w:r>
        <w:rPr>
          <w:rFonts w:hint="eastAsia" w:ascii="宋体" w:hAnsi="宋体"/>
          <w:sz w:val="24"/>
        </w:rPr>
        <w:t>投标文件组成：</w:t>
      </w:r>
    </w:p>
    <w:p>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425" w:leftChars="0" w:hanging="425" w:firstLineChars="0"/>
        <w:jc w:val="both"/>
        <w:textAlignment w:val="auto"/>
        <w:outlineLvl w:val="9"/>
        <w:rPr>
          <w:szCs w:val="21"/>
        </w:rPr>
      </w:pPr>
      <w:bookmarkStart w:id="33" w:name="_Hlk72070784"/>
      <w:r>
        <w:rPr>
          <w:rFonts w:hint="eastAsia"/>
          <w:szCs w:val="21"/>
        </w:rPr>
        <w:t>投标函</w:t>
      </w:r>
      <w:bookmarkEnd w:id="33"/>
    </w:p>
    <w:p>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425" w:leftChars="0" w:hanging="425" w:firstLineChars="0"/>
        <w:jc w:val="both"/>
        <w:textAlignment w:val="auto"/>
        <w:outlineLvl w:val="9"/>
        <w:rPr>
          <w:rFonts w:hint="eastAsia"/>
          <w:szCs w:val="21"/>
          <w:lang w:eastAsia="zh-CN"/>
        </w:rPr>
      </w:pPr>
      <w:bookmarkStart w:id="34" w:name="_Hlk72062521"/>
      <w:r>
        <w:rPr>
          <w:rFonts w:hint="eastAsia"/>
          <w:szCs w:val="21"/>
        </w:rPr>
        <w:t>政府采购投标及履约承诺函</w:t>
      </w:r>
      <w:bookmarkEnd w:id="34"/>
    </w:p>
    <w:p>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425" w:leftChars="0" w:hanging="425" w:firstLineChars="0"/>
        <w:jc w:val="both"/>
        <w:textAlignment w:val="auto"/>
        <w:outlineLvl w:val="9"/>
        <w:rPr>
          <w:rFonts w:hint="eastAsia"/>
          <w:szCs w:val="21"/>
          <w:lang w:eastAsia="zh-CN"/>
        </w:rPr>
      </w:pPr>
      <w:r>
        <w:rPr>
          <w:rFonts w:hint="eastAsia"/>
          <w:szCs w:val="21"/>
        </w:rPr>
        <w:t>投标人情况及资格证明文件</w:t>
      </w:r>
    </w:p>
    <w:p>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425" w:leftChars="0" w:hanging="425" w:firstLineChars="0"/>
        <w:jc w:val="both"/>
        <w:textAlignment w:val="auto"/>
        <w:outlineLvl w:val="9"/>
        <w:rPr>
          <w:rFonts w:hint="eastAsia"/>
          <w:szCs w:val="21"/>
          <w:lang w:eastAsia="zh-CN"/>
        </w:rPr>
      </w:pPr>
      <w:r>
        <w:rPr>
          <w:rFonts w:hint="eastAsia" w:ascii="宋体" w:hAnsi="宋体" w:eastAsia="宋体" w:cs="宋体"/>
          <w:szCs w:val="21"/>
          <w:highlight w:val="none"/>
        </w:rPr>
        <w:t>投标人通过相关认证情况</w:t>
      </w:r>
    </w:p>
    <w:p>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425" w:leftChars="0" w:hanging="425" w:firstLineChars="0"/>
        <w:jc w:val="both"/>
        <w:textAlignment w:val="auto"/>
        <w:outlineLvl w:val="9"/>
        <w:rPr>
          <w:szCs w:val="21"/>
        </w:rPr>
      </w:pPr>
      <w:r>
        <w:rPr>
          <w:rFonts w:hint="eastAsia" w:ascii="宋体" w:cs="宋体"/>
          <w:kern w:val="0"/>
          <w:szCs w:val="21"/>
          <w:highlight w:val="none"/>
        </w:rPr>
        <w:t>仓储安全</w:t>
      </w:r>
    </w:p>
    <w:p>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szCs w:val="21"/>
        </w:rPr>
      </w:pPr>
      <w:r>
        <w:rPr>
          <w:rFonts w:hint="eastAsia" w:eastAsia="宋体"/>
          <w:szCs w:val="21"/>
          <w:lang w:eastAsia="zh-CN"/>
        </w:rPr>
        <w:t>供应商基本情况表</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szCs w:val="21"/>
        </w:rPr>
      </w:pPr>
      <w:r>
        <w:rPr>
          <w:rFonts w:hint="eastAsia"/>
          <w:szCs w:val="21"/>
        </w:rPr>
        <w:t>法定代表人（负责人）证明书</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szCs w:val="21"/>
        </w:rPr>
      </w:pPr>
      <w:r>
        <w:rPr>
          <w:rFonts w:hint="eastAsia"/>
          <w:szCs w:val="21"/>
        </w:rPr>
        <w:t>投标文件签署授权委托书</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szCs w:val="21"/>
        </w:rPr>
      </w:pPr>
      <w:r>
        <w:rPr>
          <w:rFonts w:hint="eastAsia"/>
          <w:szCs w:val="21"/>
        </w:rPr>
        <w:t>项目详细报价</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szCs w:val="21"/>
        </w:rPr>
      </w:pPr>
      <w:r>
        <w:rPr>
          <w:szCs w:val="21"/>
        </w:rPr>
        <w:t>实质性条款响应情况表</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实施方案</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规章管理制度、工作流程等</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质量保障措施及方案</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lang w:eastAsia="zh-CN"/>
        </w:rPr>
        <w:t>项目履约</w:t>
      </w:r>
      <w:r>
        <w:rPr>
          <w:rFonts w:hint="eastAsia" w:ascii="Times New Roman" w:hAnsi="Times New Roman" w:eastAsia="宋体" w:cs="Times New Roman"/>
          <w:szCs w:val="21"/>
        </w:rPr>
        <w:t>承诺</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项目完成（服务期满）后的服务承诺</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拟安排项目负责人情况（仅限1人）</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拟安排的项目团队成员（项目负责人除外）情况</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拟投入检测设备情况</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项目拟使用的车辆情况</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检验检测报告</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lang w:eastAsia="zh-CN"/>
        </w:rPr>
        <w:t>配送场所及服务便利性</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食品安全保险</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冷库</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同类项目业绩</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425" w:leftChars="0" w:hanging="425" w:firstLineChars="0"/>
        <w:textAlignment w:val="auto"/>
        <w:outlineLvl w:val="9"/>
        <w:rPr>
          <w:rFonts w:hint="eastAsia" w:ascii="Times New Roman" w:hAnsi="Times New Roman" w:eastAsia="宋体" w:cs="Times New Roman"/>
          <w:szCs w:val="21"/>
        </w:rPr>
      </w:pPr>
      <w:r>
        <w:rPr>
          <w:rFonts w:hint="eastAsia" w:ascii="Times New Roman" w:hAnsi="Times New Roman" w:eastAsia="宋体" w:cs="Times New Roman"/>
          <w:szCs w:val="21"/>
        </w:rPr>
        <w:t>投标人认为需要加以说明的其他内容</w:t>
      </w:r>
    </w:p>
    <w:p>
      <w:pPr>
        <w:keepNext w:val="0"/>
        <w:keepLines w:val="0"/>
        <w:pageBreakBefore w:val="0"/>
        <w:widowControl w:val="0"/>
        <w:kinsoku/>
        <w:wordWrap/>
        <w:overflowPunct/>
        <w:topLinePunct w:val="0"/>
        <w:autoSpaceDE/>
        <w:autoSpaceDN/>
        <w:bidi w:val="0"/>
        <w:adjustRightInd/>
        <w:snapToGrid/>
        <w:ind w:left="718" w:leftChars="342" w:firstLine="1417" w:firstLineChars="675"/>
        <w:textAlignment w:val="auto"/>
        <w:outlineLvl w:val="9"/>
        <w:rPr>
          <w:rFonts w:ascii="宋体" w:hAnsi="宋体"/>
          <w:szCs w:val="21"/>
        </w:rPr>
      </w:pPr>
    </w:p>
    <w:p>
      <w:pPr>
        <w:pStyle w:val="2"/>
      </w:pPr>
    </w:p>
    <w:p>
      <w:pPr>
        <w:pStyle w:val="8"/>
        <w:ind w:left="210" w:leftChars="100" w:firstLine="781" w:firstLineChars="372"/>
        <w:rPr>
          <w:rFonts w:ascii="宋体" w:hAnsi="宋体"/>
          <w:szCs w:val="21"/>
        </w:rPr>
      </w:pPr>
    </w:p>
    <w:p>
      <w:pPr>
        <w:rPr>
          <w:rFonts w:ascii="仿宋_GB2312" w:eastAsia="仿宋_GB2312"/>
          <w:sz w:val="24"/>
        </w:rPr>
      </w:pPr>
    </w:p>
    <w:p>
      <w:pPr>
        <w:ind w:firstLine="426" w:firstLineChars="202"/>
        <w:rPr>
          <w:rFonts w:ascii="宋体" w:hAnsi="宋体"/>
          <w:b/>
          <w:szCs w:val="21"/>
        </w:rPr>
      </w:pPr>
      <w:r>
        <w:rPr>
          <w:rFonts w:hint="eastAsia" w:ascii="宋体" w:hAnsi="宋体"/>
          <w:b/>
          <w:szCs w:val="21"/>
        </w:rPr>
        <w:t>备注：</w:t>
      </w:r>
    </w:p>
    <w:p>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pPr>
        <w:ind w:firstLine="422" w:firstLineChars="200"/>
        <w:rPr>
          <w:rFonts w:ascii="仿宋_GB2312" w:eastAsia="仿宋_GB2312"/>
          <w:sz w:val="24"/>
        </w:rPr>
      </w:pPr>
      <w:r>
        <w:rPr>
          <w:rFonts w:hint="eastAsia" w:ascii="宋体" w:hAnsi="宋体"/>
          <w:b/>
          <w:szCs w:val="21"/>
        </w:rPr>
        <w:t>2.关于填写“开标一览表”的说明：“开标一览表”中除“投标总价”外，其他信息不作评审依据。</w:t>
      </w:r>
    </w:p>
    <w:p>
      <w:pPr>
        <w:rPr>
          <w:rFonts w:ascii="宋体" w:hAnsi="宋体"/>
          <w:b/>
          <w:szCs w:val="21"/>
        </w:rPr>
      </w:pPr>
    </w:p>
    <w:p>
      <w:pPr>
        <w:rPr>
          <w:rFonts w:ascii="宋体" w:hAnsi="宋体"/>
          <w:b/>
          <w:szCs w:val="21"/>
        </w:rPr>
      </w:pPr>
    </w:p>
    <w:p>
      <w:pPr>
        <w:jc w:val="left"/>
        <w:rPr>
          <w:rFonts w:ascii="宋体" w:hAnsi="宋体"/>
          <w:b/>
          <w:color w:val="FF0000"/>
          <w:sz w:val="36"/>
          <w:szCs w:val="36"/>
        </w:rPr>
      </w:pPr>
      <w:r>
        <w:rPr>
          <w:rFonts w:hint="eastAsia" w:ascii="宋体" w:hAnsi="宋体"/>
          <w:b/>
          <w:color w:val="FF0000"/>
          <w:sz w:val="36"/>
          <w:szCs w:val="36"/>
        </w:rPr>
        <w:br w:type="page"/>
      </w:r>
    </w:p>
    <w:p>
      <w:pPr>
        <w:outlineLvl w:val="2"/>
        <w:rPr>
          <w:rFonts w:ascii="宋体" w:hAnsi="宋体"/>
          <w:b/>
          <w:color w:val="FF0000"/>
          <w:sz w:val="28"/>
          <w:szCs w:val="28"/>
        </w:rPr>
      </w:pPr>
      <w:r>
        <w:rPr>
          <w:rFonts w:hint="eastAsia" w:ascii="宋体" w:hAnsi="宋体"/>
          <w:b/>
          <w:color w:val="FF0000"/>
          <w:sz w:val="28"/>
          <w:szCs w:val="28"/>
        </w:rPr>
        <w:t>投标文件正文（信息公开部分）</w:t>
      </w:r>
    </w:p>
    <w:p>
      <w:pPr>
        <w:pStyle w:val="5"/>
        <w:numPr>
          <w:ilvl w:val="0"/>
          <w:numId w:val="11"/>
        </w:numPr>
        <w:ind w:left="0" w:leftChars="0" w:firstLine="420" w:firstLineChars="0"/>
        <w:jc w:val="center"/>
        <w:outlineLvl w:val="3"/>
        <w:rPr>
          <w:rFonts w:ascii="黑体" w:eastAsia="黑体"/>
          <w:b w:val="0"/>
          <w:kern w:val="0"/>
          <w:sz w:val="24"/>
        </w:rPr>
      </w:pPr>
      <w:r>
        <w:rPr>
          <w:rFonts w:hint="eastAsia" w:ascii="黑体" w:eastAsia="黑体"/>
          <w:b w:val="0"/>
          <w:kern w:val="0"/>
          <w:sz w:val="24"/>
        </w:rPr>
        <w:t>投标函</w:t>
      </w: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pPr>
        <w:ind w:firstLine="420" w:firstLineChars="200"/>
        <w:rPr>
          <w:rFonts w:ascii="宋体" w:hAnsi="宋体"/>
          <w:szCs w:val="21"/>
        </w:rPr>
      </w:pPr>
      <w:bookmarkStart w:id="35" w:name="_Hlk73818812"/>
      <w:r>
        <w:rPr>
          <w:rFonts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eastAsia="宋体"/>
          <w:szCs w:val="21"/>
          <w:u w:val="thick"/>
          <w:lang w:eastAsia="zh-CN"/>
        </w:rPr>
        <w:t>（</w:t>
      </w:r>
      <w:r>
        <w:rPr>
          <w:rFonts w:hint="eastAsia"/>
          <w:szCs w:val="21"/>
          <w:u w:val="thick"/>
        </w:rPr>
        <w:t>项目</w:t>
      </w:r>
      <w:r>
        <w:rPr>
          <w:rFonts w:hint="eastAsia" w:ascii="Times New Roman" w:eastAsia="宋体"/>
          <w:szCs w:val="21"/>
          <w:u w:val="thick"/>
          <w:lang w:val="en-US" w:eastAsia="zh-CN"/>
        </w:rPr>
        <w:t>名称</w:t>
      </w:r>
      <w:r>
        <w:rPr>
          <w:rFonts w:hint="eastAsia" w:eastAsia="宋体"/>
          <w:szCs w:val="21"/>
          <w:u w:val="thick"/>
          <w:lang w:eastAsia="zh-CN"/>
        </w:rPr>
        <w:t>）</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36" w:name="_Hlk72263588"/>
      <w:r>
        <w:rPr>
          <w:rFonts w:hint="eastAsia"/>
          <w:szCs w:val="21"/>
        </w:rPr>
        <w:t>愿意按照招标文件要求承包上述项目并修补其任何缺陷。</w:t>
      </w:r>
      <w:bookmarkEnd w:id="36"/>
    </w:p>
    <w:p>
      <w:pPr>
        <w:ind w:firstLine="420" w:firstLineChars="200"/>
        <w:rPr>
          <w:rFonts w:ascii="宋体" w:hAnsi="宋体"/>
          <w:szCs w:val="21"/>
        </w:rPr>
      </w:pPr>
      <w:r>
        <w:rPr>
          <w:rFonts w:ascii="宋体" w:hAnsi="宋体"/>
          <w:szCs w:val="21"/>
        </w:rPr>
        <w:t>2</w:t>
      </w:r>
      <w:r>
        <w:rPr>
          <w:rFonts w:hint="eastAsia" w:ascii="宋体" w:hAnsi="宋体"/>
          <w:szCs w:val="21"/>
        </w:rPr>
        <w:t>、投标价格见</w:t>
      </w:r>
      <w:r>
        <w:rPr>
          <w:rFonts w:hint="eastAsia"/>
          <w:szCs w:val="21"/>
        </w:rPr>
        <w:t>投标书编制软件中《开标一览表》中填写的投标总价。</w:t>
      </w:r>
    </w:p>
    <w:p>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bookmarkEnd w:id="35"/>
    <w:p>
      <w:pPr>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宋体" w:hAnsi="宋体"/>
          <w:szCs w:val="21"/>
        </w:rPr>
      </w:pPr>
      <w:r>
        <w:rPr>
          <w:rFonts w:hint="eastAsia" w:ascii="宋体" w:hAnsi="宋体"/>
          <w:szCs w:val="21"/>
        </w:rPr>
        <w:t>6、我单位理解贵单位将不受必须接受所收到的最低报价或其它任何投标文件的约束。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szCs w:val="21"/>
        </w:rPr>
      </w:pPr>
      <w:r>
        <w:rPr>
          <w:rFonts w:hint="eastAsia" w:ascii="宋体" w:hAnsi="宋体"/>
          <w:szCs w:val="21"/>
        </w:rPr>
        <w:t>7、如我单位提交样品，且未在规定时间内取回样品的，视同放弃取回，同意深圳公共资源交易中心对我单位提交的样品进行清理。</w:t>
      </w:r>
    </w:p>
    <w:p>
      <w:pPr>
        <w:ind w:left="420" w:leftChars="200"/>
        <w:rPr>
          <w:rFonts w:ascii="宋体" w:hAnsi="宋体"/>
          <w:b/>
          <w:szCs w:val="21"/>
        </w:rPr>
      </w:pPr>
    </w:p>
    <w:p>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pPr>
        <w:ind w:firstLine="630" w:firstLineChars="300"/>
        <w:rPr>
          <w:rFonts w:ascii="黑体" w:hAnsi="宋体" w:eastAsia="黑体"/>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pPr>
        <w:rPr>
          <w:rFonts w:ascii="宋体" w:hAnsi="宋体"/>
          <w:szCs w:val="21"/>
        </w:rPr>
      </w:pPr>
    </w:p>
    <w:p>
      <w:pPr>
        <w:pStyle w:val="5"/>
        <w:numPr>
          <w:ilvl w:val="0"/>
          <w:numId w:val="11"/>
        </w:numPr>
        <w:ind w:left="0" w:leftChars="0" w:firstLine="420" w:firstLineChars="0"/>
        <w:jc w:val="center"/>
        <w:outlineLvl w:val="3"/>
        <w:rPr>
          <w:rFonts w:hint="eastAsia" w:ascii="黑体" w:eastAsia="黑体"/>
          <w:b w:val="0"/>
          <w:kern w:val="0"/>
          <w:sz w:val="24"/>
        </w:rPr>
      </w:pPr>
      <w:r>
        <w:rPr>
          <w:rFonts w:hint="eastAsia" w:ascii="黑体" w:eastAsia="黑体"/>
          <w:b w:val="0"/>
          <w:kern w:val="0"/>
          <w:sz w:val="24"/>
        </w:rPr>
        <w:t>政府采购投标及履约承诺函</w:t>
      </w:r>
    </w:p>
    <w:p>
      <w:pPr>
        <w:rPr>
          <w:rFonts w:ascii="宋体" w:hAnsi="宋体"/>
          <w:sz w:val="24"/>
        </w:rPr>
      </w:pPr>
    </w:p>
    <w:p>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pPr>
        <w:ind w:right="-815" w:firstLine="420" w:firstLineChars="200"/>
        <w:rPr>
          <w:rFonts w:ascii="宋体" w:hAnsi="宋体"/>
          <w:szCs w:val="21"/>
        </w:rPr>
      </w:pPr>
      <w:r>
        <w:rPr>
          <w:rFonts w:hint="eastAsia" w:ascii="宋体" w:hAnsi="宋体"/>
          <w:szCs w:val="21"/>
        </w:rPr>
        <w:t>我单位承诺：</w:t>
      </w:r>
    </w:p>
    <w:p>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pPr>
        <w:ind w:firstLine="420" w:firstLineChars="20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.我单位参与本项目</w:t>
      </w:r>
      <w:r>
        <w:rPr>
          <w:rFonts w:hint="eastAsia" w:ascii="宋体" w:hAnsi="宋体" w:eastAsia="宋体" w:cs="宋体"/>
        </w:rPr>
        <w:t>所投标（响应）的货物、工程或服务，不存在侵犯知识产权的情况。</w:t>
      </w:r>
    </w:p>
    <w:p>
      <w:pPr>
        <w:ind w:firstLine="420" w:firstLineChars="20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.我单位参与本项目</w:t>
      </w:r>
      <w:r>
        <w:rPr>
          <w:rFonts w:hint="eastAsia" w:ascii="宋体" w:hAnsi="宋体" w:eastAsia="宋体" w:cs="宋体"/>
        </w:rPr>
        <w:t>政府采购活动时不存在被有关部门禁止参与政府采购活动且在有效期内的情况。</w:t>
      </w:r>
    </w:p>
    <w:p>
      <w:pPr>
        <w:ind w:firstLine="420" w:firstLineChars="20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.我单位具备《中华人民共和国政府采购法》第二十二条第一款规定的六项条件。</w:t>
      </w:r>
    </w:p>
    <w:p>
      <w:pPr>
        <w:ind w:firstLine="420" w:firstLineChars="200"/>
        <w:rPr>
          <w:rFonts w:hint="eastAsia" w:ascii="宋体" w:hAnsi="宋体" w:eastAsia="宋体" w:cs="宋体"/>
          <w:lang w:eastAsia="zh-CN"/>
        </w:rPr>
      </w:pPr>
      <w:r>
        <w:rPr>
          <w:rFonts w:hint="eastAsia" w:ascii="宋体" w:hAnsi="宋体" w:eastAsia="宋体" w:cs="宋体"/>
          <w:szCs w:val="21"/>
          <w:lang w:val="en-US" w:eastAsia="zh-CN"/>
        </w:rPr>
        <w:t>5</w:t>
      </w:r>
      <w:r>
        <w:rPr>
          <w:rFonts w:hint="eastAsia" w:ascii="宋体" w:hAnsi="宋体" w:eastAsia="宋体" w:cs="宋体"/>
          <w:szCs w:val="21"/>
        </w:rPr>
        <w:t>.我单位</w:t>
      </w:r>
      <w:r>
        <w:rPr>
          <w:rFonts w:hint="eastAsia" w:ascii="宋体" w:hAnsi="宋体" w:eastAsia="宋体" w:cs="宋体"/>
        </w:rPr>
        <w:t>未被列入失信被执行人、重大税收违法案件当事人名单、政府采购严重违法失信行为记录名单</w:t>
      </w:r>
      <w:r>
        <w:rPr>
          <w:rFonts w:hint="eastAsia" w:ascii="宋体" w:hAnsi="宋体" w:eastAsia="宋体" w:cs="宋体"/>
          <w:lang w:eastAsia="zh-CN"/>
        </w:rPr>
        <w:t>。</w:t>
      </w:r>
    </w:p>
    <w:p>
      <w:pPr>
        <w:ind w:firstLine="420" w:firstLineChars="200"/>
        <w:rPr>
          <w:rFonts w:hint="eastAsia" w:ascii="宋体" w:hAnsi="宋体" w:eastAsia="宋体" w:cs="宋体"/>
          <w:lang w:eastAsia="zh-CN"/>
        </w:rPr>
      </w:pPr>
      <w:r>
        <w:rPr>
          <w:rFonts w:hint="eastAsia" w:ascii="宋体" w:hAnsi="宋体" w:eastAsia="宋体" w:cs="宋体"/>
          <w:color w:val="FF0000"/>
          <w:lang w:val="en-US" w:eastAsia="zh-CN"/>
        </w:rPr>
        <w:t>6.我单位不存在《深圳市财政局政府采购供应商信用信息管理办法》（深财规〔2023〕3号）列明的严重违法失信行为。</w:t>
      </w:r>
    </w:p>
    <w:p>
      <w:pPr>
        <w:ind w:firstLine="420" w:firstLineChars="200"/>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pPr>
        <w:ind w:firstLine="420" w:firstLineChars="200"/>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pPr>
        <w:ind w:firstLine="420" w:firstLineChars="200"/>
        <w:rPr>
          <w:rFonts w:hint="eastAsia" w:ascii="宋体" w:hAnsi="宋体" w:eastAsia="宋体" w:cs="宋体"/>
          <w:szCs w:val="21"/>
        </w:rPr>
      </w:pPr>
      <w:r>
        <w:rPr>
          <w:rFonts w:hint="eastAsia" w:ascii="宋体" w:hAnsi="宋体" w:eastAsia="宋体" w:cs="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ind w:firstLine="420" w:firstLineChars="200"/>
        <w:rPr>
          <w:rFonts w:ascii="宋体" w:hAnsi="宋体"/>
          <w:szCs w:val="21"/>
        </w:rPr>
      </w:pPr>
      <w:r>
        <w:rPr>
          <w:rFonts w:hint="eastAsia" w:ascii="宋体" w:hAnsi="宋体" w:eastAsia="宋体" w:cs="宋体"/>
          <w:szCs w:val="21"/>
          <w:lang w:val="en-US" w:eastAsia="zh-CN"/>
        </w:rPr>
        <w:t>9</w:t>
      </w:r>
      <w:r>
        <w:rPr>
          <w:rFonts w:hint="eastAsia" w:ascii="宋体" w:hAnsi="宋体" w:eastAsia="宋体" w:cs="宋体"/>
          <w:szCs w:val="21"/>
        </w:rPr>
        <w:t>.我单位已认真核实了投标文件的全部内容，所有资料均为真实资料。我单位对投标文</w:t>
      </w:r>
      <w:r>
        <w:rPr>
          <w:rFonts w:hint="eastAsia" w:ascii="宋体" w:hAnsi="宋体"/>
          <w:szCs w:val="21"/>
        </w:rPr>
        <w:t>件中全部投标资料的真实性负责，如被证实我单位的投标文件中存在虚假资料的，则视为我单位隐瞒真实情况、提供虚假资料，我单位愿意接受主管部门作出的行政处罚。</w:t>
      </w:r>
    </w:p>
    <w:p>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pPr>
        <w:pStyle w:val="2"/>
        <w:ind w:firstLine="482"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ind w:firstLine="420" w:firstLineChars="200"/>
        <w:rPr>
          <w:rFonts w:ascii="宋体" w:hAnsi="宋体"/>
          <w:szCs w:val="21"/>
        </w:rPr>
      </w:pPr>
    </w:p>
    <w:p>
      <w:pPr>
        <w:spacing w:before="60" w:beforeLines="25" w:after="60" w:afterLines="25"/>
        <w:ind w:firstLine="5460" w:firstLineChars="2600"/>
        <w:rPr>
          <w:rFonts w:ascii="宋体" w:hAnsi="宋体"/>
          <w:szCs w:val="21"/>
        </w:rPr>
      </w:pPr>
      <w:r>
        <w:rPr>
          <w:rFonts w:hint="eastAsia" w:ascii="宋体" w:hAnsi="宋体"/>
          <w:szCs w:val="21"/>
        </w:rPr>
        <w:t xml:space="preserve">                                    </w:t>
      </w:r>
    </w:p>
    <w:p>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pPr>
        <w:rPr>
          <w:rFonts w:ascii="宋体" w:hAnsi="宋体"/>
          <w:szCs w:val="21"/>
        </w:rPr>
      </w:pPr>
    </w:p>
    <w:p>
      <w:pPr>
        <w:rPr>
          <w:rFonts w:ascii="宋体" w:hAnsi="宋体"/>
          <w:szCs w:val="21"/>
        </w:rPr>
      </w:pPr>
    </w:p>
    <w:p/>
    <w:p/>
    <w:p>
      <w:pPr>
        <w:pStyle w:val="5"/>
        <w:numPr>
          <w:ilvl w:val="0"/>
          <w:numId w:val="11"/>
        </w:numPr>
        <w:ind w:left="0" w:leftChars="0" w:firstLine="420" w:firstLineChars="0"/>
        <w:jc w:val="center"/>
        <w:outlineLvl w:val="3"/>
        <w:rPr>
          <w:rFonts w:hint="eastAsia" w:ascii="黑体" w:eastAsia="黑体"/>
          <w:b w:val="0"/>
          <w:kern w:val="0"/>
          <w:sz w:val="24"/>
        </w:rPr>
      </w:pPr>
      <w:r>
        <w:rPr>
          <w:rFonts w:hint="eastAsia" w:ascii="黑体" w:eastAsia="黑体"/>
          <w:b w:val="0"/>
          <w:kern w:val="0"/>
          <w:sz w:val="24"/>
        </w:rPr>
        <w:t>投标人情况及资格证明文件</w:t>
      </w:r>
    </w:p>
    <w:p>
      <w:pPr>
        <w:ind w:firstLine="2640" w:firstLineChars="1100"/>
        <w:outlineLvl w:val="4"/>
        <w:rPr>
          <w:rFonts w:ascii="黑体" w:hAnsi="宋体" w:eastAsia="黑体"/>
          <w:bCs/>
          <w:kern w:val="0"/>
          <w:sz w:val="24"/>
          <w:szCs w:val="32"/>
        </w:rPr>
      </w:pPr>
      <w:r>
        <w:rPr>
          <w:rFonts w:hint="eastAsia" w:ascii="黑体" w:hAnsi="宋体" w:eastAsia="黑体"/>
          <w:bCs/>
          <w:kern w:val="0"/>
          <w:sz w:val="24"/>
          <w:szCs w:val="32"/>
        </w:rPr>
        <w:t>（一）投标人资格证明文件</w:t>
      </w:r>
    </w:p>
    <w:p>
      <w:pPr>
        <w:spacing w:before="120" w:beforeLines="50"/>
        <w:ind w:firstLine="422" w:firstLineChars="200"/>
        <w:rPr>
          <w:b/>
          <w:bCs/>
          <w:color w:val="FF0000"/>
        </w:rPr>
      </w:pPr>
      <w:bookmarkStart w:id="37" w:name="OLE_LINK6"/>
      <w:r>
        <w:rPr>
          <w:rFonts w:hint="eastAsia"/>
          <w:b/>
          <w:bCs/>
          <w:color w:val="FF0000"/>
        </w:rPr>
        <w:t>（特别提示：投标人须按本招标文件第一册第一章招标公告 “申请人的资格要求”（即投标人资格要求）提供相关的资格证明资料，未提供或提供不完整、不符合要求的，将作投标无效处理，</w:t>
      </w:r>
      <w:r>
        <w:rPr>
          <w:rFonts w:hint="eastAsia" w:ascii="宋体" w:hAnsi="宋体" w:eastAsia="宋体" w:cs="宋体"/>
          <w:b/>
          <w:bCs/>
          <w:color w:val="FF0000"/>
        </w:rPr>
        <w:t>其中要求提供《政府采购投标及履约承诺函》且已在“二、政府采购投标及履约承诺函”章节中提供了，此处可不重复提供</w:t>
      </w:r>
      <w:r>
        <w:rPr>
          <w:rFonts w:hint="eastAsia" w:ascii="宋体" w:hAnsi="宋体" w:cs="宋体"/>
          <w:b/>
          <w:bCs/>
          <w:color w:val="FF0000"/>
          <w:lang w:eastAsia="zh-CN"/>
        </w:rPr>
        <w:t>，《供应商基本情况表》为必填内容，须按照相应格式及节点在“信息不公开部分”提供</w:t>
      </w:r>
      <w:r>
        <w:rPr>
          <w:rFonts w:hint="eastAsia"/>
          <w:b/>
          <w:bCs/>
          <w:color w:val="FF0000"/>
        </w:rPr>
        <w:t>。）</w:t>
      </w:r>
    </w:p>
    <w:bookmarkEnd w:id="37"/>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b/>
          <w:sz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宋体" w:eastAsia="黑体"/>
          <w:bCs/>
          <w:kern w:val="0"/>
          <w:sz w:val="24"/>
          <w:szCs w:val="32"/>
        </w:rPr>
      </w:pPr>
    </w:p>
    <w:p>
      <w:pPr>
        <w:ind w:firstLine="480" w:firstLineChars="200"/>
        <w:outlineLvl w:val="4"/>
        <w:rPr>
          <w:rFonts w:ascii="黑体" w:hAnsi="宋体" w:eastAsia="黑体"/>
          <w:bCs/>
          <w:kern w:val="0"/>
          <w:sz w:val="24"/>
          <w:szCs w:val="32"/>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二</w:t>
      </w:r>
      <w:r>
        <w:rPr>
          <w:rFonts w:hint="eastAsia" w:ascii="黑体" w:hAnsi="宋体" w:eastAsia="黑体"/>
          <w:bCs/>
          <w:kern w:val="0"/>
          <w:sz w:val="24"/>
          <w:szCs w:val="32"/>
        </w:rPr>
        <w:t>）中小企业声明函、残疾人福利性单位声明函及监狱企业声明函</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2、该部分内容填写需要参考的相关文件：</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8"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8"/>
      <w:r>
        <w:rPr>
          <w:rFonts w:hint="eastAsia" w:ascii="黑体" w:hAnsi="黑体" w:eastAsia="黑体"/>
          <w:color w:val="FF0000"/>
          <w:szCs w:val="21"/>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在“从业人员”、“营业收入”、“资产总额”下划线处如实填写从业人员、营业收入、资产总额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pPr>
        <w:pStyle w:val="202"/>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5、本项目属于服务类项目，相关服务承接商应当为中小企业或残疾人福利性单位或监狱企业，如包含硬件设备、产品等货物采购的，不再对其中涉及的货物制造商作出要求。</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pPr>
    </w:p>
    <w:p>
      <w:pPr>
        <w:ind w:firstLine="420" w:firstLineChars="200"/>
      </w:pPr>
    </w:p>
    <w:p>
      <w:pPr>
        <w:pageBreakBefore w:val="0"/>
        <w:kinsoku/>
        <w:wordWrap/>
        <w:overflowPunct/>
        <w:topLinePunct w:val="0"/>
        <w:autoSpaceDE/>
        <w:autoSpaceDN/>
        <w:bidi w:val="0"/>
        <w:adjustRightInd/>
        <w:snapToGrid/>
        <w:ind w:firstLine="420" w:firstLineChars="200"/>
        <w:textAlignment w:val="auto"/>
        <w:outlineLvl w:val="9"/>
      </w:pPr>
    </w:p>
    <w:p>
      <w:pPr>
        <w:pageBreakBefore w:val="0"/>
        <w:numPr>
          <w:ilvl w:val="0"/>
          <w:numId w:val="12"/>
        </w:numPr>
        <w:kinsoku/>
        <w:wordWrap/>
        <w:overflowPunct/>
        <w:topLinePunct w:val="0"/>
        <w:autoSpaceDE/>
        <w:autoSpaceDN/>
        <w:bidi w:val="0"/>
        <w:adjustRightInd/>
        <w:snapToGrid/>
        <w:jc w:val="center"/>
        <w:textAlignment w:val="auto"/>
        <w:outlineLvl w:val="9"/>
        <w:rPr>
          <w:b/>
          <w:sz w:val="24"/>
        </w:rPr>
      </w:pPr>
      <w:bookmarkStart w:id="39" w:name="OLE_LINK7"/>
      <w:r>
        <w:rPr>
          <w:b/>
          <w:sz w:val="24"/>
        </w:rPr>
        <w:t>中小企业声明函（</w:t>
      </w:r>
      <w:r>
        <w:rPr>
          <w:rFonts w:hint="eastAsia"/>
          <w:b/>
          <w:sz w:val="24"/>
        </w:rPr>
        <w:t>服务</w:t>
      </w:r>
      <w:r>
        <w:rPr>
          <w:rFonts w:hint="eastAsia"/>
          <w:b/>
          <w:sz w:val="24"/>
          <w:lang w:val="en-US" w:eastAsia="zh-CN"/>
        </w:rPr>
        <w:t>类</w:t>
      </w:r>
      <w:r>
        <w:rPr>
          <w:b/>
          <w:sz w:val="24"/>
        </w:rPr>
        <w:t>）</w:t>
      </w:r>
    </w:p>
    <w:p>
      <w:pPr>
        <w:pStyle w:val="2"/>
        <w:pageBreakBefore w:val="0"/>
        <w:numPr>
          <w:ilvl w:val="0"/>
          <w:numId w:val="0"/>
        </w:numPr>
        <w:kinsoku/>
        <w:wordWrap/>
        <w:overflowPunct/>
        <w:topLinePunct w:val="0"/>
        <w:autoSpaceDE/>
        <w:autoSpaceDN/>
        <w:bidi w:val="0"/>
        <w:adjustRightInd/>
        <w:snapToGrid/>
        <w:textAlignment w:val="auto"/>
        <w:outlineLvl w:val="9"/>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40"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0"/>
    </w:p>
    <w:p>
      <w:pPr>
        <w:pageBreakBefore w:val="0"/>
        <w:kinsoku/>
        <w:wordWrap/>
        <w:overflowPunct/>
        <w:topLinePunct w:val="0"/>
        <w:autoSpaceDE/>
        <w:autoSpaceDN/>
        <w:bidi w:val="0"/>
        <w:adjustRightInd/>
        <w:snapToGrid/>
        <w:ind w:firstLine="420" w:firstLineChars="200"/>
        <w:textAlignment w:val="auto"/>
        <w:outlineLvl w:val="9"/>
      </w:pPr>
    </w:p>
    <w:p>
      <w:pPr>
        <w:pageBreakBefore w:val="0"/>
        <w:kinsoku/>
        <w:wordWrap/>
        <w:overflowPunct/>
        <w:topLinePunct w:val="0"/>
        <w:autoSpaceDE/>
        <w:autoSpaceDN/>
        <w:bidi w:val="0"/>
        <w:adjustRightInd/>
        <w:snapToGrid/>
        <w:jc w:val="center"/>
        <w:textAlignment w:val="auto"/>
        <w:outlineLvl w:val="9"/>
        <w:rPr>
          <w:b/>
          <w:sz w:val="24"/>
        </w:rPr>
      </w:pPr>
      <w:r>
        <w:rPr>
          <w:rFonts w:hint="eastAsia"/>
          <w:b/>
          <w:sz w:val="24"/>
        </w:rPr>
        <w:t>2、残疾人福利性单位声明函</w:t>
      </w:r>
      <w:r>
        <w:rPr>
          <w:rFonts w:hint="eastAsia"/>
          <w:b/>
          <w:sz w:val="24"/>
          <w:lang w:eastAsia="zh-CN"/>
        </w:rPr>
        <w:t>（</w:t>
      </w:r>
      <w:r>
        <w:rPr>
          <w:rFonts w:hint="eastAsia"/>
          <w:b/>
          <w:sz w:val="24"/>
          <w:lang w:val="en-US" w:eastAsia="zh-CN"/>
        </w:rPr>
        <w:t>服务</w:t>
      </w:r>
      <w:r>
        <w:rPr>
          <w:rFonts w:hint="eastAsia"/>
          <w:b/>
          <w:sz w:val="24"/>
        </w:rPr>
        <w:t>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p>
    <w:p>
      <w:pPr>
        <w:pageBreakBefore w:val="0"/>
        <w:kinsoku/>
        <w:wordWrap/>
        <w:overflowPunct/>
        <w:topLinePunct w:val="0"/>
        <w:autoSpaceDE/>
        <w:autoSpaceDN/>
        <w:bidi w:val="0"/>
        <w:adjustRightInd/>
        <w:snapToGrid/>
        <w:jc w:val="center"/>
        <w:textAlignment w:val="auto"/>
        <w:outlineLvl w:val="9"/>
        <w:rPr>
          <w:b/>
          <w:sz w:val="24"/>
        </w:rPr>
      </w:pPr>
      <w:r>
        <w:rPr>
          <w:rFonts w:hint="eastAsia"/>
          <w:b/>
          <w:sz w:val="24"/>
        </w:rPr>
        <w:t>3、监狱企业声明函【服务类，监狱企业如需享受优惠政策，还须另行提供省级以上监狱管理局、戒毒管理局（含新疆生产建设兵团）出具的监狱企业证明文件】</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 xml:space="preserve">…… </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hint="eastAsia" w:ascii="宋体" w:hAnsi="宋体"/>
          <w:szCs w:val="21"/>
        </w:rPr>
        <w:t>附：省级以上监狱管理局、戒毒管理局（含新疆生产建设兵团）出具的监狱企业证明文件。</w:t>
      </w:r>
    </w:p>
    <w:bookmarkEnd w:id="39"/>
    <w:p>
      <w:pPr>
        <w:pageBreakBefore w:val="0"/>
        <w:kinsoku/>
        <w:wordWrap/>
        <w:overflowPunct/>
        <w:topLinePunct w:val="0"/>
        <w:autoSpaceDE/>
        <w:autoSpaceDN/>
        <w:bidi w:val="0"/>
        <w:adjustRightInd/>
        <w:snapToGrid/>
        <w:ind w:left="723" w:hanging="723" w:hangingChars="300"/>
        <w:textAlignment w:val="auto"/>
        <w:outlineLvl w:val="9"/>
        <w:rPr>
          <w:b/>
          <w:sz w:val="24"/>
        </w:rPr>
      </w:pPr>
    </w:p>
    <w:p>
      <w:pPr>
        <w:ind w:firstLine="480" w:firstLineChars="200"/>
        <w:outlineLvl w:val="4"/>
        <w:rPr>
          <w:rFonts w:hint="eastAsia" w:ascii="黑体" w:hAnsi="宋体" w:eastAsia="黑体"/>
          <w:bCs/>
          <w:kern w:val="0"/>
          <w:sz w:val="24"/>
          <w:szCs w:val="32"/>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pPr>
        <w:pStyle w:val="202"/>
        <w:pageBreakBefore w:val="0"/>
        <w:kinsoku/>
        <w:wordWrap/>
        <w:overflowPunct/>
        <w:topLinePunct w:val="0"/>
        <w:autoSpaceDE/>
        <w:autoSpaceDN/>
        <w:bidi w:val="0"/>
        <w:adjustRightInd/>
        <w:snapToGrid/>
        <w:textAlignment w:val="auto"/>
        <w:outlineLvl w:val="9"/>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rPr>
      </w:pPr>
      <w:r>
        <w:rPr>
          <w:rFonts w:hint="eastAsia" w:ascii="宋体" w:hAnsi="宋体"/>
          <w:color w:val="FF0000"/>
          <w:sz w:val="21"/>
          <w:szCs w:val="21"/>
        </w:rPr>
        <w:t>填写指引：</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2、该部分内容填写需要参考的相关文件：</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rPr>
      </w:pPr>
      <w:r>
        <w:rPr>
          <w:rFonts w:hint="eastAsia" w:ascii="宋体" w:hAnsi="宋体"/>
          <w:color w:val="FF0000"/>
          <w:sz w:val="21"/>
          <w:szCs w:val="21"/>
        </w:rPr>
        <w:t>4、声明函具体填写要求：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宋体" w:hAnsi="宋体"/>
          <w:color w:val="FF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color w:val="FF0000"/>
        </w:rPr>
      </w:pPr>
      <w:r>
        <w:rPr>
          <w:rFonts w:hint="eastAsia" w:ascii="宋体" w:hAnsi="宋体"/>
          <w:color w:val="FF0000"/>
          <w:sz w:val="21"/>
          <w:szCs w:val="21"/>
          <w:lang w:val="en-US" w:eastAsia="zh-CN"/>
        </w:rPr>
        <w:t>（6）应如实在“具体比例”栏填写提供所有符合本国产品标准的产品成本之和占提供的全部产品成本之和的比例。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pPr>
        <w:pStyle w:val="202"/>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outlineLvl w:val="9"/>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pPr>
        <w:pStyle w:val="202"/>
        <w:pageBreakBefore w:val="0"/>
        <w:kinsoku/>
        <w:wordWrap/>
        <w:overflowPunct/>
        <w:topLinePunct w:val="0"/>
        <w:autoSpaceDE/>
        <w:autoSpaceDN/>
        <w:bidi w:val="0"/>
        <w:adjustRightInd/>
        <w:snapToGrid/>
        <w:ind w:firstLine="420" w:firstLineChars="200"/>
        <w:textAlignment w:val="auto"/>
        <w:outlineLvl w:val="9"/>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pPr>
        <w:pStyle w:val="202"/>
        <w:pageBreakBefore w:val="0"/>
        <w:kinsoku/>
        <w:wordWrap/>
        <w:overflowPunct/>
        <w:topLinePunct w:val="0"/>
        <w:autoSpaceDE/>
        <w:autoSpaceDN/>
        <w:bidi w:val="0"/>
        <w:adjustRightInd/>
        <w:snapToGrid/>
        <w:ind w:firstLine="420" w:firstLineChars="200"/>
        <w:textAlignment w:val="auto"/>
        <w:outlineLvl w:val="9"/>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pPr>
        <w:pStyle w:val="202"/>
        <w:pageBreakBefore w:val="0"/>
        <w:kinsoku/>
        <w:wordWrap/>
        <w:overflowPunct/>
        <w:topLinePunct w:val="0"/>
        <w:autoSpaceDE/>
        <w:autoSpaceDN/>
        <w:bidi w:val="0"/>
        <w:adjustRightInd/>
        <w:snapToGrid/>
        <w:ind w:firstLine="420" w:firstLineChars="200"/>
        <w:textAlignment w:val="auto"/>
        <w:outlineLvl w:val="9"/>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pPr>
        <w:pStyle w:val="202"/>
        <w:pageBreakBefore w:val="0"/>
        <w:kinsoku/>
        <w:wordWrap/>
        <w:overflowPunct/>
        <w:topLinePunct w:val="0"/>
        <w:autoSpaceDE/>
        <w:autoSpaceDN/>
        <w:bidi w:val="0"/>
        <w:adjustRightInd/>
        <w:snapToGrid/>
        <w:ind w:firstLine="420" w:firstLineChars="200"/>
        <w:textAlignment w:val="auto"/>
        <w:outlineLvl w:val="9"/>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pPr>
        <w:pStyle w:val="202"/>
        <w:pageBreakBefore w:val="0"/>
        <w:kinsoku/>
        <w:wordWrap/>
        <w:overflowPunct/>
        <w:topLinePunct w:val="0"/>
        <w:autoSpaceDE/>
        <w:autoSpaceDN/>
        <w:bidi w:val="0"/>
        <w:adjustRightInd/>
        <w:snapToGrid/>
        <w:ind w:firstLine="420" w:firstLineChars="200"/>
        <w:textAlignment w:val="auto"/>
        <w:outlineLvl w:val="9"/>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pPr>
        <w:pStyle w:val="202"/>
        <w:pageBreakBefore w:val="0"/>
        <w:kinsoku/>
        <w:wordWrap/>
        <w:overflowPunct/>
        <w:topLinePunct w:val="0"/>
        <w:autoSpaceDE/>
        <w:autoSpaceDN/>
        <w:bidi w:val="0"/>
        <w:adjustRightInd/>
        <w:snapToGrid/>
        <w:textAlignment w:val="auto"/>
        <w:outlineLvl w:val="9"/>
      </w:pPr>
    </w:p>
    <w:p>
      <w:pPr>
        <w:pStyle w:val="5"/>
        <w:numPr>
          <w:ilvl w:val="0"/>
          <w:numId w:val="11"/>
        </w:numPr>
        <w:ind w:left="0" w:leftChars="0" w:firstLine="420" w:firstLineChars="0"/>
        <w:jc w:val="center"/>
        <w:outlineLvl w:val="3"/>
        <w:rPr>
          <w:rFonts w:hint="eastAsia" w:ascii="黑体" w:eastAsia="黑体" w:cs="Times New Roman"/>
          <w:b w:val="0"/>
          <w:kern w:val="0"/>
          <w:sz w:val="24"/>
          <w:lang w:val="en-US" w:eastAsia="zh-CN"/>
        </w:rPr>
      </w:pPr>
      <w:r>
        <w:rPr>
          <w:rFonts w:hint="eastAsia" w:ascii="黑体" w:eastAsia="黑体" w:cs="Times New Roman"/>
          <w:b w:val="0"/>
          <w:kern w:val="0"/>
          <w:sz w:val="24"/>
          <w:lang w:val="en-US" w:eastAsia="zh-CN"/>
        </w:rPr>
        <w:t>投标人通过相关认证情况</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1"/>
        </w:numPr>
        <w:ind w:left="0" w:leftChars="0" w:firstLine="420" w:firstLineChars="0"/>
        <w:jc w:val="center"/>
        <w:outlineLvl w:val="3"/>
        <w:rPr>
          <w:rFonts w:hint="eastAsia" w:ascii="黑体" w:eastAsia="黑体" w:cs="Times New Roman"/>
          <w:b w:val="0"/>
          <w:kern w:val="0"/>
          <w:sz w:val="24"/>
          <w:lang w:val="en-US" w:eastAsia="zh-CN"/>
        </w:rPr>
      </w:pPr>
      <w:r>
        <w:rPr>
          <w:rFonts w:hint="eastAsia" w:ascii="黑体" w:eastAsia="黑体" w:cs="Times New Roman"/>
          <w:b w:val="0"/>
          <w:kern w:val="0"/>
          <w:sz w:val="24"/>
          <w:lang w:val="en-US" w:eastAsia="zh-CN"/>
        </w:rPr>
        <w:t>仓储安全</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ageBreakBefore w:val="0"/>
        <w:kinsoku/>
        <w:wordWrap/>
        <w:overflowPunct/>
        <w:topLinePunct w:val="0"/>
        <w:autoSpaceDE/>
        <w:autoSpaceDN/>
        <w:bidi w:val="0"/>
        <w:adjustRightInd/>
        <w:snapToGrid/>
        <w:textAlignment w:val="auto"/>
        <w:outlineLvl w:val="9"/>
      </w:pPr>
    </w:p>
    <w:p>
      <w:pPr>
        <w:pageBreakBefore w:val="0"/>
        <w:kinsoku/>
        <w:wordWrap/>
        <w:overflowPunct/>
        <w:topLinePunct w:val="0"/>
        <w:autoSpaceDE/>
        <w:autoSpaceDN/>
        <w:bidi w:val="0"/>
        <w:adjustRightInd/>
        <w:snapToGrid/>
        <w:ind w:firstLine="1446" w:firstLineChars="600"/>
        <w:textAlignment w:val="auto"/>
        <w:outlineLvl w:val="9"/>
        <w:rPr>
          <w:rFonts w:hint="eastAsia"/>
          <w:b/>
          <w:color w:val="FF0000"/>
          <w:sz w:val="24"/>
        </w:rPr>
      </w:pPr>
    </w:p>
    <w:p>
      <w:pPr>
        <w:pageBreakBefore w:val="0"/>
        <w:kinsoku/>
        <w:wordWrap/>
        <w:overflowPunct/>
        <w:topLinePunct w:val="0"/>
        <w:autoSpaceDE/>
        <w:autoSpaceDN/>
        <w:bidi w:val="0"/>
        <w:adjustRightInd/>
        <w:snapToGrid/>
        <w:ind w:firstLine="1446" w:firstLineChars="600"/>
        <w:textAlignment w:val="auto"/>
        <w:outlineLvl w:val="9"/>
        <w:rPr>
          <w:rFonts w:hint="eastAsia"/>
          <w:b/>
          <w:color w:val="FF0000"/>
          <w:sz w:val="24"/>
        </w:rPr>
      </w:pPr>
    </w:p>
    <w:p>
      <w:pPr>
        <w:pageBreakBefore w:val="0"/>
        <w:kinsoku/>
        <w:wordWrap/>
        <w:overflowPunct/>
        <w:topLinePunct w:val="0"/>
        <w:autoSpaceDE/>
        <w:autoSpaceDN/>
        <w:bidi w:val="0"/>
        <w:adjustRightInd/>
        <w:snapToGrid/>
        <w:ind w:firstLine="1446" w:firstLineChars="600"/>
        <w:textAlignment w:val="auto"/>
        <w:outlineLvl w:val="9"/>
        <w:rPr>
          <w:rFonts w:hint="eastAsia"/>
          <w:b/>
          <w:color w:val="FF0000"/>
          <w:sz w:val="24"/>
        </w:rPr>
      </w:pPr>
    </w:p>
    <w:p>
      <w:pPr>
        <w:pageBreakBefore w:val="0"/>
        <w:kinsoku/>
        <w:wordWrap/>
        <w:overflowPunct/>
        <w:topLinePunct w:val="0"/>
        <w:autoSpaceDE/>
        <w:autoSpaceDN/>
        <w:bidi w:val="0"/>
        <w:adjustRightInd/>
        <w:snapToGrid/>
        <w:ind w:firstLine="1446" w:firstLineChars="600"/>
        <w:textAlignment w:val="auto"/>
        <w:outlineLvl w:val="9"/>
        <w:rPr>
          <w:b/>
          <w:color w:val="FF0000"/>
          <w:sz w:val="24"/>
        </w:rPr>
      </w:pPr>
      <w:r>
        <w:rPr>
          <w:rFonts w:hint="eastAsia"/>
          <w:b/>
          <w:color w:val="FF0000"/>
          <w:sz w:val="24"/>
        </w:rPr>
        <w:t>（信息公开部分的内容到此为止！以下为信息不公开部分。）</w:t>
      </w:r>
    </w:p>
    <w:p>
      <w:pPr>
        <w:pageBreakBefore w:val="0"/>
        <w:kinsoku/>
        <w:wordWrap/>
        <w:overflowPunct/>
        <w:topLinePunct w:val="0"/>
        <w:autoSpaceDE/>
        <w:autoSpaceDN/>
        <w:bidi w:val="0"/>
        <w:adjustRightInd/>
        <w:snapToGrid/>
        <w:ind w:left="723" w:hanging="723" w:hangingChars="300"/>
        <w:textAlignment w:val="auto"/>
        <w:outlineLvl w:val="9"/>
        <w:rPr>
          <w:b/>
          <w:sz w:val="24"/>
        </w:rPr>
      </w:pPr>
    </w:p>
    <w:p>
      <w:pPr>
        <w:pageBreakBefore w:val="0"/>
        <w:kinsoku/>
        <w:wordWrap/>
        <w:overflowPunct/>
        <w:topLinePunct w:val="0"/>
        <w:autoSpaceDE/>
        <w:autoSpaceDN/>
        <w:bidi w:val="0"/>
        <w:adjustRightInd/>
        <w:snapToGrid/>
        <w:textAlignment w:val="auto"/>
        <w:outlineLvl w:val="9"/>
        <w:rPr>
          <w:b/>
          <w:bCs/>
        </w:rPr>
      </w:pPr>
    </w:p>
    <w:p>
      <w:pPr>
        <w:pageBreakBefore w:val="0"/>
        <w:kinsoku/>
        <w:wordWrap/>
        <w:overflowPunct/>
        <w:topLinePunct w:val="0"/>
        <w:autoSpaceDE/>
        <w:autoSpaceDN/>
        <w:bidi w:val="0"/>
        <w:adjustRightInd/>
        <w:snapToGrid/>
        <w:textAlignment w:val="auto"/>
        <w:outlineLvl w:val="9"/>
      </w:pPr>
    </w:p>
    <w:p>
      <w:pPr>
        <w:pStyle w:val="2"/>
        <w:pageBreakBefore w:val="0"/>
        <w:kinsoku/>
        <w:wordWrap/>
        <w:overflowPunct/>
        <w:topLinePunct w:val="0"/>
        <w:autoSpaceDE/>
        <w:autoSpaceDN/>
        <w:bidi w:val="0"/>
        <w:adjustRightInd/>
        <w:snapToGrid/>
        <w:ind w:firstLine="0" w:firstLineChars="0"/>
        <w:textAlignment w:val="auto"/>
        <w:outlineLvl w:val="9"/>
      </w:pPr>
    </w:p>
    <w:p>
      <w:pPr>
        <w:pageBreakBefore w:val="0"/>
        <w:kinsoku/>
        <w:wordWrap/>
        <w:overflowPunct/>
        <w:topLinePunct w:val="0"/>
        <w:autoSpaceDE/>
        <w:autoSpaceDN/>
        <w:bidi w:val="0"/>
        <w:adjustRightInd/>
        <w:snapToGrid/>
        <w:jc w:val="both"/>
        <w:textAlignment w:val="auto"/>
        <w:outlineLvl w:val="9"/>
        <w:rPr>
          <w:b/>
          <w:sz w:val="32"/>
          <w:szCs w:val="32"/>
        </w:rPr>
      </w:pPr>
    </w:p>
    <w:p>
      <w:pPr>
        <w:pageBreakBefore w:val="0"/>
        <w:kinsoku/>
        <w:wordWrap/>
        <w:overflowPunct/>
        <w:topLinePunct w:val="0"/>
        <w:autoSpaceDE/>
        <w:autoSpaceDN/>
        <w:bidi w:val="0"/>
        <w:adjustRightInd/>
        <w:snapToGrid/>
        <w:jc w:val="center"/>
        <w:textAlignment w:val="auto"/>
        <w:outlineLvl w:val="9"/>
        <w:rPr>
          <w:b/>
          <w:sz w:val="32"/>
          <w:szCs w:val="32"/>
        </w:rPr>
      </w:pPr>
    </w:p>
    <w:p>
      <w:pPr>
        <w:pageBreakBefore w:val="0"/>
        <w:kinsoku/>
        <w:wordWrap/>
        <w:overflowPunct/>
        <w:topLinePunct w:val="0"/>
        <w:autoSpaceDE/>
        <w:autoSpaceDN/>
        <w:bidi w:val="0"/>
        <w:adjustRightInd/>
        <w:snapToGrid/>
        <w:jc w:val="center"/>
        <w:textAlignment w:val="auto"/>
        <w:outlineLvl w:val="9"/>
        <w:rPr>
          <w:b/>
          <w:sz w:val="32"/>
          <w:szCs w:val="32"/>
        </w:rPr>
      </w:pPr>
    </w:p>
    <w:p>
      <w:pPr>
        <w:pageBreakBefore w:val="0"/>
        <w:kinsoku/>
        <w:wordWrap/>
        <w:overflowPunct/>
        <w:topLinePunct w:val="0"/>
        <w:autoSpaceDE/>
        <w:autoSpaceDN/>
        <w:bidi w:val="0"/>
        <w:adjustRightInd/>
        <w:snapToGrid/>
        <w:jc w:val="center"/>
        <w:textAlignment w:val="auto"/>
        <w:outlineLvl w:val="9"/>
        <w:rPr>
          <w:b/>
          <w:sz w:val="32"/>
          <w:szCs w:val="32"/>
        </w:rPr>
      </w:pPr>
    </w:p>
    <w:p>
      <w:pPr>
        <w:jc w:val="center"/>
        <w:rPr>
          <w:b/>
          <w:sz w:val="32"/>
          <w:szCs w:val="32"/>
        </w:rPr>
      </w:pPr>
    </w:p>
    <w:p>
      <w:pPr>
        <w:jc w:val="center"/>
        <w:rPr>
          <w:b/>
          <w:sz w:val="32"/>
          <w:szCs w:val="32"/>
        </w:rPr>
        <w:sectPr>
          <w:pgSz w:w="11907" w:h="16840"/>
          <w:pgMar w:top="1440" w:right="1797" w:bottom="1440" w:left="1797" w:header="851" w:footer="992" w:gutter="0"/>
          <w:cols w:space="425" w:num="1"/>
          <w:titlePg/>
          <w:docGrid w:linePitch="462" w:charSpace="0"/>
        </w:sectPr>
      </w:pPr>
    </w:p>
    <w:p>
      <w:pPr>
        <w:jc w:val="center"/>
        <w:rPr>
          <w:b/>
          <w:sz w:val="32"/>
          <w:szCs w:val="32"/>
        </w:rPr>
      </w:pPr>
    </w:p>
    <w:p>
      <w:pPr>
        <w:outlineLvl w:val="2"/>
        <w:rPr>
          <w:rFonts w:ascii="宋体" w:hAnsi="宋体"/>
          <w:b/>
          <w:color w:val="FF0000"/>
          <w:sz w:val="28"/>
          <w:szCs w:val="28"/>
        </w:rPr>
      </w:pPr>
      <w:r>
        <w:rPr>
          <w:rFonts w:hint="eastAsia" w:ascii="宋体" w:hAnsi="宋体"/>
          <w:b/>
          <w:color w:val="FF0000"/>
          <w:sz w:val="28"/>
          <w:szCs w:val="28"/>
        </w:rPr>
        <w:t>投标文件附件（信息不公开部分）</w:t>
      </w:r>
    </w:p>
    <w:p>
      <w:pPr>
        <w:pStyle w:val="5"/>
        <w:numPr>
          <w:ilvl w:val="0"/>
          <w:numId w:val="13"/>
        </w:numPr>
        <w:ind w:left="0" w:leftChars="0" w:firstLine="420" w:firstLineChars="0"/>
        <w:jc w:val="center"/>
        <w:outlineLvl w:val="3"/>
        <w:rPr>
          <w:rFonts w:hint="eastAsia" w:ascii="黑体" w:eastAsia="黑体"/>
          <w:b w:val="0"/>
          <w:sz w:val="24"/>
          <w:lang w:val="en-US" w:eastAsia="zh-CN"/>
        </w:rPr>
      </w:pPr>
      <w:r>
        <w:rPr>
          <w:rFonts w:hint="eastAsia" w:ascii="黑体" w:eastAsia="黑体"/>
          <w:b w:val="0"/>
          <w:sz w:val="24"/>
          <w:lang w:val="en-US" w:eastAsia="zh-CN"/>
        </w:rPr>
        <w:t>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11"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pPr>
              <w:jc w:val="center"/>
              <w:rPr>
                <w:rFonts w:hint="eastAsia" w:ascii="宋体" w:hAnsi="宋体" w:eastAsia="宋体" w:cs="宋体"/>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pPr>
              <w:jc w:val="left"/>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default" w:ascii="宋体" w:hAnsi="宋体" w:eastAsia="宋体" w:cs="宋体"/>
                <w:b/>
                <w:bCs/>
                <w:color w:val="FF0000"/>
                <w:sz w:val="21"/>
                <w:szCs w:val="21"/>
                <w:highlight w:val="none"/>
                <w:vertAlign w:val="baseline"/>
                <w:lang w:val="en-US" w:eastAsia="zh-CN"/>
              </w:rPr>
            </w:pPr>
            <w:r>
              <w:rPr>
                <w:rFonts w:hint="default" w:ascii="宋体" w:hAnsi="宋体" w:eastAsia="宋体" w:cs="宋体"/>
                <w:b/>
                <w:bCs/>
                <w:color w:val="FF0000"/>
                <w:sz w:val="21"/>
                <w:szCs w:val="21"/>
                <w:highlight w:val="none"/>
                <w:vertAlign w:val="baseline"/>
                <w:lang w:val="en-US" w:eastAsia="zh-CN"/>
              </w:rPr>
              <w:t>说明：1.同一关联关系类型有多个主体的，应分行填写。</w:t>
            </w:r>
          </w:p>
          <w:p>
            <w:pPr>
              <w:snapToGrid w:val="0"/>
              <w:jc w:val="left"/>
              <w:rPr>
                <w:rFonts w:hint="default"/>
                <w:lang w:val="en-US" w:eastAsia="zh-CN"/>
              </w:rPr>
            </w:pPr>
            <w:r>
              <w:rPr>
                <w:rFonts w:hint="default" w:ascii="宋体" w:hAnsi="宋体" w:eastAsia="宋体" w:cs="宋体"/>
                <w:b/>
                <w:bCs/>
                <w:color w:val="FF0000"/>
                <w:sz w:val="21"/>
                <w:szCs w:val="21"/>
                <w:highlight w:val="none"/>
                <w:vertAlign w:val="baseline"/>
                <w:lang w:val="en-US" w:eastAsia="zh-CN"/>
              </w:rPr>
              <w:t>2.《供应商基本情况表》为必填内容，若存在异常且不符合要求的供应商资格性审查将不予通过，作投标无效处理。</w:t>
            </w:r>
          </w:p>
        </w:tc>
      </w:tr>
    </w:tbl>
    <w:p>
      <w:pPr>
        <w:keepNext/>
        <w:keepLines/>
        <w:pageBreakBefore w:val="0"/>
        <w:widowControl w:val="0"/>
        <w:kinsoku/>
        <w:wordWrap/>
        <w:overflowPunct/>
        <w:topLinePunct w:val="0"/>
        <w:autoSpaceDE/>
        <w:autoSpaceDN/>
        <w:bidi w:val="0"/>
        <w:adjustRightInd/>
        <w:snapToGrid/>
        <w:jc w:val="center"/>
        <w:textAlignment w:val="auto"/>
        <w:outlineLvl w:val="9"/>
        <w:rPr>
          <w:rFonts w:hint="eastAsia" w:ascii="黑体" w:eastAsia="黑体"/>
          <w:b w:val="0"/>
          <w:sz w:val="24"/>
          <w:lang w:val="en-US" w:eastAsia="zh-CN"/>
        </w:rPr>
      </w:pPr>
    </w:p>
    <w:p>
      <w:pPr>
        <w:pStyle w:val="5"/>
        <w:numPr>
          <w:ilvl w:val="0"/>
          <w:numId w:val="13"/>
        </w:numPr>
        <w:ind w:left="0" w:leftChars="0" w:firstLine="420" w:firstLineChars="0"/>
        <w:jc w:val="center"/>
        <w:outlineLvl w:val="3"/>
        <w:rPr>
          <w:rFonts w:hint="eastAsia" w:ascii="黑体" w:eastAsia="黑体"/>
          <w:b w:val="0"/>
          <w:sz w:val="24"/>
          <w:lang w:val="en-US" w:eastAsia="zh-CN"/>
        </w:rPr>
      </w:pPr>
      <w:bookmarkStart w:id="41" w:name="_Hlk72092499"/>
      <w:r>
        <w:rPr>
          <w:rFonts w:hint="eastAsia" w:ascii="黑体" w:eastAsia="黑体"/>
          <w:b w:val="0"/>
          <w:sz w:val="24"/>
          <w:lang w:val="en-US" w:eastAsia="zh-CN"/>
        </w:rPr>
        <w:t>法定代表人（负责人）证明书</w:t>
      </w:r>
      <w:bookmarkEnd w:id="41"/>
    </w:p>
    <w:p>
      <w:pPr>
        <w:rPr>
          <w:sz w:val="24"/>
        </w:rPr>
      </w:pPr>
    </w:p>
    <w:p>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pPr>
        <w:spacing w:line="360" w:lineRule="auto"/>
        <w:ind w:firstLine="420" w:firstLineChars="200"/>
        <w:rPr>
          <w:szCs w:val="21"/>
        </w:rPr>
      </w:pPr>
      <w:r>
        <w:rPr>
          <w:rFonts w:hint="eastAsia"/>
          <w:szCs w:val="21"/>
        </w:rPr>
        <w:t>特此证明。</w:t>
      </w:r>
    </w:p>
    <w:p>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pPr>
        <w:numPr>
          <w:ilvl w:val="0"/>
          <w:numId w:val="14"/>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本证明书要供法定代表人（负责人）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pPr>
        <w:numPr>
          <w:ilvl w:val="0"/>
          <w:numId w:val="14"/>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pPr>
        <w:numPr>
          <w:ilvl w:val="0"/>
          <w:numId w:val="14"/>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pPr>
              <w:jc w:val="center"/>
              <w:rPr>
                <w:rFonts w:hint="eastAsia"/>
                <w:lang w:val="en-US" w:eastAsia="zh-CN"/>
              </w:rPr>
            </w:pPr>
            <w:r>
              <w:rPr>
                <w:rFonts w:hint="eastAsia" w:ascii="Times New Roman" w:eastAsia="宋体"/>
                <w:lang w:val="en-US" w:eastAsia="zh-CN"/>
              </w:rPr>
              <w:t>证件扫描件正面</w:t>
            </w:r>
          </w:p>
          <w:p>
            <w:pPr>
              <w:pStyle w:val="2"/>
              <w:jc w:val="center"/>
              <w:rPr>
                <w:rFonts w:hint="eastAsia"/>
                <w:lang w:val="en-US" w:eastAsia="zh-CN"/>
              </w:rPr>
            </w:pPr>
          </w:p>
          <w:p>
            <w:pPr>
              <w:pStyle w:val="35"/>
              <w:jc w:val="center"/>
              <w:rPr>
                <w:rFonts w:hint="default"/>
                <w:lang w:val="en-US" w:eastAsia="zh-CN"/>
              </w:rPr>
            </w:pPr>
          </w:p>
        </w:tc>
        <w:tc>
          <w:tcPr>
            <w:tcW w:w="4265" w:type="dxa"/>
            <w:vAlign w:val="top"/>
          </w:tcPr>
          <w:p>
            <w:pPr>
              <w:jc w:val="center"/>
              <w:rPr>
                <w:rFonts w:hint="eastAsia"/>
                <w:lang w:val="en-US" w:eastAsia="zh-CN"/>
              </w:rPr>
            </w:pPr>
            <w:r>
              <w:rPr>
                <w:rFonts w:hint="eastAsia" w:ascii="Times New Roman" w:eastAsia="宋体"/>
                <w:lang w:val="en-US" w:eastAsia="zh-CN"/>
              </w:rPr>
              <w:t>证件扫描件反面</w:t>
            </w:r>
          </w:p>
          <w:p>
            <w:pPr>
              <w:pStyle w:val="2"/>
              <w:jc w:val="center"/>
              <w:rPr>
                <w:rFonts w:hint="eastAsia"/>
                <w:lang w:val="en-US" w:eastAsia="zh-CN"/>
              </w:rPr>
            </w:pPr>
          </w:p>
          <w:p>
            <w:pPr>
              <w:pStyle w:val="35"/>
              <w:jc w:val="center"/>
              <w:rPr>
                <w:rFonts w:hint="eastAsia"/>
                <w:sz w:val="24"/>
                <w:vertAlign w:val="baseline"/>
                <w:lang w:val="en-US" w:eastAsia="zh-CN"/>
              </w:rPr>
            </w:pPr>
          </w:p>
        </w:tc>
      </w:tr>
    </w:tbl>
    <w:p>
      <w:pPr>
        <w:spacing w:line="360" w:lineRule="auto"/>
        <w:ind w:firstLine="482" w:firstLineChars="200"/>
        <w:rPr>
          <w:rFonts w:hint="eastAsia"/>
          <w:b/>
          <w:bCs/>
          <w:color w:val="FF0000"/>
          <w:szCs w:val="21"/>
          <w:u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为避免出现《深圳经济特区政府采购条例实施细则》第七十五条第二项所列情形，请投标供应商核实</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pPr>
        <w:rPr>
          <w:sz w:val="24"/>
        </w:rPr>
      </w:pPr>
    </w:p>
    <w:p>
      <w:pPr>
        <w:keepNext/>
        <w:keepLines/>
        <w:pageBreakBefore w:val="0"/>
        <w:widowControl w:val="0"/>
        <w:kinsoku/>
        <w:wordWrap/>
        <w:overflowPunct/>
        <w:topLinePunct w:val="0"/>
        <w:autoSpaceDE/>
        <w:autoSpaceDN/>
        <w:bidi w:val="0"/>
        <w:adjustRightInd/>
        <w:snapToGrid/>
        <w:spacing w:before="120" w:after="120"/>
        <w:jc w:val="center"/>
        <w:textAlignment w:val="auto"/>
        <w:outlineLvl w:val="9"/>
        <w:rPr>
          <w:rFonts w:hint="eastAsia" w:ascii="黑体" w:eastAsia="黑体"/>
          <w:b w:val="0"/>
          <w:sz w:val="24"/>
          <w:lang w:val="en-US" w:eastAsia="zh-CN"/>
        </w:rPr>
      </w:pPr>
    </w:p>
    <w:p>
      <w:pPr>
        <w:pStyle w:val="5"/>
        <w:numPr>
          <w:ilvl w:val="0"/>
          <w:numId w:val="13"/>
        </w:numPr>
        <w:ind w:left="0" w:leftChars="0" w:firstLine="420" w:firstLineChars="0"/>
        <w:jc w:val="center"/>
        <w:outlineLvl w:val="3"/>
        <w:rPr>
          <w:rFonts w:hint="eastAsia" w:ascii="黑体" w:eastAsia="黑体"/>
          <w:b w:val="0"/>
          <w:sz w:val="24"/>
          <w:lang w:val="en-US" w:eastAsia="zh-CN"/>
        </w:rPr>
      </w:pPr>
      <w:r>
        <w:rPr>
          <w:rFonts w:hint="eastAsia" w:ascii="黑体" w:eastAsia="黑体"/>
          <w:b w:val="0"/>
          <w:sz w:val="24"/>
          <w:lang w:val="en-US" w:eastAsia="zh-CN"/>
        </w:rPr>
        <w:t>投标文件签署授权委托书</w:t>
      </w:r>
    </w:p>
    <w:p>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pPr>
        <w:spacing w:line="360" w:lineRule="auto"/>
        <w:ind w:firstLine="420" w:firstLineChars="200"/>
        <w:rPr>
          <w:rFonts w:hint="eastAsia"/>
          <w:szCs w:val="21"/>
        </w:rPr>
      </w:pPr>
      <w:r>
        <w:rPr>
          <w:rFonts w:hint="eastAsia"/>
          <w:szCs w:val="21"/>
        </w:rPr>
        <w:t>代理人无转委托权，特此委托。</w:t>
      </w:r>
    </w:p>
    <w:p>
      <w:pPr>
        <w:spacing w:line="360" w:lineRule="auto"/>
        <w:ind w:firstLine="420" w:firstLineChars="200"/>
        <w:rPr>
          <w:rFonts w:hint="eastAsia"/>
          <w:szCs w:val="21"/>
        </w:rPr>
      </w:pPr>
    </w:p>
    <w:p>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pPr>
              <w:jc w:val="center"/>
              <w:rPr>
                <w:rFonts w:hint="eastAsia"/>
                <w:lang w:val="en-US" w:eastAsia="zh-CN"/>
              </w:rPr>
            </w:pPr>
            <w:r>
              <w:rPr>
                <w:rFonts w:hint="eastAsia" w:ascii="Times New Roman" w:eastAsia="宋体"/>
                <w:lang w:val="en-US" w:eastAsia="zh-CN"/>
              </w:rPr>
              <w:t>证件扫描件正面</w:t>
            </w:r>
          </w:p>
          <w:p>
            <w:pPr>
              <w:pStyle w:val="2"/>
              <w:jc w:val="center"/>
              <w:rPr>
                <w:rFonts w:hint="eastAsia"/>
                <w:lang w:val="en-US" w:eastAsia="zh-CN"/>
              </w:rPr>
            </w:pPr>
          </w:p>
          <w:p>
            <w:pPr>
              <w:pStyle w:val="35"/>
              <w:jc w:val="center"/>
              <w:rPr>
                <w:rFonts w:hint="default"/>
                <w:lang w:val="en-US" w:eastAsia="zh-CN"/>
              </w:rPr>
            </w:pPr>
          </w:p>
        </w:tc>
        <w:tc>
          <w:tcPr>
            <w:tcW w:w="4265" w:type="dxa"/>
            <w:vAlign w:val="top"/>
          </w:tcPr>
          <w:p>
            <w:pPr>
              <w:jc w:val="center"/>
              <w:rPr>
                <w:rFonts w:hint="eastAsia"/>
                <w:lang w:val="en-US" w:eastAsia="zh-CN"/>
              </w:rPr>
            </w:pPr>
            <w:r>
              <w:rPr>
                <w:rFonts w:hint="eastAsia" w:ascii="Times New Roman" w:eastAsia="宋体"/>
                <w:lang w:val="en-US" w:eastAsia="zh-CN"/>
              </w:rPr>
              <w:t>证件扫描件反面</w:t>
            </w:r>
          </w:p>
          <w:p>
            <w:pPr>
              <w:pStyle w:val="2"/>
              <w:jc w:val="center"/>
              <w:rPr>
                <w:rFonts w:hint="eastAsia"/>
                <w:lang w:val="en-US" w:eastAsia="zh-CN"/>
              </w:rPr>
            </w:pPr>
          </w:p>
          <w:p>
            <w:pPr>
              <w:pStyle w:val="35"/>
              <w:jc w:val="center"/>
              <w:rPr>
                <w:rFonts w:hint="eastAsia"/>
                <w:sz w:val="24"/>
                <w:vertAlign w:val="baseline"/>
                <w:lang w:val="en-US" w:eastAsia="zh-CN"/>
              </w:rPr>
            </w:pPr>
          </w:p>
        </w:tc>
      </w:tr>
    </w:tbl>
    <w:p>
      <w:pPr>
        <w:spacing w:line="360" w:lineRule="auto"/>
        <w:ind w:firstLine="482" w:firstLineChars="200"/>
        <w:rPr>
          <w:rFonts w:hint="eastAsia" w:ascii="Times New Roman" w:hAnsi="Times New Roman" w:eastAsia="宋体" w:cs="Times New Roman"/>
          <w:kern w:val="2"/>
          <w:sz w:val="21"/>
          <w:szCs w:val="21"/>
          <w:lang w:val="en-US" w:eastAsia="zh-CN" w:bidi="ar-SA"/>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为避免出现《深圳经济特区政府采购条例实施细则》第七十五条第二项所列情形，请投标供应商核实</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pPr>
        <w:pStyle w:val="2"/>
        <w:rPr>
          <w:rFonts w:hint="eastAsia" w:ascii="Times New Roman" w:hAnsi="Times New Roman" w:eastAsia="宋体" w:cs="Times New Roman"/>
          <w:kern w:val="2"/>
          <w:sz w:val="21"/>
          <w:szCs w:val="21"/>
          <w:lang w:val="en-US" w:eastAsia="zh-CN" w:bidi="ar-SA"/>
        </w:rPr>
      </w:pPr>
    </w:p>
    <w:p>
      <w:pPr>
        <w:pStyle w:val="5"/>
        <w:numPr>
          <w:ilvl w:val="0"/>
          <w:numId w:val="13"/>
        </w:numPr>
        <w:ind w:left="0" w:leftChars="0" w:firstLine="420" w:firstLineChars="0"/>
        <w:jc w:val="center"/>
        <w:outlineLvl w:val="3"/>
        <w:rPr>
          <w:rFonts w:hint="eastAsia" w:ascii="黑体" w:eastAsia="黑体"/>
          <w:b w:val="0"/>
          <w:sz w:val="24"/>
          <w:lang w:val="en-US" w:eastAsia="zh-CN"/>
        </w:rPr>
      </w:pPr>
      <w:r>
        <w:rPr>
          <w:rFonts w:hint="eastAsia" w:ascii="黑体" w:eastAsia="黑体"/>
          <w:b w:val="0"/>
          <w:sz w:val="24"/>
          <w:lang w:val="en-US" w:eastAsia="zh-CN"/>
        </w:rPr>
        <w:t>项目详细报价</w:t>
      </w:r>
    </w:p>
    <w:p>
      <w:pPr>
        <w:tabs>
          <w:tab w:val="left" w:pos="720"/>
        </w:tabs>
        <w:ind w:firstLine="3132" w:firstLineChars="1300"/>
        <w:rPr>
          <w:b/>
          <w:sz w:val="24"/>
        </w:rPr>
      </w:pPr>
      <w:r>
        <w:rPr>
          <w:rFonts w:hint="eastAsia"/>
          <w:b/>
          <w:sz w:val="24"/>
        </w:rPr>
        <w:t>（一）分项报价表</w:t>
      </w:r>
    </w:p>
    <w:tbl>
      <w:tblPr>
        <w:tblStyle w:val="42"/>
        <w:tblW w:w="8613" w:type="dxa"/>
        <w:tblInd w:w="0" w:type="dxa"/>
        <w:tblLayout w:type="fixed"/>
        <w:tblCellMar>
          <w:top w:w="0" w:type="dxa"/>
          <w:left w:w="108" w:type="dxa"/>
          <w:bottom w:w="0" w:type="dxa"/>
          <w:right w:w="108" w:type="dxa"/>
        </w:tblCellMar>
      </w:tblPr>
      <w:tblGrid>
        <w:gridCol w:w="618"/>
        <w:gridCol w:w="4168"/>
        <w:gridCol w:w="1559"/>
        <w:gridCol w:w="2268"/>
      </w:tblGrid>
      <w:tr>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pPr>
              <w:widowControl/>
              <w:jc w:val="center"/>
              <w:rPr>
                <w:rFonts w:ascii="宋体" w:hAnsi="宋体" w:cs="宋体"/>
                <w:b/>
                <w:bCs/>
                <w:kern w:val="0"/>
                <w:sz w:val="21"/>
                <w:szCs w:val="21"/>
              </w:rPr>
            </w:pPr>
            <w:r>
              <w:rPr>
                <w:rFonts w:hint="eastAsia" w:ascii="宋体" w:hAnsi="宋体" w:cs="宋体"/>
                <w:b/>
                <w:bCs/>
                <w:kern w:val="0"/>
                <w:sz w:val="21"/>
                <w:szCs w:val="21"/>
              </w:rPr>
              <w:t>序号</w:t>
            </w:r>
          </w:p>
        </w:tc>
        <w:tc>
          <w:tcPr>
            <w:tcW w:w="4168" w:type="dxa"/>
            <w:tcBorders>
              <w:top w:val="single" w:color="auto" w:sz="8" w:space="0"/>
              <w:left w:val="nil"/>
              <w:bottom w:val="single" w:color="auto" w:sz="4" w:space="0"/>
              <w:right w:val="single" w:color="auto" w:sz="4" w:space="0"/>
            </w:tcBorders>
            <w:shd w:val="clear" w:color="000000" w:fill="E7E6E6"/>
            <w:vAlign w:val="center"/>
          </w:tcPr>
          <w:p>
            <w:pPr>
              <w:widowControl/>
              <w:jc w:val="center"/>
              <w:rPr>
                <w:rFonts w:ascii="宋体" w:hAnsi="宋体" w:cs="宋体"/>
                <w:b/>
                <w:bCs/>
                <w:kern w:val="0"/>
                <w:sz w:val="21"/>
                <w:szCs w:val="21"/>
              </w:rPr>
            </w:pPr>
            <w:r>
              <w:rPr>
                <w:rFonts w:hint="eastAsia" w:ascii="宋体" w:hAnsi="宋体" w:cs="宋体"/>
                <w:b/>
                <w:bCs/>
                <w:kern w:val="0"/>
                <w:sz w:val="21"/>
                <w:szCs w:val="21"/>
                <w:lang w:val="en-US" w:eastAsia="zh-CN"/>
              </w:rPr>
              <w:t>项目</w:t>
            </w:r>
            <w:r>
              <w:rPr>
                <w:rFonts w:hint="eastAsia" w:ascii="宋体" w:hAnsi="宋体" w:cs="宋体"/>
                <w:b/>
                <w:bCs/>
                <w:kern w:val="0"/>
                <w:sz w:val="21"/>
                <w:szCs w:val="21"/>
              </w:rPr>
              <w:t>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pPr>
              <w:widowControl/>
              <w:jc w:val="center"/>
              <w:rPr>
                <w:rFonts w:ascii="宋体" w:hAnsi="宋体" w:cs="宋体"/>
                <w:b/>
                <w:bCs/>
                <w:kern w:val="0"/>
                <w:sz w:val="21"/>
                <w:szCs w:val="21"/>
              </w:rPr>
            </w:pPr>
            <w:r>
              <w:rPr>
                <w:rFonts w:hint="eastAsia" w:ascii="宋体" w:hAnsi="宋体" w:cs="宋体"/>
                <w:b/>
                <w:bCs/>
                <w:kern w:val="0"/>
                <w:sz w:val="21"/>
                <w:szCs w:val="21"/>
              </w:rPr>
              <w:t>金额（</w:t>
            </w:r>
            <w:r>
              <w:rPr>
                <w:rFonts w:hint="eastAsia" w:ascii="宋体" w:hAnsi="宋体" w:cs="宋体"/>
                <w:b/>
                <w:bCs/>
                <w:kern w:val="0"/>
                <w:sz w:val="21"/>
                <w:szCs w:val="21"/>
                <w:lang w:val="en-US" w:eastAsia="zh-CN"/>
              </w:rPr>
              <w:t>折扣率</w:t>
            </w:r>
            <w:r>
              <w:rPr>
                <w:rFonts w:hint="eastAsia" w:ascii="宋体" w:hAnsi="宋体" w:cs="宋体"/>
                <w:b/>
                <w:bCs/>
                <w:kern w:val="0"/>
                <w:sz w:val="21"/>
                <w:szCs w:val="21"/>
              </w:rPr>
              <w:t>）</w:t>
            </w:r>
          </w:p>
        </w:tc>
        <w:tc>
          <w:tcPr>
            <w:tcW w:w="2268" w:type="dxa"/>
            <w:tcBorders>
              <w:top w:val="single" w:color="auto" w:sz="8" w:space="0"/>
              <w:left w:val="nil"/>
              <w:bottom w:val="single" w:color="auto" w:sz="4" w:space="0"/>
              <w:right w:val="single" w:color="auto" w:sz="8" w:space="0"/>
            </w:tcBorders>
            <w:shd w:val="clear" w:color="000000" w:fill="E7E6E6"/>
            <w:vAlign w:val="center"/>
          </w:tcPr>
          <w:p>
            <w:pPr>
              <w:widowControl/>
              <w:jc w:val="center"/>
              <w:rPr>
                <w:rFonts w:ascii="宋体" w:hAnsi="宋体" w:cs="宋体"/>
                <w:b/>
                <w:bCs/>
                <w:kern w:val="0"/>
                <w:sz w:val="21"/>
                <w:szCs w:val="21"/>
              </w:rPr>
            </w:pPr>
            <w:r>
              <w:rPr>
                <w:rFonts w:hint="eastAsia" w:ascii="宋体" w:hAnsi="宋体" w:cs="宋体"/>
                <w:b/>
                <w:bCs/>
                <w:kern w:val="0"/>
                <w:sz w:val="21"/>
                <w:szCs w:val="21"/>
              </w:rPr>
              <w:t>说明</w:t>
            </w:r>
          </w:p>
        </w:tc>
      </w:tr>
      <w:tr>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 w:val="21"/>
                <w:szCs w:val="21"/>
              </w:rPr>
            </w:pPr>
            <w:r>
              <w:rPr>
                <w:rFonts w:hint="eastAsia" w:ascii="宋体" w:hAnsi="宋体" w:cs="宋体"/>
                <w:kern w:val="0"/>
                <w:sz w:val="21"/>
                <w:szCs w:val="21"/>
              </w:rPr>
              <w:t>一</w:t>
            </w:r>
          </w:p>
        </w:tc>
        <w:tc>
          <w:tcPr>
            <w:tcW w:w="416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 xml:space="preserve"> </w:t>
            </w:r>
          </w:p>
        </w:tc>
        <w:tc>
          <w:tcPr>
            <w:tcW w:w="1559" w:type="dxa"/>
            <w:tcBorders>
              <w:top w:val="single" w:color="auto" w:sz="4" w:space="0"/>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1"/>
                <w:szCs w:val="21"/>
              </w:rPr>
            </w:pPr>
            <w:r>
              <w:rPr>
                <w:rFonts w:hint="eastAsia" w:ascii="宋体" w:hAnsi="宋体" w:cs="宋体"/>
                <w:kern w:val="0"/>
                <w:sz w:val="21"/>
                <w:szCs w:val="21"/>
              </w:rPr>
              <w:t>　</w:t>
            </w:r>
          </w:p>
        </w:tc>
        <w:tc>
          <w:tcPr>
            <w:tcW w:w="2268" w:type="dxa"/>
            <w:tcBorders>
              <w:top w:val="single" w:color="auto" w:sz="4" w:space="0"/>
              <w:left w:val="nil"/>
              <w:bottom w:val="single" w:color="auto" w:sz="4" w:space="0"/>
              <w:right w:val="single" w:color="auto" w:sz="8" w:space="0"/>
            </w:tcBorders>
            <w:shd w:val="clear" w:color="auto" w:fill="auto"/>
            <w:vAlign w:val="center"/>
          </w:tcPr>
          <w:p>
            <w:pPr>
              <w:widowControl/>
              <w:jc w:val="left"/>
              <w:rPr>
                <w:rFonts w:ascii="宋体" w:hAnsi="宋体" w:cs="宋体"/>
                <w:kern w:val="0"/>
                <w:sz w:val="21"/>
                <w:szCs w:val="21"/>
              </w:rPr>
            </w:pPr>
          </w:p>
        </w:tc>
      </w:tr>
      <w:tr>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1"/>
                <w:szCs w:val="21"/>
              </w:rPr>
            </w:pPr>
          </w:p>
        </w:tc>
        <w:tc>
          <w:tcPr>
            <w:tcW w:w="4168"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kern w:val="0"/>
                <w:sz w:val="21"/>
                <w:szCs w:val="21"/>
              </w:rPr>
            </w:pPr>
            <w:r>
              <w:rPr>
                <w:rFonts w:hint="eastAsia" w:ascii="宋体" w:hAnsi="宋体" w:cs="宋体"/>
                <w:b/>
                <w:bCs/>
                <w:kern w:val="0"/>
                <w:sz w:val="21"/>
                <w:szCs w:val="21"/>
              </w:rPr>
              <w:t>合计(元)</w:t>
            </w: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b/>
                <w:bCs/>
                <w:kern w:val="0"/>
                <w:sz w:val="21"/>
                <w:szCs w:val="21"/>
              </w:rPr>
            </w:pPr>
            <w:r>
              <w:rPr>
                <w:rFonts w:hint="eastAsia" w:ascii="宋体" w:hAnsi="宋体" w:cs="宋体"/>
                <w:b/>
                <w:bCs/>
                <w:kern w:val="0"/>
                <w:sz w:val="21"/>
                <w:szCs w:val="21"/>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center"/>
              <w:rPr>
                <w:rFonts w:ascii="宋体" w:hAnsi="宋体" w:cs="宋体"/>
                <w:kern w:val="0"/>
                <w:sz w:val="21"/>
                <w:szCs w:val="21"/>
              </w:rPr>
            </w:pPr>
            <w:r>
              <w:rPr>
                <w:rFonts w:hint="eastAsia" w:ascii="宋体" w:hAnsi="宋体" w:cs="宋体"/>
                <w:kern w:val="0"/>
                <w:sz w:val="21"/>
                <w:szCs w:val="21"/>
              </w:rPr>
              <w:t>　以上各项之和</w:t>
            </w:r>
          </w:p>
        </w:tc>
      </w:tr>
    </w:tbl>
    <w:p>
      <w:pPr>
        <w:ind w:firstLine="0" w:firstLineChars="0"/>
        <w:rPr>
          <w:rFonts w:hint="eastAsia" w:hAnsi="宋体"/>
          <w:b/>
          <w:bCs/>
          <w:color w:val="FF0000"/>
          <w:sz w:val="24"/>
          <w:lang w:val="en-US" w:eastAsia="zh-CN"/>
        </w:rPr>
      </w:pPr>
      <w:r>
        <w:rPr>
          <w:rFonts w:hint="eastAsia" w:hAnsi="宋体"/>
          <w:b/>
          <w:bCs/>
          <w:color w:val="FF0000"/>
          <w:sz w:val="24"/>
          <w:lang w:val="en-US" w:eastAsia="zh-CN"/>
        </w:rPr>
        <w:t>注：，要求0&lt;折扣率≤1，未按此要求填写将视为投标无效；填写的“折扣率”应为小数，最多填报至小数点后两位，如：0.95、0.80；四舍五入保留2位，投标人参与投标只允许填报唯一一个折扣率，不允许填报两个及以上，如填报2个及以上折扣率的，其投标将直接视为投标无效。</w:t>
      </w:r>
    </w:p>
    <w:p>
      <w:pPr>
        <w:pStyle w:val="2"/>
        <w:rPr>
          <w:rFonts w:hint="default"/>
          <w:lang w:val="en-US" w:eastAsia="zh-CN"/>
        </w:rPr>
      </w:pPr>
    </w:p>
    <w:p>
      <w:pPr>
        <w:tabs>
          <w:tab w:val="left" w:pos="720"/>
        </w:tabs>
        <w:jc w:val="center"/>
        <w:rPr>
          <w:b/>
          <w:sz w:val="24"/>
        </w:rPr>
      </w:pPr>
      <w:r>
        <w:rPr>
          <w:rFonts w:hint="eastAsia"/>
          <w:b/>
          <w:sz w:val="24"/>
        </w:rPr>
        <w:t>（二）</w:t>
      </w:r>
      <w:bookmarkStart w:id="42" w:name="_Hlk72073235"/>
      <w:r>
        <w:rPr>
          <w:rFonts w:hint="eastAsia"/>
          <w:b/>
          <w:sz w:val="24"/>
        </w:rPr>
        <w:t>投标人认为需要涉及的其他内容报价清单</w:t>
      </w:r>
      <w:bookmarkEnd w:id="42"/>
    </w:p>
    <w:p>
      <w:pPr>
        <w:pStyle w:val="35"/>
        <w:rPr>
          <w:rFonts w:hint="eastAsia"/>
        </w:rPr>
      </w:pPr>
    </w:p>
    <w:p>
      <w:pPr>
        <w:pStyle w:val="5"/>
        <w:numPr>
          <w:ilvl w:val="0"/>
          <w:numId w:val="13"/>
        </w:numPr>
        <w:ind w:left="0" w:leftChars="0" w:firstLine="420" w:firstLineChars="0"/>
        <w:jc w:val="center"/>
        <w:outlineLvl w:val="3"/>
        <w:rPr>
          <w:rFonts w:hint="eastAsia" w:ascii="黑体" w:eastAsia="黑体"/>
          <w:b w:val="0"/>
          <w:sz w:val="24"/>
          <w:lang w:val="en-US" w:eastAsia="zh-CN"/>
        </w:rPr>
      </w:pPr>
      <w:bookmarkStart w:id="43" w:name="_Hlk72092634"/>
      <w:r>
        <w:rPr>
          <w:rFonts w:hint="eastAsia" w:ascii="黑体" w:eastAsia="黑体"/>
          <w:b w:val="0"/>
          <w:sz w:val="24"/>
          <w:lang w:val="en-US" w:eastAsia="zh-CN"/>
        </w:rPr>
        <w:t>实质性条款响应情况表</w:t>
      </w:r>
      <w:bookmarkEnd w:id="43"/>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pPr>
              <w:adjustRightInd w:val="0"/>
              <w:snapToGrid w:val="0"/>
              <w:spacing w:line="360" w:lineRule="auto"/>
              <w:jc w:val="center"/>
              <w:rPr>
                <w:rFonts w:ascii="宋体" w:hAnsi="宋体"/>
                <w:kern w:val="0"/>
                <w:szCs w:val="21"/>
              </w:rPr>
            </w:pPr>
            <w:bookmarkStart w:id="44" w:name="_Hlk72092651"/>
            <w:r>
              <w:rPr>
                <w:rFonts w:hint="eastAsia" w:ascii="宋体" w:hAnsi="宋体"/>
                <w:kern w:val="0"/>
                <w:szCs w:val="21"/>
              </w:rPr>
              <w:t>序号</w:t>
            </w:r>
          </w:p>
        </w:tc>
        <w:tc>
          <w:tcPr>
            <w:tcW w:w="2664" w:type="dxa"/>
            <w:vAlign w:val="center"/>
          </w:tcPr>
          <w:p>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pPr>
              <w:adjustRightInd w:val="0"/>
              <w:snapToGrid w:val="0"/>
              <w:spacing w:line="360" w:lineRule="auto"/>
              <w:jc w:val="center"/>
              <w:rPr>
                <w:rFonts w:ascii="宋体" w:hAnsi="宋体"/>
                <w:kern w:val="0"/>
                <w:szCs w:val="21"/>
              </w:rPr>
            </w:pPr>
            <w:r>
              <w:rPr>
                <w:rFonts w:hint="eastAsia"/>
              </w:rPr>
              <w:t>说明</w:t>
            </w:r>
          </w:p>
        </w:tc>
      </w:tr>
      <w:bookmarkEnd w:id="4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center"/>
          </w:tcPr>
          <w:p>
            <w:pPr>
              <w:adjustRightInd w:val="0"/>
              <w:snapToGrid w:val="0"/>
              <w:spacing w:line="360" w:lineRule="auto"/>
              <w:jc w:val="center"/>
              <w:rPr>
                <w:rFonts w:hAnsi="宋体"/>
                <w:kern w:val="0"/>
                <w:szCs w:val="21"/>
              </w:rPr>
            </w:pPr>
            <w:r>
              <w:rPr>
                <w:rFonts w:hint="eastAsia" w:asciiTheme="minorEastAsia" w:hAnsiTheme="minorEastAsia" w:eastAsiaTheme="minorEastAsia" w:cstheme="minorEastAsia"/>
                <w:b/>
                <w:sz w:val="21"/>
                <w:szCs w:val="21"/>
              </w:rPr>
              <w:t>本项目第三章用户需求书全部内容</w:t>
            </w:r>
          </w:p>
        </w:tc>
        <w:tc>
          <w:tcPr>
            <w:tcW w:w="1588" w:type="dxa"/>
          </w:tcPr>
          <w:p>
            <w:pPr>
              <w:adjustRightInd w:val="0"/>
              <w:snapToGrid w:val="0"/>
              <w:spacing w:line="360" w:lineRule="auto"/>
              <w:rPr>
                <w:rFonts w:ascii="宋体" w:hAnsi="宋体"/>
                <w:kern w:val="0"/>
                <w:szCs w:val="21"/>
              </w:rPr>
            </w:pPr>
            <w:r>
              <w:rPr>
                <w:rFonts w:hint="eastAsia" w:asciiTheme="minorEastAsia" w:hAnsiTheme="minorEastAsia" w:eastAsiaTheme="minorEastAsia" w:cstheme="minorEastAsia"/>
                <w:b/>
                <w:sz w:val="21"/>
                <w:szCs w:val="21"/>
              </w:rPr>
              <w:t>本项目第三章用户需求书全部内容</w:t>
            </w:r>
          </w:p>
        </w:tc>
        <w:tc>
          <w:tcPr>
            <w:tcW w:w="1842" w:type="dxa"/>
          </w:tcPr>
          <w:p>
            <w:pPr>
              <w:adjustRightInd w:val="0"/>
              <w:snapToGrid w:val="0"/>
              <w:spacing w:line="360" w:lineRule="auto"/>
              <w:rPr>
                <w:rFonts w:hint="eastAsia" w:ascii="宋体" w:hAnsi="宋体" w:eastAsia="宋体"/>
                <w:kern w:val="0"/>
                <w:szCs w:val="21"/>
                <w:lang w:val="en-US" w:eastAsia="zh-CN"/>
              </w:rPr>
            </w:pPr>
            <w:r>
              <w:rPr>
                <w:rFonts w:hint="eastAsia" w:ascii="宋体" w:hAnsi="宋体"/>
                <w:kern w:val="0"/>
                <w:szCs w:val="21"/>
                <w:lang w:val="en-US" w:eastAsia="zh-CN"/>
              </w:rPr>
              <w:t>无偏离</w:t>
            </w:r>
          </w:p>
        </w:tc>
        <w:tc>
          <w:tcPr>
            <w:tcW w:w="1418" w:type="dxa"/>
          </w:tcPr>
          <w:p>
            <w:pPr>
              <w:adjustRightInd w:val="0"/>
              <w:snapToGrid w:val="0"/>
              <w:spacing w:line="360" w:lineRule="auto"/>
              <w:rPr>
                <w:rFonts w:ascii="宋体" w:hAnsi="宋体"/>
                <w:kern w:val="0"/>
                <w:szCs w:val="21"/>
              </w:rPr>
            </w:pPr>
          </w:p>
        </w:tc>
      </w:tr>
    </w:tbl>
    <w:p>
      <w:pPr>
        <w:ind w:firstLine="482" w:firstLineChars="200"/>
        <w:rPr>
          <w:rFonts w:hint="eastAsia" w:ascii="宋体" w:hAnsi="宋体" w:eastAsia="宋体" w:cs="宋体"/>
          <w:b/>
          <w:sz w:val="24"/>
          <w:szCs w:val="22"/>
        </w:rPr>
      </w:pPr>
      <w:r>
        <w:rPr>
          <w:rFonts w:hint="eastAsia" w:ascii="宋体" w:hAnsi="宋体" w:eastAsia="宋体" w:cs="宋体"/>
          <w:b/>
          <w:sz w:val="24"/>
          <w:szCs w:val="22"/>
        </w:rPr>
        <w:t>注：1.上表所列内容为不可负偏离条款，如未响应或出现负偏离时将视为未实质性满足招标文件要求，作投标无效处理。</w:t>
      </w:r>
    </w:p>
    <w:p>
      <w:pPr>
        <w:ind w:firstLine="482" w:firstLineChars="200"/>
        <w:rPr>
          <w:rFonts w:hint="eastAsia" w:ascii="宋体" w:hAnsi="宋体" w:eastAsia="宋体" w:cs="宋体"/>
          <w:b/>
          <w:sz w:val="24"/>
          <w:szCs w:val="22"/>
        </w:rPr>
      </w:pPr>
      <w:r>
        <w:rPr>
          <w:rFonts w:hint="eastAsia" w:ascii="宋体" w:hAnsi="宋体" w:eastAsia="宋体" w:cs="宋体"/>
          <w:b/>
          <w:sz w:val="24"/>
          <w:szCs w:val="22"/>
        </w:rPr>
        <w:t>2.“投标响应”一栏应当详细填写投标人自身响应情况，而不能不合理照搬照抄招实质性条款具体内容。</w:t>
      </w:r>
    </w:p>
    <w:p>
      <w:pPr>
        <w:ind w:firstLine="482" w:firstLineChars="200"/>
        <w:rPr>
          <w:rFonts w:hint="eastAsia" w:ascii="宋体" w:hAnsi="宋体" w:eastAsia="宋体" w:cs="宋体"/>
          <w:b/>
          <w:sz w:val="24"/>
          <w:szCs w:val="22"/>
        </w:rPr>
      </w:pPr>
      <w:r>
        <w:rPr>
          <w:rFonts w:hint="eastAsia" w:ascii="宋体" w:hAnsi="宋体" w:eastAsia="宋体" w:cs="宋体"/>
          <w:b/>
          <w:sz w:val="24"/>
          <w:szCs w:val="22"/>
        </w:rPr>
        <w:t>3.“偏离情况”一栏应填写“正偏离”、“负偏离”或“无偏离”，</w:t>
      </w:r>
      <w:r>
        <w:rPr>
          <w:rFonts w:hint="eastAsia" w:ascii="宋体" w:hAnsi="宋体" w:eastAsia="宋体" w:cs="宋体"/>
          <w:b/>
          <w:sz w:val="24"/>
        </w:rPr>
        <w:t>“正偏离”表示“投标响应优于实质性条款具体内容要求”，“负偏离”表示“投标响应不满足实质性条款具体内容要求”，“无偏离”表示“投标响应与实质性条款具体内容要求一致”。</w:t>
      </w:r>
    </w:p>
    <w:p>
      <w:pPr>
        <w:ind w:firstLine="482" w:firstLineChars="200"/>
        <w:rPr>
          <w:rFonts w:hint="eastAsia" w:ascii="宋体" w:hAnsi="宋体" w:eastAsia="宋体" w:cs="宋体"/>
          <w:b/>
          <w:sz w:val="24"/>
        </w:rPr>
      </w:pPr>
      <w:r>
        <w:rPr>
          <w:rFonts w:hint="eastAsia" w:ascii="宋体" w:hAnsi="宋体" w:eastAsia="宋体" w:cs="宋体"/>
          <w:b/>
          <w:sz w:val="24"/>
        </w:rPr>
        <w:t>4.评审委员会有权对投标响应情况作出判断（作出评审结论）。</w:t>
      </w:r>
    </w:p>
    <w:p>
      <w:pPr>
        <w:ind w:firstLine="482" w:firstLineChars="200"/>
        <w:rPr>
          <w:rFonts w:hint="eastAsia" w:ascii="宋体" w:hAnsi="宋体" w:eastAsia="宋体" w:cs="宋体"/>
          <w:b/>
          <w:sz w:val="24"/>
          <w:szCs w:val="22"/>
        </w:rPr>
      </w:pPr>
      <w:r>
        <w:rPr>
          <w:rFonts w:hint="eastAsia" w:ascii="宋体" w:hAnsi="宋体" w:eastAsia="宋体" w:cs="宋体"/>
          <w:b/>
          <w:sz w:val="24"/>
          <w:szCs w:val="22"/>
        </w:rPr>
        <w:t>5.实质性响应条款“投标响应情况”与投标文件其它内容冲突的，以实质性响应条款“投标响应情况”为准。</w:t>
      </w:r>
    </w:p>
    <w:p>
      <w:pPr>
        <w:ind w:firstLine="482" w:firstLineChars="200"/>
        <w:rPr>
          <w:rFonts w:hint="eastAsia" w:ascii="宋体" w:hAnsi="宋体" w:eastAsia="宋体" w:cs="宋体"/>
        </w:rPr>
      </w:pPr>
      <w:r>
        <w:rPr>
          <w:rFonts w:hint="eastAsia" w:ascii="宋体" w:hAnsi="宋体" w:eastAsia="宋体" w:cs="宋体"/>
          <w:b/>
          <w:sz w:val="24"/>
          <w:szCs w:val="22"/>
        </w:rPr>
        <w:t>6.要求提供证明资料，在“说明”一栏中列明证明资料的位置,以便评审；未要求提供证明材料的，投标人可以不提供。</w:t>
      </w:r>
    </w:p>
    <w:p>
      <w:pPr>
        <w:rPr>
          <w:b/>
          <w:bCs/>
          <w:sz w:val="24"/>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实施方案</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规章管理制度、工作流程等</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质量保障措施及方案</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项目履约承诺</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项目完成（服务期满）后的服务承诺</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拟安排项目负责人情况（仅限1人）</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拟安排的项目团队成员（项目负责人除外）情况</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拟投入检测设备情况</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项目拟使用的车辆情况</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检验检测报告</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配送场所及服务便利性</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食品安全保险</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冷库</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cs="Times New Roman"/>
          <w:b w:val="0"/>
          <w:sz w:val="24"/>
          <w:lang w:val="en-US" w:eastAsia="zh-CN"/>
        </w:rPr>
      </w:pPr>
      <w:r>
        <w:rPr>
          <w:rFonts w:hint="eastAsia" w:ascii="黑体" w:eastAsia="黑体" w:cs="Times New Roman"/>
          <w:b w:val="0"/>
          <w:sz w:val="24"/>
          <w:lang w:val="en-US" w:eastAsia="zh-CN"/>
        </w:rPr>
        <w:t>同类项目业绩</w:t>
      </w:r>
    </w:p>
    <w:p>
      <w:pPr>
        <w:spacing w:line="400" w:lineRule="exact"/>
        <w:jc w:val="center"/>
        <w:rPr>
          <w:rFonts w:hint="eastAsia"/>
          <w:lang w:val="en-US" w:eastAsia="zh-CN"/>
        </w:rPr>
      </w:pPr>
      <w:r>
        <w:rPr>
          <w:rFonts w:hint="eastAsia" w:ascii="Verdana" w:hAnsi="Verdana" w:eastAsia="仿宋_GB2312"/>
          <w:color w:val="FF0000"/>
          <w:szCs w:val="20"/>
        </w:rPr>
        <w:t>（根据评分细则的要求提供，格式自拟）</w:t>
      </w:r>
    </w:p>
    <w:p>
      <w:pPr>
        <w:rPr>
          <w:rFonts w:hint="eastAsia"/>
          <w:lang w:val="en-US" w:eastAsia="zh-CN"/>
        </w:rPr>
      </w:pPr>
    </w:p>
    <w:p>
      <w:pPr>
        <w:pStyle w:val="5"/>
        <w:numPr>
          <w:ilvl w:val="0"/>
          <w:numId w:val="13"/>
        </w:numPr>
        <w:ind w:left="0" w:leftChars="0" w:firstLine="420" w:firstLineChars="0"/>
        <w:jc w:val="center"/>
        <w:outlineLvl w:val="3"/>
        <w:rPr>
          <w:rFonts w:hint="eastAsia" w:ascii="黑体" w:eastAsia="黑体"/>
          <w:b w:val="0"/>
          <w:sz w:val="24"/>
          <w:lang w:val="en-US" w:eastAsia="zh-CN"/>
        </w:rPr>
      </w:pPr>
      <w:bookmarkStart w:id="45" w:name="_Hlk72062872"/>
      <w:r>
        <w:rPr>
          <w:rFonts w:hint="eastAsia" w:ascii="黑体" w:eastAsia="黑体"/>
          <w:b w:val="0"/>
          <w:sz w:val="24"/>
          <w:lang w:val="en-US" w:eastAsia="zh-CN"/>
        </w:rPr>
        <w:t>投标人认为需要加以说明的其他内容</w:t>
      </w:r>
      <w:bookmarkEnd w:id="45"/>
    </w:p>
    <w:p>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pPr>
        <w:widowControl/>
        <w:jc w:val="center"/>
        <w:rPr>
          <w:rFonts w:ascii="黑体" w:hAnsi="宋体" w:eastAsia="黑体"/>
          <w:kern w:val="0"/>
          <w:sz w:val="24"/>
          <w:szCs w:val="20"/>
        </w:rPr>
      </w:pPr>
    </w:p>
    <w:p>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pPr>
        <w:spacing w:beforeLines="0" w:line="340" w:lineRule="exact"/>
        <w:ind w:firstLine="420" w:firstLineChars="200"/>
        <w:rPr>
          <w:color w:val="auto"/>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199"/>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pPr>
              <w:autoSpaceDE w:val="0"/>
              <w:autoSpaceDN w:val="0"/>
              <w:spacing w:beforeLines="0" w:line="340" w:lineRule="exact"/>
              <w:ind w:firstLine="1866"/>
              <w:rPr>
                <w:rFonts w:ascii="宋体" w:hAnsi="宋体" w:eastAsia="宋体"/>
                <w:color w:val="auto"/>
                <w:spacing w:val="-4"/>
                <w:kern w:val="0"/>
                <w:szCs w:val="21"/>
                <w:highlight w:val="none"/>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beforeLines="0" w:line="340" w:lineRule="exact"/>
              <w:ind w:firstLine="1866"/>
              <w:rPr>
                <w:rFonts w:ascii="宋体" w:hAnsi="宋体" w:eastAsia="宋体"/>
                <w:color w:val="auto"/>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beforeLines="0" w:line="340" w:lineRule="exact"/>
              <w:ind w:firstLine="1866"/>
              <w:rPr>
                <w:rFonts w:ascii="宋体" w:hAnsi="宋体" w:eastAsia="宋体"/>
                <w:color w:val="auto"/>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pPr>
              <w:autoSpaceDE w:val="0"/>
              <w:autoSpaceDN w:val="0"/>
              <w:spacing w:beforeLines="0" w:line="340" w:lineRule="exact"/>
              <w:ind w:firstLine="1866"/>
              <w:rPr>
                <w:rFonts w:ascii="宋体" w:hAnsi="宋体" w:eastAsia="宋体"/>
                <w:color w:val="auto"/>
                <w:spacing w:val="-4"/>
                <w:kern w:val="0"/>
                <w:szCs w:val="21"/>
              </w:rPr>
            </w:pPr>
          </w:p>
        </w:tc>
      </w:tr>
    </w:tbl>
    <w:p>
      <w:pPr>
        <w:widowControl/>
        <w:wordWrap w:val="0"/>
        <w:autoSpaceDE w:val="0"/>
        <w:autoSpaceDN w:val="0"/>
        <w:spacing w:beforeLines="0" w:line="340" w:lineRule="exact"/>
        <w:ind w:right="808" w:firstLine="404" w:firstLineChars="200"/>
        <w:jc w:val="right"/>
        <w:rPr>
          <w:rFonts w:hint="eastAsia" w:ascii="宋体" w:hAnsi="宋体" w:eastAsia="宋体"/>
          <w:color w:val="auto"/>
          <w:spacing w:val="-4"/>
          <w:kern w:val="0"/>
          <w:szCs w:val="21"/>
        </w:rPr>
      </w:pPr>
    </w:p>
    <w:p>
      <w:pPr>
        <w:widowControl/>
        <w:wordWrap w:val="0"/>
        <w:autoSpaceDE w:val="0"/>
        <w:autoSpaceDN w:val="0"/>
        <w:spacing w:beforeLines="0" w:line="340" w:lineRule="exact"/>
        <w:ind w:right="808" w:firstLine="404" w:firstLineChars="200"/>
        <w:jc w:val="right"/>
        <w:rPr>
          <w:rFonts w:ascii="宋体" w:hAnsi="宋体" w:eastAsia="宋体"/>
          <w:color w:val="auto"/>
          <w:spacing w:val="-4"/>
          <w:kern w:val="0"/>
          <w:szCs w:val="21"/>
          <w:u w:val="single"/>
        </w:rPr>
      </w:pPr>
      <w:r>
        <w:rPr>
          <w:rFonts w:hint="eastAsia" w:ascii="宋体" w:hAnsi="宋体" w:eastAsia="宋体"/>
          <w:color w:val="auto"/>
          <w:spacing w:val="-4"/>
          <w:kern w:val="0"/>
          <w:szCs w:val="21"/>
          <w:lang w:eastAsia="zh-CN"/>
        </w:rPr>
        <w:t>单位</w:t>
      </w:r>
      <w:r>
        <w:rPr>
          <w:rFonts w:hint="eastAsia" w:ascii="宋体" w:hAnsi="宋体" w:eastAsia="宋体"/>
          <w:color w:val="auto"/>
          <w:spacing w:val="-4"/>
          <w:kern w:val="0"/>
          <w:szCs w:val="21"/>
        </w:rPr>
        <w:t>负责人签名：</w:t>
      </w:r>
      <w:r>
        <w:rPr>
          <w:rFonts w:hint="eastAsia" w:ascii="宋体" w:hAnsi="宋体" w:eastAsia="宋体"/>
          <w:color w:val="auto"/>
          <w:spacing w:val="-4"/>
          <w:kern w:val="0"/>
          <w:szCs w:val="21"/>
          <w:u w:val="single"/>
        </w:rPr>
        <w:t xml:space="preserve">              </w:t>
      </w:r>
    </w:p>
    <w:p>
      <w:pPr>
        <w:widowControl/>
        <w:wordWrap w:val="0"/>
        <w:autoSpaceDE w:val="0"/>
        <w:autoSpaceDN w:val="0"/>
        <w:spacing w:beforeLines="0" w:line="340" w:lineRule="exact"/>
        <w:ind w:right="808" w:firstLine="404" w:firstLineChars="200"/>
        <w:jc w:val="center"/>
        <w:rPr>
          <w:rFonts w:ascii="宋体" w:hAnsi="宋体" w:eastAsia="宋体"/>
          <w:color w:val="auto"/>
          <w:spacing w:val="-4"/>
          <w:kern w:val="0"/>
          <w:szCs w:val="21"/>
          <w:u w:val="single"/>
        </w:rPr>
      </w:pPr>
      <w:r>
        <w:rPr>
          <w:rFonts w:hint="eastAsia" w:ascii="宋体" w:hAnsi="宋体" w:eastAsia="宋体"/>
          <w:color w:val="auto"/>
          <w:spacing w:val="-4"/>
          <w:kern w:val="0"/>
          <w:szCs w:val="21"/>
          <w:lang w:val="en-US" w:eastAsia="zh-CN"/>
        </w:rPr>
        <w:t xml:space="preserve">                                 </w:t>
      </w:r>
      <w:r>
        <w:rPr>
          <w:rFonts w:hint="eastAsia" w:ascii="宋体" w:hAnsi="宋体" w:eastAsia="宋体"/>
          <w:color w:val="auto"/>
          <w:spacing w:val="-4"/>
          <w:kern w:val="0"/>
          <w:szCs w:val="21"/>
          <w:lang w:eastAsia="zh-CN"/>
        </w:rPr>
        <w:t>（加盖</w:t>
      </w:r>
      <w:r>
        <w:rPr>
          <w:rFonts w:hint="eastAsia" w:ascii="宋体" w:hAnsi="宋体" w:eastAsia="宋体"/>
          <w:color w:val="auto"/>
          <w:spacing w:val="-4"/>
          <w:kern w:val="0"/>
          <w:szCs w:val="21"/>
        </w:rPr>
        <w:t>公章</w:t>
      </w:r>
      <w:r>
        <w:rPr>
          <w:rFonts w:hint="eastAsia" w:ascii="宋体" w:hAnsi="宋体" w:eastAsia="宋体"/>
          <w:color w:val="auto"/>
          <w:spacing w:val="-4"/>
          <w:kern w:val="0"/>
          <w:szCs w:val="21"/>
          <w:lang w:eastAsia="zh-CN"/>
        </w:rPr>
        <w:t>）</w:t>
      </w:r>
    </w:p>
    <w:p>
      <w:pPr>
        <w:widowControl/>
        <w:wordWrap w:val="0"/>
        <w:autoSpaceDE w:val="0"/>
        <w:autoSpaceDN w:val="0"/>
        <w:spacing w:beforeLines="0" w:line="340" w:lineRule="exact"/>
        <w:ind w:right="808" w:firstLine="404" w:firstLineChars="200"/>
        <w:jc w:val="right"/>
        <w:rPr>
          <w:rFonts w:ascii="宋体" w:hAnsi="宋体" w:eastAsia="宋体"/>
          <w:color w:val="auto"/>
          <w:spacing w:val="-4"/>
          <w:kern w:val="0"/>
          <w:szCs w:val="21"/>
          <w:u w:val="single"/>
        </w:rPr>
      </w:pPr>
      <w:r>
        <w:rPr>
          <w:rFonts w:hint="eastAsia" w:ascii="宋体" w:hAnsi="宋体" w:eastAsia="宋体"/>
          <w:color w:val="auto"/>
          <w:spacing w:val="-4"/>
          <w:kern w:val="0"/>
          <w:szCs w:val="21"/>
        </w:rPr>
        <w:t xml:space="preserve">     日期：</w:t>
      </w:r>
      <w:r>
        <w:rPr>
          <w:rFonts w:hint="eastAsia" w:ascii="宋体" w:hAnsi="宋体" w:eastAsia="宋体"/>
          <w:color w:val="auto"/>
          <w:spacing w:val="-4"/>
          <w:kern w:val="0"/>
          <w:szCs w:val="21"/>
          <w:u w:val="single"/>
        </w:rPr>
        <w:t xml:space="preserve">              </w:t>
      </w:r>
    </w:p>
    <w:p>
      <w:pPr>
        <w:widowControl/>
        <w:autoSpaceDE w:val="0"/>
        <w:autoSpaceDN w:val="0"/>
        <w:spacing w:beforeLines="0" w:line="340" w:lineRule="exact"/>
        <w:ind w:firstLine="406" w:firstLineChars="200"/>
        <w:jc w:val="left"/>
        <w:rPr>
          <w:rFonts w:hint="eastAsia" w:ascii="宋体" w:hAnsi="宋体" w:eastAsia="宋体"/>
          <w:b/>
          <w:bCs/>
          <w:color w:val="auto"/>
          <w:spacing w:val="-4"/>
          <w:kern w:val="0"/>
          <w:szCs w:val="21"/>
        </w:rPr>
      </w:pPr>
    </w:p>
    <w:p>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b/>
          <w:bCs/>
          <w:color w:val="auto"/>
          <w:spacing w:val="-4"/>
          <w:kern w:val="0"/>
          <w:szCs w:val="21"/>
          <w:highlight w:val="none"/>
        </w:rPr>
      </w:pPr>
      <w:r>
        <w:rPr>
          <w:rFonts w:hint="eastAsia" w:ascii="宋体" w:hAnsi="宋体" w:eastAsia="宋体"/>
          <w:b/>
          <w:bCs/>
          <w:color w:val="auto"/>
          <w:spacing w:val="-4"/>
          <w:kern w:val="0"/>
          <w:szCs w:val="21"/>
        </w:rPr>
        <w:t>注：</w:t>
      </w:r>
      <w:r>
        <w:rPr>
          <w:rFonts w:hint="eastAsia" w:ascii="宋体" w:hAnsi="宋体"/>
          <w:b/>
          <w:bCs/>
          <w:color w:val="auto"/>
          <w:spacing w:val="-4"/>
          <w:kern w:val="0"/>
          <w:szCs w:val="21"/>
          <w:lang w:val="en-US" w:eastAsia="zh-CN"/>
        </w:rPr>
        <w:t>1.</w:t>
      </w:r>
      <w:r>
        <w:rPr>
          <w:rFonts w:hint="eastAsia" w:ascii="宋体" w:hAnsi="宋体" w:eastAsia="宋体"/>
          <w:b/>
          <w:bCs/>
          <w:color w:val="auto"/>
          <w:spacing w:val="-4"/>
          <w:kern w:val="0"/>
          <w:szCs w:val="21"/>
          <w:lang w:eastAsia="zh-CN"/>
        </w:rPr>
        <w:t>《</w:t>
      </w:r>
      <w:r>
        <w:rPr>
          <w:rFonts w:hint="eastAsia" w:ascii="宋体" w:hAnsi="宋体" w:eastAsia="宋体"/>
          <w:b/>
          <w:bCs/>
          <w:color w:val="auto"/>
          <w:spacing w:val="-4"/>
          <w:kern w:val="0"/>
          <w:szCs w:val="21"/>
          <w:lang w:val="en-US" w:eastAsia="zh-CN"/>
        </w:rPr>
        <w:t>政府采购违法行为风险知悉确认书</w:t>
      </w:r>
      <w:r>
        <w:rPr>
          <w:rFonts w:hint="eastAsia" w:ascii="宋体" w:hAnsi="宋体" w:eastAsia="宋体"/>
          <w:b/>
          <w:bCs/>
          <w:color w:val="auto"/>
          <w:spacing w:val="-4"/>
          <w:kern w:val="0"/>
          <w:szCs w:val="21"/>
          <w:lang w:eastAsia="zh-CN"/>
        </w:rPr>
        <w:t>》需由</w:t>
      </w:r>
      <w:r>
        <w:rPr>
          <w:rFonts w:hint="eastAsia" w:ascii="宋体" w:hAnsi="宋体" w:eastAsia="宋体"/>
          <w:b/>
          <w:bCs/>
          <w:color w:val="auto"/>
          <w:spacing w:val="-4"/>
          <w:kern w:val="0"/>
          <w:szCs w:val="21"/>
          <w:highlight w:val="none"/>
        </w:rPr>
        <w:t>投标供应商负责人签字并加盖单位公章后，扫描上传至投标文件一并提交。</w:t>
      </w:r>
    </w:p>
    <w:p>
      <w:pPr>
        <w:pStyle w:val="202"/>
        <w:keepNext w:val="0"/>
        <w:keepLines w:val="0"/>
        <w:pageBreakBefore w:val="0"/>
        <w:kinsoku/>
        <w:wordWrap/>
        <w:overflowPunct/>
        <w:topLinePunct w:val="0"/>
        <w:bidi w:val="0"/>
        <w:adjustRightInd/>
        <w:snapToGrid/>
        <w:ind w:firstLine="422" w:firstLineChars="200"/>
        <w:textAlignment w:val="auto"/>
        <w:rPr>
          <w:b/>
          <w:bCs/>
          <w:color w:val="auto"/>
          <w:lang w:val="en-US" w:eastAsia="zh-CN"/>
        </w:rPr>
      </w:pPr>
      <w:r>
        <w:rPr>
          <w:rFonts w:hint="eastAsia"/>
          <w:b/>
          <w:bCs/>
          <w:color w:val="auto"/>
          <w:lang w:val="en-US" w:eastAsia="zh-CN"/>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pPr>
        <w:widowControl/>
        <w:autoSpaceDE w:val="0"/>
        <w:autoSpaceDN w:val="0"/>
        <w:spacing w:line="400" w:lineRule="exact"/>
        <w:ind w:right="1414" w:firstLine="480" w:firstLineChars="200"/>
        <w:jc w:val="right"/>
        <w:rPr>
          <w:rFonts w:eastAsiaTheme="minorEastAsia"/>
          <w:kern w:val="0"/>
          <w:sz w:val="24"/>
        </w:rPr>
      </w:pPr>
    </w:p>
    <w:p>
      <w:pPr>
        <w:widowControl/>
        <w:autoSpaceDE w:val="0"/>
        <w:autoSpaceDN w:val="0"/>
        <w:spacing w:line="400" w:lineRule="exact"/>
        <w:ind w:right="1414" w:firstLine="480" w:firstLineChars="200"/>
        <w:jc w:val="right"/>
        <w:rPr>
          <w:rFonts w:eastAsiaTheme="minorEastAsia"/>
          <w:kern w:val="0"/>
          <w:sz w:val="24"/>
        </w:rPr>
      </w:pPr>
    </w:p>
    <w:p>
      <w:pPr>
        <w:widowControl/>
        <w:autoSpaceDE w:val="0"/>
        <w:autoSpaceDN w:val="0"/>
        <w:spacing w:line="400" w:lineRule="exact"/>
        <w:ind w:right="1414" w:firstLine="480" w:firstLineChars="200"/>
        <w:jc w:val="right"/>
        <w:rPr>
          <w:rFonts w:eastAsiaTheme="minorEastAsia"/>
          <w:kern w:val="0"/>
          <w:sz w:val="24"/>
        </w:rPr>
      </w:pPr>
    </w:p>
    <w:p>
      <w:pPr>
        <w:widowControl/>
        <w:autoSpaceDE w:val="0"/>
        <w:autoSpaceDN w:val="0"/>
        <w:spacing w:line="400" w:lineRule="exact"/>
        <w:ind w:right="1414" w:firstLine="480" w:firstLineChars="200"/>
        <w:jc w:val="right"/>
        <w:rPr>
          <w:rFonts w:eastAsiaTheme="minorEastAsia"/>
          <w:kern w:val="0"/>
          <w:sz w:val="24"/>
        </w:rPr>
      </w:pPr>
    </w:p>
    <w:p>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w:t>
      </w:r>
      <w:r>
        <w:rPr>
          <w:rFonts w:hint="eastAsia" w:ascii="Times New Roman" w:hAnsi="Times New Roman" w:eastAsia="宋体" w:cs="Times New Roman"/>
          <w:b w:val="0"/>
          <w:sz w:val="21"/>
          <w:szCs w:val="21"/>
        </w:rPr>
        <w:t>参与深圳市政府采购活动的供应商可凭借所获取的深圳市政府采购中标（成交）通知书和采购合同，向参与订单融资业务的金融机构提出融资申请，金融机构以各自信贷政策为基础，为中标（成交）供应商提供融资授信，详情可登 录 深 圳 要 素 交 易 金 融 服 务 平 台 （ 网 址 ：https://finance.szexgrp.com/gtm/web/guarantee/#/）</w:t>
      </w:r>
      <w:r>
        <w:rPr>
          <w:rFonts w:hint="eastAsia" w:ascii="Times New Roman" w:hAnsi="Times New Roman" w:eastAsia="宋体" w:cs="Times New Roman"/>
          <w:b w:val="0"/>
          <w:bCs/>
          <w:kern w:val="2"/>
          <w:sz w:val="21"/>
          <w:szCs w:val="21"/>
          <w:lang w:val="en-US" w:eastAsia="zh-CN" w:bidi="ar-SA"/>
        </w:rPr>
        <w:t>，相关政策法规参阅深圳市政府采购监管网（http://zfcg.sz.gov.cn/）信息公开栏目。</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pPr>
        <w:widowControl/>
        <w:autoSpaceDE w:val="0"/>
        <w:autoSpaceDN w:val="0"/>
        <w:spacing w:line="400" w:lineRule="exact"/>
        <w:ind w:right="1414" w:firstLine="480" w:firstLineChars="200"/>
        <w:jc w:val="right"/>
        <w:rPr>
          <w:rFonts w:eastAsiaTheme="minorEastAsia"/>
          <w:kern w:val="0"/>
          <w:sz w:val="24"/>
        </w:rPr>
      </w:pPr>
    </w:p>
    <w:p>
      <w:pPr>
        <w:widowControl/>
        <w:autoSpaceDE w:val="0"/>
        <w:autoSpaceDN w:val="0"/>
        <w:spacing w:line="400" w:lineRule="exact"/>
        <w:ind w:right="1414" w:firstLine="480" w:firstLineChars="200"/>
        <w:jc w:val="right"/>
        <w:rPr>
          <w:rFonts w:eastAsiaTheme="minorEastAsia"/>
          <w:kern w:val="0"/>
          <w:sz w:val="24"/>
        </w:rPr>
      </w:pPr>
    </w:p>
    <w:p>
      <w:pPr>
        <w:ind w:firstLine="720" w:firstLineChars="300"/>
        <w:rPr>
          <w:sz w:val="24"/>
        </w:rPr>
      </w:pPr>
    </w:p>
    <w:p>
      <w:pPr>
        <w:widowControl/>
        <w:spacing w:line="360" w:lineRule="auto"/>
        <w:jc w:val="left"/>
        <w:rPr>
          <w:rFonts w:eastAsiaTheme="minorEastAsia"/>
          <w:b/>
          <w:bCs/>
          <w:kern w:val="0"/>
          <w:sz w:val="24"/>
        </w:rPr>
      </w:pPr>
    </w:p>
    <w:p>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p>
      <w:pPr>
        <w:pStyle w:val="2"/>
        <w:sectPr>
          <w:pgSz w:w="11907" w:h="16840"/>
          <w:pgMar w:top="1440" w:right="1797" w:bottom="1440" w:left="1797" w:header="851" w:footer="992" w:gutter="0"/>
          <w:cols w:space="425" w:num="1"/>
          <w:titlePg/>
          <w:docGrid w:linePitch="462" w:charSpace="0"/>
        </w:sectPr>
      </w:pPr>
    </w:p>
    <w:p>
      <w:pPr>
        <w:pStyle w:val="2"/>
      </w:pPr>
    </w:p>
    <w:p>
      <w:pPr>
        <w:pStyle w:val="6"/>
      </w:pPr>
      <w:r>
        <w:rPr>
          <w:rFonts w:hint="eastAsia"/>
        </w:rPr>
        <w:t>第五章  合同条款及格式</w:t>
      </w:r>
    </w:p>
    <w:p>
      <w:pPr>
        <w:ind w:firstLine="411" w:firstLineChars="196"/>
      </w:pPr>
    </w:p>
    <w:p>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b/>
          <w:sz w:val="24"/>
        </w:rPr>
        <w:t>（仅供参考，具体以项目需求及采购结果为准）</w:t>
      </w:r>
    </w:p>
    <w:p>
      <w:pPr>
        <w:spacing w:line="600" w:lineRule="exact"/>
        <w:jc w:val="center"/>
        <w:rPr>
          <w:rFonts w:hint="eastAsia" w:ascii="宋体" w:hAnsi="宋体" w:cs="宋体"/>
          <w:b/>
          <w:bCs/>
          <w:color w:val="auto"/>
          <w:sz w:val="40"/>
          <w:szCs w:val="40"/>
          <w:lang w:eastAsia="zh-CN"/>
        </w:rPr>
      </w:pPr>
      <w:r>
        <w:rPr>
          <w:rFonts w:hint="eastAsia" w:ascii="宋体" w:hAnsi="宋体" w:cs="宋体"/>
          <w:b/>
          <w:bCs/>
          <w:color w:val="auto"/>
          <w:sz w:val="40"/>
          <w:szCs w:val="40"/>
        </w:rPr>
        <w:t>深圳市龙华区教育局2026年龙华区部分公办学校及幼儿园食材集中批量采购框架</w:t>
      </w:r>
      <w:r>
        <w:rPr>
          <w:rFonts w:hint="eastAsia" w:ascii="宋体" w:hAnsi="宋体" w:cs="宋体"/>
          <w:b/>
          <w:bCs/>
          <w:color w:val="auto"/>
          <w:sz w:val="40"/>
          <w:szCs w:val="40"/>
          <w:lang w:eastAsia="zh-CN"/>
        </w:rPr>
        <w:t>协议</w:t>
      </w:r>
    </w:p>
    <w:p>
      <w:pPr>
        <w:pStyle w:val="2"/>
        <w:jc w:val="center"/>
        <w:rPr>
          <w:rFonts w:hint="default"/>
          <w:color w:val="auto"/>
          <w:lang w:val="en-US" w:eastAsia="zh-CN"/>
        </w:rPr>
      </w:pPr>
      <w:r>
        <w:rPr>
          <w:rFonts w:hint="eastAsia"/>
          <w:color w:val="auto"/>
          <w:lang w:val="en-US" w:eastAsia="zh-CN"/>
        </w:rPr>
        <w:t>协议编号：«合同编号»</w:t>
      </w:r>
    </w:p>
    <w:p>
      <w:pPr>
        <w:spacing w:line="360" w:lineRule="auto"/>
        <w:jc w:val="center"/>
        <w:rPr>
          <w:rFonts w:hint="eastAsia" w:ascii="仿宋" w:hAnsi="仿宋" w:eastAsia="仿宋" w:cs="仿宋"/>
          <w:b/>
          <w:bCs/>
          <w:color w:val="auto"/>
          <w:sz w:val="24"/>
          <w:szCs w:val="24"/>
        </w:rPr>
      </w:pP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eastAsia="zh-CN"/>
        </w:rPr>
        <w:t>«甲方单位»</w:t>
      </w:r>
      <w:r>
        <w:rPr>
          <w:rFonts w:hint="eastAsia" w:ascii="仿宋" w:hAnsi="仿宋" w:eastAsia="仿宋" w:cs="仿宋"/>
          <w:color w:val="auto"/>
          <w:sz w:val="24"/>
          <w:szCs w:val="24"/>
          <w:lang w:val="en-US" w:eastAsia="zh-CN"/>
        </w:rPr>
        <w:t xml:space="preserve"> </w:t>
      </w:r>
    </w:p>
    <w:p>
      <w:pPr>
        <w:pStyle w:val="2"/>
        <w:spacing w:line="360" w:lineRule="auto"/>
        <w:ind w:firstLine="241" w:firstLineChars="100"/>
        <w:rPr>
          <w:rFonts w:hint="eastAsia" w:ascii="仿宋" w:hAnsi="仿宋" w:eastAsia="仿宋" w:cs="仿宋"/>
          <w:color w:val="auto"/>
          <w:sz w:val="24"/>
          <w:szCs w:val="24"/>
        </w:rPr>
      </w:pPr>
      <w:r>
        <w:rPr>
          <w:rFonts w:hint="eastAsia" w:ascii="仿宋" w:hAnsi="仿宋" w:eastAsia="仿宋" w:cs="仿宋"/>
          <w:color w:val="auto"/>
          <w:sz w:val="24"/>
          <w:szCs w:val="24"/>
        </w:rPr>
        <w:t>地址：«甲方地址»</w:t>
      </w:r>
    </w:p>
    <w:p>
      <w:pPr>
        <w:pStyle w:val="2"/>
        <w:spacing w:line="360" w:lineRule="auto"/>
        <w:ind w:firstLine="241" w:firstLineChars="1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统一社会信用代码：«甲方统一社会信用代码»</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«甲方联系人»</w:t>
      </w:r>
      <w:r>
        <w:rPr>
          <w:rFonts w:hint="eastAsia" w:ascii="仿宋" w:hAnsi="仿宋" w:eastAsia="仿宋" w:cs="仿宋"/>
          <w:color w:val="auto"/>
          <w:sz w:val="24"/>
          <w:szCs w:val="24"/>
        </w:rPr>
        <w:t xml:space="preserve">      联系电话：</w:t>
      </w:r>
      <w:r>
        <w:rPr>
          <w:rFonts w:hint="eastAsia" w:ascii="仿宋" w:hAnsi="仿宋" w:eastAsia="仿宋" w:cs="仿宋"/>
          <w:color w:val="auto"/>
          <w:sz w:val="24"/>
          <w:szCs w:val="24"/>
          <w:lang w:val="en-US" w:eastAsia="zh-CN"/>
        </w:rPr>
        <w:t>«甲方联系电话»</w:t>
      </w:r>
      <w:r>
        <w:rPr>
          <w:rFonts w:hint="eastAsia" w:ascii="仿宋" w:hAnsi="仿宋" w:eastAsia="仿宋" w:cs="仿宋"/>
          <w:color w:val="auto"/>
          <w:sz w:val="24"/>
          <w:szCs w:val="24"/>
        </w:rPr>
        <w:t xml:space="preserve">             </w:t>
      </w:r>
    </w:p>
    <w:p>
      <w:pPr>
        <w:spacing w:line="360" w:lineRule="auto"/>
        <w:ind w:firstLine="480" w:firstLineChars="200"/>
        <w:rPr>
          <w:rFonts w:hint="eastAsia" w:ascii="仿宋" w:hAnsi="仿宋" w:eastAsia="仿宋" w:cs="仿宋"/>
          <w:color w:val="auto"/>
          <w:sz w:val="24"/>
          <w:szCs w:val="24"/>
        </w:rPr>
      </w:pPr>
    </w:p>
    <w:p>
      <w:pPr>
        <w:spacing w:line="360" w:lineRule="auto"/>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乙方：</w:t>
      </w:r>
      <w:r>
        <w:rPr>
          <w:rFonts w:hint="eastAsia" w:ascii="仿宋" w:hAnsi="仿宋" w:eastAsia="仿宋" w:cs="仿宋"/>
          <w:color w:val="auto"/>
          <w:sz w:val="24"/>
          <w:szCs w:val="24"/>
          <w:lang w:val="en-US" w:eastAsia="zh-CN"/>
        </w:rPr>
        <w:t>«乙方单位»</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val="en-US" w:eastAsia="zh-CN"/>
        </w:rPr>
        <w:t>«乙方地址»</w:t>
      </w:r>
    </w:p>
    <w:p>
      <w:pPr>
        <w:pStyle w:val="2"/>
        <w:ind w:firstLine="241" w:firstLineChars="100"/>
        <w:rPr>
          <w:rFonts w:hint="eastAsia" w:eastAsia="仿宋"/>
          <w:color w:val="auto"/>
          <w:lang w:eastAsia="zh-CN"/>
        </w:rPr>
      </w:pPr>
      <w:r>
        <w:rPr>
          <w:rFonts w:hint="eastAsia" w:ascii="仿宋" w:hAnsi="仿宋" w:eastAsia="仿宋" w:cs="仿宋"/>
          <w:color w:val="auto"/>
          <w:sz w:val="24"/>
          <w:szCs w:val="24"/>
          <w:lang w:eastAsia="zh-CN"/>
        </w:rPr>
        <w:t>统一社会信用代码：</w:t>
      </w:r>
      <w:r>
        <w:rPr>
          <w:rFonts w:hint="eastAsia" w:ascii="仿宋" w:hAnsi="仿宋" w:eastAsia="仿宋" w:cs="仿宋"/>
          <w:color w:val="auto"/>
          <w:sz w:val="24"/>
          <w:szCs w:val="24"/>
          <w:lang w:val="en-US" w:eastAsia="zh-CN"/>
        </w:rPr>
        <w:t>«乙方统一社会信用代码»</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法定代表人：«乙方单位法人»</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 xml:space="preserve">«乙方联系人»      </w:t>
      </w:r>
      <w:r>
        <w:rPr>
          <w:rFonts w:hint="eastAsia" w:ascii="仿宋" w:hAnsi="仿宋" w:eastAsia="仿宋" w:cs="仿宋"/>
          <w:color w:val="auto"/>
          <w:sz w:val="24"/>
          <w:szCs w:val="24"/>
        </w:rPr>
        <w:t xml:space="preserve"> 联系电话：</w:t>
      </w:r>
      <w:r>
        <w:rPr>
          <w:rFonts w:hint="eastAsia" w:ascii="仿宋" w:hAnsi="仿宋" w:eastAsia="仿宋" w:cs="仿宋"/>
          <w:color w:val="auto"/>
          <w:sz w:val="24"/>
          <w:szCs w:val="24"/>
          <w:lang w:val="en-US" w:eastAsia="zh-CN"/>
        </w:rPr>
        <w:t>«乙方联系电话»</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根据深圳交易集团有限公司</w:t>
      </w:r>
      <w:r>
        <w:rPr>
          <w:rFonts w:hint="eastAsia" w:ascii="仿宋" w:hAnsi="仿宋" w:eastAsia="仿宋" w:cs="仿宋"/>
          <w:color w:val="auto"/>
          <w:sz w:val="24"/>
          <w:szCs w:val="24"/>
          <w:lang w:val="en-US" w:eastAsia="zh-CN"/>
        </w:rPr>
        <w:t>龙华</w:t>
      </w:r>
      <w:r>
        <w:rPr>
          <w:rFonts w:hint="eastAsia" w:ascii="仿宋" w:hAnsi="仿宋" w:eastAsia="仿宋" w:cs="仿宋"/>
          <w:color w:val="auto"/>
          <w:sz w:val="24"/>
          <w:szCs w:val="24"/>
        </w:rPr>
        <w:t>分公司招标项目</w:t>
      </w:r>
      <w:r>
        <w:rPr>
          <w:rFonts w:hint="eastAsia" w:ascii="仿宋" w:hAnsi="仿宋" w:eastAsia="仿宋" w:cs="仿宋"/>
          <w:color w:val="auto"/>
          <w:sz w:val="24"/>
          <w:szCs w:val="24"/>
          <w:u w:val="single"/>
        </w:rPr>
        <w:t>深圳市龙华区教育局2026年龙华区部分公办学校及幼儿园食材集中批量采购</w:t>
      </w:r>
      <w:r>
        <w:rPr>
          <w:rFonts w:hint="eastAsia" w:ascii="仿宋" w:hAnsi="仿宋" w:eastAsia="仿宋" w:cs="仿宋"/>
          <w:color w:val="auto"/>
          <w:sz w:val="24"/>
          <w:szCs w:val="24"/>
        </w:rPr>
        <w:t xml:space="preserve">〈项目编号: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的招标结果，</w:t>
      </w:r>
      <w:r>
        <w:rPr>
          <w:rFonts w:hint="eastAsia" w:ascii="仿宋" w:hAnsi="仿宋" w:eastAsia="仿宋" w:cs="仿宋"/>
          <w:color w:val="auto"/>
          <w:sz w:val="24"/>
          <w:szCs w:val="24"/>
          <w:lang w:val="en-US" w:eastAsia="zh-CN"/>
        </w:rPr>
        <w:t>«乙方单位»</w:t>
      </w:r>
      <w:r>
        <w:rPr>
          <w:rFonts w:hint="eastAsia" w:ascii="仿宋" w:hAnsi="仿宋" w:eastAsia="仿宋" w:cs="仿宋"/>
          <w:color w:val="auto"/>
          <w:sz w:val="24"/>
          <w:szCs w:val="24"/>
          <w:lang w:eastAsia="zh-CN"/>
        </w:rPr>
        <w:t>为</w:t>
      </w:r>
      <w:r>
        <w:rPr>
          <w:rFonts w:hint="eastAsia" w:ascii="仿宋" w:hAnsi="仿宋" w:eastAsia="仿宋" w:cs="仿宋"/>
          <w:color w:val="auto"/>
          <w:sz w:val="24"/>
          <w:szCs w:val="24"/>
          <w:lang w:val="en-US" w:eastAsia="zh-CN"/>
        </w:rPr>
        <w:t>«项目标段»</w:t>
      </w:r>
      <w:r>
        <w:rPr>
          <w:rFonts w:hint="eastAsia" w:ascii="仿宋" w:hAnsi="仿宋" w:eastAsia="仿宋" w:cs="仿宋"/>
          <w:color w:val="auto"/>
          <w:sz w:val="24"/>
          <w:szCs w:val="24"/>
          <w:lang w:eastAsia="zh-CN"/>
        </w:rPr>
        <w:t>中标人。</w:t>
      </w:r>
      <w:r>
        <w:rPr>
          <w:rFonts w:hint="eastAsia" w:ascii="仿宋" w:hAnsi="仿宋" w:eastAsia="仿宋" w:cs="仿宋"/>
          <w:color w:val="auto"/>
          <w:sz w:val="24"/>
          <w:szCs w:val="24"/>
        </w:rPr>
        <w:t>按照《中华人民共和国民法典》《深圳经济特区政府采购条例》等相关法律法规，经甲、乙双方协</w:t>
      </w:r>
      <w:r>
        <w:rPr>
          <w:rFonts w:hint="eastAsia" w:ascii="仿宋" w:hAnsi="仿宋" w:eastAsia="仿宋" w:cs="仿宋"/>
          <w:color w:val="auto"/>
          <w:sz w:val="24"/>
          <w:szCs w:val="24"/>
          <w:lang w:val="en-US" w:eastAsia="zh-CN"/>
        </w:rPr>
        <w:t>商一致</w:t>
      </w:r>
      <w:r>
        <w:rPr>
          <w:rFonts w:hint="eastAsia" w:ascii="仿宋" w:hAnsi="仿宋" w:eastAsia="仿宋" w:cs="仿宋"/>
          <w:color w:val="auto"/>
          <w:sz w:val="24"/>
          <w:szCs w:val="24"/>
        </w:rPr>
        <w:t>，订立</w:t>
      </w:r>
      <w:r>
        <w:rPr>
          <w:rFonts w:hint="eastAsia" w:ascii="仿宋" w:hAnsi="仿宋" w:eastAsia="仿宋" w:cs="仿宋"/>
          <w:color w:val="auto"/>
          <w:sz w:val="24"/>
          <w:szCs w:val="24"/>
          <w:lang w:val="en-US" w:eastAsia="zh-Hans"/>
        </w:rPr>
        <w:t>本</w:t>
      </w:r>
      <w:r>
        <w:rPr>
          <w:rFonts w:hint="eastAsia" w:ascii="仿宋" w:hAnsi="仿宋" w:eastAsia="仿宋" w:cs="仿宋"/>
          <w:color w:val="auto"/>
          <w:sz w:val="24"/>
          <w:szCs w:val="24"/>
          <w:lang w:val="en-US" w:eastAsia="zh-CN"/>
        </w:rPr>
        <w:t>协议</w:t>
      </w:r>
      <w:r>
        <w:rPr>
          <w:rFonts w:hint="eastAsia" w:ascii="仿宋" w:hAnsi="仿宋" w:eastAsia="仿宋" w:cs="仿宋"/>
          <w:color w:val="auto"/>
          <w:sz w:val="24"/>
          <w:szCs w:val="24"/>
        </w:rPr>
        <w:t>，以</w:t>
      </w:r>
      <w:r>
        <w:rPr>
          <w:rFonts w:hint="eastAsia" w:ascii="仿宋" w:hAnsi="仿宋" w:eastAsia="仿宋" w:cs="仿宋"/>
          <w:color w:val="auto"/>
          <w:sz w:val="24"/>
          <w:szCs w:val="24"/>
          <w:lang w:val="en-US" w:eastAsia="zh-CN"/>
        </w:rPr>
        <w:t>资</w:t>
      </w:r>
      <w:r>
        <w:rPr>
          <w:rFonts w:hint="eastAsia" w:ascii="仿宋" w:hAnsi="仿宋" w:eastAsia="仿宋" w:cs="仿宋"/>
          <w:color w:val="auto"/>
          <w:sz w:val="24"/>
          <w:szCs w:val="24"/>
        </w:rPr>
        <w:t>共同遵守：</w:t>
      </w:r>
    </w:p>
    <w:p>
      <w:pPr>
        <w:numPr>
          <w:ilvl w:val="0"/>
          <w:numId w:val="15"/>
        </w:numPr>
        <w:spacing w:line="360" w:lineRule="auto"/>
        <w:ind w:firstLine="482" w:firstLineChars="200"/>
        <w:outlineLvl w:val="2"/>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项目概况</w:t>
      </w:r>
    </w:p>
    <w:p>
      <w:pPr>
        <w:numPr>
          <w:ilvl w:val="0"/>
          <w:numId w:val="16"/>
        </w:numPr>
        <w:spacing w:line="360" w:lineRule="auto"/>
        <w:ind w:firstLine="480" w:firstLineChars="200"/>
        <w:rPr>
          <w:rFonts w:hint="eastAsia"/>
          <w:color w:val="auto"/>
          <w:lang w:eastAsia="zh-CN"/>
        </w:rPr>
      </w:pPr>
      <w:r>
        <w:rPr>
          <w:rFonts w:hint="eastAsia" w:ascii="仿宋" w:hAnsi="仿宋" w:eastAsia="仿宋" w:cs="仿宋"/>
          <w:color w:val="auto"/>
          <w:sz w:val="24"/>
          <w:szCs w:val="24"/>
          <w:lang w:eastAsia="zh-CN"/>
        </w:rPr>
        <w:t>项目名称: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〈项目编号:</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p>
    <w:p>
      <w:pPr>
        <w:numPr>
          <w:ilvl w:val="0"/>
          <w:numId w:val="16"/>
        </w:num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项目采购范围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1.预包装类：成品粮（大米、小麦粉或面粉）、成品食用油类、乳制品（仅限发酵乳、巴氏杀菌乳、灭菌乳、调制乳）；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2.生鲜食品类：鲜蛋、生鲜肉、冻品；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3.调味品类；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4.蔬菜及其他类。</w:t>
      </w:r>
    </w:p>
    <w:p>
      <w:pPr>
        <w:numPr>
          <w:ilvl w:val="0"/>
          <w:numId w:val="15"/>
        </w:numPr>
        <w:spacing w:line="360" w:lineRule="auto"/>
        <w:ind w:firstLine="482" w:firstLineChars="200"/>
        <w:outlineLvl w:val="2"/>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协议范围及预算</w:t>
      </w:r>
      <w:r>
        <w:rPr>
          <w:rFonts w:hint="eastAsia" w:ascii="仿宋" w:hAnsi="仿宋" w:eastAsia="仿宋" w:cs="仿宋"/>
          <w:b/>
          <w:bCs/>
          <w:color w:val="auto"/>
          <w:sz w:val="24"/>
          <w:szCs w:val="24"/>
          <w:lang w:eastAsia="zh-CN"/>
        </w:rPr>
        <w:t>金额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（一）本</w:t>
      </w:r>
      <w:r>
        <w:rPr>
          <w:rFonts w:hint="eastAsia" w:ascii="仿宋" w:hAnsi="仿宋" w:eastAsia="仿宋" w:cs="仿宋"/>
          <w:color w:val="auto"/>
          <w:sz w:val="24"/>
          <w:szCs w:val="24"/>
          <w:lang w:val="en-US" w:eastAsia="zh-CN"/>
        </w:rPr>
        <w:t>标段</w:t>
      </w:r>
      <w:r>
        <w:rPr>
          <w:rFonts w:hint="eastAsia" w:ascii="仿宋" w:hAnsi="仿宋" w:eastAsia="仿宋" w:cs="仿宋"/>
          <w:color w:val="auto"/>
          <w:sz w:val="24"/>
          <w:szCs w:val="24"/>
          <w:lang w:eastAsia="zh-CN"/>
        </w:rPr>
        <w:t>共包含</w:t>
      </w:r>
      <w:r>
        <w:rPr>
          <w:rFonts w:hint="eastAsia" w:ascii="仿宋" w:hAnsi="仿宋" w:eastAsia="仿宋" w:cs="仿宋"/>
          <w:color w:val="auto"/>
          <w:sz w:val="24"/>
          <w:szCs w:val="24"/>
          <w:lang w:val="en-US" w:eastAsia="zh-CN"/>
        </w:rPr>
        <w:t>«本标段单位数»所学校（幼儿园），采购</w:t>
      </w:r>
      <w:r>
        <w:rPr>
          <w:rFonts w:hint="default" w:ascii="仿宋" w:hAnsi="仿宋" w:eastAsia="仿宋" w:cs="仿宋"/>
          <w:color w:val="auto"/>
          <w:sz w:val="24"/>
          <w:szCs w:val="24"/>
          <w:lang w:val="en-US" w:eastAsia="zh-CN"/>
        </w:rPr>
        <w:t>预</w:t>
      </w:r>
      <w:r>
        <w:rPr>
          <w:rFonts w:hint="eastAsia" w:ascii="仿宋" w:hAnsi="仿宋" w:eastAsia="仿宋" w:cs="仿宋"/>
          <w:color w:val="auto"/>
          <w:sz w:val="24"/>
          <w:szCs w:val="24"/>
          <w:lang w:val="en-US" w:eastAsia="zh-CN"/>
        </w:rPr>
        <w:t>算金额为«本标段预算金额（小写）»元/年，（人民币大写«本标段预算金额（大写）»），实际合同金额以本标段各学校（幼儿园）签订的《</w:t>
      </w:r>
      <w:r>
        <w:rPr>
          <w:rFonts w:hint="eastAsia" w:ascii="仿宋" w:hAnsi="仿宋" w:eastAsia="仿宋" w:cs="仿宋"/>
          <w:color w:val="auto"/>
          <w:sz w:val="24"/>
          <w:szCs w:val="24"/>
        </w:rPr>
        <w:t>深圳市龙华区教育局2025年龙华区部分公办学校及幼儿园食材集中批量</w:t>
      </w:r>
      <w:r>
        <w:rPr>
          <w:rFonts w:hint="eastAsia" w:ascii="仿宋" w:hAnsi="仿宋" w:eastAsia="仿宋" w:cs="仿宋"/>
          <w:color w:val="auto"/>
          <w:sz w:val="24"/>
          <w:szCs w:val="24"/>
          <w:lang w:eastAsia="zh-CN"/>
        </w:rPr>
        <w:t>采购合同</w:t>
      </w:r>
      <w:r>
        <w:rPr>
          <w:rFonts w:hint="eastAsia" w:ascii="仿宋" w:hAnsi="仿宋" w:eastAsia="仿宋" w:cs="仿宋"/>
          <w:color w:val="auto"/>
          <w:sz w:val="24"/>
          <w:szCs w:val="24"/>
          <w:lang w:val="en-US" w:eastAsia="zh-CN"/>
        </w:rPr>
        <w:t>》（以下简称《采购合同》）和实际配送结算金额为准，但是本标段各学校的最终结算金额不得超过招标文件中确定的各学校预算，本标段各学校的最终结算总金额不得超过本标段预算金额。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（二）本标段学校（幼儿园）：«标段学校名称汇总»</w:t>
      </w:r>
      <w:r>
        <w:rPr>
          <w:rFonts w:hint="eastAsia" w:ascii="仿宋" w:hAnsi="仿宋" w:eastAsia="仿宋" w:cs="仿宋"/>
          <w:color w:val="auto"/>
          <w:sz w:val="24"/>
          <w:szCs w:val="24"/>
          <w:lang w:eastAsia="zh-CN"/>
        </w:rPr>
        <w:t>。</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协议期限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本项目合同期为自签订之日至2026年12月31日。合同期满后，不再续签。乙方配送服务起始日期以本标段各学校（幼儿园）签订的《采购合同》约定为准。</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项目技术要求</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食材质量要求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1.预包装产品保质期在一年及以上的，建议收货时的剩余质保期不得少于标注有效期的二分之一；保质期不足一年的，收货时的剩余质保期不得少于标注有效期的三分之二。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2、食材质量等级指标不低于该产品标准的中位数水平，如质量或规格等级划分为1、2、3、4、5或大（L）、中（M）、小（S）的，应选择1、2或大（L）、中（M）等级。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3.各种食材的感官性状无异常，无明显腐败变质、油脂酸败、发霉生虫、污秽不洁、混有异物、掺假掺杂等情况。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农副产品外观新鲜，无明显萎蔫、腐烂、发芽、畸形等异常情况；蔬菜类必须保证无黄叶、枯死叶、无虫、无杂质；水果及其制品必须保证成熟、新鲜、无腐烂变质；鲜肉应肉质新鲜，具有动物检验检疫合格证明；冷冻食材要求冻实而坚硬,无化冻现象，无过度包裹冰衣的情况；鲜活水产要求鲜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预包装食品的包装整洁、完好，无破损或胀气现象；标签内容完整、清晰，详细列明产品名称、净含量（规格）、生产日期、配料表、生产者的名称、地址、联系方式、保质期、产品标准代号、贮存条件、生产许可证编号等内容（具体符合GB7718的要求），原则上各学校及幼儿园需采购农副产品及预包装食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预包装食品及农产品的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8.属于无公害农产品、绿色食品、有机农产品、圳品的，应当标注相应的标志和附带有相关证明文件。</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验收技术要求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1.成品粮（大米、小麦粉或面粉）的食品安全指标应符合GB 2715（或最新标准）的规定。其中：大米的质量指标符合食品安全国家标准（GB 2715、GB2762、GB2763等）及产品标签明示执行标准的要求。除此之外，还应符合GB/T 1354普通大米二级（含）或优质大米二级（含）以上的要求，应提供含重金属指标（镉、铅）的产品检验合格证明；小麦粉（面粉）的质量指标符合食品安全国家标准（GB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2.成品食用油应为预包装食用植物油；食用油的食品安全指标应符合GB 2716、GB 2761和GB 2762的规定。其中：大豆油应按GB/T 1535的要求选择一级或二级的大豆油；玉米油的质量指标不低于GB/T 19111的二级成品玉米油的技术要求；菜籽油的质量指标不低于GB/T 1536的二级压榨成品菜籽油的技术要求；花生油的质量指标不低于GB/T 1534的二级压榨成品花生油或二级浸出成品花生油的技术要求；米糠油质量不低于GB/T 19112二级的要求；调和油标签或附带说明书应明确列出调和油的原料或配比。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3.乳制品以生牛乳为主要原料加工，不得使用、不得添加复原乳及营养强化剂，符合食品安全国家标准及产品标签明示执行标准的要求：乳制品（仅限发酵乳、巴氏杀菌乳、灭菌乳、调制乳）的食品安全指标应分别符合GB19302、GB19645、GB25190、GB25191（或最新标准）的规定。学生饮用奶、纯牛奶、灭菌调制奶的食品安全指标应分别符合T/DAC004、T/DAC005（或最新标准）的规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4.鲜蛋的食品安全指标应符合食品安全国家标准（GB 31650、GB 2762、GB 2749）（或最新标准）的规定。产品介绍内容清晰，明确标注产品的品名、商标、生产日期、保质期、产地、储存条件等相关信息，并与合同文件及供（送）货单内容一致；包装应采用符合国家卫生标准要求的包装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5.生鲜肉的食品安全指标应符合GB 2707、GB 16869（或最新标准）的规定。国家有定点屠宰、检验检疫要求的品种，应来自于定点屠宰厂出品、有国家规定的动物产品检疫合格证明及验讫印章（猪肉还需有肉品品质检验合格证明及验讫印章）。其中：猪肉的质量指标应符合GB2707、GB/T 9959.1、GB/T9959.2（或最新标准）的相应技术要求；牛肉的质量指标应符合GB2707、GB/T 17238（或最新标准）的相应技术要求；羊肉的质量指标应符合GB2707、GB/T 9961（或最新标准）的相应技术要求。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6.其他类：调味品应为预包装产品，符合产品明示执行标准、明示指标及食品安全国家标准的要求，随货有该批次产品质量检测合格证、包装完好无损、标签内容清晰明确。其中：食盐的质量指标应符合GB 2721的要求；酱油的质量指标应符合GB 2717的要求，质量指标不低于GB/T 18186的二级酱油技术要求，特征指标（氨基酸态氮）≥0.7g/100 mL；食醋的质量指标应符合GB 2719的要求，特征指标（总酸）≥3.5g/100mL；香辛料符合该产品应有的形态和特征，颜色、气味正常，无杂物，无发霉、结块等异常状况。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7.《深圳市学校食堂食材采购验收参考标准》（详见附件）规定的其他条件。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8.以上所有产品必须符合国家的相关标准与要求，在配送时按要求提供产品所涉及的《全国工业产品生产许可证》、《食品生产许可证》、《食品经营许可证》、《生猪定点屠宰证》和《动物防疫条件合格证》等国家强制规定材料，不得提供转基因食品或利用转基因食品原料加工的成品，国家有出台新的更高标准的，以新的更高标准为准，预包装类食材销售</w:t>
      </w:r>
      <w:r>
        <w:rPr>
          <w:rFonts w:hint="eastAsia" w:ascii="仿宋" w:hAnsi="仿宋" w:eastAsia="仿宋" w:cs="仿宋"/>
          <w:color w:val="auto"/>
          <w:sz w:val="24"/>
          <w:szCs w:val="24"/>
          <w:lang w:val="en-US" w:eastAsia="zh-CN"/>
        </w:rPr>
        <w:t>乙方</w:t>
      </w:r>
      <w:r>
        <w:rPr>
          <w:rFonts w:hint="default" w:ascii="仿宋" w:hAnsi="仿宋" w:eastAsia="仿宋" w:cs="仿宋"/>
          <w:color w:val="auto"/>
          <w:sz w:val="24"/>
          <w:szCs w:val="24"/>
          <w:lang w:val="en-US" w:eastAsia="zh-CN"/>
        </w:rPr>
        <w:t>需在市场监管部门备案。</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下单配送及验收要求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学校（幼儿园）应成立由学校食品安全员和食堂管理人员等组成的食材验收小组对食材进行验收，负责核验食材种类、数量、质量和索证索票等。验收完成后，验收小组各成员须在送货单上签字确认，学校（幼儿园）和乙方至少各留存一份送货单。学校（幼儿园）可结合实际情况使用智能设备或系统进行验收和管理，并做好食堂台账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按《深圳市学校食堂食材采购验收参考标准》进行验收。货物运至指定地点后，由学校（幼儿园）对所供货物的质量、品种、数量等进行验收。货物经学校（幼儿园）相关指定部门验收合格签字后，并不能免除乙方对货物应承担的责任。若货物验收时有关质量要求不能满足本合同的质量要求，学校（幼儿园）有权要求更换并同时有权要求索赔。乙方送货时需向学校（幼儿园）指定收货部门提供进货的各类小票、单据和相关部门出具的检验检疫报告，做好台帐工作。采购原材料应索取产品合格证以及同批次检验（测）报告。采购畜禽肉类时，需具备动物产品检疫合格证明，猪肉还需附有非洲猪瘟检测证明、肉品品质检验合格证明；大米应具备镉、黄曲霉毒素等指标的检测报告。进货查验记录和相关凭证的保存期限不少于产品保质期满后6个月；无明确保质期的，保存期限不少于2年。其他各项记录保存期限宜为2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乙方与学校（幼儿园）在食品数量验收方面必须严格执行，不能弄虚作假，必须保证配送品种斤两的准确性，以学校（幼儿园）的验货数量为准，乙方每次随货送上一式三份的送货清单,供学校（幼儿园）、乙方双方验货后签字确认，乙方一份，学校（幼儿园）持两份，作为送、收货的凭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根据各学校（幼儿园）实际需要，食材送达具体时间、地点以本标段各学校（幼儿园）签订的《采购合同》约定为准。食材送达后，按照学校（幼儿园）的要求进行分类清点，待食堂工作人员验收核对后送达学校指定位置（如遇特殊情况，学校（幼儿园）可以改变送货时间，但应提前通知中标方），学校（幼儿园）在合同履行过程中有权增加或减少配送点个数或者变更送货地点，乙方对此无条件配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5.必须具备符合食品安全要求及满足配送需要的仓储（自有或租赁深圳本地的配送场所、冷库及储存空间）、交通运输等设施设备，确保食材的安全储存和安全运输。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6.提供的大宗食材原料必须是符合国家或行业最新食品质量安全标准的食材。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食材配送车辆应为专用封闭式，车辆内部结构应平整、便于清洁，配送冷冻、冷藏食品的车辆应有温度控制设备。凭专用通行证（各学校（幼儿园）自行制定）进出学校（幼儿园）。并配备专人对接管理，跟进做好全过程验收协调管理事宜，确保食材配送质量及安全严格符合国家标准及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8.生鲜肉等鲜活类须当日配送，其余品类食材可视学校（幼儿园）实际需求酌情配送，但须确保学校（幼儿园）食品新鲜、优质、安全可靠。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9.应具备相对完善的配送服务计划。包括但不限于配送流程、学校（幼儿园）食堂专项配送服务人员、物流配送应急预案、食品安全应急预案、客户沟通及投诉反馈等相应机制。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10.学校（幼儿园）对货物进行认真验收，对不符合规格要求的商品，乙方必须无条件退货。中标人未能履行招标文件和合同所定事项, 或供应不合格的、假冒伪劣、以次充好的商品，学校（幼儿园）退货后将记录在案，并对中标人予以处罚，除要承担因此产生的一切损失和费用外，情节严重的可终止其采购供应合同。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临时加货处理：对于学校（幼儿园）临时有接待餐任务或临时增加员工用餐时，乙方需快速将货物送到学校（幼儿园）的指定地点，派专人负责跟踪服务，保证用餐正常。在供货过程中，甲方、学校（幼儿园）对所供货物有任何意见，可随时向乙方反映，乙方应及时改进，否则，甲方有权终止其采购供应合同。因配送运输中出现人身安全事故，乙方独立承担一切刑事、民事责任，与甲方无关。乙方应随时按甲方、学校（幼儿园）要求提供各类货物检测报告。乙方所有员工凭健康证上岗，同时应成立食堂配送项目专项服务团队，负责相关工作及提供各种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12.配送食材可通过“深圳市食品安全追溯系统”全面、及时、准确上传追溯信息，确保相关品名、规格、批次等数据真实完整，切保配送食材来源可溯、质量可控。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乙方须使用深圳市教育局开通“深圳市学校食堂智慧管理平台”进行配送服务，乙方必须为所服务的每所学校（幼儿园）开通深圳市中农数据有限公司（天天采购平台）报价授权码Keyid账号对接“深圳市学校食堂智慧管理平台”，实现学校采购管理所需的货品查询、价格比对、商品下单、货品统计、送货清单及报账清单打印等，由此产生的中农授权码Keyid账号使用费用由乙方承担。甲方或具体使用学校一旦发现供应商提供报价单、送货单、报账清单与深圳市中农数据有限公司（天天采购平台）价格等信息不一致，甲方有权向主管部门申请将供应商列入政府采购失信企业名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食品安全保险：乙方为学校（幼儿园）提供食材配送服务时，必须为各学校（幼儿园）购买保额至少为500万元的食品安全险和300万元的公共责任险，且受益人必须为所有就餐人员，具体保险金额以本标段各学校（幼儿园）签订的《采购合同》约定为准。</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配套服务人员要求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乙方成立食堂配送项目专项服务团队，负责跟进各学校（幼儿园）每日的采购单据的制定、修改，核价，开具发票等相关事项及提供各种服务，并根据项目包内各公办学校（幼儿园）的实际需要配备粗加工服务人员，每个学校（幼儿园）至少配备一名粗加工服务人员，负责削皮、摘菜、肉类食材粗加工等工作，要求在厨师炒菜前30分钟完成粗加工处理，确保食堂准时开餐。具体人数以本标段各公办学校（幼儿园）签订《采购合同》时约定，服务人员需为乙方自有员工，无违法犯罪记录证明，且必须符合并遵守学校食堂管理要求与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2.服务人员必须持行业主管部门认可的有效期内的健康合格证明，并每年进行定期体检，所有办证费用、体检费用由乙方承担。</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项目其他要求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zh-TW" w:eastAsia="zh-CN"/>
        </w:rPr>
      </w:pPr>
      <w:r>
        <w:rPr>
          <w:rFonts w:hint="eastAsia" w:ascii="仿宋" w:hAnsi="仿宋" w:eastAsia="仿宋" w:cs="仿宋"/>
          <w:color w:val="auto"/>
          <w:sz w:val="24"/>
          <w:szCs w:val="24"/>
          <w:lang w:val="zh-TW" w:eastAsia="zh-CN"/>
        </w:rPr>
        <w:t>1.本次招标结果仅代表</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lang w:val="zh-TW" w:eastAsia="zh-CN"/>
        </w:rPr>
        <w:t>可获得的最高采购份额，</w:t>
      </w: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lang w:val="zh-TW" w:eastAsia="zh-CN"/>
        </w:rPr>
        <w:t>无法预计实际采购量及落实政府政策等不可抗因素，同时无法保证</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lang w:val="zh-TW" w:eastAsia="zh-CN"/>
        </w:rPr>
        <w:t>可以获得全部份额。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zh-TW" w:eastAsia="zh-CN"/>
        </w:rPr>
      </w:pPr>
      <w:r>
        <w:rPr>
          <w:rFonts w:hint="eastAsia" w:ascii="仿宋" w:hAnsi="仿宋" w:eastAsia="仿宋" w:cs="仿宋"/>
          <w:color w:val="auto"/>
          <w:sz w:val="24"/>
          <w:szCs w:val="24"/>
          <w:lang w:val="zh-TW" w:eastAsia="zh-CN"/>
        </w:rPr>
        <w:t>2.为确保项目质量，</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lang w:val="zh-TW" w:eastAsia="zh-CN"/>
        </w:rPr>
        <w:t>不得转包、分包，否则</w:t>
      </w: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lang w:val="zh-TW" w:eastAsia="zh-CN"/>
        </w:rPr>
        <w:t>有权终止其采购供应合同，并要求</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lang w:val="zh-TW" w:eastAsia="zh-CN"/>
        </w:rPr>
        <w:t>赔偿相应损失。</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zh-TW" w:eastAsia="zh-CN"/>
        </w:rPr>
        <w:t>3.</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必须负责所配送货物的运输、质量检测等工作，所产生的费用由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负责。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zh-TW" w:eastAsia="zh-CN"/>
        </w:rPr>
        <w:t>4.严禁由第三方公司配送（如货拉拉、美团跑腿等）。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zh-TW" w:eastAsia="zh-CN"/>
        </w:rPr>
        <w:t>5.本</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lang w:val="zh-TW" w:eastAsia="zh-CN"/>
        </w:rPr>
        <w:t>属于国家机关、事业单位等使用财政性资金采购服务的情形，遵循政府采购相关规定，</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合同履约、服务质量情况接受</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lang w:val="zh-TW" w:eastAsia="zh-CN"/>
        </w:rPr>
        <w:t>及政府采购主管部门的监督和管理。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TW" w:eastAsia="zh-CN"/>
        </w:rPr>
        <w:t>.此次</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lang w:val="zh-TW" w:eastAsia="zh-CN"/>
        </w:rPr>
        <w:t>与</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签订采购合同，明确</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的中标综合折扣、片区所属各公办学校（幼儿园）及其年度支付金额上限、服务期等合同内容。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en-US" w:eastAsia="zh-CN"/>
        </w:rPr>
        <w:t>本合同标段内</w:t>
      </w:r>
      <w:r>
        <w:rPr>
          <w:rFonts w:hint="eastAsia" w:ascii="仿宋" w:hAnsi="仿宋" w:eastAsia="仿宋" w:cs="仿宋"/>
          <w:color w:val="auto"/>
          <w:sz w:val="24"/>
          <w:szCs w:val="24"/>
          <w:highlight w:val="none"/>
          <w:lang w:val="zh-TW" w:eastAsia="zh-CN"/>
        </w:rPr>
        <w:t>公办学校（幼儿园）根据所属片区的</w:t>
      </w:r>
      <w:r>
        <w:rPr>
          <w:rFonts w:hint="eastAsia" w:ascii="仿宋" w:hAnsi="仿宋" w:eastAsia="仿宋" w:cs="仿宋"/>
          <w:color w:val="auto"/>
          <w:sz w:val="24"/>
          <w:szCs w:val="24"/>
          <w:highlight w:val="none"/>
          <w:lang w:val="en-US" w:eastAsia="zh-CN"/>
        </w:rPr>
        <w:t>框架协议</w:t>
      </w:r>
      <w:r>
        <w:rPr>
          <w:rFonts w:hint="eastAsia" w:ascii="仿宋" w:hAnsi="仿宋" w:eastAsia="仿宋" w:cs="仿宋"/>
          <w:color w:val="auto"/>
          <w:sz w:val="24"/>
          <w:szCs w:val="24"/>
          <w:highlight w:val="none"/>
          <w:lang w:val="zh-TW" w:eastAsia="zh-CN"/>
        </w:rPr>
        <w:t>，分别与该片区的</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签订具体</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val="zh-TW" w:eastAsia="zh-CN"/>
        </w:rPr>
        <w:t>合同（下称“</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val="zh-TW" w:eastAsia="zh-CN"/>
        </w:rPr>
        <w:t>合同”），</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val="zh-TW" w:eastAsia="zh-CN"/>
        </w:rPr>
        <w:t>合同应当在招标文件和</w:t>
      </w:r>
      <w:r>
        <w:rPr>
          <w:rFonts w:hint="eastAsia" w:ascii="仿宋" w:hAnsi="仿宋" w:eastAsia="仿宋" w:cs="仿宋"/>
          <w:color w:val="auto"/>
          <w:sz w:val="24"/>
          <w:szCs w:val="24"/>
          <w:highlight w:val="none"/>
          <w:lang w:val="en-US" w:eastAsia="zh-CN"/>
        </w:rPr>
        <w:t>框架协议</w:t>
      </w:r>
      <w:r>
        <w:rPr>
          <w:rFonts w:hint="eastAsia" w:ascii="仿宋" w:hAnsi="仿宋" w:eastAsia="仿宋" w:cs="仿宋"/>
          <w:color w:val="auto"/>
          <w:sz w:val="24"/>
          <w:szCs w:val="24"/>
          <w:highlight w:val="none"/>
          <w:lang w:val="zh-TW" w:eastAsia="zh-CN"/>
        </w:rPr>
        <w:t>的基础上约定双方具体的权利义务，包括但不限于服务期、年度支付金额上限、支付方式、履行期限、解决争议的方法等。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val="zh-TW" w:eastAsia="zh-CN"/>
        </w:rPr>
        <w:t>须按各公办学校（幼儿园）要求在合同签署时提交《食品质量安全承诺书》。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val="zh-TW" w:eastAsia="zh-CN"/>
        </w:rPr>
        <w:t>.各公办学校（幼儿园）将已签署的《食品质量安全承诺书》原件报</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lang w:val="zh-TW" w:eastAsia="zh-CN"/>
        </w:rPr>
        <w:t>登记备案。</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违约责任及其他协议终止条款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lang w:eastAsia="zh-CN"/>
        </w:rPr>
        <w:t>）乙方在协议执行期间，出现以下行为情况之一者，经查属实的，</w:t>
      </w: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lang w:eastAsia="zh-CN"/>
        </w:rPr>
        <w:t>报财政主管部门审核同意后</w:t>
      </w:r>
      <w:r>
        <w:rPr>
          <w:rFonts w:hint="eastAsia" w:ascii="仿宋" w:hAnsi="仿宋" w:eastAsia="仿宋" w:cs="仿宋"/>
          <w:color w:val="auto"/>
          <w:sz w:val="24"/>
          <w:szCs w:val="24"/>
          <w:lang w:val="en-US" w:eastAsia="zh-CN"/>
        </w:rPr>
        <w:t>有权单方</w:t>
      </w:r>
      <w:r>
        <w:rPr>
          <w:rFonts w:hint="default" w:ascii="仿宋" w:hAnsi="仿宋" w:eastAsia="仿宋" w:cs="仿宋"/>
          <w:color w:val="auto"/>
          <w:sz w:val="24"/>
          <w:szCs w:val="24"/>
          <w:lang w:eastAsia="zh-CN"/>
        </w:rPr>
        <w:t>不承担任何责任提前</w:t>
      </w:r>
      <w:r>
        <w:rPr>
          <w:rFonts w:hint="eastAsia" w:ascii="仿宋" w:hAnsi="仿宋" w:eastAsia="仿宋" w:cs="仿宋"/>
          <w:color w:val="auto"/>
          <w:sz w:val="24"/>
          <w:szCs w:val="24"/>
          <w:lang w:eastAsia="zh-CN"/>
        </w:rPr>
        <w:t>终止</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lang w:val="en-US" w:eastAsia="zh-CN"/>
        </w:rPr>
        <w:t>协议</w:t>
      </w:r>
      <w:r>
        <w:rPr>
          <w:rFonts w:hint="eastAsia" w:ascii="仿宋" w:hAnsi="仿宋" w:eastAsia="仿宋" w:cs="仿宋"/>
          <w:color w:val="auto"/>
          <w:sz w:val="24"/>
          <w:szCs w:val="24"/>
          <w:highlight w:val="none"/>
          <w:lang w:val="en-US" w:eastAsia="zh-CN"/>
        </w:rPr>
        <w:t>，并要求</w:t>
      </w:r>
      <w:r>
        <w:rPr>
          <w:rFonts w:hint="eastAsia" w:ascii="仿宋" w:hAnsi="仿宋" w:eastAsia="仿宋" w:cs="仿宋"/>
          <w:color w:val="auto"/>
          <w:sz w:val="24"/>
          <w:szCs w:val="24"/>
          <w:lang w:val="en-US" w:eastAsia="zh-CN"/>
        </w:rPr>
        <w:t>本标段各学校（幼儿园）</w:t>
      </w:r>
      <w:r>
        <w:rPr>
          <w:rFonts w:hint="default" w:ascii="仿宋" w:hAnsi="仿宋" w:eastAsia="仿宋" w:cs="仿宋"/>
          <w:color w:val="auto"/>
          <w:sz w:val="24"/>
          <w:szCs w:val="24"/>
          <w:lang w:eastAsia="zh-CN"/>
        </w:rPr>
        <w:t>不承担任何责任提前</w:t>
      </w:r>
      <w:r>
        <w:rPr>
          <w:rFonts w:hint="eastAsia" w:ascii="仿宋" w:hAnsi="仿宋" w:eastAsia="仿宋" w:cs="仿宋"/>
          <w:color w:val="auto"/>
          <w:sz w:val="24"/>
          <w:szCs w:val="24"/>
          <w:lang w:val="en-US" w:eastAsia="zh-CN"/>
        </w:rPr>
        <w:t>终止与乙方签订的《</w:t>
      </w:r>
      <w:r>
        <w:rPr>
          <w:rFonts w:hint="eastAsia" w:ascii="仿宋" w:hAnsi="仿宋" w:eastAsia="仿宋" w:cs="仿宋"/>
          <w:color w:val="auto"/>
          <w:sz w:val="24"/>
          <w:szCs w:val="24"/>
          <w:lang w:eastAsia="zh-CN"/>
        </w:rPr>
        <w:t>采购合同</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，启动候补机制</w:t>
      </w:r>
      <w:r>
        <w:rPr>
          <w:rFonts w:hint="eastAsia" w:ascii="仿宋" w:hAnsi="仿宋" w:eastAsia="仿宋" w:cs="仿宋"/>
          <w:color w:val="auto"/>
          <w:sz w:val="24"/>
          <w:szCs w:val="24"/>
          <w:lang w:val="en-US" w:eastAsia="zh-CN"/>
        </w:rPr>
        <w:t>预案</w:t>
      </w:r>
      <w:r>
        <w:rPr>
          <w:rFonts w:hint="eastAsia" w:ascii="仿宋" w:hAnsi="仿宋" w:eastAsia="仿宋" w:cs="仿宋"/>
          <w:color w:val="auto"/>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无正当理由，不接受或拒绝学校（幼儿园）订货、供货要求的；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擅自变更或者中止采购服务合同的；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不按采购需求、投标文件以及采购服务合同要求全面履约，履约情况评价不合格的；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未按规定出具检测报告或违背招标承诺书等情况达到二次的；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不按招标文件及合同约定等要求，发现</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次以上虚假报价的；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物资或服务以次充好，存在严重质量问题的；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lang w:eastAsia="zh-CN"/>
        </w:rPr>
        <w:t>因供应的货物质量达不到国家有关食品安全标准而造成食物中毒或其它后果，属于乙方责任的；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lang w:eastAsia="zh-CN"/>
        </w:rPr>
        <w:t>经 2 次以上（含 2 次）的有效投诉处理仍不纠正的，有效投诉指的是乙方被投诉内容经查实确定为违反服务合同或其他协议约定的事实；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9.因货品质量或其他原因而造成严重后果或恶劣影响的行为；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10.连续两次综合评议结果为不满意的；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11.非法手段排斥其他供应商参与竞争的；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lang w:eastAsia="zh-CN"/>
        </w:rPr>
        <w:t>拖欠工人工资、经劳动或其他政府部门催告或通报仍不清偿的；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13.</w:t>
      </w:r>
      <w:r>
        <w:rPr>
          <w:rFonts w:hint="eastAsia" w:ascii="仿宋" w:hAnsi="仿宋" w:eastAsia="仿宋" w:cs="仿宋"/>
          <w:color w:val="auto"/>
          <w:sz w:val="24"/>
          <w:szCs w:val="24"/>
          <w:lang w:eastAsia="zh-CN"/>
        </w:rPr>
        <w:t>拒绝有关部门检查或者不如实反映情况，提供材料的；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14.无正当理由，不接受或拒绝采购人订货、供货要求的；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lang w:eastAsia="zh-CN"/>
        </w:rPr>
        <w:t>在合同期内有三次以上被抽检不合格的；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lang w:eastAsia="zh-CN"/>
        </w:rPr>
        <w:t>乙方员工出现传染性疾病，继续履约存在安全风险隐患的；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lang w:eastAsia="zh-CN"/>
        </w:rPr>
        <w:t>乙方所属员工在配送过程中与学校（幼儿园）工作人员产生矛盾，发生严重肢体冲突，升级为刑事案件，主要责任在乙方的；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18.签订合同后十个工作日内乙方未按要求为各学校（幼儿园）开通深圳市中农数据有限公司（天天采购平台）账号并支付对应产生的费用的。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lang w:eastAsia="zh-CN"/>
        </w:rPr>
        <w:t>其他违反法律、法规和合同约定的行为。</w:t>
      </w:r>
    </w:p>
    <w:p>
      <w:pPr>
        <w:pStyle w:val="2"/>
        <w:rPr>
          <w:rFonts w:hint="eastAsia"/>
          <w:b/>
          <w:bCs/>
          <w:color w:val="auto"/>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lang w:eastAsia="zh-CN"/>
        </w:rPr>
        <w:t>）</w:t>
      </w:r>
      <w:r>
        <w:rPr>
          <w:rFonts w:hint="eastAsia" w:ascii="仿宋" w:hAnsi="仿宋" w:eastAsia="仿宋" w:cs="仿宋"/>
          <w:b/>
          <w:bCs/>
          <w:color w:val="auto"/>
          <w:kern w:val="2"/>
          <w:sz w:val="24"/>
          <w:szCs w:val="24"/>
          <w:lang w:val="en-US" w:eastAsia="zh-CN" w:bidi="ar-SA"/>
        </w:rPr>
        <w:t>如因上级部门重大政策变动导致甲方需变更、提前终止合同，乙方需无条件配合。</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候补机制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协议及《采购合同》执行期间，如服务过程中出现某一标段范围内乙方出现严重违反采购要求或者某一个学校供应商出现严重违反采购要求的情况，需解除合同的，经区教育行政主管部门同意后，在重新招标完成以前，该合同标段范围内的配送服务将由另外标段中的一名中标人作为应急替补供应商继续提供，替补方式为按照其他标段中标人综合得分高低依次替补（同等分值抽签确定替补名单），由学校（幼儿园）与临时供应商签订配送协议书，临时配送期限至重新招标确定的供应商履约。</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应急处理制度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若任一标段食材供应商出现短期供应不足等紧急问题时，可按学校（幼儿园）为单位报备甲方，启动应急预案。市直属学校或因厨房建设时间未能确定的新开办学校（幼儿园）或因不可抗力原因停止办学的学校（幼儿园），又甲方根据具体情况研究确定。</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综合评议制度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（一）本项目一年的合同期内由</w:t>
      </w:r>
      <w:r>
        <w:rPr>
          <w:rFonts w:hint="eastAsia" w:ascii="仿宋" w:hAnsi="仿宋" w:eastAsia="仿宋" w:cs="仿宋"/>
          <w:color w:val="auto"/>
          <w:sz w:val="24"/>
          <w:szCs w:val="24"/>
          <w:lang w:val="en-US" w:eastAsia="zh-CN"/>
        </w:rPr>
        <w:t>甲方及学校（幼儿园）</w:t>
      </w:r>
      <w:r>
        <w:rPr>
          <w:rFonts w:hint="eastAsia" w:ascii="仿宋" w:hAnsi="仿宋" w:eastAsia="仿宋" w:cs="仿宋"/>
          <w:color w:val="auto"/>
          <w:sz w:val="24"/>
          <w:szCs w:val="24"/>
          <w:lang w:eastAsia="zh-CN"/>
        </w:rPr>
        <w:t>不定期组织考核。考察</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lang w:eastAsia="zh-CN"/>
        </w:rPr>
        <w:t>的服务态度、服务效率、服务质量等方面。经</w:t>
      </w:r>
      <w:r>
        <w:rPr>
          <w:rFonts w:hint="eastAsia" w:ascii="仿宋" w:hAnsi="仿宋" w:eastAsia="仿宋" w:cs="仿宋"/>
          <w:color w:val="auto"/>
          <w:sz w:val="24"/>
          <w:szCs w:val="24"/>
          <w:lang w:val="en-US" w:eastAsia="zh-CN"/>
        </w:rPr>
        <w:t>甲方及学校（幼儿园）</w:t>
      </w:r>
      <w:r>
        <w:rPr>
          <w:rFonts w:hint="eastAsia" w:ascii="仿宋" w:hAnsi="仿宋" w:eastAsia="仿宋" w:cs="仿宋"/>
          <w:color w:val="auto"/>
          <w:sz w:val="24"/>
          <w:szCs w:val="24"/>
          <w:lang w:eastAsia="zh-CN"/>
        </w:rPr>
        <w:t>综合考核认为合格的，合同继续执行；若考核不合格的，经采购主管部门批准，</w:t>
      </w:r>
      <w:r>
        <w:rPr>
          <w:rFonts w:hint="eastAsia" w:ascii="仿宋" w:hAnsi="仿宋" w:eastAsia="仿宋" w:cs="仿宋"/>
          <w:color w:val="auto"/>
          <w:sz w:val="24"/>
          <w:szCs w:val="24"/>
          <w:lang w:val="en-US" w:eastAsia="zh-CN"/>
        </w:rPr>
        <w:t>甲方及学校（幼儿园）</w:t>
      </w:r>
      <w:r>
        <w:rPr>
          <w:rFonts w:hint="eastAsia" w:ascii="仿宋" w:hAnsi="仿宋" w:eastAsia="仿宋" w:cs="仿宋"/>
          <w:color w:val="auto"/>
          <w:sz w:val="24"/>
          <w:szCs w:val="24"/>
          <w:lang w:eastAsia="zh-CN"/>
        </w:rPr>
        <w:t>可有权依法终止本框架及采购合同。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（二）考评完成后，由学校（幼儿园）对相关供应商档案（包括基础资料、交易记录和考核资料等）进行建立、收集、整理和归档，以备日后查阅。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lang w:val="en-US" w:eastAsia="zh-CN"/>
        </w:rPr>
      </w:pPr>
      <w:r>
        <w:rPr>
          <w:rFonts w:hint="eastAsia" w:ascii="仿宋" w:hAnsi="仿宋" w:eastAsia="仿宋" w:cs="仿宋"/>
          <w:color w:val="auto"/>
          <w:sz w:val="24"/>
          <w:szCs w:val="24"/>
          <w:lang w:val="en-US" w:eastAsia="zh-CN"/>
        </w:rPr>
        <w:t>（三）本项目综合评议制度及其附件相关条款的解释权归甲方所有。服务协议履约过程中，因国家相关政策、法规、标准变化调整需要、上级文件要求以及甲方的工作需要，甲方有权对综合评议制度和相关附件进行调整和更新,乙方需无条件接受。评议实施细则具体以本标段各学校（幼儿园）签订的食材配送服务《采购合同》约定为准。</w:t>
      </w:r>
    </w:p>
    <w:p>
      <w:pPr>
        <w:numPr>
          <w:ilvl w:val="0"/>
          <w:numId w:val="15"/>
        </w:numPr>
        <w:spacing w:line="360" w:lineRule="auto"/>
        <w:ind w:firstLine="482" w:firstLineChars="200"/>
        <w:outlineLvl w:val="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款项及支付方式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（一）本项目由标段内各学校（幼儿园）和乙方进行结算，结算价格=基准价*折扣率*实际供货量，本标段的折扣率为乙方投标时填报折扣率。</w:t>
      </w:r>
    </w:p>
    <w:p>
      <w:pPr>
        <w:pStyle w:val="8"/>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（二）基准价</w:t>
      </w:r>
    </w:p>
    <w:p>
      <w:pPr>
        <w:pStyle w:val="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所有品类结算时价格按深圳市中农数据有限公司（天天采购平台）上月5号、15号、25号公布的价格[以学校（幼儿园）下单产品“品名”（别名）的价格（非含费价）]取平均值（平均值精确到分，即小数点后两位）确定该品类的基准价，结算时价格=基准价*折扣率。</w:t>
      </w:r>
    </w:p>
    <w:p>
      <w:pPr>
        <w:pStyle w:val="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2.深圳市中农数据有限公司（天天采购平台）中无价格的品类，则结算时价格=折扣率*市场价。（由片区内学校（幼儿园）和乙方到农贸市场或大型商超等现场调研决定）。</w:t>
      </w:r>
    </w:p>
    <w:p>
      <w:pPr>
        <w:pStyle w:val="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3.如遇台风暴雨、供求关系、宏观调控等原因造成的市场价格上涨或下降需临时调整时，乙方应提前书面通知甲方，由甲方和乙方协调会议的形式解决，征得甲方同意后方可调整。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（三）费用支付</w:t>
      </w:r>
    </w:p>
    <w:p>
      <w:pPr>
        <w:pStyle w:val="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w:t>
      </w:r>
      <w:r>
        <w:rPr>
          <w:rFonts w:hint="default" w:ascii="仿宋" w:hAnsi="仿宋" w:eastAsia="仿宋" w:cs="仿宋"/>
          <w:b w:val="0"/>
          <w:bCs w:val="0"/>
          <w:color w:val="auto"/>
          <w:sz w:val="24"/>
          <w:szCs w:val="24"/>
          <w:lang w:eastAsia="zh-CN"/>
        </w:rPr>
        <w:t>本合同甲方没有付款义务，《采购合同》项下</w:t>
      </w:r>
      <w:r>
        <w:rPr>
          <w:rFonts w:hint="eastAsia" w:ascii="仿宋" w:hAnsi="仿宋" w:eastAsia="仿宋" w:cs="仿宋"/>
          <w:b w:val="0"/>
          <w:bCs w:val="0"/>
          <w:color w:val="auto"/>
          <w:sz w:val="24"/>
          <w:szCs w:val="24"/>
          <w:lang w:val="en-US" w:eastAsia="zh-CN"/>
        </w:rPr>
        <w:t>货款每个月</w:t>
      </w:r>
      <w:r>
        <w:rPr>
          <w:rFonts w:hint="default" w:ascii="仿宋" w:hAnsi="仿宋" w:eastAsia="仿宋" w:cs="仿宋"/>
          <w:b w:val="0"/>
          <w:bCs w:val="0"/>
          <w:color w:val="auto"/>
          <w:sz w:val="24"/>
          <w:szCs w:val="24"/>
          <w:lang w:eastAsia="zh-CN"/>
        </w:rPr>
        <w:t>由学校（幼儿园）与乙方按照《采购合同》约定</w:t>
      </w:r>
      <w:r>
        <w:rPr>
          <w:rFonts w:hint="eastAsia" w:ascii="仿宋" w:hAnsi="仿宋" w:eastAsia="仿宋" w:cs="仿宋"/>
          <w:b w:val="0"/>
          <w:bCs w:val="0"/>
          <w:color w:val="auto"/>
          <w:sz w:val="24"/>
          <w:szCs w:val="24"/>
          <w:lang w:val="en-US" w:eastAsia="zh-CN"/>
        </w:rPr>
        <w:t>结算一次。乙方提供的货款发票，发票公章必须与公司名称相符，合同方、收款方、发票方三者必须一致，学校（幼儿园）确认后予以支付。若提供假发票，除补开真发票外，甲方及学校（幼儿园）可单方解除本协议及《采购合同》，且保留向税务及公安机关举报的权力。因乙方原因或财政支付程序导致付款迟延的，学校（幼儿园）不承担任何责任，乙方应当继续履行完成任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rPr>
        <w:t>2.《采购合同》费用包括但不限于乙方的成本、法定税费和相应的利润、人员工资、加班费、劳动保护费、防暑降温费、技术津贴、工具费、材料费、养老保险、医疗保险、失业保险、公共财产及公共责任险、意外伤害保险、住房公积金、通胀风险、利润、管理费、税金、管理范围内因偷盗、抢劫等案件所产生的</w:t>
      </w:r>
      <w:r>
        <w:rPr>
          <w:rFonts w:hint="eastAsia" w:ascii="仿宋" w:hAnsi="仿宋" w:eastAsia="仿宋" w:cs="仿宋"/>
          <w:b w:val="0"/>
          <w:bCs w:val="0"/>
          <w:color w:val="auto"/>
          <w:sz w:val="24"/>
          <w:szCs w:val="24"/>
          <w:highlight w:val="none"/>
          <w:lang w:val="en-US" w:eastAsia="zh-CN"/>
        </w:rPr>
        <w:t>人身伤亡及财产损失赔偿金等一切费用。应涵盖本项目招标范围和招标文件所列的各项内容中所述的全部。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3.如上级部门要求完成消费帮扶采购任务，乙方应无条件支持配合学校（幼儿园）完成消费帮扶采购任务。</w:t>
      </w:r>
    </w:p>
    <w:p>
      <w:pPr>
        <w:numPr>
          <w:ilvl w:val="0"/>
          <w:numId w:val="15"/>
        </w:numPr>
        <w:spacing w:line="360" w:lineRule="auto"/>
        <w:ind w:firstLine="482" w:firstLineChars="200"/>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协议生效及其它</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kern w:val="2"/>
          <w:sz w:val="24"/>
          <w:szCs w:val="24"/>
          <w:lang w:val="en-US" w:eastAsia="zh-CN" w:bidi="ar-SA"/>
        </w:rPr>
        <w:t>（一）下列文件均为本协议的组成部分，且按照以下顺序适用，如有冲突，优先适用排序在前的文件，但某一文件的规定或约定更有利于甲方的情况除外：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1.深圳市龙华区教育局2026年龙华区部分公办学校及幼儿园食材集中批量采购招标文件、答疑及补充通知；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2.深圳市龙华区教育局2026年龙华区部分公办学校及幼儿园食材集中批量采购投标文件；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3.本协议执行中甲乙双方共同签署的补充与修正文件；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u w:val="none"/>
          <w:lang w:val="en-US" w:eastAsia="zh-CN"/>
        </w:rPr>
      </w:pPr>
      <w:r>
        <w:rPr>
          <w:rFonts w:hint="eastAsia" w:ascii="仿宋" w:hAnsi="仿宋" w:eastAsia="仿宋" w:cs="仿宋"/>
          <w:b w:val="0"/>
          <w:bCs w:val="0"/>
          <w:color w:val="auto"/>
          <w:sz w:val="24"/>
          <w:szCs w:val="24"/>
          <w:u w:val="none"/>
          <w:lang w:val="en-US" w:eastAsia="zh-CN"/>
        </w:rPr>
        <w:t>4.本协议（深圳市龙华区教育局2026年龙华区部分公办学校及幼儿园食材集中批量采购框架协议）的内容及附件。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（二）本协议正本壹式陆份，甲方执肆份，乙方贰份，具有同等法律效力。本协议自双方法定代表人或授权代表签字并加盖双方公章或者合同专用章之日起生效。按政府采购有关规定，办理备案手续。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三)本协议未尽事宣经双方友好协商解决，达成一致意见后形成补充协议，补充协议经备案后加入本协议，即时生效；若双方未能达成一致，法律法规有规定的，适用法律法规的规定，法律法规无规定的，参照适用交易习惯和惯例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(四)为有效履行本协议，甲方指定</w:t>
      </w:r>
      <w:r>
        <w:rPr>
          <w:rFonts w:hint="eastAsia" w:ascii="仿宋" w:hAnsi="仿宋" w:eastAsia="仿宋" w:cs="仿宋"/>
          <w:color w:val="auto"/>
          <w:sz w:val="24"/>
          <w:szCs w:val="24"/>
          <w:lang w:val="en-US" w:eastAsia="zh-CN"/>
        </w:rPr>
        <w:t>«甲方联系人»</w:t>
      </w:r>
      <w:r>
        <w:rPr>
          <w:rFonts w:hint="eastAsia" w:ascii="仿宋" w:hAnsi="仿宋" w:eastAsia="仿宋" w:cs="仿宋"/>
          <w:b w:val="0"/>
          <w:bCs w:val="0"/>
          <w:color w:val="auto"/>
          <w:sz w:val="24"/>
          <w:szCs w:val="24"/>
          <w:lang w:val="en-US" w:eastAsia="zh-CN"/>
        </w:rPr>
        <w:t>为履行本协议的联络人，其联系电话为</w:t>
      </w:r>
      <w:r>
        <w:rPr>
          <w:rFonts w:hint="eastAsia" w:ascii="仿宋" w:hAnsi="仿宋" w:eastAsia="仿宋" w:cs="仿宋"/>
          <w:color w:val="auto"/>
          <w:sz w:val="24"/>
          <w:szCs w:val="24"/>
          <w:lang w:val="en-US" w:eastAsia="zh-CN"/>
        </w:rPr>
        <w:t>«甲方联系电话»</w:t>
      </w:r>
      <w:r>
        <w:rPr>
          <w:rFonts w:hint="eastAsia" w:ascii="仿宋" w:hAnsi="仿宋" w:eastAsia="仿宋" w:cs="仿宋"/>
          <w:b w:val="0"/>
          <w:bCs w:val="0"/>
          <w:color w:val="auto"/>
          <w:sz w:val="24"/>
          <w:szCs w:val="24"/>
          <w:lang w:val="en-US" w:eastAsia="zh-CN"/>
        </w:rPr>
        <w:t>，电子邮箱为</w:t>
      </w:r>
      <w:r>
        <w:rPr>
          <w:rFonts w:hint="eastAsia" w:ascii="仿宋" w:hAnsi="仿宋" w:eastAsia="仿宋" w:cs="仿宋"/>
          <w:color w:val="auto"/>
          <w:sz w:val="24"/>
          <w:szCs w:val="24"/>
          <w:lang w:val="en-US" w:eastAsia="zh-CN"/>
        </w:rPr>
        <w:t>【待定】</w:t>
      </w:r>
      <w:r>
        <w:rPr>
          <w:rFonts w:hint="eastAsia" w:ascii="仿宋" w:hAnsi="仿宋" w:eastAsia="仿宋" w:cs="仿宋"/>
          <w:b w:val="0"/>
          <w:bCs w:val="0"/>
          <w:color w:val="auto"/>
          <w:sz w:val="24"/>
          <w:szCs w:val="24"/>
          <w:lang w:val="en-US" w:eastAsia="zh-CN"/>
        </w:rPr>
        <w:t>， 联系地址为本协议页首载明的地址；乙方指定</w:t>
      </w:r>
      <w:r>
        <w:rPr>
          <w:rFonts w:hint="eastAsia" w:ascii="仿宋" w:hAnsi="仿宋" w:eastAsia="仿宋" w:cs="仿宋"/>
          <w:color w:val="auto"/>
          <w:sz w:val="24"/>
          <w:szCs w:val="24"/>
          <w:lang w:val="en-US" w:eastAsia="zh-CN"/>
        </w:rPr>
        <w:t>«乙方联系人»</w:t>
      </w:r>
      <w:r>
        <w:rPr>
          <w:rFonts w:hint="eastAsia" w:ascii="仿宋" w:hAnsi="仿宋" w:eastAsia="仿宋" w:cs="仿宋"/>
          <w:b w:val="0"/>
          <w:bCs w:val="0"/>
          <w:color w:val="auto"/>
          <w:sz w:val="24"/>
          <w:szCs w:val="24"/>
          <w:lang w:val="en-US" w:eastAsia="zh-CN"/>
        </w:rPr>
        <w:t>为履行本协议的联络人，其联系电话为</w:t>
      </w:r>
      <w:r>
        <w:rPr>
          <w:rFonts w:hint="eastAsia" w:ascii="仿宋" w:hAnsi="仿宋" w:eastAsia="仿宋" w:cs="仿宋"/>
          <w:color w:val="auto"/>
          <w:sz w:val="24"/>
          <w:szCs w:val="24"/>
          <w:lang w:val="en-US" w:eastAsia="zh-CN"/>
        </w:rPr>
        <w:t>«乙方联系电话»</w:t>
      </w:r>
      <w:r>
        <w:rPr>
          <w:rFonts w:hint="eastAsia" w:ascii="仿宋" w:hAnsi="仿宋" w:eastAsia="仿宋" w:cs="仿宋"/>
          <w:b w:val="0"/>
          <w:bCs w:val="0"/>
          <w:color w:val="auto"/>
          <w:sz w:val="24"/>
          <w:szCs w:val="24"/>
          <w:lang w:val="en-US" w:eastAsia="zh-CN"/>
        </w:rPr>
        <w:t>，电子邮箱为</w:t>
      </w:r>
      <w:r>
        <w:rPr>
          <w:rFonts w:hint="eastAsia" w:ascii="仿宋" w:hAnsi="仿宋" w:eastAsia="仿宋" w:cs="仿宋"/>
          <w:color w:val="auto"/>
          <w:sz w:val="24"/>
          <w:szCs w:val="24"/>
          <w:lang w:val="en-US" w:eastAsia="zh-CN"/>
        </w:rPr>
        <w:t>【待定】</w:t>
      </w:r>
      <w:r>
        <w:rPr>
          <w:rFonts w:hint="eastAsia" w:ascii="仿宋" w:hAnsi="仿宋" w:eastAsia="仿宋" w:cs="仿宋"/>
          <w:b w:val="0"/>
          <w:bCs w:val="0"/>
          <w:color w:val="auto"/>
          <w:sz w:val="24"/>
          <w:szCs w:val="24"/>
          <w:lang w:val="en-US" w:eastAsia="zh-CN"/>
        </w:rPr>
        <w:t>，联系地址为本协议页首载明的地址。任何一方变更联系人及联系方式的，须在发生变更之日起3日内以书面方式通知另一方，否则，由此产生的法律后果由变更方承担。以上联系方式同时适用双方的司法送达。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（以下无正文）</w:t>
      </w:r>
    </w:p>
    <w:p>
      <w:pPr>
        <w:pStyle w:val="2"/>
        <w:ind w:left="0" w:leftChars="0" w:firstLine="0" w:firstLineChars="0"/>
        <w:rPr>
          <w:rFonts w:hint="eastAsia" w:ascii="仿宋" w:hAnsi="仿宋" w:eastAsia="仿宋" w:cs="仿宋"/>
          <w:color w:val="auto"/>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附件1：中标通知书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附件2：乙方营业执照扫描件（加盖公章）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附件3：乙方食品经营许可证或食品生产经营许可证（加盖公章）</w:t>
      </w:r>
    </w:p>
    <w:p>
      <w:pPr>
        <w:keepNext w:val="0"/>
        <w:keepLines w:val="0"/>
        <w:pageBreakBefore w:val="0"/>
        <w:widowControl/>
        <w:numPr>
          <w:ilvl w:val="-1"/>
          <w:numId w:val="0"/>
        </w:numPr>
        <w:kinsoku/>
        <w:wordWrap/>
        <w:overflowPunct/>
        <w:topLinePunct w:val="0"/>
        <w:autoSpaceDE/>
        <w:autoSpaceDN/>
        <w:bidi w:val="0"/>
        <w:adjustRightInd/>
        <w:snapToGrid/>
        <w:spacing w:line="24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br w:type="page"/>
      </w:r>
    </w:p>
    <w:p>
      <w:pPr>
        <w:spacing w:line="240" w:lineRule="auto"/>
        <w:jc w:val="center"/>
        <w:rPr>
          <w:rFonts w:hint="default"/>
          <w:color w:val="auto"/>
          <w:lang w:val="en-US" w:eastAsia="zh-CN"/>
        </w:rPr>
      </w:pPr>
      <w:r>
        <w:rPr>
          <w:rFonts w:hint="default"/>
          <w:color w:val="auto"/>
          <w:lang w:val="en-US" w:eastAsia="zh-CN"/>
        </w:rPr>
        <w:t>（以下为深圳市龙华区教育局与</w:t>
      </w:r>
      <w:r>
        <w:rPr>
          <w:rFonts w:hint="eastAsia"/>
          <w:color w:val="auto"/>
          <w:lang w:val="en-US" w:eastAsia="zh-CN"/>
        </w:rPr>
        <w:t>«乙方单位»</w:t>
      </w:r>
      <w:r>
        <w:rPr>
          <w:rFonts w:hint="default"/>
          <w:color w:val="auto"/>
          <w:lang w:val="en-US" w:eastAsia="zh-CN"/>
        </w:rPr>
        <w:t>《深圳市龙华区教育局2026年龙华区部分公办学校及幼儿园食材集中批量采购框架协议》</w:t>
      </w:r>
      <w:r>
        <w:rPr>
          <w:rFonts w:hint="eastAsia"/>
          <w:color w:val="auto"/>
          <w:lang w:val="en-US" w:eastAsia="zh-CN"/>
        </w:rPr>
        <w:t>签署页</w:t>
      </w:r>
      <w:r>
        <w:rPr>
          <w:rFonts w:hint="default"/>
          <w:color w:val="auto"/>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甲方：（盖章）：                        乙方：（盖章）：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代表签字：                              代表签字：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签约日期：     年     月     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签约地点：</w:t>
      </w:r>
      <w:r>
        <w:rPr>
          <w:rFonts w:hint="eastAsia" w:ascii="仿宋" w:hAnsi="仿宋" w:eastAsia="仿宋" w:cs="仿宋"/>
          <w:color w:val="auto"/>
          <w:sz w:val="24"/>
          <w:szCs w:val="24"/>
        </w:rPr>
        <w:t>深圳市</w:t>
      </w:r>
      <w:r>
        <w:rPr>
          <w:rFonts w:hint="eastAsia" w:ascii="仿宋" w:hAnsi="仿宋" w:eastAsia="仿宋" w:cs="仿宋"/>
          <w:color w:val="auto"/>
          <w:sz w:val="24"/>
          <w:szCs w:val="24"/>
          <w:lang w:val="en-US" w:eastAsia="zh-CN"/>
        </w:rPr>
        <w:t>龙华</w:t>
      </w:r>
      <w:r>
        <w:rPr>
          <w:rFonts w:hint="eastAsia" w:ascii="仿宋" w:hAnsi="仿宋" w:eastAsia="仿宋" w:cs="仿宋"/>
          <w:color w:val="auto"/>
          <w:sz w:val="24"/>
          <w:szCs w:val="24"/>
        </w:rPr>
        <w:t>区</w:t>
      </w: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3"/>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附件1：中标通知书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3"/>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附件2：乙方营业执照扫描件（加盖公章）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3"/>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附件3：乙方食品经营许可证或食品生产经营许可证（加盖公章）</w:t>
      </w:r>
    </w:p>
    <w:p>
      <w:pPr>
        <w:rPr>
          <w:rFonts w:hint="default"/>
          <w:color w:val="auto"/>
          <w:lang w:val="en-US" w:eastAsia="zh-CN"/>
        </w:rPr>
      </w:pPr>
    </w:p>
    <w:p>
      <w:pPr>
        <w:ind w:firstLine="420" w:firstLineChars="200"/>
        <w:rPr>
          <w:rFonts w:ascii="宋体" w:hAnsi="宋体"/>
          <w:szCs w:val="21"/>
        </w:rPr>
      </w:pPr>
    </w:p>
    <w:p>
      <w:pPr>
        <w:rPr>
          <w:rFonts w:ascii="宋体" w:hAnsi="宋体"/>
          <w:szCs w:val="21"/>
        </w:rPr>
      </w:pPr>
    </w:p>
    <w:p>
      <w:pPr>
        <w:ind w:firstLine="420" w:firstLineChars="200"/>
        <w:rPr>
          <w:rFonts w:ascii="宋体" w:hAnsi="宋体"/>
          <w:szCs w:val="21"/>
        </w:rPr>
      </w:pPr>
    </w:p>
    <w:p>
      <w:pPr>
        <w:widowControl/>
        <w:jc w:val="left"/>
        <w:rPr>
          <w:rFonts w:ascii="宋体" w:hAnsi="宋体"/>
          <w:szCs w:val="21"/>
        </w:rPr>
      </w:pPr>
      <w:r>
        <w:rPr>
          <w:rFonts w:ascii="宋体" w:hAnsi="宋体"/>
          <w:szCs w:val="21"/>
        </w:rPr>
        <w:br w:type="page"/>
      </w:r>
    </w:p>
    <w:p>
      <w:pPr>
        <w:pStyle w:val="3"/>
        <w:spacing w:before="120" w:beforeLines="50" w:after="120" w:afterLines="50"/>
        <w:ind w:left="562"/>
        <w:outlineLvl w:val="0"/>
        <w:rPr>
          <w:sz w:val="28"/>
          <w:szCs w:val="28"/>
        </w:rPr>
      </w:pPr>
      <w:r>
        <w:rPr>
          <w:rFonts w:hint="eastAsia"/>
          <w:sz w:val="28"/>
          <w:szCs w:val="28"/>
        </w:rPr>
        <w:t>第二册  通用条款（公开招标）</w:t>
      </w:r>
    </w:p>
    <w:p>
      <w:pPr>
        <w:pStyle w:val="6"/>
        <w:numPr>
          <w:ilvl w:val="0"/>
          <w:numId w:val="18"/>
        </w:numPr>
        <w:spacing w:before="120" w:beforeLines="50" w:after="120" w:afterLines="50"/>
        <w:ind w:left="562" w:hanging="562"/>
        <w:rPr>
          <w:sz w:val="28"/>
          <w:szCs w:val="28"/>
        </w:rPr>
      </w:pPr>
      <w:bookmarkStart w:id="46" w:name="_Hlk72399513"/>
      <w:r>
        <w:rPr>
          <w:rFonts w:hint="eastAsia"/>
          <w:sz w:val="28"/>
          <w:szCs w:val="28"/>
        </w:rPr>
        <w:t>总则</w:t>
      </w:r>
    </w:p>
    <w:bookmarkEnd w:id="46"/>
    <w:p>
      <w:pPr>
        <w:rPr>
          <w:rFonts w:ascii="黑体" w:hAnsi="宋体" w:eastAsia="黑体"/>
          <w:sz w:val="24"/>
        </w:rPr>
      </w:pPr>
      <w:r>
        <w:rPr>
          <w:rFonts w:hint="eastAsia" w:ascii="黑体" w:hAnsi="宋体" w:eastAsia="黑体"/>
          <w:sz w:val="24"/>
        </w:rPr>
        <w:t>1. 通用条款说明</w:t>
      </w:r>
    </w:p>
    <w:p>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7" w:name="_Hlk72399729"/>
      <w:r>
        <w:rPr>
          <w:rFonts w:hint="eastAsia" w:ascii="宋体" w:hAnsi="宋体"/>
          <w:szCs w:val="21"/>
        </w:rPr>
        <w:t>如有需要，政府集中采购机构可以对通用条款的内容进行补充。</w:t>
      </w:r>
      <w:bookmarkEnd w:id="47"/>
    </w:p>
    <w:p>
      <w:pPr>
        <w:ind w:firstLine="411" w:firstLineChars="196"/>
        <w:rPr>
          <w:rFonts w:ascii="宋体" w:hAnsi="宋体"/>
          <w:szCs w:val="21"/>
        </w:rPr>
      </w:pPr>
      <w:r>
        <w:rPr>
          <w:rFonts w:hint="eastAsia" w:ascii="宋体" w:hAnsi="宋体"/>
          <w:szCs w:val="21"/>
        </w:rPr>
        <w:t>1.2招标文件分为第一册“专用条款”和第二册“通用条款”。</w:t>
      </w:r>
    </w:p>
    <w:p>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pPr>
        <w:ind w:firstLine="411" w:firstLineChars="196"/>
        <w:rPr>
          <w:rFonts w:ascii="宋体" w:hAnsi="宋体"/>
          <w:szCs w:val="21"/>
        </w:rPr>
      </w:pPr>
      <w:r>
        <w:rPr>
          <w:rFonts w:hint="eastAsia" w:ascii="宋体" w:hAnsi="宋体"/>
          <w:szCs w:val="21"/>
        </w:rPr>
        <w:t>1.5 “专用条款”和“通用条款”表述不一致或有冲突时，以“专用条款”为准。</w:t>
      </w:r>
    </w:p>
    <w:p>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pPr>
        <w:rPr>
          <w:rFonts w:ascii="黑体" w:hAnsi="宋体" w:eastAsia="黑体"/>
          <w:sz w:val="24"/>
        </w:rPr>
      </w:pPr>
      <w:r>
        <w:rPr>
          <w:rFonts w:hint="eastAsia" w:ascii="黑体" w:hAnsi="宋体" w:eastAsia="黑体"/>
          <w:sz w:val="24"/>
        </w:rPr>
        <w:t>3．定义</w:t>
      </w:r>
    </w:p>
    <w:p>
      <w:pPr>
        <w:ind w:firstLine="420" w:firstLineChars="200"/>
        <w:rPr>
          <w:rFonts w:ascii="宋体" w:hAnsi="宋体"/>
          <w:szCs w:val="21"/>
        </w:rPr>
      </w:pPr>
      <w:r>
        <w:rPr>
          <w:rFonts w:ascii="宋体" w:hAnsi="宋体"/>
          <w:szCs w:val="21"/>
        </w:rPr>
        <w:t>招标文件中下列术语应解释为：</w:t>
      </w:r>
    </w:p>
    <w:p>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3.4“评审委员会”是依据《深圳经济特区政府采购条例》、《深圳经济特区政府采购条例实施细则》等有关规定组建的专门负责本次招标其评审工作的临时性机构；</w:t>
      </w:r>
    </w:p>
    <w:p>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pPr>
        <w:ind w:firstLine="411" w:firstLineChars="196"/>
        <w:rPr>
          <w:rFonts w:ascii="宋体" w:hAnsi="宋体"/>
          <w:szCs w:val="21"/>
        </w:rPr>
      </w:pPr>
      <w:r>
        <w:rPr>
          <w:rFonts w:hint="eastAsia" w:ascii="宋体" w:hAnsi="宋体"/>
          <w:szCs w:val="21"/>
        </w:rPr>
        <w:t>3.6“合同”指由本次招标所产生的合同或合约文件；</w:t>
      </w:r>
    </w:p>
    <w:p>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深圳公共资源交易中心（深圳交易集团有限公司龙华分公司）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48" w:name="_Hlk72398581"/>
      <w:r>
        <w:rPr>
          <w:rFonts w:hint="eastAsia" w:ascii="宋体" w:hAnsi="宋体"/>
          <w:szCs w:val="21"/>
        </w:rPr>
        <w:t>；</w:t>
      </w:r>
      <w:bookmarkEnd w:id="48"/>
    </w:p>
    <w:p>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龙华</w:t>
      </w:r>
      <w:r>
        <w:rPr>
          <w:rFonts w:hint="eastAsia" w:ascii="宋体" w:hAnsi="宋体"/>
          <w:b/>
          <w:bCs/>
          <w:color w:val="FF0000"/>
          <w:szCs w:val="21"/>
        </w:rPr>
        <w:t>分公司）</w:t>
      </w:r>
      <w:r>
        <w:rPr>
          <w:rFonts w:hint="eastAsia" w:ascii="宋体" w:hAnsi="宋体"/>
          <w:szCs w:val="21"/>
        </w:rPr>
        <w:t>网站上传电子投标文件；</w:t>
      </w:r>
    </w:p>
    <w:p>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pPr>
        <w:rPr>
          <w:rFonts w:ascii="黑体" w:hAnsi="宋体" w:eastAsia="黑体"/>
          <w:sz w:val="24"/>
        </w:rPr>
      </w:pPr>
      <w:r>
        <w:rPr>
          <w:rFonts w:hint="eastAsia" w:ascii="黑体" w:hAnsi="宋体" w:eastAsia="黑体"/>
          <w:sz w:val="24"/>
        </w:rPr>
        <w:t xml:space="preserve">4. </w:t>
      </w:r>
      <w:bookmarkStart w:id="49" w:name="_Hlk72398643"/>
      <w:r>
        <w:rPr>
          <w:rFonts w:hint="eastAsia" w:ascii="黑体" w:hAnsi="宋体" w:eastAsia="黑体"/>
          <w:sz w:val="24"/>
        </w:rPr>
        <w:t>政府采购供应商责任</w:t>
      </w:r>
    </w:p>
    <w:p>
      <w:pPr>
        <w:ind w:firstLine="411" w:firstLineChars="196"/>
        <w:rPr>
          <w:rFonts w:ascii="宋体" w:hAnsi="宋体"/>
          <w:szCs w:val="21"/>
        </w:rPr>
      </w:pPr>
      <w:r>
        <w:rPr>
          <w:rFonts w:hint="eastAsia" w:ascii="宋体" w:hAnsi="宋体"/>
          <w:szCs w:val="21"/>
        </w:rPr>
        <w:t>4.1欢迎诚信、有实力和有社会责任心的供应商参与政府采购事业。</w:t>
      </w:r>
    </w:p>
    <w:p>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pPr>
        <w:rPr>
          <w:rFonts w:ascii="黑体" w:hAnsi="宋体" w:eastAsia="黑体"/>
          <w:sz w:val="24"/>
        </w:rPr>
      </w:pPr>
      <w:r>
        <w:rPr>
          <w:rFonts w:hint="eastAsia" w:ascii="黑体" w:hAnsi="宋体" w:eastAsia="黑体"/>
          <w:sz w:val="24"/>
        </w:rPr>
        <w:t>5．投标人参加政府采购的条件</w:t>
      </w:r>
    </w:p>
    <w:p>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r>
        <w:rPr>
          <w:rFonts w:hint="eastAsia" w:ascii="宋体" w:hAnsi="宋体"/>
          <w:szCs w:val="21"/>
          <w:lang w:val="en-US" w:eastAsia="zh-CN"/>
        </w:rPr>
        <w:t>。</w:t>
      </w:r>
    </w:p>
    <w:p>
      <w:pPr>
        <w:ind w:firstLine="411" w:firstLineChars="196"/>
        <w:rPr>
          <w:rFonts w:ascii="宋体" w:hAnsi="宋体"/>
          <w:szCs w:val="21"/>
        </w:rPr>
      </w:pPr>
      <w:r>
        <w:rPr>
          <w:rFonts w:hint="eastAsia" w:ascii="宋体" w:hAnsi="宋体"/>
          <w:szCs w:val="21"/>
        </w:rPr>
        <w:t>5.2投标人资格要求</w:t>
      </w:r>
    </w:p>
    <w:p>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pPr>
        <w:ind w:firstLine="411" w:firstLineChars="196"/>
        <w:rPr>
          <w:rFonts w:ascii="宋体" w:hAnsi="宋体"/>
          <w:szCs w:val="21"/>
        </w:rPr>
      </w:pPr>
      <w:r>
        <w:rPr>
          <w:rFonts w:hint="eastAsia" w:ascii="宋体" w:hAnsi="宋体"/>
          <w:szCs w:val="21"/>
        </w:rPr>
        <w:t>5.3联合体投标</w:t>
      </w:r>
    </w:p>
    <w:p>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pPr>
        <w:ind w:left="420" w:leftChars="200" w:firstLine="411" w:firstLineChars="196"/>
        <w:rPr>
          <w:rFonts w:ascii="宋体" w:hAnsi="宋体"/>
        </w:rPr>
      </w:pPr>
      <w:r>
        <w:rPr>
          <w:rFonts w:hint="eastAsia" w:ascii="宋体" w:hAnsi="宋体"/>
        </w:rPr>
        <w:t>1、具有独立承担民事责任的能力；</w:t>
      </w:r>
      <w:r>
        <w:rPr>
          <w:rFonts w:ascii="宋体" w:hAnsi="宋体"/>
        </w:rPr>
        <w:t xml:space="preserve"> </w:t>
      </w:r>
    </w:p>
    <w:p>
      <w:pPr>
        <w:ind w:left="420" w:firstLine="411" w:firstLineChars="196"/>
        <w:rPr>
          <w:rFonts w:ascii="宋体" w:hAnsi="宋体"/>
        </w:rPr>
      </w:pPr>
      <w:r>
        <w:rPr>
          <w:rFonts w:hint="eastAsia" w:ascii="宋体" w:hAnsi="宋体"/>
        </w:rPr>
        <w:t>2、有良好的商业信誉和健全的财务会计制度；</w:t>
      </w:r>
      <w:r>
        <w:rPr>
          <w:rFonts w:ascii="宋体" w:hAnsi="宋体"/>
        </w:rPr>
        <w:t xml:space="preserve"> </w:t>
      </w:r>
    </w:p>
    <w:p>
      <w:pPr>
        <w:ind w:left="420" w:leftChars="200" w:firstLine="411" w:firstLineChars="196"/>
        <w:rPr>
          <w:rFonts w:ascii="宋体" w:hAnsi="宋体"/>
        </w:rPr>
      </w:pPr>
      <w:r>
        <w:rPr>
          <w:rFonts w:hint="eastAsia" w:ascii="宋体" w:hAnsi="宋体"/>
        </w:rPr>
        <w:t>3、具有履行合同所必需的设备和专业技术能力；</w:t>
      </w:r>
      <w:r>
        <w:rPr>
          <w:rFonts w:ascii="宋体" w:hAnsi="宋体"/>
        </w:rPr>
        <w:t xml:space="preserve"> </w:t>
      </w:r>
    </w:p>
    <w:p>
      <w:pPr>
        <w:ind w:left="420" w:leftChars="200" w:firstLine="411" w:firstLineChars="196"/>
        <w:rPr>
          <w:rFonts w:ascii="宋体" w:hAnsi="宋体"/>
        </w:rPr>
      </w:pPr>
      <w:r>
        <w:rPr>
          <w:rFonts w:hint="eastAsia" w:ascii="宋体" w:hAnsi="宋体"/>
        </w:rPr>
        <w:t>4、有依法缴纳税收和社会保障资金的良好记录；</w:t>
      </w:r>
      <w:r>
        <w:rPr>
          <w:rFonts w:ascii="宋体" w:hAnsi="宋体"/>
        </w:rPr>
        <w:t xml:space="preserve"> </w:t>
      </w:r>
    </w:p>
    <w:p>
      <w:pPr>
        <w:ind w:left="420" w:leftChars="200" w:firstLine="411" w:firstLineChars="196"/>
        <w:rPr>
          <w:rFonts w:ascii="宋体" w:hAnsi="宋体"/>
        </w:rPr>
      </w:pPr>
      <w:r>
        <w:rPr>
          <w:rFonts w:hint="eastAsia" w:ascii="宋体" w:hAnsi="宋体"/>
        </w:rPr>
        <w:t>5、参加政府采购活动前三年内，在经营活动中没有重大违法记录；</w:t>
      </w:r>
      <w:r>
        <w:rPr>
          <w:rFonts w:ascii="宋体" w:hAnsi="宋体"/>
        </w:rPr>
        <w:t xml:space="preserve"> </w:t>
      </w:r>
    </w:p>
    <w:p>
      <w:pPr>
        <w:ind w:left="420" w:leftChars="200" w:firstLine="411" w:firstLineChars="196"/>
        <w:rPr>
          <w:rFonts w:ascii="宋体" w:hAnsi="宋体"/>
        </w:rPr>
      </w:pPr>
      <w:r>
        <w:rPr>
          <w:rFonts w:hint="eastAsia" w:ascii="宋体" w:hAnsi="宋体"/>
        </w:rPr>
        <w:t>6、法律、行政法规规定的其他条件。</w:t>
      </w:r>
      <w:r>
        <w:rPr>
          <w:rFonts w:ascii="宋体" w:hAnsi="宋体"/>
        </w:rPr>
        <w:t xml:space="preserve"> </w:t>
      </w:r>
    </w:p>
    <w:p>
      <w:pPr>
        <w:ind w:firstLine="411" w:firstLineChars="196"/>
        <w:rPr>
          <w:rFonts w:ascii="宋体" w:hAnsi="宋体"/>
        </w:rPr>
      </w:pPr>
      <w:r>
        <w:rPr>
          <w:rFonts w:hint="eastAsia" w:ascii="宋体" w:hAnsi="宋体"/>
        </w:rPr>
        <w:t>（2）在投标截止前，投标联合体各方均应注册成政府集中采购机构供应商；</w:t>
      </w:r>
    </w:p>
    <w:p>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pPr>
        <w:ind w:firstLine="411" w:firstLineChars="196"/>
        <w:rPr>
          <w:rFonts w:ascii="宋体" w:hAnsi="宋体"/>
        </w:rPr>
      </w:pPr>
      <w:r>
        <w:rPr>
          <w:rFonts w:hint="eastAsia" w:ascii="宋体" w:hAnsi="宋体"/>
        </w:rPr>
        <w:t>（5）投标人的投标文件及中标后签署的合同协议对联合体各方均具法律约束力；</w:t>
      </w:r>
    </w:p>
    <w:p>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pPr>
        <w:ind w:firstLine="411" w:firstLineChars="196"/>
        <w:rPr>
          <w:rFonts w:ascii="宋体" w:hAnsi="宋体"/>
          <w:szCs w:val="21"/>
        </w:rPr>
      </w:pPr>
      <w:r>
        <w:rPr>
          <w:rFonts w:hint="eastAsia" w:ascii="宋体" w:hAnsi="宋体"/>
        </w:rPr>
        <w:t>（9）本通用条款中“投标人”一词亦指联合体各方，专用条款另有规定或说明的除外。</w:t>
      </w:r>
    </w:p>
    <w:p>
      <w:pPr>
        <w:rPr>
          <w:rFonts w:ascii="黑体" w:hAnsi="宋体" w:eastAsia="黑体"/>
          <w:sz w:val="24"/>
        </w:rPr>
      </w:pPr>
      <w:r>
        <w:rPr>
          <w:rFonts w:hint="eastAsia" w:ascii="黑体" w:hAnsi="宋体" w:eastAsia="黑体"/>
          <w:sz w:val="24"/>
        </w:rPr>
        <w:t>6．政策导向</w:t>
      </w:r>
    </w:p>
    <w:p>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pPr>
        <w:ind w:firstLine="405"/>
        <w:rPr>
          <w:rFonts w:hint="default" w:eastAsia="宋体"/>
          <w:lang w:val="en-US" w:eastAsia="zh-CN"/>
        </w:rPr>
      </w:pPr>
      <w:r>
        <w:rPr>
          <w:rFonts w:hint="eastAsia" w:ascii="宋体" w:hAnsi="宋体"/>
          <w:lang w:val="en-US" w:eastAsia="zh-CN"/>
        </w:rPr>
        <w:t>6.3  本项目支持投标人性别平等的相关政策。</w:t>
      </w:r>
    </w:p>
    <w:p>
      <w:pPr>
        <w:rPr>
          <w:rFonts w:ascii="黑体" w:hAnsi="宋体" w:eastAsia="黑体"/>
          <w:sz w:val="24"/>
        </w:rPr>
      </w:pPr>
      <w:r>
        <w:rPr>
          <w:rFonts w:hint="eastAsia" w:ascii="黑体" w:hAnsi="宋体" w:eastAsia="黑体"/>
          <w:sz w:val="24"/>
        </w:rPr>
        <w:t>7. 本项目若涉及采购货物，则合格的货物及相应服务应满足以下要求：</w:t>
      </w:r>
    </w:p>
    <w:p>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50"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0"/>
    </w:p>
    <w:p>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pPr>
        <w:rPr>
          <w:rFonts w:ascii="黑体" w:hAnsi="宋体" w:eastAsia="黑体"/>
          <w:sz w:val="24"/>
        </w:rPr>
      </w:pPr>
      <w:r>
        <w:rPr>
          <w:rFonts w:hint="eastAsia" w:ascii="黑体" w:hAnsi="宋体" w:eastAsia="黑体"/>
          <w:sz w:val="24"/>
        </w:rPr>
        <w:t>8．投标费用</w:t>
      </w:r>
    </w:p>
    <w:p>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pPr>
        <w:rPr>
          <w:rFonts w:ascii="黑体" w:hAnsi="宋体" w:eastAsia="黑体"/>
          <w:sz w:val="24"/>
        </w:rPr>
      </w:pPr>
      <w:r>
        <w:rPr>
          <w:rFonts w:hint="eastAsia" w:ascii="黑体" w:hAnsi="宋体" w:eastAsia="黑体"/>
          <w:sz w:val="24"/>
        </w:rPr>
        <w:t>9．踏勘现场</w:t>
      </w:r>
    </w:p>
    <w:p>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pPr>
        <w:ind w:firstLine="411" w:firstLineChars="196"/>
        <w:rPr>
          <w:rFonts w:ascii="宋体" w:hAnsi="宋体"/>
        </w:rPr>
      </w:pPr>
      <w:r>
        <w:rPr>
          <w:rFonts w:hint="eastAsia" w:ascii="宋体" w:hAnsi="宋体"/>
        </w:rPr>
        <w:t>9.3采购人应当通过政府集中采购机构向投标人提供有关现场的书面资料和数据。</w:t>
      </w:r>
    </w:p>
    <w:p>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9"/>
    <w:p>
      <w:pPr>
        <w:ind w:firstLine="411" w:firstLineChars="196"/>
        <w:rPr>
          <w:rFonts w:ascii="宋体" w:hAnsi="宋体"/>
        </w:rPr>
      </w:pPr>
    </w:p>
    <w:p>
      <w:pPr>
        <w:pStyle w:val="6"/>
        <w:numPr>
          <w:ilvl w:val="0"/>
          <w:numId w:val="18"/>
        </w:numPr>
        <w:spacing w:before="120" w:beforeLines="50" w:after="120" w:afterLines="50"/>
        <w:ind w:left="562" w:hanging="562"/>
        <w:rPr>
          <w:sz w:val="28"/>
          <w:szCs w:val="28"/>
        </w:rPr>
      </w:pPr>
      <w:r>
        <w:rPr>
          <w:rFonts w:hint="eastAsia"/>
          <w:sz w:val="28"/>
          <w:szCs w:val="28"/>
        </w:rPr>
        <w:t>招标文件</w:t>
      </w:r>
    </w:p>
    <w:p>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51" w:name="_Hlk72399819"/>
      <w:r>
        <w:rPr>
          <w:rFonts w:hint="eastAsia" w:ascii="黑体" w:hAnsi="宋体" w:eastAsia="黑体"/>
          <w:sz w:val="24"/>
        </w:rPr>
        <w:t>招标文件的编制与组成</w:t>
      </w:r>
    </w:p>
    <w:p>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pPr>
        <w:ind w:firstLine="411" w:firstLineChars="196"/>
        <w:rPr>
          <w:rFonts w:ascii="宋体" w:hAnsi="宋体"/>
          <w:szCs w:val="21"/>
        </w:rPr>
      </w:pPr>
      <w:r>
        <w:rPr>
          <w:rFonts w:hint="eastAsia" w:ascii="宋体" w:hAnsi="宋体"/>
          <w:szCs w:val="21"/>
        </w:rPr>
        <w:t>招标文件包括下列内容：</w:t>
      </w:r>
    </w:p>
    <w:p>
      <w:pPr>
        <w:ind w:left="420" w:leftChars="200" w:firstLine="413" w:firstLineChars="196"/>
        <w:rPr>
          <w:rFonts w:ascii="宋体" w:hAnsi="宋体"/>
          <w:b/>
          <w:szCs w:val="21"/>
        </w:rPr>
      </w:pPr>
      <w:r>
        <w:rPr>
          <w:rFonts w:hint="eastAsia" w:ascii="宋体" w:hAnsi="宋体"/>
          <w:b/>
          <w:szCs w:val="21"/>
        </w:rPr>
        <w:t>第一册  专用条款</w:t>
      </w:r>
    </w:p>
    <w:p>
      <w:pPr>
        <w:ind w:left="1079" w:leftChars="514"/>
        <w:rPr>
          <w:rFonts w:ascii="宋体" w:hAnsi="宋体"/>
          <w:b/>
          <w:szCs w:val="21"/>
        </w:rPr>
      </w:pPr>
      <w:r>
        <w:rPr>
          <w:rFonts w:hint="eastAsia" w:ascii="宋体" w:hAnsi="宋体"/>
          <w:b/>
          <w:szCs w:val="21"/>
        </w:rPr>
        <w:t>关键信息</w:t>
      </w:r>
    </w:p>
    <w:p>
      <w:pPr>
        <w:ind w:left="630" w:leftChars="300" w:firstLine="411" w:firstLineChars="196"/>
        <w:rPr>
          <w:rFonts w:ascii="宋体" w:hAnsi="宋体"/>
          <w:szCs w:val="21"/>
        </w:rPr>
      </w:pPr>
      <w:r>
        <w:rPr>
          <w:rFonts w:hint="eastAsia" w:ascii="宋体" w:hAnsi="宋体"/>
          <w:szCs w:val="21"/>
        </w:rPr>
        <w:t>第一章  招标公告</w:t>
      </w:r>
    </w:p>
    <w:p>
      <w:pPr>
        <w:ind w:left="630" w:leftChars="300" w:firstLine="411" w:firstLineChars="196"/>
        <w:rPr>
          <w:rFonts w:ascii="宋体" w:hAnsi="宋体"/>
          <w:szCs w:val="21"/>
        </w:rPr>
      </w:pPr>
      <w:r>
        <w:rPr>
          <w:rFonts w:hint="eastAsia" w:ascii="宋体" w:hAnsi="宋体"/>
          <w:szCs w:val="21"/>
        </w:rPr>
        <w:t>第二章  对通用条款的补充内容及其他关键信息</w:t>
      </w:r>
    </w:p>
    <w:p>
      <w:pPr>
        <w:ind w:left="630" w:leftChars="300" w:firstLine="411" w:firstLineChars="196"/>
        <w:rPr>
          <w:rFonts w:ascii="宋体" w:hAnsi="宋体"/>
          <w:szCs w:val="21"/>
        </w:rPr>
      </w:pPr>
      <w:r>
        <w:rPr>
          <w:rFonts w:hint="eastAsia" w:ascii="宋体" w:hAnsi="宋体"/>
          <w:szCs w:val="21"/>
        </w:rPr>
        <w:t>第三章  用户需求书</w:t>
      </w:r>
    </w:p>
    <w:p>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pPr>
        <w:ind w:left="630" w:leftChars="300" w:firstLine="411" w:firstLineChars="196"/>
        <w:rPr>
          <w:rFonts w:ascii="宋体" w:hAnsi="宋体"/>
          <w:szCs w:val="21"/>
        </w:rPr>
      </w:pPr>
      <w:r>
        <w:rPr>
          <w:rFonts w:hint="eastAsia" w:ascii="宋体" w:hAnsi="宋体"/>
          <w:szCs w:val="21"/>
        </w:rPr>
        <w:t>第五章  合同条款及格式</w:t>
      </w:r>
    </w:p>
    <w:p>
      <w:pPr>
        <w:ind w:left="420" w:leftChars="200" w:firstLine="413" w:firstLineChars="196"/>
        <w:rPr>
          <w:rFonts w:ascii="宋体" w:hAnsi="宋体"/>
          <w:b/>
          <w:szCs w:val="21"/>
        </w:rPr>
      </w:pPr>
      <w:r>
        <w:rPr>
          <w:rFonts w:hint="eastAsia" w:ascii="宋体" w:hAnsi="宋体"/>
          <w:b/>
          <w:szCs w:val="21"/>
        </w:rPr>
        <w:t>第二册  通用条款</w:t>
      </w:r>
    </w:p>
    <w:p>
      <w:pPr>
        <w:ind w:left="630" w:leftChars="300" w:firstLine="411" w:firstLineChars="196"/>
        <w:rPr>
          <w:rFonts w:ascii="宋体" w:hAnsi="宋体"/>
          <w:szCs w:val="21"/>
        </w:rPr>
      </w:pPr>
      <w:r>
        <w:rPr>
          <w:rFonts w:hint="eastAsia" w:ascii="宋体" w:hAnsi="宋体"/>
          <w:szCs w:val="21"/>
        </w:rPr>
        <w:t>第一章  总则</w:t>
      </w:r>
    </w:p>
    <w:p>
      <w:pPr>
        <w:ind w:left="630" w:leftChars="300" w:firstLine="411" w:firstLineChars="196"/>
        <w:rPr>
          <w:rFonts w:ascii="宋体" w:hAnsi="宋体"/>
          <w:szCs w:val="21"/>
        </w:rPr>
      </w:pPr>
      <w:r>
        <w:rPr>
          <w:rFonts w:hint="eastAsia" w:ascii="宋体" w:hAnsi="宋体"/>
          <w:szCs w:val="21"/>
        </w:rPr>
        <w:t>第二章  招标文件</w:t>
      </w:r>
    </w:p>
    <w:p>
      <w:pPr>
        <w:ind w:left="630" w:leftChars="300" w:firstLine="411" w:firstLineChars="196"/>
        <w:rPr>
          <w:rFonts w:ascii="宋体" w:hAnsi="宋体"/>
          <w:szCs w:val="21"/>
        </w:rPr>
      </w:pPr>
      <w:r>
        <w:rPr>
          <w:rFonts w:hint="eastAsia" w:ascii="宋体" w:hAnsi="宋体"/>
          <w:szCs w:val="21"/>
        </w:rPr>
        <w:t>第三章  投标文件的编制</w:t>
      </w:r>
    </w:p>
    <w:p>
      <w:pPr>
        <w:ind w:left="630" w:leftChars="300" w:firstLine="411" w:firstLineChars="196"/>
        <w:rPr>
          <w:rFonts w:ascii="宋体" w:hAnsi="宋体"/>
          <w:szCs w:val="21"/>
        </w:rPr>
      </w:pPr>
      <w:r>
        <w:rPr>
          <w:rFonts w:hint="eastAsia" w:ascii="宋体" w:hAnsi="宋体"/>
          <w:szCs w:val="21"/>
        </w:rPr>
        <w:t>第四章  投标文件的递交</w:t>
      </w:r>
    </w:p>
    <w:p>
      <w:pPr>
        <w:ind w:left="630" w:leftChars="300" w:firstLine="411" w:firstLineChars="196"/>
        <w:rPr>
          <w:rFonts w:ascii="宋体" w:hAnsi="宋体"/>
          <w:szCs w:val="21"/>
        </w:rPr>
      </w:pPr>
      <w:r>
        <w:rPr>
          <w:rFonts w:hint="eastAsia" w:ascii="宋体" w:hAnsi="宋体"/>
          <w:szCs w:val="21"/>
        </w:rPr>
        <w:t>第五章  开标</w:t>
      </w:r>
    </w:p>
    <w:p>
      <w:pPr>
        <w:ind w:left="630" w:leftChars="300" w:firstLine="411" w:firstLineChars="196"/>
        <w:rPr>
          <w:rFonts w:ascii="宋体" w:hAnsi="宋体"/>
          <w:szCs w:val="21"/>
        </w:rPr>
      </w:pPr>
      <w:r>
        <w:rPr>
          <w:rFonts w:hint="eastAsia" w:ascii="宋体" w:hAnsi="宋体"/>
          <w:szCs w:val="21"/>
        </w:rPr>
        <w:t>第六章  评审要求</w:t>
      </w:r>
    </w:p>
    <w:p>
      <w:pPr>
        <w:ind w:left="630" w:leftChars="300" w:firstLine="411" w:firstLineChars="196"/>
        <w:rPr>
          <w:rFonts w:ascii="宋体" w:hAnsi="宋体"/>
          <w:szCs w:val="21"/>
        </w:rPr>
      </w:pPr>
      <w:r>
        <w:rPr>
          <w:rFonts w:hint="eastAsia" w:ascii="宋体" w:hAnsi="宋体"/>
          <w:szCs w:val="21"/>
        </w:rPr>
        <w:t>第七章  评审程序及评审方法</w:t>
      </w:r>
    </w:p>
    <w:p>
      <w:pPr>
        <w:ind w:left="630" w:leftChars="300" w:firstLine="411" w:firstLineChars="196"/>
        <w:rPr>
          <w:rFonts w:ascii="宋体" w:hAnsi="宋体"/>
          <w:szCs w:val="21"/>
        </w:rPr>
      </w:pPr>
      <w:r>
        <w:rPr>
          <w:rFonts w:hint="eastAsia" w:ascii="宋体" w:hAnsi="宋体"/>
          <w:szCs w:val="21"/>
        </w:rPr>
        <w:t>第八章  定标及公示</w:t>
      </w:r>
    </w:p>
    <w:p>
      <w:pPr>
        <w:ind w:left="630" w:leftChars="300" w:firstLine="411" w:firstLineChars="196"/>
        <w:rPr>
          <w:rFonts w:ascii="宋体" w:hAnsi="宋体"/>
          <w:szCs w:val="21"/>
        </w:rPr>
      </w:pPr>
      <w:r>
        <w:rPr>
          <w:rFonts w:hint="eastAsia" w:ascii="宋体" w:hAnsi="宋体"/>
          <w:szCs w:val="21"/>
        </w:rPr>
        <w:t>第九章  公开招标失败的后续处理</w:t>
      </w:r>
    </w:p>
    <w:p>
      <w:pPr>
        <w:ind w:left="630" w:leftChars="300" w:firstLine="411" w:firstLineChars="196"/>
        <w:rPr>
          <w:rFonts w:ascii="宋体" w:hAnsi="宋体"/>
          <w:szCs w:val="21"/>
        </w:rPr>
      </w:pPr>
      <w:r>
        <w:rPr>
          <w:rFonts w:hint="eastAsia" w:ascii="宋体" w:hAnsi="宋体"/>
          <w:szCs w:val="21"/>
        </w:rPr>
        <w:t>第十章  合同的授予与备案</w:t>
      </w:r>
    </w:p>
    <w:p>
      <w:pPr>
        <w:ind w:left="630" w:leftChars="300" w:firstLine="411" w:firstLineChars="196"/>
        <w:rPr>
          <w:rFonts w:ascii="宋体" w:hAnsi="宋体"/>
          <w:szCs w:val="21"/>
        </w:rPr>
      </w:pPr>
      <w:r>
        <w:rPr>
          <w:rFonts w:hint="eastAsia" w:ascii="宋体" w:hAnsi="宋体"/>
          <w:szCs w:val="21"/>
        </w:rPr>
        <w:t>第十一章  质疑处理</w:t>
      </w:r>
    </w:p>
    <w:p>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pPr>
        <w:pStyle w:val="2"/>
        <w:ind w:firstLine="420" w:firstLineChars="200"/>
      </w:pPr>
      <w:bookmarkStart w:id="52" w:name="OLE_LINK27"/>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bookmarkEnd w:id="52"/>
    <w:p>
      <w:pPr>
        <w:rPr>
          <w:rFonts w:ascii="黑体" w:hAnsi="宋体" w:eastAsia="黑体"/>
          <w:sz w:val="24"/>
        </w:rPr>
      </w:pPr>
      <w:r>
        <w:rPr>
          <w:rFonts w:hint="eastAsia" w:ascii="黑体" w:hAnsi="宋体" w:eastAsia="黑体"/>
          <w:sz w:val="24"/>
        </w:rPr>
        <w:t>1</w:t>
      </w:r>
      <w:r>
        <w:rPr>
          <w:rFonts w:ascii="黑体" w:hAnsi="宋体" w:eastAsia="黑体"/>
          <w:sz w:val="24"/>
        </w:rPr>
        <w:t>2</w:t>
      </w:r>
      <w:r>
        <w:rPr>
          <w:rFonts w:hint="eastAsia" w:ascii="黑体" w:hAnsi="宋体" w:eastAsia="黑体"/>
          <w:sz w:val="24"/>
        </w:rPr>
        <w:t>．招标文件的澄清</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pPr>
        <w:rPr>
          <w:rFonts w:ascii="黑体" w:hAnsi="宋体" w:eastAsia="黑体"/>
          <w:sz w:val="24"/>
        </w:rPr>
      </w:pPr>
      <w:r>
        <w:rPr>
          <w:rFonts w:ascii="黑体" w:hAnsi="宋体" w:eastAsia="黑体"/>
          <w:sz w:val="24"/>
        </w:rPr>
        <w:t>1</w:t>
      </w:r>
      <w:r>
        <w:rPr>
          <w:rFonts w:hint="eastAsia" w:ascii="黑体" w:hAnsi="宋体" w:eastAsia="黑体"/>
          <w:sz w:val="24"/>
        </w:rPr>
        <w:t>3．招标文件的修改</w:t>
      </w:r>
    </w:p>
    <w:p>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51"/>
    </w:p>
    <w:p>
      <w:pPr>
        <w:rPr>
          <w:rFonts w:ascii="宋体" w:hAnsi="宋体"/>
          <w:szCs w:val="21"/>
        </w:rPr>
      </w:pPr>
    </w:p>
    <w:p>
      <w:pPr>
        <w:pStyle w:val="6"/>
        <w:numPr>
          <w:ilvl w:val="0"/>
          <w:numId w:val="18"/>
        </w:numPr>
        <w:spacing w:before="120" w:beforeLines="50" w:after="120" w:afterLines="50"/>
        <w:ind w:left="562" w:hanging="562"/>
        <w:rPr>
          <w:sz w:val="28"/>
          <w:szCs w:val="28"/>
        </w:rPr>
      </w:pPr>
      <w:r>
        <w:rPr>
          <w:rFonts w:hint="eastAsia"/>
          <w:sz w:val="28"/>
          <w:szCs w:val="28"/>
        </w:rPr>
        <w:t>投标文件的编制</w:t>
      </w:r>
    </w:p>
    <w:p>
      <w:pPr>
        <w:rPr>
          <w:rFonts w:ascii="黑体" w:hAnsi="宋体" w:eastAsia="黑体"/>
          <w:sz w:val="24"/>
        </w:rPr>
      </w:pPr>
      <w:r>
        <w:rPr>
          <w:rFonts w:hint="eastAsia" w:ascii="黑体" w:hAnsi="宋体" w:eastAsia="黑体"/>
          <w:sz w:val="24"/>
        </w:rPr>
        <w:t>14．</w:t>
      </w:r>
      <w:bookmarkStart w:id="53" w:name="_Hlk72400236"/>
      <w:r>
        <w:rPr>
          <w:rFonts w:hint="eastAsia" w:ascii="黑体" w:hAnsi="宋体" w:eastAsia="黑体"/>
          <w:sz w:val="24"/>
        </w:rPr>
        <w:t>投标文件的语言及度量单位</w:t>
      </w:r>
    </w:p>
    <w:p>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53"/>
    <w:p>
      <w:pPr>
        <w:rPr>
          <w:rFonts w:ascii="黑体" w:hAnsi="宋体" w:eastAsia="黑体"/>
          <w:sz w:val="24"/>
        </w:rPr>
      </w:pPr>
      <w:r>
        <w:rPr>
          <w:rFonts w:hint="eastAsia" w:ascii="黑体" w:hAnsi="宋体" w:eastAsia="黑体"/>
          <w:sz w:val="24"/>
        </w:rPr>
        <w:t>15．</w:t>
      </w:r>
      <w:bookmarkStart w:id="54" w:name="_Hlk72401567"/>
      <w:r>
        <w:rPr>
          <w:rFonts w:hint="eastAsia" w:ascii="黑体" w:hAnsi="宋体" w:eastAsia="黑体"/>
          <w:sz w:val="24"/>
        </w:rPr>
        <w:t>投标文件的组成</w:t>
      </w:r>
    </w:p>
    <w:p>
      <w:pPr>
        <w:ind w:firstLine="411" w:firstLineChars="196"/>
        <w:rPr>
          <w:rFonts w:ascii="宋体" w:hAnsi="宋体"/>
          <w:szCs w:val="21"/>
        </w:rPr>
      </w:pPr>
      <w:r>
        <w:rPr>
          <w:rFonts w:hint="eastAsia" w:ascii="宋体" w:hAnsi="宋体"/>
          <w:szCs w:val="21"/>
        </w:rPr>
        <w:t>具体内容在招标文件专用条款中进行规定。</w:t>
      </w:r>
    </w:p>
    <w:p>
      <w:pPr>
        <w:rPr>
          <w:rFonts w:ascii="黑体" w:hAnsi="宋体" w:eastAsia="黑体"/>
          <w:sz w:val="24"/>
        </w:rPr>
      </w:pPr>
      <w:r>
        <w:rPr>
          <w:rFonts w:ascii="黑体" w:hAnsi="宋体" w:eastAsia="黑体"/>
          <w:sz w:val="24"/>
        </w:rPr>
        <w:t>16．投标文件格式</w:t>
      </w:r>
    </w:p>
    <w:p>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pPr>
        <w:rPr>
          <w:rFonts w:ascii="黑体" w:hAnsi="宋体" w:eastAsia="黑体"/>
          <w:sz w:val="24"/>
        </w:rPr>
      </w:pPr>
      <w:r>
        <w:rPr>
          <w:rFonts w:hint="eastAsia" w:ascii="黑体" w:hAnsi="宋体" w:eastAsia="黑体"/>
          <w:sz w:val="24"/>
        </w:rPr>
        <w:t>17．投标货币</w:t>
      </w:r>
    </w:p>
    <w:p>
      <w:pPr>
        <w:ind w:firstLine="411" w:firstLineChars="196"/>
        <w:rPr>
          <w:rFonts w:ascii="宋体" w:hAnsi="宋体"/>
          <w:szCs w:val="21"/>
        </w:rPr>
      </w:pPr>
      <w:r>
        <w:rPr>
          <w:rFonts w:hint="eastAsia" w:ascii="宋体" w:hAnsi="宋体"/>
          <w:szCs w:val="21"/>
        </w:rPr>
        <w:t>本项目的投标报价应以人民币计。</w:t>
      </w:r>
    </w:p>
    <w:bookmarkEnd w:id="54"/>
    <w:p>
      <w:pPr>
        <w:rPr>
          <w:rFonts w:ascii="黑体" w:hAnsi="宋体" w:eastAsia="黑体"/>
          <w:sz w:val="24"/>
        </w:rPr>
      </w:pPr>
      <w:r>
        <w:rPr>
          <w:rFonts w:hint="eastAsia" w:ascii="黑体" w:hAnsi="宋体" w:eastAsia="黑体"/>
          <w:sz w:val="24"/>
        </w:rPr>
        <w:t>18．</w:t>
      </w:r>
      <w:bookmarkStart w:id="55" w:name="_Hlk72401735"/>
      <w:r>
        <w:rPr>
          <w:rFonts w:hint="eastAsia" w:ascii="黑体" w:hAnsi="宋体" w:eastAsia="黑体"/>
          <w:sz w:val="24"/>
        </w:rPr>
        <w:t>证明投标文件投标技术方案的合格性和符合招标文件规定的文件要求</w:t>
      </w:r>
    </w:p>
    <w:p>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pPr>
        <w:ind w:firstLine="411" w:firstLineChars="196"/>
        <w:rPr>
          <w:rFonts w:ascii="宋体" w:hAnsi="宋体"/>
          <w:szCs w:val="21"/>
        </w:rPr>
      </w:pPr>
      <w:r>
        <w:rPr>
          <w:rFonts w:hint="eastAsia" w:ascii="宋体" w:hAnsi="宋体"/>
          <w:szCs w:val="21"/>
        </w:rPr>
        <w:t>18.2.1主要技术指标和性能的详细说明。</w:t>
      </w:r>
    </w:p>
    <w:p>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55"/>
    <w:p>
      <w:pPr>
        <w:rPr>
          <w:rFonts w:ascii="黑体" w:hAnsi="宋体" w:eastAsia="黑体"/>
          <w:sz w:val="24"/>
        </w:rPr>
      </w:pPr>
      <w:r>
        <w:rPr>
          <w:rFonts w:hint="eastAsia" w:ascii="黑体" w:hAnsi="宋体" w:eastAsia="黑体"/>
          <w:sz w:val="24"/>
        </w:rPr>
        <w:t>19．</w:t>
      </w:r>
      <w:bookmarkStart w:id="56" w:name="_Hlk72402034"/>
      <w:r>
        <w:rPr>
          <w:rFonts w:hint="eastAsia" w:ascii="黑体" w:hAnsi="宋体" w:eastAsia="黑体"/>
          <w:sz w:val="24"/>
        </w:rPr>
        <w:t>投标文件其他证明文件的要求</w:t>
      </w:r>
    </w:p>
    <w:p>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7"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7"/>
    <w:p>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pPr>
        <w:rPr>
          <w:rFonts w:ascii="黑体" w:hAnsi="宋体" w:eastAsia="黑体"/>
          <w:sz w:val="24"/>
        </w:rPr>
      </w:pPr>
      <w:r>
        <w:rPr>
          <w:rFonts w:hint="eastAsia" w:ascii="黑体" w:hAnsi="宋体" w:eastAsia="黑体"/>
          <w:sz w:val="24"/>
        </w:rPr>
        <w:t>20．投标有效期</w:t>
      </w:r>
    </w:p>
    <w:bookmarkEnd w:id="56"/>
    <w:p>
      <w:pPr>
        <w:ind w:firstLine="411" w:firstLineChars="196"/>
        <w:rPr>
          <w:rFonts w:ascii="宋体" w:hAnsi="宋体"/>
          <w:szCs w:val="21"/>
        </w:rPr>
      </w:pPr>
      <w:bookmarkStart w:id="58"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8"/>
    <w:p>
      <w:pPr>
        <w:rPr>
          <w:rFonts w:ascii="黑体" w:hAnsi="宋体" w:eastAsia="黑体"/>
          <w:sz w:val="24"/>
        </w:rPr>
      </w:pPr>
      <w:r>
        <w:rPr>
          <w:rFonts w:hint="eastAsia" w:ascii="黑体" w:hAnsi="宋体" w:eastAsia="黑体"/>
          <w:sz w:val="24"/>
        </w:rPr>
        <w:t>21．</w:t>
      </w:r>
      <w:bookmarkStart w:id="59" w:name="_Hlk72402325"/>
      <w:r>
        <w:rPr>
          <w:rFonts w:hint="eastAsia" w:ascii="黑体" w:hAnsi="宋体" w:eastAsia="黑体"/>
          <w:sz w:val="24"/>
        </w:rPr>
        <w:t xml:space="preserve">关于投标保证金 </w:t>
      </w:r>
    </w:p>
    <w:p>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根据《深圳市财政局关于调整政府采购投标（响应）保证金管理政策的通知》（深财购〔2021〕51号）文的规定，本项目不收取投标保证金。</w:t>
      </w:r>
    </w:p>
    <w:p>
      <w:pPr>
        <w:rPr>
          <w:rFonts w:ascii="黑体" w:hAnsi="宋体" w:eastAsia="黑体"/>
          <w:sz w:val="24"/>
        </w:rPr>
      </w:pPr>
      <w:r>
        <w:rPr>
          <w:rFonts w:hint="eastAsia" w:ascii="黑体" w:hAnsi="宋体" w:eastAsia="黑体"/>
          <w:sz w:val="24"/>
        </w:rPr>
        <w:t>22．投标人的替代方案</w:t>
      </w:r>
    </w:p>
    <w:p>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9"/>
    <w:p>
      <w:pPr>
        <w:rPr>
          <w:rFonts w:ascii="黑体" w:hAnsi="宋体" w:eastAsia="黑体"/>
          <w:sz w:val="24"/>
        </w:rPr>
      </w:pPr>
      <w:r>
        <w:rPr>
          <w:rFonts w:hint="eastAsia" w:ascii="黑体" w:hAnsi="宋体" w:eastAsia="黑体"/>
          <w:sz w:val="24"/>
        </w:rPr>
        <w:t>23．</w:t>
      </w:r>
      <w:bookmarkStart w:id="60"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pPr>
        <w:ind w:firstLine="411" w:firstLineChars="196"/>
        <w:rPr>
          <w:rFonts w:ascii="宋体" w:hAnsi="宋体"/>
        </w:rPr>
      </w:pPr>
      <w:r>
        <w:rPr>
          <w:rFonts w:hint="eastAsia" w:ascii="宋体" w:hAnsi="宋体"/>
        </w:rPr>
        <w:t>23.2投标人在使用《投标书编制软件》编制投标书时须注意：</w:t>
      </w:r>
    </w:p>
    <w:p>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pPr>
        <w:ind w:firstLine="411" w:firstLineChars="196"/>
        <w:rPr>
          <w:rFonts w:ascii="宋体" w:hAnsi="宋体"/>
        </w:rPr>
      </w:pPr>
      <w:r>
        <w:rPr>
          <w:rFonts w:hint="eastAsia" w:ascii="宋体" w:hAnsi="宋体"/>
        </w:rPr>
        <w:t>23.2.4投标文件不能带病毒。政府集中采购机构将用专业杀毒软件对投标文件进行病毒检测，如果这两种软件均报告发现病毒，则政府集中采购机构认为该投标文件带病毒。</w:t>
      </w:r>
    </w:p>
    <w:p>
      <w:pPr>
        <w:ind w:firstLine="411" w:firstLineChars="196"/>
        <w:rPr>
          <w:rFonts w:ascii="宋体" w:hAnsi="宋体"/>
        </w:rPr>
      </w:pPr>
      <w:r>
        <w:rPr>
          <w:rFonts w:hint="eastAsia" w:ascii="宋体" w:hAnsi="宋体"/>
        </w:rPr>
        <w:t>23.2.5完整填写“投标关键信息”，如下图所示：</w:t>
      </w:r>
    </w:p>
    <w:p>
      <w:pPr>
        <w:ind w:firstLine="411" w:firstLineChars="196"/>
        <w:rPr>
          <w:rFonts w:ascii="宋体" w:hAnsi="宋体"/>
        </w:rPr>
      </w:pPr>
      <w:r>
        <w:rPr>
          <w:rFonts w:ascii="宋体" w:hAnsi="宋体"/>
        </w:rPr>
        <w:drawing>
          <wp:inline distT="0" distB="0" distL="0" distR="0">
            <wp:extent cx="5279390" cy="2719070"/>
            <wp:effectExtent l="0" t="0" r="3810" b="11430"/>
            <wp:docPr id="7" name="图片 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图形用户界面, 应用程序&#10;&#10;描述已自动生成"/>
                    <pic:cNvPicPr>
                      <a:picLocks noChangeAspect="1" noChangeArrowheads="1"/>
                    </pic:cNvPicPr>
                  </pic:nvPicPr>
                  <pic:blipFill>
                    <a:blip r:embed="rId7"/>
                    <a:srcRect/>
                    <a:stretch>
                      <a:fillRect/>
                    </a:stretch>
                  </pic:blipFill>
                  <pic:spPr>
                    <a:xfrm>
                      <a:off x="0" y="0"/>
                      <a:ext cx="5279390" cy="2719070"/>
                    </a:xfrm>
                    <a:prstGeom prst="rect">
                      <a:avLst/>
                    </a:prstGeom>
                    <a:noFill/>
                    <a:ln w="9525">
                      <a:noFill/>
                      <a:miter lim="800000"/>
                      <a:headEnd/>
                      <a:tailEnd/>
                    </a:ln>
                  </pic:spPr>
                </pic:pic>
              </a:graphicData>
            </a:graphic>
          </wp:inline>
        </w:drawing>
      </w:r>
    </w:p>
    <w:p>
      <w:pPr>
        <w:widowControl/>
        <w:jc w:val="left"/>
        <w:rPr>
          <w:rFonts w:ascii="宋体" w:hAnsi="宋体" w:cs="宋体"/>
          <w:kern w:val="0"/>
          <w:sz w:val="24"/>
        </w:rPr>
      </w:pPr>
    </w:p>
    <w:p>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”将作为价格分计算依据；其它信息仅是对投标文件相关内容的概括性表述，不作为评审依据。</w:t>
      </w:r>
    </w:p>
    <w:p>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pPr>
        <w:ind w:firstLine="411" w:firstLineChars="196"/>
        <w:rPr>
          <w:rFonts w:ascii="宋体" w:hAnsi="宋体"/>
        </w:rPr>
      </w:pPr>
      <w:r>
        <w:rPr>
          <w:rFonts w:hint="eastAsia" w:ascii="宋体" w:hAnsi="宋体"/>
        </w:rPr>
        <w:t>23.3电报、电话、传真形式的投标概不接受。</w:t>
      </w:r>
    </w:p>
    <w:p>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60"/>
    </w:p>
    <w:p>
      <w:pPr>
        <w:ind w:firstLine="411" w:firstLineChars="196"/>
        <w:rPr>
          <w:rFonts w:ascii="宋体" w:hAnsi="宋体"/>
          <w:szCs w:val="21"/>
        </w:rPr>
      </w:pPr>
    </w:p>
    <w:p>
      <w:pPr>
        <w:pStyle w:val="6"/>
        <w:numPr>
          <w:ilvl w:val="0"/>
          <w:numId w:val="18"/>
        </w:numPr>
        <w:spacing w:before="120" w:beforeLines="50" w:after="120" w:afterLines="50"/>
        <w:ind w:left="562" w:hanging="562"/>
        <w:rPr>
          <w:sz w:val="28"/>
          <w:szCs w:val="28"/>
        </w:rPr>
      </w:pPr>
      <w:r>
        <w:rPr>
          <w:rFonts w:hint="eastAsia"/>
          <w:sz w:val="28"/>
          <w:szCs w:val="28"/>
        </w:rPr>
        <w:t>投标文件的递交</w:t>
      </w:r>
    </w:p>
    <w:p>
      <w:pPr>
        <w:rPr>
          <w:rFonts w:ascii="黑体" w:hAnsi="宋体" w:eastAsia="黑体"/>
          <w:sz w:val="24"/>
        </w:rPr>
      </w:pPr>
      <w:bookmarkStart w:id="61" w:name="_Hlk72405459"/>
      <w:r>
        <w:rPr>
          <w:rFonts w:hint="eastAsia" w:ascii="黑体" w:hAnsi="宋体" w:eastAsia="黑体"/>
          <w:sz w:val="24"/>
        </w:rPr>
        <w:t>24．投标文件的保密</w:t>
      </w:r>
    </w:p>
    <w:p>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pPr>
        <w:ind w:firstLine="411" w:firstLineChars="196"/>
        <w:rPr>
          <w:rFonts w:ascii="宋体" w:hAnsi="宋体"/>
        </w:rPr>
      </w:pPr>
    </w:p>
    <w:p>
      <w:pPr>
        <w:ind w:firstLine="411" w:firstLineChars="196"/>
        <w:rPr>
          <w:rFonts w:ascii="宋体" w:hAnsi="宋体"/>
        </w:rPr>
      </w:pPr>
      <w:r>
        <w:rPr>
          <w:rFonts w:ascii="宋体" w:hAnsi="宋体"/>
        </w:rPr>
        <w:drawing>
          <wp:inline distT="0" distB="0" distL="0" distR="0">
            <wp:extent cx="5279390" cy="2719070"/>
            <wp:effectExtent l="0" t="0" r="3810" b="11430"/>
            <wp:docPr id="10"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图形用户界面, 应用程序&#10;&#10;描述已自动生成"/>
                    <pic:cNvPicPr>
                      <a:picLocks noChangeAspect="1" noChangeArrowheads="1"/>
                    </pic:cNvPicPr>
                  </pic:nvPicPr>
                  <pic:blipFill>
                    <a:blip r:embed="rId7"/>
                    <a:srcRect/>
                    <a:stretch>
                      <a:fillRect/>
                    </a:stretch>
                  </pic:blipFill>
                  <pic:spPr>
                    <a:xfrm>
                      <a:off x="0" y="0"/>
                      <a:ext cx="5279390" cy="2719070"/>
                    </a:xfrm>
                    <a:prstGeom prst="rect">
                      <a:avLst/>
                    </a:prstGeom>
                    <a:noFill/>
                    <a:ln w="9525">
                      <a:noFill/>
                      <a:miter lim="800000"/>
                      <a:headEnd/>
                      <a:tailEnd/>
                    </a:ln>
                  </pic:spPr>
                </pic:pic>
              </a:graphicData>
            </a:graphic>
          </wp:inline>
        </w:drawing>
      </w:r>
    </w:p>
    <w:p>
      <w:pPr>
        <w:ind w:firstLine="411" w:firstLineChars="196"/>
        <w:rPr>
          <w:rFonts w:ascii="宋体" w:hAnsi="宋体"/>
        </w:rPr>
      </w:pPr>
    </w:p>
    <w:p>
      <w:pPr>
        <w:ind w:firstLine="411" w:firstLineChars="196"/>
        <w:rPr>
          <w:rFonts w:ascii="宋体" w:hAnsi="宋体"/>
        </w:rPr>
      </w:pPr>
      <w:r>
        <w:rPr>
          <w:rFonts w:ascii="宋体" w:hAnsi="宋体"/>
        </w:rPr>
        <w:drawing>
          <wp:inline distT="0" distB="0" distL="0" distR="0">
            <wp:extent cx="5279390" cy="2727325"/>
            <wp:effectExtent l="0" t="0" r="3810" b="3175"/>
            <wp:docPr id="13"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图形用户界面&#10;&#10;描述已自动生成"/>
                    <pic:cNvPicPr>
                      <a:picLocks noChangeAspect="1" noChangeArrowheads="1"/>
                    </pic:cNvPicPr>
                  </pic:nvPicPr>
                  <pic:blipFill>
                    <a:blip r:embed="rId8"/>
                    <a:srcRect/>
                    <a:stretch>
                      <a:fillRect/>
                    </a:stretch>
                  </pic:blipFill>
                  <pic:spPr>
                    <a:xfrm>
                      <a:off x="0" y="0"/>
                      <a:ext cx="5279390" cy="2727325"/>
                    </a:xfrm>
                    <a:prstGeom prst="rect">
                      <a:avLst/>
                    </a:prstGeom>
                    <a:noFill/>
                    <a:ln w="9525">
                      <a:noFill/>
                      <a:miter lim="800000"/>
                      <a:headEnd/>
                      <a:tailEnd/>
                    </a:ln>
                  </pic:spPr>
                </pic:pic>
              </a:graphicData>
            </a:graphic>
          </wp:inline>
        </w:drawing>
      </w:r>
    </w:p>
    <w:p>
      <w:pPr>
        <w:ind w:firstLine="411" w:firstLineChars="196"/>
        <w:rPr>
          <w:rFonts w:ascii="宋体" w:hAnsi="宋体"/>
        </w:rPr>
      </w:pPr>
    </w:p>
    <w:p>
      <w:pPr>
        <w:widowControl/>
        <w:jc w:val="left"/>
        <w:rPr>
          <w:sz w:val="24"/>
        </w:rPr>
      </w:pPr>
    </w:p>
    <w:p>
      <w:pPr>
        <w:rPr>
          <w:rFonts w:ascii="宋体" w:hAnsi="宋体"/>
          <w:b/>
        </w:rPr>
      </w:pPr>
      <w:r>
        <w:rPr>
          <w:rFonts w:hint="eastAsia" w:ascii="宋体" w:hAnsi="宋体"/>
        </w:rPr>
        <w:t xml:space="preserve">   </w:t>
      </w:r>
      <w:r>
        <w:rPr>
          <w:rFonts w:hint="eastAsia" w:ascii="宋体" w:hAnsi="宋体"/>
          <w:b/>
        </w:rPr>
        <w:t xml:space="preserve"> 24.2若采购项目出现延期情况：</w:t>
      </w:r>
    </w:p>
    <w:p>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pPr>
        <w:rPr>
          <w:rFonts w:ascii="黑体" w:hAnsi="宋体" w:eastAsia="黑体"/>
          <w:sz w:val="24"/>
        </w:rPr>
      </w:pPr>
      <w:r>
        <w:rPr>
          <w:rFonts w:hint="eastAsia" w:ascii="黑体" w:hAnsi="宋体" w:eastAsia="黑体"/>
          <w:sz w:val="24"/>
        </w:rPr>
        <w:t>25．上传投标文件及投标截止日期</w:t>
      </w:r>
    </w:p>
    <w:p>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至深圳公共资源交易中心（深圳交易集团有限公司龙华分公司）（地址：深圳市龙华区观湖街道大和社区大和路288号宝观城锦鲤大厦办公楼22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pPr>
        <w:ind w:firstLine="411" w:firstLineChars="196"/>
        <w:rPr>
          <w:rFonts w:ascii="宋体" w:hAnsi="宋体"/>
        </w:rPr>
      </w:pPr>
    </w:p>
    <w:bookmarkEnd w:id="61"/>
    <w:p>
      <w:pPr>
        <w:rPr>
          <w:rFonts w:ascii="黑体" w:hAnsi="宋体" w:eastAsia="黑体"/>
          <w:sz w:val="24"/>
        </w:rPr>
      </w:pPr>
      <w:r>
        <w:rPr>
          <w:rFonts w:hint="eastAsia" w:ascii="黑体" w:hAnsi="宋体" w:eastAsia="黑体"/>
          <w:sz w:val="24"/>
        </w:rPr>
        <w:t>26. 样品、现场演示、方案讲解</w:t>
      </w:r>
    </w:p>
    <w:p>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pPr>
        <w:rPr>
          <w:rFonts w:ascii="黑体" w:hAnsi="宋体" w:eastAsia="黑体"/>
          <w:sz w:val="24"/>
        </w:rPr>
      </w:pPr>
      <w:bookmarkStart w:id="62"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62"/>
    <w:p>
      <w:pPr>
        <w:pStyle w:val="6"/>
        <w:numPr>
          <w:ilvl w:val="0"/>
          <w:numId w:val="18"/>
        </w:numPr>
        <w:spacing w:before="120" w:beforeLines="50" w:after="120" w:afterLines="50"/>
        <w:ind w:left="562" w:hanging="562"/>
        <w:rPr>
          <w:sz w:val="28"/>
          <w:szCs w:val="28"/>
        </w:rPr>
      </w:pPr>
      <w:r>
        <w:rPr>
          <w:rFonts w:hint="eastAsia"/>
          <w:sz w:val="28"/>
          <w:szCs w:val="28"/>
        </w:rPr>
        <w:t>开标</w:t>
      </w:r>
    </w:p>
    <w:p>
      <w:pPr>
        <w:rPr>
          <w:rFonts w:ascii="黑体" w:hAnsi="宋体" w:eastAsia="黑体"/>
          <w:sz w:val="24"/>
        </w:rPr>
      </w:pPr>
      <w:r>
        <w:rPr>
          <w:rFonts w:hint="eastAsia" w:ascii="黑体" w:hAnsi="宋体" w:eastAsia="黑体"/>
          <w:sz w:val="24"/>
        </w:rPr>
        <w:t>28．开标</w:t>
      </w:r>
    </w:p>
    <w:p>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pPr>
        <w:ind w:firstLine="315" w:firstLineChars="150"/>
        <w:rPr>
          <w:rFonts w:ascii="宋体" w:hAnsi="宋体"/>
          <w:szCs w:val="21"/>
        </w:rPr>
      </w:pPr>
    </w:p>
    <w:p>
      <w:pPr>
        <w:pStyle w:val="6"/>
        <w:numPr>
          <w:ilvl w:val="0"/>
          <w:numId w:val="18"/>
        </w:numPr>
        <w:spacing w:before="120" w:beforeLines="50" w:after="120" w:afterLines="50"/>
        <w:ind w:left="562" w:hanging="562"/>
        <w:rPr>
          <w:sz w:val="28"/>
          <w:szCs w:val="28"/>
        </w:rPr>
      </w:pPr>
      <w:r>
        <w:rPr>
          <w:rFonts w:hint="eastAsia"/>
          <w:sz w:val="28"/>
          <w:szCs w:val="28"/>
        </w:rPr>
        <w:t>评审要求</w:t>
      </w:r>
    </w:p>
    <w:p>
      <w:pPr>
        <w:rPr>
          <w:rFonts w:ascii="黑体" w:hAnsi="宋体" w:eastAsia="黑体"/>
          <w:sz w:val="24"/>
        </w:rPr>
      </w:pPr>
      <w:r>
        <w:rPr>
          <w:rFonts w:hint="eastAsia" w:ascii="黑体" w:hAnsi="宋体" w:eastAsia="黑体"/>
          <w:sz w:val="24"/>
        </w:rPr>
        <w:t>29．评审委员会组成</w:t>
      </w:r>
    </w:p>
    <w:p>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pPr>
        <w:ind w:firstLine="411" w:firstLineChars="196"/>
        <w:rPr>
          <w:rFonts w:hint="eastAsia" w:ascii="宋体" w:hAnsi="宋体"/>
        </w:rPr>
      </w:pPr>
      <w:bookmarkStart w:id="63"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63"/>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pPr>
        <w:ind w:firstLine="411" w:firstLineChars="196"/>
        <w:rPr>
          <w:rFonts w:ascii="宋体" w:hAnsi="宋体"/>
        </w:rPr>
      </w:pPr>
      <w:r>
        <w:rPr>
          <w:rFonts w:hint="eastAsia" w:ascii="宋体" w:hAnsi="宋体"/>
        </w:rPr>
        <w:t>29.2评审定标应当遵循公平、公正、科学、择优的原则。</w:t>
      </w:r>
    </w:p>
    <w:p>
      <w:pPr>
        <w:ind w:firstLine="411" w:firstLineChars="196"/>
        <w:rPr>
          <w:rFonts w:ascii="宋体" w:hAnsi="宋体"/>
        </w:rPr>
      </w:pPr>
      <w:r>
        <w:rPr>
          <w:rFonts w:hint="eastAsia" w:ascii="宋体" w:hAnsi="宋体"/>
        </w:rPr>
        <w:t>29.3评审活动依法进行，任何单位和个人不得非法干预评标过程和结果。</w:t>
      </w:r>
    </w:p>
    <w:p>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pPr>
        <w:rPr>
          <w:rFonts w:ascii="黑体" w:hAnsi="宋体" w:eastAsia="黑体"/>
          <w:sz w:val="24"/>
        </w:rPr>
      </w:pPr>
      <w:r>
        <w:rPr>
          <w:rFonts w:hint="eastAsia" w:ascii="黑体" w:hAnsi="宋体" w:eastAsia="黑体"/>
          <w:sz w:val="24"/>
        </w:rPr>
        <w:t>30．向评审委员会提供的资料</w:t>
      </w:r>
    </w:p>
    <w:p>
      <w:pPr>
        <w:ind w:firstLine="411" w:firstLineChars="196"/>
        <w:rPr>
          <w:rFonts w:ascii="宋体" w:hAnsi="宋体"/>
        </w:rPr>
      </w:pPr>
      <w:r>
        <w:rPr>
          <w:rFonts w:hint="eastAsia" w:ascii="宋体" w:hAnsi="宋体"/>
        </w:rPr>
        <w:t>30.1公开发布的招标文件，包括图纸、服务清单、答疑文件等；</w:t>
      </w:r>
    </w:p>
    <w:p>
      <w:pPr>
        <w:ind w:firstLine="411" w:firstLineChars="196"/>
        <w:rPr>
          <w:rFonts w:ascii="宋体" w:hAnsi="宋体"/>
        </w:rPr>
      </w:pPr>
      <w:r>
        <w:rPr>
          <w:rFonts w:hint="eastAsia" w:ascii="宋体" w:hAnsi="宋体"/>
        </w:rPr>
        <w:t>30.2其他评标必须的资料。</w:t>
      </w:r>
    </w:p>
    <w:p>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pPr>
        <w:ind w:firstLine="411" w:firstLineChars="196"/>
        <w:rPr>
          <w:rFonts w:ascii="宋体" w:hAnsi="宋体"/>
        </w:rPr>
      </w:pPr>
      <w:r>
        <w:rPr>
          <w:rFonts w:hint="eastAsia" w:ascii="宋体" w:hAnsi="宋体"/>
        </w:rPr>
        <w:t>（1）招标的目的；</w:t>
      </w:r>
    </w:p>
    <w:p>
      <w:pPr>
        <w:ind w:firstLine="411" w:firstLineChars="196"/>
        <w:rPr>
          <w:rFonts w:ascii="宋体" w:hAnsi="宋体"/>
        </w:rPr>
      </w:pPr>
      <w:r>
        <w:rPr>
          <w:rFonts w:hint="eastAsia" w:ascii="宋体" w:hAnsi="宋体"/>
        </w:rPr>
        <w:t>（2）招标项目需求的范围和性质；</w:t>
      </w:r>
    </w:p>
    <w:p>
      <w:pPr>
        <w:ind w:firstLine="411" w:firstLineChars="196"/>
        <w:rPr>
          <w:rFonts w:ascii="宋体" w:hAnsi="宋体"/>
        </w:rPr>
      </w:pPr>
      <w:r>
        <w:rPr>
          <w:rFonts w:hint="eastAsia" w:ascii="宋体" w:hAnsi="宋体"/>
        </w:rPr>
        <w:t>（3）招标文件规定的投标人的资格、财政预算限额、商务条款；</w:t>
      </w:r>
    </w:p>
    <w:p>
      <w:pPr>
        <w:ind w:firstLine="411" w:firstLineChars="196"/>
        <w:rPr>
          <w:rFonts w:ascii="宋体" w:hAnsi="宋体"/>
        </w:rPr>
      </w:pPr>
      <w:r>
        <w:rPr>
          <w:rFonts w:hint="eastAsia" w:ascii="宋体" w:hAnsi="宋体"/>
        </w:rPr>
        <w:t>（4）招标文件规定的评标程序、评标方法和评标因素；</w:t>
      </w:r>
    </w:p>
    <w:p>
      <w:pPr>
        <w:ind w:firstLine="411" w:firstLineChars="196"/>
        <w:rPr>
          <w:rFonts w:ascii="宋体" w:hAnsi="宋体"/>
        </w:rPr>
      </w:pPr>
      <w:r>
        <w:rPr>
          <w:rFonts w:hint="eastAsia" w:ascii="宋体" w:hAnsi="宋体"/>
        </w:rPr>
        <w:t>（5）招标文件所列示的资格性审查表及符合性审查表。</w:t>
      </w:r>
    </w:p>
    <w:p>
      <w:pPr>
        <w:rPr>
          <w:rFonts w:ascii="黑体" w:hAnsi="宋体" w:eastAsia="黑体"/>
          <w:sz w:val="24"/>
        </w:rPr>
      </w:pPr>
      <w:r>
        <w:rPr>
          <w:rFonts w:hint="eastAsia" w:ascii="黑体" w:hAnsi="宋体" w:eastAsia="黑体"/>
          <w:sz w:val="24"/>
        </w:rPr>
        <w:t>31．独立评审</w:t>
      </w:r>
    </w:p>
    <w:p>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pPr>
        <w:ind w:firstLine="411" w:firstLineChars="196"/>
        <w:rPr>
          <w:rFonts w:ascii="宋体" w:hAnsi="宋体"/>
          <w:bCs/>
          <w:szCs w:val="21"/>
        </w:rPr>
      </w:pPr>
    </w:p>
    <w:p>
      <w:pPr>
        <w:pStyle w:val="6"/>
        <w:numPr>
          <w:ilvl w:val="0"/>
          <w:numId w:val="18"/>
        </w:numPr>
        <w:spacing w:before="120" w:beforeLines="50" w:after="120" w:afterLines="50"/>
        <w:ind w:left="562" w:hanging="562"/>
        <w:rPr>
          <w:sz w:val="28"/>
          <w:szCs w:val="28"/>
        </w:rPr>
      </w:pPr>
      <w:r>
        <w:rPr>
          <w:rFonts w:hint="eastAsia"/>
          <w:sz w:val="28"/>
          <w:szCs w:val="28"/>
        </w:rPr>
        <w:t>评审程序及评审方法</w:t>
      </w:r>
    </w:p>
    <w:p>
      <w:pPr>
        <w:rPr>
          <w:rFonts w:ascii="黑体" w:hAnsi="宋体" w:eastAsia="黑体"/>
          <w:sz w:val="24"/>
        </w:rPr>
      </w:pPr>
      <w:r>
        <w:rPr>
          <w:rFonts w:hint="eastAsia" w:ascii="黑体" w:hAnsi="宋体" w:eastAsia="黑体"/>
          <w:sz w:val="24"/>
        </w:rPr>
        <w:t>32．投标文件初审</w:t>
      </w:r>
    </w:p>
    <w:p>
      <w:pPr>
        <w:ind w:firstLine="411" w:firstLineChars="196"/>
        <w:rPr>
          <w:rFonts w:ascii="宋体" w:hAnsi="宋体"/>
        </w:rPr>
      </w:pPr>
      <w:r>
        <w:rPr>
          <w:rFonts w:hint="eastAsia" w:ascii="宋体" w:hAnsi="宋体"/>
        </w:rPr>
        <w:t>32.1投标文件初审包括资格性审查和符合性审查。</w:t>
      </w:r>
    </w:p>
    <w:p>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pPr>
        <w:ind w:firstLine="411" w:firstLineChars="196"/>
        <w:rPr>
          <w:rFonts w:ascii="宋体" w:hAnsi="宋体"/>
        </w:rPr>
      </w:pPr>
      <w:r>
        <w:rPr>
          <w:rFonts w:hint="eastAsia" w:ascii="宋体" w:hAnsi="宋体"/>
        </w:rPr>
        <w:t>32.2 投标文件初审内容请详见《资格性审查表》和《符合性审查表》部分。投标人若有一条审查不通过则按投标无效处理。</w:t>
      </w:r>
    </w:p>
    <w:p>
      <w:pPr>
        <w:ind w:firstLine="411" w:firstLineChars="196"/>
        <w:rPr>
          <w:rFonts w:ascii="宋体" w:hAnsi="宋体"/>
          <w:bCs/>
        </w:rPr>
      </w:pPr>
      <w:r>
        <w:rPr>
          <w:rFonts w:hint="eastAsia" w:ascii="宋体" w:hAnsi="宋体"/>
          <w:bCs/>
        </w:rPr>
        <w:t>32.3 投标文件初审中关于供应商家数的计算:</w:t>
      </w:r>
    </w:p>
    <w:p>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pPr>
        <w:ind w:firstLine="411" w:firstLineChars="196"/>
        <w:rPr>
          <w:rFonts w:ascii="宋体" w:hAnsi="宋体"/>
          <w:bCs/>
        </w:rPr>
      </w:pPr>
      <w:r>
        <w:rPr>
          <w:rFonts w:hint="eastAsia" w:ascii="宋体" w:hAnsi="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pPr>
        <w:ind w:firstLine="411" w:firstLineChars="196"/>
        <w:rPr>
          <w:rFonts w:ascii="宋体" w:hAnsi="宋体"/>
        </w:rPr>
      </w:pPr>
      <w:r>
        <w:rPr>
          <w:rFonts w:hint="eastAsia" w:ascii="宋体" w:hAnsi="宋体"/>
        </w:rPr>
        <w:t>32.4.3不同投标人的投标文件载明的项目管理成员或者联系人员为同一人；</w:t>
      </w:r>
    </w:p>
    <w:p>
      <w:pPr>
        <w:ind w:firstLine="411" w:firstLineChars="196"/>
        <w:rPr>
          <w:rFonts w:ascii="宋体" w:hAnsi="宋体"/>
        </w:rPr>
      </w:pPr>
      <w:r>
        <w:rPr>
          <w:rFonts w:hint="eastAsia" w:ascii="宋体" w:hAnsi="宋体"/>
        </w:rPr>
        <w:t>32.4.4不同投标人的投标文件异常一致或者投标报价呈规律性差异；</w:t>
      </w:r>
    </w:p>
    <w:p>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pPr>
        <w:ind w:firstLine="411" w:firstLineChars="196"/>
        <w:rPr>
          <w:rFonts w:ascii="宋体" w:hAnsi="宋体"/>
        </w:rPr>
      </w:pPr>
      <w:r>
        <w:rPr>
          <w:rFonts w:hint="eastAsia" w:ascii="宋体" w:hAnsi="宋体"/>
        </w:rPr>
        <w:t>32.4.6投标供应商之间相互约定给予未中标的供应商利益补偿；</w:t>
      </w:r>
    </w:p>
    <w:p>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pPr>
        <w:ind w:firstLine="411" w:firstLineChars="196"/>
        <w:rPr>
          <w:rFonts w:ascii="宋体" w:hAnsi="宋体"/>
        </w:rPr>
      </w:pPr>
      <w:r>
        <w:rPr>
          <w:rFonts w:hint="eastAsia" w:ascii="宋体" w:hAnsi="宋体"/>
        </w:rPr>
        <w:t>32.4.8不同投标供应商的投标文件内容存在非正常一致；</w:t>
      </w:r>
    </w:p>
    <w:p>
      <w:pPr>
        <w:ind w:firstLine="411" w:firstLineChars="196"/>
        <w:rPr>
          <w:rFonts w:ascii="宋体" w:hAnsi="宋体"/>
        </w:rPr>
      </w:pPr>
      <w:r>
        <w:rPr>
          <w:rFonts w:hint="eastAsia" w:ascii="宋体" w:hAnsi="宋体"/>
        </w:rPr>
        <w:t>32.4.9在同一单位工作人员为两家以上（含两家）供应商进行同一项投标活动；</w:t>
      </w:r>
    </w:p>
    <w:p>
      <w:pPr>
        <w:ind w:firstLine="411" w:firstLineChars="196"/>
        <w:rPr>
          <w:rFonts w:ascii="宋体" w:hAnsi="宋体"/>
        </w:rPr>
      </w:pPr>
      <w:r>
        <w:rPr>
          <w:rFonts w:hint="eastAsia" w:ascii="宋体" w:hAnsi="宋体"/>
        </w:rPr>
        <w:t>32.4.10主管部门依照法律、法规认定的其他情形。</w:t>
      </w:r>
    </w:p>
    <w:p>
      <w:pPr>
        <w:ind w:firstLine="420" w:firstLineChars="200"/>
        <w:rPr>
          <w:rFonts w:hint="default" w:ascii="宋体" w:hAnsi="宋体" w:eastAsia="宋体"/>
          <w:color w:val="FF0000"/>
          <w:lang w:val="en-US" w:eastAsia="zh-CN"/>
        </w:rPr>
      </w:pPr>
      <w:r>
        <w:rPr>
          <w:rFonts w:hint="eastAsia" w:ascii="宋体" w:hAnsi="宋体"/>
          <w:color w:val="FF0000"/>
          <w:lang w:val="en-US" w:eastAsia="zh-CN"/>
        </w:rPr>
        <w:t>32.5</w:t>
      </w:r>
      <w:r>
        <w:rPr>
          <w:rFonts w:hint="eastAsia" w:ascii="宋体" w:hAnsi="宋体"/>
          <w:color w:val="FF0000"/>
        </w:rPr>
        <w:t>政府采购异常低价审查</w:t>
      </w:r>
      <w:r>
        <w:rPr>
          <w:rFonts w:hint="eastAsia" w:ascii="宋体" w:hAnsi="宋体"/>
          <w:color w:val="FF0000"/>
          <w:lang w:val="en-US" w:eastAsia="zh-CN"/>
        </w:rPr>
        <w:t>的程序及要求：</w:t>
      </w:r>
    </w:p>
    <w:p>
      <w:pPr>
        <w:ind w:firstLine="420" w:firstLineChars="200"/>
        <w:rPr>
          <w:rFonts w:hint="eastAsia" w:ascii="宋体" w:hAnsi="宋体"/>
          <w:color w:val="FF0000"/>
        </w:rPr>
      </w:pPr>
      <w:r>
        <w:rPr>
          <w:rFonts w:hint="eastAsia" w:ascii="宋体" w:hAnsi="宋体"/>
          <w:color w:val="FF0000"/>
          <w:lang w:val="en-US" w:eastAsia="zh-CN"/>
        </w:rPr>
        <w:t>32.5.1政府采购评审中出现下列情形之一的，</w:t>
      </w:r>
      <w:r>
        <w:rPr>
          <w:rFonts w:hint="eastAsia" w:ascii="宋体" w:hAnsi="宋体"/>
          <w:color w:val="FF0000"/>
        </w:rPr>
        <w:t>评审委员会应当启动异常低价投标（响应）审查程序：</w:t>
      </w:r>
    </w:p>
    <w:p>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投标（响应）报价低于全部通过符合性审查供应商投标（响应）报价平均值50%的，即投标（响应）报价&lt;全部通过符合性审查供应商投标（响应）报价平均值×50%；</w:t>
      </w:r>
    </w:p>
    <w:p>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2</w:t>
      </w:r>
      <w:r>
        <w:rPr>
          <w:rFonts w:hint="eastAsia" w:ascii="宋体" w:hAnsi="宋体"/>
          <w:color w:val="FF0000"/>
          <w:lang w:eastAsia="zh-CN"/>
        </w:rPr>
        <w:t>）</w:t>
      </w:r>
      <w:r>
        <w:rPr>
          <w:rFonts w:hint="eastAsia" w:ascii="宋体" w:hAnsi="宋体"/>
          <w:color w:val="FF0000"/>
        </w:rPr>
        <w:t>投标（响应）报价低于通过符合性审查的次低报价供应商投标（响应）报价50%的，即投标（响应）报价&lt;通过符合性审查的次低报价供应商投标（响应）报价×50%；</w:t>
      </w:r>
    </w:p>
    <w:p>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投标（响应）报价低于采购项目最高限价45%的，即投标（响应）报价&lt;采购项目最高限价×45%；</w:t>
      </w:r>
    </w:p>
    <w:p>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rPr>
        <w:t>评审委员会基于专业判断，认为供应商报价过低，有可能影响产品质量或者不能诚信履约的其他情形。</w:t>
      </w:r>
    </w:p>
    <w:p>
      <w:pPr>
        <w:ind w:firstLine="420" w:firstLineChars="200"/>
        <w:rPr>
          <w:rFonts w:hint="eastAsia" w:ascii="宋体" w:hAnsi="宋体"/>
          <w:color w:val="FF0000"/>
        </w:rPr>
      </w:pPr>
      <w:r>
        <w:rPr>
          <w:rFonts w:hint="eastAsia" w:ascii="宋体" w:hAnsi="宋体"/>
          <w:color w:val="FF0000"/>
        </w:rPr>
        <w:t>采购人可以结合具体项目实际情况，提高上述第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项至第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项中启动异常低价投标（响应）审查的数值标准，但是最高不得超过65%</w:t>
      </w:r>
      <w:r>
        <w:rPr>
          <w:rFonts w:hint="eastAsia" w:ascii="宋体" w:hAnsi="宋体"/>
          <w:color w:val="FF0000"/>
          <w:lang w:eastAsia="zh-CN"/>
        </w:rPr>
        <w:t>，</w:t>
      </w:r>
      <w:r>
        <w:rPr>
          <w:rFonts w:hint="eastAsia" w:ascii="宋体" w:hAnsi="宋体"/>
          <w:color w:val="FF0000"/>
          <w:lang w:val="en-US" w:eastAsia="zh-CN"/>
        </w:rPr>
        <w:t>具体以采购文件</w:t>
      </w:r>
      <w:r>
        <w:rPr>
          <w:rFonts w:hint="eastAsia" w:ascii="宋体" w:hAnsi="宋体"/>
          <w:color w:val="FF0000"/>
        </w:rPr>
        <w:t>《符合性审查表》</w:t>
      </w:r>
      <w:r>
        <w:rPr>
          <w:rFonts w:hint="eastAsia" w:ascii="宋体" w:hAnsi="宋体"/>
          <w:color w:val="FF0000"/>
          <w:lang w:val="en-US" w:eastAsia="zh-CN"/>
        </w:rPr>
        <w:t>为准</w:t>
      </w:r>
      <w:r>
        <w:rPr>
          <w:rFonts w:hint="eastAsia" w:ascii="宋体" w:hAnsi="宋体"/>
          <w:color w:val="FF0000"/>
        </w:rPr>
        <w:t>。</w:t>
      </w:r>
    </w:p>
    <w:p>
      <w:pPr>
        <w:ind w:firstLine="420" w:firstLineChars="200"/>
        <w:rPr>
          <w:rFonts w:hint="eastAsia" w:ascii="宋体" w:hAnsi="宋体"/>
          <w:color w:val="FF0000"/>
        </w:rPr>
      </w:pPr>
      <w:r>
        <w:rPr>
          <w:rFonts w:hint="eastAsia" w:ascii="宋体" w:hAnsi="宋体"/>
          <w:color w:val="FF0000"/>
        </w:rPr>
        <w:t>相关法律法规对供应商报价有规定的，从其规定。</w:t>
      </w:r>
    </w:p>
    <w:p>
      <w:pPr>
        <w:ind w:firstLine="420" w:firstLineChars="200"/>
        <w:rPr>
          <w:rFonts w:hint="eastAsia" w:ascii="宋体" w:hAnsi="宋体"/>
          <w:color w:val="FF0000"/>
          <w:lang w:val="en-US" w:eastAsia="zh-CN"/>
        </w:rPr>
      </w:pPr>
      <w:r>
        <w:rPr>
          <w:rFonts w:hint="eastAsia" w:ascii="宋体" w:hAnsi="宋体"/>
          <w:color w:val="FF0000"/>
          <w:lang w:val="en-US" w:eastAsia="zh-CN"/>
        </w:rPr>
        <w:t>32.5.2评审委员会启动异常低价投标（响应）审查后，属于前述第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lang w:val="en-US" w:eastAsia="zh-CN"/>
        </w:rPr>
        <w:t>项至第</w:t>
      </w: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lang w:val="en-US"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lang w:val="en-US" w:eastAsia="zh-CN"/>
        </w:rPr>
        <w:t>项情形，供应商已随投标（响应）文件一并提交相关书面说明及必要的证明材料的，在评审现场可不再重复提交。</w:t>
      </w:r>
    </w:p>
    <w:p>
      <w:pPr>
        <w:pStyle w:val="202"/>
        <w:ind w:firstLine="420" w:firstLineChars="200"/>
        <w:rPr>
          <w:rFonts w:hint="eastAsia" w:ascii="宋体" w:hAnsi="宋体"/>
          <w:color w:val="FF0000"/>
        </w:rPr>
      </w:pPr>
      <w:r>
        <w:rPr>
          <w:rFonts w:hint="eastAsia" w:ascii="宋体" w:hAnsi="宋体"/>
          <w:color w:val="FF0000"/>
          <w:lang w:val="en-US" w:eastAsia="zh-CN"/>
        </w:rPr>
        <w:t>32.5.3</w:t>
      </w:r>
      <w:r>
        <w:rPr>
          <w:rFonts w:hint="eastAsia" w:ascii="宋体" w:hAnsi="宋体"/>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202"/>
        <w:ind w:firstLine="420" w:firstLineChars="200"/>
        <w:rPr>
          <w:rFonts w:hint="eastAsia" w:ascii="宋体" w:hAnsi="宋体"/>
          <w:color w:val="FF0000"/>
          <w:lang w:val="en-US" w:eastAsia="zh-CN"/>
        </w:rPr>
      </w:pPr>
      <w:r>
        <w:rPr>
          <w:rFonts w:hint="eastAsia" w:ascii="宋体" w:hAnsi="宋体"/>
          <w:color w:val="FF0000"/>
          <w:lang w:val="en-US" w:eastAsia="zh-CN"/>
        </w:rPr>
        <w:t>32.5.4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202"/>
        <w:ind w:firstLine="420" w:firstLineChars="200"/>
        <w:rPr>
          <w:rFonts w:hint="default" w:ascii="宋体" w:hAnsi="宋体"/>
          <w:lang w:val="en-US" w:eastAsia="zh-CN"/>
        </w:rPr>
      </w:pPr>
      <w:r>
        <w:rPr>
          <w:rFonts w:hint="eastAsia" w:ascii="宋体" w:hAnsi="宋体"/>
          <w:color w:val="FF0000"/>
          <w:lang w:val="en-US" w:eastAsia="zh-CN"/>
        </w:rPr>
        <w:t>32.5.5异常低价投标（响应）审查的启动原因、审查意见和审查结果应当在评审报告中记录，并随供应商提供的相关书面说明及证明材料，以及评审委员会有关互联网浏览、查询历史一并归档。</w:t>
      </w:r>
    </w:p>
    <w:p>
      <w:pPr>
        <w:ind w:firstLine="411" w:firstLineChars="196"/>
        <w:rPr>
          <w:rFonts w:ascii="宋体" w:hAnsi="宋体"/>
        </w:rPr>
      </w:pPr>
      <w:r>
        <w:rPr>
          <w:rFonts w:hint="eastAsia" w:ascii="宋体" w:hAnsi="宋体"/>
        </w:rPr>
        <w:t>32.</w:t>
      </w:r>
      <w:r>
        <w:rPr>
          <w:rFonts w:hint="eastAsia" w:ascii="宋体" w:hAnsi="宋体"/>
          <w:lang w:val="en-US" w:eastAsia="zh-CN"/>
        </w:rPr>
        <w:t>6</w:t>
      </w:r>
      <w:r>
        <w:rPr>
          <w:rFonts w:hint="eastAsia" w:ascii="宋体" w:hAnsi="宋体"/>
        </w:rPr>
        <w:t>对不属于《资格性审查表》和《符合性审查表》所列的其他情形，除专用条款另有规定和32.4条款所列情形外，不得作为投标无效的理由。</w:t>
      </w:r>
    </w:p>
    <w:p>
      <w:pPr>
        <w:rPr>
          <w:rFonts w:ascii="黑体" w:hAnsi="宋体" w:eastAsia="黑体"/>
          <w:sz w:val="24"/>
        </w:rPr>
      </w:pPr>
      <w:r>
        <w:rPr>
          <w:rFonts w:hint="eastAsia" w:ascii="黑体" w:hAnsi="宋体" w:eastAsia="黑体"/>
          <w:sz w:val="24"/>
        </w:rPr>
        <w:t>33．澄清有关问题</w:t>
      </w:r>
    </w:p>
    <w:p>
      <w:pPr>
        <w:ind w:firstLine="411" w:firstLineChars="196"/>
        <w:rPr>
          <w:rFonts w:ascii="宋体" w:hAnsi="宋体"/>
        </w:rPr>
      </w:pPr>
      <w:bookmarkStart w:id="64"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64"/>
    </w:p>
    <w:p>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pPr>
        <w:rPr>
          <w:rFonts w:ascii="黑体" w:hAnsi="宋体" w:eastAsia="黑体"/>
          <w:sz w:val="24"/>
        </w:rPr>
      </w:pPr>
      <w:bookmarkStart w:id="65" w:name="_Toc100052400"/>
      <w:bookmarkStart w:id="66" w:name="_Toc73517673"/>
      <w:bookmarkStart w:id="67" w:name="_Toc73518151"/>
      <w:bookmarkStart w:id="68" w:name="_Toc73521669"/>
      <w:bookmarkStart w:id="69" w:name="_Toc73521581"/>
      <w:r>
        <w:rPr>
          <w:rFonts w:hint="eastAsia" w:ascii="黑体" w:hAnsi="宋体" w:eastAsia="黑体"/>
          <w:sz w:val="24"/>
        </w:rPr>
        <w:t>34．错误的修正</w:t>
      </w:r>
      <w:bookmarkEnd w:id="65"/>
      <w:bookmarkEnd w:id="66"/>
      <w:bookmarkEnd w:id="67"/>
      <w:bookmarkEnd w:id="68"/>
      <w:bookmarkEnd w:id="69"/>
    </w:p>
    <w:p>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pPr>
        <w:ind w:firstLine="411" w:firstLineChars="196"/>
        <w:rPr>
          <w:rFonts w:ascii="宋体" w:hAnsi="宋体"/>
          <w:szCs w:val="21"/>
        </w:rPr>
      </w:pPr>
      <w:r>
        <w:rPr>
          <w:rFonts w:hint="eastAsia" w:ascii="宋体" w:hAnsi="宋体"/>
          <w:szCs w:val="21"/>
        </w:rPr>
        <w:t>34.2大写金额和小写金额不一致的，以大写金额为准；</w:t>
      </w:r>
    </w:p>
    <w:p>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pPr>
        <w:ind w:firstLine="411" w:firstLineChars="196"/>
        <w:rPr>
          <w:rFonts w:ascii="宋体" w:hAnsi="宋体"/>
          <w:szCs w:val="21"/>
        </w:rPr>
      </w:pPr>
      <w:r>
        <w:rPr>
          <w:rFonts w:hint="eastAsia" w:ascii="宋体" w:hAnsi="宋体"/>
          <w:szCs w:val="21"/>
        </w:rPr>
        <w:t>34.4总价金额与按单价汇总金额不一致的，以单价金额计算结果为准。</w:t>
      </w:r>
    </w:p>
    <w:p>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pPr>
        <w:rPr>
          <w:rFonts w:ascii="黑体" w:hAnsi="宋体" w:eastAsia="黑体"/>
          <w:sz w:val="24"/>
        </w:rPr>
      </w:pPr>
      <w:r>
        <w:rPr>
          <w:rFonts w:hint="eastAsia" w:ascii="黑体" w:hAnsi="宋体" w:eastAsia="黑体"/>
          <w:sz w:val="24"/>
        </w:rPr>
        <w:t>35．投标文件的比较与评价</w:t>
      </w:r>
    </w:p>
    <w:p>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pPr>
        <w:rPr>
          <w:rFonts w:ascii="黑体" w:hAnsi="宋体" w:eastAsia="黑体"/>
          <w:sz w:val="24"/>
        </w:rPr>
      </w:pPr>
      <w:r>
        <w:rPr>
          <w:rFonts w:hint="eastAsia" w:ascii="黑体" w:hAnsi="宋体" w:eastAsia="黑体"/>
          <w:sz w:val="24"/>
        </w:rPr>
        <w:t>36. 实地考察</w:t>
      </w:r>
    </w:p>
    <w:p>
      <w:pPr>
        <w:ind w:firstLine="411" w:firstLineChars="196"/>
        <w:rPr>
          <w:rFonts w:ascii="宋体" w:hAnsi="宋体"/>
          <w:szCs w:val="21"/>
        </w:rPr>
      </w:pPr>
      <w:r>
        <w:rPr>
          <w:rFonts w:hint="eastAsia" w:ascii="宋体" w:hAnsi="宋体"/>
          <w:szCs w:val="21"/>
        </w:rPr>
        <w:t>36.1</w:t>
      </w:r>
      <w:r>
        <w:rPr>
          <w:rFonts w:hint="eastAsia" w:ascii="宋体" w:hAnsi="宋体"/>
          <w:szCs w:val="21"/>
          <w:lang w:val="en-US" w:eastAsia="zh-CN"/>
        </w:rPr>
        <w:t>在评审期间，评审委员会根据招标文件规定（详见“一、对通用条款的补充内容”），有权对本项目的投标人开展实地考察，投标人需时刻做好接收实地考察的准备。</w:t>
      </w:r>
    </w:p>
    <w:p>
      <w:pPr>
        <w:rPr>
          <w:rFonts w:ascii="黑体" w:hAnsi="宋体" w:eastAsia="黑体"/>
          <w:sz w:val="24"/>
        </w:rPr>
      </w:pPr>
      <w:r>
        <w:rPr>
          <w:rFonts w:hint="eastAsia" w:ascii="黑体" w:hAnsi="宋体" w:eastAsia="黑体"/>
          <w:sz w:val="24"/>
        </w:rPr>
        <w:t>37．评审方法</w:t>
      </w:r>
    </w:p>
    <w:p>
      <w:pPr>
        <w:ind w:firstLine="413" w:firstLineChars="196"/>
        <w:rPr>
          <w:rFonts w:ascii="宋体" w:hAnsi="宋体"/>
          <w:b/>
          <w:bCs/>
          <w:szCs w:val="21"/>
        </w:rPr>
      </w:pPr>
      <w:r>
        <w:rPr>
          <w:rFonts w:hint="eastAsia" w:ascii="宋体" w:hAnsi="宋体"/>
          <w:b/>
          <w:bCs/>
          <w:szCs w:val="21"/>
        </w:rPr>
        <w:t>37.1.1最低价法</w:t>
      </w:r>
    </w:p>
    <w:p>
      <w:pPr>
        <w:ind w:firstLine="411" w:firstLineChars="196"/>
        <w:rPr>
          <w:rFonts w:ascii="ˎ̥" w:hAnsi="ˎ̥"/>
        </w:rPr>
      </w:pPr>
      <w:bookmarkStart w:id="70"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pPr>
        <w:ind w:firstLine="413" w:firstLineChars="196"/>
        <w:rPr>
          <w:rFonts w:ascii="宋体" w:hAnsi="宋体"/>
          <w:b/>
          <w:bCs/>
          <w:szCs w:val="21"/>
        </w:rPr>
      </w:pPr>
      <w:r>
        <w:rPr>
          <w:rFonts w:hint="eastAsia" w:ascii="宋体" w:hAnsi="宋体"/>
          <w:b/>
          <w:bCs/>
          <w:szCs w:val="21"/>
        </w:rPr>
        <w:t>37.1.2综合评分法</w:t>
      </w:r>
    </w:p>
    <w:p>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70"/>
    </w:p>
    <w:p>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rPr>
        <w:t>7.2 本项目采用的评审方法见本项目招标文件第一册“专用条款”的相关内容。</w:t>
      </w:r>
    </w:p>
    <w:p>
      <w:pPr>
        <w:ind w:firstLine="413" w:firstLineChars="196"/>
        <w:rPr>
          <w:rFonts w:ascii="宋体" w:hAnsi="宋体"/>
          <w:b/>
          <w:bCs/>
          <w:szCs w:val="21"/>
        </w:rPr>
      </w:pPr>
      <w:r>
        <w:rPr>
          <w:rFonts w:hint="eastAsia" w:ascii="宋体" w:hAnsi="宋体"/>
          <w:b/>
          <w:bCs/>
          <w:szCs w:val="21"/>
        </w:rPr>
        <w:t>37.3重新评审的情形</w:t>
      </w:r>
    </w:p>
    <w:p>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pPr>
        <w:ind w:firstLine="411" w:firstLineChars="196"/>
        <w:rPr>
          <w:rFonts w:ascii="宋体" w:hAnsi="宋体" w:cs="宋体"/>
          <w:kern w:val="0"/>
          <w:szCs w:val="21"/>
        </w:rPr>
      </w:pPr>
      <w:r>
        <w:rPr>
          <w:rFonts w:hint="eastAsia" w:ascii="宋体" w:hAnsi="宋体" w:cs="宋体"/>
          <w:kern w:val="0"/>
          <w:szCs w:val="21"/>
        </w:rPr>
        <w:t>37.3.1分值汇总计算错误的；</w:t>
      </w:r>
    </w:p>
    <w:p>
      <w:pPr>
        <w:ind w:firstLine="411" w:firstLineChars="196"/>
        <w:rPr>
          <w:rFonts w:ascii="宋体" w:hAnsi="宋体" w:cs="宋体"/>
          <w:kern w:val="0"/>
          <w:szCs w:val="21"/>
        </w:rPr>
      </w:pPr>
      <w:r>
        <w:rPr>
          <w:rFonts w:hint="eastAsia" w:ascii="宋体" w:hAnsi="宋体" w:cs="宋体"/>
          <w:kern w:val="0"/>
          <w:szCs w:val="21"/>
        </w:rPr>
        <w:t>37.3.2分项评分超出评分标准范围的；</w:t>
      </w:r>
    </w:p>
    <w:p>
      <w:pPr>
        <w:ind w:firstLine="411" w:firstLineChars="196"/>
        <w:rPr>
          <w:rFonts w:ascii="宋体" w:hAnsi="宋体" w:cs="宋体"/>
          <w:kern w:val="0"/>
          <w:szCs w:val="21"/>
        </w:rPr>
      </w:pPr>
      <w:r>
        <w:rPr>
          <w:rFonts w:hint="eastAsia" w:ascii="宋体" w:hAnsi="宋体" w:cs="宋体"/>
          <w:kern w:val="0"/>
          <w:szCs w:val="21"/>
        </w:rPr>
        <w:t>37.3.3评审委员会成员对客观评审因素评分不一致的；</w:t>
      </w:r>
    </w:p>
    <w:p>
      <w:pPr>
        <w:ind w:firstLine="411" w:firstLineChars="196"/>
        <w:rPr>
          <w:rFonts w:ascii="宋体" w:hAnsi="宋体" w:cs="宋体"/>
          <w:kern w:val="0"/>
          <w:szCs w:val="21"/>
        </w:rPr>
      </w:pPr>
      <w:r>
        <w:rPr>
          <w:rFonts w:hint="eastAsia" w:ascii="宋体" w:hAnsi="宋体" w:cs="宋体"/>
          <w:kern w:val="0"/>
          <w:szCs w:val="21"/>
        </w:rPr>
        <w:t>37.3.4经评审委员会认定评分畸高、畸低的。</w:t>
      </w:r>
    </w:p>
    <w:p>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pPr>
        <w:ind w:firstLine="413" w:firstLineChars="196"/>
        <w:rPr>
          <w:rFonts w:ascii="宋体" w:hAnsi="宋体"/>
          <w:b/>
          <w:bCs/>
          <w:szCs w:val="21"/>
        </w:rPr>
      </w:pPr>
      <w:r>
        <w:rPr>
          <w:rFonts w:hint="eastAsia" w:ascii="宋体" w:hAnsi="宋体"/>
          <w:b/>
          <w:bCs/>
          <w:szCs w:val="21"/>
        </w:rPr>
        <w:t>37.4重新组建评审委员会的情形</w:t>
      </w:r>
    </w:p>
    <w:p>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pPr>
        <w:ind w:firstLine="411" w:firstLineChars="196"/>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pPr>
        <w:ind w:firstLine="411" w:firstLineChars="196"/>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pPr>
        <w:ind w:firstLine="411" w:firstLineChars="196"/>
        <w:rPr>
          <w:rFonts w:ascii="宋体" w:hAnsi="宋体" w:cs="宋体"/>
          <w:kern w:val="0"/>
          <w:szCs w:val="21"/>
        </w:rPr>
      </w:pPr>
      <w:r>
        <w:rPr>
          <w:rFonts w:hint="eastAsia" w:ascii="宋体" w:hAnsi="宋体" w:cs="宋体"/>
          <w:kern w:val="0"/>
          <w:szCs w:val="21"/>
        </w:rPr>
        <w:t>37.4.3评审委员会及其成员独立评标受到非法干预的；</w:t>
      </w:r>
    </w:p>
    <w:p>
      <w:pPr>
        <w:ind w:firstLine="411" w:firstLineChars="196"/>
        <w:rPr>
          <w:rFonts w:ascii="宋体" w:hAnsi="宋体" w:cs="宋体"/>
          <w:kern w:val="0"/>
          <w:szCs w:val="21"/>
        </w:rPr>
      </w:pPr>
      <w:r>
        <w:rPr>
          <w:rFonts w:hint="eastAsia" w:ascii="宋体" w:hAnsi="宋体" w:cs="宋体"/>
          <w:kern w:val="0"/>
          <w:szCs w:val="21"/>
        </w:rPr>
        <w:t>37.4.4有政府采购法实施条例第七十五条规定的违法行为的。</w:t>
      </w:r>
    </w:p>
    <w:p>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pPr>
        <w:ind w:firstLine="411" w:firstLineChars="196"/>
        <w:rPr>
          <w:rFonts w:ascii="宋体" w:hAnsi="宋体"/>
          <w:szCs w:val="21"/>
        </w:rPr>
      </w:pPr>
    </w:p>
    <w:p>
      <w:pPr>
        <w:pStyle w:val="6"/>
        <w:numPr>
          <w:ilvl w:val="0"/>
          <w:numId w:val="18"/>
        </w:numPr>
        <w:spacing w:before="120" w:beforeLines="50" w:after="120" w:afterLines="50"/>
        <w:ind w:left="562" w:hanging="562"/>
        <w:rPr>
          <w:sz w:val="28"/>
          <w:szCs w:val="28"/>
        </w:rPr>
      </w:pPr>
      <w:r>
        <w:rPr>
          <w:rFonts w:hint="eastAsia"/>
          <w:sz w:val="28"/>
          <w:szCs w:val="28"/>
        </w:rPr>
        <w:t>定标及公示</w:t>
      </w:r>
    </w:p>
    <w:p>
      <w:pPr>
        <w:rPr>
          <w:rFonts w:ascii="黑体" w:hAnsi="宋体" w:eastAsia="黑体"/>
          <w:sz w:val="24"/>
        </w:rPr>
      </w:pPr>
      <w:r>
        <w:rPr>
          <w:rFonts w:hint="eastAsia" w:ascii="黑体" w:hAnsi="宋体" w:eastAsia="黑体"/>
          <w:sz w:val="24"/>
        </w:rPr>
        <w:t>38．定标方法</w:t>
      </w:r>
    </w:p>
    <w:p>
      <w:pPr>
        <w:ind w:firstLine="411" w:firstLineChars="196"/>
        <w:rPr>
          <w:rFonts w:ascii="宋体" w:hAnsi="宋体"/>
          <w:szCs w:val="21"/>
        </w:rPr>
      </w:pPr>
      <w:r>
        <w:rPr>
          <w:rFonts w:hint="eastAsia" w:ascii="宋体" w:hAnsi="宋体"/>
          <w:szCs w:val="21"/>
        </w:rPr>
        <w:t>38.1非评定分离项目定标方法</w:t>
      </w:r>
    </w:p>
    <w:p>
      <w:pPr>
        <w:ind w:firstLine="411" w:firstLineChars="196"/>
        <w:rPr>
          <w:rFonts w:ascii="宋体" w:hAnsi="宋体"/>
          <w:szCs w:val="21"/>
        </w:rPr>
      </w:pPr>
      <w:r>
        <w:rPr>
          <w:rFonts w:hint="eastAsia" w:ascii="宋体" w:hAnsi="宋体"/>
          <w:szCs w:val="21"/>
        </w:rPr>
        <w:t>38</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pPr>
        <w:ind w:firstLine="411" w:firstLineChars="196"/>
        <w:rPr>
          <w:rFonts w:ascii="ˎ̥" w:hAnsi="ˎ̥"/>
        </w:rPr>
      </w:pPr>
      <w:r>
        <w:rPr>
          <w:rFonts w:hint="eastAsia" w:ascii="宋体" w:hAnsi="宋体"/>
          <w:szCs w:val="21"/>
        </w:rPr>
        <w:t>38</w:t>
      </w:r>
      <w:r>
        <w:rPr>
          <w:rFonts w:ascii="宋体" w:hAnsi="宋体"/>
          <w:szCs w:val="21"/>
        </w:rPr>
        <w:t>.</w:t>
      </w:r>
      <w:r>
        <w:rPr>
          <w:rFonts w:hint="eastAsia" w:ascii="宋体" w:hAnsi="宋体"/>
          <w:szCs w:val="21"/>
        </w:rPr>
        <w:t>1.2</w:t>
      </w:r>
      <w:r>
        <w:rPr>
          <w:rFonts w:ascii="ˎ̥" w:hAnsi="ˎ̥"/>
        </w:rPr>
        <w:t>采用最低价法的，评</w:t>
      </w:r>
      <w:r>
        <w:rPr>
          <w:rFonts w:hint="eastAsia" w:ascii="ˎ̥" w:hAnsi="ˎ̥"/>
        </w:rPr>
        <w:t>审</w:t>
      </w:r>
      <w:r>
        <w:rPr>
          <w:rFonts w:ascii="ˎ̥" w:hAnsi="ˎ̥"/>
        </w:rPr>
        <w:t>结果按投标报价由低到高顺序排列。投标报价相同的并列。投标文件满足招标文件全部实质性要求且投标报价最低的</w:t>
      </w:r>
      <w:r>
        <w:rPr>
          <w:rFonts w:hint="eastAsia" w:ascii="ˎ̥" w:hAnsi="ˎ̥"/>
        </w:rPr>
        <w:t>投标人为中标供应商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ascii="ˎ̥" w:hAnsi="ˎ̥"/>
        </w:rPr>
        <w:t>）。</w:t>
      </w:r>
      <w:r>
        <w:rPr>
          <w:rFonts w:hint="eastAsia" w:ascii="ˎ̥" w:hAnsi="ˎ̥"/>
        </w:rPr>
        <w:t>出现投标报价相同的并列情况时，采取随机抽取的方式确定。（抽签原则：在深圳公共资源交易中心（深圳交易集团有限公司龙华分公司）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pPr>
        <w:ind w:firstLine="411" w:firstLineChars="196"/>
        <w:rPr>
          <w:rFonts w:ascii="ˎ̥" w:hAnsi="ˎ̥"/>
        </w:rPr>
      </w:pPr>
      <w:r>
        <w:rPr>
          <w:rFonts w:hint="eastAsia" w:ascii="宋体" w:hAnsi="宋体"/>
          <w:szCs w:val="21"/>
        </w:rPr>
        <w:t>38</w:t>
      </w:r>
      <w:r>
        <w:rPr>
          <w:rFonts w:ascii="宋体" w:hAnsi="宋体"/>
          <w:szCs w:val="21"/>
        </w:rPr>
        <w:t>.</w:t>
      </w:r>
      <w:r>
        <w:rPr>
          <w:rFonts w:hint="eastAsia" w:ascii="宋体" w:hAnsi="宋体"/>
          <w:szCs w:val="21"/>
        </w:rPr>
        <w:t>1.3</w:t>
      </w:r>
      <w:r>
        <w:rPr>
          <w:rFonts w:ascii="宋体" w:hAnsi="宋体"/>
          <w:szCs w:val="21"/>
        </w:rPr>
        <w:t>采</w:t>
      </w:r>
      <w:r>
        <w:rPr>
          <w:rFonts w:ascii="ˎ̥" w:hAnsi="ˎ̥"/>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w:t>
      </w:r>
      <w:r>
        <w:rPr>
          <w:rFonts w:hint="eastAsia" w:ascii="ˎ̥" w:hAnsi="ˎ̥"/>
        </w:rPr>
        <w:t>为中标供应商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ascii="ˎ̥" w:hAnsi="ˎ̥"/>
        </w:rPr>
        <w:t>）。</w:t>
      </w:r>
      <w:r>
        <w:rPr>
          <w:rFonts w:hint="eastAsia" w:ascii="宋体" w:hAnsi="宋体" w:eastAsia="宋体" w:cs="宋体"/>
          <w:b w:val="0"/>
          <w:bCs w:val="0"/>
          <w:kern w:val="2"/>
          <w:sz w:val="21"/>
          <w:szCs w:val="21"/>
          <w:highlight w:val="none"/>
          <w:lang w:val="en-US" w:eastAsia="zh-CN" w:bidi="ar-SA"/>
        </w:rPr>
        <w:t>出现得分且投标报价相同的并列情况时，采取随机抽取的方式确定。（抽签原则：在深圳公共资源交易中心（深圳交易集团有限公司龙华</w:t>
      </w:r>
      <w:r>
        <w:rPr>
          <w:rFonts w:hint="eastAsia" w:ascii="ˎ̥" w:hAnsi="ˎ̥"/>
        </w:rPr>
        <w:t>分公司</w:t>
      </w:r>
      <w:r>
        <w:rPr>
          <w:rFonts w:hint="eastAsia" w:ascii="宋体" w:hAnsi="宋体" w:eastAsia="宋体" w:cs="宋体"/>
          <w:b w:val="0"/>
          <w:bCs w:val="0"/>
          <w:kern w:val="2"/>
          <w:sz w:val="21"/>
          <w:szCs w:val="21"/>
          <w:highlight w:val="none"/>
          <w:lang w:val="en-US" w:eastAsia="zh-CN" w:bidi="ar-SA"/>
        </w:rPr>
        <w:t>）的组织下，由评标委员会作为抽签小组进行随机抽签确定排序。（1）编号。抽签小组按上传投标文件的时间先后确定抽签编号，如A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pPr>
        <w:ind w:firstLine="411" w:firstLineChars="196"/>
        <w:rPr>
          <w:rFonts w:ascii="宋体" w:hAnsi="宋体"/>
          <w:szCs w:val="21"/>
        </w:rPr>
      </w:pPr>
      <w:r>
        <w:rPr>
          <w:rFonts w:hint="eastAsia" w:ascii="宋体" w:hAnsi="宋体"/>
          <w:szCs w:val="21"/>
        </w:rPr>
        <w:t>38.2评定分离项目定标方法</w:t>
      </w:r>
    </w:p>
    <w:p>
      <w:pPr>
        <w:ind w:firstLine="411" w:firstLineChars="196"/>
        <w:rPr>
          <w:rFonts w:ascii="宋体" w:hAnsi="宋体"/>
          <w:szCs w:val="21"/>
        </w:rPr>
      </w:pPr>
      <w:r>
        <w:rPr>
          <w:rFonts w:hint="eastAsia" w:ascii="宋体" w:hAnsi="宋体"/>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pPr>
        <w:ind w:firstLine="411" w:firstLineChars="196"/>
      </w:pPr>
      <w:r>
        <w:rPr>
          <w:rFonts w:ascii="宋体" w:hAnsi="宋体"/>
          <w:szCs w:val="21"/>
        </w:rPr>
        <w:t xml:space="preserve">38.2.2 </w:t>
      </w:r>
      <w:bookmarkStart w:id="71"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pPr>
        <w:ind w:firstLine="411" w:firstLineChars="196"/>
        <w:rPr>
          <w:rFonts w:ascii="宋体" w:hAnsi="宋体"/>
          <w:szCs w:val="21"/>
        </w:rPr>
      </w:pPr>
      <w:r>
        <w:rPr>
          <w:rFonts w:hint="eastAsia" w:ascii="宋体" w:hAnsi="宋体"/>
          <w:szCs w:val="21"/>
        </w:rPr>
        <w:t>38.2.3</w:t>
      </w:r>
      <w:bookmarkStart w:id="72"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71"/>
      <w:bookmarkEnd w:id="72"/>
    </w:p>
    <w:p>
      <w:pPr>
        <w:ind w:firstLine="411" w:firstLineChars="196"/>
        <w:rPr>
          <w:rFonts w:ascii="宋体" w:hAnsi="宋体"/>
          <w:szCs w:val="21"/>
        </w:rPr>
      </w:pPr>
      <w:r>
        <w:rPr>
          <w:rFonts w:ascii="宋体" w:hAnsi="宋体"/>
          <w:szCs w:val="21"/>
        </w:rPr>
        <w:t>38.2.4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政府集中采购机构。具体定标程序及相关要求以按照《深圳市财政局关于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pPr>
        <w:ind w:firstLine="411" w:firstLineChars="196"/>
        <w:rPr>
          <w:rFonts w:ascii="宋体" w:hAnsi="宋体"/>
          <w:szCs w:val="21"/>
        </w:rPr>
      </w:pPr>
      <w:r>
        <w:rPr>
          <w:rFonts w:hint="eastAsia" w:ascii="宋体" w:hAnsi="宋体"/>
          <w:szCs w:val="21"/>
        </w:rPr>
        <w:t>说明：采购人及投标供应商应按照上述方法提前做好相关准备。</w:t>
      </w:r>
    </w:p>
    <w:p>
      <w:pPr>
        <w:ind w:firstLine="411" w:firstLineChars="196"/>
        <w:rPr>
          <w:rFonts w:ascii="宋体" w:hAnsi="宋体"/>
          <w:szCs w:val="21"/>
        </w:rPr>
      </w:pPr>
      <w:r>
        <w:rPr>
          <w:rFonts w:hint="eastAsia" w:ascii="宋体" w:hAnsi="宋体"/>
          <w:szCs w:val="21"/>
        </w:rPr>
        <w:t>38.3专用条款另有规定的，按专用条款相关要求定标。</w:t>
      </w:r>
    </w:p>
    <w:p>
      <w:pPr>
        <w:rPr>
          <w:rFonts w:ascii="黑体" w:hAnsi="宋体" w:eastAsia="黑体"/>
          <w:sz w:val="24"/>
        </w:rPr>
      </w:pPr>
      <w:r>
        <w:rPr>
          <w:rFonts w:hint="eastAsia" w:ascii="黑体" w:hAnsi="宋体" w:eastAsia="黑体"/>
          <w:sz w:val="24"/>
        </w:rPr>
        <w:t>39．编写评审报告</w:t>
      </w:r>
    </w:p>
    <w:p>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pPr>
        <w:rPr>
          <w:rFonts w:ascii="黑体" w:hAnsi="宋体" w:eastAsia="黑体"/>
          <w:sz w:val="24"/>
        </w:rPr>
      </w:pPr>
      <w:r>
        <w:rPr>
          <w:rFonts w:hint="eastAsia" w:ascii="黑体" w:hAnsi="宋体" w:eastAsia="黑体"/>
          <w:sz w:val="24"/>
        </w:rPr>
        <w:t>40．中标公告</w:t>
      </w:r>
    </w:p>
    <w:p>
      <w:pPr>
        <w:ind w:firstLine="420" w:firstLineChars="200"/>
        <w:rPr>
          <w:rFonts w:ascii="宋体" w:hAnsi="宋体"/>
          <w:szCs w:val="21"/>
        </w:rPr>
      </w:pPr>
      <w:r>
        <w:rPr>
          <w:rFonts w:hint="eastAsia" w:ascii="宋体" w:hAnsi="宋体"/>
          <w:szCs w:val="21"/>
        </w:rPr>
        <w:t>40.1</w:t>
      </w:r>
      <w:bookmarkStart w:id="73"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73"/>
      <w:bookmarkStart w:id="74"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p>
    <w:bookmarkEnd w:id="74"/>
    <w:p>
      <w:pPr>
        <w:ind w:firstLine="420" w:firstLineChars="200"/>
        <w:rPr>
          <w:rFonts w:hint="eastAsia" w:ascii="宋体" w:hAnsi="宋体"/>
          <w:szCs w:val="21"/>
        </w:rPr>
      </w:pPr>
      <w:r>
        <w:rPr>
          <w:rFonts w:hint="eastAsia" w:ascii="宋体" w:hAnsi="宋体"/>
          <w:szCs w:val="21"/>
        </w:rPr>
        <w:t>40.2质疑、投诉供应商应保证质疑、投诉内容的真实性和可靠性，并承担相应的法律责任。</w:t>
      </w:r>
    </w:p>
    <w:p>
      <w:pPr>
        <w:pStyle w:val="2"/>
        <w:spacing w:line="240" w:lineRule="auto"/>
        <w:ind w:firstLine="420" w:firstLineChars="200"/>
      </w:pPr>
      <w:r>
        <w:rPr>
          <w:rFonts w:hint="eastAsia" w:ascii="宋体" w:hAnsi="宋体" w:cs="Times New Roman"/>
          <w:b w:val="0"/>
          <w:bCs w:val="0"/>
          <w:kern w:val="2"/>
          <w:sz w:val="21"/>
          <w:szCs w:val="21"/>
          <w:lang w:val="en-US" w:eastAsia="zh-CN" w:bidi="ar-SA"/>
        </w:rPr>
        <w:t>40</w:t>
      </w:r>
      <w:r>
        <w:rPr>
          <w:rFonts w:hint="eastAsia" w:ascii="宋体" w:hAnsi="宋体" w:eastAsia="宋体" w:cs="Times New Roman"/>
          <w:b w:val="0"/>
          <w:bCs w:val="0"/>
          <w:kern w:val="2"/>
          <w:sz w:val="21"/>
          <w:szCs w:val="21"/>
          <w:lang w:val="en-US" w:eastAsia="zh-CN" w:bidi="ar-SA"/>
        </w:rPr>
        <w:t>.3 采用综合评分法评审的，未中标（成交）供应商可联系政府集中采购机构了解自身的评审得分与排序，政府集中采购机构将告知未中标（成交）供应商其自身的评审得分及总排序</w:t>
      </w:r>
      <w:r>
        <w:rPr>
          <w:rFonts w:hint="eastAsia" w:ascii="宋体" w:hAnsi="宋体" w:cs="Times New Roman"/>
          <w:b w:val="0"/>
          <w:bCs w:val="0"/>
          <w:kern w:val="2"/>
          <w:sz w:val="21"/>
          <w:szCs w:val="21"/>
          <w:lang w:val="en-US" w:eastAsia="zh-CN" w:bidi="ar-SA"/>
        </w:rPr>
        <w:t>（得分包括：总得分和价格、技术、商务、综合实力等大项得分，不包括各细项明细得分）</w:t>
      </w:r>
      <w:r>
        <w:rPr>
          <w:rFonts w:hint="eastAsia" w:ascii="宋体" w:hAnsi="宋体" w:eastAsia="宋体" w:cs="Times New Roman"/>
          <w:b w:val="0"/>
          <w:bCs w:val="0"/>
          <w:kern w:val="2"/>
          <w:sz w:val="21"/>
          <w:szCs w:val="21"/>
          <w:lang w:val="en-US" w:eastAsia="zh-CN" w:bidi="ar-SA"/>
        </w:rPr>
        <w:t>。</w:t>
      </w:r>
    </w:p>
    <w:p>
      <w:pPr>
        <w:rPr>
          <w:rFonts w:ascii="黑体" w:hAnsi="宋体" w:eastAsia="黑体"/>
          <w:sz w:val="24"/>
        </w:rPr>
      </w:pPr>
      <w:r>
        <w:rPr>
          <w:rFonts w:hint="eastAsia" w:ascii="黑体" w:hAnsi="宋体" w:eastAsia="黑体"/>
          <w:sz w:val="24"/>
        </w:rPr>
        <w:t>41．中标通知书</w:t>
      </w:r>
    </w:p>
    <w:p>
      <w:pPr>
        <w:ind w:firstLine="411" w:firstLineChars="196"/>
        <w:rPr>
          <w:rFonts w:hint="eastAsia" w:ascii="宋体" w:hAnsi="宋体"/>
          <w:szCs w:val="21"/>
        </w:rPr>
      </w:pPr>
      <w:r>
        <w:rPr>
          <w:rFonts w:hint="eastAsia" w:ascii="宋体" w:hAnsi="宋体"/>
          <w:szCs w:val="21"/>
        </w:rPr>
        <w:t>41</w:t>
      </w:r>
      <w:r>
        <w:rPr>
          <w:rFonts w:ascii="宋体" w:hAnsi="宋体"/>
          <w:szCs w:val="21"/>
        </w:rPr>
        <w:t>.</w:t>
      </w:r>
      <w:r>
        <w:rPr>
          <w:rFonts w:hint="eastAsia" w:ascii="宋体" w:hAnsi="宋体"/>
          <w:szCs w:val="21"/>
        </w:rPr>
        <w:t>1</w:t>
      </w:r>
      <w:bookmarkStart w:id="75" w:name="_Hlk72438863"/>
      <w:r>
        <w:rPr>
          <w:rFonts w:hint="eastAsia" w:ascii="宋体" w:hAnsi="宋体"/>
          <w:szCs w:val="21"/>
        </w:rPr>
        <w:t>中标公告公布以后无异常的情况下,中标供应商和采购人可自行在</w:t>
      </w:r>
      <w:r>
        <w:rPr>
          <w:rFonts w:hint="eastAsia" w:ascii="宋体" w:hAnsi="宋体"/>
          <w:b/>
          <w:bCs/>
          <w:szCs w:val="21"/>
        </w:rPr>
        <w:t>“深圳政府采购智慧平台</w:t>
      </w:r>
      <w:bookmarkEnd w:id="75"/>
      <w:r>
        <w:rPr>
          <w:rFonts w:hint="eastAsia" w:ascii="宋体" w:hAnsi="宋体"/>
          <w:b/>
          <w:bCs/>
          <w:szCs w:val="21"/>
        </w:rPr>
        <w:t>（http://zfcg.szggzy.com:8081/）”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pPr>
        <w:ind w:firstLine="411" w:firstLineChars="196"/>
        <w:rPr>
          <w:rFonts w:ascii="宋体" w:hAnsi="宋体"/>
          <w:szCs w:val="21"/>
        </w:rPr>
      </w:pPr>
      <w:r>
        <w:rPr>
          <w:rFonts w:hint="eastAsia" w:ascii="宋体" w:hAnsi="宋体"/>
          <w:szCs w:val="21"/>
        </w:rPr>
        <w:t>41</w:t>
      </w:r>
      <w:r>
        <w:rPr>
          <w:rFonts w:ascii="宋体" w:hAnsi="宋体"/>
          <w:szCs w:val="21"/>
        </w:rPr>
        <w:t>.2</w:t>
      </w:r>
      <w:r>
        <w:rPr>
          <w:rFonts w:hint="eastAsia" w:ascii="宋体" w:hAnsi="宋体"/>
          <w:szCs w:val="21"/>
        </w:rPr>
        <w:t>中标通知书是合同的重要组成部分。</w:t>
      </w:r>
    </w:p>
    <w:p>
      <w:pPr>
        <w:ind w:firstLine="411" w:firstLineChars="196"/>
        <w:rPr>
          <w:rFonts w:ascii="宋体" w:hAnsi="宋体"/>
          <w:szCs w:val="21"/>
        </w:rPr>
      </w:pPr>
      <w:bookmarkStart w:id="76" w:name="_Hlk71407340"/>
      <w:r>
        <w:rPr>
          <w:rFonts w:hint="eastAsia" w:ascii="宋体" w:hAnsi="宋体"/>
          <w:szCs w:val="21"/>
        </w:rPr>
        <w:t>41.3因质疑投诉或其它原因导致项目结果变更或采购终止的，政府集中采购机构有权吊销中标通知书。</w:t>
      </w:r>
    </w:p>
    <w:bookmarkEnd w:id="76"/>
    <w:p>
      <w:pPr>
        <w:ind w:firstLine="411" w:firstLineChars="196"/>
        <w:rPr>
          <w:rFonts w:ascii="宋体" w:hAnsi="宋体"/>
          <w:szCs w:val="21"/>
        </w:rPr>
      </w:pPr>
    </w:p>
    <w:p>
      <w:pPr>
        <w:pStyle w:val="6"/>
        <w:numPr>
          <w:ilvl w:val="0"/>
          <w:numId w:val="18"/>
        </w:numPr>
        <w:spacing w:before="120" w:beforeLines="50" w:after="120" w:afterLines="50"/>
        <w:ind w:left="562" w:hanging="562"/>
        <w:rPr>
          <w:sz w:val="28"/>
          <w:szCs w:val="28"/>
        </w:rPr>
      </w:pPr>
      <w:r>
        <w:rPr>
          <w:rFonts w:hint="eastAsia"/>
          <w:sz w:val="28"/>
          <w:szCs w:val="28"/>
        </w:rPr>
        <w:t>公开招标失败的后续处理</w:t>
      </w:r>
    </w:p>
    <w:p>
      <w:pPr>
        <w:rPr>
          <w:rFonts w:ascii="黑体" w:hAnsi="宋体" w:eastAsia="黑体"/>
          <w:sz w:val="24"/>
        </w:rPr>
      </w:pPr>
      <w:r>
        <w:rPr>
          <w:rFonts w:hint="eastAsia" w:ascii="黑体" w:hAnsi="宋体" w:eastAsia="黑体"/>
          <w:sz w:val="24"/>
        </w:rPr>
        <w:t>42．公开招标失败的处理</w:t>
      </w:r>
    </w:p>
    <w:p>
      <w:pPr>
        <w:ind w:firstLine="411" w:firstLineChars="196"/>
        <w:rPr>
          <w:rFonts w:ascii="宋体" w:hAnsi="宋体"/>
        </w:rPr>
      </w:pPr>
      <w:r>
        <w:rPr>
          <w:rFonts w:hint="eastAsia" w:ascii="宋体" w:hAnsi="宋体"/>
          <w:szCs w:val="21"/>
        </w:rPr>
        <w:t>42.1本项目公开招标过程中若由于投标截止后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pPr>
        <w:ind w:firstLine="411" w:firstLineChars="196"/>
        <w:rPr>
          <w:rFonts w:ascii="宋体" w:hAnsi="宋体"/>
          <w:szCs w:val="21"/>
        </w:rPr>
      </w:pPr>
      <w:r>
        <w:rPr>
          <w:rFonts w:hint="eastAsia" w:ascii="宋体" w:hAnsi="宋体"/>
          <w:szCs w:val="21"/>
        </w:rPr>
        <w:t>42.2对公开招标失败的项目，评审委员会在出具该项目招标失败结论的同时，可以提出重新采购组织形式的建议，以及进一步完善招标文件的资格、技术、商务要求的修改建议。</w:t>
      </w:r>
    </w:p>
    <w:p>
      <w:pPr>
        <w:ind w:firstLine="411" w:firstLineChars="196"/>
        <w:rPr>
          <w:rFonts w:ascii="宋体" w:hAnsi="宋体"/>
          <w:szCs w:val="21"/>
        </w:rPr>
      </w:pPr>
      <w:r>
        <w:rPr>
          <w:rFonts w:hint="eastAsia" w:ascii="宋体" w:hAnsi="宋体"/>
          <w:szCs w:val="21"/>
        </w:rPr>
        <w:t>42.3重新组织采购有以下两种组织形式：</w:t>
      </w:r>
    </w:p>
    <w:p>
      <w:pPr>
        <w:ind w:firstLine="411" w:firstLineChars="196"/>
        <w:rPr>
          <w:rFonts w:ascii="宋体" w:hAnsi="宋体"/>
        </w:rPr>
      </w:pPr>
      <w:r>
        <w:rPr>
          <w:rFonts w:hint="eastAsia" w:ascii="宋体" w:hAnsi="宋体"/>
        </w:rPr>
        <w:t>（1）由政府集中采购机构重新组织公开招标；</w:t>
      </w:r>
    </w:p>
    <w:p>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pPr>
        <w:ind w:firstLine="411" w:firstLineChars="196"/>
        <w:rPr>
          <w:rFonts w:ascii="宋体" w:hAnsi="宋体"/>
        </w:rPr>
      </w:pPr>
      <w:r>
        <w:rPr>
          <w:rFonts w:hint="eastAsia" w:ascii="宋体" w:hAnsi="宋体"/>
        </w:rPr>
        <w:t>42.4公开招标失败的采购项目重新组织公开招标，由政府集中采购机构重新按公开招标流程组织采购活动。</w:t>
      </w:r>
    </w:p>
    <w:p>
      <w:pPr>
        <w:rPr>
          <w:rFonts w:ascii="宋体" w:hAnsi="宋体"/>
        </w:rPr>
      </w:pPr>
      <w:r>
        <w:rPr>
          <w:rFonts w:hint="eastAsia" w:ascii="黑体" w:hAnsi="宋体" w:eastAsia="黑体"/>
          <w:sz w:val="24"/>
        </w:rPr>
        <w:t xml:space="preserve">    </w:t>
      </w:r>
      <w:r>
        <w:rPr>
          <w:rFonts w:hint="eastAsia" w:ascii="宋体" w:hAnsi="宋体"/>
        </w:rPr>
        <w:t>42.5公开招标失败的采购项目经同级财政部门批准转为竞争性谈判或单一来源谈判方式采购的，按规定要求组织政府采购工作。</w:t>
      </w:r>
    </w:p>
    <w:p>
      <w:pPr>
        <w:rPr>
          <w:rFonts w:ascii="黑体" w:hAnsi="宋体" w:eastAsia="黑体"/>
          <w:sz w:val="24"/>
        </w:rPr>
      </w:pPr>
    </w:p>
    <w:p>
      <w:pPr>
        <w:pStyle w:val="6"/>
        <w:numPr>
          <w:ilvl w:val="0"/>
          <w:numId w:val="18"/>
        </w:numPr>
        <w:spacing w:before="120" w:beforeLines="50" w:after="120" w:afterLines="50"/>
        <w:ind w:left="562" w:hanging="562"/>
        <w:rPr>
          <w:sz w:val="28"/>
          <w:szCs w:val="28"/>
        </w:rPr>
      </w:pPr>
      <w:bookmarkStart w:id="77" w:name="_Hlk72439043"/>
      <w:r>
        <w:rPr>
          <w:rFonts w:hint="eastAsia"/>
          <w:sz w:val="28"/>
          <w:szCs w:val="28"/>
        </w:rPr>
        <w:t>合同的授予与备案</w:t>
      </w:r>
      <w:bookmarkEnd w:id="77"/>
    </w:p>
    <w:p>
      <w:pPr>
        <w:rPr>
          <w:rFonts w:ascii="黑体" w:hAnsi="宋体" w:eastAsia="黑体"/>
          <w:sz w:val="24"/>
        </w:rPr>
      </w:pPr>
      <w:bookmarkStart w:id="78" w:name="_Toc73518157"/>
      <w:bookmarkStart w:id="79" w:name="_Toc73517679"/>
      <w:bookmarkStart w:id="80" w:name="_Toc100052408"/>
      <w:bookmarkStart w:id="81" w:name="_Toc73521674"/>
      <w:bookmarkStart w:id="82" w:name="_Toc73521586"/>
      <w:bookmarkStart w:id="83" w:name="_Hlk72439088"/>
      <w:r>
        <w:rPr>
          <w:rFonts w:hint="eastAsia" w:ascii="黑体" w:hAnsi="宋体" w:eastAsia="黑体"/>
          <w:sz w:val="24"/>
        </w:rPr>
        <w:t>43．合同授予标准</w:t>
      </w:r>
      <w:bookmarkEnd w:id="78"/>
      <w:bookmarkEnd w:id="79"/>
      <w:bookmarkEnd w:id="80"/>
      <w:bookmarkEnd w:id="81"/>
      <w:bookmarkEnd w:id="82"/>
    </w:p>
    <w:p>
      <w:pPr>
        <w:ind w:firstLine="411" w:firstLineChars="196"/>
        <w:rPr>
          <w:rFonts w:ascii="宋体" w:hAnsi="宋体"/>
          <w:szCs w:val="21"/>
        </w:rPr>
      </w:pPr>
      <w:r>
        <w:rPr>
          <w:rFonts w:hint="eastAsia" w:ascii="宋体" w:hAnsi="宋体"/>
          <w:szCs w:val="21"/>
        </w:rPr>
        <w:t>本项目的合同将授予经本招标文件规定评审确定的中标供应商。</w:t>
      </w:r>
    </w:p>
    <w:p>
      <w:pPr>
        <w:rPr>
          <w:rFonts w:ascii="黑体" w:hAnsi="宋体" w:eastAsia="黑体"/>
          <w:sz w:val="24"/>
        </w:rPr>
      </w:pPr>
      <w:bookmarkStart w:id="84" w:name="_Toc73518158"/>
      <w:bookmarkStart w:id="85" w:name="_Toc73517680"/>
      <w:bookmarkStart w:id="86" w:name="_Toc100052409"/>
      <w:bookmarkStart w:id="87" w:name="_Toc73521675"/>
      <w:bookmarkStart w:id="88" w:name="_Toc73521587"/>
      <w:r>
        <w:rPr>
          <w:rFonts w:hint="eastAsia" w:ascii="黑体" w:hAnsi="宋体" w:eastAsia="黑体"/>
          <w:sz w:val="24"/>
        </w:rPr>
        <w:t>44．</w:t>
      </w:r>
      <w:bookmarkEnd w:id="84"/>
      <w:bookmarkEnd w:id="85"/>
      <w:bookmarkEnd w:id="86"/>
      <w:bookmarkEnd w:id="87"/>
      <w:bookmarkEnd w:id="88"/>
      <w:r>
        <w:rPr>
          <w:rFonts w:hint="eastAsia" w:ascii="黑体" w:hAnsi="宋体" w:eastAsia="黑体"/>
          <w:sz w:val="24"/>
        </w:rPr>
        <w:t>接受和拒绝任何或所有投标的权力</w:t>
      </w:r>
    </w:p>
    <w:p>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pPr>
        <w:rPr>
          <w:rFonts w:ascii="黑体" w:hAnsi="宋体" w:eastAsia="黑体"/>
          <w:sz w:val="24"/>
        </w:rPr>
      </w:pPr>
      <w:bookmarkStart w:id="89" w:name="_Toc73521677"/>
      <w:bookmarkStart w:id="90" w:name="_Toc100052410"/>
      <w:bookmarkStart w:id="91" w:name="_Toc73521589"/>
      <w:bookmarkStart w:id="92" w:name="_Toc73518160"/>
      <w:bookmarkStart w:id="93" w:name="_Toc73517682"/>
      <w:r>
        <w:rPr>
          <w:rFonts w:hint="eastAsia" w:ascii="黑体" w:hAnsi="宋体" w:eastAsia="黑体"/>
          <w:sz w:val="24"/>
        </w:rPr>
        <w:t>45．合同的签订</w:t>
      </w:r>
      <w:bookmarkEnd w:id="89"/>
      <w:bookmarkEnd w:id="90"/>
      <w:bookmarkEnd w:id="91"/>
      <w:bookmarkEnd w:id="92"/>
      <w:bookmarkEnd w:id="93"/>
    </w:p>
    <w:p>
      <w:pPr>
        <w:ind w:firstLine="411" w:firstLineChars="196"/>
        <w:rPr>
          <w:rFonts w:ascii="宋体" w:hAnsi="宋体"/>
          <w:szCs w:val="21"/>
        </w:rPr>
      </w:pPr>
      <w:r>
        <w:rPr>
          <w:rFonts w:hint="eastAsia" w:ascii="宋体" w:hAnsi="宋体"/>
          <w:szCs w:val="21"/>
        </w:rPr>
        <w:t>45.1中标人将于中标通知书发出之日起十个工作日内，按照采购文件（招标文件和投标文件等）内容与采购人签订政府采购合同；合同的实质性内容应当符合招标文件的规定；</w:t>
      </w:r>
    </w:p>
    <w:p>
      <w:pPr>
        <w:ind w:firstLine="411" w:firstLineChars="196"/>
        <w:rPr>
          <w:rFonts w:ascii="宋体" w:hAnsi="宋体"/>
          <w:szCs w:val="21"/>
        </w:rPr>
      </w:pPr>
      <w:r>
        <w:rPr>
          <w:rFonts w:hint="eastAsia" w:ascii="宋体" w:hAnsi="宋体"/>
          <w:szCs w:val="21"/>
        </w:rPr>
        <w:t>45.2中标人如不按本通用条款第45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pPr>
        <w:ind w:firstLine="411" w:firstLineChars="196"/>
        <w:rPr>
          <w:rFonts w:ascii="宋体" w:hAnsi="宋体"/>
          <w:szCs w:val="21"/>
        </w:rPr>
      </w:pPr>
      <w:r>
        <w:rPr>
          <w:rFonts w:hint="eastAsia" w:ascii="宋体" w:hAnsi="宋体"/>
          <w:szCs w:val="21"/>
        </w:rPr>
        <w:t>45.3中标人应当按照合同约定履行义务，完成中标项目，不得将中标项目转让（转包）给他人。</w:t>
      </w:r>
    </w:p>
    <w:p>
      <w:pPr>
        <w:rPr>
          <w:rFonts w:ascii="黑体" w:hAnsi="宋体" w:eastAsia="黑体"/>
          <w:sz w:val="24"/>
        </w:rPr>
      </w:pPr>
      <w:bookmarkStart w:id="94" w:name="_Toc73521590"/>
      <w:bookmarkStart w:id="95" w:name="_Toc73518161"/>
      <w:bookmarkStart w:id="96" w:name="_Toc73521678"/>
      <w:bookmarkStart w:id="97" w:name="_Toc73517683"/>
      <w:bookmarkStart w:id="98" w:name="_Toc100052411"/>
      <w:r>
        <w:rPr>
          <w:rFonts w:hint="eastAsia" w:ascii="黑体" w:hAnsi="宋体" w:eastAsia="黑体"/>
          <w:sz w:val="24"/>
        </w:rPr>
        <w:t>46．履约担保</w:t>
      </w:r>
      <w:bookmarkEnd w:id="94"/>
      <w:bookmarkEnd w:id="95"/>
      <w:bookmarkEnd w:id="96"/>
      <w:bookmarkEnd w:id="97"/>
      <w:bookmarkEnd w:id="98"/>
    </w:p>
    <w:p>
      <w:pPr>
        <w:ind w:firstLine="411" w:firstLineChars="196"/>
        <w:rPr>
          <w:rFonts w:ascii="宋体" w:hAnsi="宋体"/>
          <w:szCs w:val="21"/>
        </w:rPr>
      </w:pPr>
      <w:r>
        <w:rPr>
          <w:rFonts w:hint="eastAsia" w:ascii="宋体" w:hAnsi="宋体"/>
          <w:szCs w:val="21"/>
        </w:rPr>
        <w:t>46.1在签订项目合同的同时，中标人应按“对通用条款的补充内容”中规定的金额向采购人提交履约担保；</w:t>
      </w:r>
    </w:p>
    <w:p>
      <w:pPr>
        <w:ind w:firstLine="411" w:firstLineChars="196"/>
        <w:rPr>
          <w:rFonts w:ascii="宋体" w:hAnsi="宋体"/>
          <w:szCs w:val="21"/>
        </w:rPr>
      </w:pPr>
      <w:r>
        <w:rPr>
          <w:rFonts w:hint="eastAsia" w:ascii="宋体" w:hAnsi="宋体"/>
          <w:szCs w:val="21"/>
        </w:rPr>
        <w:t>46.2允许供应商自主选择以支票、汇票、本票、保函等非现金方式提交履约担保；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pPr>
        <w:rPr>
          <w:rFonts w:ascii="黑体" w:hAnsi="宋体" w:eastAsia="黑体"/>
          <w:sz w:val="24"/>
        </w:rPr>
      </w:pPr>
      <w:r>
        <w:rPr>
          <w:rFonts w:hint="eastAsia" w:ascii="黑体" w:hAnsi="宋体" w:eastAsia="黑体"/>
          <w:sz w:val="24"/>
        </w:rPr>
        <w:t>47. 合同备案</w:t>
      </w:r>
    </w:p>
    <w:p>
      <w:pPr>
        <w:ind w:firstLine="411" w:firstLineChars="196"/>
        <w:rPr>
          <w:rFonts w:ascii="宋体" w:hAnsi="宋体"/>
          <w:szCs w:val="21"/>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pPr>
        <w:rPr>
          <w:rFonts w:ascii="黑体" w:hAnsi="宋体" w:eastAsia="黑体"/>
          <w:sz w:val="24"/>
        </w:rPr>
      </w:pPr>
      <w:r>
        <w:rPr>
          <w:rFonts w:hint="eastAsia" w:ascii="黑体" w:hAnsi="宋体" w:eastAsia="黑体"/>
          <w:sz w:val="24"/>
        </w:rPr>
        <w:t>48. 合同变更</w:t>
      </w:r>
    </w:p>
    <w:p>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pPr>
        <w:rPr>
          <w:rFonts w:ascii="黑体" w:hAnsi="宋体" w:eastAsia="黑体"/>
          <w:sz w:val="24"/>
        </w:rPr>
      </w:pPr>
      <w:r>
        <w:rPr>
          <w:rFonts w:hint="eastAsia" w:ascii="黑体" w:hAnsi="宋体" w:eastAsia="黑体"/>
          <w:sz w:val="24"/>
        </w:rPr>
        <w:t>49. 项目验收</w:t>
      </w:r>
    </w:p>
    <w:p>
      <w:pPr>
        <w:widowControl/>
        <w:ind w:right="176" w:firstLine="420"/>
        <w:jc w:val="left"/>
        <w:rPr>
          <w:rFonts w:ascii="宋体" w:hAnsi="宋体"/>
        </w:rPr>
      </w:pPr>
      <w:r>
        <w:rPr>
          <w:rFonts w:hint="eastAsia" w:ascii="宋体" w:hAnsi="宋体"/>
        </w:rPr>
        <w:t>49.1采购人应当按照招标文件和合同规定的标准和方法，及时组织验收。</w:t>
      </w:r>
      <w:r>
        <w:rPr>
          <w:rFonts w:ascii="宋体" w:hAnsi="宋体"/>
        </w:rPr>
        <w:t xml:space="preserve"> </w:t>
      </w:r>
    </w:p>
    <w:p>
      <w:pPr>
        <w:rPr>
          <w:rFonts w:ascii="黑体" w:hAnsi="宋体" w:eastAsia="黑体"/>
          <w:sz w:val="24"/>
        </w:rPr>
      </w:pPr>
      <w:r>
        <w:rPr>
          <w:rFonts w:hint="eastAsia" w:ascii="黑体" w:hAnsi="宋体" w:eastAsia="黑体"/>
          <w:sz w:val="24"/>
        </w:rPr>
        <w:t>50. 宣传</w:t>
      </w:r>
    </w:p>
    <w:p>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pPr>
        <w:ind w:left="210" w:leftChars="100" w:firstLine="411" w:firstLineChars="196"/>
        <w:rPr>
          <w:rFonts w:ascii="宋体" w:hAnsi="宋体"/>
        </w:rPr>
      </w:pPr>
      <w:r>
        <w:rPr>
          <w:rFonts w:ascii="宋体" w:hAnsi="宋体"/>
        </w:rPr>
        <w:t>a.名片、宣传册、广告标语等；</w:t>
      </w:r>
    </w:p>
    <w:p>
      <w:pPr>
        <w:ind w:left="210" w:leftChars="100" w:firstLine="411" w:firstLineChars="196"/>
        <w:rPr>
          <w:rFonts w:ascii="宋体" w:hAnsi="宋体"/>
        </w:rPr>
      </w:pPr>
      <w:r>
        <w:rPr>
          <w:rFonts w:ascii="宋体" w:hAnsi="宋体"/>
        </w:rPr>
        <w:t>b.案例介绍、推广等；</w:t>
      </w:r>
    </w:p>
    <w:p>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pPr>
        <w:rPr>
          <w:rFonts w:ascii="黑体" w:hAnsi="宋体" w:eastAsia="黑体"/>
          <w:sz w:val="24"/>
        </w:rPr>
      </w:pPr>
      <w:r>
        <w:rPr>
          <w:rFonts w:hint="eastAsia" w:ascii="黑体" w:hAnsi="宋体" w:eastAsia="黑体"/>
          <w:sz w:val="24"/>
        </w:rPr>
        <w:t>51. 供应商违法责任</w:t>
      </w:r>
    </w:p>
    <w:p>
      <w:pPr>
        <w:ind w:firstLine="411" w:firstLineChars="196"/>
        <w:rPr>
          <w:rFonts w:ascii="宋体" w:hAnsi="宋体"/>
          <w:szCs w:val="21"/>
        </w:rPr>
      </w:pPr>
      <w:r>
        <w:rPr>
          <w:rFonts w:hint="eastAsia" w:ascii="宋体" w:hAnsi="宋体"/>
          <w:szCs w:val="21"/>
        </w:rPr>
        <w:t>5</w:t>
      </w:r>
      <w:r>
        <w:rPr>
          <w:rFonts w:ascii="宋体" w:hAnsi="宋体"/>
          <w:szCs w:val="21"/>
        </w:rPr>
        <w:t>1.1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pPr>
        <w:ind w:firstLine="411" w:firstLineChars="196"/>
        <w:rPr>
          <w:rFonts w:ascii="宋体" w:hAnsi="宋体"/>
          <w:szCs w:val="21"/>
        </w:rPr>
      </w:pPr>
      <w:r>
        <w:rPr>
          <w:rFonts w:hint="eastAsia" w:ascii="宋体" w:hAnsi="宋体"/>
          <w:szCs w:val="21"/>
        </w:rPr>
        <w:t>（1）在采购活动中应当回避而未回避的；</w:t>
      </w:r>
    </w:p>
    <w:p>
      <w:pPr>
        <w:ind w:firstLine="411" w:firstLineChars="196"/>
        <w:rPr>
          <w:rFonts w:ascii="宋体" w:hAnsi="宋体"/>
          <w:szCs w:val="21"/>
        </w:rPr>
      </w:pPr>
      <w:r>
        <w:rPr>
          <w:rFonts w:hint="eastAsia" w:ascii="宋体" w:hAnsi="宋体"/>
          <w:szCs w:val="21"/>
        </w:rPr>
        <w:t>（2）未按本条例规定签订、履行采购合同，造成严重后果的；</w:t>
      </w:r>
    </w:p>
    <w:p>
      <w:pPr>
        <w:ind w:firstLine="411" w:firstLineChars="196"/>
        <w:rPr>
          <w:rFonts w:ascii="宋体" w:hAnsi="宋体"/>
          <w:szCs w:val="21"/>
        </w:rPr>
      </w:pPr>
      <w:r>
        <w:rPr>
          <w:rFonts w:hint="eastAsia" w:ascii="宋体" w:hAnsi="宋体"/>
          <w:szCs w:val="21"/>
        </w:rPr>
        <w:t>（3）隐瞒真实情况，提供虚假资料的；</w:t>
      </w:r>
    </w:p>
    <w:p>
      <w:pPr>
        <w:ind w:firstLine="411" w:firstLineChars="196"/>
        <w:rPr>
          <w:rFonts w:ascii="宋体" w:hAnsi="宋体"/>
          <w:szCs w:val="21"/>
        </w:rPr>
      </w:pPr>
      <w:r>
        <w:rPr>
          <w:rFonts w:hint="eastAsia" w:ascii="宋体" w:hAnsi="宋体"/>
          <w:szCs w:val="21"/>
        </w:rPr>
        <w:t>（4）以非法手段排斥其他供应商参与竞争的；</w:t>
      </w:r>
    </w:p>
    <w:p>
      <w:pPr>
        <w:ind w:firstLine="411" w:firstLineChars="196"/>
        <w:rPr>
          <w:rFonts w:ascii="宋体" w:hAnsi="宋体"/>
          <w:szCs w:val="21"/>
        </w:rPr>
      </w:pPr>
      <w:r>
        <w:rPr>
          <w:rFonts w:hint="eastAsia" w:ascii="宋体" w:hAnsi="宋体"/>
          <w:szCs w:val="21"/>
        </w:rPr>
        <w:t>（5）与其他采购参加人串通投标的；</w:t>
      </w:r>
    </w:p>
    <w:p>
      <w:pPr>
        <w:ind w:firstLine="411" w:firstLineChars="196"/>
        <w:rPr>
          <w:rFonts w:ascii="宋体" w:hAnsi="宋体"/>
          <w:szCs w:val="21"/>
        </w:rPr>
      </w:pPr>
      <w:r>
        <w:rPr>
          <w:rFonts w:hint="eastAsia" w:ascii="宋体" w:hAnsi="宋体"/>
          <w:szCs w:val="21"/>
        </w:rPr>
        <w:t>（6）恶意投诉的；</w:t>
      </w:r>
    </w:p>
    <w:p>
      <w:pPr>
        <w:ind w:firstLine="411" w:firstLineChars="196"/>
        <w:rPr>
          <w:rFonts w:ascii="宋体" w:hAnsi="宋体"/>
          <w:szCs w:val="21"/>
        </w:rPr>
      </w:pPr>
      <w:r>
        <w:rPr>
          <w:rFonts w:hint="eastAsia" w:ascii="宋体" w:hAnsi="宋体"/>
          <w:szCs w:val="21"/>
        </w:rPr>
        <w:t>（7）向采购项目相关人行贿或者提供其他不当利益的；</w:t>
      </w:r>
    </w:p>
    <w:p>
      <w:pPr>
        <w:ind w:firstLine="411" w:firstLineChars="196"/>
        <w:rPr>
          <w:rFonts w:ascii="宋体" w:hAnsi="宋体"/>
          <w:szCs w:val="21"/>
        </w:rPr>
      </w:pPr>
      <w:r>
        <w:rPr>
          <w:rFonts w:hint="eastAsia" w:ascii="宋体" w:hAnsi="宋体"/>
          <w:szCs w:val="21"/>
        </w:rPr>
        <w:t>（8）阻碍、抗拒主管部门监督检查的；</w:t>
      </w:r>
    </w:p>
    <w:p>
      <w:pPr>
        <w:ind w:firstLine="411" w:firstLineChars="196"/>
        <w:rPr>
          <w:rFonts w:ascii="宋体" w:hAnsi="宋体"/>
          <w:szCs w:val="21"/>
        </w:rPr>
      </w:pPr>
      <w:r>
        <w:rPr>
          <w:rFonts w:hint="eastAsia" w:ascii="宋体" w:hAnsi="宋体"/>
          <w:szCs w:val="21"/>
        </w:rPr>
        <w:t>（9）其他违反本条例规定的行为。</w:t>
      </w:r>
    </w:p>
    <w:p>
      <w:pPr>
        <w:ind w:firstLine="411" w:firstLineChars="196"/>
        <w:rPr>
          <w:rFonts w:ascii="宋体" w:hAnsi="宋体"/>
          <w:szCs w:val="21"/>
        </w:rPr>
      </w:pPr>
      <w:r>
        <w:rPr>
          <w:rFonts w:hint="eastAsia" w:ascii="宋体" w:hAnsi="宋体"/>
          <w:szCs w:val="21"/>
        </w:rPr>
        <w:t>5</w:t>
      </w:r>
      <w:r>
        <w:rPr>
          <w:rFonts w:ascii="宋体" w:hAnsi="宋体"/>
          <w:szCs w:val="21"/>
        </w:rPr>
        <w:t xml:space="preserve">1.2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99" w:name="_Hlk72440769"/>
      <w:r>
        <w:rPr>
          <w:rFonts w:hint="eastAsia" w:ascii="宋体" w:hAnsi="宋体"/>
          <w:szCs w:val="21"/>
        </w:rPr>
        <w:t>政府集中采购机构或采购人不予退还其交纳的谈判保证金，情节严重的，并由主管部门</w:t>
      </w:r>
      <w:bookmarkEnd w:id="99"/>
      <w:r>
        <w:rPr>
          <w:rFonts w:hint="eastAsia" w:ascii="宋体" w:hAnsi="宋体"/>
          <w:szCs w:val="21"/>
        </w:rPr>
        <w:t>记入供应商诚信档案，予以通报：</w:t>
      </w:r>
    </w:p>
    <w:p>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83"/>
    <w:p>
      <w:pPr>
        <w:pStyle w:val="6"/>
        <w:numPr>
          <w:ilvl w:val="0"/>
          <w:numId w:val="18"/>
        </w:numPr>
        <w:spacing w:before="120" w:beforeLines="50" w:after="120" w:afterLines="50"/>
        <w:ind w:left="562" w:hanging="562"/>
        <w:rPr>
          <w:sz w:val="28"/>
          <w:szCs w:val="28"/>
        </w:rPr>
      </w:pPr>
      <w:r>
        <w:rPr>
          <w:rFonts w:hint="eastAsia"/>
          <w:sz w:val="28"/>
          <w:szCs w:val="28"/>
        </w:rPr>
        <w:t>质疑处理</w:t>
      </w:r>
    </w:p>
    <w:p>
      <w:pPr>
        <w:rPr>
          <w:rFonts w:ascii="黑体" w:hAnsi="宋体" w:eastAsia="黑体"/>
          <w:sz w:val="24"/>
        </w:rPr>
      </w:pPr>
      <w:bookmarkStart w:id="100" w:name="_Hlk72439706"/>
      <w:r>
        <w:rPr>
          <w:rFonts w:hint="eastAsia" w:ascii="黑体" w:hAnsi="宋体" w:eastAsia="黑体"/>
          <w:sz w:val="24"/>
        </w:rPr>
        <w:t>52.质疑提出与答复</w:t>
      </w:r>
    </w:p>
    <w:p>
      <w:pPr>
        <w:rPr>
          <w:rFonts w:ascii="宋体" w:hAnsi="宋体"/>
          <w:szCs w:val="21"/>
        </w:rPr>
      </w:pPr>
      <w:r>
        <w:rPr>
          <w:rFonts w:hint="eastAsia" w:ascii="宋体" w:hAnsi="宋体"/>
          <w:szCs w:val="21"/>
        </w:rPr>
        <w:t xml:space="preserve">    52.1提出质疑</w:t>
      </w:r>
    </w:p>
    <w:p>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pPr>
        <w:rPr>
          <w:rFonts w:ascii="宋体" w:hAnsi="宋体"/>
          <w:szCs w:val="21"/>
        </w:rPr>
      </w:pPr>
      <w:r>
        <w:rPr>
          <w:rFonts w:hint="eastAsia" w:ascii="宋体" w:hAnsi="宋体"/>
          <w:szCs w:val="21"/>
        </w:rPr>
        <w:t xml:space="preserve">    52.2</w:t>
      </w:r>
      <w:r>
        <w:rPr>
          <w:rFonts w:ascii="宋体" w:hAnsi="宋体"/>
          <w:szCs w:val="21"/>
        </w:rPr>
        <w:t>法律依据</w:t>
      </w:r>
    </w:p>
    <w:p>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52.3质疑条件</w:t>
      </w:r>
    </w:p>
    <w:p>
      <w:pPr>
        <w:rPr>
          <w:rFonts w:hint="eastAsia" w:ascii="宋体" w:hAnsi="宋体"/>
          <w:szCs w:val="21"/>
        </w:rPr>
      </w:pPr>
      <w:r>
        <w:rPr>
          <w:rFonts w:hint="eastAsia" w:ascii="宋体" w:hAnsi="宋体"/>
          <w:szCs w:val="21"/>
        </w:rPr>
        <w:t xml:space="preserve">   供应商应认真、全面核查公告及附件内容，审慎研判相关事项，依法规范行使质疑权利。若项目发布更正公告的，对更正公告及附件中更正、修改的内容提出质疑，以更正公告时间计算质疑期限；</w:t>
      </w:r>
      <w:r>
        <w:rPr>
          <w:rFonts w:hint="eastAsia" w:ascii="宋体" w:hAnsi="宋体"/>
          <w:b/>
          <w:bCs/>
          <w:szCs w:val="21"/>
        </w:rPr>
        <w:t>对未作修改的原公告及附件内容提出质疑的，仍以原公告时间计算质疑期限</w:t>
      </w:r>
      <w:r>
        <w:rPr>
          <w:rFonts w:hint="eastAsia" w:ascii="宋体" w:hAnsi="宋体"/>
          <w:szCs w:val="21"/>
        </w:rPr>
        <w:t>。</w:t>
      </w:r>
    </w:p>
    <w:p>
      <w:pPr>
        <w:ind w:firstLine="420" w:firstLineChars="200"/>
        <w:rPr>
          <w:rFonts w:ascii="宋体" w:hAnsi="宋体"/>
          <w:szCs w:val="21"/>
        </w:rPr>
      </w:pPr>
      <w:r>
        <w:rPr>
          <w:rFonts w:hint="eastAsia" w:ascii="宋体" w:hAnsi="宋体"/>
          <w:szCs w:val="21"/>
        </w:rPr>
        <w:t>52.3.1提出质疑的供应商应当是参与所质疑项目采购活动的供应商；以联合体形式参与的，质疑应当由组成联合体的所有成员共同提出；</w:t>
      </w:r>
    </w:p>
    <w:p>
      <w:pPr>
        <w:rPr>
          <w:rFonts w:ascii="宋体" w:hAnsi="宋体"/>
          <w:szCs w:val="21"/>
        </w:rPr>
      </w:pPr>
      <w:r>
        <w:rPr>
          <w:rFonts w:hint="eastAsia" w:ascii="宋体" w:hAnsi="宋体"/>
          <w:szCs w:val="21"/>
        </w:rPr>
        <w:t xml:space="preserve">   52.3.2应当在法定质疑期内一次性提出针对同一采购程序环节的质疑，法定质疑期为自知道或应当知道权益受到损害之日起7个工作日内。应当知道其权益受到损害之日是指：对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lang w:val="en-US" w:eastAsia="zh-CN"/>
        </w:rPr>
        <w:t>采购</w:t>
      </w:r>
      <w:r>
        <w:rPr>
          <w:rFonts w:hint="eastAsia" w:ascii="宋体" w:hAnsi="宋体"/>
          <w:szCs w:val="21"/>
        </w:rPr>
        <w:t>文件的质疑，为</w:t>
      </w:r>
      <w:r>
        <w:rPr>
          <w:rFonts w:hint="eastAsia" w:ascii="宋体" w:hAnsi="宋体"/>
          <w:szCs w:val="21"/>
          <w:lang w:val="en-US" w:eastAsia="zh-CN"/>
        </w:rPr>
        <w:t>采购</w:t>
      </w:r>
      <w:r>
        <w:rPr>
          <w:rFonts w:hint="eastAsia" w:ascii="宋体" w:hAnsi="宋体"/>
          <w:szCs w:val="21"/>
        </w:rPr>
        <w:t>文件公布之日；对采购过程的质疑，为各采购程序环节结束之日；对中标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结果以及评审委员会组成人员的质疑，为中标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结果公示之日；</w:t>
      </w:r>
    </w:p>
    <w:p>
      <w:pPr>
        <w:ind w:firstLine="420"/>
        <w:rPr>
          <w:rFonts w:ascii="宋体" w:hAnsi="宋体"/>
          <w:szCs w:val="21"/>
        </w:rPr>
      </w:pPr>
      <w:r>
        <w:rPr>
          <w:rFonts w:hint="eastAsia" w:ascii="宋体" w:hAnsi="宋体"/>
          <w:szCs w:val="21"/>
        </w:rPr>
        <w:t>52.3.3应提交书面质疑函，质疑函应当包括以下内容：</w:t>
      </w:r>
      <w:r>
        <w:rPr>
          <w:rFonts w:ascii="宋体" w:hAnsi="宋体"/>
          <w:szCs w:val="21"/>
        </w:rPr>
        <w:t xml:space="preserve"> </w:t>
      </w:r>
    </w:p>
    <w:p>
      <w:pPr>
        <w:ind w:firstLine="420"/>
        <w:rPr>
          <w:rFonts w:ascii="宋体" w:hAnsi="宋体"/>
          <w:szCs w:val="21"/>
        </w:rPr>
      </w:pPr>
      <w:r>
        <w:rPr>
          <w:rFonts w:hint="eastAsia" w:ascii="宋体" w:hAnsi="宋体"/>
          <w:szCs w:val="21"/>
        </w:rPr>
        <w:t>（1）供应商的名称（或者姓名）、地址、邮编、邮箱、联系人及联系电话；</w:t>
      </w:r>
    </w:p>
    <w:p>
      <w:pPr>
        <w:ind w:firstLine="420" w:firstLineChars="200"/>
        <w:rPr>
          <w:rFonts w:ascii="宋体" w:hAnsi="宋体"/>
          <w:szCs w:val="21"/>
        </w:rPr>
      </w:pPr>
      <w:r>
        <w:rPr>
          <w:rFonts w:hint="eastAsia" w:ascii="宋体" w:hAnsi="宋体"/>
          <w:szCs w:val="21"/>
        </w:rPr>
        <w:t>（2）质疑项目的名称、编号；</w:t>
      </w:r>
    </w:p>
    <w:p>
      <w:pPr>
        <w:ind w:firstLine="420" w:firstLineChars="200"/>
        <w:rPr>
          <w:rFonts w:ascii="宋体" w:hAnsi="宋体"/>
          <w:szCs w:val="21"/>
        </w:rPr>
      </w:pPr>
      <w:r>
        <w:rPr>
          <w:rFonts w:hint="eastAsia" w:ascii="宋体" w:hAnsi="宋体"/>
          <w:szCs w:val="21"/>
        </w:rPr>
        <w:t>（3）具体、明确的质疑对象、质疑事项和质疑请求；</w:t>
      </w:r>
    </w:p>
    <w:p>
      <w:pPr>
        <w:ind w:firstLine="420" w:firstLineChars="200"/>
        <w:rPr>
          <w:rFonts w:ascii="宋体" w:hAnsi="宋体"/>
          <w:szCs w:val="21"/>
        </w:rPr>
      </w:pPr>
      <w:r>
        <w:rPr>
          <w:rFonts w:hint="eastAsia" w:ascii="宋体" w:hAnsi="宋体"/>
          <w:szCs w:val="21"/>
        </w:rPr>
        <w:t>（4）因质疑事项而受损害的权益；</w:t>
      </w:r>
    </w:p>
    <w:p>
      <w:pPr>
        <w:ind w:firstLine="420" w:firstLineChars="200"/>
        <w:rPr>
          <w:rFonts w:ascii="宋体" w:hAnsi="宋体"/>
          <w:szCs w:val="21"/>
        </w:rPr>
      </w:pPr>
      <w:r>
        <w:rPr>
          <w:rFonts w:hint="eastAsia" w:ascii="宋体" w:hAnsi="宋体"/>
          <w:szCs w:val="21"/>
        </w:rPr>
        <w:t>（5）事实依据；</w:t>
      </w:r>
    </w:p>
    <w:p>
      <w:pPr>
        <w:ind w:firstLine="420" w:firstLineChars="200"/>
        <w:rPr>
          <w:rFonts w:ascii="宋体" w:hAnsi="宋体"/>
          <w:szCs w:val="21"/>
        </w:rPr>
      </w:pPr>
      <w:r>
        <w:rPr>
          <w:rFonts w:hint="eastAsia" w:ascii="宋体" w:hAnsi="宋体"/>
          <w:szCs w:val="21"/>
        </w:rPr>
        <w:t>（6）必要的法律依据；</w:t>
      </w:r>
    </w:p>
    <w:p>
      <w:pPr>
        <w:ind w:firstLine="420" w:firstLineChars="200"/>
        <w:rPr>
          <w:rFonts w:ascii="宋体" w:hAnsi="宋体"/>
          <w:szCs w:val="21"/>
        </w:rPr>
      </w:pPr>
      <w:r>
        <w:rPr>
          <w:rFonts w:hint="eastAsia" w:ascii="宋体" w:hAnsi="宋体"/>
          <w:szCs w:val="21"/>
        </w:rPr>
        <w:t>（7）提出质疑的日期。</w:t>
      </w:r>
    </w:p>
    <w:p>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pPr>
        <w:ind w:firstLine="420" w:firstLineChars="200"/>
        <w:rPr>
          <w:rFonts w:ascii="宋体" w:hAnsi="宋体"/>
          <w:szCs w:val="21"/>
        </w:rPr>
      </w:pPr>
      <w:r>
        <w:rPr>
          <w:rFonts w:hint="eastAsia" w:ascii="宋体" w:hAnsi="宋体"/>
          <w:szCs w:val="21"/>
        </w:rPr>
        <w:t>52.4提交</w:t>
      </w:r>
      <w:r>
        <w:rPr>
          <w:rFonts w:ascii="宋体" w:hAnsi="宋体"/>
          <w:szCs w:val="21"/>
        </w:rPr>
        <w:t>材料</w:t>
      </w:r>
    </w:p>
    <w:p>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pPr>
        <w:ind w:firstLine="420" w:firstLineChars="200"/>
        <w:rPr>
          <w:rFonts w:ascii="宋体" w:hAnsi="宋体"/>
          <w:szCs w:val="21"/>
        </w:rPr>
      </w:pPr>
      <w:r>
        <w:rPr>
          <w:rFonts w:hint="eastAsia" w:ascii="宋体" w:hAnsi="宋体"/>
          <w:szCs w:val="21"/>
        </w:rPr>
        <w:t>52.5收文地点</w:t>
      </w:r>
    </w:p>
    <w:p>
      <w:pPr>
        <w:ind w:firstLine="422" w:firstLineChars="200"/>
        <w:rPr>
          <w:rFonts w:ascii="宋体" w:hAnsi="宋体"/>
          <w:b/>
          <w:bCs/>
          <w:szCs w:val="21"/>
        </w:rPr>
      </w:pPr>
      <w:r>
        <w:rPr>
          <w:rFonts w:hint="eastAsia" w:ascii="宋体" w:hAnsi="宋体"/>
          <w:b/>
          <w:bCs/>
          <w:szCs w:val="21"/>
        </w:rPr>
        <w:t>地址：深圳公共资源交易中心（深圳交易集团有限公司龙华分公司）（地址：深圳市龙华区观湖街道大和社区大和路288号宝观城锦鲤大厦办公楼22楼），质疑咨询电话：0755-23338582。</w:t>
      </w:r>
    </w:p>
    <w:p>
      <w:pPr>
        <w:ind w:firstLine="420" w:firstLineChars="200"/>
        <w:rPr>
          <w:rFonts w:ascii="宋体" w:hAnsi="宋体"/>
          <w:szCs w:val="21"/>
        </w:rPr>
      </w:pPr>
      <w:r>
        <w:rPr>
          <w:rFonts w:hint="eastAsia" w:ascii="宋体" w:hAnsi="宋体"/>
          <w:szCs w:val="21"/>
        </w:rPr>
        <w:t>52.6收文办理</w:t>
      </w:r>
      <w:r>
        <w:rPr>
          <w:rFonts w:ascii="宋体" w:hAnsi="宋体"/>
          <w:szCs w:val="21"/>
        </w:rPr>
        <w:t>程序</w:t>
      </w:r>
    </w:p>
    <w:p>
      <w:pPr>
        <w:ind w:firstLine="420" w:firstLineChars="200"/>
        <w:rPr>
          <w:rFonts w:ascii="宋体" w:hAnsi="宋体"/>
          <w:szCs w:val="21"/>
        </w:rPr>
      </w:pPr>
      <w:r>
        <w:rPr>
          <w:rFonts w:hint="eastAsia" w:ascii="宋体" w:hAnsi="宋体"/>
          <w:szCs w:val="21"/>
        </w:rPr>
        <w:t>52.6.1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pPr>
        <w:ind w:firstLine="420" w:firstLineChars="200"/>
        <w:rPr>
          <w:rFonts w:ascii="仿宋" w:hAnsi="仿宋" w:eastAsia="仿宋"/>
          <w:sz w:val="28"/>
          <w:szCs w:val="28"/>
        </w:rPr>
      </w:pPr>
      <w:r>
        <w:rPr>
          <w:rFonts w:hint="eastAsia" w:ascii="宋体" w:hAnsi="宋体"/>
          <w:szCs w:val="21"/>
        </w:rPr>
        <w:t>52.6.2供应商提交的质疑材料不符合质疑条件的，视情况处理：</w:t>
      </w:r>
    </w:p>
    <w:p>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pPr>
        <w:ind w:firstLine="420" w:firstLineChars="200"/>
        <w:rPr>
          <w:rFonts w:ascii="宋体" w:hAnsi="宋体"/>
          <w:szCs w:val="21"/>
        </w:rPr>
      </w:pPr>
      <w:r>
        <w:rPr>
          <w:rFonts w:hint="eastAsia" w:ascii="宋体" w:hAnsi="宋体"/>
          <w:szCs w:val="21"/>
        </w:rPr>
        <w:t>供应商提交的质疑存在下列情形之一的，不予受理：</w:t>
      </w:r>
    </w:p>
    <w:p>
      <w:pPr>
        <w:ind w:firstLine="420" w:firstLineChars="200"/>
        <w:rPr>
          <w:rFonts w:ascii="宋体" w:hAnsi="宋体"/>
          <w:szCs w:val="21"/>
        </w:rPr>
      </w:pPr>
      <w:r>
        <w:rPr>
          <w:rFonts w:hint="eastAsia" w:ascii="宋体" w:hAnsi="宋体"/>
          <w:szCs w:val="21"/>
        </w:rPr>
        <w:t>（1）质疑主体不满足要求的；</w:t>
      </w:r>
    </w:p>
    <w:p>
      <w:pPr>
        <w:ind w:firstLine="420" w:firstLineChars="200"/>
        <w:rPr>
          <w:rFonts w:ascii="宋体" w:hAnsi="宋体"/>
          <w:szCs w:val="21"/>
        </w:rPr>
      </w:pPr>
      <w:r>
        <w:rPr>
          <w:rFonts w:hint="eastAsia" w:ascii="宋体" w:hAnsi="宋体"/>
          <w:szCs w:val="21"/>
        </w:rPr>
        <w:t>（2）供应商自身权益未受到损害的；</w:t>
      </w:r>
    </w:p>
    <w:p>
      <w:pPr>
        <w:ind w:firstLine="420" w:firstLineChars="200"/>
        <w:rPr>
          <w:rFonts w:ascii="宋体" w:hAnsi="宋体"/>
          <w:szCs w:val="21"/>
        </w:rPr>
      </w:pPr>
      <w:r>
        <w:rPr>
          <w:rFonts w:hint="eastAsia" w:ascii="宋体" w:hAnsi="宋体"/>
          <w:szCs w:val="21"/>
        </w:rPr>
        <w:t>（3）供应商未在法定质疑期限内提出质疑的；</w:t>
      </w:r>
    </w:p>
    <w:p>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pPr>
        <w:ind w:firstLine="420" w:firstLineChars="200"/>
        <w:rPr>
          <w:rFonts w:ascii="宋体" w:hAnsi="宋体"/>
          <w:szCs w:val="21"/>
        </w:rPr>
      </w:pPr>
      <w:r>
        <w:rPr>
          <w:rFonts w:hint="eastAsia" w:ascii="宋体" w:hAnsi="宋体"/>
          <w:szCs w:val="21"/>
        </w:rPr>
        <w:t>（5）其他不符合受理条件情形的。</w:t>
      </w:r>
    </w:p>
    <w:p>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52.7质疑答复时限</w:t>
      </w:r>
    </w:p>
    <w:p>
      <w:pPr>
        <w:rPr>
          <w:rFonts w:ascii="宋体" w:hAnsi="宋体"/>
          <w:szCs w:val="21"/>
        </w:rPr>
      </w:pPr>
      <w:r>
        <w:rPr>
          <w:rFonts w:hint="eastAsia" w:ascii="宋体" w:hAnsi="宋体"/>
          <w:szCs w:val="21"/>
        </w:rPr>
        <w:t xml:space="preserve">    自收文之日起七个工作日内。</w:t>
      </w:r>
    </w:p>
    <w:p>
      <w:pPr>
        <w:rPr>
          <w:rFonts w:ascii="宋体" w:hAnsi="宋体"/>
          <w:szCs w:val="21"/>
        </w:rPr>
      </w:pPr>
      <w:r>
        <w:rPr>
          <w:rFonts w:hint="eastAsia" w:ascii="宋体" w:hAnsi="宋体"/>
          <w:szCs w:val="21"/>
        </w:rPr>
        <w:t xml:space="preserve">    52.8投诉</w:t>
      </w:r>
    </w:p>
    <w:p>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pPr>
        <w:rPr>
          <w:rFonts w:ascii="黑体" w:hAnsi="宋体" w:eastAsia="黑体"/>
          <w:sz w:val="24"/>
        </w:rPr>
      </w:pPr>
      <w:r>
        <w:rPr>
          <w:rFonts w:hint="eastAsia" w:ascii="黑体" w:hAnsi="宋体" w:eastAsia="黑体"/>
          <w:sz w:val="24"/>
        </w:rPr>
        <w:t>53. 质疑后续处理</w:t>
      </w:r>
    </w:p>
    <w:p>
      <w:pPr>
        <w:rPr>
          <w:rFonts w:ascii="宋体" w:hAnsi="宋体"/>
          <w:szCs w:val="21"/>
        </w:rPr>
      </w:pPr>
      <w:r>
        <w:rPr>
          <w:rFonts w:hint="eastAsia" w:ascii="宋体" w:hAnsi="宋体"/>
          <w:szCs w:val="21"/>
        </w:rPr>
        <w:t xml:space="preserve">    53.1供应商质疑不成立，或者成立但未对中标、成交结果构成影响的，继续开展采购活动。</w:t>
      </w:r>
    </w:p>
    <w:p>
      <w:pPr>
        <w:rPr>
          <w:rFonts w:ascii="宋体" w:hAnsi="宋体"/>
          <w:szCs w:val="21"/>
        </w:rPr>
      </w:pPr>
      <w:r>
        <w:rPr>
          <w:rFonts w:hint="eastAsia" w:ascii="宋体" w:hAnsi="宋体"/>
          <w:szCs w:val="21"/>
        </w:rPr>
        <w:t xml:space="preserve">    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pPr>
        <w:jc w:val="center"/>
      </w:pPr>
      <w:r>
        <w:t>---- END ----</w:t>
      </w:r>
    </w:p>
    <w:bookmarkEnd w:id="100"/>
    <w:p/>
    <w:p>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6"/>
      </w:rPr>
    </w:pPr>
    <w:r>
      <w:t xml:space="preserve">- </w:t>
    </w:r>
    <w:r>
      <w:fldChar w:fldCharType="begin"/>
    </w:r>
    <w:r>
      <w:instrText xml:space="preserve"> PAGE </w:instrText>
    </w:r>
    <w:r>
      <w:fldChar w:fldCharType="separate"/>
    </w:r>
    <w:r>
      <w:t>29</w:t>
    </w:r>
    <w:r>
      <w:fldChar w:fldCharType="end"/>
    </w:r>
    <w:r>
      <w:t xml:space="preserve"> -</w: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AC43F"/>
    <w:multiLevelType w:val="singleLevel"/>
    <w:tmpl w:val="826AC43F"/>
    <w:lvl w:ilvl="0" w:tentative="0">
      <w:start w:val="6"/>
      <w:numFmt w:val="decimal"/>
      <w:suff w:val="nothing"/>
      <w:lvlText w:val="%1、"/>
      <w:lvlJc w:val="left"/>
    </w:lvl>
  </w:abstractNum>
  <w:abstractNum w:abstractNumId="1">
    <w:nsid w:val="9FBE2FAF"/>
    <w:multiLevelType w:val="singleLevel"/>
    <w:tmpl w:val="9FBE2FAF"/>
    <w:lvl w:ilvl="0" w:tentative="0">
      <w:start w:val="1"/>
      <w:numFmt w:val="decimal"/>
      <w:lvlText w:val="(%1)"/>
      <w:lvlJc w:val="left"/>
      <w:pPr>
        <w:ind w:left="425" w:hanging="425"/>
      </w:pPr>
      <w:rPr>
        <w:rFonts w:hint="default"/>
      </w:rPr>
    </w:lvl>
  </w:abstractNum>
  <w:abstractNum w:abstractNumId="2">
    <w:nsid w:val="A702A6DD"/>
    <w:multiLevelType w:val="singleLevel"/>
    <w:tmpl w:val="A702A6DD"/>
    <w:lvl w:ilvl="0" w:tentative="0">
      <w:start w:val="1"/>
      <w:numFmt w:val="decimal"/>
      <w:suff w:val="nothing"/>
      <w:lvlText w:val="%1、"/>
      <w:lvlJc w:val="left"/>
    </w:lvl>
  </w:abstractNum>
  <w:abstractNum w:abstractNumId="3">
    <w:nsid w:val="AA7EF82E"/>
    <w:multiLevelType w:val="singleLevel"/>
    <w:tmpl w:val="AA7EF82E"/>
    <w:lvl w:ilvl="0" w:tentative="0">
      <w:start w:val="1"/>
      <w:numFmt w:val="decimal"/>
      <w:lvlText w:val="(%1)"/>
      <w:lvlJc w:val="left"/>
      <w:pPr>
        <w:ind w:left="425" w:hanging="425"/>
      </w:pPr>
      <w:rPr>
        <w:rFonts w:hint="default"/>
      </w:rPr>
    </w:lvl>
  </w:abstractNum>
  <w:abstractNum w:abstractNumId="4">
    <w:nsid w:val="B5014DB8"/>
    <w:multiLevelType w:val="singleLevel"/>
    <w:tmpl w:val="B5014DB8"/>
    <w:lvl w:ilvl="0" w:tentative="0">
      <w:start w:val="1"/>
      <w:numFmt w:val="chineseCounting"/>
      <w:suff w:val="nothing"/>
      <w:lvlText w:val="%1、"/>
      <w:lvlJc w:val="left"/>
      <w:pPr>
        <w:ind w:left="0" w:firstLine="420"/>
      </w:pPr>
      <w:rPr>
        <w:rFonts w:hint="eastAsia"/>
      </w:rPr>
    </w:lvl>
  </w:abstractNum>
  <w:abstractNum w:abstractNumId="5">
    <w:nsid w:val="B9358C2E"/>
    <w:multiLevelType w:val="singleLevel"/>
    <w:tmpl w:val="B9358C2E"/>
    <w:lvl w:ilvl="0" w:tentative="0">
      <w:start w:val="2"/>
      <w:numFmt w:val="decimal"/>
      <w:suff w:val="nothing"/>
      <w:lvlText w:val="%1、"/>
      <w:lvlJc w:val="left"/>
    </w:lvl>
  </w:abstractNum>
  <w:abstractNum w:abstractNumId="6">
    <w:nsid w:val="C6BE1413"/>
    <w:multiLevelType w:val="singleLevel"/>
    <w:tmpl w:val="C6BE1413"/>
    <w:lvl w:ilvl="0" w:tentative="0">
      <w:start w:val="1"/>
      <w:numFmt w:val="chineseCounting"/>
      <w:suff w:val="nothing"/>
      <w:lvlText w:val="（%1）"/>
      <w:lvlJc w:val="left"/>
      <w:rPr>
        <w:rFonts w:hint="eastAsia"/>
      </w:rPr>
    </w:lvl>
  </w:abstractNum>
  <w:abstractNum w:abstractNumId="7">
    <w:nsid w:val="CEABE3C0"/>
    <w:multiLevelType w:val="singleLevel"/>
    <w:tmpl w:val="CEABE3C0"/>
    <w:lvl w:ilvl="0" w:tentative="0">
      <w:start w:val="1"/>
      <w:numFmt w:val="chineseCounting"/>
      <w:suff w:val="nothing"/>
      <w:lvlText w:val="%1、"/>
      <w:lvlJc w:val="left"/>
      <w:rPr>
        <w:rFonts w:hint="eastAsia"/>
      </w:rPr>
    </w:lvl>
  </w:abstractNum>
  <w:abstractNum w:abstractNumId="8">
    <w:nsid w:val="EC65EDB5"/>
    <w:multiLevelType w:val="singleLevel"/>
    <w:tmpl w:val="EC65EDB5"/>
    <w:lvl w:ilvl="0" w:tentative="0">
      <w:start w:val="1"/>
      <w:numFmt w:val="chineseCounting"/>
      <w:suff w:val="nothing"/>
      <w:lvlText w:val="（%1）"/>
      <w:lvlJc w:val="left"/>
      <w:rPr>
        <w:rFonts w:hint="eastAsia"/>
      </w:rPr>
    </w:lvl>
  </w:abstractNum>
  <w:abstractNum w:abstractNumId="9">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10">
    <w:nsid w:val="FFFFFF89"/>
    <w:multiLevelType w:val="singleLevel"/>
    <w:tmpl w:val="FFFFFF89"/>
    <w:lvl w:ilvl="0" w:tentative="0">
      <w:start w:val="1"/>
      <w:numFmt w:val="bullet"/>
      <w:pStyle w:val="15"/>
      <w:lvlText w:val=""/>
      <w:lvlJc w:val="left"/>
      <w:pPr>
        <w:tabs>
          <w:tab w:val="left" w:pos="360"/>
        </w:tabs>
        <w:ind w:left="360" w:hanging="360" w:hangingChars="200"/>
      </w:pPr>
      <w:rPr>
        <w:rFonts w:hint="default" w:ascii="Wingdings" w:hAnsi="Wingdings"/>
      </w:rPr>
    </w:lvl>
  </w:abstractNum>
  <w:abstractNum w:abstractNumId="11">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2503483"/>
    <w:multiLevelType w:val="multilevel"/>
    <w:tmpl w:val="12503483"/>
    <w:lvl w:ilvl="0" w:tentative="0">
      <w:start w:val="1"/>
      <w:numFmt w:val="bullet"/>
      <w:pStyle w:val="113"/>
      <w:lvlText w:val=""/>
      <w:lvlJc w:val="left"/>
      <w:pPr>
        <w:tabs>
          <w:tab w:val="left" w:pos="420"/>
        </w:tabs>
        <w:ind w:left="420" w:hanging="420"/>
      </w:pPr>
      <w:rPr>
        <w:rFonts w:hint="default" w:ascii="Wingdings" w:hAnsi="Wingdings"/>
      </w:rPr>
    </w:lvl>
    <w:lvl w:ilvl="1" w:tentative="0">
      <w:start w:val="1"/>
      <w:numFmt w:val="bullet"/>
      <w:pStyle w:val="112"/>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160D20D0"/>
    <w:multiLevelType w:val="multilevel"/>
    <w:tmpl w:val="160D20D0"/>
    <w:lvl w:ilvl="0" w:tentative="0">
      <w:start w:val="1"/>
      <w:numFmt w:val="bullet"/>
      <w:pStyle w:val="81"/>
      <w:lvlText w:val=""/>
      <w:lvlJc w:val="left"/>
      <w:pPr>
        <w:tabs>
          <w:tab w:val="left" w:pos="840"/>
        </w:tabs>
        <w:ind w:left="840" w:hanging="420"/>
      </w:pPr>
      <w:rPr>
        <w:rFonts w:hint="default" w:ascii="Wingdings" w:hAnsi="Wingdings"/>
      </w:rPr>
    </w:lvl>
    <w:lvl w:ilvl="1" w:tentative="0">
      <w:start w:val="1"/>
      <w:numFmt w:val="bullet"/>
      <w:pStyle w:val="8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4">
    <w:nsid w:val="1E96FF87"/>
    <w:multiLevelType w:val="singleLevel"/>
    <w:tmpl w:val="1E96FF87"/>
    <w:lvl w:ilvl="0" w:tentative="0">
      <w:start w:val="1"/>
      <w:numFmt w:val="chineseCounting"/>
      <w:suff w:val="nothing"/>
      <w:lvlText w:val="（%1）"/>
      <w:lvlJc w:val="left"/>
      <w:rPr>
        <w:rFonts w:hint="eastAsia"/>
      </w:rPr>
    </w:lvl>
  </w:abstractNum>
  <w:abstractNum w:abstractNumId="15">
    <w:nsid w:val="2F395B7B"/>
    <w:multiLevelType w:val="multilevel"/>
    <w:tmpl w:val="2F395B7B"/>
    <w:lvl w:ilvl="0" w:tentative="0">
      <w:start w:val="1"/>
      <w:numFmt w:val="bullet"/>
      <w:pStyle w:val="173"/>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6">
    <w:nsid w:val="62102489"/>
    <w:multiLevelType w:val="singleLevel"/>
    <w:tmpl w:val="62102489"/>
    <w:lvl w:ilvl="0" w:tentative="0">
      <w:start w:val="1"/>
      <w:numFmt w:val="chineseCounting"/>
      <w:suff w:val="nothing"/>
      <w:lvlText w:val="%1、"/>
      <w:lvlJc w:val="left"/>
      <w:pPr>
        <w:ind w:left="0" w:firstLine="420"/>
      </w:pPr>
      <w:rPr>
        <w:rFonts w:hint="eastAsia"/>
      </w:rPr>
    </w:lvl>
  </w:abstractNum>
  <w:abstractNum w:abstractNumId="17">
    <w:nsid w:val="7AEF7716"/>
    <w:multiLevelType w:val="multilevel"/>
    <w:tmpl w:val="7AEF7716"/>
    <w:lvl w:ilvl="0" w:tentative="0">
      <w:start w:val="1"/>
      <w:numFmt w:val="chineseCountingThousand"/>
      <w:pStyle w:val="126"/>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0"/>
  </w:num>
  <w:num w:numId="2">
    <w:abstractNumId w:val="9"/>
  </w:num>
  <w:num w:numId="3">
    <w:abstractNumId w:val="13"/>
  </w:num>
  <w:num w:numId="4">
    <w:abstractNumId w:val="12"/>
  </w:num>
  <w:num w:numId="5">
    <w:abstractNumId w:val="17"/>
  </w:num>
  <w:num w:numId="6">
    <w:abstractNumId w:val="15"/>
  </w:num>
  <w:num w:numId="7">
    <w:abstractNumId w:val="0"/>
  </w:num>
  <w:num w:numId="8">
    <w:abstractNumId w:val="6"/>
  </w:num>
  <w:num w:numId="9">
    <w:abstractNumId w:val="1"/>
  </w:num>
  <w:num w:numId="10">
    <w:abstractNumId w:val="3"/>
  </w:num>
  <w:num w:numId="11">
    <w:abstractNumId w:val="16"/>
  </w:num>
  <w:num w:numId="12">
    <w:abstractNumId w:val="2"/>
  </w:num>
  <w:num w:numId="13">
    <w:abstractNumId w:val="4"/>
  </w:num>
  <w:num w:numId="14">
    <w:abstractNumId w:val="5"/>
  </w:num>
  <w:num w:numId="15">
    <w:abstractNumId w:val="7"/>
  </w:num>
  <w:num w:numId="16">
    <w:abstractNumId w:val="14"/>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MjRkZmUyMGRlMTRlYTFjYjdlYWRjMjU0MzEyNjg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658"/>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1EB4"/>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1642A0"/>
    <w:rsid w:val="011E2C47"/>
    <w:rsid w:val="0147778C"/>
    <w:rsid w:val="014C43D2"/>
    <w:rsid w:val="018F4DD0"/>
    <w:rsid w:val="01A26771"/>
    <w:rsid w:val="01C21EBE"/>
    <w:rsid w:val="01E943A0"/>
    <w:rsid w:val="02034A18"/>
    <w:rsid w:val="0227311A"/>
    <w:rsid w:val="02B04EBD"/>
    <w:rsid w:val="033C49A3"/>
    <w:rsid w:val="03613039"/>
    <w:rsid w:val="036202D4"/>
    <w:rsid w:val="03B20051"/>
    <w:rsid w:val="03D07714"/>
    <w:rsid w:val="042A0CA0"/>
    <w:rsid w:val="0456145B"/>
    <w:rsid w:val="04B94B88"/>
    <w:rsid w:val="05262D76"/>
    <w:rsid w:val="05584D59"/>
    <w:rsid w:val="056F462F"/>
    <w:rsid w:val="05DE1D42"/>
    <w:rsid w:val="05E05ABA"/>
    <w:rsid w:val="05ED08C0"/>
    <w:rsid w:val="060317A8"/>
    <w:rsid w:val="06175254"/>
    <w:rsid w:val="06270849"/>
    <w:rsid w:val="062F6A41"/>
    <w:rsid w:val="06552DE0"/>
    <w:rsid w:val="067D4F9E"/>
    <w:rsid w:val="067F4747"/>
    <w:rsid w:val="069C1ED5"/>
    <w:rsid w:val="069D2155"/>
    <w:rsid w:val="06B07B7C"/>
    <w:rsid w:val="06B62CBE"/>
    <w:rsid w:val="06C54CB0"/>
    <w:rsid w:val="06D105D3"/>
    <w:rsid w:val="06D71535"/>
    <w:rsid w:val="07515FD1"/>
    <w:rsid w:val="076B5857"/>
    <w:rsid w:val="076D5A73"/>
    <w:rsid w:val="07991A83"/>
    <w:rsid w:val="079E79DA"/>
    <w:rsid w:val="07DB29DD"/>
    <w:rsid w:val="082F4AD6"/>
    <w:rsid w:val="088F32E2"/>
    <w:rsid w:val="08A22B86"/>
    <w:rsid w:val="08CA370B"/>
    <w:rsid w:val="0930321F"/>
    <w:rsid w:val="096802A0"/>
    <w:rsid w:val="09F07824"/>
    <w:rsid w:val="0A0932C7"/>
    <w:rsid w:val="0A0A5DF9"/>
    <w:rsid w:val="0A2763AD"/>
    <w:rsid w:val="0A2F0DBE"/>
    <w:rsid w:val="0A506477"/>
    <w:rsid w:val="0A656ED5"/>
    <w:rsid w:val="0A6767AA"/>
    <w:rsid w:val="0A840B51"/>
    <w:rsid w:val="0A8A4C86"/>
    <w:rsid w:val="0AAC0660"/>
    <w:rsid w:val="0AD40BB1"/>
    <w:rsid w:val="0B0E19AF"/>
    <w:rsid w:val="0B792C38"/>
    <w:rsid w:val="0BB630C9"/>
    <w:rsid w:val="0BB974D9"/>
    <w:rsid w:val="0C061FF2"/>
    <w:rsid w:val="0C2D757F"/>
    <w:rsid w:val="0C8D726E"/>
    <w:rsid w:val="0CA273BC"/>
    <w:rsid w:val="0CBE28CD"/>
    <w:rsid w:val="0CBE467B"/>
    <w:rsid w:val="0CC223BD"/>
    <w:rsid w:val="0CE05750"/>
    <w:rsid w:val="0D1077DD"/>
    <w:rsid w:val="0D1150F2"/>
    <w:rsid w:val="0D18605F"/>
    <w:rsid w:val="0D447276"/>
    <w:rsid w:val="0D815DD4"/>
    <w:rsid w:val="0DB461AA"/>
    <w:rsid w:val="0E6E4BC9"/>
    <w:rsid w:val="0E771969"/>
    <w:rsid w:val="0E811E04"/>
    <w:rsid w:val="0EA162F1"/>
    <w:rsid w:val="0ED939EE"/>
    <w:rsid w:val="0EE26D46"/>
    <w:rsid w:val="0F0E18EA"/>
    <w:rsid w:val="0F4F55B5"/>
    <w:rsid w:val="0F523385"/>
    <w:rsid w:val="0F803E6A"/>
    <w:rsid w:val="0F815324"/>
    <w:rsid w:val="0FDA7A1E"/>
    <w:rsid w:val="10246EEB"/>
    <w:rsid w:val="10262C63"/>
    <w:rsid w:val="1032785A"/>
    <w:rsid w:val="1038484A"/>
    <w:rsid w:val="10482BD9"/>
    <w:rsid w:val="10545A22"/>
    <w:rsid w:val="105E064F"/>
    <w:rsid w:val="106E2803"/>
    <w:rsid w:val="10907D14"/>
    <w:rsid w:val="110658A6"/>
    <w:rsid w:val="11124F95"/>
    <w:rsid w:val="11166833"/>
    <w:rsid w:val="114A387E"/>
    <w:rsid w:val="11505A2D"/>
    <w:rsid w:val="11851C0B"/>
    <w:rsid w:val="11A5684D"/>
    <w:rsid w:val="11BC2E42"/>
    <w:rsid w:val="120E7E09"/>
    <w:rsid w:val="12152F8F"/>
    <w:rsid w:val="123D4E07"/>
    <w:rsid w:val="12562AA0"/>
    <w:rsid w:val="125C471A"/>
    <w:rsid w:val="127E28E2"/>
    <w:rsid w:val="12A94EA0"/>
    <w:rsid w:val="130E0799"/>
    <w:rsid w:val="13180F89"/>
    <w:rsid w:val="13561AB1"/>
    <w:rsid w:val="135E2714"/>
    <w:rsid w:val="13C71CE6"/>
    <w:rsid w:val="13D80718"/>
    <w:rsid w:val="14164D9C"/>
    <w:rsid w:val="148F527B"/>
    <w:rsid w:val="14A27D77"/>
    <w:rsid w:val="14CA62B3"/>
    <w:rsid w:val="14F25809"/>
    <w:rsid w:val="156B7273"/>
    <w:rsid w:val="159B504D"/>
    <w:rsid w:val="15B34F99"/>
    <w:rsid w:val="15D66ED9"/>
    <w:rsid w:val="15E60D55"/>
    <w:rsid w:val="15EF7FCB"/>
    <w:rsid w:val="16021A7C"/>
    <w:rsid w:val="16350460"/>
    <w:rsid w:val="163E5980"/>
    <w:rsid w:val="167F40D4"/>
    <w:rsid w:val="169B65A7"/>
    <w:rsid w:val="169C5A2D"/>
    <w:rsid w:val="16CB4F50"/>
    <w:rsid w:val="17081314"/>
    <w:rsid w:val="17853B61"/>
    <w:rsid w:val="17AC6144"/>
    <w:rsid w:val="17CB121D"/>
    <w:rsid w:val="18092816"/>
    <w:rsid w:val="180C7167"/>
    <w:rsid w:val="18251A52"/>
    <w:rsid w:val="183103F7"/>
    <w:rsid w:val="18371EB1"/>
    <w:rsid w:val="183A1C0C"/>
    <w:rsid w:val="18701F98"/>
    <w:rsid w:val="1890336F"/>
    <w:rsid w:val="18E67433"/>
    <w:rsid w:val="18F02060"/>
    <w:rsid w:val="192A37C4"/>
    <w:rsid w:val="194B373A"/>
    <w:rsid w:val="195718FA"/>
    <w:rsid w:val="198A7DBF"/>
    <w:rsid w:val="199E5A21"/>
    <w:rsid w:val="19CC03D7"/>
    <w:rsid w:val="19F8741E"/>
    <w:rsid w:val="19FD4A34"/>
    <w:rsid w:val="1AB8095B"/>
    <w:rsid w:val="1AD35795"/>
    <w:rsid w:val="1AE60AE2"/>
    <w:rsid w:val="1B177D78"/>
    <w:rsid w:val="1B373F76"/>
    <w:rsid w:val="1B3837BA"/>
    <w:rsid w:val="1B4B7A79"/>
    <w:rsid w:val="1B5763C6"/>
    <w:rsid w:val="1B942A09"/>
    <w:rsid w:val="1BAA0BEC"/>
    <w:rsid w:val="1BB61013"/>
    <w:rsid w:val="1BBB4BA7"/>
    <w:rsid w:val="1BCE272A"/>
    <w:rsid w:val="1BDF7E16"/>
    <w:rsid w:val="1BEF34AA"/>
    <w:rsid w:val="1BF400B9"/>
    <w:rsid w:val="1C4C11C0"/>
    <w:rsid w:val="1C525A04"/>
    <w:rsid w:val="1C6703E2"/>
    <w:rsid w:val="1CA67605"/>
    <w:rsid w:val="1CDA72AF"/>
    <w:rsid w:val="1D012A8E"/>
    <w:rsid w:val="1D01426F"/>
    <w:rsid w:val="1D035455"/>
    <w:rsid w:val="1D232A04"/>
    <w:rsid w:val="1D2B1804"/>
    <w:rsid w:val="1D2D465B"/>
    <w:rsid w:val="1D7658FA"/>
    <w:rsid w:val="1D884F5D"/>
    <w:rsid w:val="1E3950C5"/>
    <w:rsid w:val="1E4808ED"/>
    <w:rsid w:val="1E636E30"/>
    <w:rsid w:val="1E652BA8"/>
    <w:rsid w:val="1E960FB4"/>
    <w:rsid w:val="1EBD0C36"/>
    <w:rsid w:val="1EE73F05"/>
    <w:rsid w:val="1F23626A"/>
    <w:rsid w:val="1F2962CC"/>
    <w:rsid w:val="1F3A5DE3"/>
    <w:rsid w:val="1F652489"/>
    <w:rsid w:val="1FAF67D1"/>
    <w:rsid w:val="1FB93013"/>
    <w:rsid w:val="200D799B"/>
    <w:rsid w:val="20913CBA"/>
    <w:rsid w:val="20DB5404"/>
    <w:rsid w:val="20FB77F4"/>
    <w:rsid w:val="210118AD"/>
    <w:rsid w:val="212A2DEC"/>
    <w:rsid w:val="214747E7"/>
    <w:rsid w:val="21C92C4F"/>
    <w:rsid w:val="21D95741"/>
    <w:rsid w:val="222524D5"/>
    <w:rsid w:val="2234120F"/>
    <w:rsid w:val="2275311F"/>
    <w:rsid w:val="22761828"/>
    <w:rsid w:val="22D31885"/>
    <w:rsid w:val="2315274F"/>
    <w:rsid w:val="24082954"/>
    <w:rsid w:val="24C820E3"/>
    <w:rsid w:val="24DB1E16"/>
    <w:rsid w:val="24E06F8D"/>
    <w:rsid w:val="24E231A5"/>
    <w:rsid w:val="24FE5B05"/>
    <w:rsid w:val="250A248F"/>
    <w:rsid w:val="25381017"/>
    <w:rsid w:val="25592E0C"/>
    <w:rsid w:val="25706A02"/>
    <w:rsid w:val="258129BE"/>
    <w:rsid w:val="25A246E2"/>
    <w:rsid w:val="25AE12D9"/>
    <w:rsid w:val="25B12A01"/>
    <w:rsid w:val="25B368EF"/>
    <w:rsid w:val="25D54AB7"/>
    <w:rsid w:val="25D56865"/>
    <w:rsid w:val="25DA5423"/>
    <w:rsid w:val="26091431"/>
    <w:rsid w:val="262A4E03"/>
    <w:rsid w:val="26396DF4"/>
    <w:rsid w:val="26826131"/>
    <w:rsid w:val="26A87861"/>
    <w:rsid w:val="27025A26"/>
    <w:rsid w:val="27034AD1"/>
    <w:rsid w:val="27114611"/>
    <w:rsid w:val="272B36FC"/>
    <w:rsid w:val="27315D1D"/>
    <w:rsid w:val="27767BD4"/>
    <w:rsid w:val="279309B8"/>
    <w:rsid w:val="279A1B15"/>
    <w:rsid w:val="27C052F3"/>
    <w:rsid w:val="27C941A8"/>
    <w:rsid w:val="27D34647"/>
    <w:rsid w:val="280C250B"/>
    <w:rsid w:val="281F64BE"/>
    <w:rsid w:val="28377363"/>
    <w:rsid w:val="28746E9C"/>
    <w:rsid w:val="28B57AE7"/>
    <w:rsid w:val="28CF69C0"/>
    <w:rsid w:val="28DC7F0B"/>
    <w:rsid w:val="28DD6E23"/>
    <w:rsid w:val="28FC05AD"/>
    <w:rsid w:val="293B7327"/>
    <w:rsid w:val="294066EC"/>
    <w:rsid w:val="29C25353"/>
    <w:rsid w:val="2A273408"/>
    <w:rsid w:val="2A4F0167"/>
    <w:rsid w:val="2A522B7B"/>
    <w:rsid w:val="2A68414C"/>
    <w:rsid w:val="2A7A3E7F"/>
    <w:rsid w:val="2AA80E45"/>
    <w:rsid w:val="2AD417E1"/>
    <w:rsid w:val="2ADA1594"/>
    <w:rsid w:val="2ADE7026"/>
    <w:rsid w:val="2AFC049D"/>
    <w:rsid w:val="2B083239"/>
    <w:rsid w:val="2B46135E"/>
    <w:rsid w:val="2C153E96"/>
    <w:rsid w:val="2C5E7A86"/>
    <w:rsid w:val="2C723708"/>
    <w:rsid w:val="2C9F7BCD"/>
    <w:rsid w:val="2CB422EC"/>
    <w:rsid w:val="2CDD21EA"/>
    <w:rsid w:val="2CEB696E"/>
    <w:rsid w:val="2D2A56E9"/>
    <w:rsid w:val="2D5835E1"/>
    <w:rsid w:val="2D8206C8"/>
    <w:rsid w:val="2DCA0C7A"/>
    <w:rsid w:val="2E272C44"/>
    <w:rsid w:val="2E3A7BAD"/>
    <w:rsid w:val="2E424CB4"/>
    <w:rsid w:val="2E4722CA"/>
    <w:rsid w:val="2EB55C55"/>
    <w:rsid w:val="2ED0406E"/>
    <w:rsid w:val="2ED420CE"/>
    <w:rsid w:val="2EE61AE3"/>
    <w:rsid w:val="2EE67D35"/>
    <w:rsid w:val="2EEC40A0"/>
    <w:rsid w:val="2F292AAB"/>
    <w:rsid w:val="2F2C15E0"/>
    <w:rsid w:val="2F967065"/>
    <w:rsid w:val="2FD74BE1"/>
    <w:rsid w:val="2FF81ACE"/>
    <w:rsid w:val="30042095"/>
    <w:rsid w:val="302A1EA4"/>
    <w:rsid w:val="307410C2"/>
    <w:rsid w:val="308D0856"/>
    <w:rsid w:val="309C68FD"/>
    <w:rsid w:val="309F7DCB"/>
    <w:rsid w:val="30BD0622"/>
    <w:rsid w:val="30FA7AC8"/>
    <w:rsid w:val="31121EF5"/>
    <w:rsid w:val="31553B6F"/>
    <w:rsid w:val="31713F04"/>
    <w:rsid w:val="31717D8A"/>
    <w:rsid w:val="31ED267E"/>
    <w:rsid w:val="31EF7704"/>
    <w:rsid w:val="320D5098"/>
    <w:rsid w:val="3296737C"/>
    <w:rsid w:val="32F8706F"/>
    <w:rsid w:val="33136C1F"/>
    <w:rsid w:val="33305B83"/>
    <w:rsid w:val="338B6C3E"/>
    <w:rsid w:val="33B757FC"/>
    <w:rsid w:val="33E701B9"/>
    <w:rsid w:val="341E3ACD"/>
    <w:rsid w:val="344A48C2"/>
    <w:rsid w:val="349F69BC"/>
    <w:rsid w:val="34DB376C"/>
    <w:rsid w:val="34EF21EB"/>
    <w:rsid w:val="35270760"/>
    <w:rsid w:val="354B444E"/>
    <w:rsid w:val="35856BFC"/>
    <w:rsid w:val="35AF558A"/>
    <w:rsid w:val="35B069A7"/>
    <w:rsid w:val="35B77D36"/>
    <w:rsid w:val="35F25212"/>
    <w:rsid w:val="360F36CE"/>
    <w:rsid w:val="36306DF5"/>
    <w:rsid w:val="36A302BA"/>
    <w:rsid w:val="37515F68"/>
    <w:rsid w:val="378453E8"/>
    <w:rsid w:val="37880313"/>
    <w:rsid w:val="37915D55"/>
    <w:rsid w:val="37F45271"/>
    <w:rsid w:val="382471D8"/>
    <w:rsid w:val="386F3C3D"/>
    <w:rsid w:val="387F6B81"/>
    <w:rsid w:val="38D46E50"/>
    <w:rsid w:val="38F61B9A"/>
    <w:rsid w:val="39447B32"/>
    <w:rsid w:val="394C4C39"/>
    <w:rsid w:val="397273BD"/>
    <w:rsid w:val="39C3314D"/>
    <w:rsid w:val="39DD464B"/>
    <w:rsid w:val="39E03FF9"/>
    <w:rsid w:val="39E14173"/>
    <w:rsid w:val="3A060D60"/>
    <w:rsid w:val="3A5169AB"/>
    <w:rsid w:val="3A57664E"/>
    <w:rsid w:val="3A660185"/>
    <w:rsid w:val="3B27789D"/>
    <w:rsid w:val="3B3616FD"/>
    <w:rsid w:val="3B3877A0"/>
    <w:rsid w:val="3B563FC0"/>
    <w:rsid w:val="3B972928"/>
    <w:rsid w:val="3BB84807"/>
    <w:rsid w:val="3BDD4E74"/>
    <w:rsid w:val="3C4F6F1A"/>
    <w:rsid w:val="3C7D3246"/>
    <w:rsid w:val="3C7E4EDD"/>
    <w:rsid w:val="3CA64660"/>
    <w:rsid w:val="3CDB69FF"/>
    <w:rsid w:val="3D0D2931"/>
    <w:rsid w:val="3D200DA7"/>
    <w:rsid w:val="3D3659E4"/>
    <w:rsid w:val="3D76594D"/>
    <w:rsid w:val="3E09759C"/>
    <w:rsid w:val="3E13638A"/>
    <w:rsid w:val="3E216694"/>
    <w:rsid w:val="3E824310"/>
    <w:rsid w:val="3E8F5492"/>
    <w:rsid w:val="3EB53DB8"/>
    <w:rsid w:val="3F2415CF"/>
    <w:rsid w:val="3FB5178A"/>
    <w:rsid w:val="3FC678F9"/>
    <w:rsid w:val="3FEC0F24"/>
    <w:rsid w:val="40183AC7"/>
    <w:rsid w:val="404F7248"/>
    <w:rsid w:val="405C2C22"/>
    <w:rsid w:val="406665E0"/>
    <w:rsid w:val="40672B67"/>
    <w:rsid w:val="407F4DC0"/>
    <w:rsid w:val="40833636"/>
    <w:rsid w:val="40B97C69"/>
    <w:rsid w:val="40C34607"/>
    <w:rsid w:val="40F938F8"/>
    <w:rsid w:val="41103AB3"/>
    <w:rsid w:val="411A2A57"/>
    <w:rsid w:val="41210759"/>
    <w:rsid w:val="41232D78"/>
    <w:rsid w:val="417C108D"/>
    <w:rsid w:val="418036D2"/>
    <w:rsid w:val="4185067D"/>
    <w:rsid w:val="41A2641C"/>
    <w:rsid w:val="41C11805"/>
    <w:rsid w:val="41D61543"/>
    <w:rsid w:val="41D963BE"/>
    <w:rsid w:val="41E70198"/>
    <w:rsid w:val="41F8770C"/>
    <w:rsid w:val="420F381B"/>
    <w:rsid w:val="42204EB5"/>
    <w:rsid w:val="42213106"/>
    <w:rsid w:val="4259461F"/>
    <w:rsid w:val="426828AB"/>
    <w:rsid w:val="428B4A24"/>
    <w:rsid w:val="42A11473"/>
    <w:rsid w:val="42A81132"/>
    <w:rsid w:val="42AC48D8"/>
    <w:rsid w:val="42C41CE4"/>
    <w:rsid w:val="42D24149"/>
    <w:rsid w:val="42E51F94"/>
    <w:rsid w:val="42E83C24"/>
    <w:rsid w:val="432509D4"/>
    <w:rsid w:val="4352109E"/>
    <w:rsid w:val="43650DD1"/>
    <w:rsid w:val="437309E8"/>
    <w:rsid w:val="43CC15D8"/>
    <w:rsid w:val="43D83C99"/>
    <w:rsid w:val="43E16008"/>
    <w:rsid w:val="44142A53"/>
    <w:rsid w:val="44502E5B"/>
    <w:rsid w:val="4466277E"/>
    <w:rsid w:val="44B042CE"/>
    <w:rsid w:val="44C558EE"/>
    <w:rsid w:val="450D1720"/>
    <w:rsid w:val="452151CC"/>
    <w:rsid w:val="45343AB5"/>
    <w:rsid w:val="453F5652"/>
    <w:rsid w:val="456B28EB"/>
    <w:rsid w:val="45991EFD"/>
    <w:rsid w:val="45B20519"/>
    <w:rsid w:val="45C81AEB"/>
    <w:rsid w:val="45E17242"/>
    <w:rsid w:val="4624025E"/>
    <w:rsid w:val="46314259"/>
    <w:rsid w:val="468C0D6B"/>
    <w:rsid w:val="4692434E"/>
    <w:rsid w:val="46B856BC"/>
    <w:rsid w:val="46CF2718"/>
    <w:rsid w:val="46CF4FC2"/>
    <w:rsid w:val="46D52711"/>
    <w:rsid w:val="46EC288D"/>
    <w:rsid w:val="47161229"/>
    <w:rsid w:val="471C20EE"/>
    <w:rsid w:val="47507FEA"/>
    <w:rsid w:val="47A479CC"/>
    <w:rsid w:val="47B6656B"/>
    <w:rsid w:val="48282D03"/>
    <w:rsid w:val="48396CD0"/>
    <w:rsid w:val="48937901"/>
    <w:rsid w:val="48A02CB3"/>
    <w:rsid w:val="48B85E47"/>
    <w:rsid w:val="48C170B3"/>
    <w:rsid w:val="48DF33D4"/>
    <w:rsid w:val="49060960"/>
    <w:rsid w:val="49463453"/>
    <w:rsid w:val="49574862"/>
    <w:rsid w:val="49801E35"/>
    <w:rsid w:val="49CE328E"/>
    <w:rsid w:val="49D1128D"/>
    <w:rsid w:val="4A4D25BF"/>
    <w:rsid w:val="4A5406A2"/>
    <w:rsid w:val="4A636AF1"/>
    <w:rsid w:val="4A7D4C52"/>
    <w:rsid w:val="4AAE7501"/>
    <w:rsid w:val="4AC10206"/>
    <w:rsid w:val="4AC519F6"/>
    <w:rsid w:val="4AE64EED"/>
    <w:rsid w:val="4B110B90"/>
    <w:rsid w:val="4B447E66"/>
    <w:rsid w:val="4B4C5CA0"/>
    <w:rsid w:val="4B8A1D1C"/>
    <w:rsid w:val="4C215AB1"/>
    <w:rsid w:val="4CD40B51"/>
    <w:rsid w:val="4D105675"/>
    <w:rsid w:val="4D330192"/>
    <w:rsid w:val="4D4B1098"/>
    <w:rsid w:val="4D5F2D35"/>
    <w:rsid w:val="4D624570"/>
    <w:rsid w:val="4D7B7443"/>
    <w:rsid w:val="4E444B87"/>
    <w:rsid w:val="4EAF55F6"/>
    <w:rsid w:val="4EC72940"/>
    <w:rsid w:val="4F6E3703"/>
    <w:rsid w:val="4F934F18"/>
    <w:rsid w:val="4F9D7B44"/>
    <w:rsid w:val="4FAD422B"/>
    <w:rsid w:val="4FF534DD"/>
    <w:rsid w:val="500656EA"/>
    <w:rsid w:val="50113888"/>
    <w:rsid w:val="50A218B6"/>
    <w:rsid w:val="50AD2009"/>
    <w:rsid w:val="50B6421B"/>
    <w:rsid w:val="511B3417"/>
    <w:rsid w:val="51330760"/>
    <w:rsid w:val="516E3547"/>
    <w:rsid w:val="51915487"/>
    <w:rsid w:val="51A056CA"/>
    <w:rsid w:val="51C82CAC"/>
    <w:rsid w:val="52151C14"/>
    <w:rsid w:val="525D1C82"/>
    <w:rsid w:val="52D3015E"/>
    <w:rsid w:val="53083749"/>
    <w:rsid w:val="53162C32"/>
    <w:rsid w:val="532439D9"/>
    <w:rsid w:val="532F6D06"/>
    <w:rsid w:val="53395DD6"/>
    <w:rsid w:val="5355411C"/>
    <w:rsid w:val="53590226"/>
    <w:rsid w:val="53933738"/>
    <w:rsid w:val="545F7ABE"/>
    <w:rsid w:val="54803EF9"/>
    <w:rsid w:val="54BC3176"/>
    <w:rsid w:val="55636AAB"/>
    <w:rsid w:val="556C60B3"/>
    <w:rsid w:val="5579695E"/>
    <w:rsid w:val="55F25012"/>
    <w:rsid w:val="55FD133D"/>
    <w:rsid w:val="561244DD"/>
    <w:rsid w:val="562B3B54"/>
    <w:rsid w:val="563A27AE"/>
    <w:rsid w:val="56856D59"/>
    <w:rsid w:val="56903F5F"/>
    <w:rsid w:val="56B672FF"/>
    <w:rsid w:val="56F15429"/>
    <w:rsid w:val="57315AD3"/>
    <w:rsid w:val="57380B6E"/>
    <w:rsid w:val="573C7C43"/>
    <w:rsid w:val="573F362D"/>
    <w:rsid w:val="57504692"/>
    <w:rsid w:val="57B6568C"/>
    <w:rsid w:val="57EA3B43"/>
    <w:rsid w:val="583845FD"/>
    <w:rsid w:val="584A3B8C"/>
    <w:rsid w:val="58586CFE"/>
    <w:rsid w:val="585F62DF"/>
    <w:rsid w:val="5882708A"/>
    <w:rsid w:val="589C6BEB"/>
    <w:rsid w:val="58B205DA"/>
    <w:rsid w:val="58C47EF0"/>
    <w:rsid w:val="58FF55E4"/>
    <w:rsid w:val="59413C36"/>
    <w:rsid w:val="59562254"/>
    <w:rsid w:val="597638E0"/>
    <w:rsid w:val="597B2CA5"/>
    <w:rsid w:val="5A0002AB"/>
    <w:rsid w:val="5A084867"/>
    <w:rsid w:val="5A682141"/>
    <w:rsid w:val="5A696FA1"/>
    <w:rsid w:val="5A7F0572"/>
    <w:rsid w:val="5AB92201"/>
    <w:rsid w:val="5ACE5056"/>
    <w:rsid w:val="5AD92379"/>
    <w:rsid w:val="5B11015B"/>
    <w:rsid w:val="5B684939"/>
    <w:rsid w:val="5B847B74"/>
    <w:rsid w:val="5B90055D"/>
    <w:rsid w:val="5BA30291"/>
    <w:rsid w:val="5BB24978"/>
    <w:rsid w:val="5BD67AF4"/>
    <w:rsid w:val="5C0D7E00"/>
    <w:rsid w:val="5C292E8C"/>
    <w:rsid w:val="5C294C3A"/>
    <w:rsid w:val="5C457D62"/>
    <w:rsid w:val="5C46543B"/>
    <w:rsid w:val="5C642116"/>
    <w:rsid w:val="5C95407D"/>
    <w:rsid w:val="5C991E04"/>
    <w:rsid w:val="5CAB38A1"/>
    <w:rsid w:val="5CDF179C"/>
    <w:rsid w:val="5CED3FF9"/>
    <w:rsid w:val="5D267DAB"/>
    <w:rsid w:val="5D4476FB"/>
    <w:rsid w:val="5D4E450D"/>
    <w:rsid w:val="5DAA7FFC"/>
    <w:rsid w:val="5E343D6A"/>
    <w:rsid w:val="5E4044BD"/>
    <w:rsid w:val="5E6A778C"/>
    <w:rsid w:val="5E8425FB"/>
    <w:rsid w:val="5E8B3C4B"/>
    <w:rsid w:val="5ED8763C"/>
    <w:rsid w:val="5F192278"/>
    <w:rsid w:val="5F2711D9"/>
    <w:rsid w:val="5F2B7F16"/>
    <w:rsid w:val="5F394540"/>
    <w:rsid w:val="5F5F4E16"/>
    <w:rsid w:val="5F93061C"/>
    <w:rsid w:val="5FC96642"/>
    <w:rsid w:val="5FFE462F"/>
    <w:rsid w:val="60032513"/>
    <w:rsid w:val="601574AE"/>
    <w:rsid w:val="60257F58"/>
    <w:rsid w:val="60305EF9"/>
    <w:rsid w:val="605B55DE"/>
    <w:rsid w:val="607D5554"/>
    <w:rsid w:val="60BC2AE3"/>
    <w:rsid w:val="61096DE8"/>
    <w:rsid w:val="612105D5"/>
    <w:rsid w:val="61250170"/>
    <w:rsid w:val="614B2DC9"/>
    <w:rsid w:val="614C5F5A"/>
    <w:rsid w:val="61D5130D"/>
    <w:rsid w:val="620174BF"/>
    <w:rsid w:val="62111B39"/>
    <w:rsid w:val="62372A03"/>
    <w:rsid w:val="629E17B2"/>
    <w:rsid w:val="62CF0F81"/>
    <w:rsid w:val="634925E3"/>
    <w:rsid w:val="63C82F8A"/>
    <w:rsid w:val="63E03EF4"/>
    <w:rsid w:val="63F0428F"/>
    <w:rsid w:val="64AA6B34"/>
    <w:rsid w:val="64ED07CF"/>
    <w:rsid w:val="64FB113D"/>
    <w:rsid w:val="651B5C6C"/>
    <w:rsid w:val="6535464F"/>
    <w:rsid w:val="653603C7"/>
    <w:rsid w:val="654F4FE5"/>
    <w:rsid w:val="65735661"/>
    <w:rsid w:val="65A75FC0"/>
    <w:rsid w:val="65BD2897"/>
    <w:rsid w:val="66136E8B"/>
    <w:rsid w:val="66230368"/>
    <w:rsid w:val="6632079C"/>
    <w:rsid w:val="663D12E2"/>
    <w:rsid w:val="665E5750"/>
    <w:rsid w:val="66A51361"/>
    <w:rsid w:val="66E6766A"/>
    <w:rsid w:val="673E3563"/>
    <w:rsid w:val="676E3E49"/>
    <w:rsid w:val="678877B3"/>
    <w:rsid w:val="67A91325"/>
    <w:rsid w:val="67DF6AF4"/>
    <w:rsid w:val="67E1648C"/>
    <w:rsid w:val="681F15E7"/>
    <w:rsid w:val="683A0C71"/>
    <w:rsid w:val="68B03FED"/>
    <w:rsid w:val="68B32C7E"/>
    <w:rsid w:val="68DA5D31"/>
    <w:rsid w:val="69011D14"/>
    <w:rsid w:val="690A5DF3"/>
    <w:rsid w:val="694220A7"/>
    <w:rsid w:val="69456E2B"/>
    <w:rsid w:val="69470DF5"/>
    <w:rsid w:val="6990271E"/>
    <w:rsid w:val="69A41DA4"/>
    <w:rsid w:val="69A9410F"/>
    <w:rsid w:val="69B22C27"/>
    <w:rsid w:val="6A1D56B2"/>
    <w:rsid w:val="6A7651CF"/>
    <w:rsid w:val="6A773014"/>
    <w:rsid w:val="6A995680"/>
    <w:rsid w:val="6A9F07BD"/>
    <w:rsid w:val="6AD246EE"/>
    <w:rsid w:val="6B100175"/>
    <w:rsid w:val="6B67752D"/>
    <w:rsid w:val="6B9805DE"/>
    <w:rsid w:val="6BEF6070"/>
    <w:rsid w:val="6BFD239F"/>
    <w:rsid w:val="6C0C501F"/>
    <w:rsid w:val="6CCD1611"/>
    <w:rsid w:val="6CD859FF"/>
    <w:rsid w:val="6CEF1588"/>
    <w:rsid w:val="6D092EE7"/>
    <w:rsid w:val="6D0E2679"/>
    <w:rsid w:val="6D384F10"/>
    <w:rsid w:val="6D4621DE"/>
    <w:rsid w:val="6D4D4B26"/>
    <w:rsid w:val="6D561607"/>
    <w:rsid w:val="6D65638A"/>
    <w:rsid w:val="6DAE1443"/>
    <w:rsid w:val="6DC24EEE"/>
    <w:rsid w:val="6DC72505"/>
    <w:rsid w:val="6DDD7AF0"/>
    <w:rsid w:val="6DE24C48"/>
    <w:rsid w:val="6DE55656"/>
    <w:rsid w:val="6E180321"/>
    <w:rsid w:val="6E261BA7"/>
    <w:rsid w:val="6E4C0C5C"/>
    <w:rsid w:val="6E660432"/>
    <w:rsid w:val="6E681C31"/>
    <w:rsid w:val="6E8D3E82"/>
    <w:rsid w:val="6EA51AD2"/>
    <w:rsid w:val="6ED7625C"/>
    <w:rsid w:val="6EEA46FD"/>
    <w:rsid w:val="6F135292"/>
    <w:rsid w:val="6F573414"/>
    <w:rsid w:val="6F6D2EDC"/>
    <w:rsid w:val="6FBC0A83"/>
    <w:rsid w:val="6FDE3B35"/>
    <w:rsid w:val="70787AE6"/>
    <w:rsid w:val="709366CE"/>
    <w:rsid w:val="70BF3967"/>
    <w:rsid w:val="70F50EBA"/>
    <w:rsid w:val="71266569"/>
    <w:rsid w:val="7156385B"/>
    <w:rsid w:val="716B764B"/>
    <w:rsid w:val="71755167"/>
    <w:rsid w:val="717A508E"/>
    <w:rsid w:val="717C6A58"/>
    <w:rsid w:val="718D75C1"/>
    <w:rsid w:val="71A32941"/>
    <w:rsid w:val="71B05FD1"/>
    <w:rsid w:val="71B7463E"/>
    <w:rsid w:val="71D60130"/>
    <w:rsid w:val="72462175"/>
    <w:rsid w:val="725620A9"/>
    <w:rsid w:val="726E2F4F"/>
    <w:rsid w:val="72CB03A1"/>
    <w:rsid w:val="72CE5D9F"/>
    <w:rsid w:val="72E6342D"/>
    <w:rsid w:val="72E77E16"/>
    <w:rsid w:val="73532145"/>
    <w:rsid w:val="73905147"/>
    <w:rsid w:val="73AA4221"/>
    <w:rsid w:val="73D9089C"/>
    <w:rsid w:val="73E61BAE"/>
    <w:rsid w:val="73FA5E27"/>
    <w:rsid w:val="74035919"/>
    <w:rsid w:val="741E4FC3"/>
    <w:rsid w:val="7447637A"/>
    <w:rsid w:val="74591667"/>
    <w:rsid w:val="74C667AB"/>
    <w:rsid w:val="74C876B4"/>
    <w:rsid w:val="74CB1472"/>
    <w:rsid w:val="74D472B5"/>
    <w:rsid w:val="74EB6AD9"/>
    <w:rsid w:val="74FC0CE6"/>
    <w:rsid w:val="750E6C6B"/>
    <w:rsid w:val="757440A2"/>
    <w:rsid w:val="75D05CCE"/>
    <w:rsid w:val="75F73A2A"/>
    <w:rsid w:val="75FC7405"/>
    <w:rsid w:val="76393874"/>
    <w:rsid w:val="76646797"/>
    <w:rsid w:val="769958F2"/>
    <w:rsid w:val="76A518DD"/>
    <w:rsid w:val="76A7748B"/>
    <w:rsid w:val="76AD27B6"/>
    <w:rsid w:val="76E96805"/>
    <w:rsid w:val="770266B0"/>
    <w:rsid w:val="77283548"/>
    <w:rsid w:val="774F0A6D"/>
    <w:rsid w:val="779D6084"/>
    <w:rsid w:val="77D61BF0"/>
    <w:rsid w:val="77E577FB"/>
    <w:rsid w:val="77EF43D9"/>
    <w:rsid w:val="784576F8"/>
    <w:rsid w:val="78574485"/>
    <w:rsid w:val="78767A5E"/>
    <w:rsid w:val="78B95140"/>
    <w:rsid w:val="793D0B51"/>
    <w:rsid w:val="796230E1"/>
    <w:rsid w:val="798B4E50"/>
    <w:rsid w:val="79BD71CD"/>
    <w:rsid w:val="79D0629D"/>
    <w:rsid w:val="79F44681"/>
    <w:rsid w:val="79FB0956"/>
    <w:rsid w:val="79FF6B82"/>
    <w:rsid w:val="7A08012D"/>
    <w:rsid w:val="7A2A00A3"/>
    <w:rsid w:val="7A3E76AA"/>
    <w:rsid w:val="7AC21415"/>
    <w:rsid w:val="7AC325F7"/>
    <w:rsid w:val="7B095F0A"/>
    <w:rsid w:val="7B0F54EB"/>
    <w:rsid w:val="7B471C92"/>
    <w:rsid w:val="7C0E1079"/>
    <w:rsid w:val="7C280203"/>
    <w:rsid w:val="7C521865"/>
    <w:rsid w:val="7C725D31"/>
    <w:rsid w:val="7C791F46"/>
    <w:rsid w:val="7C95557C"/>
    <w:rsid w:val="7C9A2DA4"/>
    <w:rsid w:val="7CD73DE6"/>
    <w:rsid w:val="7CFE3D1B"/>
    <w:rsid w:val="7D511DEB"/>
    <w:rsid w:val="7D5F767F"/>
    <w:rsid w:val="7DAA3AC0"/>
    <w:rsid w:val="7DD62B88"/>
    <w:rsid w:val="7DEB27D3"/>
    <w:rsid w:val="7E0155BF"/>
    <w:rsid w:val="7E553215"/>
    <w:rsid w:val="7E5C45A3"/>
    <w:rsid w:val="7E78621C"/>
    <w:rsid w:val="7E816BC7"/>
    <w:rsid w:val="7EAD12A3"/>
    <w:rsid w:val="7EDB7BBE"/>
    <w:rsid w:val="7EE25ED4"/>
    <w:rsid w:val="7EF402AF"/>
    <w:rsid w:val="7F166E48"/>
    <w:rsid w:val="7F286B7B"/>
    <w:rsid w:val="7F2E3DC9"/>
    <w:rsid w:val="7FB0104A"/>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62"/>
    <w:qFormat/>
    <w:uiPriority w:val="0"/>
    <w:pPr>
      <w:spacing w:before="340" w:after="330" w:line="360" w:lineRule="auto"/>
      <w:jc w:val="center"/>
      <w:outlineLvl w:val="0"/>
    </w:pPr>
    <w:rPr>
      <w:rFonts w:eastAsia="黑体"/>
      <w:kern w:val="44"/>
      <w:szCs w:val="44"/>
    </w:rPr>
  </w:style>
  <w:style w:type="paragraph" w:styleId="6">
    <w:name w:val="heading 2"/>
    <w:basedOn w:val="4"/>
    <w:next w:val="5"/>
    <w:link w:val="77"/>
    <w:qFormat/>
    <w:uiPriority w:val="0"/>
    <w:pPr>
      <w:adjustRightInd w:val="0"/>
      <w:jc w:val="center"/>
      <w:textAlignment w:val="baseline"/>
      <w:outlineLvl w:val="1"/>
    </w:pPr>
    <w:rPr>
      <w:kern w:val="0"/>
      <w:sz w:val="24"/>
      <w:szCs w:val="20"/>
    </w:rPr>
  </w:style>
  <w:style w:type="paragraph" w:styleId="4">
    <w:name w:val="heading 3"/>
    <w:basedOn w:val="5"/>
    <w:next w:val="1"/>
    <w:link w:val="61"/>
    <w:qFormat/>
    <w:uiPriority w:val="9"/>
    <w:pPr>
      <w:spacing w:before="260" w:after="260" w:line="240" w:lineRule="auto"/>
      <w:outlineLvl w:val="2"/>
    </w:pPr>
    <w:rPr>
      <w:rFonts w:ascii="宋体" w:hAnsi="宋体" w:eastAsia="宋体"/>
      <w:szCs w:val="32"/>
    </w:rPr>
  </w:style>
  <w:style w:type="paragraph" w:styleId="5">
    <w:name w:val="heading 4"/>
    <w:basedOn w:val="1"/>
    <w:next w:val="1"/>
    <w:link w:val="59"/>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86"/>
    <w:qFormat/>
    <w:uiPriority w:val="0"/>
    <w:pPr>
      <w:keepNext/>
      <w:keepLines/>
      <w:spacing w:before="280" w:after="290" w:line="376" w:lineRule="auto"/>
      <w:outlineLvl w:val="4"/>
    </w:pPr>
    <w:rPr>
      <w:b/>
      <w:sz w:val="28"/>
      <w:szCs w:val="20"/>
    </w:rPr>
  </w:style>
  <w:style w:type="paragraph" w:styleId="9">
    <w:name w:val="heading 6"/>
    <w:basedOn w:val="1"/>
    <w:next w:val="8"/>
    <w:link w:val="89"/>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8"/>
    <w:link w:val="90"/>
    <w:qFormat/>
    <w:uiPriority w:val="0"/>
    <w:pPr>
      <w:keepNext/>
      <w:keepLines/>
      <w:spacing w:before="240" w:after="64" w:line="320" w:lineRule="auto"/>
      <w:outlineLvl w:val="6"/>
    </w:pPr>
    <w:rPr>
      <w:b/>
      <w:sz w:val="24"/>
      <w:szCs w:val="20"/>
    </w:rPr>
  </w:style>
  <w:style w:type="paragraph" w:styleId="11">
    <w:name w:val="heading 8"/>
    <w:basedOn w:val="1"/>
    <w:next w:val="8"/>
    <w:link w:val="91"/>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8"/>
    <w:link w:val="92"/>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98"/>
    <w:qFormat/>
    <w:uiPriority w:val="0"/>
    <w:pPr>
      <w:spacing w:line="360" w:lineRule="auto"/>
    </w:pPr>
    <w:rPr>
      <w:b/>
      <w:bCs/>
      <w:sz w:val="24"/>
    </w:rPr>
  </w:style>
  <w:style w:type="paragraph" w:styleId="8">
    <w:name w:val="Normal Indent"/>
    <w:basedOn w:val="1"/>
    <w:next w:val="1"/>
    <w:link w:val="63"/>
    <w:qFormat/>
    <w:uiPriority w:val="0"/>
    <w:pPr>
      <w:ind w:firstLine="420"/>
    </w:pPr>
    <w:rPr>
      <w:szCs w:val="20"/>
    </w:rPr>
  </w:style>
  <w:style w:type="paragraph" w:styleId="13">
    <w:name w:val="toc 7"/>
    <w:basedOn w:val="1"/>
    <w:next w:val="1"/>
    <w:semiHidden/>
    <w:qFormat/>
    <w:uiPriority w:val="0"/>
    <w:pPr>
      <w:ind w:left="1260"/>
      <w:jc w:val="left"/>
    </w:pPr>
    <w:rPr>
      <w:szCs w:val="21"/>
    </w:rPr>
  </w:style>
  <w:style w:type="paragraph" w:styleId="14">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5">
    <w:name w:val="List Bullet"/>
    <w:basedOn w:val="1"/>
    <w:qFormat/>
    <w:uiPriority w:val="0"/>
    <w:pPr>
      <w:numPr>
        <w:ilvl w:val="0"/>
        <w:numId w:val="1"/>
      </w:numPr>
    </w:pPr>
    <w:rPr>
      <w:szCs w:val="20"/>
    </w:rPr>
  </w:style>
  <w:style w:type="paragraph" w:styleId="16">
    <w:name w:val="Document Map"/>
    <w:basedOn w:val="1"/>
    <w:semiHidden/>
    <w:qFormat/>
    <w:uiPriority w:val="0"/>
    <w:pPr>
      <w:shd w:val="clear" w:color="auto" w:fill="000080"/>
    </w:pPr>
  </w:style>
  <w:style w:type="paragraph" w:styleId="17">
    <w:name w:val="annotation text"/>
    <w:basedOn w:val="1"/>
    <w:link w:val="190"/>
    <w:qFormat/>
    <w:uiPriority w:val="99"/>
    <w:pPr>
      <w:autoSpaceDE w:val="0"/>
      <w:autoSpaceDN w:val="0"/>
      <w:adjustRightInd w:val="0"/>
      <w:jc w:val="left"/>
      <w:textAlignment w:val="baseline"/>
    </w:pPr>
    <w:rPr>
      <w:rFonts w:ascii="宋体"/>
      <w:kern w:val="0"/>
      <w:sz w:val="34"/>
      <w:szCs w:val="20"/>
    </w:rPr>
  </w:style>
  <w:style w:type="paragraph" w:styleId="18">
    <w:name w:val="Body Text 3"/>
    <w:basedOn w:val="1"/>
    <w:link w:val="104"/>
    <w:qFormat/>
    <w:uiPriority w:val="0"/>
    <w:pPr>
      <w:spacing w:after="120"/>
    </w:pPr>
    <w:rPr>
      <w:sz w:val="16"/>
      <w:szCs w:val="16"/>
    </w:rPr>
  </w:style>
  <w:style w:type="paragraph" w:styleId="19">
    <w:name w:val="Body Text Indent"/>
    <w:basedOn w:val="1"/>
    <w:link w:val="85"/>
    <w:qFormat/>
    <w:uiPriority w:val="0"/>
    <w:pPr>
      <w:spacing w:line="360" w:lineRule="auto"/>
      <w:ind w:firstLine="420" w:firstLineChars="200"/>
    </w:p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rPr>
  </w:style>
  <w:style w:type="paragraph" w:styleId="22">
    <w:name w:val="Plain Text"/>
    <w:basedOn w:val="1"/>
    <w:link w:val="96"/>
    <w:qFormat/>
    <w:uiPriority w:val="0"/>
    <w:rPr>
      <w:rFonts w:ascii="宋体" w:hAnsi="Courier New"/>
      <w:szCs w:val="20"/>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94"/>
    <w:qFormat/>
    <w:uiPriority w:val="0"/>
    <w:rPr>
      <w:rFonts w:ascii="宋体" w:hAnsi="Courier New"/>
      <w:sz w:val="32"/>
      <w:szCs w:val="20"/>
    </w:rPr>
  </w:style>
  <w:style w:type="paragraph" w:styleId="25">
    <w:name w:val="Body Text Indent 2"/>
    <w:basedOn w:val="1"/>
    <w:link w:val="99"/>
    <w:qFormat/>
    <w:uiPriority w:val="0"/>
    <w:pPr>
      <w:spacing w:beforeLines="50" w:afterLines="50" w:line="120" w:lineRule="auto"/>
      <w:ind w:firstLine="840" w:firstLineChars="400"/>
      <w:jc w:val="left"/>
    </w:pPr>
    <w:rPr>
      <w:rFonts w:ascii="宋体" w:hAnsi="宋体"/>
    </w:rPr>
  </w:style>
  <w:style w:type="paragraph" w:styleId="26">
    <w:name w:val="Balloon Text"/>
    <w:basedOn w:val="1"/>
    <w:link w:val="105"/>
    <w:semiHidden/>
    <w:qFormat/>
    <w:uiPriority w:val="99"/>
    <w:rPr>
      <w:sz w:val="18"/>
      <w:szCs w:val="18"/>
    </w:rPr>
  </w:style>
  <w:style w:type="paragraph" w:styleId="27">
    <w:name w:val="footer"/>
    <w:basedOn w:val="1"/>
    <w:link w:val="103"/>
    <w:qFormat/>
    <w:uiPriority w:val="0"/>
    <w:pPr>
      <w:tabs>
        <w:tab w:val="center" w:pos="4153"/>
        <w:tab w:val="right" w:pos="8306"/>
      </w:tabs>
      <w:snapToGrid w:val="0"/>
      <w:jc w:val="left"/>
    </w:pPr>
    <w:rPr>
      <w:sz w:val="18"/>
      <w:szCs w:val="18"/>
    </w:rPr>
  </w:style>
  <w:style w:type="paragraph" w:styleId="28">
    <w:name w:val="header"/>
    <w:basedOn w:val="1"/>
    <w:link w:val="100"/>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spacing w:before="120" w:after="120"/>
      <w:jc w:val="left"/>
    </w:pPr>
    <w:rPr>
      <w:b/>
      <w:bCs/>
      <w:caps/>
    </w:rPr>
  </w:style>
  <w:style w:type="paragraph" w:styleId="30">
    <w:name w:val="toc 4"/>
    <w:basedOn w:val="1"/>
    <w:next w:val="1"/>
    <w:semiHidden/>
    <w:qFormat/>
    <w:uiPriority w:val="0"/>
    <w:pPr>
      <w:ind w:left="630"/>
      <w:jc w:val="left"/>
    </w:pPr>
    <w:rPr>
      <w:szCs w:val="21"/>
    </w:rPr>
  </w:style>
  <w:style w:type="paragraph" w:styleId="31">
    <w:name w:val="toc 6"/>
    <w:basedOn w:val="1"/>
    <w:next w:val="1"/>
    <w:semiHidden/>
    <w:qFormat/>
    <w:uiPriority w:val="0"/>
    <w:pPr>
      <w:ind w:left="1050"/>
      <w:jc w:val="left"/>
    </w:pPr>
    <w:rPr>
      <w:szCs w:val="21"/>
    </w:rPr>
  </w:style>
  <w:style w:type="paragraph" w:styleId="32">
    <w:name w:val="Body Text Indent 3"/>
    <w:basedOn w:val="1"/>
    <w:link w:val="101"/>
    <w:qFormat/>
    <w:uiPriority w:val="0"/>
    <w:pPr>
      <w:spacing w:line="360" w:lineRule="auto"/>
      <w:ind w:firstLine="482" w:firstLineChars="200"/>
    </w:pPr>
    <w:rPr>
      <w:rFonts w:ascii="宋体"/>
      <w:b/>
      <w:bCs/>
      <w:sz w:val="24"/>
    </w:rPr>
  </w:style>
  <w:style w:type="paragraph" w:styleId="33">
    <w:name w:val="toc 2"/>
    <w:basedOn w:val="1"/>
    <w:next w:val="1"/>
    <w:semiHidden/>
    <w:qFormat/>
    <w:uiPriority w:val="0"/>
    <w:pPr>
      <w:tabs>
        <w:tab w:val="right" w:leader="dot" w:pos="8296"/>
      </w:tabs>
      <w:ind w:left="210"/>
      <w:jc w:val="left"/>
    </w:pPr>
    <w:rPr>
      <w:smallCaps/>
    </w:rPr>
  </w:style>
  <w:style w:type="paragraph" w:styleId="34">
    <w:name w:val="toc 9"/>
    <w:basedOn w:val="1"/>
    <w:next w:val="1"/>
    <w:semiHidden/>
    <w:qFormat/>
    <w:uiPriority w:val="0"/>
    <w:pPr>
      <w:ind w:left="1680"/>
      <w:jc w:val="left"/>
    </w:pPr>
    <w:rPr>
      <w:szCs w:val="21"/>
    </w:rPr>
  </w:style>
  <w:style w:type="paragraph" w:styleId="35">
    <w:name w:val="Body Text 2"/>
    <w:basedOn w:val="1"/>
    <w:link w:val="102"/>
    <w:qFormat/>
    <w:uiPriority w:val="0"/>
    <w:pPr>
      <w:spacing w:line="360" w:lineRule="auto"/>
    </w:pPr>
    <w:rPr>
      <w:sz w:val="24"/>
    </w:rPr>
  </w:style>
  <w:style w:type="paragraph" w:styleId="36">
    <w:name w:val="HTML Preformatted"/>
    <w:basedOn w:val="1"/>
    <w:link w:val="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6"/>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3"/>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7"/>
    <w:next w:val="17"/>
    <w:link w:val="191"/>
    <w:qFormat/>
    <w:uiPriority w:val="99"/>
    <w:pPr>
      <w:autoSpaceDE/>
      <w:autoSpaceDN/>
      <w:adjustRightInd/>
      <w:textAlignment w:val="auto"/>
    </w:pPr>
    <w:rPr>
      <w:rFonts w:ascii="Times New Roman"/>
      <w:b/>
      <w:bCs/>
      <w:kern w:val="2"/>
      <w:sz w:val="21"/>
      <w:szCs w:val="24"/>
    </w:rPr>
  </w:style>
  <w:style w:type="paragraph" w:styleId="41">
    <w:name w:val="Body Text First Indent"/>
    <w:basedOn w:val="2"/>
    <w:link w:val="136"/>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hint="default"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rPr>
      <w:bdr w:val="single" w:color="EBEBEB" w:sz="2" w:space="0"/>
    </w:rPr>
  </w:style>
  <w:style w:type="character" w:styleId="57">
    <w:name w:val="HTML Keyboard"/>
    <w:basedOn w:val="44"/>
    <w:semiHidden/>
    <w:unhideWhenUsed/>
    <w:qFormat/>
    <w:uiPriority w:val="0"/>
    <w:rPr>
      <w:rFonts w:hint="default"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character" w:customStyle="1" w:styleId="59">
    <w:name w:val="标题 4 Char"/>
    <w:link w:val="5"/>
    <w:qFormat/>
    <w:uiPriority w:val="9"/>
    <w:rPr>
      <w:rFonts w:ascii="Arial" w:hAnsi="Arial" w:eastAsia="黑体"/>
      <w:b/>
      <w:bCs/>
      <w:kern w:val="2"/>
      <w:sz w:val="28"/>
      <w:szCs w:val="28"/>
      <w:lang w:val="en-US" w:eastAsia="zh-CN" w:bidi="ar-SA"/>
    </w:rPr>
  </w:style>
  <w:style w:type="paragraph" w:customStyle="1" w:styleId="60">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1">
    <w:name w:val="标题 3 Char1"/>
    <w:link w:val="4"/>
    <w:qFormat/>
    <w:uiPriority w:val="9"/>
    <w:rPr>
      <w:rFonts w:ascii="宋体" w:hAnsi="宋体" w:eastAsia="宋体"/>
      <w:b/>
      <w:bCs/>
      <w:kern w:val="2"/>
      <w:sz w:val="28"/>
      <w:szCs w:val="32"/>
      <w:lang w:val="en-US" w:eastAsia="zh-CN" w:bidi="ar-SA"/>
    </w:rPr>
  </w:style>
  <w:style w:type="character" w:customStyle="1" w:styleId="62">
    <w:name w:val="标题 1 Char"/>
    <w:link w:val="3"/>
    <w:qFormat/>
    <w:uiPriority w:val="0"/>
    <w:rPr>
      <w:rFonts w:ascii="宋体" w:hAnsi="宋体" w:eastAsia="黑体"/>
      <w:b/>
      <w:bCs/>
      <w:kern w:val="44"/>
      <w:sz w:val="28"/>
      <w:szCs w:val="44"/>
      <w:lang w:val="en-US" w:eastAsia="zh-CN" w:bidi="ar-SA"/>
    </w:rPr>
  </w:style>
  <w:style w:type="character" w:customStyle="1" w:styleId="63">
    <w:name w:val="正文缩进 Char"/>
    <w:link w:val="8"/>
    <w:qFormat/>
    <w:uiPriority w:val="0"/>
    <w:rPr>
      <w:rFonts w:eastAsia="宋体"/>
      <w:kern w:val="2"/>
      <w:sz w:val="21"/>
      <w:lang w:val="en-US" w:eastAsia="zh-CN" w:bidi="ar-SA"/>
    </w:rPr>
  </w:style>
  <w:style w:type="character" w:customStyle="1" w:styleId="64">
    <w:name w:val="标题 3 Char"/>
    <w:qFormat/>
    <w:uiPriority w:val="0"/>
    <w:rPr>
      <w:rFonts w:ascii="黑体" w:eastAsia="黑体"/>
      <w:bCs/>
      <w:sz w:val="30"/>
    </w:rPr>
  </w:style>
  <w:style w:type="paragraph" w:customStyle="1" w:styleId="65">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6">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7">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2">
    <w:name w:val="自定义正文"/>
    <w:basedOn w:val="1"/>
    <w:qFormat/>
    <w:uiPriority w:val="0"/>
    <w:pPr>
      <w:spacing w:afterLines="50"/>
      <w:ind w:left="600" w:leftChars="600"/>
    </w:pPr>
  </w:style>
  <w:style w:type="paragraph" w:customStyle="1" w:styleId="73">
    <w:name w:val="Char Char Char Char Char"/>
    <w:basedOn w:val="1"/>
    <w:qFormat/>
    <w:uiPriority w:val="0"/>
    <w:rPr>
      <w:rFonts w:ascii="Tahoma" w:hAnsi="Tahoma"/>
      <w:sz w:val="24"/>
      <w:szCs w:val="20"/>
    </w:rPr>
  </w:style>
  <w:style w:type="paragraph" w:customStyle="1" w:styleId="74">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5">
    <w:name w:val="Char Char"/>
    <w:basedOn w:val="1"/>
    <w:qFormat/>
    <w:uiPriority w:val="0"/>
    <w:rPr>
      <w:rFonts w:ascii="Tahoma" w:hAnsi="Tahoma"/>
      <w:sz w:val="24"/>
      <w:szCs w:val="20"/>
    </w:rPr>
  </w:style>
  <w:style w:type="paragraph" w:customStyle="1" w:styleId="76">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7">
    <w:name w:val="标题 2 Char"/>
    <w:link w:val="6"/>
    <w:qFormat/>
    <w:uiPriority w:val="0"/>
    <w:rPr>
      <w:rFonts w:ascii="宋体" w:hAnsi="宋体" w:eastAsia="宋体"/>
      <w:b/>
      <w:bCs/>
      <w:sz w:val="24"/>
      <w:lang w:val="en-US" w:eastAsia="zh-CN" w:bidi="ar-SA"/>
    </w:rPr>
  </w:style>
  <w:style w:type="paragraph" w:customStyle="1" w:styleId="78">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9">
    <w:name w:val="List Paragraph"/>
    <w:basedOn w:val="1"/>
    <w:qFormat/>
    <w:uiPriority w:val="34"/>
    <w:pPr>
      <w:ind w:firstLine="420" w:firstLineChars="200"/>
    </w:pPr>
    <w:rPr>
      <w:rFonts w:ascii="Calibri" w:hAnsi="Calibri"/>
      <w:szCs w:val="22"/>
    </w:rPr>
  </w:style>
  <w:style w:type="paragraph" w:customStyle="1" w:styleId="80">
    <w:name w:val="USE 1"/>
    <w:basedOn w:val="1"/>
    <w:qFormat/>
    <w:uiPriority w:val="0"/>
    <w:pPr>
      <w:spacing w:line="200" w:lineRule="atLeast"/>
      <w:jc w:val="left"/>
    </w:pPr>
    <w:rPr>
      <w:rFonts w:ascii="宋体" w:hAnsi="宋体"/>
      <w:b/>
      <w:sz w:val="24"/>
      <w:szCs w:val="28"/>
    </w:rPr>
  </w:style>
  <w:style w:type="paragraph" w:customStyle="1" w:styleId="81">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2">
    <w:name w:val="正文文字缩进项目"/>
    <w:basedOn w:val="19"/>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3">
    <w:name w:val="样式 标题 2 + 段前: 13 磅 段后: 13 磅 行距: 单倍行距"/>
    <w:basedOn w:val="6"/>
    <w:qFormat/>
    <w:uiPriority w:val="0"/>
    <w:pPr>
      <w:adjustRightInd/>
      <w:spacing w:before="0" w:after="0"/>
      <w:jc w:val="both"/>
      <w:textAlignment w:val="auto"/>
    </w:pPr>
    <w:rPr>
      <w:rFonts w:ascii="Cambria" w:hAnsi="Cambria" w:cs="宋体"/>
      <w:kern w:val="2"/>
      <w:sz w:val="32"/>
    </w:rPr>
  </w:style>
  <w:style w:type="character" w:customStyle="1" w:styleId="84">
    <w:name w:val="H4 Char2"/>
    <w:qFormat/>
    <w:uiPriority w:val="0"/>
    <w:rPr>
      <w:rFonts w:ascii="Arial" w:hAnsi="Arial" w:eastAsia="黑体"/>
      <w:b/>
      <w:bCs/>
      <w:kern w:val="2"/>
      <w:sz w:val="28"/>
      <w:szCs w:val="28"/>
      <w:lang w:val="en-US" w:eastAsia="zh-CN" w:bidi="ar-SA"/>
    </w:rPr>
  </w:style>
  <w:style w:type="character" w:customStyle="1" w:styleId="85">
    <w:name w:val="正文文本缩进 Char"/>
    <w:link w:val="19"/>
    <w:qFormat/>
    <w:uiPriority w:val="0"/>
    <w:rPr>
      <w:rFonts w:eastAsia="宋体"/>
      <w:kern w:val="2"/>
      <w:sz w:val="21"/>
      <w:szCs w:val="24"/>
      <w:lang w:val="en-US" w:eastAsia="zh-CN" w:bidi="ar-SA"/>
    </w:rPr>
  </w:style>
  <w:style w:type="character" w:customStyle="1" w:styleId="86">
    <w:name w:val="标题 5 Char"/>
    <w:link w:val="7"/>
    <w:qFormat/>
    <w:uiPriority w:val="0"/>
    <w:rPr>
      <w:rFonts w:eastAsia="宋体"/>
      <w:b/>
      <w:kern w:val="2"/>
      <w:sz w:val="28"/>
      <w:lang w:val="en-US" w:eastAsia="zh-CN" w:bidi="ar-SA"/>
    </w:rPr>
  </w:style>
  <w:style w:type="character" w:customStyle="1" w:styleId="87">
    <w:name w:val="第*章 Char"/>
    <w:qFormat/>
    <w:uiPriority w:val="0"/>
    <w:rPr>
      <w:rFonts w:ascii="Arial" w:hAnsi="Arial" w:eastAsia="黑体"/>
      <w:b/>
      <w:bCs/>
      <w:kern w:val="2"/>
      <w:sz w:val="32"/>
      <w:szCs w:val="32"/>
    </w:rPr>
  </w:style>
  <w:style w:type="character" w:customStyle="1" w:styleId="88">
    <w:name w:val="章标题1 Char"/>
    <w:qFormat/>
    <w:uiPriority w:val="0"/>
    <w:rPr>
      <w:rFonts w:eastAsia="宋体"/>
      <w:b/>
      <w:bCs/>
      <w:kern w:val="2"/>
      <w:sz w:val="32"/>
      <w:szCs w:val="32"/>
      <w:lang w:val="en-US" w:eastAsia="zh-CN" w:bidi="ar-SA"/>
    </w:rPr>
  </w:style>
  <w:style w:type="character" w:customStyle="1" w:styleId="89">
    <w:name w:val="标题 6 Char"/>
    <w:link w:val="9"/>
    <w:qFormat/>
    <w:uiPriority w:val="0"/>
    <w:rPr>
      <w:rFonts w:ascii="Arial" w:hAnsi="Arial" w:eastAsia="黑体"/>
      <w:b/>
      <w:kern w:val="2"/>
      <w:sz w:val="24"/>
      <w:lang w:val="en-US" w:eastAsia="zh-CN" w:bidi="ar-SA"/>
    </w:rPr>
  </w:style>
  <w:style w:type="character" w:customStyle="1" w:styleId="90">
    <w:name w:val="标题 7 Char"/>
    <w:link w:val="10"/>
    <w:qFormat/>
    <w:uiPriority w:val="0"/>
    <w:rPr>
      <w:rFonts w:eastAsia="宋体"/>
      <w:b/>
      <w:kern w:val="2"/>
      <w:sz w:val="24"/>
      <w:lang w:val="en-US" w:eastAsia="zh-CN" w:bidi="ar-SA"/>
    </w:rPr>
  </w:style>
  <w:style w:type="character" w:customStyle="1" w:styleId="91">
    <w:name w:val="标题 8 Char"/>
    <w:link w:val="11"/>
    <w:qFormat/>
    <w:uiPriority w:val="0"/>
    <w:rPr>
      <w:rFonts w:ascii="Arial" w:hAnsi="Arial" w:eastAsia="黑体"/>
      <w:kern w:val="2"/>
      <w:sz w:val="24"/>
      <w:lang w:val="en-US" w:eastAsia="zh-CN" w:bidi="ar-SA"/>
    </w:rPr>
  </w:style>
  <w:style w:type="character" w:customStyle="1" w:styleId="92">
    <w:name w:val="标题 9 Char"/>
    <w:link w:val="12"/>
    <w:qFormat/>
    <w:uiPriority w:val="0"/>
    <w:rPr>
      <w:rFonts w:ascii="Arial" w:hAnsi="Arial" w:eastAsia="黑体"/>
      <w:kern w:val="2"/>
      <w:sz w:val="21"/>
      <w:lang w:val="en-US" w:eastAsia="zh-CN" w:bidi="ar-SA"/>
    </w:rPr>
  </w:style>
  <w:style w:type="character" w:customStyle="1" w:styleId="93">
    <w:name w:val="标题 Char"/>
    <w:link w:val="39"/>
    <w:qFormat/>
    <w:uiPriority w:val="0"/>
    <w:rPr>
      <w:rFonts w:ascii="Arial" w:hAnsi="Arial" w:eastAsia="隶书" w:cs="Arial"/>
      <w:b/>
      <w:bCs/>
      <w:kern w:val="2"/>
      <w:sz w:val="32"/>
      <w:szCs w:val="32"/>
      <w:lang w:val="en-US" w:eastAsia="zh-CN" w:bidi="ar-SA"/>
    </w:rPr>
  </w:style>
  <w:style w:type="character" w:customStyle="1" w:styleId="94">
    <w:name w:val="日期 Char"/>
    <w:link w:val="24"/>
    <w:qFormat/>
    <w:uiPriority w:val="0"/>
    <w:rPr>
      <w:rFonts w:ascii="宋体" w:hAnsi="Courier New" w:eastAsia="宋体"/>
      <w:kern w:val="2"/>
      <w:sz w:val="32"/>
      <w:lang w:val="en-US" w:eastAsia="zh-CN" w:bidi="ar-SA"/>
    </w:rPr>
  </w:style>
  <w:style w:type="character" w:customStyle="1" w:styleId="95">
    <w:name w:val="HTML 预设格式 Char"/>
    <w:link w:val="36"/>
    <w:qFormat/>
    <w:uiPriority w:val="0"/>
    <w:rPr>
      <w:rFonts w:ascii="Arial Unicode MS" w:hAnsi="Arial Unicode MS" w:eastAsia="Arial Unicode MS"/>
      <w:color w:val="000000"/>
      <w:lang w:val="en-US" w:eastAsia="zh-CN" w:bidi="ar-SA"/>
    </w:rPr>
  </w:style>
  <w:style w:type="character" w:customStyle="1" w:styleId="96">
    <w:name w:val="纯文本 Char"/>
    <w:link w:val="22"/>
    <w:qFormat/>
    <w:uiPriority w:val="0"/>
    <w:rPr>
      <w:rFonts w:ascii="宋体" w:hAnsi="Courier New" w:eastAsia="宋体"/>
      <w:kern w:val="2"/>
      <w:sz w:val="21"/>
      <w:lang w:val="en-US" w:eastAsia="zh-CN" w:bidi="ar-SA"/>
    </w:rPr>
  </w:style>
  <w:style w:type="character" w:customStyle="1" w:styleId="97">
    <w:name w:val="正文文字首行缩进 Char"/>
    <w:qFormat/>
    <w:uiPriority w:val="0"/>
    <w:rPr>
      <w:kern w:val="2"/>
      <w:sz w:val="21"/>
      <w:szCs w:val="24"/>
    </w:rPr>
  </w:style>
  <w:style w:type="character" w:customStyle="1" w:styleId="98">
    <w:name w:val="正文文本 Char"/>
    <w:link w:val="2"/>
    <w:qFormat/>
    <w:uiPriority w:val="0"/>
    <w:rPr>
      <w:rFonts w:eastAsia="宋体"/>
      <w:b/>
      <w:bCs/>
      <w:kern w:val="2"/>
      <w:sz w:val="24"/>
      <w:szCs w:val="24"/>
      <w:lang w:val="en-US" w:eastAsia="zh-CN" w:bidi="ar-SA"/>
    </w:rPr>
  </w:style>
  <w:style w:type="character" w:customStyle="1" w:styleId="99">
    <w:name w:val="正文文本缩进 2 Char"/>
    <w:link w:val="25"/>
    <w:qFormat/>
    <w:uiPriority w:val="0"/>
    <w:rPr>
      <w:rFonts w:ascii="宋体" w:hAnsi="宋体" w:eastAsia="宋体"/>
      <w:kern w:val="2"/>
      <w:sz w:val="21"/>
      <w:szCs w:val="24"/>
      <w:lang w:val="en-US" w:eastAsia="zh-CN" w:bidi="ar-SA"/>
    </w:rPr>
  </w:style>
  <w:style w:type="character" w:customStyle="1" w:styleId="100">
    <w:name w:val="页眉 Char"/>
    <w:link w:val="28"/>
    <w:qFormat/>
    <w:uiPriority w:val="99"/>
    <w:rPr>
      <w:rFonts w:eastAsia="宋体"/>
      <w:kern w:val="2"/>
      <w:sz w:val="18"/>
      <w:szCs w:val="18"/>
      <w:lang w:val="en-US" w:eastAsia="zh-CN" w:bidi="ar-SA"/>
    </w:rPr>
  </w:style>
  <w:style w:type="character" w:customStyle="1" w:styleId="101">
    <w:name w:val="正文文本缩进 3 Char"/>
    <w:link w:val="32"/>
    <w:qFormat/>
    <w:uiPriority w:val="0"/>
    <w:rPr>
      <w:rFonts w:ascii="宋体" w:eastAsia="宋体"/>
      <w:b/>
      <w:bCs/>
      <w:kern w:val="2"/>
      <w:sz w:val="24"/>
      <w:szCs w:val="24"/>
      <w:lang w:val="en-US" w:eastAsia="zh-CN" w:bidi="ar-SA"/>
    </w:rPr>
  </w:style>
  <w:style w:type="character" w:customStyle="1" w:styleId="102">
    <w:name w:val="正文文本 2 Char"/>
    <w:link w:val="35"/>
    <w:qFormat/>
    <w:uiPriority w:val="0"/>
    <w:rPr>
      <w:rFonts w:eastAsia="宋体"/>
      <w:kern w:val="2"/>
      <w:sz w:val="24"/>
      <w:szCs w:val="24"/>
      <w:lang w:val="en-US" w:eastAsia="zh-CN" w:bidi="ar-SA"/>
    </w:rPr>
  </w:style>
  <w:style w:type="character" w:customStyle="1" w:styleId="103">
    <w:name w:val="页脚 Char"/>
    <w:link w:val="27"/>
    <w:qFormat/>
    <w:uiPriority w:val="0"/>
    <w:rPr>
      <w:rFonts w:eastAsia="宋体"/>
      <w:kern w:val="2"/>
      <w:sz w:val="18"/>
      <w:szCs w:val="18"/>
      <w:lang w:val="en-US" w:eastAsia="zh-CN" w:bidi="ar-SA"/>
    </w:rPr>
  </w:style>
  <w:style w:type="character" w:customStyle="1" w:styleId="104">
    <w:name w:val="正文文本 3 Char"/>
    <w:link w:val="18"/>
    <w:qFormat/>
    <w:uiPriority w:val="0"/>
    <w:rPr>
      <w:rFonts w:eastAsia="宋体"/>
      <w:kern w:val="2"/>
      <w:sz w:val="16"/>
      <w:szCs w:val="16"/>
      <w:lang w:val="en-US" w:eastAsia="zh-CN" w:bidi="ar-SA"/>
    </w:rPr>
  </w:style>
  <w:style w:type="character" w:customStyle="1" w:styleId="105">
    <w:name w:val="批注框文本 Char"/>
    <w:link w:val="26"/>
    <w:semiHidden/>
    <w:qFormat/>
    <w:uiPriority w:val="99"/>
    <w:rPr>
      <w:rFonts w:eastAsia="宋体"/>
      <w:kern w:val="2"/>
      <w:sz w:val="18"/>
      <w:szCs w:val="18"/>
      <w:lang w:val="en-US" w:eastAsia="zh-CN" w:bidi="ar-SA"/>
    </w:rPr>
  </w:style>
  <w:style w:type="paragraph" w:customStyle="1" w:styleId="106">
    <w:name w:val="样式1"/>
    <w:basedOn w:val="39"/>
    <w:qFormat/>
    <w:uiPriority w:val="0"/>
    <w:pPr>
      <w:spacing w:before="120" w:after="120"/>
    </w:pPr>
    <w:rPr>
      <w:rFonts w:eastAsia="黑体"/>
      <w:b w:val="0"/>
      <w:sz w:val="30"/>
      <w:szCs w:val="21"/>
    </w:rPr>
  </w:style>
  <w:style w:type="paragraph" w:customStyle="1" w:styleId="107">
    <w:name w:val="样式2"/>
    <w:basedOn w:val="39"/>
    <w:next w:val="106"/>
    <w:qFormat/>
    <w:uiPriority w:val="0"/>
    <w:pPr>
      <w:spacing w:before="120" w:after="120"/>
    </w:pPr>
    <w:rPr>
      <w:rFonts w:eastAsia="黑体"/>
      <w:b w:val="0"/>
      <w:sz w:val="30"/>
      <w:szCs w:val="30"/>
    </w:rPr>
  </w:style>
  <w:style w:type="character" w:customStyle="1" w:styleId="108">
    <w:name w:val="标题 3 Char Char"/>
    <w:qFormat/>
    <w:uiPriority w:val="0"/>
    <w:rPr>
      <w:rFonts w:eastAsia="宋体"/>
      <w:b/>
      <w:bCs/>
      <w:kern w:val="2"/>
      <w:sz w:val="32"/>
      <w:szCs w:val="32"/>
      <w:lang w:val="en-US" w:eastAsia="zh-CN" w:bidi="ar-SA"/>
    </w:rPr>
  </w:style>
  <w:style w:type="paragraph" w:customStyle="1" w:styleId="109">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0">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1">
    <w:name w:val="--规划正文"/>
    <w:basedOn w:val="1"/>
    <w:qFormat/>
    <w:uiPriority w:val="0"/>
    <w:pPr>
      <w:spacing w:line="360" w:lineRule="auto"/>
      <w:ind w:firstLine="200" w:firstLineChars="200"/>
    </w:pPr>
    <w:rPr>
      <w:szCs w:val="20"/>
    </w:rPr>
  </w:style>
  <w:style w:type="paragraph" w:customStyle="1" w:styleId="112">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3">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4">
    <w:name w:val="样式4"/>
    <w:basedOn w:val="1"/>
    <w:qFormat/>
    <w:uiPriority w:val="0"/>
    <w:pPr>
      <w:tabs>
        <w:tab w:val="left" w:pos="842"/>
      </w:tabs>
      <w:spacing w:line="360" w:lineRule="auto"/>
      <w:ind w:left="842" w:hanging="420"/>
    </w:pPr>
    <w:rPr>
      <w:sz w:val="24"/>
    </w:rPr>
  </w:style>
  <w:style w:type="paragraph" w:customStyle="1" w:styleId="115">
    <w:name w:val="文字"/>
    <w:basedOn w:val="1"/>
    <w:qFormat/>
    <w:uiPriority w:val="0"/>
    <w:pPr>
      <w:tabs>
        <w:tab w:val="left" w:pos="8520"/>
      </w:tabs>
      <w:spacing w:line="312" w:lineRule="auto"/>
      <w:ind w:right="-210" w:firstLine="556"/>
    </w:pPr>
    <w:rPr>
      <w:rFonts w:ascii="宋体"/>
      <w:sz w:val="28"/>
      <w:szCs w:val="20"/>
    </w:rPr>
  </w:style>
  <w:style w:type="paragraph" w:customStyle="1" w:styleId="116">
    <w:name w:val="--规划-表格-居左"/>
    <w:basedOn w:val="111"/>
    <w:qFormat/>
    <w:uiPriority w:val="0"/>
    <w:pPr>
      <w:spacing w:line="240" w:lineRule="auto"/>
      <w:ind w:firstLine="0" w:firstLineChars="0"/>
    </w:pPr>
    <w:rPr>
      <w:sz w:val="20"/>
    </w:rPr>
  </w:style>
  <w:style w:type="paragraph" w:customStyle="1" w:styleId="117">
    <w:name w:val="--规划-表格-居中"/>
    <w:basedOn w:val="111"/>
    <w:qFormat/>
    <w:uiPriority w:val="0"/>
    <w:pPr>
      <w:spacing w:line="240" w:lineRule="auto"/>
      <w:ind w:firstLine="0" w:firstLineChars="0"/>
      <w:jc w:val="center"/>
    </w:pPr>
    <w:rPr>
      <w:sz w:val="20"/>
    </w:rPr>
  </w:style>
  <w:style w:type="paragraph" w:customStyle="1" w:styleId="118">
    <w:name w:val="--编号内缩进"/>
    <w:basedOn w:val="1"/>
    <w:qFormat/>
    <w:uiPriority w:val="0"/>
    <w:pPr>
      <w:spacing w:line="360" w:lineRule="auto"/>
      <w:ind w:left="420" w:firstLine="200" w:firstLineChars="200"/>
    </w:pPr>
    <w:rPr>
      <w:szCs w:val="21"/>
    </w:rPr>
  </w:style>
  <w:style w:type="paragraph" w:customStyle="1" w:styleId="119">
    <w:name w:val="--规划-题注"/>
    <w:basedOn w:val="1"/>
    <w:next w:val="111"/>
    <w:qFormat/>
    <w:uiPriority w:val="0"/>
    <w:pPr>
      <w:spacing w:line="360" w:lineRule="auto"/>
      <w:jc w:val="center"/>
    </w:pPr>
    <w:rPr>
      <w:rFonts w:eastAsia="黑体"/>
    </w:rPr>
  </w:style>
  <w:style w:type="paragraph" w:customStyle="1" w:styleId="120">
    <w:name w:val="--规划-图和表"/>
    <w:next w:val="111"/>
    <w:qFormat/>
    <w:uiPriority w:val="0"/>
    <w:pPr>
      <w:jc w:val="center"/>
    </w:pPr>
    <w:rPr>
      <w:rFonts w:ascii="Times New Roman" w:hAnsi="Times New Roman" w:eastAsia="宋体" w:cs="Times New Roman"/>
      <w:kern w:val="2"/>
      <w:sz w:val="21"/>
      <w:lang w:val="en-US" w:eastAsia="zh-CN" w:bidi="ar-SA"/>
    </w:rPr>
  </w:style>
  <w:style w:type="paragraph" w:customStyle="1" w:styleId="121">
    <w:name w:val="--规划-小标题"/>
    <w:basedOn w:val="1"/>
    <w:next w:val="111"/>
    <w:qFormat/>
    <w:uiPriority w:val="0"/>
    <w:pPr>
      <w:keepNext/>
      <w:keepLines/>
      <w:spacing w:line="360" w:lineRule="auto"/>
      <w:outlineLvl w:val="4"/>
    </w:pPr>
    <w:rPr>
      <w:rFonts w:eastAsia="黑体"/>
    </w:rPr>
  </w:style>
  <w:style w:type="paragraph" w:customStyle="1" w:styleId="122">
    <w:name w:val="--规划正文 Char"/>
    <w:basedOn w:val="1"/>
    <w:qFormat/>
    <w:uiPriority w:val="0"/>
    <w:pPr>
      <w:spacing w:line="360" w:lineRule="auto"/>
      <w:ind w:firstLine="200" w:firstLineChars="200"/>
    </w:pPr>
    <w:rPr>
      <w:sz w:val="24"/>
    </w:rPr>
  </w:style>
  <w:style w:type="paragraph" w:customStyle="1" w:styleId="123">
    <w:name w:val="缺省文本"/>
    <w:basedOn w:val="1"/>
    <w:qFormat/>
    <w:uiPriority w:val="0"/>
    <w:pPr>
      <w:autoSpaceDE w:val="0"/>
      <w:autoSpaceDN w:val="0"/>
      <w:adjustRightInd w:val="0"/>
      <w:jc w:val="left"/>
    </w:pPr>
    <w:rPr>
      <w:kern w:val="0"/>
    </w:rPr>
  </w:style>
  <w:style w:type="paragraph" w:customStyle="1" w:styleId="124">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5">
    <w:name w:val="--规划正文 Char Char"/>
    <w:qFormat/>
    <w:uiPriority w:val="0"/>
    <w:rPr>
      <w:rFonts w:eastAsia="宋体"/>
      <w:kern w:val="2"/>
      <w:sz w:val="24"/>
      <w:szCs w:val="24"/>
      <w:lang w:val="en-US" w:eastAsia="zh-CN" w:bidi="ar-SA"/>
    </w:rPr>
  </w:style>
  <w:style w:type="paragraph" w:customStyle="1" w:styleId="126">
    <w:name w:val="样式3"/>
    <w:basedOn w:val="3"/>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7">
    <w:name w:val="--规划正文 Char1"/>
    <w:qFormat/>
    <w:uiPriority w:val="0"/>
    <w:rPr>
      <w:rFonts w:eastAsia="宋体"/>
      <w:kern w:val="2"/>
      <w:sz w:val="21"/>
      <w:lang w:val="en-US" w:eastAsia="zh-CN" w:bidi="ar-SA"/>
    </w:rPr>
  </w:style>
  <w:style w:type="paragraph" w:customStyle="1" w:styleId="128">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9">
    <w:name w:val="列表项目"/>
    <w:basedOn w:val="1"/>
    <w:qFormat/>
    <w:uiPriority w:val="0"/>
    <w:pPr>
      <w:tabs>
        <w:tab w:val="left" w:pos="420"/>
        <w:tab w:val="left" w:pos="1080"/>
      </w:tabs>
      <w:spacing w:line="288" w:lineRule="auto"/>
      <w:ind w:left="1080" w:hanging="360"/>
    </w:pPr>
    <w:rPr>
      <w:sz w:val="24"/>
      <w:szCs w:val="20"/>
    </w:rPr>
  </w:style>
  <w:style w:type="character" w:customStyle="1" w:styleId="130">
    <w:name w:val="content1"/>
    <w:qFormat/>
    <w:uiPriority w:val="0"/>
    <w:rPr>
      <w:rFonts w:hint="default" w:ascii="??" w:hAnsi="??"/>
      <w:sz w:val="16"/>
      <w:szCs w:val="16"/>
      <w:u w:val="none"/>
    </w:rPr>
  </w:style>
  <w:style w:type="character" w:customStyle="1" w:styleId="131">
    <w:name w:val="unnamed4"/>
    <w:basedOn w:val="44"/>
    <w:qFormat/>
    <w:uiPriority w:val="0"/>
  </w:style>
  <w:style w:type="character" w:customStyle="1" w:styleId="132">
    <w:name w:val="font2"/>
    <w:basedOn w:val="44"/>
    <w:qFormat/>
    <w:uiPriority w:val="0"/>
  </w:style>
  <w:style w:type="character" w:customStyle="1" w:styleId="133">
    <w:name w:val="font41"/>
    <w:qFormat/>
    <w:uiPriority w:val="0"/>
    <w:rPr>
      <w:color w:val="000000"/>
      <w:spacing w:val="260"/>
      <w:sz w:val="18"/>
      <w:szCs w:val="18"/>
      <w:u w:val="none"/>
    </w:rPr>
  </w:style>
  <w:style w:type="paragraph" w:customStyle="1" w:styleId="134">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5">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6">
    <w:name w:val="正文首行缩进 Char"/>
    <w:link w:val="41"/>
    <w:qFormat/>
    <w:uiPriority w:val="0"/>
    <w:rPr>
      <w:rFonts w:eastAsia="宋体"/>
      <w:b/>
      <w:bCs/>
      <w:kern w:val="2"/>
      <w:sz w:val="21"/>
      <w:szCs w:val="24"/>
      <w:lang w:val="en-US" w:eastAsia="zh-CN" w:bidi="ar-SA"/>
    </w:rPr>
  </w:style>
  <w:style w:type="paragraph" w:customStyle="1" w:styleId="137">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8">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9">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0">
    <w:name w:val="mode"/>
    <w:basedOn w:val="44"/>
    <w:qFormat/>
    <w:uiPriority w:val="0"/>
  </w:style>
  <w:style w:type="paragraph" w:customStyle="1" w:styleId="141">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42">
    <w:name w:val="unnamed3"/>
    <w:basedOn w:val="44"/>
    <w:qFormat/>
    <w:uiPriority w:val="0"/>
  </w:style>
  <w:style w:type="paragraph" w:customStyle="1" w:styleId="143">
    <w:name w:val="8"/>
    <w:basedOn w:val="1"/>
    <w:next w:val="19"/>
    <w:qFormat/>
    <w:uiPriority w:val="0"/>
    <w:pPr>
      <w:spacing w:after="120"/>
      <w:ind w:left="420" w:leftChars="200"/>
    </w:pPr>
  </w:style>
  <w:style w:type="paragraph" w:customStyle="1" w:styleId="144">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5">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6">
    <w:name w:val="5"/>
    <w:basedOn w:val="1"/>
    <w:qFormat/>
    <w:uiPriority w:val="0"/>
    <w:pPr>
      <w:autoSpaceDE w:val="0"/>
      <w:autoSpaceDN w:val="0"/>
      <w:adjustRightInd w:val="0"/>
      <w:jc w:val="left"/>
    </w:pPr>
    <w:rPr>
      <w:rFonts w:ascii="宋体"/>
      <w:b/>
      <w:bCs/>
      <w:kern w:val="0"/>
      <w:sz w:val="18"/>
      <w:szCs w:val="18"/>
    </w:rPr>
  </w:style>
  <w:style w:type="paragraph" w:customStyle="1" w:styleId="147">
    <w:name w:val="6"/>
    <w:basedOn w:val="146"/>
    <w:qFormat/>
    <w:uiPriority w:val="0"/>
    <w:pPr>
      <w:spacing w:line="270" w:lineRule="atLeast"/>
      <w:jc w:val="both"/>
    </w:pPr>
    <w:rPr>
      <w:b w:val="0"/>
      <w:bCs w:val="0"/>
    </w:rPr>
  </w:style>
  <w:style w:type="paragraph" w:customStyle="1" w:styleId="148">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9">
    <w:name w:val="姜文清定义的正文"/>
    <w:basedOn w:val="1"/>
    <w:qFormat/>
    <w:uiPriority w:val="0"/>
    <w:pPr>
      <w:spacing w:line="240" w:lineRule="atLeast"/>
      <w:ind w:firstLine="567"/>
    </w:pPr>
    <w:rPr>
      <w:szCs w:val="20"/>
    </w:rPr>
  </w:style>
  <w:style w:type="paragraph" w:customStyle="1" w:styleId="150">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1">
    <w:name w:val="CM2"/>
    <w:basedOn w:val="150"/>
    <w:next w:val="150"/>
    <w:qFormat/>
    <w:uiPriority w:val="0"/>
    <w:pPr>
      <w:spacing w:line="200" w:lineRule="atLeast"/>
    </w:pPr>
    <w:rPr>
      <w:rFonts w:ascii="Arial" w:hAnsi="Arial" w:eastAsia="宋体" w:cs="Times New Roman"/>
      <w:color w:val="auto"/>
    </w:rPr>
  </w:style>
  <w:style w:type="paragraph" w:customStyle="1" w:styleId="152">
    <w:name w:val="Normal Paragraph"/>
    <w:basedOn w:val="1"/>
    <w:qFormat/>
    <w:uiPriority w:val="0"/>
    <w:pPr>
      <w:widowControl/>
      <w:spacing w:before="120" w:line="360" w:lineRule="auto"/>
      <w:ind w:firstLine="425"/>
    </w:pPr>
    <w:rPr>
      <w:kern w:val="0"/>
      <w:sz w:val="24"/>
    </w:rPr>
  </w:style>
  <w:style w:type="character" w:customStyle="1" w:styleId="153">
    <w:name w:val="blue"/>
    <w:basedOn w:val="44"/>
    <w:qFormat/>
    <w:uiPriority w:val="0"/>
  </w:style>
  <w:style w:type="paragraph" w:customStyle="1" w:styleId="154">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5">
    <w:name w:val="font"/>
    <w:basedOn w:val="44"/>
    <w:qFormat/>
    <w:uiPriority w:val="0"/>
  </w:style>
  <w:style w:type="character" w:customStyle="1" w:styleId="156">
    <w:name w:val="font11"/>
    <w:qFormat/>
    <w:uiPriority w:val="0"/>
    <w:rPr>
      <w:rFonts w:hint="default" w:ascii="ˎ̥" w:hAnsi="ˎ̥"/>
    </w:rPr>
  </w:style>
  <w:style w:type="paragraph" w:customStyle="1" w:styleId="157">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8">
    <w:name w:val="proddescription"/>
    <w:basedOn w:val="44"/>
    <w:qFormat/>
    <w:uiPriority w:val="0"/>
  </w:style>
  <w:style w:type="character" w:customStyle="1" w:styleId="159">
    <w:name w:val="prodheadlines"/>
    <w:basedOn w:val="44"/>
    <w:qFormat/>
    <w:uiPriority w:val="0"/>
  </w:style>
  <w:style w:type="character" w:customStyle="1" w:styleId="160">
    <w:name w:val="text"/>
    <w:basedOn w:val="44"/>
    <w:qFormat/>
    <w:uiPriority w:val="0"/>
  </w:style>
  <w:style w:type="paragraph" w:customStyle="1" w:styleId="161">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3">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4">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5">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6">
    <w:name w:val="段落正文"/>
    <w:basedOn w:val="22"/>
    <w:qFormat/>
    <w:uiPriority w:val="0"/>
    <w:pPr>
      <w:ind w:firstLine="560" w:firstLineChars="200"/>
    </w:pPr>
    <w:rPr>
      <w:sz w:val="28"/>
    </w:rPr>
  </w:style>
  <w:style w:type="character" w:customStyle="1" w:styleId="167">
    <w:name w:val="gray6"/>
    <w:basedOn w:val="44"/>
    <w:qFormat/>
    <w:uiPriority w:val="0"/>
  </w:style>
  <w:style w:type="character" w:customStyle="1" w:styleId="168">
    <w:name w:val="style9"/>
    <w:basedOn w:val="44"/>
    <w:qFormat/>
    <w:uiPriority w:val="0"/>
  </w:style>
  <w:style w:type="paragraph" w:customStyle="1" w:styleId="169">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0">
    <w:name w:val="grame"/>
    <w:basedOn w:val="44"/>
    <w:qFormat/>
    <w:uiPriority w:val="0"/>
  </w:style>
  <w:style w:type="paragraph" w:customStyle="1" w:styleId="171">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Char1"/>
    <w:basedOn w:val="1"/>
    <w:qFormat/>
    <w:uiPriority w:val="0"/>
    <w:pPr>
      <w:jc w:val="left"/>
    </w:pPr>
    <w:rPr>
      <w:rFonts w:ascii="Tahoma" w:hAnsi="Tahoma"/>
      <w:sz w:val="24"/>
      <w:szCs w:val="20"/>
    </w:rPr>
  </w:style>
  <w:style w:type="paragraph" w:customStyle="1" w:styleId="173">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4">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7">
    <w:name w:val="font6"/>
    <w:basedOn w:val="1"/>
    <w:qFormat/>
    <w:uiPriority w:val="0"/>
    <w:pPr>
      <w:widowControl/>
      <w:spacing w:before="100" w:beforeAutospacing="1" w:after="100" w:afterAutospacing="1"/>
      <w:jc w:val="left"/>
    </w:pPr>
    <w:rPr>
      <w:kern w:val="0"/>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0">
    <w:name w:val="表格字"/>
    <w:basedOn w:val="1"/>
    <w:qFormat/>
    <w:uiPriority w:val="0"/>
    <w:pPr>
      <w:adjustRightInd w:val="0"/>
      <w:jc w:val="center"/>
    </w:pPr>
    <w:rPr>
      <w:rFonts w:ascii="宋体"/>
      <w:sz w:val="24"/>
      <w:szCs w:val="20"/>
    </w:rPr>
  </w:style>
  <w:style w:type="character" w:customStyle="1" w:styleId="181">
    <w:name w:val="样式 小三 加粗"/>
    <w:qFormat/>
    <w:uiPriority w:val="0"/>
    <w:rPr>
      <w:rFonts w:eastAsia="宋体"/>
      <w:b/>
      <w:bCs/>
      <w:sz w:val="32"/>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3">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4">
    <w:name w:val="Char Char Char"/>
    <w:basedOn w:val="1"/>
    <w:qFormat/>
    <w:uiPriority w:val="0"/>
    <w:rPr>
      <w:rFonts w:ascii="Tahoma" w:hAnsi="Tahoma"/>
      <w:sz w:val="24"/>
      <w:szCs w:val="20"/>
    </w:rPr>
  </w:style>
  <w:style w:type="paragraph" w:customStyle="1" w:styleId="185">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6">
    <w:name w:val="info4"/>
    <w:basedOn w:val="44"/>
    <w:qFormat/>
    <w:uiPriority w:val="0"/>
  </w:style>
  <w:style w:type="paragraph" w:customStyle="1" w:styleId="187">
    <w:name w:val="缩进正文"/>
    <w:basedOn w:val="1"/>
    <w:link w:val="188"/>
    <w:qFormat/>
    <w:uiPriority w:val="0"/>
    <w:pPr>
      <w:ind w:firstLine="560" w:firstLineChars="200"/>
    </w:pPr>
    <w:rPr>
      <w:rFonts w:eastAsia="仿宋_GB2312" w:cs="宋体"/>
      <w:sz w:val="28"/>
      <w:szCs w:val="20"/>
    </w:rPr>
  </w:style>
  <w:style w:type="character" w:customStyle="1" w:styleId="188">
    <w:name w:val="缩进正文 Char"/>
    <w:link w:val="187"/>
    <w:qFormat/>
    <w:uiPriority w:val="0"/>
    <w:rPr>
      <w:rFonts w:eastAsia="仿宋_GB2312" w:cs="宋体"/>
      <w:kern w:val="2"/>
      <w:sz w:val="28"/>
      <w:lang w:val="en-US" w:eastAsia="zh-CN" w:bidi="ar-SA"/>
    </w:rPr>
  </w:style>
  <w:style w:type="paragraph" w:customStyle="1" w:styleId="189">
    <w:name w:val="列出段落1"/>
    <w:basedOn w:val="1"/>
    <w:qFormat/>
    <w:uiPriority w:val="0"/>
    <w:pPr>
      <w:ind w:firstLine="420" w:firstLineChars="200"/>
    </w:pPr>
    <w:rPr>
      <w:rFonts w:ascii="Calibri" w:hAnsi="Calibri" w:cs="Calibri"/>
      <w:szCs w:val="21"/>
    </w:rPr>
  </w:style>
  <w:style w:type="character" w:customStyle="1" w:styleId="190">
    <w:name w:val="批注文字 Char"/>
    <w:basedOn w:val="44"/>
    <w:link w:val="17"/>
    <w:qFormat/>
    <w:uiPriority w:val="99"/>
    <w:rPr>
      <w:rFonts w:ascii="宋体"/>
      <w:sz w:val="34"/>
    </w:rPr>
  </w:style>
  <w:style w:type="character" w:customStyle="1" w:styleId="191">
    <w:name w:val="批注主题 Char"/>
    <w:basedOn w:val="190"/>
    <w:link w:val="40"/>
    <w:qFormat/>
    <w:uiPriority w:val="99"/>
    <w:rPr>
      <w:rFonts w:ascii="宋体"/>
      <w:sz w:val="34"/>
    </w:rPr>
  </w:style>
  <w:style w:type="paragraph" w:customStyle="1" w:styleId="192">
    <w:name w:val="评价"/>
    <w:basedOn w:val="1"/>
    <w:qFormat/>
    <w:uiPriority w:val="0"/>
    <w:pPr>
      <w:spacing w:afterLines="20"/>
      <w:ind w:firstLine="1446" w:firstLineChars="200"/>
    </w:pPr>
    <w:rPr>
      <w:rFonts w:ascii="Calibri" w:hAnsi="Calibri"/>
      <w:sz w:val="24"/>
    </w:rPr>
  </w:style>
  <w:style w:type="paragraph" w:customStyle="1" w:styleId="19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4">
    <w:name w:val="alt-edited1"/>
    <w:qFormat/>
    <w:uiPriority w:val="0"/>
    <w:rPr>
      <w:color w:val="4D90F0"/>
    </w:rPr>
  </w:style>
  <w:style w:type="character" w:customStyle="1" w:styleId="195">
    <w:name w:val="body text Char1"/>
    <w:qFormat/>
    <w:uiPriority w:val="0"/>
    <w:rPr>
      <w:rFonts w:eastAsia="宋体"/>
      <w:kern w:val="2"/>
      <w:sz w:val="21"/>
      <w:lang w:val="en-US" w:eastAsia="zh-CN" w:bidi="ar-SA"/>
    </w:rPr>
  </w:style>
  <w:style w:type="character" w:customStyle="1" w:styleId="196">
    <w:name w:val="普通(网站) Char"/>
    <w:link w:val="37"/>
    <w:qFormat/>
    <w:uiPriority w:val="0"/>
    <w:rPr>
      <w:kern w:val="2"/>
      <w:sz w:val="24"/>
      <w:szCs w:val="24"/>
    </w:rPr>
  </w:style>
  <w:style w:type="character" w:customStyle="1" w:styleId="197">
    <w:name w:val="批注文字 Char1"/>
    <w:qFormat/>
    <w:uiPriority w:val="99"/>
    <w:rPr>
      <w:rFonts w:ascii="宋体"/>
      <w:sz w:val="34"/>
    </w:rPr>
  </w:style>
  <w:style w:type="character" w:customStyle="1" w:styleId="198">
    <w:name w:val="正文缩进 Char1"/>
    <w:qFormat/>
    <w:uiPriority w:val="0"/>
    <w:rPr>
      <w:rFonts w:eastAsia="宋体"/>
      <w:kern w:val="2"/>
      <w:sz w:val="21"/>
      <w:lang w:val="en-US" w:eastAsia="zh-CN" w:bidi="ar-SA"/>
    </w:rPr>
  </w:style>
  <w:style w:type="table" w:customStyle="1" w:styleId="199">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0">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01">
    <w:name w:val="Table Paragraph"/>
    <w:qFormat/>
    <w:uiPriority w:val="1"/>
    <w:pPr>
      <w:widowControl w:val="0"/>
      <w:jc w:val="both"/>
    </w:pPr>
    <w:rPr>
      <w:rFonts w:ascii="宋体" w:hAnsi="宋体" w:eastAsia="宋体" w:cs="宋体"/>
      <w:kern w:val="2"/>
      <w:sz w:val="21"/>
      <w:szCs w:val="24"/>
      <w:lang w:val="zh-CN" w:eastAsia="zh-CN" w:bidi="zh-CN"/>
    </w:rPr>
  </w:style>
  <w:style w:type="paragraph" w:styleId="20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03">
    <w:name w:val="hover"/>
    <w:basedOn w:val="44"/>
    <w:qFormat/>
    <w:uiPriority w:val="0"/>
    <w:rPr>
      <w:color w:val="2590EB"/>
      <w:shd w:val="clear" w:fill="E9F4FD"/>
    </w:rPr>
  </w:style>
  <w:style w:type="character" w:customStyle="1" w:styleId="204">
    <w:name w:val="hover1"/>
    <w:basedOn w:val="44"/>
    <w:qFormat/>
    <w:uiPriority w:val="0"/>
    <w:rPr>
      <w:color w:val="2590EB"/>
    </w:rPr>
  </w:style>
  <w:style w:type="character" w:customStyle="1" w:styleId="205">
    <w:name w:val="hover2"/>
    <w:basedOn w:val="44"/>
    <w:qFormat/>
    <w:uiPriority w:val="0"/>
    <w:rPr>
      <w:color w:val="2590EB"/>
    </w:rPr>
  </w:style>
  <w:style w:type="character" w:customStyle="1" w:styleId="206">
    <w:name w:val="hover3"/>
    <w:basedOn w:val="44"/>
    <w:qFormat/>
    <w:uiPriority w:val="0"/>
  </w:style>
  <w:style w:type="character" w:customStyle="1" w:styleId="207">
    <w:name w:val="hover4"/>
    <w:basedOn w:val="44"/>
    <w:uiPriority w:val="0"/>
    <w:rPr>
      <w:color w:val="2590EB"/>
    </w:rPr>
  </w:style>
  <w:style w:type="character" w:customStyle="1" w:styleId="208">
    <w:name w:val="mini-outputtext1"/>
    <w:basedOn w:val="44"/>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F8195-465B-44FE-B08A-3EF6B09C327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48667</Words>
  <Characters>51161</Characters>
  <Lines>332</Lines>
  <Paragraphs>93</Paragraphs>
  <TotalTime>0</TotalTime>
  <ScaleCrop>false</ScaleCrop>
  <LinksUpToDate>false</LinksUpToDate>
  <CharactersWithSpaces>52840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DELL</cp:lastModifiedBy>
  <cp:lastPrinted>2021-05-09T08:02:00Z</cp:lastPrinted>
  <dcterms:modified xsi:type="dcterms:W3CDTF">2026-07-20T06:05:25Z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0B5669E7F9F9438E8F17BA98E55E4D76_13</vt:lpwstr>
  </property>
  <property fmtid="{D5CDD505-2E9C-101B-9397-08002B2CF9AE}" pid="4" name="KSOTemplateDocerSaveRecord">
    <vt:lpwstr>eyJoZGlkIjoiNTRmMzNjY2JlOWExNDYwN2U2OTM3Y2U5ODEzZmMxYTMiLCJ1c2VySWQiOiIxMjA2Mjg4OTMzIn0=</vt:lpwstr>
  </property>
</Properties>
</file>