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DA4E8">
      <w:pPr>
        <w:jc w:val="center"/>
        <w:rPr>
          <w:rFonts w:ascii="宋体" w:eastAsia="宋体" w:cs="宋体"/>
          <w:kern w:val="0"/>
          <w:sz w:val="44"/>
          <w:szCs w:val="44"/>
        </w:rPr>
      </w:pPr>
      <w:r>
        <w:rPr>
          <w:rFonts w:hint="eastAsia" w:ascii="宋体" w:eastAsia="宋体" w:cs="宋体"/>
          <w:kern w:val="0"/>
          <w:sz w:val="44"/>
          <w:szCs w:val="44"/>
        </w:rPr>
        <w:t>项目合同变更征求意见公示</w:t>
      </w:r>
    </w:p>
    <w:p w14:paraId="4434420B">
      <w:pPr>
        <w:jc w:val="center"/>
        <w:rPr>
          <w:rFonts w:ascii="宋体" w:eastAsia="宋体" w:cs="宋体"/>
          <w:kern w:val="0"/>
          <w:sz w:val="44"/>
          <w:szCs w:val="44"/>
        </w:rPr>
      </w:pPr>
    </w:p>
    <w:tbl>
      <w:tblPr>
        <w:tblStyle w:val="9"/>
        <w:tblW w:w="8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6"/>
      </w:tblGrid>
      <w:tr w14:paraId="20D4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8706" w:type="dxa"/>
          </w:tcPr>
          <w:p w14:paraId="12812B8D">
            <w:pPr>
              <w:autoSpaceDE w:val="0"/>
              <w:autoSpaceDN w:val="0"/>
              <w:adjustRightInd w:val="0"/>
              <w:spacing w:line="360" w:lineRule="auto"/>
              <w:rPr>
                <w:rFonts w:cs="宋体" w:asciiTheme="minorEastAsia" w:hAnsiTheme="minorEastAsia"/>
                <w:kern w:val="0"/>
                <w:sz w:val="24"/>
                <w:szCs w:val="24"/>
              </w:rPr>
            </w:pPr>
            <w:r>
              <w:rPr>
                <w:rFonts w:hint="eastAsia" w:cs="宋体" w:asciiTheme="minorEastAsia" w:hAnsiTheme="minorEastAsia"/>
                <w:kern w:val="0"/>
                <w:sz w:val="24"/>
                <w:szCs w:val="24"/>
              </w:rPr>
              <w:t>依据《深圳市财政局深圳市政府采购中心关于进一步加强市本级政府采购合同备案管理工作的通知》有关规定，</w:t>
            </w:r>
            <w:r>
              <w:rPr>
                <w:rFonts w:hint="eastAsia" w:cs="仿宋_GB2312" w:asciiTheme="minorEastAsia" w:hAnsiTheme="minorEastAsia"/>
                <w:sz w:val="24"/>
                <w:szCs w:val="24"/>
                <w:lang w:eastAsia="zh-CN"/>
              </w:rPr>
              <w:t>深圳市坪山区人民检察院</w:t>
            </w:r>
            <w:r>
              <w:rPr>
                <w:rFonts w:hint="eastAsia" w:cs="宋体" w:asciiTheme="minorEastAsia" w:hAnsiTheme="minorEastAsia"/>
                <w:kern w:val="0"/>
                <w:sz w:val="24"/>
                <w:szCs w:val="24"/>
              </w:rPr>
              <w:t>拟对</w:t>
            </w:r>
            <w:r>
              <w:rPr>
                <w:rFonts w:hint="eastAsia" w:cs="仿宋_GB2312" w:asciiTheme="minorEastAsia" w:hAnsiTheme="minorEastAsia"/>
                <w:sz w:val="24"/>
                <w:szCs w:val="24"/>
                <w:lang w:eastAsia="zh-CN"/>
              </w:rPr>
              <w:t>坪山区人民检察院办案及专业技术用房配套智能化建设项目合同</w:t>
            </w:r>
            <w:r>
              <w:rPr>
                <w:rFonts w:hint="eastAsia" w:cs="仿宋_GB2312" w:asciiTheme="minorEastAsia" w:hAnsiTheme="minorEastAsia"/>
                <w:sz w:val="24"/>
                <w:szCs w:val="24"/>
                <w:lang w:val="en-US" w:eastAsia="zh-CN"/>
              </w:rPr>
              <w:t>合同部分内容进行变更</w:t>
            </w:r>
            <w:r>
              <w:rPr>
                <w:rFonts w:hint="eastAsia" w:cs="宋体" w:asciiTheme="minorEastAsia" w:hAnsiTheme="minorEastAsia"/>
                <w:kern w:val="0"/>
                <w:sz w:val="24"/>
                <w:szCs w:val="24"/>
              </w:rPr>
              <w:t>，现将有关情况向社会大众征求意见。</w:t>
            </w:r>
          </w:p>
        </w:tc>
      </w:tr>
      <w:tr w14:paraId="64A7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1B12AC89">
            <w:pPr>
              <w:autoSpaceDE w:val="0"/>
              <w:autoSpaceDN w:val="0"/>
              <w:adjustRightInd w:val="0"/>
              <w:spacing w:line="360" w:lineRule="auto"/>
              <w:jc w:val="left"/>
              <w:rPr>
                <w:rFonts w:hint="eastAsia" w:cs="宋体" w:asciiTheme="minorEastAsia" w:hAnsiTheme="minorEastAsia" w:eastAsiaTheme="minorEastAsia"/>
                <w:kern w:val="0"/>
                <w:sz w:val="24"/>
                <w:szCs w:val="24"/>
                <w:lang w:eastAsia="zh-CN"/>
              </w:rPr>
            </w:pPr>
            <w:r>
              <w:rPr>
                <w:rFonts w:hint="eastAsia" w:cs="宋体" w:asciiTheme="minorEastAsia" w:hAnsiTheme="minorEastAsia"/>
                <w:kern w:val="0"/>
                <w:sz w:val="24"/>
                <w:szCs w:val="24"/>
              </w:rPr>
              <w:t>采购项目名称：</w:t>
            </w:r>
            <w:r>
              <w:rPr>
                <w:rFonts w:hint="eastAsia" w:cs="仿宋_GB2312" w:asciiTheme="minorEastAsia" w:hAnsiTheme="minorEastAsia"/>
                <w:sz w:val="24"/>
                <w:szCs w:val="24"/>
                <w:lang w:eastAsia="zh-CN"/>
              </w:rPr>
              <w:t>坪山区人民检察院办案及专业技术用房配套智能化建设项目合同</w:t>
            </w:r>
          </w:p>
          <w:p w14:paraId="0A9EF539">
            <w:pPr>
              <w:autoSpaceDE w:val="0"/>
              <w:autoSpaceDN w:val="0"/>
              <w:adjustRightInd w:val="0"/>
              <w:spacing w:line="360" w:lineRule="auto"/>
              <w:jc w:val="left"/>
              <w:rPr>
                <w:rFonts w:hint="eastAsia" w:cs="仿宋_GB2312" w:asciiTheme="minorEastAsia" w:hAnsiTheme="minorEastAsia"/>
                <w:sz w:val="24"/>
                <w:szCs w:val="24"/>
                <w:lang w:val="en-US" w:eastAsia="zh-CN"/>
              </w:rPr>
            </w:pPr>
            <w:r>
              <w:rPr>
                <w:rFonts w:hint="eastAsia" w:cs="宋体" w:asciiTheme="minorEastAsia" w:hAnsiTheme="minorEastAsia"/>
                <w:kern w:val="0"/>
                <w:sz w:val="24"/>
                <w:szCs w:val="24"/>
                <w:lang w:val="en-US" w:eastAsia="zh-CN"/>
              </w:rPr>
              <w:t>原</w:t>
            </w:r>
            <w:r>
              <w:rPr>
                <w:rFonts w:hint="eastAsia" w:cs="宋体" w:asciiTheme="minorEastAsia" w:hAnsiTheme="minorEastAsia"/>
                <w:kern w:val="0"/>
                <w:sz w:val="24"/>
                <w:szCs w:val="24"/>
              </w:rPr>
              <w:t>合同金额（万元）：</w:t>
            </w:r>
            <w:r>
              <w:rPr>
                <w:rFonts w:hint="eastAsia" w:cs="仿宋_GB2312" w:asciiTheme="minorEastAsia" w:hAnsiTheme="minorEastAsia"/>
                <w:sz w:val="24"/>
                <w:szCs w:val="24"/>
                <w:lang w:val="en-US" w:eastAsia="zh-CN"/>
              </w:rPr>
              <w:t>24,696,373.00元</w:t>
            </w:r>
          </w:p>
          <w:p w14:paraId="0EAAE1A6">
            <w:pPr>
              <w:autoSpaceDE w:val="0"/>
              <w:autoSpaceDN w:val="0"/>
              <w:adjustRightInd w:val="0"/>
              <w:spacing w:line="360" w:lineRule="auto"/>
              <w:jc w:val="left"/>
              <w:rPr>
                <w:rFonts w:hint="eastAsia" w:cs="仿宋_GB2312" w:asciiTheme="minorEastAsia" w:hAnsiTheme="minorEastAsia"/>
                <w:sz w:val="24"/>
                <w:szCs w:val="24"/>
                <w:lang w:val="en-US" w:eastAsia="zh-CN"/>
              </w:rPr>
            </w:pPr>
            <w:r>
              <w:rPr>
                <w:rFonts w:hint="eastAsia" w:cs="宋体" w:asciiTheme="minorEastAsia" w:hAnsiTheme="minorEastAsia"/>
                <w:kern w:val="0"/>
                <w:sz w:val="24"/>
                <w:szCs w:val="24"/>
                <w:lang w:val="en-US" w:eastAsia="zh-CN"/>
              </w:rPr>
              <w:t>第一次变更</w:t>
            </w:r>
            <w:r>
              <w:rPr>
                <w:rFonts w:hint="eastAsia" w:cs="宋体" w:asciiTheme="minorEastAsia" w:hAnsiTheme="minorEastAsia"/>
                <w:kern w:val="0"/>
                <w:sz w:val="24"/>
                <w:szCs w:val="24"/>
              </w:rPr>
              <w:t>合同金额（万元）：</w:t>
            </w:r>
            <w:r>
              <w:rPr>
                <w:rFonts w:hint="eastAsia" w:cs="仿宋_GB2312" w:asciiTheme="minorEastAsia" w:hAnsiTheme="minorEastAsia"/>
                <w:sz w:val="24"/>
                <w:szCs w:val="24"/>
                <w:lang w:val="en-US" w:eastAsia="zh-CN"/>
              </w:rPr>
              <w:t>24,694,938.50元</w:t>
            </w:r>
          </w:p>
          <w:p w14:paraId="4739DAC8">
            <w:pPr>
              <w:autoSpaceDE w:val="0"/>
              <w:autoSpaceDN w:val="0"/>
              <w:adjustRightInd w:val="0"/>
              <w:spacing w:line="360" w:lineRule="auto"/>
              <w:jc w:val="left"/>
              <w:rPr>
                <w:rFonts w:hint="default"/>
                <w:lang w:val="en-US" w:eastAsia="zh-CN"/>
              </w:rPr>
            </w:pPr>
            <w:r>
              <w:rPr>
                <w:rFonts w:hint="eastAsia" w:cs="宋体" w:asciiTheme="minorEastAsia" w:hAnsiTheme="minorEastAsia"/>
                <w:kern w:val="0"/>
                <w:sz w:val="24"/>
                <w:szCs w:val="24"/>
                <w:lang w:val="en-US" w:eastAsia="zh-CN"/>
              </w:rPr>
              <w:t>本次变更后</w:t>
            </w:r>
            <w:r>
              <w:rPr>
                <w:rFonts w:hint="eastAsia" w:cs="宋体" w:asciiTheme="minorEastAsia" w:hAnsiTheme="minorEastAsia"/>
                <w:kern w:val="0"/>
                <w:sz w:val="24"/>
                <w:szCs w:val="24"/>
              </w:rPr>
              <w:t>合同金额（万元）</w:t>
            </w:r>
            <w:r>
              <w:rPr>
                <w:rFonts w:hint="eastAsia" w:cs="仿宋_GB2312" w:asciiTheme="minorEastAsia" w:hAnsiTheme="minorEastAsia"/>
                <w:sz w:val="24"/>
                <w:szCs w:val="24"/>
                <w:lang w:val="en-US" w:eastAsia="zh-CN"/>
              </w:rPr>
              <w:t>：24,691,786.50元</w:t>
            </w:r>
          </w:p>
          <w:p w14:paraId="05E539DA">
            <w:pPr>
              <w:spacing w:line="360" w:lineRule="auto"/>
              <w:jc w:val="left"/>
              <w:rPr>
                <w:rFonts w:asciiTheme="minorEastAsia" w:hAnsiTheme="minorEastAsia"/>
                <w:sz w:val="24"/>
                <w:szCs w:val="24"/>
              </w:rPr>
            </w:pPr>
            <w:r>
              <w:rPr>
                <w:rFonts w:hint="eastAsia" w:cs="宋体" w:asciiTheme="minorEastAsia" w:hAnsiTheme="minorEastAsia"/>
                <w:kern w:val="0"/>
                <w:sz w:val="24"/>
                <w:szCs w:val="24"/>
              </w:rPr>
              <w:t>中标供应商：</w:t>
            </w:r>
            <w:r>
              <w:rPr>
                <w:rFonts w:hint="eastAsia" w:cs="仿宋_GB2312" w:asciiTheme="minorEastAsia" w:hAnsiTheme="minorEastAsia"/>
                <w:sz w:val="24"/>
                <w:szCs w:val="24"/>
                <w:lang w:val="en-US" w:eastAsia="zh-CN"/>
              </w:rPr>
              <w:t xml:space="preserve">中电信数智科技有限公司 </w:t>
            </w:r>
          </w:p>
        </w:tc>
      </w:tr>
      <w:tr w14:paraId="134B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6AFFFDE2">
            <w:pPr>
              <w:spacing w:line="360" w:lineRule="auto"/>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变更内容描述：（包括变更事项、变更金额、原合同要求等）</w:t>
            </w:r>
          </w:p>
          <w:p w14:paraId="6ABBD5C1">
            <w:pPr>
              <w:numPr>
                <w:ilvl w:val="0"/>
                <w:numId w:val="0"/>
              </w:numPr>
              <w:spacing w:line="360" w:lineRule="auto"/>
              <w:jc w:val="left"/>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一、变更事项：</w:t>
            </w:r>
          </w:p>
          <w:p w14:paraId="0B24D938">
            <w:pPr>
              <w:numPr>
                <w:ilvl w:val="0"/>
                <w:numId w:val="0"/>
              </w:numPr>
              <w:spacing w:line="360" w:lineRule="auto"/>
              <w:jc w:val="left"/>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1）由于数源业务系统下线，同时为保障公共广播系统和消防报警系统独立稳定运行，核减物联网集成管控平台-物联对接事项：1.固定资产管理系统接入；2.公共广播系统接入；3.火灾报警系统接入（见附件一）。</w:t>
            </w:r>
          </w:p>
          <w:p w14:paraId="7370D04E">
            <w:pPr>
              <w:numPr>
                <w:ilvl w:val="0"/>
                <w:numId w:val="0"/>
              </w:numPr>
              <w:spacing w:line="360" w:lineRule="auto"/>
              <w:jc w:val="left"/>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（2）根据现场安全管理需要，新增用户需求：1.物联网管理平台接入海康停车场管理系统实现访客邀约和详细访客记录；2.增加合同内红外枪型网络摄像机6台和配套支架6个（见附件一）。</w:t>
            </w:r>
          </w:p>
          <w:p w14:paraId="1C9384C8">
            <w:pPr>
              <w:numPr>
                <w:ilvl w:val="0"/>
                <w:numId w:val="0"/>
              </w:numPr>
              <w:spacing w:line="360" w:lineRule="auto"/>
              <w:jc w:val="left"/>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（3）由于数源系统下线及现场使用需求调整，将1.物联网集成管控平台-物联应用-智慧办案原对接</w:t>
            </w:r>
            <w:r>
              <w:rPr>
                <w:rFonts w:hint="default" w:cs="宋体" w:asciiTheme="minorEastAsia" w:hAnsiTheme="minorEastAsia"/>
                <w:kern w:val="0"/>
                <w:sz w:val="24"/>
                <w:szCs w:val="24"/>
                <w:lang w:val="en-US" w:eastAsia="zh-CN"/>
              </w:rPr>
              <w:t>市检检务通APP</w:t>
            </w:r>
            <w:r>
              <w:rPr>
                <w:rFonts w:hint="eastAsia" w:cs="宋体" w:asciiTheme="minorEastAsia" w:hAnsiTheme="minorEastAsia"/>
                <w:kern w:val="0"/>
                <w:sz w:val="24"/>
                <w:szCs w:val="24"/>
                <w:lang w:val="en-US" w:eastAsia="zh-CN"/>
              </w:rPr>
              <w:t>开发智慧办案功能变更为对接</w:t>
            </w:r>
            <w:r>
              <w:rPr>
                <w:rFonts w:hint="default" w:cs="宋体" w:asciiTheme="minorEastAsia" w:hAnsiTheme="minorEastAsia"/>
                <w:kern w:val="0"/>
                <w:sz w:val="24"/>
                <w:szCs w:val="24"/>
                <w:lang w:val="en-US" w:eastAsia="zh-CN"/>
              </w:rPr>
              <w:t>通过市检泛微OA办公平台</w:t>
            </w:r>
            <w:r>
              <w:rPr>
                <w:rFonts w:hint="eastAsia" w:cs="宋体" w:asciiTheme="minorEastAsia" w:hAnsiTheme="minorEastAsia"/>
                <w:kern w:val="0"/>
                <w:sz w:val="24"/>
                <w:szCs w:val="24"/>
                <w:lang w:val="en-US" w:eastAsia="zh-CN"/>
              </w:rPr>
              <w:t>开发智慧办案功能；2.物联网集成管控平台-物联应用-便捷通行第6点参数支持内部访客邀约，通过检务通APP变更为在工作网泛微OA办公平台实现相关邀约功能；3.物联网集成管控平台-物联对接-语音程控电话系统接入</w:t>
            </w:r>
            <w:r>
              <w:rPr>
                <w:rFonts w:hint="default" w:cs="宋体" w:asciiTheme="minorEastAsia" w:hAnsiTheme="minorEastAsia"/>
                <w:kern w:val="0"/>
                <w:sz w:val="24"/>
                <w:szCs w:val="24"/>
                <w:lang w:val="en-US" w:eastAsia="zh-CN"/>
              </w:rPr>
              <w:t>组网电话交换机IP、语音网关和话机IP等信息</w:t>
            </w:r>
            <w:r>
              <w:rPr>
                <w:rFonts w:hint="eastAsia" w:cs="宋体" w:asciiTheme="minorEastAsia" w:hAnsiTheme="minorEastAsia"/>
                <w:kern w:val="0"/>
                <w:sz w:val="24"/>
                <w:szCs w:val="24"/>
                <w:lang w:val="en-US" w:eastAsia="zh-CN"/>
              </w:rPr>
              <w:t>变更为对接拉取语音程控电话系统内所有通话记录、展示始话时间、通话时长、主叫号码、内线号码等信息列表，可用于溯源通话记录。（见附件二）</w:t>
            </w:r>
          </w:p>
          <w:p w14:paraId="6CC2E9AC">
            <w:pPr>
              <w:numPr>
                <w:ilvl w:val="0"/>
                <w:numId w:val="0"/>
              </w:numPr>
              <w:spacing w:line="360" w:lineRule="auto"/>
              <w:jc w:val="left"/>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4）试运行阶段，因建设单位拟定2026年5月整体迁入新建大楼正式使用，现阶段搬迁筹备工作暂未完成。为保障搬迁工作顺利推进，同时确保项目试运行质量与使用稳定性，经甲乙双方友好协商，延长项目总工期5个月，即延长至2026年8月29日前完成竣工验收工作。</w:t>
            </w:r>
          </w:p>
          <w:p w14:paraId="44EF885E">
            <w:pPr>
              <w:numPr>
                <w:ilvl w:val="0"/>
                <w:numId w:val="0"/>
              </w:numPr>
              <w:spacing w:line="360" w:lineRule="auto"/>
              <w:jc w:val="left"/>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（5</w:t>
            </w:r>
            <w:bookmarkStart w:id="0" w:name="_GoBack"/>
            <w:bookmarkEnd w:id="0"/>
            <w:r>
              <w:rPr>
                <w:rFonts w:hint="eastAsia" w:cs="宋体" w:asciiTheme="minorEastAsia" w:hAnsiTheme="minorEastAsia"/>
                <w:kern w:val="0"/>
                <w:sz w:val="24"/>
                <w:szCs w:val="24"/>
                <w:lang w:val="en-US" w:eastAsia="zh-CN"/>
              </w:rPr>
              <w:t>）依据坪山区人民检察院办案及专业技术用房配套智能化建设项目补充协议(二)第三条约定，项目原定2025年9月29日前完成初验。经甲乙双方友好协商，项目初验延长3个月，即项目初验延长至2025年12月29日；项目总工期同步顺延3个月，修正第二次补充协议日期笔误，原协议（二）总工期顺延至2025年3月29日，修正为总工期顺延至2026年3月29日。</w:t>
            </w:r>
          </w:p>
          <w:p w14:paraId="5C6F6092">
            <w:pPr>
              <w:pStyle w:val="7"/>
              <w:ind w:left="0" w:leftChars="0" w:firstLine="0" w:firstLineChars="0"/>
              <w:rPr>
                <w:rFonts w:hint="default"/>
                <w:lang w:val="en-US" w:eastAsia="zh-CN"/>
              </w:rPr>
            </w:pPr>
            <w:r>
              <w:rPr>
                <w:rFonts w:hint="eastAsia" w:ascii="宋体" w:hAnsi="宋体" w:cstheme="minorBidi"/>
                <w:smallCaps w:val="0"/>
                <w:kern w:val="2"/>
                <w:sz w:val="24"/>
                <w:szCs w:val="22"/>
                <w:lang w:val="en-US" w:eastAsia="zh-CN" w:bidi="ar-SA"/>
              </w:rPr>
              <w:t>二、变更金额：合</w:t>
            </w:r>
            <w:r>
              <w:rPr>
                <w:rFonts w:hint="eastAsia" w:cs="宋体" w:asciiTheme="minorEastAsia" w:hAnsiTheme="minorEastAsia" w:eastAsiaTheme="minorEastAsia"/>
                <w:smallCaps w:val="0"/>
                <w:kern w:val="0"/>
                <w:sz w:val="24"/>
                <w:szCs w:val="24"/>
                <w:lang w:val="en-US" w:eastAsia="zh-CN" w:bidi="ar-SA"/>
              </w:rPr>
              <w:t>计核减3,152</w:t>
            </w:r>
            <w:r>
              <w:rPr>
                <w:rFonts w:hint="eastAsia" w:cs="宋体" w:asciiTheme="minorEastAsia" w:hAnsiTheme="minorEastAsia"/>
                <w:smallCaps w:val="0"/>
                <w:kern w:val="0"/>
                <w:sz w:val="24"/>
                <w:szCs w:val="24"/>
                <w:lang w:val="en-US" w:eastAsia="zh-CN" w:bidi="ar-SA"/>
              </w:rPr>
              <w:t>.00</w:t>
            </w:r>
            <w:r>
              <w:rPr>
                <w:rFonts w:hint="eastAsia" w:cs="宋体" w:asciiTheme="minorEastAsia" w:hAnsiTheme="minorEastAsia" w:eastAsiaTheme="minorEastAsia"/>
                <w:smallCaps w:val="0"/>
                <w:kern w:val="0"/>
                <w:sz w:val="24"/>
                <w:szCs w:val="24"/>
                <w:lang w:val="en-US" w:eastAsia="zh-CN" w:bidi="ar-SA"/>
              </w:rPr>
              <w:t>元</w:t>
            </w:r>
          </w:p>
          <w:p w14:paraId="5D5A78F9">
            <w:pPr>
              <w:numPr>
                <w:ilvl w:val="0"/>
                <w:numId w:val="0"/>
              </w:numPr>
              <w:spacing w:line="360" w:lineRule="auto"/>
              <w:jc w:val="left"/>
              <w:rPr>
                <w:rFonts w:hint="default"/>
                <w:lang w:val="en-US" w:eastAsia="zh-CN"/>
              </w:rPr>
            </w:pPr>
            <w:r>
              <w:rPr>
                <w:rFonts w:hint="eastAsia" w:cs="宋体" w:asciiTheme="minorEastAsia" w:hAnsiTheme="minorEastAsia"/>
                <w:kern w:val="0"/>
                <w:sz w:val="24"/>
                <w:szCs w:val="24"/>
                <w:lang w:val="en-US" w:eastAsia="zh-CN"/>
              </w:rPr>
              <w:t>三、原合同要求：（一）</w:t>
            </w:r>
            <w:r>
              <w:rPr>
                <w:rFonts w:hint="eastAsia" w:ascii="宋体" w:hAnsi="宋体"/>
                <w:sz w:val="24"/>
              </w:rPr>
              <w:t>本合同履行过程中的需求变更和进度调整，以甲乙双方达成一致的书面文件为准。</w:t>
            </w:r>
            <w:r>
              <w:rPr>
                <w:rFonts w:hint="eastAsia" w:ascii="宋体" w:hAnsi="宋体"/>
                <w:sz w:val="24"/>
                <w:lang w:eastAsia="zh-CN"/>
              </w:rPr>
              <w:t>（</w:t>
            </w:r>
            <w:r>
              <w:rPr>
                <w:rFonts w:hint="eastAsia" w:ascii="宋体" w:hAnsi="宋体"/>
                <w:sz w:val="24"/>
                <w:lang w:val="en-US" w:eastAsia="zh-CN"/>
              </w:rPr>
              <w:t>二</w:t>
            </w:r>
            <w:r>
              <w:rPr>
                <w:rFonts w:hint="eastAsia" w:ascii="宋体" w:hAnsi="宋体"/>
                <w:sz w:val="24"/>
                <w:lang w:eastAsia="zh-CN"/>
              </w:rPr>
              <w:t>）</w:t>
            </w:r>
            <w:r>
              <w:rPr>
                <w:rFonts w:hint="eastAsia" w:ascii="宋体" w:hAnsi="宋体"/>
                <w:sz w:val="24"/>
              </w:rPr>
              <w:t>乙方遇到不能按时交货或按期完工的情况，应及时以书面形式将不能按时交货或按期完工的理由、延误时间通知甲方。甲方在收到乙方通知后，根据情况决定是否延长交货或完工时间。如同意延长，则乙方责任期也相应延长。</w:t>
            </w:r>
            <w:r>
              <w:rPr>
                <w:rFonts w:hint="eastAsia" w:ascii="宋体" w:hAnsi="宋体"/>
                <w:sz w:val="24"/>
                <w:lang w:eastAsia="zh-CN"/>
              </w:rPr>
              <w:t>（</w:t>
            </w:r>
            <w:r>
              <w:rPr>
                <w:rFonts w:hint="eastAsia" w:ascii="宋体" w:hAnsi="宋体"/>
                <w:sz w:val="24"/>
                <w:lang w:val="en-US" w:eastAsia="zh-CN"/>
              </w:rPr>
              <w:t>三</w:t>
            </w:r>
            <w:r>
              <w:rPr>
                <w:rFonts w:hint="eastAsia" w:ascii="宋体" w:hAnsi="宋体"/>
                <w:sz w:val="24"/>
                <w:lang w:eastAsia="zh-CN"/>
              </w:rPr>
              <w:t>）</w:t>
            </w:r>
            <w:r>
              <w:rPr>
                <w:rFonts w:hint="eastAsia" w:ascii="宋体" w:hAnsi="宋体"/>
                <w:sz w:val="24"/>
              </w:rPr>
              <w:t>因非乙方责任造成项目进度推迟或延误，无法按照合同约定的日期完成相应的项目，双方经过协商可以进一步约定完成日期，乙方的责任期也随之顺延。</w:t>
            </w:r>
            <w:r>
              <w:rPr>
                <w:rFonts w:hint="eastAsia" w:ascii="宋体" w:hAnsi="宋体"/>
                <w:sz w:val="24"/>
                <w:lang w:eastAsia="zh-CN"/>
              </w:rPr>
              <w:t>（</w:t>
            </w:r>
            <w:r>
              <w:rPr>
                <w:rFonts w:hint="eastAsia" w:ascii="宋体" w:hAnsi="宋体"/>
                <w:sz w:val="24"/>
                <w:lang w:val="en-US" w:eastAsia="zh-CN"/>
              </w:rPr>
              <w:t>四</w:t>
            </w:r>
            <w:r>
              <w:rPr>
                <w:rFonts w:hint="eastAsia" w:ascii="宋体" w:hAnsi="宋体"/>
                <w:sz w:val="24"/>
                <w:lang w:eastAsia="zh-CN"/>
              </w:rPr>
              <w:t>）</w:t>
            </w:r>
            <w:r>
              <w:rPr>
                <w:rFonts w:hint="eastAsia" w:ascii="宋体" w:hAnsi="宋体"/>
                <w:sz w:val="24"/>
              </w:rPr>
              <w:t>在本项目进展过程中，经双方同意的系统功能变化或软件模块等方面的增减，双方将商定变更后的具体价格，并签订本合同的补充协议。</w:t>
            </w:r>
          </w:p>
        </w:tc>
      </w:tr>
      <w:tr w14:paraId="0170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1B52DB5A">
            <w:pPr>
              <w:spacing w:line="360" w:lineRule="auto"/>
              <w:rPr>
                <w:rFonts w:cs="宋体" w:asciiTheme="minorEastAsia" w:hAnsiTheme="minorEastAsia"/>
                <w:kern w:val="0"/>
                <w:sz w:val="24"/>
                <w:szCs w:val="24"/>
              </w:rPr>
            </w:pPr>
            <w:r>
              <w:rPr>
                <w:rFonts w:hint="eastAsia" w:cs="宋体" w:asciiTheme="minorEastAsia" w:hAnsiTheme="minorEastAsia"/>
                <w:kern w:val="0"/>
                <w:sz w:val="24"/>
                <w:szCs w:val="24"/>
              </w:rPr>
              <w:t>变更的理由及相关说明：</w:t>
            </w:r>
          </w:p>
          <w:p w14:paraId="57C15417">
            <w:pPr>
              <w:pStyle w:val="15"/>
              <w:widowControl/>
              <w:numPr>
                <w:ilvl w:val="0"/>
                <w:numId w:val="0"/>
              </w:numPr>
              <w:spacing w:line="360" w:lineRule="auto"/>
              <w:ind w:leftChars="0"/>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1.因数源系统已下线，结合现场实际使用需求，同时保障公共广播、消防报警系统稳定运行，经建设、承建、监理、设计四方单位共同核实确认，现对原合同采购内容予以变更调整，具体变更详见附件1、附件2。</w:t>
            </w:r>
          </w:p>
          <w:p w14:paraId="3C3FC717">
            <w:pPr>
              <w:pStyle w:val="15"/>
              <w:widowControl/>
              <w:numPr>
                <w:ilvl w:val="0"/>
                <w:numId w:val="0"/>
              </w:numPr>
              <w:spacing w:line="360" w:lineRule="auto"/>
              <w:ind w:leftChars="0"/>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2.因建设单位拟定2026年5月整体迁入新建大楼正式使用，现阶段搬迁筹备工作暂未完成。为保障搬迁工作顺利推进，同时确保项目试运行质量与使用稳定性，经甲乙双方友好协商，延长项目总工期5个月，即延长至2026年8月29日前完成竣工验收工作。</w:t>
            </w:r>
          </w:p>
          <w:p w14:paraId="5BFDAEC7">
            <w:pPr>
              <w:pStyle w:val="15"/>
              <w:widowControl/>
              <w:numPr>
                <w:ilvl w:val="0"/>
                <w:numId w:val="0"/>
              </w:numPr>
              <w:spacing w:line="360" w:lineRule="auto"/>
              <w:ind w:leftChars="0"/>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3.依据坪山区人民检察院办案及专业技术用房配套智能化建设项目补充协议(二)第三条约定，项目原定2025年9月29日前完成初验。经甲乙双方友好协商，项目初验延长3个月，即项目初验延长至2025年12月29日；项目总工期同步顺延3个月，修正第二次补充协议日期笔误，补充协议（二）总工期顺延至2025年3月29日，修正为总工期顺延至2026年3月29日。。</w:t>
            </w:r>
          </w:p>
        </w:tc>
      </w:tr>
      <w:tr w14:paraId="29F8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1C836194">
            <w:pPr>
              <w:spacing w:line="360" w:lineRule="auto"/>
              <w:jc w:val="left"/>
              <w:rPr>
                <w:rFonts w:cs="宋体" w:asciiTheme="minorEastAsia" w:hAnsiTheme="minorEastAsia"/>
                <w:kern w:val="0"/>
                <w:sz w:val="24"/>
                <w:szCs w:val="24"/>
              </w:rPr>
            </w:pPr>
            <w:r>
              <w:rPr>
                <w:rFonts w:hint="eastAsia" w:cs="宋体" w:asciiTheme="minorEastAsia" w:hAnsiTheme="minorEastAsia"/>
                <w:kern w:val="0"/>
                <w:sz w:val="24"/>
                <w:szCs w:val="24"/>
              </w:rPr>
              <w:t>征求意见期限：从</w:t>
            </w:r>
            <w:r>
              <w:rPr>
                <w:rFonts w:hint="eastAsia" w:cs="宋体" w:asciiTheme="minorEastAsia" w:hAnsiTheme="minorEastAsia"/>
                <w:kern w:val="0"/>
                <w:sz w:val="24"/>
                <w:szCs w:val="24"/>
                <w:lang w:val="en-US" w:eastAsia="zh-CN"/>
              </w:rPr>
              <w:t>2026</w:t>
            </w:r>
            <w:r>
              <w:rPr>
                <w:rFonts w:hint="eastAsia" w:cs="宋体" w:asciiTheme="minorEastAsia" w:hAnsiTheme="minorEastAsia"/>
                <w:kern w:val="0"/>
                <w:sz w:val="24"/>
                <w:szCs w:val="24"/>
              </w:rPr>
              <w:t>年</w:t>
            </w:r>
            <w:r>
              <w:rPr>
                <w:rFonts w:hint="eastAsia" w:cs="宋体" w:asciiTheme="minorEastAsia" w:hAnsiTheme="minorEastAsia"/>
                <w:kern w:val="0"/>
                <w:sz w:val="24"/>
                <w:szCs w:val="24"/>
                <w:lang w:val="en-US" w:eastAsia="zh-CN"/>
              </w:rPr>
              <w:t>7</w:t>
            </w:r>
            <w:r>
              <w:rPr>
                <w:rFonts w:hint="eastAsia" w:cs="宋体" w:asciiTheme="minorEastAsia" w:hAnsiTheme="minorEastAsia"/>
                <w:kern w:val="0"/>
                <w:sz w:val="24"/>
                <w:szCs w:val="24"/>
              </w:rPr>
              <w:t>月</w:t>
            </w:r>
            <w:r>
              <w:rPr>
                <w:rFonts w:hint="eastAsia" w:cs="宋体" w:asciiTheme="minorEastAsia" w:hAnsiTheme="minorEastAsia"/>
                <w:kern w:val="0"/>
                <w:sz w:val="24"/>
                <w:szCs w:val="24"/>
                <w:highlight w:val="yellow"/>
                <w:lang w:val="en-US" w:eastAsia="zh-CN"/>
              </w:rPr>
              <w:t>XX</w:t>
            </w:r>
            <w:r>
              <w:rPr>
                <w:rFonts w:hint="eastAsia" w:cs="宋体" w:asciiTheme="minorEastAsia" w:hAnsiTheme="minorEastAsia"/>
                <w:kern w:val="0"/>
                <w:sz w:val="24"/>
                <w:szCs w:val="24"/>
              </w:rPr>
              <w:t>日至</w:t>
            </w:r>
            <w:r>
              <w:rPr>
                <w:rFonts w:hint="eastAsia" w:cs="宋体" w:asciiTheme="minorEastAsia" w:hAnsiTheme="minorEastAsia"/>
                <w:kern w:val="0"/>
                <w:sz w:val="24"/>
                <w:szCs w:val="24"/>
                <w:lang w:val="en-US" w:eastAsia="zh-CN"/>
              </w:rPr>
              <w:t>2026年7</w:t>
            </w:r>
            <w:r>
              <w:rPr>
                <w:rFonts w:hint="eastAsia" w:cs="宋体" w:asciiTheme="minorEastAsia" w:hAnsiTheme="minorEastAsia"/>
                <w:kern w:val="0"/>
                <w:sz w:val="24"/>
                <w:szCs w:val="24"/>
              </w:rPr>
              <w:t>月</w:t>
            </w:r>
            <w:r>
              <w:rPr>
                <w:rFonts w:hint="eastAsia" w:cs="宋体" w:asciiTheme="minorEastAsia" w:hAnsiTheme="minorEastAsia"/>
                <w:kern w:val="0"/>
                <w:sz w:val="24"/>
                <w:szCs w:val="24"/>
                <w:highlight w:val="yellow"/>
                <w:lang w:val="en-US" w:eastAsia="zh-CN"/>
              </w:rPr>
              <w:t>XX</w:t>
            </w:r>
            <w:r>
              <w:rPr>
                <w:rFonts w:hint="eastAsia" w:cs="宋体" w:asciiTheme="minorEastAsia" w:hAnsiTheme="minorEastAsia"/>
                <w:kern w:val="0"/>
                <w:sz w:val="24"/>
                <w:szCs w:val="24"/>
              </w:rPr>
              <w:t>日（公示时间不得少于</w:t>
            </w:r>
            <w:r>
              <w:rPr>
                <w:rFonts w:cs="宋体" w:asciiTheme="minorEastAsia" w:hAnsiTheme="minorEastAsia"/>
                <w:kern w:val="0"/>
                <w:sz w:val="24"/>
                <w:szCs w:val="24"/>
              </w:rPr>
              <w:t xml:space="preserve">5 </w:t>
            </w:r>
            <w:r>
              <w:rPr>
                <w:rFonts w:hint="eastAsia" w:cs="宋体" w:asciiTheme="minorEastAsia" w:hAnsiTheme="minorEastAsia"/>
                <w:kern w:val="0"/>
                <w:sz w:val="24"/>
                <w:szCs w:val="24"/>
              </w:rPr>
              <w:t>个工作日）</w:t>
            </w:r>
          </w:p>
        </w:tc>
      </w:tr>
      <w:tr w14:paraId="75B3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51FB7990">
            <w:pPr>
              <w:autoSpaceDE w:val="0"/>
              <w:autoSpaceDN w:val="0"/>
              <w:adjustRightInd w:val="0"/>
              <w:spacing w:line="360" w:lineRule="auto"/>
              <w:jc w:val="left"/>
              <w:rPr>
                <w:rFonts w:cs="宋体" w:asciiTheme="minorEastAsia" w:hAnsiTheme="minorEastAsia"/>
                <w:kern w:val="0"/>
                <w:sz w:val="24"/>
                <w:szCs w:val="24"/>
              </w:rPr>
            </w:pPr>
            <w:r>
              <w:rPr>
                <w:rFonts w:hint="eastAsia" w:cs="宋体" w:asciiTheme="minorEastAsia" w:hAnsiTheme="minorEastAsia"/>
                <w:kern w:val="0"/>
                <w:sz w:val="24"/>
                <w:szCs w:val="24"/>
              </w:rPr>
              <w:t>联系方式：</w:t>
            </w:r>
          </w:p>
          <w:p w14:paraId="4ED2ED4F">
            <w:pPr>
              <w:autoSpaceDE w:val="0"/>
              <w:autoSpaceDN w:val="0"/>
              <w:adjustRightInd w:val="0"/>
              <w:spacing w:line="360" w:lineRule="auto"/>
              <w:jc w:val="left"/>
              <w:rPr>
                <w:rFonts w:cs="宋体" w:asciiTheme="minorEastAsia" w:hAnsiTheme="minorEastAsia"/>
                <w:kern w:val="0"/>
                <w:sz w:val="24"/>
                <w:szCs w:val="24"/>
              </w:rPr>
            </w:pPr>
            <w:r>
              <w:rPr>
                <w:rFonts w:hint="eastAsia" w:cs="宋体" w:asciiTheme="minorEastAsia" w:hAnsiTheme="minorEastAsia"/>
                <w:kern w:val="0"/>
                <w:sz w:val="24"/>
                <w:szCs w:val="24"/>
              </w:rPr>
              <w:t>采购人：</w:t>
            </w:r>
            <w:r>
              <w:rPr>
                <w:rFonts w:hint="eastAsia" w:cs="宋体" w:asciiTheme="minorEastAsia" w:hAnsiTheme="minorEastAsia"/>
                <w:kern w:val="0"/>
                <w:sz w:val="24"/>
                <w:szCs w:val="24"/>
                <w:lang w:eastAsia="zh-CN"/>
              </w:rPr>
              <w:t xml:space="preserve">深圳市坪山区人民检察院 </w:t>
            </w:r>
          </w:p>
          <w:p w14:paraId="7B2C1DCE">
            <w:pPr>
              <w:autoSpaceDE w:val="0"/>
              <w:autoSpaceDN w:val="0"/>
              <w:adjustRightInd w:val="0"/>
              <w:spacing w:line="360" w:lineRule="auto"/>
              <w:jc w:val="left"/>
              <w:rPr>
                <w:rFonts w:hint="default" w:cs="宋体" w:asciiTheme="minorEastAsia" w:hAnsiTheme="minorEastAsia"/>
                <w:kern w:val="0"/>
                <w:sz w:val="24"/>
                <w:szCs w:val="24"/>
                <w:lang w:val="en-US"/>
              </w:rPr>
            </w:pPr>
            <w:r>
              <w:rPr>
                <w:rFonts w:hint="eastAsia" w:cs="宋体" w:asciiTheme="minorEastAsia" w:hAnsiTheme="minorEastAsia"/>
                <w:kern w:val="0"/>
                <w:sz w:val="24"/>
                <w:szCs w:val="24"/>
              </w:rPr>
              <w:t>地址：</w:t>
            </w:r>
            <w:r>
              <w:rPr>
                <w:rFonts w:hint="eastAsia" w:cs="宋体" w:asciiTheme="minorEastAsia" w:hAnsiTheme="minorEastAsia"/>
                <w:kern w:val="0"/>
                <w:sz w:val="24"/>
                <w:szCs w:val="24"/>
                <w:lang w:val="en-US" w:eastAsia="zh-CN"/>
              </w:rPr>
              <w:t>深圳市坪山区马峦街道东城环路4128号大万文化B栋</w:t>
            </w:r>
          </w:p>
          <w:p w14:paraId="2F7749C8">
            <w:pPr>
              <w:autoSpaceDE w:val="0"/>
              <w:autoSpaceDN w:val="0"/>
              <w:adjustRightInd w:val="0"/>
              <w:spacing w:line="360" w:lineRule="auto"/>
              <w:jc w:val="left"/>
              <w:rPr>
                <w:rFonts w:hint="default" w:cs="宋体" w:asciiTheme="minorEastAsia" w:hAnsiTheme="minorEastAsia" w:eastAsiaTheme="minorEastAsia"/>
                <w:kern w:val="0"/>
                <w:sz w:val="24"/>
                <w:szCs w:val="24"/>
                <w:lang w:val="en-US" w:eastAsia="zh-CN"/>
              </w:rPr>
            </w:pPr>
            <w:r>
              <w:rPr>
                <w:rFonts w:hint="eastAsia" w:cs="宋体" w:asciiTheme="minorEastAsia" w:hAnsiTheme="minorEastAsia"/>
                <w:kern w:val="0"/>
                <w:sz w:val="24"/>
                <w:szCs w:val="24"/>
              </w:rPr>
              <w:t>联系电话：</w:t>
            </w:r>
            <w:r>
              <w:rPr>
                <w:rFonts w:hint="eastAsia" w:cs="宋体" w:asciiTheme="minorEastAsia" w:hAnsiTheme="minorEastAsia"/>
                <w:kern w:val="0"/>
                <w:sz w:val="24"/>
                <w:szCs w:val="24"/>
                <w:highlight w:val="yellow"/>
                <w:lang w:val="en-US" w:eastAsia="zh-CN"/>
              </w:rPr>
              <w:t>XXXXXXXXXXXX</w:t>
            </w:r>
            <w:r>
              <w:rPr>
                <w:rFonts w:cs="宋体" w:asciiTheme="minorEastAsia" w:hAnsiTheme="minorEastAsia"/>
                <w:kern w:val="0"/>
                <w:sz w:val="24"/>
                <w:szCs w:val="24"/>
              </w:rPr>
              <w:t xml:space="preserve"> </w:t>
            </w:r>
            <w:r>
              <w:rPr>
                <w:rFonts w:hint="eastAsia" w:cs="宋体" w:asciiTheme="minorEastAsia" w:hAnsiTheme="minorEastAsia"/>
                <w:color w:val="000000" w:themeColor="text1"/>
                <w:kern w:val="0"/>
                <w:sz w:val="24"/>
                <w:szCs w:val="24"/>
                <w14:textFill>
                  <w14:solidFill>
                    <w14:schemeClr w14:val="tx1"/>
                  </w14:solidFill>
                </w14:textFill>
              </w:rPr>
              <w:t>传真：</w:t>
            </w:r>
            <w:r>
              <w:rPr>
                <w:rFonts w:hint="eastAsia" w:cs="宋体" w:asciiTheme="minorEastAsia" w:hAnsiTheme="minorEastAsia"/>
                <w:color w:val="000000" w:themeColor="text1"/>
                <w:kern w:val="0"/>
                <w:sz w:val="24"/>
                <w:szCs w:val="24"/>
                <w:highlight w:val="yellow"/>
                <w:lang w:val="en-US" w:eastAsia="zh-CN"/>
                <w14:textFill>
                  <w14:solidFill>
                    <w14:schemeClr w14:val="tx1"/>
                  </w14:solidFill>
                </w14:textFill>
              </w:rPr>
              <w:t>XXXXXXXXXXXX</w:t>
            </w:r>
          </w:p>
          <w:p w14:paraId="7FB08C99">
            <w:pPr>
              <w:spacing w:line="360" w:lineRule="auto"/>
              <w:jc w:val="left"/>
              <w:rPr>
                <w:rFonts w:hint="eastAsia" w:cs="宋体" w:asciiTheme="minorEastAsia" w:hAnsiTheme="minorEastAsia" w:eastAsiaTheme="minorEastAsia"/>
                <w:kern w:val="0"/>
                <w:sz w:val="24"/>
                <w:szCs w:val="24"/>
                <w:lang w:val="en-US" w:eastAsia="zh-CN"/>
              </w:rPr>
            </w:pPr>
            <w:r>
              <w:rPr>
                <w:rFonts w:hint="eastAsia" w:cs="宋体" w:asciiTheme="minorEastAsia" w:hAnsiTheme="minorEastAsia"/>
                <w:kern w:val="0"/>
                <w:sz w:val="24"/>
                <w:szCs w:val="24"/>
              </w:rPr>
              <w:t>合同备案机构</w:t>
            </w:r>
            <w:r>
              <w:rPr>
                <w:rFonts w:hint="eastAsia" w:cs="宋体" w:asciiTheme="minorEastAsia" w:hAnsiTheme="minorEastAsia"/>
                <w:kern w:val="0"/>
                <w:sz w:val="24"/>
                <w:szCs w:val="24"/>
                <w:lang w:eastAsia="zh-CN"/>
              </w:rPr>
              <w:t>：</w:t>
            </w:r>
          </w:p>
          <w:p w14:paraId="68BF5EF4">
            <w:pPr>
              <w:spacing w:line="360" w:lineRule="auto"/>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地址：</w:t>
            </w:r>
            <w:r>
              <w:rPr>
                <w:rFonts w:hint="eastAsia" w:cs="宋体" w:asciiTheme="minorEastAsia" w:hAnsiTheme="minorEastAsia"/>
                <w:kern w:val="0"/>
                <w:sz w:val="24"/>
                <w:szCs w:val="24"/>
                <w:highlight w:val="yellow"/>
                <w:lang w:val="en-US" w:eastAsia="zh-CN"/>
              </w:rPr>
              <w:t>深圳市财政发展综合保障中心</w:t>
            </w:r>
          </w:p>
          <w:p w14:paraId="725D9337">
            <w:pPr>
              <w:spacing w:line="360" w:lineRule="auto"/>
              <w:jc w:val="left"/>
              <w:rPr>
                <w:rFonts w:hint="default" w:cs="宋体" w:asciiTheme="minorEastAsia" w:hAnsiTheme="minorEastAsia"/>
                <w:kern w:val="0"/>
                <w:sz w:val="24"/>
                <w:szCs w:val="24"/>
                <w:lang w:val="en-US"/>
              </w:rPr>
            </w:pPr>
            <w:r>
              <w:rPr>
                <w:rFonts w:hint="eastAsia" w:cs="宋体" w:asciiTheme="minorEastAsia" w:hAnsiTheme="minorEastAsia"/>
                <w:kern w:val="0"/>
                <w:sz w:val="24"/>
                <w:szCs w:val="24"/>
              </w:rPr>
              <w:t>联系电话：</w:t>
            </w:r>
            <w:r>
              <w:rPr>
                <w:rFonts w:hint="eastAsia" w:cs="宋体" w:asciiTheme="minorEastAsia" w:hAnsiTheme="minorEastAsia"/>
                <w:kern w:val="0"/>
                <w:sz w:val="24"/>
                <w:szCs w:val="24"/>
                <w:highlight w:val="yellow"/>
                <w:lang w:val="en-US" w:eastAsia="zh-CN"/>
              </w:rPr>
              <w:t>0755-83938546</w:t>
            </w:r>
          </w:p>
        </w:tc>
      </w:tr>
      <w:tr w14:paraId="424E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6" w:type="dxa"/>
          </w:tcPr>
          <w:p w14:paraId="50F9684E">
            <w:pPr>
              <w:autoSpaceDE w:val="0"/>
              <w:autoSpaceDN w:val="0"/>
              <w:adjustRightInd w:val="0"/>
              <w:spacing w:line="360" w:lineRule="auto"/>
              <w:jc w:val="left"/>
              <w:rPr>
                <w:rFonts w:asciiTheme="minorEastAsia" w:hAnsiTheme="minorEastAsia"/>
                <w:sz w:val="24"/>
                <w:szCs w:val="24"/>
              </w:rPr>
            </w:pPr>
            <w:r>
              <w:rPr>
                <w:rFonts w:hint="eastAsia" w:cs="宋体" w:asciiTheme="minorEastAsia" w:hAnsiTheme="minorEastAsia"/>
                <w:kern w:val="0"/>
                <w:sz w:val="24"/>
                <w:szCs w:val="24"/>
              </w:rPr>
              <w:t>备注：对公示内容有异议的，请于公示之日起至期满之日止以实名书面方式（包括联系人、地址、联系电话）将意见反馈至采购人和深圳公共资源交易中心。</w:t>
            </w:r>
          </w:p>
        </w:tc>
      </w:tr>
    </w:tbl>
    <w:p w14:paraId="488E4E10">
      <w:pPr>
        <w:pStyle w:val="7"/>
        <w:sectPr>
          <w:footerReference r:id="rId3" w:type="default"/>
          <w:pgSz w:w="11906" w:h="16838"/>
          <w:pgMar w:top="1440" w:right="1800" w:bottom="1440" w:left="1800" w:header="851" w:footer="992" w:gutter="0"/>
          <w:pgNumType w:fmt="decimal" w:start="1"/>
          <w:cols w:space="425" w:num="1"/>
          <w:docGrid w:type="lines" w:linePitch="312" w:charSpace="0"/>
        </w:sectPr>
      </w:pPr>
    </w:p>
    <w:p w14:paraId="08DC5506">
      <w:pPr>
        <w:autoSpaceDE w:val="0"/>
        <w:autoSpaceDN w:val="0"/>
        <w:adjustRightInd w:val="0"/>
        <w:spacing w:line="360" w:lineRule="auto"/>
        <w:jc w:val="left"/>
        <w:rPr>
          <w:rFonts w:hint="eastAsia" w:cs="宋体" w:asciiTheme="minorEastAsia" w:hAnsiTheme="minorEastAsia"/>
          <w:kern w:val="0"/>
          <w:sz w:val="32"/>
          <w:szCs w:val="32"/>
          <w:lang w:val="en-US" w:eastAsia="zh-CN"/>
        </w:rPr>
      </w:pPr>
      <w:r>
        <w:rPr>
          <w:rFonts w:hint="eastAsia" w:cs="宋体" w:asciiTheme="minorEastAsia" w:hAnsiTheme="minorEastAsia"/>
          <w:kern w:val="0"/>
          <w:sz w:val="32"/>
          <w:szCs w:val="32"/>
          <w:lang w:val="en-US" w:eastAsia="zh-CN"/>
        </w:rPr>
        <w:t>附件1</w:t>
      </w:r>
      <w:r>
        <w:rPr>
          <w:rFonts w:hint="eastAsia" w:cs="宋体" w:asciiTheme="minorEastAsia" w:hAnsiTheme="minorEastAsia"/>
          <w:kern w:val="0"/>
          <w:sz w:val="32"/>
          <w:szCs w:val="32"/>
          <w:lang w:eastAsia="zh-CN"/>
        </w:rPr>
        <w:t>：</w:t>
      </w:r>
      <w:r>
        <w:rPr>
          <w:rFonts w:hint="eastAsia" w:cs="宋体" w:asciiTheme="minorEastAsia" w:hAnsiTheme="minorEastAsia"/>
          <w:kern w:val="0"/>
          <w:sz w:val="32"/>
          <w:szCs w:val="32"/>
          <w:lang w:val="en-US" w:eastAsia="zh-CN"/>
        </w:rPr>
        <w:t>变更核增/核减明细单</w:t>
      </w:r>
    </w:p>
    <w:tbl>
      <w:tblPr>
        <w:tblStyle w:val="8"/>
        <w:tblW w:w="52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950"/>
        <w:gridCol w:w="549"/>
        <w:gridCol w:w="1269"/>
        <w:gridCol w:w="653"/>
        <w:gridCol w:w="1222"/>
        <w:gridCol w:w="3917"/>
        <w:gridCol w:w="722"/>
        <w:gridCol w:w="653"/>
        <w:gridCol w:w="1277"/>
        <w:gridCol w:w="1501"/>
        <w:gridCol w:w="966"/>
        <w:gridCol w:w="791"/>
      </w:tblGrid>
      <w:tr w14:paraId="2305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2" w:type="pct"/>
            <w:noWrap w:val="0"/>
            <w:vAlign w:val="center"/>
          </w:tcPr>
          <w:p w14:paraId="0C7AA4F3">
            <w:pPr>
              <w:keepNext w:val="0"/>
              <w:keepLines w:val="0"/>
              <w:widowControl/>
              <w:suppressLineNumbers w:val="0"/>
              <w:snapToGrid w:val="0"/>
              <w:jc w:val="center"/>
              <w:textAlignment w:val="center"/>
              <w:rPr>
                <w:rFonts w:hint="eastAsia" w:ascii="仿宋" w:hAnsi="仿宋" w:eastAsia="仿宋" w:cs="仿宋"/>
                <w:kern w:val="0"/>
                <w:sz w:val="24"/>
              </w:rPr>
            </w:pPr>
            <w:r>
              <w:rPr>
                <w:rFonts w:hint="eastAsia" w:ascii="宋体" w:hAnsi="宋体" w:eastAsia="宋体" w:cs="宋体"/>
                <w:b/>
                <w:bCs/>
                <w:i w:val="0"/>
                <w:iCs w:val="0"/>
                <w:color w:val="000000"/>
                <w:kern w:val="0"/>
                <w:sz w:val="20"/>
                <w:szCs w:val="20"/>
                <w:u w:val="none"/>
                <w:lang w:val="en-US" w:eastAsia="zh-CN" w:bidi="ar"/>
              </w:rPr>
              <w:t>序号</w:t>
            </w:r>
          </w:p>
        </w:tc>
        <w:tc>
          <w:tcPr>
            <w:tcW w:w="316" w:type="pct"/>
            <w:noWrap w:val="0"/>
            <w:vAlign w:val="center"/>
          </w:tcPr>
          <w:p w14:paraId="05114A10">
            <w:pPr>
              <w:keepNext w:val="0"/>
              <w:keepLines w:val="0"/>
              <w:widowControl/>
              <w:suppressLineNumbers w:val="0"/>
              <w:snapToGrid w:val="0"/>
              <w:jc w:val="center"/>
              <w:textAlignment w:val="center"/>
              <w:rPr>
                <w:rFonts w:hint="eastAsia" w:ascii="仿宋" w:hAnsi="仿宋" w:eastAsia="仿宋" w:cs="仿宋"/>
                <w:kern w:val="0"/>
                <w:sz w:val="24"/>
                <w:lang w:val="en-US" w:eastAsia="zh-CN"/>
              </w:rPr>
            </w:pPr>
            <w:r>
              <w:rPr>
                <w:rFonts w:hint="eastAsia" w:ascii="宋体" w:hAnsi="宋体" w:eastAsia="宋体" w:cs="宋体"/>
                <w:b/>
                <w:bCs/>
                <w:i w:val="0"/>
                <w:iCs w:val="0"/>
                <w:color w:val="000000"/>
                <w:kern w:val="0"/>
                <w:sz w:val="20"/>
                <w:szCs w:val="20"/>
                <w:u w:val="none"/>
                <w:lang w:val="en-US" w:eastAsia="zh-CN" w:bidi="ar"/>
              </w:rPr>
              <w:t>货物名称</w:t>
            </w:r>
          </w:p>
        </w:tc>
        <w:tc>
          <w:tcPr>
            <w:tcW w:w="183" w:type="pct"/>
            <w:noWrap w:val="0"/>
            <w:vAlign w:val="center"/>
          </w:tcPr>
          <w:p w14:paraId="60942436">
            <w:pPr>
              <w:keepNext w:val="0"/>
              <w:keepLines w:val="0"/>
              <w:widowControl/>
              <w:suppressLineNumbers w:val="0"/>
              <w:snapToGrid w:val="0"/>
              <w:jc w:val="center"/>
              <w:textAlignment w:val="center"/>
              <w:rPr>
                <w:rFonts w:hint="eastAsia" w:ascii="仿宋" w:hAnsi="仿宋" w:eastAsia="仿宋" w:cs="仿宋"/>
                <w:kern w:val="0"/>
                <w:sz w:val="24"/>
                <w:lang w:val="en-US" w:eastAsia="zh-CN"/>
              </w:rPr>
            </w:pPr>
            <w:r>
              <w:rPr>
                <w:rFonts w:hint="eastAsia" w:ascii="宋体" w:hAnsi="宋体" w:eastAsia="宋体" w:cs="宋体"/>
                <w:b/>
                <w:bCs/>
                <w:i w:val="0"/>
                <w:iCs w:val="0"/>
                <w:color w:val="000000"/>
                <w:kern w:val="0"/>
                <w:sz w:val="20"/>
                <w:szCs w:val="20"/>
                <w:u w:val="none"/>
                <w:lang w:val="en-US" w:eastAsia="zh-CN" w:bidi="ar"/>
              </w:rPr>
              <w:t>品牌</w:t>
            </w:r>
          </w:p>
        </w:tc>
        <w:tc>
          <w:tcPr>
            <w:tcW w:w="423" w:type="pct"/>
            <w:noWrap w:val="0"/>
            <w:vAlign w:val="center"/>
          </w:tcPr>
          <w:p w14:paraId="0B3D31D6">
            <w:pPr>
              <w:keepNext w:val="0"/>
              <w:keepLines w:val="0"/>
              <w:widowControl/>
              <w:suppressLineNumbers w:val="0"/>
              <w:snapToGrid w:val="0"/>
              <w:jc w:val="center"/>
              <w:textAlignment w:val="center"/>
              <w:rPr>
                <w:rFonts w:hint="eastAsia" w:ascii="仿宋" w:hAnsi="仿宋" w:eastAsia="仿宋" w:cs="仿宋"/>
                <w:kern w:val="0"/>
                <w:sz w:val="24"/>
              </w:rPr>
            </w:pPr>
            <w:r>
              <w:rPr>
                <w:rFonts w:hint="eastAsia" w:ascii="宋体" w:hAnsi="宋体" w:eastAsia="宋体" w:cs="宋体"/>
                <w:b/>
                <w:bCs/>
                <w:i w:val="0"/>
                <w:iCs w:val="0"/>
                <w:color w:val="000000"/>
                <w:kern w:val="0"/>
                <w:sz w:val="20"/>
                <w:szCs w:val="20"/>
                <w:u w:val="none"/>
                <w:lang w:val="en-US" w:eastAsia="zh-CN" w:bidi="ar"/>
              </w:rPr>
              <w:t>原合同规格/型号</w:t>
            </w:r>
          </w:p>
        </w:tc>
        <w:tc>
          <w:tcPr>
            <w:tcW w:w="217" w:type="pct"/>
            <w:noWrap w:val="0"/>
            <w:vAlign w:val="center"/>
          </w:tcPr>
          <w:p w14:paraId="6C0D35EE">
            <w:pPr>
              <w:keepNext w:val="0"/>
              <w:keepLines w:val="0"/>
              <w:widowControl/>
              <w:suppressLineNumbers w:val="0"/>
              <w:snapToGrid w:val="0"/>
              <w:jc w:val="center"/>
              <w:textAlignment w:val="center"/>
              <w:rPr>
                <w:rFonts w:hint="eastAsia" w:ascii="仿宋" w:hAnsi="仿宋" w:eastAsia="仿宋" w:cs="仿宋"/>
                <w:kern w:val="0"/>
                <w:sz w:val="24"/>
              </w:rPr>
            </w:pPr>
            <w:r>
              <w:rPr>
                <w:rFonts w:hint="eastAsia" w:ascii="宋体" w:hAnsi="宋体" w:eastAsia="宋体" w:cs="宋体"/>
                <w:b/>
                <w:bCs/>
                <w:i w:val="0"/>
                <w:iCs w:val="0"/>
                <w:color w:val="000000"/>
                <w:kern w:val="0"/>
                <w:sz w:val="20"/>
                <w:szCs w:val="20"/>
                <w:u w:val="none"/>
                <w:lang w:val="en-US" w:eastAsia="zh-CN" w:bidi="ar"/>
              </w:rPr>
              <w:t>原产地</w:t>
            </w:r>
          </w:p>
        </w:tc>
        <w:tc>
          <w:tcPr>
            <w:tcW w:w="407" w:type="pct"/>
            <w:noWrap w:val="0"/>
            <w:vAlign w:val="center"/>
          </w:tcPr>
          <w:p w14:paraId="78D89D6E">
            <w:pPr>
              <w:keepNext w:val="0"/>
              <w:keepLines w:val="0"/>
              <w:widowControl/>
              <w:suppressLineNumbers w:val="0"/>
              <w:snapToGrid w:val="0"/>
              <w:jc w:val="center"/>
              <w:textAlignment w:val="center"/>
              <w:rPr>
                <w:rFonts w:hint="eastAsia" w:ascii="仿宋" w:hAnsi="仿宋" w:eastAsia="仿宋" w:cs="仿宋"/>
                <w:kern w:val="0"/>
                <w:sz w:val="24"/>
              </w:rPr>
            </w:pPr>
            <w:r>
              <w:rPr>
                <w:rFonts w:hint="eastAsia" w:ascii="宋体" w:hAnsi="宋体" w:eastAsia="宋体" w:cs="宋体"/>
                <w:b/>
                <w:bCs/>
                <w:i w:val="0"/>
                <w:iCs w:val="0"/>
                <w:color w:val="000000"/>
                <w:kern w:val="0"/>
                <w:sz w:val="20"/>
                <w:szCs w:val="20"/>
                <w:u w:val="none"/>
                <w:lang w:val="en-US" w:eastAsia="zh-CN" w:bidi="ar"/>
              </w:rPr>
              <w:t>制造商名称</w:t>
            </w:r>
          </w:p>
        </w:tc>
        <w:tc>
          <w:tcPr>
            <w:tcW w:w="1306" w:type="pct"/>
            <w:noWrap w:val="0"/>
            <w:vAlign w:val="center"/>
          </w:tcPr>
          <w:p w14:paraId="5897EF7D">
            <w:pPr>
              <w:keepNext w:val="0"/>
              <w:keepLines w:val="0"/>
              <w:widowControl/>
              <w:suppressLineNumbers w:val="0"/>
              <w:snapToGrid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技术要求</w:t>
            </w:r>
          </w:p>
        </w:tc>
        <w:tc>
          <w:tcPr>
            <w:tcW w:w="240" w:type="pct"/>
            <w:noWrap w:val="0"/>
            <w:vAlign w:val="center"/>
          </w:tcPr>
          <w:p w14:paraId="32DC57E8">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数量</w:t>
            </w:r>
          </w:p>
        </w:tc>
        <w:tc>
          <w:tcPr>
            <w:tcW w:w="217" w:type="pct"/>
            <w:noWrap w:val="0"/>
            <w:vAlign w:val="center"/>
          </w:tcPr>
          <w:p w14:paraId="251BFF08">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单位</w:t>
            </w:r>
          </w:p>
        </w:tc>
        <w:tc>
          <w:tcPr>
            <w:tcW w:w="426" w:type="pct"/>
            <w:noWrap w:val="0"/>
            <w:vAlign w:val="center"/>
          </w:tcPr>
          <w:p w14:paraId="5813324C">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单价</w:t>
            </w:r>
            <w:r>
              <w:rPr>
                <w:rStyle w:val="19"/>
                <w:rFonts w:hint="eastAsia" w:ascii="宋体" w:hAnsi="宋体" w:eastAsia="宋体" w:cs="宋体"/>
                <w:sz w:val="20"/>
                <w:szCs w:val="20"/>
                <w:lang w:val="en-US" w:eastAsia="zh-CN" w:bidi="ar"/>
              </w:rPr>
              <w:t>(元)</w:t>
            </w:r>
          </w:p>
        </w:tc>
        <w:tc>
          <w:tcPr>
            <w:tcW w:w="500" w:type="pct"/>
            <w:noWrap w:val="0"/>
            <w:vAlign w:val="center"/>
          </w:tcPr>
          <w:p w14:paraId="58F4BD6C">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合计(元)</w:t>
            </w:r>
          </w:p>
        </w:tc>
        <w:tc>
          <w:tcPr>
            <w:tcW w:w="322" w:type="pct"/>
            <w:noWrap w:val="0"/>
            <w:vAlign w:val="center"/>
          </w:tcPr>
          <w:p w14:paraId="090F9E06">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变更说明</w:t>
            </w:r>
          </w:p>
        </w:tc>
        <w:tc>
          <w:tcPr>
            <w:tcW w:w="263" w:type="pct"/>
            <w:noWrap w:val="0"/>
            <w:vAlign w:val="center"/>
          </w:tcPr>
          <w:p w14:paraId="0AE2D9E2">
            <w:pPr>
              <w:keepNext w:val="0"/>
              <w:keepLines w:val="0"/>
              <w:widowControl/>
              <w:suppressLineNumbers w:val="0"/>
              <w:snapToGrid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备注</w:t>
            </w:r>
          </w:p>
        </w:tc>
      </w:tr>
      <w:tr w14:paraId="01C3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2" w:type="pct"/>
            <w:noWrap w:val="0"/>
            <w:vAlign w:val="center"/>
          </w:tcPr>
          <w:p w14:paraId="70AFD12C">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316" w:type="pct"/>
            <w:noWrap w:val="0"/>
            <w:vAlign w:val="center"/>
          </w:tcPr>
          <w:p w14:paraId="1CE5B76D">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固定资产管理系统接入</w:t>
            </w:r>
          </w:p>
        </w:tc>
        <w:tc>
          <w:tcPr>
            <w:tcW w:w="183" w:type="pct"/>
            <w:noWrap w:val="0"/>
            <w:vAlign w:val="center"/>
          </w:tcPr>
          <w:p w14:paraId="1BE8625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金证</w:t>
            </w:r>
          </w:p>
        </w:tc>
        <w:tc>
          <w:tcPr>
            <w:tcW w:w="423" w:type="pct"/>
            <w:noWrap w:val="0"/>
            <w:vAlign w:val="center"/>
          </w:tcPr>
          <w:p w14:paraId="38913944">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定制开发</w:t>
            </w:r>
          </w:p>
        </w:tc>
        <w:tc>
          <w:tcPr>
            <w:tcW w:w="217" w:type="pct"/>
            <w:noWrap w:val="0"/>
            <w:vAlign w:val="center"/>
          </w:tcPr>
          <w:p w14:paraId="7506BE0D">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w:t>
            </w:r>
          </w:p>
        </w:tc>
        <w:tc>
          <w:tcPr>
            <w:tcW w:w="407" w:type="pct"/>
            <w:noWrap w:val="0"/>
            <w:vAlign w:val="center"/>
          </w:tcPr>
          <w:p w14:paraId="17EA2EAC">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深圳市金证科技股份有限公司</w:t>
            </w:r>
          </w:p>
        </w:tc>
        <w:tc>
          <w:tcPr>
            <w:tcW w:w="1306" w:type="pct"/>
            <w:noWrap w:val="0"/>
            <w:vAlign w:val="center"/>
          </w:tcPr>
          <w:p w14:paraId="1E7A57D3">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基于固定资产管理系统开放接口或提供sdk或提供协议规约等资料，完成数据、功能对接，实现物联应用相关功能要求。</w:t>
            </w:r>
          </w:p>
        </w:tc>
        <w:tc>
          <w:tcPr>
            <w:tcW w:w="240" w:type="pct"/>
            <w:noWrap w:val="0"/>
            <w:vAlign w:val="center"/>
          </w:tcPr>
          <w:p w14:paraId="0621278C">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17" w:type="pct"/>
            <w:noWrap w:val="0"/>
            <w:vAlign w:val="center"/>
          </w:tcPr>
          <w:p w14:paraId="3C594EE9">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426" w:type="pct"/>
            <w:noWrap w:val="0"/>
            <w:vAlign w:val="center"/>
          </w:tcPr>
          <w:p w14:paraId="6B7DFB64">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12,700.00</w:t>
            </w:r>
          </w:p>
        </w:tc>
        <w:tc>
          <w:tcPr>
            <w:tcW w:w="500" w:type="pct"/>
            <w:noWrap w:val="0"/>
            <w:vAlign w:val="center"/>
          </w:tcPr>
          <w:p w14:paraId="5D6965B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-12,700.00</w:t>
            </w:r>
          </w:p>
        </w:tc>
        <w:tc>
          <w:tcPr>
            <w:tcW w:w="322" w:type="pct"/>
            <w:noWrap w:val="0"/>
            <w:vAlign w:val="center"/>
          </w:tcPr>
          <w:p w14:paraId="1E2039B8">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数源系统下线</w:t>
            </w:r>
          </w:p>
        </w:tc>
        <w:tc>
          <w:tcPr>
            <w:tcW w:w="263" w:type="pct"/>
            <w:noWrap w:val="0"/>
            <w:vAlign w:val="center"/>
          </w:tcPr>
          <w:p w14:paraId="7F1BB4F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合同内</w:t>
            </w:r>
          </w:p>
        </w:tc>
      </w:tr>
      <w:tr w14:paraId="4579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2" w:type="pct"/>
            <w:noWrap w:val="0"/>
            <w:vAlign w:val="center"/>
          </w:tcPr>
          <w:p w14:paraId="57BD09F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316" w:type="pct"/>
            <w:noWrap w:val="0"/>
            <w:vAlign w:val="center"/>
          </w:tcPr>
          <w:p w14:paraId="5822DB4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公共广播系统接入</w:t>
            </w:r>
          </w:p>
        </w:tc>
        <w:tc>
          <w:tcPr>
            <w:tcW w:w="183" w:type="pct"/>
            <w:noWrap w:val="0"/>
            <w:vAlign w:val="center"/>
          </w:tcPr>
          <w:p w14:paraId="65D5D468">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金证</w:t>
            </w:r>
          </w:p>
        </w:tc>
        <w:tc>
          <w:tcPr>
            <w:tcW w:w="423" w:type="pct"/>
            <w:noWrap w:val="0"/>
            <w:vAlign w:val="center"/>
          </w:tcPr>
          <w:p w14:paraId="5163BFBF">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定制开发</w:t>
            </w:r>
          </w:p>
        </w:tc>
        <w:tc>
          <w:tcPr>
            <w:tcW w:w="217" w:type="pct"/>
            <w:noWrap w:val="0"/>
            <w:vAlign w:val="center"/>
          </w:tcPr>
          <w:p w14:paraId="34399E6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w:t>
            </w:r>
          </w:p>
        </w:tc>
        <w:tc>
          <w:tcPr>
            <w:tcW w:w="407" w:type="pct"/>
            <w:noWrap w:val="0"/>
            <w:vAlign w:val="center"/>
          </w:tcPr>
          <w:p w14:paraId="500FC2B3">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深圳市金证科技股份有限公司</w:t>
            </w:r>
          </w:p>
        </w:tc>
        <w:tc>
          <w:tcPr>
            <w:tcW w:w="1306" w:type="pct"/>
            <w:noWrap w:val="0"/>
            <w:vAlign w:val="center"/>
          </w:tcPr>
          <w:p w14:paraId="796B6362">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基于公共广播系统开放接口或提供sdk或提供协议规约等资料，完成数据、功能对接，实现物联应用相关功能要求。</w:t>
            </w:r>
          </w:p>
        </w:tc>
        <w:tc>
          <w:tcPr>
            <w:tcW w:w="240" w:type="pct"/>
            <w:noWrap w:val="0"/>
            <w:vAlign w:val="center"/>
          </w:tcPr>
          <w:p w14:paraId="0FDB2A3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17" w:type="pct"/>
            <w:noWrap w:val="0"/>
            <w:vAlign w:val="center"/>
          </w:tcPr>
          <w:p w14:paraId="745EB11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426" w:type="pct"/>
            <w:noWrap w:val="0"/>
            <w:vAlign w:val="center"/>
          </w:tcPr>
          <w:p w14:paraId="36CD01E3">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28,000.00</w:t>
            </w:r>
          </w:p>
        </w:tc>
        <w:tc>
          <w:tcPr>
            <w:tcW w:w="500" w:type="pct"/>
            <w:noWrap w:val="0"/>
            <w:vAlign w:val="center"/>
          </w:tcPr>
          <w:p w14:paraId="62EF2AA9">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-28,000.00</w:t>
            </w:r>
          </w:p>
        </w:tc>
        <w:tc>
          <w:tcPr>
            <w:tcW w:w="322" w:type="pct"/>
            <w:noWrap w:val="0"/>
            <w:vAlign w:val="center"/>
          </w:tcPr>
          <w:p w14:paraId="668E814E">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现场环境调整无使用需求</w:t>
            </w:r>
          </w:p>
        </w:tc>
        <w:tc>
          <w:tcPr>
            <w:tcW w:w="263" w:type="pct"/>
            <w:noWrap w:val="0"/>
            <w:vAlign w:val="center"/>
          </w:tcPr>
          <w:p w14:paraId="068A9F57">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合同内</w:t>
            </w:r>
          </w:p>
        </w:tc>
      </w:tr>
      <w:tr w14:paraId="719A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2" w:type="pct"/>
            <w:noWrap w:val="0"/>
            <w:vAlign w:val="center"/>
          </w:tcPr>
          <w:p w14:paraId="6FB5BD59">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316" w:type="pct"/>
            <w:noWrap w:val="0"/>
            <w:vAlign w:val="center"/>
          </w:tcPr>
          <w:p w14:paraId="452EB18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火灾报警系统接入</w:t>
            </w:r>
          </w:p>
        </w:tc>
        <w:tc>
          <w:tcPr>
            <w:tcW w:w="183" w:type="pct"/>
            <w:noWrap w:val="0"/>
            <w:vAlign w:val="center"/>
          </w:tcPr>
          <w:p w14:paraId="0295108F">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金证</w:t>
            </w:r>
          </w:p>
        </w:tc>
        <w:tc>
          <w:tcPr>
            <w:tcW w:w="423" w:type="pct"/>
            <w:noWrap w:val="0"/>
            <w:vAlign w:val="center"/>
          </w:tcPr>
          <w:p w14:paraId="523C91ED">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定制开发</w:t>
            </w:r>
          </w:p>
        </w:tc>
        <w:tc>
          <w:tcPr>
            <w:tcW w:w="217" w:type="pct"/>
            <w:noWrap w:val="0"/>
            <w:vAlign w:val="center"/>
          </w:tcPr>
          <w:p w14:paraId="5E4A1C56">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w:t>
            </w:r>
          </w:p>
        </w:tc>
        <w:tc>
          <w:tcPr>
            <w:tcW w:w="407" w:type="pct"/>
            <w:noWrap w:val="0"/>
            <w:vAlign w:val="center"/>
          </w:tcPr>
          <w:p w14:paraId="5835373E">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深圳市金证科技股份有限公司</w:t>
            </w:r>
          </w:p>
        </w:tc>
        <w:tc>
          <w:tcPr>
            <w:tcW w:w="1306" w:type="pct"/>
            <w:noWrap w:val="0"/>
            <w:vAlign w:val="center"/>
          </w:tcPr>
          <w:p w14:paraId="14B5D7E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基于火灾报警系统开放接口或提供sdk或提供协议规约等资料，完成数据、功能对接，实现物联应用相关功能要求。</w:t>
            </w:r>
          </w:p>
        </w:tc>
        <w:tc>
          <w:tcPr>
            <w:tcW w:w="240" w:type="pct"/>
            <w:noWrap w:val="0"/>
            <w:vAlign w:val="center"/>
          </w:tcPr>
          <w:p w14:paraId="147F3B88">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17" w:type="pct"/>
            <w:noWrap w:val="0"/>
            <w:vAlign w:val="center"/>
          </w:tcPr>
          <w:p w14:paraId="52712039">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426" w:type="pct"/>
            <w:noWrap w:val="0"/>
            <w:vAlign w:val="center"/>
          </w:tcPr>
          <w:p w14:paraId="7BE325B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13,500.00</w:t>
            </w:r>
          </w:p>
        </w:tc>
        <w:tc>
          <w:tcPr>
            <w:tcW w:w="500" w:type="pct"/>
            <w:noWrap w:val="0"/>
            <w:vAlign w:val="center"/>
          </w:tcPr>
          <w:p w14:paraId="1A37DCA7">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-13,500.00</w:t>
            </w:r>
          </w:p>
        </w:tc>
        <w:tc>
          <w:tcPr>
            <w:tcW w:w="322" w:type="pct"/>
            <w:noWrap w:val="0"/>
            <w:vAlign w:val="center"/>
          </w:tcPr>
          <w:p w14:paraId="441C4A2F">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现场环境调整无使用需求</w:t>
            </w:r>
          </w:p>
        </w:tc>
        <w:tc>
          <w:tcPr>
            <w:tcW w:w="263" w:type="pct"/>
            <w:noWrap w:val="0"/>
            <w:vAlign w:val="center"/>
          </w:tcPr>
          <w:p w14:paraId="3F9EF732">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合同内</w:t>
            </w:r>
          </w:p>
        </w:tc>
      </w:tr>
      <w:tr w14:paraId="145E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72" w:type="pct"/>
            <w:vMerge w:val="restart"/>
            <w:noWrap w:val="0"/>
            <w:vAlign w:val="center"/>
          </w:tcPr>
          <w:p w14:paraId="5EB5303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316" w:type="pct"/>
            <w:vMerge w:val="restart"/>
            <w:noWrap w:val="0"/>
            <w:vAlign w:val="center"/>
          </w:tcPr>
          <w:p w14:paraId="0EE5DED4">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停车场管理系统接入</w:t>
            </w:r>
          </w:p>
        </w:tc>
        <w:tc>
          <w:tcPr>
            <w:tcW w:w="183" w:type="pct"/>
            <w:vMerge w:val="restart"/>
            <w:noWrap w:val="0"/>
            <w:vAlign w:val="center"/>
          </w:tcPr>
          <w:p w14:paraId="2F613B2C">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金证</w:t>
            </w:r>
          </w:p>
        </w:tc>
        <w:tc>
          <w:tcPr>
            <w:tcW w:w="423" w:type="pct"/>
            <w:vMerge w:val="restart"/>
            <w:noWrap w:val="0"/>
            <w:vAlign w:val="center"/>
          </w:tcPr>
          <w:p w14:paraId="454C656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定制开发</w:t>
            </w:r>
          </w:p>
        </w:tc>
        <w:tc>
          <w:tcPr>
            <w:tcW w:w="217" w:type="pct"/>
            <w:vMerge w:val="restart"/>
            <w:noWrap w:val="0"/>
            <w:vAlign w:val="center"/>
          </w:tcPr>
          <w:p w14:paraId="25887D4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w:t>
            </w:r>
          </w:p>
        </w:tc>
        <w:tc>
          <w:tcPr>
            <w:tcW w:w="407" w:type="pct"/>
            <w:vMerge w:val="restart"/>
            <w:noWrap w:val="0"/>
            <w:vAlign w:val="center"/>
          </w:tcPr>
          <w:p w14:paraId="7EDDC350">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深圳市金证科技股份有限公司</w:t>
            </w:r>
          </w:p>
        </w:tc>
        <w:tc>
          <w:tcPr>
            <w:tcW w:w="1306" w:type="pct"/>
            <w:noWrap w:val="0"/>
            <w:vAlign w:val="center"/>
          </w:tcPr>
          <w:p w14:paraId="6348ECCF">
            <w:pPr>
              <w:keepNext w:val="0"/>
              <w:keepLines w:val="0"/>
              <w:widowControl/>
              <w:suppressLineNumbers w:val="0"/>
              <w:snapToGrid w:val="0"/>
              <w:jc w:val="left"/>
              <w:textAlignment w:val="center"/>
              <w:rPr>
                <w:rFonts w:hint="eastAsia"/>
                <w:lang w:val="en-US" w:eastAsia="zh-CN"/>
              </w:rPr>
            </w:pPr>
            <w:r>
              <w:rPr>
                <w:rFonts w:hint="eastAsia" w:ascii="宋体" w:hAnsi="宋体" w:eastAsia="宋体" w:cs="宋体"/>
                <w:i w:val="0"/>
                <w:iCs w:val="0"/>
                <w:color w:val="000000"/>
                <w:kern w:val="0"/>
                <w:sz w:val="20"/>
                <w:szCs w:val="20"/>
                <w:u w:val="none"/>
                <w:lang w:val="en-US" w:eastAsia="zh-CN" w:bidi="ar"/>
              </w:rPr>
              <w:t>1.访客邀约打通海康停车场管理系统接口，将来访人员车牌信息和到访时间提交至停车管理平台，并下发至停车场道闸车牌识别相机控制器，来访人员车辆到访后自动识别放行，车离场后，车辆进出信息关联到访客记录；</w:t>
            </w:r>
          </w:p>
        </w:tc>
        <w:tc>
          <w:tcPr>
            <w:tcW w:w="240" w:type="pct"/>
            <w:noWrap w:val="0"/>
            <w:vAlign w:val="center"/>
          </w:tcPr>
          <w:p w14:paraId="17918482">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17" w:type="pct"/>
            <w:noWrap w:val="0"/>
            <w:vAlign w:val="center"/>
          </w:tcPr>
          <w:p w14:paraId="7D75DBE5">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426" w:type="pct"/>
            <w:noWrap w:val="0"/>
            <w:vAlign w:val="center"/>
          </w:tcPr>
          <w:p w14:paraId="161CC9B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18,500.00</w:t>
            </w:r>
          </w:p>
        </w:tc>
        <w:tc>
          <w:tcPr>
            <w:tcW w:w="500" w:type="pct"/>
            <w:noWrap w:val="0"/>
            <w:vAlign w:val="center"/>
          </w:tcPr>
          <w:p w14:paraId="5B4F7C75">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18,500.00</w:t>
            </w:r>
          </w:p>
        </w:tc>
        <w:tc>
          <w:tcPr>
            <w:tcW w:w="322" w:type="pct"/>
            <w:noWrap w:val="0"/>
            <w:vAlign w:val="center"/>
          </w:tcPr>
          <w:p w14:paraId="2A536FA2">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因现场安全管理需要，新增用户需求</w:t>
            </w:r>
          </w:p>
        </w:tc>
        <w:tc>
          <w:tcPr>
            <w:tcW w:w="263" w:type="pct"/>
            <w:noWrap w:val="0"/>
            <w:vAlign w:val="center"/>
          </w:tcPr>
          <w:p w14:paraId="037748C5">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合同外</w:t>
            </w:r>
          </w:p>
        </w:tc>
      </w:tr>
      <w:tr w14:paraId="0830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jc w:val="center"/>
        </w:trPr>
        <w:tc>
          <w:tcPr>
            <w:tcW w:w="172" w:type="pct"/>
            <w:vMerge w:val="continue"/>
            <w:noWrap w:val="0"/>
            <w:vAlign w:val="center"/>
          </w:tcPr>
          <w:p w14:paraId="3C1F490C">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16" w:type="pct"/>
            <w:vMerge w:val="continue"/>
            <w:noWrap w:val="0"/>
            <w:vAlign w:val="center"/>
          </w:tcPr>
          <w:p w14:paraId="6443FAEF">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83" w:type="pct"/>
            <w:vMerge w:val="continue"/>
            <w:noWrap w:val="0"/>
            <w:vAlign w:val="center"/>
          </w:tcPr>
          <w:p w14:paraId="23CCD945">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423" w:type="pct"/>
            <w:vMerge w:val="continue"/>
            <w:noWrap w:val="0"/>
            <w:vAlign w:val="center"/>
          </w:tcPr>
          <w:p w14:paraId="15BC33D2">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217" w:type="pct"/>
            <w:vMerge w:val="continue"/>
            <w:noWrap w:val="0"/>
            <w:vAlign w:val="center"/>
          </w:tcPr>
          <w:p w14:paraId="7B178656">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407" w:type="pct"/>
            <w:vMerge w:val="continue"/>
            <w:noWrap w:val="0"/>
            <w:vAlign w:val="center"/>
          </w:tcPr>
          <w:p w14:paraId="576DAD23">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06" w:type="pct"/>
            <w:noWrap w:val="0"/>
            <w:vAlign w:val="center"/>
          </w:tcPr>
          <w:p w14:paraId="6D8DBD29">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2.平台提供详细的访客邀约记录表，管理员可查看邀请人，来访人，访问事由，手机号、身份证号，车牌号、来访时间等关键信息，可检索查询，通过人员姓名查询来访记录；</w:t>
            </w:r>
          </w:p>
        </w:tc>
        <w:tc>
          <w:tcPr>
            <w:tcW w:w="240" w:type="pct"/>
            <w:noWrap w:val="0"/>
            <w:vAlign w:val="center"/>
          </w:tcPr>
          <w:p w14:paraId="15F6621C">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17" w:type="pct"/>
            <w:noWrap w:val="0"/>
            <w:vAlign w:val="center"/>
          </w:tcPr>
          <w:p w14:paraId="0B4D6D24">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426" w:type="pct"/>
            <w:noWrap w:val="0"/>
            <w:vAlign w:val="center"/>
          </w:tcPr>
          <w:p w14:paraId="024D46E5">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13,750.00</w:t>
            </w:r>
          </w:p>
        </w:tc>
        <w:tc>
          <w:tcPr>
            <w:tcW w:w="500" w:type="pct"/>
            <w:noWrap w:val="0"/>
            <w:vAlign w:val="center"/>
          </w:tcPr>
          <w:p w14:paraId="61DD5B54">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13,750.00</w:t>
            </w:r>
          </w:p>
        </w:tc>
        <w:tc>
          <w:tcPr>
            <w:tcW w:w="322" w:type="pct"/>
            <w:noWrap w:val="0"/>
            <w:vAlign w:val="center"/>
          </w:tcPr>
          <w:p w14:paraId="118C8CC3">
            <w:pPr>
              <w:keepNext w:val="0"/>
              <w:keepLines w:val="0"/>
              <w:widowControl/>
              <w:suppressLineNumbers w:val="0"/>
              <w:snapToGrid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因现场安全管理需要，新增用户需求</w:t>
            </w:r>
          </w:p>
        </w:tc>
        <w:tc>
          <w:tcPr>
            <w:tcW w:w="263" w:type="pct"/>
            <w:noWrap w:val="0"/>
            <w:vAlign w:val="center"/>
          </w:tcPr>
          <w:p w14:paraId="258E8C5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合同外</w:t>
            </w:r>
          </w:p>
        </w:tc>
      </w:tr>
      <w:tr w14:paraId="6711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72" w:type="pct"/>
            <w:noWrap w:val="0"/>
            <w:vAlign w:val="center"/>
          </w:tcPr>
          <w:p w14:paraId="3C2B2D55">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316" w:type="pct"/>
            <w:noWrap w:val="0"/>
            <w:vAlign w:val="center"/>
          </w:tcPr>
          <w:p w14:paraId="5AF0A3E7">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红外枪型网络摄像机</w:t>
            </w:r>
          </w:p>
        </w:tc>
        <w:tc>
          <w:tcPr>
            <w:tcW w:w="183" w:type="pct"/>
            <w:noWrap w:val="0"/>
            <w:vAlign w:val="center"/>
          </w:tcPr>
          <w:p w14:paraId="3E413E15">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海康威视</w:t>
            </w:r>
          </w:p>
        </w:tc>
        <w:tc>
          <w:tcPr>
            <w:tcW w:w="423" w:type="pct"/>
            <w:noWrap w:val="0"/>
            <w:vAlign w:val="center"/>
          </w:tcPr>
          <w:p w14:paraId="3CA4C871">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DS-2CD264XYZUV-ABCDEF</w:t>
            </w:r>
          </w:p>
        </w:tc>
        <w:tc>
          <w:tcPr>
            <w:tcW w:w="217" w:type="pct"/>
            <w:noWrap w:val="0"/>
            <w:vAlign w:val="center"/>
          </w:tcPr>
          <w:p w14:paraId="4C1677BF">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杭州</w:t>
            </w:r>
          </w:p>
        </w:tc>
        <w:tc>
          <w:tcPr>
            <w:tcW w:w="407" w:type="pct"/>
            <w:noWrap w:val="0"/>
            <w:vAlign w:val="center"/>
          </w:tcPr>
          <w:p w14:paraId="17D018A4">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杭州海康威视数字技术股份有限公司</w:t>
            </w:r>
          </w:p>
        </w:tc>
        <w:tc>
          <w:tcPr>
            <w:tcW w:w="1306" w:type="pct"/>
            <w:noWrap w:val="0"/>
            <w:vAlign w:val="center"/>
          </w:tcPr>
          <w:p w14:paraId="4BC6EA97">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1.实配：枪型，成像传感器：400万像素，分辨率：2688×1520，图像刷新率：25帧，内置麦克风；</w:t>
            </w:r>
          </w:p>
          <w:p w14:paraId="09C75623">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2.宽动态：120dB，安装角度可调节，防尘防水等级IP66，防揰等级IK10；</w:t>
            </w:r>
          </w:p>
          <w:p w14:paraId="34E30E99">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3.支持Smart侦测、支持背光补偿、强光抑制、3D数字降噪，支持电动变焦，支持256 GB存储卡，支持红外照射距离最远可达30m，支持1路报警输入、1路报警输出、1路音频输入、1路音频输出，支持：DC12V/100mA电源输出；</w:t>
            </w:r>
          </w:p>
          <w:p w14:paraId="1EBF60D4">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4.最低照度彩色：0.0005 lx，黑白：0.0001 lx</w:t>
            </w:r>
          </w:p>
        </w:tc>
        <w:tc>
          <w:tcPr>
            <w:tcW w:w="240" w:type="pct"/>
            <w:noWrap w:val="0"/>
            <w:vAlign w:val="center"/>
          </w:tcPr>
          <w:p w14:paraId="2EFF912D">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217" w:type="pct"/>
            <w:noWrap w:val="0"/>
            <w:vAlign w:val="center"/>
          </w:tcPr>
          <w:p w14:paraId="6C853CDF">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6" w:type="pct"/>
            <w:noWrap w:val="0"/>
            <w:vAlign w:val="center"/>
          </w:tcPr>
          <w:p w14:paraId="0114508F">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1,085.00</w:t>
            </w:r>
          </w:p>
        </w:tc>
        <w:tc>
          <w:tcPr>
            <w:tcW w:w="500" w:type="pct"/>
            <w:noWrap w:val="0"/>
            <w:vAlign w:val="center"/>
          </w:tcPr>
          <w:p w14:paraId="04C2DE43">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6,510.00</w:t>
            </w:r>
          </w:p>
        </w:tc>
        <w:tc>
          <w:tcPr>
            <w:tcW w:w="322" w:type="pct"/>
            <w:noWrap w:val="0"/>
            <w:vAlign w:val="center"/>
          </w:tcPr>
          <w:p w14:paraId="6D1633F4">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因现场安全管理需要，增加合同内第39项摄像机</w:t>
            </w:r>
          </w:p>
        </w:tc>
        <w:tc>
          <w:tcPr>
            <w:tcW w:w="263" w:type="pct"/>
            <w:noWrap w:val="0"/>
            <w:vAlign w:val="center"/>
          </w:tcPr>
          <w:p w14:paraId="786D7E72">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合同内</w:t>
            </w:r>
          </w:p>
        </w:tc>
      </w:tr>
      <w:tr w14:paraId="77FB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72" w:type="pct"/>
            <w:noWrap w:val="0"/>
            <w:vAlign w:val="center"/>
          </w:tcPr>
          <w:p w14:paraId="33794420">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316" w:type="pct"/>
            <w:noWrap w:val="0"/>
            <w:vAlign w:val="center"/>
          </w:tcPr>
          <w:p w14:paraId="408911E6">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枪机支架</w:t>
            </w:r>
          </w:p>
        </w:tc>
        <w:tc>
          <w:tcPr>
            <w:tcW w:w="183" w:type="pct"/>
            <w:noWrap w:val="0"/>
            <w:vAlign w:val="center"/>
          </w:tcPr>
          <w:p w14:paraId="42459C62">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海康威视</w:t>
            </w:r>
          </w:p>
        </w:tc>
        <w:tc>
          <w:tcPr>
            <w:tcW w:w="423" w:type="pct"/>
            <w:noWrap w:val="0"/>
            <w:vAlign w:val="center"/>
          </w:tcPr>
          <w:p w14:paraId="12FE288B">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DS-1292ZJ-K</w:t>
            </w:r>
          </w:p>
        </w:tc>
        <w:tc>
          <w:tcPr>
            <w:tcW w:w="217" w:type="pct"/>
            <w:noWrap w:val="0"/>
            <w:vAlign w:val="center"/>
          </w:tcPr>
          <w:p w14:paraId="393CEE9D">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杭州</w:t>
            </w:r>
          </w:p>
        </w:tc>
        <w:tc>
          <w:tcPr>
            <w:tcW w:w="407" w:type="pct"/>
            <w:noWrap w:val="0"/>
            <w:vAlign w:val="center"/>
          </w:tcPr>
          <w:p w14:paraId="0FB5B6D9">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杭州海康威视数字技术股份有限公司</w:t>
            </w:r>
          </w:p>
        </w:tc>
        <w:tc>
          <w:tcPr>
            <w:tcW w:w="1306" w:type="pct"/>
            <w:noWrap w:val="0"/>
            <w:vAlign w:val="center"/>
          </w:tcPr>
          <w:p w14:paraId="0677247C">
            <w:pPr>
              <w:pStyle w:val="2"/>
              <w:ind w:left="0" w:leftChars="0" w:firstLine="0" w:firstLineChars="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1.材料：铝合金，安装方式：壁装。按现场状况选型。</w:t>
            </w:r>
          </w:p>
        </w:tc>
        <w:tc>
          <w:tcPr>
            <w:tcW w:w="240" w:type="pct"/>
            <w:noWrap w:val="0"/>
            <w:vAlign w:val="center"/>
          </w:tcPr>
          <w:p w14:paraId="35B6BF3D">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217" w:type="pct"/>
            <w:noWrap w:val="0"/>
            <w:vAlign w:val="center"/>
          </w:tcPr>
          <w:p w14:paraId="75DB7974">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426" w:type="pct"/>
            <w:noWrap w:val="0"/>
            <w:vAlign w:val="center"/>
          </w:tcPr>
          <w:p w14:paraId="0DF88A7A">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48.00</w:t>
            </w:r>
          </w:p>
        </w:tc>
        <w:tc>
          <w:tcPr>
            <w:tcW w:w="500" w:type="pct"/>
            <w:noWrap w:val="0"/>
            <w:vAlign w:val="center"/>
          </w:tcPr>
          <w:p w14:paraId="63DD5796">
            <w:pPr>
              <w:keepNext w:val="0"/>
              <w:keepLines w:val="0"/>
              <w:widowControl/>
              <w:suppressLineNumbers w:val="0"/>
              <w:snapToGrid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288.00</w:t>
            </w:r>
          </w:p>
        </w:tc>
        <w:tc>
          <w:tcPr>
            <w:tcW w:w="322" w:type="pct"/>
            <w:noWrap w:val="0"/>
            <w:vAlign w:val="center"/>
          </w:tcPr>
          <w:p w14:paraId="13A402B3">
            <w:pPr>
              <w:keepNext w:val="0"/>
              <w:keepLines w:val="0"/>
              <w:widowControl/>
              <w:suppressLineNumbers w:val="0"/>
              <w:snapToGrid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因现场安全管理需要，增加合同内第40项配套支架</w:t>
            </w:r>
          </w:p>
        </w:tc>
        <w:tc>
          <w:tcPr>
            <w:tcW w:w="263" w:type="pct"/>
            <w:noWrap w:val="0"/>
            <w:vAlign w:val="center"/>
          </w:tcPr>
          <w:p w14:paraId="27B2AAD3">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合同内</w:t>
            </w:r>
          </w:p>
        </w:tc>
      </w:tr>
      <w:tr w14:paraId="5699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72" w:type="pct"/>
            <w:noWrap w:val="0"/>
            <w:vAlign w:val="center"/>
          </w:tcPr>
          <w:p w14:paraId="0032B606">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316" w:type="pct"/>
            <w:noWrap w:val="0"/>
            <w:vAlign w:val="center"/>
          </w:tcPr>
          <w:p w14:paraId="7595463D">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合计</w:t>
            </w:r>
          </w:p>
        </w:tc>
        <w:tc>
          <w:tcPr>
            <w:tcW w:w="3423" w:type="pct"/>
            <w:gridSpan w:val="8"/>
            <w:noWrap w:val="0"/>
            <w:vAlign w:val="center"/>
          </w:tcPr>
          <w:p w14:paraId="359D9BDB">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500" w:type="pct"/>
            <w:noWrap w:val="0"/>
            <w:vAlign w:val="center"/>
          </w:tcPr>
          <w:p w14:paraId="0028A930">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-15,152.00</w:t>
            </w:r>
          </w:p>
        </w:tc>
        <w:tc>
          <w:tcPr>
            <w:tcW w:w="586" w:type="pct"/>
            <w:gridSpan w:val="2"/>
            <w:noWrap w:val="0"/>
            <w:vAlign w:val="center"/>
          </w:tcPr>
          <w:p w14:paraId="2BD49E59">
            <w:pPr>
              <w:keepNext w:val="0"/>
              <w:keepLines w:val="0"/>
              <w:widowControl/>
              <w:suppressLineNumbers w:val="0"/>
              <w:snapToGrid w:val="0"/>
              <w:jc w:val="center"/>
              <w:textAlignment w:val="center"/>
              <w:rPr>
                <w:rFonts w:hint="default" w:ascii="宋体" w:hAnsi="宋体" w:eastAsia="宋体" w:cs="宋体"/>
                <w:i w:val="0"/>
                <w:iCs w:val="0"/>
                <w:color w:val="000000"/>
                <w:kern w:val="0"/>
                <w:sz w:val="20"/>
                <w:szCs w:val="20"/>
                <w:u w:val="none"/>
                <w:lang w:val="en-US" w:eastAsia="zh-CN" w:bidi="ar"/>
              </w:rPr>
            </w:pPr>
          </w:p>
        </w:tc>
      </w:tr>
      <w:tr w14:paraId="7CC8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5000" w:type="pct"/>
            <w:gridSpan w:val="13"/>
            <w:noWrap w:val="0"/>
            <w:vAlign w:val="center"/>
          </w:tcPr>
          <w:p w14:paraId="6F418245">
            <w:pPr>
              <w:keepNext w:val="0"/>
              <w:keepLines w:val="0"/>
              <w:widowControl/>
              <w:suppressLineNumbers w:val="0"/>
              <w:snapToGrid w:val="0"/>
              <w:jc w:val="center"/>
              <w:textAlignment w:val="center"/>
              <w:rPr>
                <w:rFonts w:hint="default" w:ascii="宋体" w:hAnsi="宋体" w:eastAsia="仿宋"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变更合计核减¥15,152.00元（根据概算批复、招投标文件、项目合同和第三方造价进行计价最终以财政结算和审计为准）</w:t>
            </w:r>
          </w:p>
        </w:tc>
      </w:tr>
    </w:tbl>
    <w:p w14:paraId="2128F613">
      <w:pPr>
        <w:pStyle w:val="7"/>
        <w:ind w:left="0" w:leftChars="0" w:firstLine="0" w:firstLineChars="0"/>
        <w:rPr>
          <w:rFonts w:hint="default"/>
          <w:lang w:val="en-US" w:eastAsia="zh-CN"/>
        </w:rPr>
      </w:pPr>
    </w:p>
    <w:p w14:paraId="247F3035">
      <w:pPr>
        <w:rPr>
          <w:rFonts w:hint="default"/>
          <w:lang w:val="en-US" w:eastAsia="zh-CN"/>
        </w:rPr>
      </w:pPr>
    </w:p>
    <w:p w14:paraId="661319C5">
      <w:pPr>
        <w:pStyle w:val="2"/>
        <w:rPr>
          <w:rFonts w:hint="default"/>
          <w:lang w:val="en-US" w:eastAsia="zh-CN"/>
        </w:rPr>
      </w:pPr>
    </w:p>
    <w:p w14:paraId="6D5D1060">
      <w:pPr>
        <w:pStyle w:val="2"/>
        <w:ind w:left="0" w:leftChars="0" w:firstLine="0" w:firstLineChars="0"/>
      </w:pPr>
    </w:p>
    <w:p w14:paraId="198CAB75">
      <w:pPr>
        <w:autoSpaceDE w:val="0"/>
        <w:autoSpaceDN w:val="0"/>
        <w:adjustRightInd w:val="0"/>
        <w:spacing w:line="360" w:lineRule="auto"/>
        <w:jc w:val="left"/>
        <w:rPr>
          <w:rFonts w:hint="default" w:cs="宋体" w:asciiTheme="minorEastAsia" w:hAnsiTheme="minorEastAsia"/>
          <w:kern w:val="0"/>
          <w:sz w:val="32"/>
          <w:szCs w:val="32"/>
          <w:lang w:val="en-US" w:eastAsia="zh-CN"/>
        </w:rPr>
      </w:pPr>
      <w:r>
        <w:rPr>
          <w:rFonts w:hint="eastAsia" w:cs="宋体" w:asciiTheme="minorEastAsia" w:hAnsiTheme="minorEastAsia"/>
          <w:kern w:val="0"/>
          <w:sz w:val="32"/>
          <w:szCs w:val="32"/>
          <w:lang w:val="en-US" w:eastAsia="zh-CN"/>
        </w:rPr>
        <w:t>附件2：变更调整明细单</w:t>
      </w:r>
    </w:p>
    <w:tbl>
      <w:tblPr>
        <w:tblStyle w:val="8"/>
        <w:tblW w:w="15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774"/>
        <w:gridCol w:w="647"/>
        <w:gridCol w:w="3127"/>
        <w:gridCol w:w="1401"/>
        <w:gridCol w:w="1371"/>
        <w:gridCol w:w="2725"/>
        <w:gridCol w:w="875"/>
        <w:gridCol w:w="785"/>
        <w:gridCol w:w="1410"/>
        <w:gridCol w:w="1361"/>
        <w:gridCol w:w="804"/>
      </w:tblGrid>
      <w:tr w14:paraId="7006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69" w:type="dxa"/>
            <w:noWrap w:val="0"/>
            <w:vAlign w:val="center"/>
          </w:tcPr>
          <w:p w14:paraId="29FF27A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kern w:val="0"/>
                <w:sz w:val="24"/>
                <w:szCs w:val="24"/>
              </w:rPr>
            </w:pPr>
            <w:r>
              <w:rPr>
                <w:rFonts w:hint="eastAsia" w:ascii="仿宋" w:hAnsi="仿宋" w:eastAsia="仿宋" w:cs="仿宋"/>
                <w:b/>
                <w:bCs/>
                <w:i w:val="0"/>
                <w:iCs w:val="0"/>
                <w:color w:val="000000"/>
                <w:kern w:val="0"/>
                <w:sz w:val="24"/>
                <w:szCs w:val="24"/>
                <w:u w:val="none"/>
                <w:lang w:val="en-US" w:eastAsia="zh-CN" w:bidi="ar"/>
              </w:rPr>
              <w:t>序号</w:t>
            </w:r>
          </w:p>
        </w:tc>
        <w:tc>
          <w:tcPr>
            <w:tcW w:w="774" w:type="dxa"/>
            <w:noWrap w:val="0"/>
            <w:vAlign w:val="center"/>
          </w:tcPr>
          <w:p w14:paraId="325DF1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kern w:val="0"/>
                <w:sz w:val="24"/>
                <w:szCs w:val="24"/>
                <w:lang w:val="en-US" w:eastAsia="zh-CN"/>
              </w:rPr>
            </w:pPr>
            <w:r>
              <w:rPr>
                <w:rFonts w:hint="eastAsia" w:ascii="仿宋" w:hAnsi="仿宋" w:eastAsia="仿宋" w:cs="仿宋"/>
                <w:b/>
                <w:bCs/>
                <w:i w:val="0"/>
                <w:iCs w:val="0"/>
                <w:color w:val="000000"/>
                <w:kern w:val="0"/>
                <w:sz w:val="24"/>
                <w:szCs w:val="24"/>
                <w:u w:val="none"/>
                <w:lang w:val="en-US" w:eastAsia="zh-CN" w:bidi="ar"/>
              </w:rPr>
              <w:t>货物名称</w:t>
            </w:r>
          </w:p>
        </w:tc>
        <w:tc>
          <w:tcPr>
            <w:tcW w:w="647" w:type="dxa"/>
            <w:noWrap w:val="0"/>
            <w:vAlign w:val="center"/>
          </w:tcPr>
          <w:p w14:paraId="231686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kern w:val="0"/>
                <w:sz w:val="24"/>
                <w:szCs w:val="24"/>
                <w:lang w:val="en-US" w:eastAsia="zh-CN"/>
              </w:rPr>
            </w:pPr>
            <w:r>
              <w:rPr>
                <w:rFonts w:hint="eastAsia" w:ascii="仿宋" w:hAnsi="仿宋" w:eastAsia="仿宋" w:cs="仿宋"/>
                <w:b/>
                <w:bCs/>
                <w:i w:val="0"/>
                <w:iCs w:val="0"/>
                <w:color w:val="000000"/>
                <w:kern w:val="0"/>
                <w:sz w:val="24"/>
                <w:szCs w:val="24"/>
                <w:u w:val="none"/>
                <w:lang w:val="en-US" w:eastAsia="zh-CN" w:bidi="ar"/>
              </w:rPr>
              <w:t>品牌</w:t>
            </w:r>
          </w:p>
        </w:tc>
        <w:tc>
          <w:tcPr>
            <w:tcW w:w="3127" w:type="dxa"/>
            <w:noWrap w:val="0"/>
            <w:vAlign w:val="center"/>
          </w:tcPr>
          <w:p w14:paraId="01F251E2">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kern w:val="0"/>
                <w:sz w:val="24"/>
                <w:szCs w:val="24"/>
                <w:lang w:val="en-US"/>
              </w:rPr>
            </w:pPr>
            <w:r>
              <w:rPr>
                <w:rFonts w:hint="eastAsia" w:ascii="仿宋" w:hAnsi="仿宋" w:eastAsia="仿宋" w:cs="仿宋"/>
                <w:b/>
                <w:bCs/>
                <w:i w:val="0"/>
                <w:iCs w:val="0"/>
                <w:color w:val="000000"/>
                <w:kern w:val="0"/>
                <w:sz w:val="24"/>
                <w:szCs w:val="24"/>
                <w:u w:val="none"/>
                <w:lang w:val="en-US" w:eastAsia="zh-CN" w:bidi="ar"/>
              </w:rPr>
              <w:t>变更前规格/型号/技术参数</w:t>
            </w:r>
          </w:p>
        </w:tc>
        <w:tc>
          <w:tcPr>
            <w:tcW w:w="1401" w:type="dxa"/>
            <w:noWrap w:val="0"/>
            <w:vAlign w:val="center"/>
          </w:tcPr>
          <w:p w14:paraId="0136CC1A">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合同单价(元)</w:t>
            </w:r>
          </w:p>
        </w:tc>
        <w:tc>
          <w:tcPr>
            <w:tcW w:w="1371" w:type="dxa"/>
            <w:noWrap w:val="0"/>
            <w:vAlign w:val="center"/>
          </w:tcPr>
          <w:p w14:paraId="21340CC3">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合同总价元</w:t>
            </w:r>
          </w:p>
        </w:tc>
        <w:tc>
          <w:tcPr>
            <w:tcW w:w="2725" w:type="dxa"/>
            <w:noWrap w:val="0"/>
            <w:vAlign w:val="center"/>
          </w:tcPr>
          <w:p w14:paraId="71723EE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kern w:val="0"/>
                <w:sz w:val="24"/>
                <w:szCs w:val="24"/>
                <w:lang w:val="en-US" w:eastAsia="zh-CN"/>
              </w:rPr>
            </w:pPr>
            <w:r>
              <w:rPr>
                <w:rFonts w:hint="eastAsia" w:ascii="仿宋" w:hAnsi="仿宋" w:eastAsia="仿宋" w:cs="仿宋"/>
                <w:b/>
                <w:bCs/>
                <w:i w:val="0"/>
                <w:iCs w:val="0"/>
                <w:color w:val="000000"/>
                <w:kern w:val="0"/>
                <w:sz w:val="24"/>
                <w:szCs w:val="24"/>
                <w:u w:val="none"/>
                <w:lang w:val="en-US" w:eastAsia="zh-CN" w:bidi="ar"/>
              </w:rPr>
              <w:t>变更后规格/型号/技术参数</w:t>
            </w:r>
          </w:p>
        </w:tc>
        <w:tc>
          <w:tcPr>
            <w:tcW w:w="875" w:type="dxa"/>
            <w:noWrap w:val="0"/>
            <w:vAlign w:val="center"/>
          </w:tcPr>
          <w:p w14:paraId="2F16A586">
            <w:pPr>
              <w:keepNext w:val="0"/>
              <w:keepLines w:val="0"/>
              <w:widowControl/>
              <w:suppressLineNumbers w:val="0"/>
              <w:snapToGrid w:val="0"/>
              <w:ind w:left="0" w:leftChars="0" w:right="0" w:rightChars="0" w:firstLine="0" w:firstLineChars="0"/>
              <w:jc w:val="both"/>
              <w:textAlignment w:val="center"/>
              <w:rPr>
                <w:rFonts w:hint="eastAsia" w:ascii="仿宋" w:hAnsi="仿宋" w:eastAsia="仿宋" w:cs="仿宋"/>
                <w:b/>
                <w:i w:val="0"/>
                <w:iCs w:val="0"/>
                <w:color w:val="000000"/>
                <w:kern w:val="0"/>
                <w:sz w:val="24"/>
                <w:szCs w:val="24"/>
                <w:u w:val="none"/>
                <w:lang w:val="en-US" w:eastAsia="zh-CN" w:bidi="ar"/>
              </w:rPr>
            </w:pPr>
            <w:r>
              <w:rPr>
                <w:rFonts w:hint="eastAsia" w:ascii="仿宋" w:hAnsi="仿宋" w:eastAsia="仿宋" w:cs="仿宋"/>
                <w:b/>
                <w:i w:val="0"/>
                <w:iCs w:val="0"/>
                <w:color w:val="000000"/>
                <w:kern w:val="0"/>
                <w:sz w:val="24"/>
                <w:szCs w:val="24"/>
                <w:u w:val="none"/>
                <w:lang w:val="en-US" w:eastAsia="zh-CN" w:bidi="ar"/>
              </w:rPr>
              <w:t>变更</w:t>
            </w:r>
          </w:p>
          <w:p w14:paraId="03FB4BF8">
            <w:pPr>
              <w:keepNext w:val="0"/>
              <w:keepLines w:val="0"/>
              <w:widowControl/>
              <w:suppressLineNumbers w:val="0"/>
              <w:snapToGrid w:val="0"/>
              <w:ind w:left="0" w:leftChars="0" w:right="0" w:rightChars="0" w:firstLine="0" w:firstLineChars="0"/>
              <w:jc w:val="both"/>
              <w:textAlignment w:val="center"/>
              <w:rPr>
                <w:rFonts w:hint="default" w:ascii="仿宋" w:hAnsi="仿宋" w:eastAsia="仿宋" w:cs="仿宋"/>
                <w:b/>
                <w:i w:val="0"/>
                <w:iCs w:val="0"/>
                <w:color w:val="000000"/>
                <w:kern w:val="0"/>
                <w:sz w:val="24"/>
                <w:szCs w:val="24"/>
                <w:u w:val="none"/>
                <w:lang w:val="en-US" w:eastAsia="zh-CN" w:bidi="ar"/>
              </w:rPr>
            </w:pPr>
            <w:r>
              <w:rPr>
                <w:rFonts w:hint="eastAsia" w:ascii="仿宋" w:hAnsi="仿宋" w:eastAsia="仿宋" w:cs="仿宋"/>
                <w:b/>
                <w:i w:val="0"/>
                <w:iCs w:val="0"/>
                <w:color w:val="000000"/>
                <w:kern w:val="0"/>
                <w:sz w:val="24"/>
                <w:szCs w:val="24"/>
                <w:u w:val="none"/>
                <w:lang w:val="en-US" w:eastAsia="zh-CN" w:bidi="ar"/>
              </w:rPr>
              <w:t>说明</w:t>
            </w:r>
          </w:p>
        </w:tc>
        <w:tc>
          <w:tcPr>
            <w:tcW w:w="785" w:type="dxa"/>
            <w:noWrap w:val="0"/>
            <w:vAlign w:val="center"/>
          </w:tcPr>
          <w:p w14:paraId="705E4CA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数量</w:t>
            </w:r>
          </w:p>
        </w:tc>
        <w:tc>
          <w:tcPr>
            <w:tcW w:w="1410" w:type="dxa"/>
            <w:shd w:val="clear" w:color="auto" w:fill="auto"/>
            <w:noWrap w:val="0"/>
            <w:vAlign w:val="center"/>
          </w:tcPr>
          <w:p w14:paraId="70DCE3C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变更后单价</w:t>
            </w:r>
            <w:r>
              <w:rPr>
                <w:rStyle w:val="19"/>
                <w:rFonts w:hint="eastAsia" w:ascii="仿宋" w:hAnsi="仿宋" w:eastAsia="仿宋" w:cs="仿宋"/>
                <w:b/>
                <w:sz w:val="24"/>
                <w:szCs w:val="24"/>
                <w:lang w:val="en-US" w:eastAsia="zh-CN" w:bidi="ar"/>
              </w:rPr>
              <w:t>(元)</w:t>
            </w:r>
          </w:p>
        </w:tc>
        <w:tc>
          <w:tcPr>
            <w:tcW w:w="1361" w:type="dxa"/>
            <w:noWrap w:val="0"/>
            <w:vAlign w:val="center"/>
          </w:tcPr>
          <w:p w14:paraId="7DE7263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both"/>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变更后</w:t>
            </w:r>
          </w:p>
          <w:p w14:paraId="05630A36">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both"/>
              <w:textAlignment w:val="center"/>
              <w:rPr>
                <w:rFonts w:hint="eastAsia" w:ascii="仿宋" w:hAnsi="仿宋" w:eastAsia="仿宋" w:cs="仿宋"/>
                <w:b/>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总价（</w:t>
            </w:r>
            <w:r>
              <w:rPr>
                <w:rStyle w:val="19"/>
                <w:rFonts w:hint="eastAsia" w:ascii="仿宋" w:hAnsi="仿宋" w:eastAsia="仿宋" w:cs="仿宋"/>
                <w:b/>
                <w:sz w:val="24"/>
                <w:szCs w:val="24"/>
                <w:lang w:val="en-US" w:eastAsia="zh-CN" w:bidi="ar"/>
              </w:rPr>
              <w:t>元)</w:t>
            </w:r>
          </w:p>
        </w:tc>
        <w:tc>
          <w:tcPr>
            <w:tcW w:w="804" w:type="dxa"/>
            <w:noWrap w:val="0"/>
            <w:vAlign w:val="center"/>
          </w:tcPr>
          <w:p w14:paraId="77E3A32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备注</w:t>
            </w:r>
          </w:p>
        </w:tc>
      </w:tr>
      <w:tr w14:paraId="4ED1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69" w:type="dxa"/>
            <w:vMerge w:val="restart"/>
            <w:noWrap w:val="0"/>
            <w:vAlign w:val="center"/>
          </w:tcPr>
          <w:p w14:paraId="479F9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1</w:t>
            </w:r>
          </w:p>
        </w:tc>
        <w:tc>
          <w:tcPr>
            <w:tcW w:w="774" w:type="dxa"/>
            <w:vMerge w:val="restart"/>
            <w:shd w:val="clear" w:color="auto" w:fill="auto"/>
            <w:noWrap w:val="0"/>
            <w:vAlign w:val="center"/>
          </w:tcPr>
          <w:p w14:paraId="4FD290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sz w:val="22"/>
                <w:szCs w:val="24"/>
                <w:u w:val="none"/>
                <w:lang w:val="en-US" w:eastAsia="zh-CN"/>
              </w:rPr>
              <w:t>智慧办案</w:t>
            </w:r>
          </w:p>
        </w:tc>
        <w:tc>
          <w:tcPr>
            <w:tcW w:w="647" w:type="dxa"/>
            <w:vMerge w:val="restart"/>
            <w:noWrap w:val="0"/>
            <w:vAlign w:val="center"/>
          </w:tcPr>
          <w:p w14:paraId="0974E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金证</w:t>
            </w:r>
          </w:p>
        </w:tc>
        <w:tc>
          <w:tcPr>
            <w:tcW w:w="3127" w:type="dxa"/>
            <w:noWrap w:val="0"/>
            <w:vAlign w:val="center"/>
          </w:tcPr>
          <w:p w14:paraId="2B2D599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型号：定制开发</w:t>
            </w:r>
          </w:p>
        </w:tc>
        <w:tc>
          <w:tcPr>
            <w:tcW w:w="1401" w:type="dxa"/>
            <w:vMerge w:val="restart"/>
            <w:noWrap w:val="0"/>
            <w:vAlign w:val="center"/>
          </w:tcPr>
          <w:p w14:paraId="6150478E">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134,000.00</w:t>
            </w:r>
          </w:p>
        </w:tc>
        <w:tc>
          <w:tcPr>
            <w:tcW w:w="1371" w:type="dxa"/>
            <w:vMerge w:val="restart"/>
            <w:noWrap w:val="0"/>
            <w:vAlign w:val="center"/>
          </w:tcPr>
          <w:p w14:paraId="10DCAA07">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134,000.00</w:t>
            </w:r>
          </w:p>
        </w:tc>
        <w:tc>
          <w:tcPr>
            <w:tcW w:w="2725" w:type="dxa"/>
            <w:noWrap w:val="0"/>
            <w:vAlign w:val="center"/>
          </w:tcPr>
          <w:p w14:paraId="67E45CEF">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lang w:val="en-US" w:eastAsia="zh-CN"/>
              </w:rPr>
              <w:t>型号：定制开发</w:t>
            </w:r>
          </w:p>
        </w:tc>
        <w:tc>
          <w:tcPr>
            <w:tcW w:w="875" w:type="dxa"/>
            <w:noWrap w:val="0"/>
            <w:vAlign w:val="center"/>
          </w:tcPr>
          <w:p w14:paraId="3772C9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无变化</w:t>
            </w:r>
          </w:p>
        </w:tc>
        <w:tc>
          <w:tcPr>
            <w:tcW w:w="785" w:type="dxa"/>
            <w:vMerge w:val="restart"/>
            <w:noWrap w:val="0"/>
            <w:vAlign w:val="center"/>
          </w:tcPr>
          <w:p w14:paraId="0B8301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1项</w:t>
            </w:r>
          </w:p>
        </w:tc>
        <w:tc>
          <w:tcPr>
            <w:tcW w:w="1410" w:type="dxa"/>
            <w:vMerge w:val="restart"/>
            <w:noWrap w:val="0"/>
            <w:vAlign w:val="center"/>
          </w:tcPr>
          <w:p w14:paraId="7CDEBC8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134,500.00</w:t>
            </w:r>
          </w:p>
        </w:tc>
        <w:tc>
          <w:tcPr>
            <w:tcW w:w="1361" w:type="dxa"/>
            <w:vMerge w:val="restart"/>
            <w:noWrap w:val="0"/>
            <w:vAlign w:val="center"/>
          </w:tcPr>
          <w:p w14:paraId="09AED4C2">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134,500.00</w:t>
            </w:r>
          </w:p>
        </w:tc>
        <w:tc>
          <w:tcPr>
            <w:tcW w:w="804" w:type="dxa"/>
            <w:vMerge w:val="restart"/>
            <w:noWrap w:val="0"/>
            <w:vAlign w:val="center"/>
          </w:tcPr>
          <w:p w14:paraId="7CA9CCDE">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000000"/>
                <w:kern w:val="0"/>
                <w:sz w:val="22"/>
                <w:szCs w:val="24"/>
                <w:u w:val="none"/>
                <w:lang w:val="en-US" w:eastAsia="zh-CN" w:bidi="ar"/>
              </w:rPr>
            </w:pPr>
          </w:p>
        </w:tc>
      </w:tr>
      <w:tr w14:paraId="5F7F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469" w:type="dxa"/>
            <w:vMerge w:val="continue"/>
            <w:noWrap w:val="0"/>
            <w:vAlign w:val="center"/>
          </w:tcPr>
          <w:p w14:paraId="5E85CF63">
            <w:pPr>
              <w:pStyle w:val="7"/>
              <w:snapToGrid w:val="0"/>
              <w:ind w:left="0" w:leftChars="0" w:right="0" w:rightChars="0" w:firstLine="0" w:firstLineChars="0"/>
              <w:jc w:val="center"/>
              <w:rPr>
                <w:rFonts w:hint="eastAsia" w:ascii="宋体" w:hAnsi="宋体" w:eastAsia="宋体" w:cs="宋体"/>
                <w:sz w:val="22"/>
                <w:szCs w:val="24"/>
              </w:rPr>
            </w:pPr>
          </w:p>
        </w:tc>
        <w:tc>
          <w:tcPr>
            <w:tcW w:w="774" w:type="dxa"/>
            <w:vMerge w:val="continue"/>
            <w:shd w:val="clear" w:color="auto" w:fill="auto"/>
            <w:noWrap w:val="0"/>
            <w:vAlign w:val="center"/>
          </w:tcPr>
          <w:p w14:paraId="60BC894C">
            <w:pPr>
              <w:pStyle w:val="7"/>
              <w:snapToGrid w:val="0"/>
              <w:ind w:left="0" w:leftChars="0" w:right="0" w:rightChars="0" w:firstLine="0" w:firstLineChars="0"/>
              <w:jc w:val="left"/>
              <w:rPr>
                <w:rFonts w:hint="eastAsia" w:ascii="宋体" w:hAnsi="宋体" w:eastAsia="宋体" w:cs="宋体"/>
                <w:sz w:val="22"/>
                <w:szCs w:val="24"/>
              </w:rPr>
            </w:pPr>
          </w:p>
        </w:tc>
        <w:tc>
          <w:tcPr>
            <w:tcW w:w="647" w:type="dxa"/>
            <w:vMerge w:val="continue"/>
            <w:noWrap w:val="0"/>
            <w:vAlign w:val="center"/>
          </w:tcPr>
          <w:p w14:paraId="3F4B03F8">
            <w:pPr>
              <w:pStyle w:val="7"/>
              <w:snapToGrid w:val="0"/>
              <w:ind w:left="0" w:leftChars="0" w:right="0" w:rightChars="0" w:firstLine="0" w:firstLineChars="0"/>
              <w:jc w:val="center"/>
              <w:rPr>
                <w:rFonts w:hint="eastAsia" w:ascii="宋体" w:hAnsi="宋体" w:eastAsia="宋体" w:cs="宋体"/>
                <w:sz w:val="22"/>
                <w:szCs w:val="24"/>
              </w:rPr>
            </w:pPr>
          </w:p>
        </w:tc>
        <w:tc>
          <w:tcPr>
            <w:tcW w:w="3127" w:type="dxa"/>
            <w:noWrap w:val="0"/>
            <w:vAlign w:val="center"/>
          </w:tcPr>
          <w:p w14:paraId="5B090EC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1.围绕远程提审、庭审、案件公开审查、听证等智慧办案业务需求，提供办案区智能管理功能，满足办案人员高效管理办案室、快捷使用办案设备的需求；</w:t>
            </w:r>
          </w:p>
        </w:tc>
        <w:tc>
          <w:tcPr>
            <w:tcW w:w="1401" w:type="dxa"/>
            <w:vMerge w:val="continue"/>
            <w:noWrap w:val="0"/>
            <w:vAlign w:val="center"/>
          </w:tcPr>
          <w:p w14:paraId="09D48D4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6C7AB714">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613FF31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1.围绕远程提审、庭审、案件公开审查、听证等智慧办案业务需求，提供办案区智能管理功能，满足办案人员高效管理办案室、快捷使用办案设备的需求；</w:t>
            </w:r>
          </w:p>
        </w:tc>
        <w:tc>
          <w:tcPr>
            <w:tcW w:w="875" w:type="dxa"/>
            <w:noWrap w:val="0"/>
            <w:vAlign w:val="center"/>
          </w:tcPr>
          <w:p w14:paraId="71BBEC67">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i w:val="0"/>
                <w:iCs w:val="0"/>
                <w:color w:val="000000"/>
                <w:kern w:val="0"/>
                <w:sz w:val="22"/>
                <w:szCs w:val="24"/>
                <w:u w:val="none"/>
                <w:lang w:val="en-US" w:eastAsia="zh-CN" w:bidi="ar"/>
              </w:rPr>
              <w:t>无变化</w:t>
            </w:r>
          </w:p>
        </w:tc>
        <w:tc>
          <w:tcPr>
            <w:tcW w:w="785" w:type="dxa"/>
            <w:vMerge w:val="continue"/>
            <w:noWrap w:val="0"/>
            <w:vAlign w:val="center"/>
          </w:tcPr>
          <w:p w14:paraId="5CFB4495">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4D88F93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19CEB857">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3E3D1C4B">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2801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9" w:type="dxa"/>
            <w:vMerge w:val="continue"/>
            <w:noWrap w:val="0"/>
            <w:vAlign w:val="center"/>
          </w:tcPr>
          <w:p w14:paraId="63BED9D2">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2F2514C7">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7716B79D">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60753A2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2.支持智能办案室预约，通过检务通APP，办案人员可查看当前各类办案室的位置分布、使用状态、空间大小、功能类型等信息，可预约空闲时间使用办案室；</w:t>
            </w:r>
          </w:p>
        </w:tc>
        <w:tc>
          <w:tcPr>
            <w:tcW w:w="1401" w:type="dxa"/>
            <w:vMerge w:val="continue"/>
            <w:noWrap w:val="0"/>
            <w:vAlign w:val="center"/>
          </w:tcPr>
          <w:p w14:paraId="189BA7C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53ACE9F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3B24A2B0">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2.支持智能办案室预约，通过市检泛微OA办公平台，办案人员可查看当前各类办案室/会议室的位置分布、使用状态、空间大小、功能类型等信息，可预约空闲时间使用办案室；</w:t>
            </w:r>
          </w:p>
        </w:tc>
        <w:tc>
          <w:tcPr>
            <w:tcW w:w="875" w:type="dxa"/>
            <w:noWrap w:val="0"/>
            <w:vAlign w:val="center"/>
          </w:tcPr>
          <w:p w14:paraId="2D5CFD75">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w:t>
            </w:r>
            <w:r>
              <w:rPr>
                <w:rFonts w:hint="eastAsia" w:ascii="宋体" w:hAnsi="宋体" w:eastAsia="宋体" w:cs="宋体"/>
                <w:sz w:val="22"/>
                <w:szCs w:val="22"/>
                <w:lang w:val="en-US" w:eastAsia="zh-CN"/>
              </w:rPr>
              <w:t>市检泛微OA办公平台</w:t>
            </w:r>
          </w:p>
        </w:tc>
        <w:tc>
          <w:tcPr>
            <w:tcW w:w="785" w:type="dxa"/>
            <w:vMerge w:val="continue"/>
            <w:noWrap w:val="0"/>
            <w:vAlign w:val="center"/>
          </w:tcPr>
          <w:p w14:paraId="5AD9B98C">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27D65AA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17419822">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407B2835">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0A13A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469" w:type="dxa"/>
            <w:vMerge w:val="continue"/>
            <w:noWrap w:val="0"/>
            <w:vAlign w:val="center"/>
          </w:tcPr>
          <w:p w14:paraId="665FAD96">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048C83E5">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76E5D5D2">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36FFAAFC">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3.支持办案通知提醒功能，发起人预约办案时可邀请共同参会人员，在检务通内提供通知提醒功能，所有参会人员将收到参会通知，并在办案当天会议前2小时收到提醒消息；</w:t>
            </w:r>
          </w:p>
        </w:tc>
        <w:tc>
          <w:tcPr>
            <w:tcW w:w="1401" w:type="dxa"/>
            <w:vMerge w:val="continue"/>
            <w:noWrap w:val="0"/>
            <w:vAlign w:val="center"/>
          </w:tcPr>
          <w:p w14:paraId="30FC95E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4ADA939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6CEFED77">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3.支持办案/会议通知提醒功能，发起人预约办案时可邀请共同参会人员，在市检泛微OA办公平台内提供通知提醒功能，所有参会人员将收到参会通知，并在办案当天会议前2小时收到提醒消息；</w:t>
            </w:r>
          </w:p>
        </w:tc>
        <w:tc>
          <w:tcPr>
            <w:tcW w:w="875" w:type="dxa"/>
            <w:noWrap w:val="0"/>
            <w:vAlign w:val="center"/>
          </w:tcPr>
          <w:p w14:paraId="3800D6E7">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w:t>
            </w:r>
            <w:r>
              <w:rPr>
                <w:rFonts w:hint="eastAsia" w:ascii="宋体" w:hAnsi="宋体" w:eastAsia="宋体" w:cs="宋体"/>
                <w:sz w:val="22"/>
                <w:szCs w:val="22"/>
                <w:lang w:val="en-US" w:eastAsia="zh-CN"/>
              </w:rPr>
              <w:t>市检泛微OA办公平台</w:t>
            </w:r>
          </w:p>
        </w:tc>
        <w:tc>
          <w:tcPr>
            <w:tcW w:w="785" w:type="dxa"/>
            <w:vMerge w:val="continue"/>
            <w:noWrap w:val="0"/>
            <w:vAlign w:val="center"/>
          </w:tcPr>
          <w:p w14:paraId="0CB22828">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712B040F">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786D7DDD">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716B34B0">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3236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469" w:type="dxa"/>
            <w:vMerge w:val="continue"/>
            <w:noWrap w:val="0"/>
            <w:vAlign w:val="center"/>
          </w:tcPr>
          <w:p w14:paraId="6D57D9F0">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7CD7CA1F">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32926F12">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3F0FCEAE">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4.支持信息联动功能，对接办案室门口信息发布屏，门口屏将显示正在办理业务和当天其他预约记录；</w:t>
            </w:r>
          </w:p>
        </w:tc>
        <w:tc>
          <w:tcPr>
            <w:tcW w:w="1401" w:type="dxa"/>
            <w:vMerge w:val="continue"/>
            <w:noWrap w:val="0"/>
            <w:vAlign w:val="center"/>
          </w:tcPr>
          <w:p w14:paraId="66B175A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059258FB">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367B347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4.支持信息联动功能，对接泛微OA办公平台，系统显示各办案室/会议室正在使用状态和当天其他预约记录；</w:t>
            </w:r>
          </w:p>
        </w:tc>
        <w:tc>
          <w:tcPr>
            <w:tcW w:w="875" w:type="dxa"/>
            <w:noWrap w:val="0"/>
            <w:vAlign w:val="center"/>
          </w:tcPr>
          <w:p w14:paraId="1B55C1F7">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w:t>
            </w:r>
            <w:r>
              <w:rPr>
                <w:rFonts w:hint="eastAsia" w:ascii="宋体" w:hAnsi="宋体" w:eastAsia="宋体" w:cs="宋体"/>
                <w:sz w:val="22"/>
                <w:szCs w:val="22"/>
                <w:lang w:val="en-US" w:eastAsia="zh-CN"/>
              </w:rPr>
              <w:t>市检泛微OA办公平台</w:t>
            </w:r>
          </w:p>
        </w:tc>
        <w:tc>
          <w:tcPr>
            <w:tcW w:w="785" w:type="dxa"/>
            <w:vMerge w:val="continue"/>
            <w:noWrap w:val="0"/>
            <w:vAlign w:val="center"/>
          </w:tcPr>
          <w:p w14:paraId="05E98237">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60785D61">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08A0CACC">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4214FBD8">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548F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9" w:type="dxa"/>
            <w:vMerge w:val="continue"/>
            <w:noWrap w:val="0"/>
            <w:vAlign w:val="center"/>
          </w:tcPr>
          <w:p w14:paraId="4B0F1337">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2BB5B9B9">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48750589">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0FA13966">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5.支持办案室内设备智能控制功能，可在管理平台单独控制投影、显示屏、摄像机、控制主机等设备，也可编排多设备批量控制模式，一键控制整套系统到预设模式；</w:t>
            </w:r>
          </w:p>
        </w:tc>
        <w:tc>
          <w:tcPr>
            <w:tcW w:w="1401" w:type="dxa"/>
            <w:vMerge w:val="continue"/>
            <w:noWrap w:val="0"/>
            <w:vAlign w:val="center"/>
          </w:tcPr>
          <w:p w14:paraId="0C80AB5E">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503A6E3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561CFE22">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5.支持办案室内设备智能控制功能，可在管理平台单独控制投影、显示屏、摄像机、控制主机等设备，也可编排多设备批量控制模式，一键控制整套系统到预设模式；</w:t>
            </w:r>
          </w:p>
        </w:tc>
        <w:tc>
          <w:tcPr>
            <w:tcW w:w="875" w:type="dxa"/>
            <w:noWrap w:val="0"/>
            <w:vAlign w:val="center"/>
          </w:tcPr>
          <w:p w14:paraId="0267EEC7">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无变化</w:t>
            </w:r>
          </w:p>
        </w:tc>
        <w:tc>
          <w:tcPr>
            <w:tcW w:w="785" w:type="dxa"/>
            <w:vMerge w:val="continue"/>
            <w:noWrap w:val="0"/>
            <w:vAlign w:val="center"/>
          </w:tcPr>
          <w:p w14:paraId="3B56C850">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14F2C287">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635553C9">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448D0C9F">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219D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jc w:val="center"/>
        </w:trPr>
        <w:tc>
          <w:tcPr>
            <w:tcW w:w="469" w:type="dxa"/>
            <w:vMerge w:val="continue"/>
            <w:noWrap w:val="0"/>
            <w:vAlign w:val="center"/>
          </w:tcPr>
          <w:p w14:paraId="041783A9">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1ED19CA5">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5B9C21DD">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0A50796C">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6.支持办案室视频分拨调度功能，为满足办案监督、观摩需求，可通过接入分布式调度系统，将办案音视频流分发其他管理区显示系统；</w:t>
            </w:r>
          </w:p>
        </w:tc>
        <w:tc>
          <w:tcPr>
            <w:tcW w:w="1401" w:type="dxa"/>
            <w:vMerge w:val="continue"/>
            <w:noWrap w:val="0"/>
            <w:vAlign w:val="center"/>
          </w:tcPr>
          <w:p w14:paraId="4303BBCD">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7BF0774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1679012D">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6.支持办案室视频分拨调度功能，为满足办案监督、观摩需求，可通过接入分布式调度系统，将办案音视频流分发其他管理区显示系统；</w:t>
            </w:r>
          </w:p>
        </w:tc>
        <w:tc>
          <w:tcPr>
            <w:tcW w:w="875" w:type="dxa"/>
            <w:noWrap w:val="0"/>
            <w:vAlign w:val="center"/>
          </w:tcPr>
          <w:p w14:paraId="6F7A5721">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无变化</w:t>
            </w:r>
          </w:p>
        </w:tc>
        <w:tc>
          <w:tcPr>
            <w:tcW w:w="785" w:type="dxa"/>
            <w:vMerge w:val="continue"/>
            <w:noWrap w:val="0"/>
            <w:vAlign w:val="center"/>
          </w:tcPr>
          <w:p w14:paraId="04925859">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23335138">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352CEC54">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0EF29705">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07FC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jc w:val="center"/>
        </w:trPr>
        <w:tc>
          <w:tcPr>
            <w:tcW w:w="469" w:type="dxa"/>
            <w:vMerge w:val="continue"/>
            <w:noWrap w:val="0"/>
            <w:vAlign w:val="center"/>
          </w:tcPr>
          <w:p w14:paraId="58A4B019">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69B091D5">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7012499C">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7AB358D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7.支持办案区设备故障维修报单，办公人员可通过检务通APP自助填报办案区设备故障申报，故障信息将通过运维平台推送至设备管理部门。</w:t>
            </w:r>
          </w:p>
        </w:tc>
        <w:tc>
          <w:tcPr>
            <w:tcW w:w="1401" w:type="dxa"/>
            <w:vMerge w:val="continue"/>
            <w:noWrap w:val="0"/>
            <w:vAlign w:val="center"/>
          </w:tcPr>
          <w:p w14:paraId="5A5CA8F5">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787EFE4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57C466C5">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7.支持办案区设备故障维修报单，办公人员可通过泛微OA办公平台自助填报办案区设备故障申报，故障信息将通过运维平台推送至设备管理部门；</w:t>
            </w:r>
          </w:p>
        </w:tc>
        <w:tc>
          <w:tcPr>
            <w:tcW w:w="875" w:type="dxa"/>
            <w:noWrap w:val="0"/>
            <w:vAlign w:val="center"/>
          </w:tcPr>
          <w:p w14:paraId="268B0F0C">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w:t>
            </w:r>
            <w:r>
              <w:rPr>
                <w:rFonts w:hint="eastAsia" w:ascii="宋体" w:hAnsi="宋体" w:eastAsia="宋体" w:cs="宋体"/>
                <w:sz w:val="22"/>
                <w:szCs w:val="22"/>
                <w:lang w:val="en-US" w:eastAsia="zh-CN"/>
              </w:rPr>
              <w:t>市检泛微OA办公平台</w:t>
            </w:r>
          </w:p>
        </w:tc>
        <w:tc>
          <w:tcPr>
            <w:tcW w:w="785" w:type="dxa"/>
            <w:vMerge w:val="continue"/>
            <w:noWrap w:val="0"/>
            <w:vAlign w:val="center"/>
          </w:tcPr>
          <w:p w14:paraId="2D86B990">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047C30B3">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1A2ECB27">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09598AA1">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3325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469" w:type="dxa"/>
            <w:vMerge w:val="continue"/>
            <w:noWrap w:val="0"/>
            <w:vAlign w:val="center"/>
          </w:tcPr>
          <w:p w14:paraId="2AC94137">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774" w:type="dxa"/>
            <w:vMerge w:val="continue"/>
            <w:shd w:val="clear" w:color="auto" w:fill="auto"/>
            <w:noWrap w:val="0"/>
            <w:vAlign w:val="center"/>
          </w:tcPr>
          <w:p w14:paraId="2A738766">
            <w:pPr>
              <w:pStyle w:val="7"/>
              <w:snapToGrid w:val="0"/>
              <w:ind w:left="0" w:leftChars="0" w:right="0" w:rightChars="0" w:firstLine="0" w:firstLineChars="0"/>
              <w:jc w:val="left"/>
              <w:rPr>
                <w:rFonts w:hint="eastAsia" w:ascii="宋体" w:hAnsi="宋体" w:eastAsia="宋体" w:cs="宋体"/>
                <w:sz w:val="22"/>
                <w:szCs w:val="24"/>
                <w:lang w:val="en-US" w:eastAsia="zh-CN"/>
              </w:rPr>
            </w:pPr>
          </w:p>
        </w:tc>
        <w:tc>
          <w:tcPr>
            <w:tcW w:w="647" w:type="dxa"/>
            <w:vMerge w:val="continue"/>
            <w:noWrap w:val="0"/>
            <w:vAlign w:val="center"/>
          </w:tcPr>
          <w:p w14:paraId="4C36DE78">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3127" w:type="dxa"/>
            <w:noWrap w:val="0"/>
            <w:vAlign w:val="center"/>
          </w:tcPr>
          <w:p w14:paraId="5D128C3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w:t>
            </w:r>
          </w:p>
        </w:tc>
        <w:tc>
          <w:tcPr>
            <w:tcW w:w="1401" w:type="dxa"/>
            <w:vMerge w:val="continue"/>
            <w:noWrap w:val="0"/>
            <w:vAlign w:val="center"/>
          </w:tcPr>
          <w:p w14:paraId="2E23621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sz w:val="22"/>
                <w:szCs w:val="22"/>
                <w:lang w:val="en-US" w:eastAsia="zh-CN"/>
              </w:rPr>
            </w:pPr>
          </w:p>
        </w:tc>
        <w:tc>
          <w:tcPr>
            <w:tcW w:w="1371" w:type="dxa"/>
            <w:vMerge w:val="continue"/>
            <w:noWrap w:val="0"/>
            <w:vAlign w:val="center"/>
          </w:tcPr>
          <w:p w14:paraId="69C28332">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sz w:val="22"/>
                <w:szCs w:val="22"/>
                <w:lang w:val="en-US" w:eastAsia="zh-CN"/>
              </w:rPr>
            </w:pPr>
          </w:p>
        </w:tc>
        <w:tc>
          <w:tcPr>
            <w:tcW w:w="2725" w:type="dxa"/>
            <w:noWrap w:val="0"/>
            <w:vAlign w:val="center"/>
          </w:tcPr>
          <w:p w14:paraId="435D75ED">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8.支持管理后台故障工单管理，可显示故障报单列表，报单总数，未处理工单，工单在线处理。</w:t>
            </w:r>
          </w:p>
        </w:tc>
        <w:tc>
          <w:tcPr>
            <w:tcW w:w="875" w:type="dxa"/>
            <w:noWrap w:val="0"/>
            <w:vAlign w:val="center"/>
          </w:tcPr>
          <w:p w14:paraId="547C772F">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调整市检泛微OA办公平台后增加需求</w:t>
            </w:r>
          </w:p>
        </w:tc>
        <w:tc>
          <w:tcPr>
            <w:tcW w:w="785" w:type="dxa"/>
            <w:vMerge w:val="continue"/>
            <w:noWrap w:val="0"/>
            <w:vAlign w:val="center"/>
          </w:tcPr>
          <w:p w14:paraId="3867D6B5">
            <w:pPr>
              <w:pStyle w:val="7"/>
              <w:snapToGrid w:val="0"/>
              <w:ind w:left="0" w:leftChars="0" w:right="0" w:rightChars="0" w:firstLine="0" w:firstLineChars="0"/>
              <w:jc w:val="center"/>
              <w:rPr>
                <w:rFonts w:hint="eastAsia" w:ascii="宋体" w:hAnsi="宋体" w:eastAsia="宋体" w:cs="宋体"/>
                <w:sz w:val="22"/>
                <w:szCs w:val="24"/>
                <w:lang w:val="en-US" w:eastAsia="zh-CN"/>
              </w:rPr>
            </w:pPr>
          </w:p>
        </w:tc>
        <w:tc>
          <w:tcPr>
            <w:tcW w:w="1410" w:type="dxa"/>
            <w:vMerge w:val="continue"/>
            <w:noWrap w:val="0"/>
            <w:vAlign w:val="center"/>
          </w:tcPr>
          <w:p w14:paraId="0DF6E6B6">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7541D9E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5B2D0E85">
            <w:pPr>
              <w:pStyle w:val="7"/>
              <w:snapToGrid w:val="0"/>
              <w:ind w:left="0" w:leftChars="0" w:right="0" w:rightChars="0" w:firstLine="0" w:firstLineChars="0"/>
              <w:jc w:val="center"/>
              <w:rPr>
                <w:rFonts w:hint="eastAsia" w:ascii="宋体" w:hAnsi="宋体" w:eastAsia="宋体" w:cs="宋体"/>
                <w:sz w:val="22"/>
                <w:szCs w:val="24"/>
                <w:lang w:val="en-US" w:eastAsia="zh-CN"/>
              </w:rPr>
            </w:pPr>
          </w:p>
        </w:tc>
      </w:tr>
      <w:tr w14:paraId="5086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69" w:type="dxa"/>
            <w:noWrap w:val="0"/>
            <w:vAlign w:val="center"/>
          </w:tcPr>
          <w:p w14:paraId="75A11B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2</w:t>
            </w:r>
          </w:p>
        </w:tc>
        <w:tc>
          <w:tcPr>
            <w:tcW w:w="774" w:type="dxa"/>
            <w:noWrap w:val="0"/>
            <w:vAlign w:val="center"/>
          </w:tcPr>
          <w:p w14:paraId="17F5F53C">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便捷通行</w:t>
            </w:r>
          </w:p>
        </w:tc>
        <w:tc>
          <w:tcPr>
            <w:tcW w:w="647" w:type="dxa"/>
            <w:noWrap w:val="0"/>
            <w:vAlign w:val="center"/>
          </w:tcPr>
          <w:p w14:paraId="0B9920F7">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金政</w:t>
            </w:r>
          </w:p>
        </w:tc>
        <w:tc>
          <w:tcPr>
            <w:tcW w:w="3127" w:type="dxa"/>
            <w:noWrap w:val="0"/>
            <w:vAlign w:val="center"/>
          </w:tcPr>
          <w:p w14:paraId="62156AD4">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6.支持内部访客邀约，通过检务通APP，工作人员可自主发起访客邀约，填报来访人员信息并将邀约信息同步至门岗管理端，安保人员验证来访人员信息放行。</w:t>
            </w:r>
          </w:p>
        </w:tc>
        <w:tc>
          <w:tcPr>
            <w:tcW w:w="1401" w:type="dxa"/>
            <w:noWrap w:val="0"/>
            <w:vAlign w:val="center"/>
          </w:tcPr>
          <w:p w14:paraId="56CE50BC">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3,500.00</w:t>
            </w:r>
          </w:p>
        </w:tc>
        <w:tc>
          <w:tcPr>
            <w:tcW w:w="1371" w:type="dxa"/>
            <w:noWrap w:val="0"/>
            <w:vAlign w:val="center"/>
          </w:tcPr>
          <w:p w14:paraId="649E24A2">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3,500.00</w:t>
            </w:r>
          </w:p>
        </w:tc>
        <w:tc>
          <w:tcPr>
            <w:tcW w:w="2725" w:type="dxa"/>
            <w:noWrap w:val="0"/>
            <w:vAlign w:val="center"/>
          </w:tcPr>
          <w:p w14:paraId="1B1D51FE">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支持内部访客邀约，在工作网泛微OA办公平台提供物联网管控平台登陆入口，进入访客邀约功能；工作人员可自主发起访客邀约，根据登陆账号，自动带入邀请人信息，填写来访人员姓名，手机号，身份证号，车牌号信息，来访事由，来访时间等提交后生成一条访客邀请记录。</w:t>
            </w:r>
          </w:p>
        </w:tc>
        <w:tc>
          <w:tcPr>
            <w:tcW w:w="875" w:type="dxa"/>
            <w:noWrap w:val="0"/>
            <w:vAlign w:val="center"/>
          </w:tcPr>
          <w:p w14:paraId="6C679925">
            <w:pPr>
              <w:pStyle w:val="7"/>
              <w:snapToGrid w:val="0"/>
              <w:ind w:left="0" w:leftChars="0" w:right="0" w:rightChars="0" w:firstLine="0" w:firstLineChars="0"/>
              <w:jc w:val="center"/>
              <w:rPr>
                <w:rFonts w:hint="eastAsia" w:ascii="宋体" w:hAnsi="宋体" w:eastAsia="宋体" w:cs="宋体"/>
                <w:sz w:val="22"/>
                <w:szCs w:val="24"/>
                <w:lang w:val="en-US" w:eastAsia="zh-CN"/>
              </w:rPr>
            </w:pPr>
            <w:r>
              <w:rPr>
                <w:rFonts w:hint="eastAsia" w:ascii="宋体" w:hAnsi="宋体" w:eastAsia="宋体" w:cs="宋体"/>
                <w:sz w:val="22"/>
                <w:szCs w:val="24"/>
                <w:lang w:val="en-US" w:eastAsia="zh-CN"/>
              </w:rPr>
              <w:t>调整市检泛微OA办公平台后增加需求</w:t>
            </w:r>
          </w:p>
        </w:tc>
        <w:tc>
          <w:tcPr>
            <w:tcW w:w="785" w:type="dxa"/>
            <w:noWrap w:val="0"/>
            <w:vAlign w:val="center"/>
          </w:tcPr>
          <w:p w14:paraId="5E115FC1">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sz w:val="22"/>
                <w:szCs w:val="22"/>
                <w:lang w:val="en-US" w:eastAsia="zh-CN"/>
              </w:rPr>
            </w:pPr>
            <w:r>
              <w:rPr>
                <w:rFonts w:hint="eastAsia" w:ascii="宋体" w:hAnsi="宋体" w:eastAsia="宋体" w:cs="宋体"/>
                <w:i w:val="0"/>
                <w:iCs w:val="0"/>
                <w:color w:val="000000"/>
                <w:kern w:val="0"/>
                <w:sz w:val="22"/>
                <w:szCs w:val="24"/>
                <w:u w:val="none"/>
                <w:lang w:val="en-US" w:eastAsia="zh-CN" w:bidi="ar"/>
              </w:rPr>
              <w:t>1项</w:t>
            </w:r>
          </w:p>
        </w:tc>
        <w:tc>
          <w:tcPr>
            <w:tcW w:w="1410" w:type="dxa"/>
            <w:noWrap w:val="0"/>
            <w:vAlign w:val="center"/>
          </w:tcPr>
          <w:p w14:paraId="47D1A62F">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16,000.00</w:t>
            </w:r>
          </w:p>
        </w:tc>
        <w:tc>
          <w:tcPr>
            <w:tcW w:w="1361" w:type="dxa"/>
            <w:noWrap w:val="0"/>
            <w:vAlign w:val="center"/>
          </w:tcPr>
          <w:p w14:paraId="22DDD444">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16,000.00</w:t>
            </w:r>
          </w:p>
        </w:tc>
        <w:tc>
          <w:tcPr>
            <w:tcW w:w="804" w:type="dxa"/>
            <w:noWrap w:val="0"/>
            <w:vAlign w:val="center"/>
          </w:tcPr>
          <w:p w14:paraId="6077D8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p>
        </w:tc>
      </w:tr>
      <w:tr w14:paraId="2739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69" w:type="dxa"/>
            <w:vMerge w:val="restart"/>
            <w:noWrap w:val="0"/>
            <w:vAlign w:val="center"/>
          </w:tcPr>
          <w:p w14:paraId="7B8B8F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r>
              <w:rPr>
                <w:rFonts w:hint="eastAsia" w:ascii="宋体" w:hAnsi="宋体" w:eastAsia="宋体" w:cs="宋体"/>
                <w:i w:val="0"/>
                <w:iCs w:val="0"/>
                <w:color w:val="000000"/>
                <w:kern w:val="0"/>
                <w:sz w:val="22"/>
                <w:szCs w:val="24"/>
                <w:u w:val="none"/>
                <w:lang w:val="en-US" w:eastAsia="zh-CN" w:bidi="ar"/>
              </w:rPr>
              <w:t>3</w:t>
            </w:r>
          </w:p>
        </w:tc>
        <w:tc>
          <w:tcPr>
            <w:tcW w:w="774" w:type="dxa"/>
            <w:vMerge w:val="restart"/>
            <w:noWrap w:val="0"/>
            <w:vAlign w:val="center"/>
          </w:tcPr>
          <w:p w14:paraId="596338B3">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语音程控电话系统接入</w:t>
            </w:r>
          </w:p>
        </w:tc>
        <w:tc>
          <w:tcPr>
            <w:tcW w:w="647" w:type="dxa"/>
            <w:vMerge w:val="restart"/>
            <w:noWrap w:val="0"/>
            <w:vAlign w:val="center"/>
          </w:tcPr>
          <w:p w14:paraId="7B45C860">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金证</w:t>
            </w:r>
          </w:p>
        </w:tc>
        <w:tc>
          <w:tcPr>
            <w:tcW w:w="3127" w:type="dxa"/>
            <w:noWrap w:val="0"/>
            <w:vAlign w:val="center"/>
          </w:tcPr>
          <w:p w14:paraId="5AF047FB">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型号：定制开发</w:t>
            </w:r>
          </w:p>
        </w:tc>
        <w:tc>
          <w:tcPr>
            <w:tcW w:w="1401" w:type="dxa"/>
            <w:vMerge w:val="restart"/>
            <w:noWrap w:val="0"/>
            <w:vAlign w:val="center"/>
          </w:tcPr>
          <w:p w14:paraId="33727696">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12,500.00</w:t>
            </w:r>
          </w:p>
        </w:tc>
        <w:tc>
          <w:tcPr>
            <w:tcW w:w="1371" w:type="dxa"/>
            <w:vMerge w:val="restart"/>
            <w:noWrap w:val="0"/>
            <w:vAlign w:val="center"/>
          </w:tcPr>
          <w:p w14:paraId="75A7CE96">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12,500.00</w:t>
            </w:r>
          </w:p>
        </w:tc>
        <w:tc>
          <w:tcPr>
            <w:tcW w:w="2725" w:type="dxa"/>
            <w:noWrap w:val="0"/>
            <w:vAlign w:val="center"/>
          </w:tcPr>
          <w:p w14:paraId="19E45558">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型号：定制开发</w:t>
            </w:r>
          </w:p>
        </w:tc>
        <w:tc>
          <w:tcPr>
            <w:tcW w:w="875" w:type="dxa"/>
            <w:vMerge w:val="restart"/>
            <w:noWrap w:val="0"/>
            <w:vAlign w:val="center"/>
          </w:tcPr>
          <w:p w14:paraId="228A4D75">
            <w:pPr>
              <w:pStyle w:val="7"/>
              <w:snapToGrid w:val="0"/>
              <w:ind w:left="0" w:leftChars="0" w:right="0" w:rightChars="0" w:firstLine="0" w:firstLineChars="0"/>
              <w:jc w:val="center"/>
              <w:rPr>
                <w:rFonts w:hint="eastAsia" w:ascii="宋体" w:hAnsi="宋体" w:eastAsia="宋体" w:cs="宋体"/>
                <w:sz w:val="22"/>
                <w:szCs w:val="22"/>
                <w:lang w:val="en-US" w:eastAsia="zh-CN"/>
              </w:rPr>
            </w:pPr>
            <w:r>
              <w:rPr>
                <w:rFonts w:hint="eastAsia" w:ascii="宋体" w:hAnsi="宋体" w:eastAsia="宋体" w:cs="宋体"/>
                <w:sz w:val="22"/>
                <w:szCs w:val="24"/>
                <w:lang w:val="en-US" w:eastAsia="zh-CN"/>
              </w:rPr>
              <w:t>现场环境调整使用需求</w:t>
            </w:r>
          </w:p>
        </w:tc>
        <w:tc>
          <w:tcPr>
            <w:tcW w:w="785" w:type="dxa"/>
            <w:vMerge w:val="restart"/>
            <w:noWrap w:val="0"/>
            <w:vAlign w:val="center"/>
          </w:tcPr>
          <w:p w14:paraId="1797CFE2">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1项</w:t>
            </w:r>
          </w:p>
        </w:tc>
        <w:tc>
          <w:tcPr>
            <w:tcW w:w="1410" w:type="dxa"/>
            <w:vMerge w:val="restart"/>
            <w:noWrap w:val="0"/>
            <w:vAlign w:val="center"/>
          </w:tcPr>
          <w:p w14:paraId="0BB8F78A">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11,500.00</w:t>
            </w:r>
          </w:p>
        </w:tc>
        <w:tc>
          <w:tcPr>
            <w:tcW w:w="1361" w:type="dxa"/>
            <w:vMerge w:val="restart"/>
            <w:noWrap w:val="0"/>
            <w:vAlign w:val="center"/>
          </w:tcPr>
          <w:p w14:paraId="04D38D8F">
            <w:pPr>
              <w:keepNext w:val="0"/>
              <w:keepLines w:val="0"/>
              <w:pageBreakBefore w:val="0"/>
              <w:widowControl/>
              <w:suppressLineNumbers w:val="0"/>
              <w:kinsoku/>
              <w:wordWrap w:val="0"/>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11,500.00</w:t>
            </w:r>
          </w:p>
        </w:tc>
        <w:tc>
          <w:tcPr>
            <w:tcW w:w="804" w:type="dxa"/>
            <w:vMerge w:val="restart"/>
            <w:noWrap w:val="0"/>
            <w:vAlign w:val="center"/>
          </w:tcPr>
          <w:p w14:paraId="79F0C7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4"/>
                <w:u w:val="none"/>
                <w:lang w:val="en-US" w:eastAsia="zh-CN" w:bidi="ar"/>
              </w:rPr>
            </w:pPr>
          </w:p>
        </w:tc>
      </w:tr>
      <w:tr w14:paraId="25F3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9" w:type="dxa"/>
            <w:vMerge w:val="continue"/>
            <w:noWrap w:val="0"/>
            <w:vAlign w:val="center"/>
          </w:tcPr>
          <w:p w14:paraId="026E3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rPr>
            </w:pPr>
          </w:p>
        </w:tc>
        <w:tc>
          <w:tcPr>
            <w:tcW w:w="774" w:type="dxa"/>
            <w:vMerge w:val="continue"/>
            <w:noWrap w:val="0"/>
            <w:vAlign w:val="center"/>
          </w:tcPr>
          <w:p w14:paraId="40AFEE53">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647" w:type="dxa"/>
            <w:vMerge w:val="continue"/>
            <w:noWrap w:val="0"/>
            <w:vAlign w:val="center"/>
          </w:tcPr>
          <w:p w14:paraId="0398C686">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3127" w:type="dxa"/>
            <w:noWrap w:val="0"/>
            <w:vAlign w:val="center"/>
          </w:tcPr>
          <w:p w14:paraId="663DFD3C">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基于语音程控电话系统开放接口或提供sdk或提供协议规约等资料，完成数据、功能对接，实现物联应用相关功能要求；</w:t>
            </w:r>
          </w:p>
          <w:p w14:paraId="6805352A">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p w14:paraId="3B2BAC26">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2.实现组网电话交换机IP、语音网关和话机IP等信息。</w:t>
            </w:r>
          </w:p>
        </w:tc>
        <w:tc>
          <w:tcPr>
            <w:tcW w:w="1401" w:type="dxa"/>
            <w:vMerge w:val="continue"/>
            <w:noWrap w:val="0"/>
            <w:vAlign w:val="center"/>
          </w:tcPr>
          <w:p w14:paraId="40402D77">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71" w:type="dxa"/>
            <w:vMerge w:val="continue"/>
            <w:noWrap w:val="0"/>
            <w:vAlign w:val="center"/>
          </w:tcPr>
          <w:p w14:paraId="0C527A81">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2725" w:type="dxa"/>
            <w:noWrap w:val="0"/>
            <w:vAlign w:val="center"/>
          </w:tcPr>
          <w:p w14:paraId="65DE0921">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1.基于语音程控电话系统开放接口或提供sdk或提供  协议规约等资料，完成数据、功能对接，实现物联应 用相关功能要求；</w:t>
            </w:r>
          </w:p>
          <w:p w14:paraId="763135DD">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2.实现对接拉取语音程控电话系统内所有通话记录，展示始话时间，通话时长，主叫号码，内线号码等信息列表，可用于溯源通话记录。</w:t>
            </w:r>
          </w:p>
        </w:tc>
        <w:tc>
          <w:tcPr>
            <w:tcW w:w="875" w:type="dxa"/>
            <w:vMerge w:val="continue"/>
            <w:noWrap w:val="0"/>
            <w:vAlign w:val="center"/>
          </w:tcPr>
          <w:p w14:paraId="59B440CE">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785" w:type="dxa"/>
            <w:vMerge w:val="continue"/>
            <w:noWrap w:val="0"/>
            <w:vAlign w:val="center"/>
          </w:tcPr>
          <w:p w14:paraId="422FD9BC">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410" w:type="dxa"/>
            <w:vMerge w:val="continue"/>
            <w:noWrap w:val="0"/>
            <w:vAlign w:val="center"/>
          </w:tcPr>
          <w:p w14:paraId="495E0A22">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1361" w:type="dxa"/>
            <w:vMerge w:val="continue"/>
            <w:noWrap w:val="0"/>
            <w:vAlign w:val="center"/>
          </w:tcPr>
          <w:p w14:paraId="0F5AA946">
            <w:pPr>
              <w:keepNext w:val="0"/>
              <w:keepLines w:val="0"/>
              <w:pageBreakBefore w:val="0"/>
              <w:widowControl/>
              <w:suppressLineNumbers w:val="0"/>
              <w:kinsoku/>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sz w:val="22"/>
                <w:szCs w:val="22"/>
                <w:lang w:val="en-US" w:eastAsia="zh-CN"/>
              </w:rPr>
            </w:pPr>
          </w:p>
        </w:tc>
        <w:tc>
          <w:tcPr>
            <w:tcW w:w="804" w:type="dxa"/>
            <w:vMerge w:val="continue"/>
            <w:noWrap w:val="0"/>
            <w:vAlign w:val="center"/>
          </w:tcPr>
          <w:p w14:paraId="11446C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p>
        </w:tc>
      </w:tr>
      <w:tr w14:paraId="1E815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469" w:type="dxa"/>
            <w:noWrap w:val="0"/>
            <w:vAlign w:val="center"/>
          </w:tcPr>
          <w:p w14:paraId="7A0F7A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r>
              <w:rPr>
                <w:rFonts w:hint="eastAsia" w:ascii="宋体" w:hAnsi="宋体" w:eastAsia="宋体" w:cs="宋体"/>
                <w:sz w:val="22"/>
                <w:szCs w:val="24"/>
                <w:u w:val="none"/>
                <w:lang w:val="en-US" w:eastAsia="zh-CN"/>
              </w:rPr>
              <w:t>4</w:t>
            </w:r>
          </w:p>
        </w:tc>
        <w:tc>
          <w:tcPr>
            <w:tcW w:w="774" w:type="dxa"/>
            <w:noWrap w:val="0"/>
            <w:vAlign w:val="center"/>
          </w:tcPr>
          <w:p w14:paraId="49FD18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r>
              <w:rPr>
                <w:rFonts w:hint="eastAsia" w:ascii="宋体" w:hAnsi="宋体" w:eastAsia="宋体" w:cs="宋体"/>
                <w:sz w:val="22"/>
                <w:szCs w:val="24"/>
                <w:u w:val="none"/>
                <w:lang w:val="en-US" w:eastAsia="zh-CN"/>
              </w:rPr>
              <w:t>合计</w:t>
            </w:r>
          </w:p>
        </w:tc>
        <w:tc>
          <w:tcPr>
            <w:tcW w:w="5175" w:type="dxa"/>
            <w:gridSpan w:val="3"/>
            <w:noWrap w:val="0"/>
            <w:vAlign w:val="center"/>
          </w:tcPr>
          <w:p w14:paraId="6B8AED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p>
        </w:tc>
        <w:tc>
          <w:tcPr>
            <w:tcW w:w="1371" w:type="dxa"/>
            <w:noWrap w:val="0"/>
            <w:vAlign w:val="center"/>
          </w:tcPr>
          <w:p w14:paraId="2EFEB9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r>
              <w:rPr>
                <w:rFonts w:hint="eastAsia" w:ascii="宋体" w:hAnsi="宋体" w:eastAsia="宋体" w:cs="宋体"/>
                <w:sz w:val="22"/>
                <w:szCs w:val="24"/>
                <w:u w:val="none"/>
                <w:lang w:val="en-US" w:eastAsia="zh-CN"/>
              </w:rPr>
              <w:t>150,000.00</w:t>
            </w:r>
          </w:p>
        </w:tc>
        <w:tc>
          <w:tcPr>
            <w:tcW w:w="5795" w:type="dxa"/>
            <w:gridSpan w:val="4"/>
            <w:noWrap w:val="0"/>
            <w:vAlign w:val="center"/>
          </w:tcPr>
          <w:p w14:paraId="3F36FE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p>
        </w:tc>
        <w:tc>
          <w:tcPr>
            <w:tcW w:w="1361" w:type="dxa"/>
            <w:noWrap w:val="0"/>
            <w:vAlign w:val="center"/>
          </w:tcPr>
          <w:p w14:paraId="4E31C9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r>
              <w:rPr>
                <w:rFonts w:hint="eastAsia" w:ascii="宋体" w:hAnsi="宋体" w:eastAsia="宋体" w:cs="宋体"/>
                <w:sz w:val="22"/>
                <w:szCs w:val="24"/>
                <w:u w:val="none"/>
                <w:lang w:val="en-US" w:eastAsia="zh-CN"/>
              </w:rPr>
              <w:t>162,000.00</w:t>
            </w:r>
          </w:p>
        </w:tc>
        <w:tc>
          <w:tcPr>
            <w:tcW w:w="804" w:type="dxa"/>
            <w:noWrap w:val="0"/>
            <w:vAlign w:val="center"/>
          </w:tcPr>
          <w:p w14:paraId="6ADBF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sz w:val="22"/>
                <w:szCs w:val="24"/>
                <w:u w:val="none"/>
                <w:lang w:val="en-US" w:eastAsia="zh-CN"/>
              </w:rPr>
            </w:pPr>
          </w:p>
        </w:tc>
      </w:tr>
      <w:tr w14:paraId="5B3A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5749" w:type="dxa"/>
            <w:gridSpan w:val="12"/>
            <w:noWrap w:val="0"/>
            <w:vAlign w:val="center"/>
          </w:tcPr>
          <w:p w14:paraId="522A20B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2"/>
                <w:szCs w:val="24"/>
                <w:u w:val="none"/>
                <w:lang w:val="en-US" w:eastAsia="zh-CN"/>
              </w:rPr>
            </w:pPr>
            <w:r>
              <w:rPr>
                <w:rFonts w:hint="eastAsia" w:ascii="宋体" w:hAnsi="宋体" w:eastAsia="宋体" w:cs="宋体"/>
                <w:i w:val="0"/>
                <w:iCs w:val="0"/>
                <w:color w:val="000000"/>
                <w:kern w:val="0"/>
                <w:sz w:val="20"/>
                <w:szCs w:val="20"/>
                <w:u w:val="none"/>
                <w:lang w:val="en-US" w:eastAsia="zh-CN" w:bidi="ar"/>
              </w:rPr>
              <w:t>变更合计核增¥12,000.00元（根据概算批复、招投标文件、项目合同和第三方造价进行计价最终以财政结算和审计为准）</w:t>
            </w:r>
          </w:p>
        </w:tc>
      </w:tr>
    </w:tbl>
    <w:p w14:paraId="5354C8B3">
      <w:pPr>
        <w:pStyle w:val="3"/>
      </w:pPr>
    </w:p>
    <w:sectPr>
      <w:pgSz w:w="16838" w:h="11906" w:orient="landscape"/>
      <w:pgMar w:top="1797" w:right="1440" w:bottom="1797" w:left="1440"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77B82">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C9218F">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C9218F">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4"/>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4489"/>
        </w:tabs>
        <w:ind w:left="448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0CC"/>
    <w:rsid w:val="000920CC"/>
    <w:rsid w:val="00216F43"/>
    <w:rsid w:val="00284913"/>
    <w:rsid w:val="00364974"/>
    <w:rsid w:val="003D65E7"/>
    <w:rsid w:val="004D343A"/>
    <w:rsid w:val="00536572"/>
    <w:rsid w:val="005F3AC2"/>
    <w:rsid w:val="006A1D62"/>
    <w:rsid w:val="00711792"/>
    <w:rsid w:val="00842104"/>
    <w:rsid w:val="009C66C3"/>
    <w:rsid w:val="00A3514B"/>
    <w:rsid w:val="00B0527C"/>
    <w:rsid w:val="00C5538D"/>
    <w:rsid w:val="00C823C4"/>
    <w:rsid w:val="00F20918"/>
    <w:rsid w:val="0129324E"/>
    <w:rsid w:val="02B7624C"/>
    <w:rsid w:val="04D47DB0"/>
    <w:rsid w:val="05B1678E"/>
    <w:rsid w:val="05C649F8"/>
    <w:rsid w:val="05FC2B5D"/>
    <w:rsid w:val="07594381"/>
    <w:rsid w:val="09B90AFC"/>
    <w:rsid w:val="0AAF1EFF"/>
    <w:rsid w:val="0C680488"/>
    <w:rsid w:val="0CCF0636"/>
    <w:rsid w:val="0D197B03"/>
    <w:rsid w:val="0EC56195"/>
    <w:rsid w:val="0EF425D6"/>
    <w:rsid w:val="0FDE5F55"/>
    <w:rsid w:val="133E02C4"/>
    <w:rsid w:val="13E76BAD"/>
    <w:rsid w:val="149C7998"/>
    <w:rsid w:val="1A5B79AD"/>
    <w:rsid w:val="1A841FB2"/>
    <w:rsid w:val="1AB53561"/>
    <w:rsid w:val="1B3A75C2"/>
    <w:rsid w:val="1C7D1E5D"/>
    <w:rsid w:val="1C7D2C5C"/>
    <w:rsid w:val="1CEF02A3"/>
    <w:rsid w:val="1D0936F0"/>
    <w:rsid w:val="1EF86F70"/>
    <w:rsid w:val="22D83073"/>
    <w:rsid w:val="22E530B9"/>
    <w:rsid w:val="245E07C6"/>
    <w:rsid w:val="24833D88"/>
    <w:rsid w:val="24FF61F3"/>
    <w:rsid w:val="25BA5ED0"/>
    <w:rsid w:val="25BA7C7E"/>
    <w:rsid w:val="27D64D54"/>
    <w:rsid w:val="28966C30"/>
    <w:rsid w:val="29E76B67"/>
    <w:rsid w:val="2A4A4C35"/>
    <w:rsid w:val="2B710DDE"/>
    <w:rsid w:val="2CEB4BC0"/>
    <w:rsid w:val="2D5E5392"/>
    <w:rsid w:val="2F503401"/>
    <w:rsid w:val="312F7A95"/>
    <w:rsid w:val="31D04385"/>
    <w:rsid w:val="31E340B8"/>
    <w:rsid w:val="31E71DFA"/>
    <w:rsid w:val="362D624A"/>
    <w:rsid w:val="38163439"/>
    <w:rsid w:val="3B2714BA"/>
    <w:rsid w:val="3B7261A2"/>
    <w:rsid w:val="3B7A5A8D"/>
    <w:rsid w:val="3D3954D4"/>
    <w:rsid w:val="3D465FE4"/>
    <w:rsid w:val="3DC41242"/>
    <w:rsid w:val="3EBC016B"/>
    <w:rsid w:val="42073DF3"/>
    <w:rsid w:val="42497F67"/>
    <w:rsid w:val="425A3F23"/>
    <w:rsid w:val="426C3C56"/>
    <w:rsid w:val="42864D18"/>
    <w:rsid w:val="43315D2E"/>
    <w:rsid w:val="43F24CD3"/>
    <w:rsid w:val="4424323B"/>
    <w:rsid w:val="456F2099"/>
    <w:rsid w:val="477517FF"/>
    <w:rsid w:val="49AD5280"/>
    <w:rsid w:val="49F44C5D"/>
    <w:rsid w:val="4A5E657A"/>
    <w:rsid w:val="4AC44CED"/>
    <w:rsid w:val="4B315A3D"/>
    <w:rsid w:val="50C7131D"/>
    <w:rsid w:val="51DC4954"/>
    <w:rsid w:val="51E1640E"/>
    <w:rsid w:val="52233691"/>
    <w:rsid w:val="52D6754D"/>
    <w:rsid w:val="54322F51"/>
    <w:rsid w:val="557078E0"/>
    <w:rsid w:val="56707BDA"/>
    <w:rsid w:val="587651AC"/>
    <w:rsid w:val="593E05AC"/>
    <w:rsid w:val="5B4F263B"/>
    <w:rsid w:val="5EB66137"/>
    <w:rsid w:val="5EC200EC"/>
    <w:rsid w:val="5FE175D9"/>
    <w:rsid w:val="601C6864"/>
    <w:rsid w:val="60457B68"/>
    <w:rsid w:val="60795603"/>
    <w:rsid w:val="6199445E"/>
    <w:rsid w:val="62B17737"/>
    <w:rsid w:val="66C739CD"/>
    <w:rsid w:val="671169F6"/>
    <w:rsid w:val="679A4C3E"/>
    <w:rsid w:val="68986436"/>
    <w:rsid w:val="68A815DC"/>
    <w:rsid w:val="68D91796"/>
    <w:rsid w:val="69EA1429"/>
    <w:rsid w:val="6A6D03E7"/>
    <w:rsid w:val="6B2A0087"/>
    <w:rsid w:val="6B39651C"/>
    <w:rsid w:val="6C3B7737"/>
    <w:rsid w:val="6D0D1A0E"/>
    <w:rsid w:val="6D692B4D"/>
    <w:rsid w:val="6E3D4575"/>
    <w:rsid w:val="6F2E3EBD"/>
    <w:rsid w:val="6F3328CC"/>
    <w:rsid w:val="709D754D"/>
    <w:rsid w:val="71467BE4"/>
    <w:rsid w:val="71CE7AE7"/>
    <w:rsid w:val="72B03567"/>
    <w:rsid w:val="73591E51"/>
    <w:rsid w:val="73B70925"/>
    <w:rsid w:val="77DE1015"/>
    <w:rsid w:val="78397B5B"/>
    <w:rsid w:val="792A1B99"/>
    <w:rsid w:val="79B316D5"/>
    <w:rsid w:val="7B2D4407"/>
    <w:rsid w:val="7B51340D"/>
    <w:rsid w:val="7CEF2EDE"/>
    <w:rsid w:val="7DF52776"/>
    <w:rsid w:val="7F5636E8"/>
    <w:rsid w:val="7F7F2C3F"/>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6"/>
    <w:qFormat/>
    <w:uiPriority w:val="0"/>
    <w:pPr>
      <w:keepNext/>
      <w:keepLines/>
      <w:numPr>
        <w:ilvl w:val="0"/>
        <w:numId w:val="1"/>
      </w:numPr>
      <w:spacing w:before="340" w:after="330" w:line="578" w:lineRule="auto"/>
      <w:outlineLvl w:val="0"/>
    </w:pPr>
    <w:rPr>
      <w:rFonts w:ascii="Times New Roman" w:hAnsi="Times New Roman" w:eastAsia="宋体" w:cs="Times New Roman"/>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customStyle="1" w:styleId="3">
    <w:name w:val="正文内容格式"/>
    <w:qFormat/>
    <w:uiPriority w:val="0"/>
    <w:pPr>
      <w:widowControl w:val="0"/>
      <w:adjustRightInd w:val="0"/>
      <w:snapToGrid w:val="0"/>
      <w:spacing w:line="300" w:lineRule="auto"/>
      <w:jc w:val="both"/>
      <w:textAlignment w:val="baseline"/>
    </w:pPr>
    <w:rPr>
      <w:rFonts w:ascii="宋体" w:hAnsi="宋体" w:eastAsia="宋体" w:cs="宋体"/>
      <w:kern w:val="2"/>
      <w:sz w:val="21"/>
      <w:szCs w:val="22"/>
      <w:lang w:val="en-US" w:eastAsia="zh-CN" w:bidi="ar-SA"/>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semiHidden/>
    <w:qFormat/>
    <w:uiPriority w:val="0"/>
    <w:pPr>
      <w:ind w:left="210"/>
      <w:jc w:val="left"/>
    </w:pPr>
    <w:rPr>
      <w:smallCaps/>
      <w:sz w:val="20"/>
      <w:szCs w:val="20"/>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semiHidden/>
    <w:unhideWhenUsed/>
    <w:qFormat/>
    <w:uiPriority w:val="99"/>
    <w:rPr>
      <w:color w:val="0000FF"/>
      <w:u w:val="single"/>
    </w:rPr>
  </w:style>
  <w:style w:type="character" w:styleId="12">
    <w:name w:val="annotation reference"/>
    <w:basedOn w:val="10"/>
    <w:unhideWhenUsed/>
    <w:qFormat/>
    <w:uiPriority w:val="99"/>
    <w:rPr>
      <w:sz w:val="21"/>
      <w:szCs w:val="21"/>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标题 1 Char"/>
    <w:basedOn w:val="10"/>
    <w:link w:val="4"/>
    <w:qFormat/>
    <w:uiPriority w:val="0"/>
    <w:rPr>
      <w:rFonts w:ascii="Times New Roman" w:hAnsi="Times New Roman" w:eastAsia="宋体" w:cs="Times New Roman"/>
      <w:b/>
      <w:bCs/>
      <w:kern w:val="44"/>
      <w:sz w:val="44"/>
      <w:szCs w:val="44"/>
    </w:rPr>
  </w:style>
  <w:style w:type="character" w:customStyle="1" w:styleId="17">
    <w:name w:val="font71"/>
    <w:basedOn w:val="10"/>
    <w:qFormat/>
    <w:uiPriority w:val="0"/>
    <w:rPr>
      <w:rFonts w:hint="eastAsia" w:ascii="宋体" w:hAnsi="宋体" w:eastAsia="宋体" w:cs="宋体"/>
      <w:b/>
      <w:bCs/>
      <w:color w:val="000000"/>
      <w:sz w:val="20"/>
      <w:szCs w:val="20"/>
      <w:u w:val="none"/>
    </w:rPr>
  </w:style>
  <w:style w:type="character" w:customStyle="1" w:styleId="18">
    <w:name w:val="font21"/>
    <w:basedOn w:val="10"/>
    <w:qFormat/>
    <w:uiPriority w:val="0"/>
    <w:rPr>
      <w:rFonts w:hint="eastAsia" w:ascii="宋体" w:hAnsi="宋体" w:eastAsia="宋体" w:cs="宋体"/>
      <w:b/>
      <w:bCs/>
      <w:color w:val="000000"/>
      <w:sz w:val="20"/>
      <w:szCs w:val="20"/>
      <w:u w:val="none"/>
    </w:rPr>
  </w:style>
  <w:style w:type="character" w:customStyle="1" w:styleId="19">
    <w:name w:val="font11"/>
    <w:basedOn w:val="10"/>
    <w:qFormat/>
    <w:uiPriority w:val="0"/>
    <w:rPr>
      <w:rFonts w:hint="eastAsia" w:ascii="宋体" w:hAnsi="宋体" w:eastAsia="宋体" w:cs="宋体"/>
      <w:b/>
      <w:bCs/>
      <w:color w:val="000000"/>
      <w:sz w:val="20"/>
      <w:szCs w:val="20"/>
      <w:u w:val="none"/>
    </w:rPr>
  </w:style>
  <w:style w:type="character" w:customStyle="1" w:styleId="20">
    <w:name w:val="font31"/>
    <w:basedOn w:val="10"/>
    <w:qFormat/>
    <w:uiPriority w:val="0"/>
    <w:rPr>
      <w:rFonts w:hint="eastAsia" w:ascii="宋体" w:hAnsi="宋体" w:eastAsia="宋体" w:cs="宋体"/>
      <w:b/>
      <w:bCs/>
      <w:color w:val="FF0000"/>
      <w:sz w:val="28"/>
      <w:szCs w:val="28"/>
      <w:u w:val="none"/>
    </w:rPr>
  </w:style>
  <w:style w:type="character" w:customStyle="1" w:styleId="21">
    <w:name w:val="font41"/>
    <w:basedOn w:val="10"/>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4470</Words>
  <Characters>5016</Characters>
  <Lines>6</Lines>
  <Paragraphs>1</Paragraphs>
  <TotalTime>2</TotalTime>
  <ScaleCrop>false</ScaleCrop>
  <LinksUpToDate>false</LinksUpToDate>
  <CharactersWithSpaces>5026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2021-09-18T09:41:00Z</dcterms:created>
  <dc:creator>asus</dc:creator>
  <cp:lastModifiedBy>T</cp:lastModifiedBy>
  <dcterms:modified xsi:type="dcterms:W3CDTF">2026-07-09T08:12:54Z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eyJoZGlkIjoiMmZmMzhmZDdjMTA5M2M4ZmNmNjM5MDIxZWM0MDcwYjIiLCJ1c2VySWQiOiIyOTIzNjUyMjMifQ==</vt:lpwstr>
  </property>
  <property fmtid="{D5CDD505-2E9C-101B-9397-08002B2CF9AE}" pid="4" name="ICV">
    <vt:lpwstr>FB2A6A16608C4B5E9F06B66E60094D0C_12</vt:lpwstr>
  </property>
</Properties>
</file>