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BA538F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eastAsia="zh-CN"/>
        </w:rPr>
        <w:t>2026粤港澳大湾区（深圳）粤剧周采购文件</w:t>
      </w:r>
    </w:p>
    <w:p w14:paraId="339D3E0F">
      <w:pPr>
        <w:keepNext w:val="0"/>
        <w:keepLines w:val="0"/>
        <w:pageBreakBefore w:val="0"/>
        <w:tabs>
          <w:tab w:val="left" w:pos="426"/>
        </w:tabs>
        <w:kinsoku/>
        <w:wordWrap/>
        <w:overflowPunct/>
        <w:topLinePunct w:val="0"/>
        <w:autoSpaceDE/>
        <w:autoSpaceDN/>
        <w:bidi w:val="0"/>
        <w:spacing w:line="580" w:lineRule="exact"/>
        <w:ind w:firstLine="640" w:firstLineChars="200"/>
        <w:textAlignment w:val="auto"/>
        <w:rPr>
          <w:rFonts w:ascii="仿宋_GB2312" w:hAnsi="黑体" w:eastAsia="仿宋_GB2312"/>
          <w:color w:val="auto"/>
          <w:sz w:val="32"/>
          <w:szCs w:val="32"/>
        </w:rPr>
      </w:pPr>
    </w:p>
    <w:p w14:paraId="4A829E6E">
      <w:pPr>
        <w:keepNext w:val="0"/>
        <w:keepLines w:val="0"/>
        <w:pageBreakBefore w:val="0"/>
        <w:tabs>
          <w:tab w:val="left" w:pos="426"/>
        </w:tabs>
        <w:kinsoku/>
        <w:wordWrap/>
        <w:overflowPunct/>
        <w:topLinePunct w:val="0"/>
        <w:autoSpaceDE/>
        <w:autoSpaceDN/>
        <w:bidi w:val="0"/>
        <w:spacing w:line="580" w:lineRule="exact"/>
        <w:ind w:firstLine="640" w:firstLineChars="200"/>
        <w:textAlignment w:val="auto"/>
        <w:rPr>
          <w:rFonts w:ascii="仿宋_GB2312" w:hAnsi="仿宋" w:eastAsia="仿宋_GB2312"/>
          <w:color w:val="auto"/>
          <w:sz w:val="32"/>
          <w:szCs w:val="32"/>
        </w:rPr>
      </w:pPr>
      <w:r>
        <w:rPr>
          <w:rFonts w:hint="eastAsia" w:ascii="黑体" w:hAnsi="黑体" w:eastAsia="黑体"/>
          <w:color w:val="auto"/>
          <w:sz w:val="32"/>
          <w:szCs w:val="32"/>
        </w:rPr>
        <w:t>一、采购单位：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深圳市罗湖区文化广电旅游体育局</w:t>
      </w:r>
    </w:p>
    <w:p w14:paraId="42174EE7">
      <w:pPr>
        <w:keepNext w:val="0"/>
        <w:keepLines w:val="0"/>
        <w:pageBreakBefore w:val="0"/>
        <w:tabs>
          <w:tab w:val="left" w:pos="426"/>
        </w:tabs>
        <w:kinsoku/>
        <w:wordWrap/>
        <w:overflowPunct/>
        <w:topLinePunct w:val="0"/>
        <w:autoSpaceDE/>
        <w:autoSpaceDN/>
        <w:bidi w:val="0"/>
        <w:spacing w:line="580" w:lineRule="exact"/>
        <w:ind w:firstLine="640" w:firstLineChars="200"/>
        <w:textAlignment w:val="auto"/>
        <w:rPr>
          <w:rFonts w:hint="eastAsia" w:ascii="黑体" w:hAnsi="黑体" w:eastAsia="黑体"/>
          <w:color w:val="auto"/>
          <w:sz w:val="32"/>
          <w:szCs w:val="32"/>
        </w:rPr>
      </w:pPr>
      <w:r>
        <w:rPr>
          <w:rFonts w:hint="eastAsia" w:ascii="黑体" w:hAnsi="黑体" w:eastAsia="黑体"/>
          <w:color w:val="auto"/>
          <w:sz w:val="32"/>
          <w:szCs w:val="32"/>
        </w:rPr>
        <w:t>二、项目名称：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2026粤港澳大湾区（深圳）粤剧周</w:t>
      </w:r>
    </w:p>
    <w:p w14:paraId="32465C07">
      <w:pPr>
        <w:keepNext w:val="0"/>
        <w:keepLines w:val="0"/>
        <w:pageBreakBefore w:val="0"/>
        <w:tabs>
          <w:tab w:val="left" w:pos="426"/>
        </w:tabs>
        <w:kinsoku/>
        <w:wordWrap/>
        <w:overflowPunct/>
        <w:topLinePunct w:val="0"/>
        <w:autoSpaceDE/>
        <w:autoSpaceDN/>
        <w:bidi w:val="0"/>
        <w:spacing w:line="580" w:lineRule="exact"/>
        <w:ind w:firstLine="640" w:firstLineChars="200"/>
        <w:textAlignment w:val="auto"/>
        <w:rPr>
          <w:rFonts w:hint="default" w:ascii="仿宋_GB2312" w:hAnsi="仿宋" w:eastAsia="仿宋_GB2312"/>
          <w:color w:val="auto"/>
          <w:sz w:val="22"/>
          <w:szCs w:val="32"/>
          <w:lang w:val="en-US" w:eastAsia="zh-CN"/>
        </w:rPr>
      </w:pPr>
      <w:r>
        <w:rPr>
          <w:rFonts w:hint="eastAsia" w:ascii="黑体" w:hAnsi="黑体" w:eastAsia="黑体"/>
          <w:color w:val="auto"/>
          <w:sz w:val="32"/>
          <w:szCs w:val="32"/>
        </w:rPr>
        <w:t>三、项目预算限额：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41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万元</w:t>
      </w:r>
    </w:p>
    <w:p w14:paraId="4690D33D">
      <w:pPr>
        <w:keepNext w:val="0"/>
        <w:keepLines w:val="0"/>
        <w:pageBreakBefore w:val="0"/>
        <w:tabs>
          <w:tab w:val="left" w:pos="426"/>
        </w:tabs>
        <w:kinsoku/>
        <w:wordWrap/>
        <w:overflowPunct/>
        <w:topLinePunct w:val="0"/>
        <w:autoSpaceDE/>
        <w:autoSpaceDN/>
        <w:bidi w:val="0"/>
        <w:spacing w:line="580" w:lineRule="exact"/>
        <w:ind w:firstLine="640" w:firstLineChars="200"/>
        <w:textAlignment w:val="auto"/>
        <w:rPr>
          <w:rFonts w:hint="default" w:ascii="仿宋_GB2312" w:hAnsi="仿宋" w:eastAsia="仿宋_GB2312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color w:val="auto"/>
          <w:sz w:val="32"/>
          <w:szCs w:val="32"/>
        </w:rPr>
        <w:t>四、服务期限：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2026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年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 xml:space="preserve">8月至12月期间 </w:t>
      </w:r>
    </w:p>
    <w:p w14:paraId="0A5E1F0B">
      <w:pPr>
        <w:keepNext w:val="0"/>
        <w:keepLines w:val="0"/>
        <w:pageBreakBefore w:val="0"/>
        <w:tabs>
          <w:tab w:val="left" w:pos="426"/>
        </w:tabs>
        <w:kinsoku/>
        <w:wordWrap/>
        <w:overflowPunct/>
        <w:topLinePunct w:val="0"/>
        <w:autoSpaceDE/>
        <w:autoSpaceDN/>
        <w:bidi w:val="0"/>
        <w:spacing w:line="580" w:lineRule="exact"/>
        <w:ind w:firstLine="640" w:firstLineChars="200"/>
        <w:textAlignment w:val="auto"/>
        <w:rPr>
          <w:rFonts w:ascii="黑体" w:hAnsi="黑体" w:eastAsia="黑体"/>
          <w:color w:val="auto"/>
          <w:sz w:val="32"/>
          <w:szCs w:val="32"/>
        </w:rPr>
      </w:pPr>
      <w:r>
        <w:rPr>
          <w:rFonts w:hint="eastAsia" w:ascii="黑体" w:hAnsi="黑体" w:eastAsia="黑体"/>
          <w:color w:val="auto"/>
          <w:sz w:val="32"/>
          <w:szCs w:val="32"/>
        </w:rPr>
        <w:t>五、项目内容</w:t>
      </w:r>
    </w:p>
    <w:p w14:paraId="0649FF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仿宋" w:eastAsia="仿宋_GB2312"/>
          <w:color w:val="000000"/>
          <w:sz w:val="32"/>
          <w:szCs w:val="32"/>
        </w:rPr>
      </w:pPr>
      <w:r>
        <w:rPr>
          <w:rFonts w:hint="eastAsia" w:ascii="仿宋_GB2312" w:hAnsi="仿宋" w:eastAsia="仿宋_GB2312"/>
          <w:color w:val="auto"/>
          <w:sz w:val="32"/>
          <w:szCs w:val="32"/>
        </w:rPr>
        <w:t>由市委宣传部、市文化广电旅游体育局、罗湖区人民政府于2006年联合创办的深圳粤剧周，迄今已成功举办十届，并于2022年升级为粤港澳大湾区（深圳）粤剧周，通过展演、研讨活动，有效搭建粤剧艺术交流展演平台，为增强港澳同胞对中华文化的认同起到重要推动作用。为贯彻落实粤港澳大湾区和社会主义先行示范区建设规划，基于粤港澳地区同根同源的岭南文化，今年拟继续举办“2026粤港澳大湾区（深圳）粤剧周”系列活动，包括粤剧优秀剧目展演、粤剧粤曲进社区展演等，向市民群众推广岭南文化艺术，进一步强化湾区文化认同，助力民心相通相融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本项目内容包括但不限于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活动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策划组织、活动整体执行、演出场地落实、演出团队落实、舞台布置、舞美设计制作、活动物料设计制作等。</w:t>
      </w:r>
    </w:p>
    <w:p w14:paraId="569A46CD">
      <w:pPr>
        <w:keepNext w:val="0"/>
        <w:keepLines w:val="0"/>
        <w:pageBreakBefore w:val="0"/>
        <w:tabs>
          <w:tab w:val="left" w:pos="426"/>
        </w:tabs>
        <w:kinsoku/>
        <w:wordWrap/>
        <w:overflowPunct/>
        <w:topLinePunct w:val="0"/>
        <w:autoSpaceDE/>
        <w:autoSpaceDN/>
        <w:bidi w:val="0"/>
        <w:spacing w:line="580" w:lineRule="exact"/>
        <w:ind w:firstLine="640" w:firstLineChars="200"/>
        <w:textAlignment w:val="auto"/>
        <w:rPr>
          <w:rFonts w:ascii="黑体" w:hAnsi="黑体" w:eastAsia="黑体"/>
          <w:color w:val="auto"/>
          <w:sz w:val="32"/>
          <w:szCs w:val="32"/>
        </w:rPr>
      </w:pPr>
      <w:r>
        <w:rPr>
          <w:rFonts w:hint="eastAsia" w:ascii="黑体" w:hAnsi="黑体" w:eastAsia="黑体"/>
          <w:color w:val="auto"/>
          <w:sz w:val="32"/>
          <w:szCs w:val="32"/>
        </w:rPr>
        <w:t>六、供应商要求</w:t>
      </w:r>
    </w:p>
    <w:p w14:paraId="11C0B48D">
      <w:pPr>
        <w:keepNext w:val="0"/>
        <w:keepLines w:val="0"/>
        <w:pageBreakBefore w:val="0"/>
        <w:tabs>
          <w:tab w:val="left" w:pos="426"/>
        </w:tabs>
        <w:kinsoku/>
        <w:wordWrap/>
        <w:overflowPunct/>
        <w:topLinePunct w:val="0"/>
        <w:autoSpaceDE/>
        <w:autoSpaceDN/>
        <w:bidi w:val="0"/>
        <w:spacing w:line="580" w:lineRule="exact"/>
        <w:ind w:firstLine="640" w:firstLineChars="200"/>
        <w:textAlignment w:val="auto"/>
        <w:rPr>
          <w:rFonts w:ascii="仿宋_GB2312" w:hAnsi="仿宋" w:eastAsia="仿宋_GB2312"/>
          <w:color w:val="auto"/>
          <w:sz w:val="32"/>
          <w:szCs w:val="32"/>
        </w:rPr>
      </w:pPr>
      <w:r>
        <w:rPr>
          <w:rFonts w:hint="eastAsia" w:ascii="仿宋_GB2312" w:hAnsi="仿宋" w:eastAsia="仿宋_GB2312"/>
          <w:color w:val="auto"/>
          <w:sz w:val="32"/>
          <w:szCs w:val="32"/>
        </w:rPr>
        <w:t>1.报名供应商须为在市场监管部门</w:t>
      </w: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或民政部门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合法注册登记的企业或社会组织，且必须先行注册为深圳市政府采购供应商；</w:t>
      </w:r>
    </w:p>
    <w:p w14:paraId="03F011CF">
      <w:pPr>
        <w:keepNext w:val="0"/>
        <w:keepLines w:val="0"/>
        <w:pageBreakBefore w:val="0"/>
        <w:tabs>
          <w:tab w:val="left" w:pos="426"/>
        </w:tabs>
        <w:kinsoku/>
        <w:wordWrap/>
        <w:overflowPunct/>
        <w:topLinePunct w:val="0"/>
        <w:autoSpaceDE/>
        <w:autoSpaceDN/>
        <w:bidi w:val="0"/>
        <w:spacing w:line="580" w:lineRule="exact"/>
        <w:ind w:firstLine="640" w:firstLineChars="200"/>
        <w:textAlignment w:val="auto"/>
        <w:rPr>
          <w:rFonts w:ascii="仿宋_GB2312" w:hAnsi="仿宋" w:eastAsia="仿宋_GB2312"/>
          <w:color w:val="auto"/>
          <w:sz w:val="32"/>
          <w:szCs w:val="32"/>
        </w:rPr>
      </w:pPr>
      <w:r>
        <w:rPr>
          <w:rFonts w:hint="eastAsia" w:ascii="仿宋_GB2312" w:hAnsi="仿宋" w:eastAsia="仿宋_GB2312"/>
          <w:color w:val="auto"/>
          <w:sz w:val="32"/>
          <w:szCs w:val="32"/>
        </w:rPr>
        <w:t>2.报名供应商须具有</w:t>
      </w: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文化活动策划、组织文化艺术交流活动、演出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等相关合法经营范围</w:t>
      </w:r>
      <w:r>
        <w:rPr>
          <w:rFonts w:hint="eastAsia" w:ascii="仿宋_GB2312" w:hAnsi="仿宋" w:eastAsia="仿宋_GB2312"/>
          <w:color w:val="auto"/>
          <w:sz w:val="32"/>
          <w:szCs w:val="32"/>
          <w:lang w:val="en-US" w:eastAsia="zh-CN"/>
        </w:rPr>
        <w:t>或</w:t>
      </w: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业务范围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（须提供有效的证明材料，如具有经营范围的营业执照、税务登记证，或当地工商局、市场监督管理局商事主体登记及备案信息查询单扫描件</w:t>
      </w: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；具有业务范围的登记证书等，原件备查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）;</w:t>
      </w:r>
    </w:p>
    <w:p w14:paraId="6067B6BE">
      <w:pPr>
        <w:keepNext w:val="0"/>
        <w:keepLines w:val="0"/>
        <w:pageBreakBefore w:val="0"/>
        <w:tabs>
          <w:tab w:val="left" w:pos="426"/>
        </w:tabs>
        <w:kinsoku/>
        <w:wordWrap/>
        <w:overflowPunct/>
        <w:topLinePunct w:val="0"/>
        <w:autoSpaceDE/>
        <w:autoSpaceDN/>
        <w:bidi w:val="0"/>
        <w:spacing w:line="580" w:lineRule="exact"/>
        <w:ind w:firstLine="640" w:firstLineChars="200"/>
        <w:textAlignment w:val="auto"/>
        <w:rPr>
          <w:rFonts w:ascii="仿宋_GB2312" w:hAnsi="仿宋" w:eastAsia="仿宋_GB2312"/>
          <w:color w:val="auto"/>
          <w:sz w:val="32"/>
          <w:szCs w:val="32"/>
        </w:rPr>
      </w:pPr>
      <w:r>
        <w:rPr>
          <w:rFonts w:hint="eastAsia" w:ascii="仿宋_GB2312" w:hAnsi="仿宋" w:eastAsia="仿宋_GB2312"/>
          <w:color w:val="auto"/>
          <w:sz w:val="32"/>
          <w:szCs w:val="32"/>
        </w:rPr>
        <w:t>3.报名供应商必须具有独立法人资格；</w:t>
      </w:r>
    </w:p>
    <w:p w14:paraId="40B600F0">
      <w:pPr>
        <w:keepNext w:val="0"/>
        <w:keepLines w:val="0"/>
        <w:pageBreakBefore w:val="0"/>
        <w:tabs>
          <w:tab w:val="left" w:pos="426"/>
        </w:tabs>
        <w:kinsoku/>
        <w:wordWrap/>
        <w:overflowPunct/>
        <w:topLinePunct w:val="0"/>
        <w:autoSpaceDE/>
        <w:autoSpaceDN/>
        <w:bidi w:val="0"/>
        <w:spacing w:line="580" w:lineRule="exact"/>
        <w:ind w:firstLine="640" w:firstLineChars="200"/>
        <w:textAlignment w:val="auto"/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</w:pPr>
      <w:r>
        <w:rPr>
          <w:rFonts w:hint="eastAsia" w:ascii="仿宋_GB2312" w:hAnsi="仿宋" w:eastAsia="仿宋_GB2312"/>
          <w:color w:val="auto"/>
          <w:sz w:val="32"/>
          <w:szCs w:val="32"/>
        </w:rPr>
        <w:t>4.本项目不接受联合体投标，不允许分包、转包</w:t>
      </w:r>
      <w:r>
        <w:rPr>
          <w:rFonts w:hint="eastAsia" w:ascii="仿宋_GB2312" w:hAnsi="仿宋" w:eastAsia="仿宋_GB2312"/>
          <w:color w:val="auto"/>
          <w:sz w:val="32"/>
          <w:szCs w:val="32"/>
          <w:lang w:eastAsia="zh-CN"/>
        </w:rPr>
        <w:t>。</w:t>
      </w:r>
    </w:p>
    <w:p w14:paraId="5E6D7795">
      <w:pPr>
        <w:keepNext w:val="0"/>
        <w:keepLines w:val="0"/>
        <w:pageBreakBefore w:val="0"/>
        <w:tabs>
          <w:tab w:val="left" w:pos="426"/>
        </w:tabs>
        <w:kinsoku/>
        <w:wordWrap/>
        <w:overflowPunct/>
        <w:topLinePunct w:val="0"/>
        <w:autoSpaceDE/>
        <w:autoSpaceDN/>
        <w:bidi w:val="0"/>
        <w:spacing w:line="580" w:lineRule="exact"/>
        <w:ind w:firstLine="640" w:firstLineChars="200"/>
        <w:textAlignment w:val="auto"/>
        <w:rPr>
          <w:rFonts w:ascii="仿宋_GB2312" w:eastAsia="仿宋_GB2312"/>
          <w:color w:val="auto"/>
        </w:rPr>
      </w:pPr>
      <w:r>
        <w:rPr>
          <w:rFonts w:hint="eastAsia" w:ascii="黑体" w:hAnsi="黑体" w:eastAsia="黑体"/>
          <w:color w:val="auto"/>
          <w:sz w:val="32"/>
          <w:szCs w:val="32"/>
        </w:rPr>
        <w:t>七、评标方式：</w:t>
      </w:r>
      <w:r>
        <w:rPr>
          <w:rFonts w:hint="eastAsia" w:ascii="仿宋_GB2312" w:hAnsi="仿宋" w:eastAsia="仿宋_GB2312"/>
          <w:color w:val="auto"/>
          <w:sz w:val="32"/>
          <w:szCs w:val="32"/>
        </w:rPr>
        <w:t>评审定标</w:t>
      </w:r>
    </w:p>
    <w:p w14:paraId="470480ED">
      <w:pPr>
        <w:keepNext w:val="0"/>
        <w:keepLines w:val="0"/>
        <w:pageBreakBefore w:val="0"/>
        <w:tabs>
          <w:tab w:val="left" w:pos="426"/>
        </w:tabs>
        <w:kinsoku/>
        <w:wordWrap/>
        <w:overflowPunct/>
        <w:topLinePunct w:val="0"/>
        <w:autoSpaceDE/>
        <w:autoSpaceDN/>
        <w:bidi w:val="0"/>
        <w:spacing w:line="580" w:lineRule="exact"/>
        <w:ind w:firstLine="640" w:firstLineChars="200"/>
        <w:textAlignment w:val="auto"/>
        <w:rPr>
          <w:rFonts w:ascii="黑体" w:hAnsi="黑体" w:eastAsia="黑体"/>
          <w:color w:val="auto"/>
          <w:sz w:val="32"/>
          <w:szCs w:val="32"/>
        </w:rPr>
      </w:pPr>
      <w:r>
        <w:rPr>
          <w:rFonts w:hint="eastAsia" w:ascii="黑体" w:hAnsi="黑体" w:eastAsia="黑体"/>
          <w:color w:val="auto"/>
          <w:sz w:val="32"/>
          <w:szCs w:val="32"/>
        </w:rPr>
        <w:t>八、评分标准</w:t>
      </w:r>
    </w:p>
    <w:tbl>
      <w:tblPr>
        <w:tblStyle w:val="3"/>
        <w:tblW w:w="9350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4"/>
        <w:gridCol w:w="930"/>
        <w:gridCol w:w="6956"/>
      </w:tblGrid>
      <w:tr w14:paraId="54EED21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  <w:jc w:val="center"/>
        </w:trPr>
        <w:tc>
          <w:tcPr>
            <w:tcW w:w="1464" w:type="dxa"/>
            <w:noWrap w:val="0"/>
            <w:vAlign w:val="center"/>
          </w:tcPr>
          <w:p w14:paraId="343CD191">
            <w:pPr>
              <w:keepNext w:val="0"/>
              <w:keepLines w:val="0"/>
              <w:pageBreakBefore w:val="0"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center"/>
              <w:textAlignment w:val="auto"/>
              <w:rPr>
                <w:rFonts w:ascii="仿宋_GB2312" w:eastAsia="仿宋_GB2312"/>
                <w:b/>
                <w:color w:val="auto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color w:val="auto"/>
                <w:sz w:val="28"/>
                <w:szCs w:val="28"/>
              </w:rPr>
              <w:t>评分项目</w:t>
            </w:r>
          </w:p>
        </w:tc>
        <w:tc>
          <w:tcPr>
            <w:tcW w:w="930" w:type="dxa"/>
            <w:noWrap w:val="0"/>
            <w:vAlign w:val="center"/>
          </w:tcPr>
          <w:p w14:paraId="5DE849DE">
            <w:pPr>
              <w:keepNext w:val="0"/>
              <w:keepLines w:val="0"/>
              <w:pageBreakBefore w:val="0"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center"/>
              <w:textAlignment w:val="auto"/>
              <w:rPr>
                <w:rFonts w:ascii="仿宋_GB2312" w:eastAsia="仿宋_GB2312"/>
                <w:b/>
                <w:color w:val="auto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color w:val="auto"/>
                <w:sz w:val="28"/>
                <w:szCs w:val="28"/>
              </w:rPr>
              <w:t>权重</w:t>
            </w:r>
          </w:p>
        </w:tc>
        <w:tc>
          <w:tcPr>
            <w:tcW w:w="6956" w:type="dxa"/>
            <w:noWrap w:val="0"/>
            <w:vAlign w:val="center"/>
          </w:tcPr>
          <w:p w14:paraId="54D4A9BE">
            <w:pPr>
              <w:keepNext w:val="0"/>
              <w:keepLines w:val="0"/>
              <w:pageBreakBefore w:val="0"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center"/>
              <w:textAlignment w:val="auto"/>
              <w:rPr>
                <w:rFonts w:ascii="仿宋_GB2312" w:eastAsia="仿宋_GB2312"/>
                <w:b/>
                <w:color w:val="auto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color w:val="auto"/>
                <w:sz w:val="28"/>
                <w:szCs w:val="28"/>
              </w:rPr>
              <w:t>评 分 参 考 及 范 围</w:t>
            </w:r>
          </w:p>
        </w:tc>
      </w:tr>
      <w:tr w14:paraId="30851A2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  <w:jc w:val="center"/>
        </w:trPr>
        <w:tc>
          <w:tcPr>
            <w:tcW w:w="1464" w:type="dxa"/>
            <w:noWrap w:val="0"/>
            <w:vAlign w:val="center"/>
          </w:tcPr>
          <w:p w14:paraId="7AE3CDF8">
            <w:pPr>
              <w:keepNext w:val="0"/>
              <w:keepLines w:val="0"/>
              <w:pageBreakBefore w:val="0"/>
              <w:widowControl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center"/>
              <w:textAlignment w:val="auto"/>
              <w:rPr>
                <w:rFonts w:ascii="仿宋_GB2312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sz w:val="28"/>
                <w:szCs w:val="28"/>
              </w:rPr>
              <w:t>资质</w:t>
            </w:r>
          </w:p>
        </w:tc>
        <w:tc>
          <w:tcPr>
            <w:tcW w:w="930" w:type="dxa"/>
            <w:noWrap w:val="0"/>
            <w:vAlign w:val="center"/>
          </w:tcPr>
          <w:p w14:paraId="46529FAC">
            <w:pPr>
              <w:keepNext w:val="0"/>
              <w:keepLines w:val="0"/>
              <w:pageBreakBefore w:val="0"/>
              <w:widowControl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center"/>
              <w:textAlignment w:val="auto"/>
              <w:rPr>
                <w:rFonts w:ascii="仿宋_GB2312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sz w:val="28"/>
                <w:szCs w:val="28"/>
              </w:rPr>
              <w:t>20</w:t>
            </w:r>
          </w:p>
        </w:tc>
        <w:tc>
          <w:tcPr>
            <w:tcW w:w="6956" w:type="dxa"/>
            <w:noWrap w:val="0"/>
            <w:vAlign w:val="center"/>
          </w:tcPr>
          <w:p w14:paraId="73479B19">
            <w:pPr>
              <w:keepNext w:val="0"/>
              <w:keepLines w:val="0"/>
              <w:pageBreakBefore w:val="0"/>
              <w:widowControl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textAlignment w:val="auto"/>
              <w:rPr>
                <w:rFonts w:ascii="仿宋_GB2312" w:hAnsi="仿宋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sz w:val="28"/>
                <w:szCs w:val="28"/>
              </w:rPr>
              <w:t>营业执照等证照齐全，资质、经营范围符合本项目要求的得</w:t>
            </w:r>
            <w:r>
              <w:rPr>
                <w:rFonts w:hint="eastAsia" w:ascii="仿宋_GB2312" w:eastAsia="仿宋_GB2312"/>
                <w:color w:val="auto"/>
                <w:sz w:val="28"/>
                <w:szCs w:val="28"/>
                <w:lang w:val="en-US" w:eastAsia="zh-CN"/>
              </w:rPr>
              <w:t>20</w:t>
            </w:r>
            <w:r>
              <w:rPr>
                <w:rFonts w:hint="eastAsia" w:ascii="仿宋_GB2312" w:eastAsia="仿宋_GB2312"/>
                <w:color w:val="auto"/>
                <w:sz w:val="28"/>
                <w:szCs w:val="28"/>
              </w:rPr>
              <w:t>分。</w:t>
            </w:r>
            <w:r>
              <w:rPr>
                <w:rFonts w:hint="eastAsia" w:ascii="仿宋_GB2312" w:eastAsia="仿宋_GB2312"/>
                <w:color w:val="auto"/>
                <w:sz w:val="28"/>
                <w:szCs w:val="28"/>
                <w:lang w:eastAsia="zh-CN"/>
              </w:rPr>
              <w:t>需提供相关资质证明扫描件</w:t>
            </w:r>
            <w:r>
              <w:rPr>
                <w:rFonts w:hint="eastAsia" w:ascii="仿宋_GB2312" w:hAnsi="仿宋" w:eastAsia="仿宋_GB2312"/>
                <w:color w:val="auto"/>
                <w:sz w:val="28"/>
                <w:szCs w:val="28"/>
                <w:lang w:val="en-US" w:eastAsia="zh-CN"/>
              </w:rPr>
              <w:t>（原件备查）</w:t>
            </w:r>
            <w:r>
              <w:rPr>
                <w:rFonts w:hint="eastAsia" w:ascii="仿宋_GB2312" w:eastAsia="仿宋_GB2312"/>
                <w:color w:val="auto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仿宋_GB2312" w:hAnsi="仿宋" w:eastAsia="仿宋_GB2312"/>
                <w:color w:val="auto"/>
                <w:sz w:val="28"/>
                <w:szCs w:val="28"/>
              </w:rPr>
              <w:t>未提供</w:t>
            </w:r>
            <w:r>
              <w:rPr>
                <w:rFonts w:hint="eastAsia" w:ascii="仿宋_GB2312" w:hAnsi="仿宋" w:eastAsia="仿宋_GB2312"/>
                <w:color w:val="auto"/>
                <w:sz w:val="28"/>
                <w:szCs w:val="28"/>
                <w:lang w:eastAsia="zh-CN"/>
              </w:rPr>
              <w:t>证明材料或所提供证明材料未能体现上述评分内容的</w:t>
            </w:r>
            <w:r>
              <w:rPr>
                <w:rFonts w:hint="eastAsia" w:ascii="仿宋_GB2312" w:hAnsi="仿宋" w:eastAsia="仿宋_GB2312"/>
                <w:color w:val="auto"/>
                <w:sz w:val="28"/>
                <w:szCs w:val="28"/>
              </w:rPr>
              <w:t>不得分</w:t>
            </w:r>
            <w:r>
              <w:rPr>
                <w:rFonts w:hint="eastAsia" w:ascii="仿宋_GB2312" w:eastAsia="仿宋_GB2312"/>
                <w:color w:val="auto"/>
                <w:sz w:val="28"/>
                <w:szCs w:val="28"/>
                <w:lang w:eastAsia="zh-CN"/>
              </w:rPr>
              <w:t>。</w:t>
            </w:r>
          </w:p>
        </w:tc>
      </w:tr>
      <w:tr w14:paraId="0C39E3A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  <w:jc w:val="center"/>
        </w:trPr>
        <w:tc>
          <w:tcPr>
            <w:tcW w:w="1464" w:type="dxa"/>
            <w:noWrap w:val="0"/>
            <w:vAlign w:val="center"/>
          </w:tcPr>
          <w:p w14:paraId="631213E1">
            <w:pPr>
              <w:keepNext w:val="0"/>
              <w:keepLines w:val="0"/>
              <w:pageBreakBefore w:val="0"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center"/>
              <w:textAlignment w:val="auto"/>
              <w:rPr>
                <w:rFonts w:ascii="仿宋_GB2312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sz w:val="28"/>
                <w:szCs w:val="28"/>
              </w:rPr>
              <w:t>价格</w:t>
            </w:r>
          </w:p>
        </w:tc>
        <w:tc>
          <w:tcPr>
            <w:tcW w:w="930" w:type="dxa"/>
            <w:noWrap w:val="0"/>
            <w:vAlign w:val="center"/>
          </w:tcPr>
          <w:p w14:paraId="1E930329">
            <w:pPr>
              <w:keepNext w:val="0"/>
              <w:keepLines w:val="0"/>
              <w:pageBreakBefore w:val="0"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center"/>
              <w:textAlignment w:val="auto"/>
              <w:rPr>
                <w:rFonts w:ascii="仿宋_GB2312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sz w:val="28"/>
                <w:szCs w:val="28"/>
                <w:lang w:val="en-US" w:eastAsia="zh-CN"/>
              </w:rPr>
              <w:t>1</w:t>
            </w:r>
            <w:r>
              <w:rPr>
                <w:rFonts w:hint="eastAsia" w:ascii="仿宋_GB2312" w:eastAsia="仿宋_GB2312"/>
                <w:color w:val="auto"/>
                <w:sz w:val="28"/>
                <w:szCs w:val="28"/>
              </w:rPr>
              <w:t>0</w:t>
            </w:r>
          </w:p>
        </w:tc>
        <w:tc>
          <w:tcPr>
            <w:tcW w:w="6956" w:type="dxa"/>
            <w:noWrap w:val="0"/>
            <w:vAlign w:val="center"/>
          </w:tcPr>
          <w:p w14:paraId="415E9F92">
            <w:pPr>
              <w:keepNext w:val="0"/>
              <w:keepLines w:val="0"/>
              <w:pageBreakBefore w:val="0"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textAlignment w:val="auto"/>
              <w:rPr>
                <w:rFonts w:ascii="仿宋_GB2312" w:eastAsia="仿宋_GB2312"/>
                <w:color w:val="auto"/>
                <w:sz w:val="28"/>
                <w:szCs w:val="28"/>
              </w:rPr>
            </w:pPr>
            <w:r>
              <w:rPr>
                <w:rFonts w:ascii="仿宋_GB2312" w:hAnsi="仿宋" w:eastAsia="仿宋_GB2312"/>
                <w:color w:val="auto"/>
                <w:sz w:val="28"/>
                <w:szCs w:val="28"/>
              </w:rPr>
              <w:t>报名供应商</w:t>
            </w:r>
            <w:r>
              <w:rPr>
                <w:rFonts w:hint="eastAsia" w:ascii="仿宋_GB2312" w:eastAsia="仿宋_GB2312"/>
                <w:color w:val="auto"/>
                <w:sz w:val="28"/>
                <w:szCs w:val="28"/>
              </w:rPr>
              <w:t>提供项目报价，最低投标报价得满分即</w:t>
            </w:r>
            <w:r>
              <w:rPr>
                <w:rFonts w:hint="eastAsia" w:ascii="仿宋_GB2312" w:eastAsia="仿宋_GB2312"/>
                <w:color w:val="auto"/>
                <w:sz w:val="28"/>
                <w:szCs w:val="28"/>
                <w:lang w:val="en-US" w:eastAsia="zh-CN"/>
              </w:rPr>
              <w:t>1</w:t>
            </w:r>
            <w:r>
              <w:rPr>
                <w:rFonts w:hint="eastAsia" w:ascii="仿宋_GB2312" w:eastAsia="仿宋_GB2312"/>
                <w:color w:val="auto"/>
                <w:sz w:val="28"/>
                <w:szCs w:val="28"/>
              </w:rPr>
              <w:t>0分；其他报价得分公式=（最低投标报价/投标报价）×</w:t>
            </w:r>
            <w:r>
              <w:rPr>
                <w:rFonts w:hint="eastAsia" w:ascii="仿宋_GB2312" w:eastAsia="仿宋_GB2312"/>
                <w:color w:val="auto"/>
                <w:sz w:val="28"/>
                <w:szCs w:val="28"/>
                <w:lang w:val="en-US" w:eastAsia="zh-CN"/>
              </w:rPr>
              <w:t>1</w:t>
            </w:r>
            <w:r>
              <w:rPr>
                <w:rFonts w:hint="eastAsia" w:ascii="仿宋_GB2312" w:eastAsia="仿宋_GB2312"/>
                <w:color w:val="auto"/>
                <w:sz w:val="28"/>
                <w:szCs w:val="28"/>
              </w:rPr>
              <w:t>0分。</w:t>
            </w:r>
            <w:bookmarkStart w:id="0" w:name="_GoBack"/>
            <w:bookmarkEnd w:id="0"/>
          </w:p>
        </w:tc>
      </w:tr>
      <w:tr w14:paraId="22EE92C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  <w:jc w:val="center"/>
        </w:trPr>
        <w:tc>
          <w:tcPr>
            <w:tcW w:w="1464" w:type="dxa"/>
            <w:noWrap w:val="0"/>
            <w:vAlign w:val="center"/>
          </w:tcPr>
          <w:p w14:paraId="082587D1">
            <w:pPr>
              <w:keepNext w:val="0"/>
              <w:keepLines w:val="0"/>
              <w:pageBreakBefore w:val="0"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center"/>
              <w:textAlignment w:val="auto"/>
              <w:rPr>
                <w:rFonts w:ascii="仿宋_GB2312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sz w:val="28"/>
                <w:szCs w:val="28"/>
              </w:rPr>
              <w:t>业绩情况</w:t>
            </w:r>
          </w:p>
        </w:tc>
        <w:tc>
          <w:tcPr>
            <w:tcW w:w="930" w:type="dxa"/>
            <w:noWrap w:val="0"/>
            <w:vAlign w:val="center"/>
          </w:tcPr>
          <w:p w14:paraId="355F36AC">
            <w:pPr>
              <w:keepNext w:val="0"/>
              <w:keepLines w:val="0"/>
              <w:pageBreakBefore w:val="0"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center"/>
              <w:textAlignment w:val="auto"/>
              <w:rPr>
                <w:rFonts w:ascii="仿宋_GB2312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sz w:val="28"/>
                <w:szCs w:val="28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color w:val="auto"/>
                <w:sz w:val="28"/>
                <w:szCs w:val="28"/>
              </w:rPr>
              <w:t>0</w:t>
            </w:r>
          </w:p>
        </w:tc>
        <w:tc>
          <w:tcPr>
            <w:tcW w:w="6956" w:type="dxa"/>
            <w:noWrap w:val="0"/>
            <w:vAlign w:val="center"/>
          </w:tcPr>
          <w:p w14:paraId="680FEB1C">
            <w:pPr>
              <w:keepNext w:val="0"/>
              <w:keepLines w:val="0"/>
              <w:pageBreakBefore w:val="0"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textAlignment w:val="auto"/>
              <w:rPr>
                <w:rFonts w:ascii="仿宋_GB2312" w:hAnsi="仿宋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" w:eastAsia="仿宋_GB2312"/>
                <w:color w:val="auto"/>
                <w:sz w:val="28"/>
                <w:szCs w:val="28"/>
                <w:lang w:val="en-US" w:eastAsia="zh-CN"/>
              </w:rPr>
              <w:t>自2023</w:t>
            </w:r>
            <w:r>
              <w:rPr>
                <w:rFonts w:hint="eastAsia" w:ascii="仿宋_GB2312" w:hAnsi="仿宋" w:eastAsia="仿宋_GB2312"/>
                <w:color w:val="auto"/>
                <w:sz w:val="28"/>
                <w:szCs w:val="28"/>
              </w:rPr>
              <w:t>年</w:t>
            </w:r>
            <w:r>
              <w:rPr>
                <w:rFonts w:hint="eastAsia" w:ascii="仿宋_GB2312" w:hAnsi="仿宋" w:eastAsia="仿宋_GB2312"/>
                <w:color w:val="auto"/>
                <w:sz w:val="28"/>
                <w:szCs w:val="28"/>
                <w:lang w:val="en-US" w:eastAsia="zh-CN"/>
              </w:rPr>
              <w:t>1月1日至响应截止日</w:t>
            </w:r>
            <w:r>
              <w:rPr>
                <w:rFonts w:hint="eastAsia" w:ascii="仿宋_GB2312" w:hAnsi="仿宋" w:eastAsia="仿宋_GB2312"/>
                <w:color w:val="auto"/>
                <w:sz w:val="28"/>
                <w:szCs w:val="28"/>
              </w:rPr>
              <w:t>，以合同签订日期为准</w:t>
            </w:r>
            <w:r>
              <w:rPr>
                <w:rFonts w:hint="eastAsia" w:ascii="仿宋_GB2312" w:hAnsi="仿宋" w:eastAsia="仿宋_GB2312"/>
                <w:color w:val="auto"/>
                <w:sz w:val="28"/>
                <w:szCs w:val="28"/>
                <w:lang w:eastAsia="zh-CN"/>
              </w:rPr>
              <w:t>，报名供应商</w:t>
            </w:r>
            <w:r>
              <w:rPr>
                <w:rFonts w:hint="eastAsia" w:ascii="仿宋_GB2312" w:hAnsi="仿宋" w:eastAsia="仿宋_GB2312"/>
                <w:color w:val="auto"/>
                <w:sz w:val="28"/>
                <w:szCs w:val="28"/>
              </w:rPr>
              <w:t>具备</w:t>
            </w:r>
            <w:r>
              <w:rPr>
                <w:rFonts w:hint="eastAsia" w:ascii="仿宋_GB2312" w:hAnsi="仿宋" w:eastAsia="仿宋_GB2312"/>
                <w:color w:val="auto"/>
                <w:sz w:val="28"/>
                <w:szCs w:val="28"/>
                <w:lang w:eastAsia="zh-CN"/>
              </w:rPr>
              <w:t>承接市级及以上文化主管部门主办的演出类</w:t>
            </w:r>
            <w:r>
              <w:rPr>
                <w:rFonts w:hint="eastAsia" w:ascii="仿宋_GB2312" w:hAnsi="仿宋" w:eastAsia="仿宋_GB2312"/>
                <w:color w:val="auto"/>
                <w:sz w:val="28"/>
                <w:szCs w:val="28"/>
                <w:lang w:val="en-US" w:eastAsia="zh-CN"/>
              </w:rPr>
              <w:t>文化活动</w:t>
            </w:r>
            <w:r>
              <w:rPr>
                <w:rFonts w:hint="eastAsia" w:ascii="仿宋_GB2312" w:hAnsi="仿宋" w:eastAsia="仿宋_GB2312"/>
                <w:color w:val="auto"/>
                <w:sz w:val="28"/>
                <w:szCs w:val="28"/>
                <w:lang w:eastAsia="zh-CN"/>
              </w:rPr>
              <w:t>经验的，</w:t>
            </w:r>
            <w:r>
              <w:rPr>
                <w:rFonts w:hint="eastAsia" w:ascii="仿宋_GB2312" w:hAnsi="仿宋" w:eastAsia="仿宋_GB2312"/>
                <w:color w:val="auto"/>
                <w:sz w:val="28"/>
                <w:szCs w:val="28"/>
              </w:rPr>
              <w:t>每提供一项得</w:t>
            </w:r>
            <w:r>
              <w:rPr>
                <w:rFonts w:hint="eastAsia" w:ascii="仿宋_GB2312" w:hAnsi="仿宋" w:eastAsia="仿宋_GB2312"/>
                <w:color w:val="auto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hAnsi="仿宋" w:eastAsia="仿宋_GB2312"/>
                <w:color w:val="auto"/>
                <w:sz w:val="28"/>
                <w:szCs w:val="28"/>
              </w:rPr>
              <w:t>分</w:t>
            </w:r>
            <w:r>
              <w:rPr>
                <w:rFonts w:hint="eastAsia" w:ascii="仿宋_GB2312" w:hAnsi="仿宋" w:eastAsia="仿宋_GB2312"/>
                <w:color w:val="auto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仿宋_GB2312" w:hAnsi="仿宋" w:eastAsia="仿宋_GB2312"/>
                <w:color w:val="auto"/>
                <w:sz w:val="28"/>
                <w:szCs w:val="28"/>
              </w:rPr>
              <w:t>最高得</w:t>
            </w:r>
            <w:r>
              <w:rPr>
                <w:rFonts w:hint="eastAsia" w:ascii="仿宋_GB2312" w:hAnsi="仿宋" w:eastAsia="仿宋_GB2312"/>
                <w:color w:val="auto"/>
                <w:sz w:val="28"/>
                <w:szCs w:val="28"/>
                <w:lang w:val="en-US" w:eastAsia="zh-CN"/>
              </w:rPr>
              <w:t>2</w:t>
            </w:r>
            <w:r>
              <w:rPr>
                <w:rFonts w:hint="eastAsia" w:ascii="仿宋_GB2312" w:hAnsi="仿宋" w:eastAsia="仿宋_GB2312"/>
                <w:color w:val="auto"/>
                <w:sz w:val="28"/>
                <w:szCs w:val="28"/>
              </w:rPr>
              <w:t>0分，需提供合同关键页</w:t>
            </w:r>
            <w:r>
              <w:rPr>
                <w:rFonts w:hint="eastAsia" w:ascii="仿宋_GB2312" w:hAnsi="仿宋" w:eastAsia="仿宋_GB2312"/>
                <w:color w:val="auto"/>
                <w:sz w:val="28"/>
                <w:szCs w:val="28"/>
                <w:lang w:eastAsia="zh-CN"/>
              </w:rPr>
              <w:t>（关键信息包括但不仅限于体现项目的内容、签订日期等）或中标通知书</w:t>
            </w:r>
            <w:r>
              <w:rPr>
                <w:rFonts w:hint="eastAsia" w:ascii="仿宋_GB2312" w:hAnsi="仿宋" w:eastAsia="仿宋_GB2312"/>
                <w:color w:val="auto"/>
                <w:sz w:val="28"/>
                <w:szCs w:val="28"/>
              </w:rPr>
              <w:t>扫描件</w:t>
            </w:r>
            <w:r>
              <w:rPr>
                <w:rFonts w:hint="eastAsia" w:ascii="仿宋_GB2312" w:hAnsi="仿宋" w:eastAsia="仿宋_GB2312"/>
                <w:color w:val="auto"/>
                <w:sz w:val="28"/>
                <w:szCs w:val="28"/>
                <w:lang w:val="en-US" w:eastAsia="zh-CN"/>
              </w:rPr>
              <w:t>（原件备查）</w:t>
            </w:r>
            <w:r>
              <w:rPr>
                <w:rFonts w:hint="eastAsia" w:ascii="仿宋_GB2312" w:hAnsi="仿宋" w:eastAsia="仿宋_GB2312"/>
                <w:color w:val="auto"/>
                <w:sz w:val="28"/>
                <w:szCs w:val="28"/>
              </w:rPr>
              <w:t>，未提供</w:t>
            </w:r>
            <w:r>
              <w:rPr>
                <w:rFonts w:hint="eastAsia" w:ascii="仿宋_GB2312" w:hAnsi="仿宋" w:eastAsia="仿宋_GB2312"/>
                <w:color w:val="auto"/>
                <w:sz w:val="28"/>
                <w:szCs w:val="28"/>
                <w:lang w:eastAsia="zh-CN"/>
              </w:rPr>
              <w:t>证明材料或所提供证明材料未能体现上述评分内容的</w:t>
            </w:r>
            <w:r>
              <w:rPr>
                <w:rFonts w:hint="eastAsia" w:ascii="仿宋_GB2312" w:hAnsi="仿宋" w:eastAsia="仿宋_GB2312"/>
                <w:color w:val="auto"/>
                <w:sz w:val="28"/>
                <w:szCs w:val="28"/>
              </w:rPr>
              <w:t>不得分。</w:t>
            </w:r>
          </w:p>
        </w:tc>
      </w:tr>
      <w:tr w14:paraId="3365ACB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  <w:jc w:val="center"/>
        </w:trPr>
        <w:tc>
          <w:tcPr>
            <w:tcW w:w="1464" w:type="dxa"/>
            <w:noWrap w:val="0"/>
            <w:vAlign w:val="center"/>
          </w:tcPr>
          <w:p w14:paraId="2D99AC60">
            <w:pPr>
              <w:keepNext w:val="0"/>
              <w:keepLines w:val="0"/>
              <w:pageBreakBefore w:val="0"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center"/>
              <w:textAlignment w:val="auto"/>
              <w:rPr>
                <w:rFonts w:hint="eastAsia" w:ascii="仿宋_GB2312" w:eastAsia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color w:val="auto"/>
                <w:sz w:val="28"/>
                <w:szCs w:val="28"/>
                <w:lang w:eastAsia="zh-CN"/>
              </w:rPr>
              <w:t>团队资质</w:t>
            </w:r>
          </w:p>
        </w:tc>
        <w:tc>
          <w:tcPr>
            <w:tcW w:w="930" w:type="dxa"/>
            <w:noWrap w:val="0"/>
            <w:vAlign w:val="center"/>
          </w:tcPr>
          <w:p w14:paraId="048D25AC">
            <w:pPr>
              <w:keepNext w:val="0"/>
              <w:keepLines w:val="0"/>
              <w:pageBreakBefore w:val="0"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center"/>
              <w:textAlignment w:val="auto"/>
              <w:rPr>
                <w:rFonts w:hint="default" w:ascii="仿宋_GB2312" w:eastAsia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color w:val="auto"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6956" w:type="dxa"/>
            <w:noWrap w:val="0"/>
            <w:vAlign w:val="center"/>
          </w:tcPr>
          <w:p w14:paraId="76A3C91F">
            <w:pPr>
              <w:keepNext w:val="0"/>
              <w:keepLines w:val="0"/>
              <w:pageBreakBefore w:val="0"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textAlignment w:val="auto"/>
              <w:rPr>
                <w:rFonts w:hint="default" w:ascii="仿宋_GB2312" w:hAnsi="仿宋" w:eastAsia="仿宋_GB2312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auto"/>
                <w:sz w:val="28"/>
                <w:szCs w:val="28"/>
                <w:lang w:val="en-US" w:eastAsia="zh-CN"/>
              </w:rPr>
              <w:t>报名供应商拟派项目团队成员具有文化、艺术、舞台技术相关专业技术职称，提供高级/一级证书得10分，副高级/二级证书得5分，最高得10分。需提供相关资质证明文件扫描件（原件备查），未提供证明材料或所提供证明材料未能体现上述评分内容的不得分。</w:t>
            </w:r>
          </w:p>
        </w:tc>
      </w:tr>
      <w:tr w14:paraId="490C69E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  <w:jc w:val="center"/>
        </w:trPr>
        <w:tc>
          <w:tcPr>
            <w:tcW w:w="1464" w:type="dxa"/>
            <w:noWrap w:val="0"/>
            <w:vAlign w:val="center"/>
          </w:tcPr>
          <w:p w14:paraId="0DB0A3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center"/>
              <w:textAlignment w:val="auto"/>
              <w:rPr>
                <w:rFonts w:ascii="仿宋_GB2312" w:hAnsi="Calibri" w:eastAsia="仿宋_GB2312" w:cs="Times New Roman"/>
                <w:color w:val="auto"/>
                <w:sz w:val="28"/>
                <w:szCs w:val="28"/>
              </w:rPr>
            </w:pPr>
            <w:r>
              <w:rPr>
                <w:rFonts w:hint="eastAsia" w:ascii="仿宋_GB2312" w:hAnsi="Calibri" w:eastAsia="仿宋_GB2312" w:cs="Times New Roman"/>
                <w:color w:val="auto"/>
                <w:sz w:val="28"/>
                <w:szCs w:val="28"/>
              </w:rPr>
              <w:t>实施方案</w:t>
            </w:r>
          </w:p>
        </w:tc>
        <w:tc>
          <w:tcPr>
            <w:tcW w:w="930" w:type="dxa"/>
            <w:noWrap w:val="0"/>
            <w:vAlign w:val="center"/>
          </w:tcPr>
          <w:p w14:paraId="3F84EC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center"/>
              <w:textAlignment w:val="auto"/>
              <w:rPr>
                <w:rFonts w:hint="default" w:ascii="仿宋_GB2312" w:hAnsi="Calibri" w:eastAsia="仿宋_GB2312" w:cs="Times New Roman"/>
                <w:color w:val="auto"/>
                <w:sz w:val="28"/>
                <w:szCs w:val="28"/>
                <w:lang w:val="en-US"/>
              </w:rPr>
            </w:pPr>
            <w:r>
              <w:rPr>
                <w:rFonts w:hint="eastAsia" w:ascii="仿宋_GB2312" w:hAnsi="Calibri" w:eastAsia="仿宋_GB2312" w:cs="Times New Roman"/>
                <w:color w:val="auto"/>
                <w:sz w:val="28"/>
                <w:szCs w:val="28"/>
                <w:lang w:val="en-US" w:eastAsia="zh-CN"/>
              </w:rPr>
              <w:t>40</w:t>
            </w:r>
          </w:p>
        </w:tc>
        <w:tc>
          <w:tcPr>
            <w:tcW w:w="6956" w:type="dxa"/>
            <w:noWrap w:val="0"/>
            <w:vAlign w:val="center"/>
          </w:tcPr>
          <w:p w14:paraId="6307A3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textAlignment w:val="auto"/>
              <w:rPr>
                <w:rFonts w:hint="eastAsia" w:ascii="仿宋_GB2312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sz w:val="28"/>
                <w:szCs w:val="28"/>
              </w:rPr>
              <w:t>根据</w:t>
            </w:r>
            <w:r>
              <w:rPr>
                <w:rFonts w:hint="eastAsia" w:ascii="仿宋_GB2312" w:eastAsia="仿宋_GB2312"/>
                <w:color w:val="auto"/>
                <w:sz w:val="28"/>
                <w:szCs w:val="28"/>
                <w:lang w:eastAsia="zh-CN"/>
              </w:rPr>
              <w:t>报名</w:t>
            </w:r>
            <w:r>
              <w:rPr>
                <w:rFonts w:hint="eastAsia" w:ascii="仿宋_GB2312" w:eastAsia="仿宋_GB2312"/>
                <w:color w:val="auto"/>
                <w:sz w:val="28"/>
                <w:szCs w:val="28"/>
              </w:rPr>
              <w:t>供应商针对本项目制定的实施方案进行评分：</w:t>
            </w:r>
          </w:p>
          <w:p w14:paraId="35F0C43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textAlignment w:val="auto"/>
              <w:rPr>
                <w:rFonts w:hint="eastAsia" w:ascii="仿宋_GB2312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sz w:val="28"/>
                <w:szCs w:val="28"/>
                <w:lang w:val="en-US" w:eastAsia="zh-CN"/>
              </w:rPr>
              <w:t>1.</w:t>
            </w:r>
            <w:r>
              <w:rPr>
                <w:rFonts w:hint="eastAsia" w:ascii="仿宋_GB2312" w:eastAsia="仿宋_GB2312"/>
                <w:color w:val="auto"/>
                <w:sz w:val="28"/>
                <w:szCs w:val="28"/>
              </w:rPr>
              <w:t>供应商需提供项目实施方案，内容包括</w:t>
            </w:r>
            <w:r>
              <w:rPr>
                <w:rFonts w:hint="eastAsia" w:ascii="仿宋_GB2312" w:eastAsia="仿宋_GB2312"/>
                <w:color w:val="auto"/>
                <w:sz w:val="28"/>
                <w:szCs w:val="28"/>
                <w:lang w:eastAsia="zh-CN"/>
              </w:rPr>
              <w:t>活动内容；活动亮点；</w:t>
            </w:r>
            <w:r>
              <w:rPr>
                <w:rFonts w:hint="eastAsia" w:ascii="仿宋_GB2312" w:eastAsia="仿宋_GB2312"/>
                <w:color w:val="auto"/>
                <w:sz w:val="28"/>
                <w:szCs w:val="28"/>
              </w:rPr>
              <w:t>拟演出剧目、拟邀团队情况</w:t>
            </w:r>
            <w:r>
              <w:rPr>
                <w:rFonts w:hint="eastAsia" w:ascii="仿宋_GB2312" w:eastAsia="仿宋_GB2312"/>
                <w:color w:val="auto"/>
                <w:sz w:val="28"/>
                <w:szCs w:val="28"/>
                <w:lang w:eastAsia="zh-CN"/>
              </w:rPr>
              <w:t>。</w:t>
            </w:r>
          </w:p>
          <w:p w14:paraId="50C529F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textAlignment w:val="auto"/>
              <w:rPr>
                <w:rFonts w:hint="eastAsia" w:ascii="仿宋_GB2312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sz w:val="28"/>
                <w:szCs w:val="28"/>
              </w:rPr>
              <w:t>提供上述三项</w:t>
            </w:r>
            <w:r>
              <w:rPr>
                <w:rFonts w:hint="eastAsia" w:ascii="仿宋_GB2312" w:eastAsia="仿宋_GB2312"/>
                <w:color w:val="auto"/>
                <w:sz w:val="28"/>
                <w:szCs w:val="28"/>
                <w:lang w:eastAsia="zh-CN"/>
              </w:rPr>
              <w:t>及以上</w:t>
            </w:r>
            <w:r>
              <w:rPr>
                <w:rFonts w:hint="eastAsia" w:ascii="仿宋_GB2312" w:eastAsia="仿宋_GB2312"/>
                <w:color w:val="auto"/>
                <w:sz w:val="28"/>
                <w:szCs w:val="28"/>
              </w:rPr>
              <w:t>内容得15分；提供上述两项内容得10分；提供上述一项内容得5分</w:t>
            </w:r>
            <w:r>
              <w:rPr>
                <w:rFonts w:hint="eastAsia" w:ascii="仿宋_GB2312" w:eastAsia="仿宋_GB2312"/>
                <w:color w:val="auto"/>
                <w:sz w:val="28"/>
                <w:szCs w:val="28"/>
                <w:lang w:eastAsia="zh-CN"/>
              </w:rPr>
              <w:t>；</w:t>
            </w:r>
            <w:r>
              <w:rPr>
                <w:rFonts w:hint="eastAsia" w:ascii="仿宋_GB2312" w:eastAsia="仿宋_GB2312"/>
                <w:color w:val="auto"/>
                <w:sz w:val="28"/>
                <w:szCs w:val="28"/>
              </w:rPr>
              <w:t xml:space="preserve">未提供方案的不得分。 </w:t>
            </w:r>
          </w:p>
          <w:p w14:paraId="3173B6D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textAlignment w:val="auto"/>
              <w:rPr>
                <w:rFonts w:hint="eastAsia" w:ascii="仿宋_GB2312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sz w:val="28"/>
                <w:szCs w:val="28"/>
                <w:lang w:val="en-US" w:eastAsia="zh-CN"/>
              </w:rPr>
              <w:t>2.</w:t>
            </w:r>
            <w:r>
              <w:rPr>
                <w:rFonts w:hint="eastAsia" w:ascii="仿宋_GB2312" w:eastAsia="仿宋_GB2312"/>
                <w:color w:val="auto"/>
                <w:sz w:val="28"/>
                <w:szCs w:val="28"/>
              </w:rPr>
              <w:t xml:space="preserve">在此基础上，根据各供应商的具体响应内容分档评分。 </w:t>
            </w:r>
          </w:p>
          <w:p w14:paraId="78FDB9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textAlignment w:val="auto"/>
              <w:rPr>
                <w:rFonts w:hint="eastAsia" w:ascii="仿宋_GB2312" w:hAnsi="仿宋" w:eastAsia="仿宋_GB2312" w:cs="Times New Roman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" w:eastAsia="仿宋_GB2312" w:cs="Times New Roman"/>
                <w:color w:val="auto"/>
                <w:sz w:val="28"/>
                <w:szCs w:val="28"/>
                <w:lang w:eastAsia="zh-CN"/>
              </w:rPr>
              <w:t>①评审为优：总体方案专业性强、亮点突出，能根据采购单位需求进行详细分析，方案合理，加25分；</w:t>
            </w:r>
          </w:p>
          <w:p w14:paraId="0B6E706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textAlignment w:val="auto"/>
              <w:rPr>
                <w:rFonts w:hint="eastAsia" w:ascii="仿宋_GB2312" w:hAnsi="仿宋" w:eastAsia="仿宋_GB2312" w:cs="Times New Roman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" w:eastAsia="仿宋_GB2312" w:cs="Times New Roman"/>
                <w:color w:val="auto"/>
                <w:sz w:val="28"/>
                <w:szCs w:val="28"/>
                <w:lang w:eastAsia="zh-CN"/>
              </w:rPr>
              <w:t>②评审为良好：总体方案专业性强、有一定亮点，切合项目实际情况，方案合理，加20分；</w:t>
            </w:r>
          </w:p>
          <w:p w14:paraId="6EF157A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textAlignment w:val="auto"/>
              <w:rPr>
                <w:rFonts w:hint="eastAsia" w:ascii="仿宋_GB2312" w:hAnsi="仿宋" w:eastAsia="仿宋_GB2312" w:cs="Times New Roman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" w:eastAsia="仿宋_GB2312" w:cs="Times New Roman"/>
                <w:color w:val="auto"/>
                <w:sz w:val="28"/>
                <w:szCs w:val="28"/>
                <w:lang w:eastAsia="zh-CN"/>
              </w:rPr>
              <w:t>③评审为良：总体方案有一定专业性、亮点，切合项目实际情况，方案合理，加15分；</w:t>
            </w:r>
          </w:p>
          <w:p w14:paraId="3B2CCC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textAlignment w:val="auto"/>
              <w:rPr>
                <w:rFonts w:hint="eastAsia" w:ascii="仿宋_GB2312" w:hAnsi="仿宋" w:eastAsia="仿宋_GB2312" w:cs="Times New Roman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" w:eastAsia="仿宋_GB2312" w:cs="Times New Roman"/>
                <w:color w:val="auto"/>
                <w:sz w:val="28"/>
                <w:szCs w:val="28"/>
                <w:lang w:eastAsia="zh-CN"/>
              </w:rPr>
              <w:t xml:space="preserve">④评审为中：总体方案无突出亮点，符合项目需求，方案较合理，加10分； </w:t>
            </w:r>
          </w:p>
          <w:p w14:paraId="56AB409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textAlignment w:val="auto"/>
              <w:rPr>
                <w:rFonts w:hint="eastAsia" w:ascii="仿宋_GB2312" w:hAnsi="仿宋" w:eastAsia="仿宋_GB2312" w:cs="Times New Roman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" w:eastAsia="仿宋_GB2312" w:cs="Times New Roman"/>
                <w:color w:val="auto"/>
                <w:sz w:val="28"/>
                <w:szCs w:val="28"/>
                <w:lang w:eastAsia="zh-CN"/>
              </w:rPr>
              <w:t xml:space="preserve">⑤评审为合格：总体方案较符合项目需求，方案较合理，加5分； </w:t>
            </w:r>
          </w:p>
          <w:p w14:paraId="7C19FBA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textAlignment w:val="auto"/>
              <w:rPr>
                <w:rFonts w:hint="eastAsia" w:ascii="仿宋_GB2312" w:hAnsi="仿宋" w:eastAsia="仿宋_GB2312" w:cs="Times New Roman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" w:eastAsia="仿宋_GB2312" w:cs="Times New Roman"/>
                <w:color w:val="auto"/>
                <w:sz w:val="28"/>
                <w:szCs w:val="28"/>
                <w:lang w:eastAsia="zh-CN"/>
              </w:rPr>
              <w:t>⑥评审为差：总体方案不符合项目需求，方案较差，不加分。</w:t>
            </w:r>
          </w:p>
        </w:tc>
      </w:tr>
      <w:tr w14:paraId="5047150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  <w:jc w:val="center"/>
        </w:trPr>
        <w:tc>
          <w:tcPr>
            <w:tcW w:w="1464" w:type="dxa"/>
            <w:noWrap w:val="0"/>
            <w:vAlign w:val="center"/>
          </w:tcPr>
          <w:p w14:paraId="1D8C78C9">
            <w:pPr>
              <w:keepNext w:val="0"/>
              <w:keepLines w:val="0"/>
              <w:pageBreakBefore w:val="0"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center"/>
              <w:textAlignment w:val="auto"/>
              <w:rPr>
                <w:rFonts w:ascii="仿宋_GB2312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sz w:val="28"/>
                <w:szCs w:val="28"/>
              </w:rPr>
              <w:t>总分</w:t>
            </w:r>
          </w:p>
        </w:tc>
        <w:tc>
          <w:tcPr>
            <w:tcW w:w="930" w:type="dxa"/>
            <w:noWrap w:val="0"/>
            <w:vAlign w:val="center"/>
          </w:tcPr>
          <w:p w14:paraId="4E9DF3A1">
            <w:pPr>
              <w:keepNext w:val="0"/>
              <w:keepLines w:val="0"/>
              <w:pageBreakBefore w:val="0"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center"/>
              <w:textAlignment w:val="auto"/>
              <w:rPr>
                <w:rFonts w:ascii="仿宋_GB2312" w:eastAsia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auto"/>
                <w:sz w:val="28"/>
                <w:szCs w:val="28"/>
              </w:rPr>
              <w:t>100</w:t>
            </w:r>
          </w:p>
        </w:tc>
        <w:tc>
          <w:tcPr>
            <w:tcW w:w="6956" w:type="dxa"/>
            <w:noWrap w:val="0"/>
            <w:vAlign w:val="center"/>
          </w:tcPr>
          <w:p w14:paraId="0CD55FEE">
            <w:pPr>
              <w:keepNext w:val="0"/>
              <w:keepLines w:val="0"/>
              <w:pageBreakBefore w:val="0"/>
              <w:tabs>
                <w:tab w:val="left" w:pos="426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580" w:lineRule="exact"/>
              <w:jc w:val="center"/>
              <w:textAlignment w:val="auto"/>
              <w:rPr>
                <w:rFonts w:ascii="仿宋_GB2312" w:eastAsia="仿宋_GB2312"/>
                <w:color w:val="auto"/>
                <w:sz w:val="28"/>
                <w:szCs w:val="28"/>
              </w:rPr>
            </w:pPr>
          </w:p>
        </w:tc>
      </w:tr>
    </w:tbl>
    <w:p w14:paraId="3A94F2AA"/>
    <w:p w14:paraId="4560E51B"/>
    <w:sectPr>
      <w:footerReference r:id="rId3" w:type="default"/>
      <w:pgSz w:w="11906" w:h="16838"/>
      <w:pgMar w:top="1814" w:right="1474" w:bottom="1814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A02F9F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2A2D378">
                          <w:pPr>
                            <w:pStyle w:val="2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2A2D378">
                    <w:pPr>
                      <w:pStyle w:val="2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67B636"/>
    <w:rsid w:val="2B5F08AD"/>
    <w:rsid w:val="2FEBE39D"/>
    <w:rsid w:val="5C67B636"/>
    <w:rsid w:val="5EFF6A7E"/>
    <w:rsid w:val="6BF632EB"/>
    <w:rsid w:val="6FE5F8D7"/>
    <w:rsid w:val="6FFD21BD"/>
    <w:rsid w:val="7E7B3E2D"/>
    <w:rsid w:val="B6DEE327"/>
    <w:rsid w:val="EF3FD545"/>
    <w:rsid w:val="EFD3C2FD"/>
    <w:rsid w:val="FAEEF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29</TotalTime>
  <ScaleCrop>false</ScaleCrop>
  <LinksUpToDate>false</LinksUpToDate>
  <CharactersWithSpaces>0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2026-07-11T08:28:00Z</dcterms:created>
  <dc:creator>yt</dc:creator>
  <cp:lastModifiedBy>yt</cp:lastModifiedBy>
  <dcterms:modified xsi:type="dcterms:W3CDTF">2026-07-13T10:21:25Z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ICV">
    <vt:lpwstr>8A867A5647CBAF6849AD506AD1AB7E55_41</vt:lpwstr>
  </property>
</Properties>
</file>