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E404EF">
      <w:pPr>
        <w:autoSpaceDE w:val="0"/>
        <w:autoSpaceDN w:val="0"/>
        <w:spacing w:after="240" w:afterLines="100"/>
        <w:jc w:val="center"/>
        <w:textAlignment w:val="bottom"/>
        <w:rPr>
          <w:rFonts w:hint="eastAsia" w:ascii="黑体" w:hAnsi="黑体" w:eastAsia="黑体" w:cs="黑体"/>
          <w:bCs/>
          <w:color w:val="000000"/>
          <w:sz w:val="72"/>
          <w:szCs w:val="72"/>
          <w:lang w:eastAsia="zh-CN"/>
        </w:rPr>
      </w:pPr>
      <w:r>
        <w:rPr>
          <w:rFonts w:hint="eastAsia" w:ascii="黑体" w:hAnsi="黑体" w:eastAsia="黑体" w:cs="黑体"/>
          <w:bCs/>
          <w:color w:val="000000"/>
          <w:sz w:val="72"/>
          <w:szCs w:val="72"/>
          <w:lang w:eastAsia="zh-CN"/>
        </w:rPr>
        <w:t>中山大学附属第八医院（深圳福田）生物实验室项目小动物MR成像系统</w:t>
      </w:r>
    </w:p>
    <w:p w14:paraId="1A9E1FA4">
      <w:pPr>
        <w:pStyle w:val="21"/>
      </w:pPr>
    </w:p>
    <w:p w14:paraId="3F308FC0">
      <w:pPr>
        <w:pStyle w:val="11"/>
      </w:pPr>
    </w:p>
    <w:p w14:paraId="450782EE">
      <w:pPr>
        <w:tabs>
          <w:tab w:val="left" w:pos="1620"/>
        </w:tabs>
        <w:autoSpaceDE w:val="0"/>
        <w:autoSpaceDN w:val="0"/>
        <w:spacing w:line="360" w:lineRule="auto"/>
        <w:ind w:right="-36"/>
        <w:jc w:val="center"/>
        <w:textAlignment w:val="bottom"/>
        <w:rPr>
          <w:rFonts w:hint="eastAsia" w:ascii="黑体" w:hAnsi="黑体" w:eastAsia="黑体" w:cs="黑体"/>
          <w:bCs/>
          <w:color w:val="000000"/>
          <w:sz w:val="28"/>
          <w:szCs w:val="28"/>
        </w:rPr>
      </w:pPr>
      <w:r>
        <w:rPr>
          <w:rFonts w:hint="eastAsia" w:ascii="黑体" w:hAnsi="黑体" w:eastAsia="黑体" w:cs="黑体"/>
          <w:bCs/>
          <w:color w:val="000000"/>
          <w:sz w:val="84"/>
          <w:szCs w:val="84"/>
        </w:rPr>
        <w:t>招 标 文 件</w:t>
      </w:r>
    </w:p>
    <w:p w14:paraId="4C36B78E">
      <w:pPr>
        <w:autoSpaceDE w:val="0"/>
        <w:autoSpaceDN w:val="0"/>
        <w:spacing w:line="360" w:lineRule="auto"/>
        <w:ind w:right="-36"/>
        <w:jc w:val="center"/>
        <w:textAlignment w:val="bottom"/>
        <w:rPr>
          <w:color w:val="000000"/>
        </w:rPr>
      </w:pPr>
      <w:r>
        <w:rPr>
          <w:rFonts w:hint="eastAsia" w:ascii="黑体" w:hAnsi="黑体" w:eastAsia="黑体" w:cs="黑体"/>
          <w:bCs/>
          <w:color w:val="000000"/>
          <w:sz w:val="28"/>
          <w:szCs w:val="28"/>
        </w:rPr>
        <w:t>（项目编号：</w:t>
      </w:r>
      <w:r>
        <w:rPr>
          <w:rFonts w:hint="eastAsia" w:ascii="黑体" w:hAnsi="黑体" w:eastAsia="黑体" w:cs="黑体"/>
          <w:bCs/>
          <w:color w:val="000000"/>
          <w:sz w:val="28"/>
          <w:szCs w:val="28"/>
          <w:lang w:eastAsia="zh-CN"/>
        </w:rPr>
        <w:t>FTDL2026000110</w:t>
      </w:r>
      <w:r>
        <w:rPr>
          <w:rFonts w:hint="eastAsia" w:ascii="黑体" w:hAnsi="黑体" w:eastAsia="黑体" w:cs="黑体"/>
          <w:bCs/>
          <w:color w:val="000000"/>
          <w:sz w:val="28"/>
          <w:szCs w:val="28"/>
        </w:rPr>
        <w:t>）</w:t>
      </w:r>
    </w:p>
    <w:p w14:paraId="6A2CAD48">
      <w:pPr>
        <w:jc w:val="center"/>
        <w:rPr>
          <w:rFonts w:hint="eastAsia" w:ascii="黑体" w:hAnsi="黑体" w:eastAsia="黑体" w:cs="黑体"/>
          <w:b/>
          <w:color w:val="000000"/>
          <w:sz w:val="28"/>
          <w:szCs w:val="28"/>
        </w:rPr>
      </w:pPr>
      <w:r>
        <w:rPr>
          <w:rFonts w:hint="eastAsia" w:ascii="黑体" w:hAnsi="黑体" w:eastAsia="黑体" w:cs="黑体"/>
          <w:b/>
          <w:sz w:val="28"/>
          <w:szCs w:val="28"/>
        </w:rPr>
        <w:drawing>
          <wp:inline distT="0" distB="0" distL="114300" distR="114300">
            <wp:extent cx="1800225" cy="1800225"/>
            <wp:effectExtent l="0" t="0" r="9525" b="9525"/>
            <wp:docPr id="6" name="图片 1" descr="招标文件封面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招标文件封面二维码"/>
                    <pic:cNvPicPr>
                      <a:picLocks noChangeAspect="1"/>
                    </pic:cNvPicPr>
                  </pic:nvPicPr>
                  <pic:blipFill>
                    <a:blip r:embed="rId7"/>
                    <a:stretch>
                      <a:fillRect/>
                    </a:stretch>
                  </pic:blipFill>
                  <pic:spPr>
                    <a:xfrm>
                      <a:off x="0" y="0"/>
                      <a:ext cx="1800225" cy="1800225"/>
                    </a:xfrm>
                    <a:prstGeom prst="rect">
                      <a:avLst/>
                    </a:prstGeom>
                    <a:noFill/>
                    <a:ln>
                      <a:noFill/>
                    </a:ln>
                  </pic:spPr>
                </pic:pic>
              </a:graphicData>
            </a:graphic>
          </wp:inline>
        </w:drawing>
      </w:r>
    </w:p>
    <w:p w14:paraId="4F00962C">
      <w:pPr>
        <w:pStyle w:val="21"/>
        <w:rPr>
          <w:rFonts w:hint="eastAsia" w:ascii="黑体" w:hAnsi="黑体" w:eastAsia="黑体" w:cs="黑体"/>
          <w:bCs/>
          <w:color w:val="000000"/>
          <w:sz w:val="36"/>
          <w:szCs w:val="36"/>
        </w:rPr>
      </w:pPr>
    </w:p>
    <w:p w14:paraId="648DE8DA">
      <w:pPr>
        <w:pStyle w:val="21"/>
        <w:rPr>
          <w:rFonts w:hint="eastAsia" w:ascii="黑体" w:hAnsi="黑体" w:eastAsia="黑体" w:cs="黑体"/>
          <w:bCs/>
          <w:color w:val="000000"/>
          <w:sz w:val="36"/>
          <w:szCs w:val="36"/>
        </w:rPr>
      </w:pPr>
    </w:p>
    <w:p w14:paraId="332AEF5A">
      <w:pPr>
        <w:autoSpaceDE w:val="0"/>
        <w:autoSpaceDN w:val="0"/>
        <w:spacing w:line="360" w:lineRule="auto"/>
        <w:ind w:right="-36"/>
        <w:jc w:val="center"/>
        <w:textAlignment w:val="bottom"/>
        <w:rPr>
          <w:rFonts w:hint="eastAsia" w:ascii="黑体" w:hAnsi="黑体" w:eastAsia="黑体" w:cs="黑体"/>
          <w:bCs/>
          <w:color w:val="000000"/>
          <w:sz w:val="36"/>
          <w:szCs w:val="36"/>
          <w:lang w:eastAsia="zh-CN"/>
        </w:rPr>
      </w:pPr>
      <w:r>
        <w:rPr>
          <w:rFonts w:hint="eastAsia" w:ascii="黑体" w:hAnsi="黑体" w:eastAsia="黑体" w:cs="黑体"/>
          <w:bCs/>
          <w:color w:val="000000"/>
          <w:sz w:val="36"/>
          <w:szCs w:val="36"/>
        </w:rPr>
        <w:t>采购人：</w:t>
      </w:r>
      <w:r>
        <w:rPr>
          <w:rFonts w:hint="eastAsia" w:ascii="黑体" w:hAnsi="黑体" w:eastAsia="黑体" w:cs="黑体"/>
          <w:bCs/>
          <w:color w:val="000000"/>
          <w:sz w:val="36"/>
          <w:szCs w:val="36"/>
          <w:lang w:eastAsia="zh-CN"/>
        </w:rPr>
        <w:t>中山大学附属第八医院（深圳福田）</w:t>
      </w:r>
    </w:p>
    <w:p w14:paraId="112D28B7">
      <w:pPr>
        <w:autoSpaceDE w:val="0"/>
        <w:autoSpaceDN w:val="0"/>
        <w:spacing w:line="360" w:lineRule="auto"/>
        <w:ind w:right="-36"/>
        <w:jc w:val="center"/>
        <w:textAlignment w:val="bottom"/>
        <w:rPr>
          <w:rFonts w:hint="eastAsia" w:ascii="黑体" w:hAnsi="黑体" w:eastAsia="黑体" w:cs="黑体"/>
          <w:bCs/>
          <w:color w:val="000000"/>
          <w:sz w:val="36"/>
          <w:szCs w:val="36"/>
        </w:rPr>
      </w:pPr>
      <w:r>
        <w:rPr>
          <w:rFonts w:hint="eastAsia" w:ascii="黑体" w:hAnsi="黑体" w:eastAsia="黑体" w:cs="黑体"/>
          <w:bCs/>
          <w:color w:val="000000"/>
          <w:sz w:val="36"/>
          <w:szCs w:val="36"/>
        </w:rPr>
        <w:t>采购代理：中国远东国际招标有限公司</w:t>
      </w:r>
    </w:p>
    <w:p w14:paraId="0C7F9FDE">
      <w:pPr>
        <w:jc w:val="center"/>
        <w:rPr>
          <w:rFonts w:hint="eastAsia" w:ascii="黑体" w:hAnsi="黑体" w:eastAsia="黑体" w:cs="黑体"/>
          <w:bCs/>
          <w:color w:val="000000"/>
          <w:sz w:val="36"/>
          <w:szCs w:val="36"/>
        </w:rPr>
      </w:pPr>
      <w:r>
        <w:rPr>
          <w:rFonts w:hint="eastAsia" w:ascii="黑体" w:hAnsi="黑体" w:eastAsia="黑体" w:cs="黑体"/>
          <w:bCs/>
          <w:color w:val="000000"/>
          <w:sz w:val="36"/>
          <w:szCs w:val="36"/>
        </w:rPr>
        <w:t>2026年</w:t>
      </w:r>
    </w:p>
    <w:p w14:paraId="1724C1A5">
      <w:pPr>
        <w:autoSpaceDE w:val="0"/>
        <w:autoSpaceDN w:val="0"/>
        <w:adjustRightInd w:val="0"/>
        <w:jc w:val="center"/>
        <w:rPr>
          <w:rFonts w:ascii="宋体" w:hAnsi="宋体" w:cs="仿宋_GB2312"/>
          <w:color w:val="FF0000"/>
        </w:rPr>
      </w:pPr>
      <w:r>
        <w:rPr>
          <w:rFonts w:hint="eastAsia" w:ascii="宋体" w:hAnsi="宋体" w:cs="仿宋_GB2312"/>
          <w:b/>
          <w:bCs/>
          <w:color w:val="FF0000"/>
        </w:rPr>
        <w:br w:type="page"/>
      </w:r>
      <w:r>
        <w:rPr>
          <w:rFonts w:hint="eastAsia" w:ascii="宋体" w:hAnsi="宋体" w:cs="仿宋_GB2312"/>
          <w:b/>
          <w:bCs/>
          <w:color w:val="FF0000"/>
        </w:rPr>
        <w:t>特别警示条款</w:t>
      </w:r>
    </w:p>
    <w:p w14:paraId="7825A10B">
      <w:pPr>
        <w:autoSpaceDE w:val="0"/>
        <w:autoSpaceDN w:val="0"/>
        <w:adjustRightInd w:val="0"/>
        <w:spacing w:line="300" w:lineRule="exact"/>
        <w:ind w:firstLine="360" w:firstLineChars="200"/>
        <w:rPr>
          <w:rFonts w:ascii="宋体" w:hAnsi="宋体" w:cs="宋体"/>
          <w:b/>
          <w:bCs/>
          <w:color w:val="FF0000"/>
          <w:sz w:val="18"/>
          <w:szCs w:val="18"/>
        </w:rPr>
      </w:pPr>
      <w:r>
        <w:rPr>
          <w:rFonts w:hint="eastAsia" w:ascii="宋体" w:hAnsi="宋体" w:cs="宋体"/>
          <w:b/>
          <w:bCs/>
          <w:color w:val="FF0000"/>
          <w:sz w:val="18"/>
          <w:szCs w:val="18"/>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7498"/>
      </w:tblGrid>
      <w:tr w14:paraId="0144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11" w:type="dxa"/>
            <w:vAlign w:val="center"/>
          </w:tcPr>
          <w:p w14:paraId="56A0157C">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序号</w:t>
            </w:r>
          </w:p>
        </w:tc>
        <w:tc>
          <w:tcPr>
            <w:tcW w:w="7711" w:type="dxa"/>
            <w:vAlign w:val="center"/>
          </w:tcPr>
          <w:p w14:paraId="566524DD">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b/>
                <w:bCs/>
                <w:color w:val="FF0000"/>
                <w:sz w:val="18"/>
                <w:szCs w:val="18"/>
              </w:rPr>
              <w:t>供应商参与投标禁止情形</w:t>
            </w:r>
          </w:p>
        </w:tc>
      </w:tr>
      <w:tr w14:paraId="4806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2E496E7E">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1</w:t>
            </w:r>
          </w:p>
        </w:tc>
        <w:tc>
          <w:tcPr>
            <w:tcW w:w="7711" w:type="dxa"/>
            <w:vAlign w:val="center"/>
          </w:tcPr>
          <w:p w14:paraId="52209BCF">
            <w:pPr>
              <w:widowControl w:val="0"/>
              <w:spacing w:line="400" w:lineRule="exact"/>
              <w:jc w:val="left"/>
              <w:rPr>
                <w:rFonts w:hint="eastAsia" w:ascii="宋体" w:hAnsi="宋体" w:eastAsia="宋体" w:cs="宋体"/>
                <w:color w:val="FF0000"/>
                <w:sz w:val="18"/>
                <w:szCs w:val="18"/>
              </w:rPr>
            </w:pPr>
            <w:r>
              <w:rPr>
                <w:rFonts w:hint="eastAsia" w:ascii="宋体" w:hAnsi="宋体" w:eastAsia="宋体" w:cs="宋体"/>
                <w:color w:val="FF0000"/>
                <w:sz w:val="18"/>
                <w:szCs w:val="18"/>
              </w:rPr>
              <w:t>与其他投标供应商的法定代表人、主要经营负责人、投标授权代表人、项目负责人、主要技术人员为</w:t>
            </w:r>
            <w:r>
              <w:rPr>
                <w:rFonts w:hint="eastAsia" w:ascii="宋体" w:hAnsi="宋体" w:eastAsia="宋体" w:cs="宋体"/>
                <w:b/>
                <w:bCs/>
                <w:color w:val="FF0000"/>
                <w:sz w:val="18"/>
                <w:szCs w:val="18"/>
              </w:rPr>
              <w:t>同一人、属同一单位或者在同一单位缴纳社会保险</w:t>
            </w:r>
            <w:r>
              <w:rPr>
                <w:rFonts w:hint="eastAsia" w:ascii="宋体" w:hAnsi="宋体" w:eastAsia="宋体" w:cs="宋体"/>
                <w:color w:val="FF0000"/>
                <w:sz w:val="18"/>
                <w:szCs w:val="18"/>
              </w:rPr>
              <w:t>。</w:t>
            </w:r>
          </w:p>
        </w:tc>
      </w:tr>
      <w:tr w14:paraId="772B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172C826">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2</w:t>
            </w:r>
          </w:p>
        </w:tc>
        <w:tc>
          <w:tcPr>
            <w:tcW w:w="7711" w:type="dxa"/>
            <w:vAlign w:val="center"/>
          </w:tcPr>
          <w:p w14:paraId="1B751ED1">
            <w:pPr>
              <w:widowControl w:val="0"/>
              <w:spacing w:line="400" w:lineRule="exact"/>
              <w:jc w:val="left"/>
              <w:rPr>
                <w:rFonts w:hint="eastAsia" w:ascii="宋体" w:hAnsi="宋体" w:eastAsia="宋体" w:cs="宋体"/>
                <w:color w:val="FF0000"/>
                <w:sz w:val="18"/>
                <w:szCs w:val="18"/>
              </w:rPr>
            </w:pPr>
            <w:r>
              <w:rPr>
                <w:rFonts w:hint="eastAsia" w:ascii="宋体" w:hAnsi="宋体" w:eastAsia="宋体" w:cs="宋体"/>
                <w:color w:val="FF0000"/>
                <w:sz w:val="18"/>
                <w:szCs w:val="18"/>
              </w:rPr>
              <w:t>参与本项目政府采购活动时，与其他投标供应商存在单位负责人为</w:t>
            </w:r>
            <w:r>
              <w:rPr>
                <w:rFonts w:hint="eastAsia" w:ascii="宋体" w:hAnsi="宋体" w:eastAsia="宋体" w:cs="宋体"/>
                <w:b/>
                <w:bCs/>
                <w:color w:val="FF0000"/>
                <w:sz w:val="18"/>
                <w:szCs w:val="18"/>
              </w:rPr>
              <w:t>同一人或直接控股、管理关系</w:t>
            </w:r>
            <w:r>
              <w:rPr>
                <w:rFonts w:hint="eastAsia" w:ascii="宋体" w:hAnsi="宋体" w:eastAsia="宋体" w:cs="宋体"/>
                <w:color w:val="FF0000"/>
                <w:sz w:val="18"/>
                <w:szCs w:val="18"/>
              </w:rPr>
              <w:t>。</w:t>
            </w:r>
          </w:p>
        </w:tc>
      </w:tr>
      <w:tr w14:paraId="3F43D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6C9EECD1">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3</w:t>
            </w:r>
          </w:p>
        </w:tc>
        <w:tc>
          <w:tcPr>
            <w:tcW w:w="7711" w:type="dxa"/>
            <w:vAlign w:val="center"/>
          </w:tcPr>
          <w:p w14:paraId="27F00D88">
            <w:pPr>
              <w:widowControl w:val="0"/>
              <w:spacing w:line="400" w:lineRule="exact"/>
              <w:jc w:val="left"/>
              <w:rPr>
                <w:rFonts w:hint="eastAsia" w:ascii="宋体" w:hAnsi="宋体" w:eastAsia="宋体" w:cs="宋体"/>
                <w:color w:val="FF0000"/>
                <w:sz w:val="18"/>
                <w:szCs w:val="18"/>
              </w:rPr>
            </w:pPr>
            <w:r>
              <w:rPr>
                <w:rFonts w:hint="eastAsia" w:ascii="宋体" w:hAnsi="宋体" w:eastAsia="宋体" w:cs="宋体"/>
                <w:color w:val="FF0000"/>
                <w:sz w:val="18"/>
                <w:szCs w:val="18"/>
              </w:rPr>
              <w:t>与其他投标供应商的投标文件或部分投标文件</w:t>
            </w:r>
            <w:r>
              <w:rPr>
                <w:rFonts w:hint="eastAsia" w:ascii="宋体" w:hAnsi="宋体" w:eastAsia="宋体" w:cs="宋体"/>
                <w:b/>
                <w:bCs/>
                <w:color w:val="FF0000"/>
                <w:sz w:val="18"/>
                <w:szCs w:val="18"/>
              </w:rPr>
              <w:t>相互混装或存在非正常一致</w:t>
            </w:r>
            <w:r>
              <w:rPr>
                <w:rFonts w:hint="eastAsia" w:ascii="宋体" w:hAnsi="宋体" w:eastAsia="宋体" w:cs="宋体"/>
                <w:color w:val="FF0000"/>
                <w:sz w:val="18"/>
                <w:szCs w:val="18"/>
              </w:rPr>
              <w:t>。</w:t>
            </w:r>
          </w:p>
        </w:tc>
      </w:tr>
      <w:tr w14:paraId="0BE4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292C9288">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4</w:t>
            </w:r>
          </w:p>
        </w:tc>
        <w:tc>
          <w:tcPr>
            <w:tcW w:w="7711" w:type="dxa"/>
            <w:vAlign w:val="center"/>
          </w:tcPr>
          <w:p w14:paraId="2DFE3284">
            <w:pPr>
              <w:widowControl w:val="0"/>
              <w:spacing w:line="400" w:lineRule="exact"/>
              <w:jc w:val="left"/>
              <w:rPr>
                <w:rFonts w:hint="eastAsia" w:ascii="宋体" w:hAnsi="宋体" w:eastAsia="宋体" w:cs="宋体"/>
                <w:color w:val="FF0000"/>
                <w:kern w:val="2"/>
                <w:sz w:val="18"/>
                <w:szCs w:val="18"/>
              </w:rPr>
            </w:pPr>
            <w:r>
              <w:rPr>
                <w:rFonts w:hint="eastAsia" w:ascii="宋体" w:hAnsi="宋体" w:eastAsia="宋体" w:cs="宋体"/>
                <w:color w:val="FF0000"/>
                <w:sz w:val="18"/>
                <w:szCs w:val="18"/>
              </w:rPr>
              <w:t>与其他投标供应商的投标文件由</w:t>
            </w:r>
            <w:r>
              <w:rPr>
                <w:rFonts w:hint="eastAsia" w:ascii="宋体" w:hAnsi="宋体" w:eastAsia="宋体" w:cs="宋体"/>
                <w:b/>
                <w:bCs/>
                <w:color w:val="FF0000"/>
                <w:sz w:val="18"/>
                <w:szCs w:val="18"/>
              </w:rPr>
              <w:t>同一单位或者同一人编制</w:t>
            </w:r>
            <w:r>
              <w:rPr>
                <w:rFonts w:hint="eastAsia" w:ascii="宋体" w:hAnsi="宋体" w:eastAsia="宋体" w:cs="宋体"/>
                <w:color w:val="FF0000"/>
                <w:sz w:val="18"/>
                <w:szCs w:val="18"/>
              </w:rPr>
              <w:t>，或者使用</w:t>
            </w:r>
            <w:r>
              <w:rPr>
                <w:rFonts w:hint="eastAsia" w:ascii="宋体" w:hAnsi="宋体" w:eastAsia="宋体" w:cs="宋体"/>
                <w:b/>
                <w:bCs/>
                <w:color w:val="FF0000"/>
                <w:sz w:val="18"/>
                <w:szCs w:val="18"/>
              </w:rPr>
              <w:t>同一设备编制</w:t>
            </w:r>
            <w:r>
              <w:rPr>
                <w:rFonts w:hint="eastAsia" w:ascii="宋体" w:hAnsi="宋体" w:eastAsia="宋体" w:cs="宋体"/>
                <w:color w:val="FF0000"/>
                <w:sz w:val="18"/>
                <w:szCs w:val="18"/>
              </w:rPr>
              <w:t>（“文件制作机器码”“文件创建标识码”一致）。</w:t>
            </w:r>
          </w:p>
        </w:tc>
      </w:tr>
      <w:tr w14:paraId="3114D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5FD605AC">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5</w:t>
            </w:r>
          </w:p>
        </w:tc>
        <w:tc>
          <w:tcPr>
            <w:tcW w:w="7711" w:type="dxa"/>
            <w:vAlign w:val="center"/>
          </w:tcPr>
          <w:p w14:paraId="30A47B24">
            <w:pPr>
              <w:widowControl w:val="0"/>
              <w:spacing w:line="400" w:lineRule="exact"/>
              <w:jc w:val="left"/>
              <w:rPr>
                <w:rFonts w:hint="eastAsia" w:ascii="宋体" w:hAnsi="宋体" w:eastAsia="宋体" w:cs="宋体"/>
                <w:color w:val="FF0000"/>
                <w:sz w:val="18"/>
                <w:szCs w:val="18"/>
              </w:rPr>
            </w:pPr>
            <w:r>
              <w:rPr>
                <w:rFonts w:hint="eastAsia" w:ascii="宋体" w:hAnsi="宋体" w:eastAsia="宋体" w:cs="宋体"/>
                <w:color w:val="FF0000"/>
                <w:sz w:val="18"/>
                <w:szCs w:val="18"/>
              </w:rPr>
              <w:t>提供</w:t>
            </w:r>
            <w:r>
              <w:rPr>
                <w:rFonts w:hint="eastAsia" w:ascii="宋体" w:hAnsi="宋体" w:eastAsia="宋体" w:cs="宋体"/>
                <w:b/>
                <w:bCs/>
                <w:color w:val="FF0000"/>
                <w:sz w:val="18"/>
                <w:szCs w:val="18"/>
              </w:rPr>
              <w:t>未经出具机构核实</w:t>
            </w:r>
            <w:r>
              <w:rPr>
                <w:rFonts w:hint="eastAsia" w:ascii="宋体" w:hAnsi="宋体" w:eastAsia="宋体" w:cs="宋体"/>
                <w:color w:val="FF0000"/>
                <w:sz w:val="18"/>
                <w:szCs w:val="18"/>
              </w:rPr>
              <w:t>的虚假的检验检测报告、业绩材料、社保缴纳证明、学历学位证书、职称认证证书等材料。</w:t>
            </w:r>
          </w:p>
        </w:tc>
      </w:tr>
      <w:tr w14:paraId="005B6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0890FDB9">
            <w:pPr>
              <w:widowControl w:val="0"/>
              <w:spacing w:line="400" w:lineRule="exact"/>
              <w:jc w:val="center"/>
              <w:rPr>
                <w:rFonts w:hint="eastAsia" w:ascii="宋体" w:hAnsi="宋体" w:eastAsia="宋体" w:cs="宋体"/>
                <w:color w:val="FF0000"/>
                <w:sz w:val="18"/>
                <w:szCs w:val="18"/>
              </w:rPr>
            </w:pPr>
            <w:r>
              <w:rPr>
                <w:rFonts w:hint="eastAsia" w:ascii="宋体" w:hAnsi="宋体" w:eastAsia="宋体" w:cs="宋体"/>
                <w:color w:val="FF0000"/>
                <w:sz w:val="18"/>
                <w:szCs w:val="18"/>
              </w:rPr>
              <w:t>6</w:t>
            </w:r>
          </w:p>
        </w:tc>
        <w:tc>
          <w:tcPr>
            <w:tcW w:w="7711" w:type="dxa"/>
            <w:vAlign w:val="center"/>
          </w:tcPr>
          <w:p w14:paraId="3D6254C9">
            <w:pPr>
              <w:widowControl w:val="0"/>
              <w:spacing w:line="400" w:lineRule="exact"/>
              <w:jc w:val="left"/>
              <w:rPr>
                <w:rFonts w:hint="eastAsia" w:ascii="宋体" w:hAnsi="宋体" w:eastAsia="宋体" w:cs="宋体"/>
                <w:color w:val="FF0000"/>
                <w:kern w:val="2"/>
                <w:sz w:val="18"/>
                <w:szCs w:val="18"/>
              </w:rPr>
            </w:pPr>
            <w:r>
              <w:rPr>
                <w:rFonts w:hint="eastAsia" w:ascii="宋体" w:hAnsi="宋体" w:eastAsia="宋体" w:cs="宋体"/>
                <w:color w:val="FF0000"/>
                <w:sz w:val="18"/>
                <w:szCs w:val="18"/>
              </w:rPr>
              <w:t>擅自将投标密钥或电子营业执照出借他人使用或未妥善保管。</w:t>
            </w:r>
          </w:p>
        </w:tc>
      </w:tr>
    </w:tbl>
    <w:p w14:paraId="4E900F96">
      <w:pPr>
        <w:autoSpaceDE w:val="0"/>
        <w:autoSpaceDN w:val="0"/>
        <w:adjustRightInd w:val="0"/>
        <w:spacing w:line="300" w:lineRule="exact"/>
        <w:jc w:val="center"/>
        <w:rPr>
          <w:rFonts w:ascii="宋体" w:hAnsi="宋体" w:cs="宋体"/>
          <w:b/>
          <w:color w:val="FF0000"/>
          <w:sz w:val="18"/>
          <w:szCs w:val="18"/>
        </w:rPr>
      </w:pPr>
    </w:p>
    <w:p w14:paraId="07B2DD97">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《深圳经济特区政府采购条例》</w:t>
      </w:r>
    </w:p>
    <w:p w14:paraId="73EBA186">
      <w:pPr>
        <w:autoSpaceDE w:val="0"/>
        <w:autoSpaceDN w:val="0"/>
        <w:adjustRightInd w:val="0"/>
        <w:spacing w:line="300" w:lineRule="exact"/>
        <w:ind w:firstLine="360" w:firstLineChars="200"/>
        <w:rPr>
          <w:rFonts w:ascii="宋体" w:hAnsi="宋体" w:cs="宋体"/>
          <w:color w:val="FF0000"/>
          <w:sz w:val="18"/>
          <w:szCs w:val="18"/>
        </w:rPr>
      </w:pPr>
      <w:r>
        <w:rPr>
          <w:rStyle w:val="31"/>
          <w:rFonts w:hint="eastAsia" w:ascii="宋体" w:hAnsi="宋体" w:cs="宋体"/>
          <w:color w:val="FF0000"/>
          <w:sz w:val="18"/>
          <w:szCs w:val="18"/>
        </w:rPr>
        <w:t>第五十七条</w:t>
      </w:r>
      <w:r>
        <w:rPr>
          <w:rFonts w:hint="eastAsia" w:ascii="宋体" w:hAnsi="宋体" w:cs="宋体"/>
          <w:color w:val="FF0000"/>
          <w:sz w:val="18"/>
          <w:szCs w:val="18"/>
        </w:rPr>
        <w:t> 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一）在采购活动中应当回避而未回避的；（二）未按照本条例规定签订、履行采购合同，造成严重后果的；（三）隐瞒真实情况，提供虚假资料的；（四）以非法手段排斥其他供应商参与竞争的；（五）与其他采购参加人串通投标的；（六）恶意投诉的；（七）向采购项目相关人行贿或者提供其他不当利益的；（八）阻碍、抗拒主管部门监督检查的；（九）其他违反本条例规定的行为。</w:t>
      </w:r>
    </w:p>
    <w:p w14:paraId="31A0904F">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《深圳经济特区政府采购条例实施细则》</w:t>
      </w:r>
    </w:p>
    <w:p w14:paraId="77CCFFA3">
      <w:pPr>
        <w:keepLines/>
        <w:spacing w:line="300" w:lineRule="exact"/>
        <w:ind w:firstLine="360" w:firstLineChars="200"/>
        <w:rPr>
          <w:rFonts w:ascii="宋体" w:hAnsi="宋体" w:cs="宋体"/>
          <w:color w:val="FF0000"/>
          <w:sz w:val="18"/>
          <w:szCs w:val="18"/>
        </w:rPr>
      </w:pPr>
      <w:r>
        <w:rPr>
          <w:rFonts w:hint="eastAsia" w:ascii="宋体" w:hAnsi="宋体" w:cs="宋体"/>
          <w:b/>
          <w:bCs/>
          <w:color w:val="FF0000"/>
          <w:sz w:val="18"/>
          <w:szCs w:val="18"/>
        </w:rPr>
        <w:t>第七十五条</w:t>
      </w:r>
      <w:r>
        <w:rPr>
          <w:rFonts w:hint="eastAsia" w:ascii="宋体" w:hAnsi="宋体" w:cs="宋体"/>
          <w:color w:val="FF0000"/>
          <w:sz w:val="18"/>
          <w:szCs w:val="18"/>
        </w:rPr>
        <w:t> 供应商有下列情形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0E78015C">
      <w:pPr>
        <w:keepLines/>
        <w:spacing w:line="300" w:lineRule="exact"/>
        <w:ind w:firstLine="360" w:firstLineChars="200"/>
        <w:rPr>
          <w:rFonts w:ascii="宋体" w:hAnsi="宋体" w:cs="宋体"/>
          <w:color w:val="FF0000"/>
          <w:sz w:val="18"/>
          <w:szCs w:val="18"/>
        </w:rPr>
      </w:pPr>
      <w:r>
        <w:rPr>
          <w:rFonts w:hint="eastAsia" w:ascii="宋体" w:hAnsi="宋体" w:cs="宋体"/>
          <w:b/>
          <w:bCs/>
          <w:color w:val="FF0000"/>
          <w:sz w:val="18"/>
          <w:szCs w:val="18"/>
        </w:rPr>
        <w:t>第七十七条</w:t>
      </w:r>
      <w:r>
        <w:rPr>
          <w:rFonts w:hint="eastAsia" w:ascii="宋体" w:hAnsi="宋体" w:cs="宋体"/>
          <w:color w:val="FF0000"/>
          <w:sz w:val="18"/>
          <w:szCs w:val="18"/>
        </w:rPr>
        <w:t> 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2CD8E4B0">
      <w:pPr>
        <w:keepLines/>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投标供应商不能提供项目负责人或者主要技术人员的劳动合同、社会保险等劳动关系证明材料的，视为存在前款第（三）项规定的情形。</w:t>
      </w:r>
    </w:p>
    <w:p w14:paraId="17CA0B9B">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 xml:space="preserve">《中华人民共和国政府采购法实施条例》 </w:t>
      </w:r>
    </w:p>
    <w:p w14:paraId="3D2C00B7">
      <w:pPr>
        <w:spacing w:line="300" w:lineRule="exact"/>
        <w:ind w:firstLine="360" w:firstLineChars="200"/>
        <w:rPr>
          <w:rFonts w:ascii="宋体" w:hAnsi="宋体" w:cs="宋体"/>
          <w:color w:val="FF0000"/>
          <w:sz w:val="18"/>
          <w:szCs w:val="18"/>
        </w:rPr>
      </w:pPr>
      <w:r>
        <w:rPr>
          <w:rFonts w:hint="eastAsia" w:ascii="宋体" w:hAnsi="宋体" w:cs="宋体"/>
          <w:b/>
          <w:bCs/>
          <w:color w:val="FF0000"/>
          <w:sz w:val="18"/>
          <w:szCs w:val="18"/>
        </w:rPr>
        <w:t>第十八条</w:t>
      </w:r>
      <w:r>
        <w:rPr>
          <w:rFonts w:hint="eastAsia" w:ascii="宋体" w:hAnsi="宋体" w:cs="宋体"/>
          <w:color w:val="FF0000"/>
          <w:sz w:val="18"/>
          <w:szCs w:val="18"/>
        </w:rPr>
        <w:t xml:space="preserve"> 单位负责人为同一人或者存在直接控股、管理关系的不同供应商，不得参加同一合同项下的政府采购活动。除单一来源采购项目外，为采购项目提供整体设计、规范编制或者项目管理、监 理、检测等服务的供应商，不得再参加该采购项目的其他采购活动。</w:t>
      </w:r>
    </w:p>
    <w:p w14:paraId="5C244A4A">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除单一来源采购项目外，为采购项目提供整体设计、规范编制或者项目管理、监理、检测等服务的供应商，不得再参加该采购项目的其他采购活动。</w:t>
      </w:r>
    </w:p>
    <w:p w14:paraId="7742E29B">
      <w:pPr>
        <w:autoSpaceDE w:val="0"/>
        <w:autoSpaceDN w:val="0"/>
        <w:adjustRightInd w:val="0"/>
        <w:spacing w:line="300" w:lineRule="exact"/>
        <w:jc w:val="center"/>
        <w:rPr>
          <w:rFonts w:ascii="宋体" w:hAnsi="宋体" w:cs="宋体"/>
          <w:b/>
          <w:color w:val="FF0000"/>
          <w:sz w:val="18"/>
          <w:szCs w:val="18"/>
        </w:rPr>
      </w:pPr>
    </w:p>
    <w:p w14:paraId="5BFC3976">
      <w:pPr>
        <w:autoSpaceDE w:val="0"/>
        <w:autoSpaceDN w:val="0"/>
        <w:adjustRightInd w:val="0"/>
        <w:spacing w:line="300" w:lineRule="exact"/>
        <w:jc w:val="center"/>
        <w:rPr>
          <w:rFonts w:ascii="宋体" w:hAnsi="宋体" w:cs="宋体"/>
          <w:b/>
          <w:color w:val="FF0000"/>
          <w:sz w:val="18"/>
          <w:szCs w:val="18"/>
        </w:rPr>
      </w:pPr>
      <w:r>
        <w:rPr>
          <w:rFonts w:hint="eastAsia" w:ascii="宋体" w:hAnsi="宋体" w:cs="宋体"/>
          <w:b/>
          <w:color w:val="FF0000"/>
          <w:sz w:val="18"/>
          <w:szCs w:val="18"/>
        </w:rPr>
        <w:t>《深圳市财政局关于采购文件增加风险告知有关事项的通知》</w:t>
      </w:r>
    </w:p>
    <w:p w14:paraId="76354618">
      <w:pPr>
        <w:spacing w:line="300" w:lineRule="exact"/>
        <w:ind w:firstLine="360" w:firstLineChars="200"/>
        <w:rPr>
          <w:rFonts w:ascii="宋体" w:hAnsi="宋体" w:cs="宋体"/>
          <w:b/>
          <w:bCs/>
          <w:color w:val="FF0000"/>
          <w:sz w:val="18"/>
          <w:szCs w:val="18"/>
        </w:rPr>
      </w:pPr>
      <w:r>
        <w:rPr>
          <w:rFonts w:hint="eastAsia" w:ascii="宋体" w:hAnsi="宋体" w:cs="宋体"/>
          <w:color w:val="FF0000"/>
          <w:sz w:val="18"/>
          <w:szCs w:val="18"/>
        </w:rPr>
        <w:t>各投标供应商应按要求提交《政府采购违法行为风险知悉确认书》（详见“第一册 专用条款—第四章 投标文件格式、附件—第二部分：投标文件附件（信息不公开部分）—（1）政府采购违法行为风险知悉确认书）。该文件由负责人或投标授权代表签字并加盖单位公章后，与投标文件一并提交。</w:t>
      </w:r>
    </w:p>
    <w:p w14:paraId="74CF0BF0">
      <w:pPr>
        <w:spacing w:line="300" w:lineRule="exact"/>
        <w:jc w:val="center"/>
        <w:rPr>
          <w:rFonts w:ascii="宋体" w:hAnsi="宋体" w:cs="宋体"/>
          <w:color w:val="FF0000"/>
          <w:sz w:val="18"/>
          <w:szCs w:val="18"/>
        </w:rPr>
      </w:pPr>
      <w:r>
        <w:rPr>
          <w:rFonts w:hint="eastAsia" w:ascii="宋体" w:hAnsi="宋体" w:cs="宋体"/>
          <w:b/>
          <w:bCs/>
          <w:color w:val="FF0000"/>
          <w:sz w:val="18"/>
          <w:szCs w:val="18"/>
        </w:rPr>
        <w:t>《特别提醒》</w:t>
      </w:r>
    </w:p>
    <w:p w14:paraId="4609F4E4">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 xml:space="preserve">（一）供应商在使用深圳政府采购智慧平台的投标文件制作工具创建投标文件时，该工具将自动在投标文件中记录文件创建标识码，同时提取投标文件制作电脑的网卡 MAC 地址、硬盘序列号、CPU 序列号、主板序列号和工具标识号，经加密生成文件制作机器码并在投标文件中记录。文件制作机器码一致表明不同供应商使用了同一设备编制投标文件，文件创建标识码一致表明不同供应商的投标文件为同一份文件，IP 地址一致表明上传投标文件时使用了相同的网络。 </w:t>
      </w:r>
    </w:p>
    <w:p w14:paraId="0704AEAA">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二）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w:t>
      </w:r>
    </w:p>
    <w:p w14:paraId="59AD6F72">
      <w:pPr>
        <w:spacing w:line="300" w:lineRule="exact"/>
        <w:ind w:firstLine="360" w:firstLineChars="200"/>
        <w:rPr>
          <w:rFonts w:ascii="宋体" w:hAnsi="宋体" w:cs="宋体"/>
          <w:color w:val="FF0000"/>
          <w:sz w:val="18"/>
          <w:szCs w:val="18"/>
        </w:rPr>
      </w:pPr>
      <w:r>
        <w:rPr>
          <w:rFonts w:hint="eastAsia" w:ascii="宋体" w:hAnsi="宋体" w:cs="宋体"/>
          <w:color w:val="FF0000"/>
          <w:sz w:val="18"/>
          <w:szCs w:val="18"/>
        </w:rPr>
        <w:t>（三）不同投标供应商使用同一网络或同一设备编制、提交投标文件，将可能涉嫌投标违法行为而被立案调查。为避免出现不同供应商投标文件的文件制作机器码、文件创建标识码、IP 地址一致的异常情况，建议并请各供应商编制、上传投标文件时不要使用公共电脑设备或公共网络，妥善保管和使用电子秘钥，依法依规参与政府采购活动。</w:t>
      </w:r>
    </w:p>
    <w:p w14:paraId="6D995163">
      <w:pPr>
        <w:rPr>
          <w:rFonts w:hint="eastAsia" w:ascii="宋体" w:hAnsi="宋体" w:eastAsia="宋体" w:cs="宋体"/>
          <w:b/>
          <w:bCs/>
          <w:sz w:val="44"/>
        </w:rPr>
      </w:pPr>
      <w:r>
        <w:rPr>
          <w:rFonts w:hint="eastAsia" w:ascii="宋体" w:hAnsi="宋体" w:eastAsia="宋体" w:cs="宋体"/>
          <w:b/>
          <w:bCs/>
          <w:sz w:val="44"/>
        </w:rPr>
        <w:br w:type="page"/>
      </w:r>
    </w:p>
    <w:p w14:paraId="2DD42F2A">
      <w:pPr>
        <w:pStyle w:val="2"/>
        <w:keepNext/>
        <w:keepLines/>
        <w:widowControl w:val="0"/>
        <w:spacing w:before="0" w:after="240" w:afterLines="100" w:line="240" w:lineRule="auto"/>
        <w:rPr>
          <w:sz w:val="44"/>
        </w:rPr>
      </w:pPr>
      <w:r>
        <w:rPr>
          <w:rFonts w:hint="eastAsia" w:ascii="宋体" w:hAnsi="宋体" w:eastAsia="宋体" w:cs="宋体"/>
          <w:b/>
          <w:bCs/>
          <w:sz w:val="44"/>
        </w:rPr>
        <w:t>关键信息</w:t>
      </w:r>
    </w:p>
    <w:tbl>
      <w:tblPr>
        <w:tblStyle w:val="28"/>
        <w:tblW w:w="0" w:type="auto"/>
        <w:jc w:val="center"/>
        <w:tblCellSpacing w:w="0" w:type="dxa"/>
        <w:tblLayout w:type="fixed"/>
        <w:tblCellMar>
          <w:top w:w="45" w:type="dxa"/>
          <w:left w:w="45" w:type="dxa"/>
          <w:bottom w:w="45" w:type="dxa"/>
          <w:right w:w="45" w:type="dxa"/>
        </w:tblCellMar>
      </w:tblPr>
      <w:tblGrid>
        <w:gridCol w:w="2721"/>
        <w:gridCol w:w="5216"/>
      </w:tblGrid>
      <w:tr w14:paraId="7FA57D4C">
        <w:trPr>
          <w:trHeight w:val="738" w:hRule="atLeast"/>
          <w:tblCellSpacing w:w="0" w:type="dxa"/>
          <w:jc w:val="center"/>
        </w:trPr>
        <w:tc>
          <w:tcPr>
            <w:tcW w:w="2721" w:type="dxa"/>
            <w:vAlign w:val="center"/>
          </w:tcPr>
          <w:p w14:paraId="40221CD3">
            <w:pPr>
              <w:jc w:val="right"/>
              <w:rPr>
                <w:sz w:val="30"/>
                <w:szCs w:val="30"/>
              </w:rPr>
            </w:pPr>
            <w:r>
              <w:rPr>
                <w:rFonts w:ascii="宋体" w:hAnsi="宋体" w:cs="宋体"/>
                <w:sz w:val="30"/>
                <w:szCs w:val="30"/>
              </w:rPr>
              <w:t>项目编号：</w:t>
            </w:r>
          </w:p>
        </w:tc>
        <w:tc>
          <w:tcPr>
            <w:tcW w:w="5216" w:type="dxa"/>
            <w:vAlign w:val="center"/>
          </w:tcPr>
          <w:p w14:paraId="77B897D3">
            <w:pPr>
              <w:rPr>
                <w:rFonts w:hint="eastAsia" w:eastAsia="宋体"/>
                <w:sz w:val="30"/>
                <w:szCs w:val="30"/>
                <w:lang w:eastAsia="zh-CN"/>
              </w:rPr>
            </w:pPr>
            <w:r>
              <w:rPr>
                <w:rFonts w:hint="eastAsia" w:eastAsia="宋体"/>
                <w:sz w:val="30"/>
                <w:szCs w:val="30"/>
                <w:lang w:eastAsia="zh-CN"/>
              </w:rPr>
              <w:t>FTDL2026000110</w:t>
            </w:r>
          </w:p>
        </w:tc>
      </w:tr>
      <w:tr w14:paraId="551C67F7">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0AC4D25C">
            <w:pPr>
              <w:jc w:val="right"/>
              <w:rPr>
                <w:sz w:val="30"/>
                <w:szCs w:val="30"/>
              </w:rPr>
            </w:pPr>
            <w:r>
              <w:rPr>
                <w:rFonts w:ascii="宋体" w:hAnsi="宋体" w:cs="宋体"/>
                <w:sz w:val="30"/>
                <w:szCs w:val="30"/>
              </w:rPr>
              <w:t>项目名称：</w:t>
            </w:r>
          </w:p>
        </w:tc>
        <w:tc>
          <w:tcPr>
            <w:tcW w:w="5216" w:type="dxa"/>
            <w:vAlign w:val="center"/>
          </w:tcPr>
          <w:p w14:paraId="3BC6CFBD">
            <w:pPr>
              <w:rPr>
                <w:rFonts w:hint="eastAsia" w:eastAsia="宋体"/>
                <w:sz w:val="30"/>
                <w:szCs w:val="30"/>
                <w:lang w:eastAsia="zh-CN"/>
              </w:rPr>
            </w:pPr>
            <w:r>
              <w:rPr>
                <w:rFonts w:hint="eastAsia" w:eastAsia="宋体"/>
                <w:sz w:val="30"/>
                <w:szCs w:val="30"/>
                <w:lang w:eastAsia="zh-CN"/>
              </w:rPr>
              <w:t>中山大学附属第八医院（深圳福田）生物实验室项目小动物MR成像系统</w:t>
            </w:r>
          </w:p>
        </w:tc>
      </w:tr>
      <w:tr w14:paraId="55868003">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3DCD548F">
            <w:pPr>
              <w:jc w:val="right"/>
              <w:rPr>
                <w:sz w:val="30"/>
                <w:szCs w:val="30"/>
              </w:rPr>
            </w:pPr>
            <w:r>
              <w:rPr>
                <w:rFonts w:ascii="宋体" w:hAnsi="宋体" w:cs="宋体"/>
                <w:sz w:val="30"/>
                <w:szCs w:val="30"/>
              </w:rPr>
              <w:t>包 号：</w:t>
            </w:r>
          </w:p>
        </w:tc>
        <w:tc>
          <w:tcPr>
            <w:tcW w:w="5216" w:type="dxa"/>
            <w:vAlign w:val="center"/>
          </w:tcPr>
          <w:p w14:paraId="0931C606">
            <w:pPr>
              <w:rPr>
                <w:sz w:val="30"/>
                <w:szCs w:val="30"/>
              </w:rPr>
            </w:pPr>
            <w:r>
              <w:rPr>
                <w:rFonts w:ascii="宋体" w:hAnsi="宋体" w:cs="宋体"/>
                <w:sz w:val="30"/>
                <w:szCs w:val="30"/>
              </w:rPr>
              <w:t>A</w:t>
            </w:r>
          </w:p>
        </w:tc>
      </w:tr>
      <w:tr w14:paraId="7AD92D32">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23E9D6E5">
            <w:pPr>
              <w:jc w:val="right"/>
              <w:rPr>
                <w:sz w:val="30"/>
                <w:szCs w:val="30"/>
              </w:rPr>
            </w:pPr>
            <w:r>
              <w:rPr>
                <w:rFonts w:ascii="宋体" w:hAnsi="宋体" w:cs="宋体"/>
                <w:sz w:val="30"/>
                <w:szCs w:val="30"/>
              </w:rPr>
              <w:t>项目类型：</w:t>
            </w:r>
          </w:p>
        </w:tc>
        <w:tc>
          <w:tcPr>
            <w:tcW w:w="5216" w:type="dxa"/>
            <w:vAlign w:val="center"/>
          </w:tcPr>
          <w:p w14:paraId="5CE5E6EE">
            <w:pPr>
              <w:rPr>
                <w:sz w:val="30"/>
                <w:szCs w:val="30"/>
              </w:rPr>
            </w:pPr>
            <w:r>
              <w:rPr>
                <w:rFonts w:hint="eastAsia" w:ascii="宋体" w:hAnsi="宋体" w:eastAsia="宋体" w:cs="宋体"/>
                <w:sz w:val="30"/>
                <w:szCs w:val="30"/>
              </w:rPr>
              <w:t>货物</w:t>
            </w:r>
            <w:r>
              <w:rPr>
                <w:rFonts w:ascii="宋体" w:hAnsi="宋体" w:cs="宋体"/>
                <w:sz w:val="30"/>
                <w:szCs w:val="30"/>
              </w:rPr>
              <w:t>类</w:t>
            </w:r>
          </w:p>
        </w:tc>
      </w:tr>
      <w:tr w14:paraId="243517D8">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78A7D737">
            <w:pPr>
              <w:jc w:val="right"/>
              <w:rPr>
                <w:sz w:val="30"/>
                <w:szCs w:val="30"/>
              </w:rPr>
            </w:pPr>
            <w:r>
              <w:rPr>
                <w:rFonts w:ascii="宋体" w:hAnsi="宋体" w:cs="宋体"/>
                <w:sz w:val="30"/>
                <w:szCs w:val="30"/>
              </w:rPr>
              <w:t>采购方式：</w:t>
            </w:r>
          </w:p>
        </w:tc>
        <w:tc>
          <w:tcPr>
            <w:tcW w:w="5216" w:type="dxa"/>
            <w:vAlign w:val="center"/>
          </w:tcPr>
          <w:p w14:paraId="59F84327">
            <w:pPr>
              <w:rPr>
                <w:sz w:val="30"/>
                <w:szCs w:val="30"/>
              </w:rPr>
            </w:pPr>
            <w:r>
              <w:rPr>
                <w:rFonts w:ascii="宋体" w:hAnsi="宋体" w:cs="宋体"/>
                <w:sz w:val="30"/>
                <w:szCs w:val="30"/>
              </w:rPr>
              <w:t>公开招标</w:t>
            </w:r>
          </w:p>
        </w:tc>
      </w:tr>
      <w:tr w14:paraId="0BEC00CA">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23E089CB">
            <w:pPr>
              <w:jc w:val="right"/>
              <w:rPr>
                <w:sz w:val="30"/>
                <w:szCs w:val="30"/>
              </w:rPr>
            </w:pPr>
            <w:r>
              <w:rPr>
                <w:rFonts w:ascii="宋体" w:hAnsi="宋体" w:cs="宋体"/>
                <w:sz w:val="30"/>
                <w:szCs w:val="30"/>
              </w:rPr>
              <w:t>货币类型：</w:t>
            </w:r>
          </w:p>
        </w:tc>
        <w:tc>
          <w:tcPr>
            <w:tcW w:w="5216" w:type="dxa"/>
            <w:vAlign w:val="center"/>
          </w:tcPr>
          <w:p w14:paraId="7812FFCB">
            <w:pPr>
              <w:rPr>
                <w:sz w:val="30"/>
                <w:szCs w:val="30"/>
              </w:rPr>
            </w:pPr>
            <w:r>
              <w:rPr>
                <w:rFonts w:ascii="宋体" w:hAnsi="宋体" w:cs="宋体"/>
                <w:sz w:val="30"/>
                <w:szCs w:val="30"/>
              </w:rPr>
              <w:t>人民币</w:t>
            </w:r>
          </w:p>
        </w:tc>
      </w:tr>
      <w:tr w14:paraId="20F5FBF5">
        <w:tblPrEx>
          <w:tblCellMar>
            <w:top w:w="45" w:type="dxa"/>
            <w:left w:w="45" w:type="dxa"/>
            <w:bottom w:w="45" w:type="dxa"/>
            <w:right w:w="45" w:type="dxa"/>
          </w:tblCellMar>
        </w:tblPrEx>
        <w:trPr>
          <w:trHeight w:val="738" w:hRule="atLeast"/>
          <w:tblCellSpacing w:w="0" w:type="dxa"/>
          <w:jc w:val="center"/>
        </w:trPr>
        <w:tc>
          <w:tcPr>
            <w:tcW w:w="2721" w:type="dxa"/>
            <w:vAlign w:val="center"/>
          </w:tcPr>
          <w:p w14:paraId="77E70A8A">
            <w:pPr>
              <w:jc w:val="right"/>
              <w:rPr>
                <w:sz w:val="30"/>
                <w:szCs w:val="30"/>
              </w:rPr>
            </w:pPr>
            <w:r>
              <w:rPr>
                <w:rFonts w:ascii="宋体" w:hAnsi="宋体" w:cs="宋体"/>
                <w:sz w:val="30"/>
                <w:szCs w:val="30"/>
              </w:rPr>
              <w:t>评标方法：</w:t>
            </w:r>
          </w:p>
        </w:tc>
        <w:tc>
          <w:tcPr>
            <w:tcW w:w="5216" w:type="dxa"/>
            <w:vAlign w:val="center"/>
          </w:tcPr>
          <w:p w14:paraId="758C4312">
            <w:pPr>
              <w:rPr>
                <w:sz w:val="30"/>
                <w:szCs w:val="30"/>
              </w:rPr>
            </w:pPr>
            <w:r>
              <w:rPr>
                <w:rFonts w:ascii="宋体" w:hAnsi="宋体" w:cs="宋体"/>
                <w:sz w:val="30"/>
                <w:szCs w:val="30"/>
              </w:rPr>
              <w:t>综合评分法</w:t>
            </w:r>
          </w:p>
        </w:tc>
      </w:tr>
    </w:tbl>
    <w:p w14:paraId="17CFA792">
      <w:pPr>
        <w:rPr>
          <w:sz w:val="32"/>
        </w:rPr>
      </w:pPr>
    </w:p>
    <w:p w14:paraId="145C3D0C">
      <w:pPr>
        <w:pStyle w:val="23"/>
        <w:spacing w:before="280"/>
        <w:jc w:val="center"/>
        <w:outlineLvl w:val="0"/>
        <w:rPr>
          <w:b/>
          <w:bCs/>
          <w:color w:val="000000"/>
          <w:sz w:val="44"/>
          <w:szCs w:val="44"/>
        </w:rPr>
      </w:pPr>
      <w:r>
        <w:rPr>
          <w:b/>
          <w:bCs/>
          <w:sz w:val="40"/>
          <w:szCs w:val="40"/>
        </w:rPr>
        <w:br w:type="page"/>
      </w:r>
      <w:r>
        <w:rPr>
          <w:b/>
          <w:bCs/>
          <w:color w:val="000000"/>
          <w:sz w:val="44"/>
          <w:szCs w:val="44"/>
        </w:rPr>
        <w:t>目  录</w:t>
      </w:r>
    </w:p>
    <w:p w14:paraId="319EA0E5">
      <w:pPr>
        <w:widowControl w:val="0"/>
        <w:ind w:firstLine="422" w:firstLineChars="200"/>
        <w:rPr>
          <w:rFonts w:hint="eastAsia" w:ascii="宋体" w:hAnsi="宋体" w:eastAsia="宋体" w:cs="宋体"/>
          <w:b/>
          <w:color w:val="000000"/>
          <w:sz w:val="21"/>
          <w:szCs w:val="21"/>
        </w:rPr>
      </w:pPr>
      <w:r>
        <w:rPr>
          <w:rFonts w:hint="eastAsia" w:ascii="宋体" w:hAnsi="宋体" w:eastAsia="宋体" w:cs="宋体"/>
          <w:b/>
          <w:color w:val="000000"/>
          <w:sz w:val="21"/>
          <w:szCs w:val="21"/>
        </w:rPr>
        <w:t>第一册  专用条款</w:t>
      </w:r>
    </w:p>
    <w:p w14:paraId="2D8F3920">
      <w:pPr>
        <w:ind w:left="720" w:leftChars="300" w:firstLine="632" w:firstLineChars="3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关键信息</w:t>
      </w:r>
    </w:p>
    <w:p w14:paraId="6A8F427C">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第一章  招标公告</w:t>
      </w:r>
    </w:p>
    <w:p w14:paraId="14F6824A">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第二章  对通用条款的补充内容及其他关键信息</w:t>
      </w:r>
    </w:p>
    <w:p w14:paraId="4FF1124B">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第三章  用户需求书</w:t>
      </w:r>
    </w:p>
    <w:p w14:paraId="6E57B709">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第四章  投标文件组成要求及格式</w:t>
      </w:r>
    </w:p>
    <w:p w14:paraId="3615D4C6">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第五章  合同条款及参考格式</w:t>
      </w:r>
    </w:p>
    <w:p w14:paraId="7E90772F">
      <w:pPr>
        <w:ind w:left="720" w:leftChars="300" w:firstLine="630" w:firstLineChars="300"/>
        <w:rPr>
          <w:rFonts w:hint="eastAsia" w:ascii="宋体" w:hAnsi="宋体" w:eastAsia="宋体" w:cs="宋体"/>
          <w:color w:val="000000"/>
          <w:sz w:val="21"/>
          <w:szCs w:val="21"/>
        </w:rPr>
      </w:pPr>
    </w:p>
    <w:p w14:paraId="07393C51">
      <w:pPr>
        <w:rPr>
          <w:rFonts w:hint="eastAsia" w:ascii="宋体" w:hAnsi="宋体" w:eastAsia="宋体" w:cs="宋体"/>
          <w:b/>
          <w:color w:val="000000"/>
          <w:sz w:val="21"/>
          <w:szCs w:val="21"/>
        </w:rPr>
      </w:pPr>
    </w:p>
    <w:p w14:paraId="39CB94D1">
      <w:pPr>
        <w:widowControl w:val="0"/>
        <w:ind w:firstLine="422" w:firstLineChars="200"/>
        <w:rPr>
          <w:rFonts w:hint="eastAsia" w:ascii="宋体" w:hAnsi="宋体" w:eastAsia="宋体" w:cs="宋体"/>
          <w:b/>
          <w:color w:val="000000"/>
          <w:sz w:val="21"/>
          <w:szCs w:val="21"/>
        </w:rPr>
      </w:pPr>
      <w:r>
        <w:rPr>
          <w:rFonts w:hint="eastAsia" w:ascii="宋体" w:hAnsi="宋体" w:eastAsia="宋体" w:cs="宋体"/>
          <w:b/>
          <w:color w:val="000000"/>
          <w:sz w:val="21"/>
          <w:szCs w:val="21"/>
        </w:rPr>
        <w:t>第二册  通用条款</w:t>
      </w:r>
    </w:p>
    <w:p w14:paraId="5218E1E7">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第一章  总则</w:t>
      </w:r>
    </w:p>
    <w:p w14:paraId="1F9F3BCD">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第二章  招标文件</w:t>
      </w:r>
    </w:p>
    <w:p w14:paraId="3AC5FBFE">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第三章  投标文件的编制</w:t>
      </w:r>
    </w:p>
    <w:p w14:paraId="586114EA">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第四章  投标文件的递交</w:t>
      </w:r>
    </w:p>
    <w:p w14:paraId="1F6C4674">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第五章  开标</w:t>
      </w:r>
    </w:p>
    <w:p w14:paraId="17D783C5">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第六章  评标要求</w:t>
      </w:r>
    </w:p>
    <w:p w14:paraId="41E6D5D0">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第七章  评标程序及评标方法</w:t>
      </w:r>
    </w:p>
    <w:p w14:paraId="4FA55DB6">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第八章  定标及公示</w:t>
      </w:r>
    </w:p>
    <w:p w14:paraId="1608DE18">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第九章  公开招标失败的后续处理</w:t>
      </w:r>
    </w:p>
    <w:p w14:paraId="6D3D036D">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第十章  合同的授予与备案</w:t>
      </w:r>
    </w:p>
    <w:p w14:paraId="58B95C17">
      <w:pPr>
        <w:ind w:left="720" w:leftChars="300"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第十一章  质疑处理</w:t>
      </w:r>
    </w:p>
    <w:p w14:paraId="5A0EC2FC">
      <w:pPr>
        <w:ind w:left="720" w:leftChars="300" w:firstLine="621" w:firstLineChars="296"/>
        <w:rPr>
          <w:rFonts w:hint="eastAsia" w:ascii="宋体" w:hAnsi="宋体" w:eastAsia="宋体" w:cs="宋体"/>
          <w:color w:val="000000"/>
          <w:sz w:val="21"/>
          <w:szCs w:val="21"/>
        </w:rPr>
      </w:pPr>
      <w:r>
        <w:rPr>
          <w:rFonts w:hint="eastAsia" w:ascii="宋体" w:hAnsi="宋体" w:eastAsia="宋体" w:cs="宋体"/>
          <w:color w:val="000000"/>
          <w:sz w:val="21"/>
          <w:szCs w:val="21"/>
        </w:rPr>
        <w:t>第十二章  附录（相关政策）</w:t>
      </w:r>
    </w:p>
    <w:p w14:paraId="035B1538">
      <w:pPr>
        <w:rPr>
          <w:rFonts w:hint="eastAsia" w:ascii="宋体" w:hAnsi="宋体" w:eastAsia="宋体" w:cs="宋体"/>
          <w:b/>
          <w:color w:val="000000"/>
          <w:sz w:val="21"/>
          <w:szCs w:val="21"/>
        </w:rPr>
      </w:pPr>
      <w:r>
        <w:rPr>
          <w:rFonts w:hint="eastAsia" w:ascii="宋体" w:hAnsi="宋体" w:eastAsia="宋体" w:cs="宋体"/>
          <w:b/>
          <w:color w:val="000000"/>
          <w:sz w:val="21"/>
          <w:szCs w:val="21"/>
        </w:rPr>
        <w:t>备注：</w:t>
      </w:r>
    </w:p>
    <w:p w14:paraId="5849A663">
      <w:pPr>
        <w:widowControl w:val="0"/>
        <w:ind w:firstLine="420" w:firstLineChars="200"/>
        <w:rPr>
          <w:rFonts w:hint="eastAsia" w:ascii="宋体" w:hAnsi="宋体" w:eastAsia="宋体" w:cs="宋体"/>
          <w:b/>
          <w:color w:val="000000"/>
          <w:sz w:val="21"/>
          <w:szCs w:val="21"/>
        </w:rPr>
      </w:pPr>
      <w:r>
        <w:rPr>
          <w:rFonts w:hint="eastAsia" w:ascii="宋体" w:hAnsi="宋体" w:eastAsia="宋体" w:cs="宋体"/>
          <w:color w:val="000000"/>
          <w:sz w:val="21"/>
          <w:szCs w:val="21"/>
        </w:rPr>
        <w:t>1.本招标文件分为第一册“专用条款”和第二册“通用条款”。</w:t>
      </w:r>
    </w:p>
    <w:p w14:paraId="1C8101C7">
      <w:pPr>
        <w:widowControl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2.“专用条款”是对本次采购项目的具体要求，包含招标公告、对通用条款的补充内容及其他关键信息、用户需求书、投标文件组成要求及格式、合同条款及参考格式等内容。</w:t>
      </w:r>
    </w:p>
    <w:p w14:paraId="1C2DF2A8">
      <w:pPr>
        <w:widowControl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3.“通用条款”是通用于政府采购项目的基础性条款，具有普遍性和通用性。</w:t>
      </w:r>
    </w:p>
    <w:p w14:paraId="29C2D5D3">
      <w:pPr>
        <w:pStyle w:val="21"/>
        <w:widowControl w:val="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4.当出现“专用条款”和“通用条款”表述不一致或有冲突时，以“专用条款”为准。</w:t>
      </w:r>
    </w:p>
    <w:p w14:paraId="3291BB5F">
      <w:pPr>
        <w:pStyle w:val="21"/>
        <w:widowControl w:val="0"/>
        <w:ind w:firstLine="420" w:firstLineChars="200"/>
        <w:rPr>
          <w:rFonts w:hint="eastAsia" w:ascii="宋体" w:hAnsi="宋体" w:eastAsia="宋体" w:cs="宋体"/>
          <w:color w:val="000000"/>
          <w:sz w:val="21"/>
          <w:szCs w:val="21"/>
        </w:rPr>
      </w:pPr>
      <w:r>
        <w:rPr>
          <w:rFonts w:hint="eastAsia" w:ascii="宋体" w:hAnsi="宋体" w:cs="宋体"/>
          <w:color w:val="000000"/>
          <w:sz w:val="21"/>
          <w:szCs w:val="21"/>
        </w:rPr>
        <w:t>5.带有“</w:t>
      </w:r>
      <w:r>
        <w:rPr>
          <w:color w:val="000000"/>
        </w:rPr>
        <w:drawing>
          <wp:inline distT="0" distB="0" distL="114300" distR="114300">
            <wp:extent cx="165735" cy="144145"/>
            <wp:effectExtent l="0" t="0" r="571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165735" cy="144145"/>
                    </a:xfrm>
                    <a:prstGeom prst="rect">
                      <a:avLst/>
                    </a:prstGeom>
                    <a:noFill/>
                    <a:ln>
                      <a:noFill/>
                    </a:ln>
                  </pic:spPr>
                </pic:pic>
              </a:graphicData>
            </a:graphic>
          </wp:inline>
        </w:drawing>
      </w:r>
      <w:r>
        <w:rPr>
          <w:rFonts w:hint="eastAsia" w:ascii="宋体" w:hAnsi="宋体" w:cs="宋体"/>
          <w:color w:val="000000"/>
          <w:sz w:val="21"/>
          <w:szCs w:val="21"/>
        </w:rPr>
        <w:t>”标识的要求代表适用于本项目；带有“</w:t>
      </w:r>
      <w:r>
        <w:rPr>
          <w:color w:val="000000"/>
        </w:rPr>
        <w:drawing>
          <wp:inline distT="0" distB="0" distL="114300" distR="114300">
            <wp:extent cx="144145" cy="144145"/>
            <wp:effectExtent l="0" t="0" r="8255"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9"/>
                    <a:stretch>
                      <a:fillRect/>
                    </a:stretch>
                  </pic:blipFill>
                  <pic:spPr>
                    <a:xfrm>
                      <a:off x="0" y="0"/>
                      <a:ext cx="144145" cy="144145"/>
                    </a:xfrm>
                    <a:prstGeom prst="rect">
                      <a:avLst/>
                    </a:prstGeom>
                    <a:noFill/>
                    <a:ln>
                      <a:noFill/>
                    </a:ln>
                  </pic:spPr>
                </pic:pic>
              </a:graphicData>
            </a:graphic>
          </wp:inline>
        </w:drawing>
      </w:r>
      <w:r>
        <w:rPr>
          <w:rFonts w:hint="eastAsia" w:ascii="宋体" w:hAnsi="宋体" w:cs="宋体"/>
          <w:color w:val="000000"/>
          <w:sz w:val="21"/>
          <w:szCs w:val="21"/>
        </w:rPr>
        <w:t>”标识的要求代表不适用于本项目。</w:t>
      </w:r>
    </w:p>
    <w:p w14:paraId="1BCDFC70">
      <w:pPr>
        <w:spacing w:line="360" w:lineRule="auto"/>
        <w:ind w:firstLine="480" w:firstLineChars="200"/>
        <w:rPr>
          <w:color w:val="000000"/>
          <w:szCs w:val="21"/>
        </w:rPr>
      </w:pPr>
    </w:p>
    <w:p w14:paraId="485A0EC2">
      <w:pPr>
        <w:pStyle w:val="2"/>
        <w:keepNext/>
        <w:keepLines/>
        <w:widowControl w:val="0"/>
        <w:spacing w:before="0" w:after="240" w:afterLines="100" w:line="240" w:lineRule="auto"/>
        <w:rPr>
          <w:b/>
          <w:bCs/>
          <w:color w:val="000000"/>
          <w:sz w:val="44"/>
        </w:rPr>
      </w:pPr>
      <w:r>
        <w:rPr>
          <w:rFonts w:eastAsia="宋体"/>
        </w:rPr>
        <w:br w:type="page"/>
      </w:r>
      <w:r>
        <w:rPr>
          <w:b/>
          <w:bCs/>
          <w:color w:val="000000"/>
          <w:sz w:val="44"/>
        </w:rPr>
        <w:t>资格性审查表</w:t>
      </w: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20" w:type="dxa"/>
          <w:left w:w="108" w:type="dxa"/>
          <w:bottom w:w="20" w:type="dxa"/>
          <w:right w:w="108" w:type="dxa"/>
        </w:tblCellMar>
      </w:tblPr>
      <w:tblGrid>
        <w:gridCol w:w="767"/>
        <w:gridCol w:w="7737"/>
      </w:tblGrid>
      <w:tr w14:paraId="6B29C64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67" w:type="dxa"/>
            <w:shd w:val="clear" w:color="auto" w:fill="E6EFFA"/>
            <w:vAlign w:val="center"/>
          </w:tcPr>
          <w:p w14:paraId="41F4F98D">
            <w:pPr>
              <w:jc w:val="center"/>
              <w:rPr>
                <w:rFonts w:ascii="宋体" w:hAnsi="宋体" w:cs="宋体"/>
                <w:b/>
                <w:bCs/>
                <w:color w:val="000000"/>
                <w:sz w:val="21"/>
                <w:szCs w:val="21"/>
              </w:rPr>
            </w:pPr>
            <w:r>
              <w:rPr>
                <w:rFonts w:hint="eastAsia" w:ascii="宋体" w:hAnsi="宋体" w:cs="宋体"/>
                <w:b/>
                <w:bCs/>
                <w:color w:val="000000"/>
                <w:sz w:val="21"/>
                <w:szCs w:val="21"/>
              </w:rPr>
              <w:t>序号</w:t>
            </w:r>
          </w:p>
        </w:tc>
        <w:tc>
          <w:tcPr>
            <w:tcW w:w="7737" w:type="dxa"/>
            <w:shd w:val="clear" w:color="auto" w:fill="E6EFFA"/>
            <w:vAlign w:val="center"/>
          </w:tcPr>
          <w:p w14:paraId="6E165E3A">
            <w:pPr>
              <w:jc w:val="center"/>
              <w:rPr>
                <w:rFonts w:ascii="宋体" w:hAnsi="宋体" w:cs="宋体"/>
                <w:b/>
                <w:bCs/>
                <w:color w:val="000000"/>
                <w:sz w:val="21"/>
                <w:szCs w:val="21"/>
              </w:rPr>
            </w:pPr>
            <w:r>
              <w:rPr>
                <w:rFonts w:hint="eastAsia" w:ascii="宋体" w:hAnsi="宋体" w:cs="宋体"/>
                <w:b/>
                <w:bCs/>
                <w:color w:val="000000"/>
                <w:sz w:val="21"/>
                <w:szCs w:val="21"/>
              </w:rPr>
              <w:t>内容</w:t>
            </w:r>
          </w:p>
        </w:tc>
      </w:tr>
      <w:tr w14:paraId="6836E1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67" w:type="dxa"/>
            <w:vAlign w:val="center"/>
          </w:tcPr>
          <w:p w14:paraId="3CA7E776">
            <w:pPr>
              <w:jc w:val="center"/>
              <w:rPr>
                <w:rFonts w:ascii="宋体" w:hAnsi="宋体" w:cs="宋体"/>
                <w:color w:val="000000"/>
                <w:sz w:val="21"/>
                <w:szCs w:val="21"/>
              </w:rPr>
            </w:pPr>
            <w:r>
              <w:rPr>
                <w:rFonts w:hint="eastAsia" w:ascii="宋体" w:hAnsi="宋体" w:cs="宋体"/>
                <w:color w:val="000000"/>
                <w:sz w:val="21"/>
                <w:szCs w:val="21"/>
              </w:rPr>
              <w:t>1</w:t>
            </w:r>
          </w:p>
        </w:tc>
        <w:tc>
          <w:tcPr>
            <w:tcW w:w="7737" w:type="dxa"/>
          </w:tcPr>
          <w:p w14:paraId="10675BBB">
            <w:pPr>
              <w:rPr>
                <w:rFonts w:ascii="宋体" w:hAnsi="宋体" w:cs="宋体"/>
                <w:color w:val="000000"/>
                <w:sz w:val="21"/>
                <w:szCs w:val="21"/>
              </w:rPr>
            </w:pPr>
            <w:r>
              <w:rPr>
                <w:rFonts w:hint="eastAsia" w:ascii="宋体" w:hAnsi="宋体" w:eastAsia="宋体" w:cs="宋体"/>
                <w:color w:val="000000"/>
                <w:sz w:val="21"/>
                <w:szCs w:val="21"/>
              </w:rPr>
              <w:t>投</w:t>
            </w:r>
            <w:r>
              <w:rPr>
                <w:color w:val="000000"/>
                <w:sz w:val="21"/>
                <w:szCs w:val="21"/>
              </w:rPr>
              <w:t>标人不具备招标文件所列的资格要求，或未提交相应的资格证明资料（详见招标公告投标人资格要求</w:t>
            </w:r>
            <w:r>
              <w:rPr>
                <w:rFonts w:hint="eastAsia"/>
                <w:color w:val="000000"/>
                <w:sz w:val="21"/>
                <w:szCs w:val="21"/>
              </w:rPr>
              <w:t>，即申请人的资格要求</w:t>
            </w:r>
            <w:r>
              <w:rPr>
                <w:color w:val="000000"/>
                <w:sz w:val="21"/>
                <w:szCs w:val="21"/>
              </w:rPr>
              <w:t>）</w:t>
            </w:r>
            <w:r>
              <w:rPr>
                <w:rFonts w:hint="eastAsia"/>
                <w:color w:val="000000"/>
                <w:sz w:val="21"/>
                <w:szCs w:val="21"/>
              </w:rPr>
              <w:t>。</w:t>
            </w:r>
          </w:p>
        </w:tc>
      </w:tr>
    </w:tbl>
    <w:p w14:paraId="1C81A9FA">
      <w:pPr>
        <w:pStyle w:val="2"/>
        <w:keepNext/>
        <w:keepLines/>
        <w:widowControl w:val="0"/>
        <w:spacing w:before="0" w:after="240" w:afterLines="100" w:line="240" w:lineRule="auto"/>
        <w:rPr>
          <w:rFonts w:hint="eastAsia" w:ascii="宋体" w:hAnsi="宋体" w:eastAsia="宋体" w:cs="宋体"/>
          <w:b/>
          <w:bCs/>
          <w:color w:val="000000"/>
          <w:sz w:val="44"/>
        </w:rPr>
      </w:pPr>
      <w:r>
        <w:rPr>
          <w:rFonts w:hint="eastAsia" w:ascii="宋体" w:hAnsi="宋体" w:eastAsia="宋体" w:cs="宋体"/>
          <w:b/>
          <w:bCs/>
          <w:color w:val="000000"/>
          <w:sz w:val="44"/>
        </w:rPr>
        <w:t>符合性审查表</w:t>
      </w: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20" w:type="dxa"/>
          <w:left w:w="108" w:type="dxa"/>
          <w:bottom w:w="20" w:type="dxa"/>
          <w:right w:w="108" w:type="dxa"/>
        </w:tblCellMar>
      </w:tblPr>
      <w:tblGrid>
        <w:gridCol w:w="756"/>
        <w:gridCol w:w="7748"/>
      </w:tblGrid>
      <w:tr w14:paraId="204D5D8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trHeight w:val="454" w:hRule="atLeast"/>
          <w:jc w:val="center"/>
        </w:trPr>
        <w:tc>
          <w:tcPr>
            <w:tcW w:w="756" w:type="dxa"/>
            <w:shd w:val="clear" w:color="auto" w:fill="E6EFFA"/>
            <w:vAlign w:val="center"/>
          </w:tcPr>
          <w:p w14:paraId="3562A540">
            <w:pPr>
              <w:jc w:val="center"/>
              <w:rPr>
                <w:rFonts w:ascii="宋体" w:hAnsi="宋体" w:cs="宋体"/>
                <w:b/>
                <w:bCs/>
                <w:color w:val="000000"/>
                <w:sz w:val="21"/>
                <w:szCs w:val="21"/>
              </w:rPr>
            </w:pPr>
            <w:r>
              <w:rPr>
                <w:rFonts w:hint="eastAsia" w:ascii="宋体" w:hAnsi="宋体" w:cs="宋体"/>
                <w:b/>
                <w:bCs/>
                <w:color w:val="000000"/>
                <w:sz w:val="21"/>
                <w:szCs w:val="21"/>
              </w:rPr>
              <w:t>序号</w:t>
            </w:r>
          </w:p>
        </w:tc>
        <w:tc>
          <w:tcPr>
            <w:tcW w:w="7748" w:type="dxa"/>
            <w:shd w:val="clear" w:color="auto" w:fill="E6EFFA"/>
            <w:vAlign w:val="center"/>
          </w:tcPr>
          <w:p w14:paraId="246A6264">
            <w:pPr>
              <w:jc w:val="center"/>
              <w:rPr>
                <w:rFonts w:ascii="宋体" w:hAnsi="宋体" w:cs="宋体"/>
                <w:b/>
                <w:bCs/>
                <w:color w:val="000000"/>
                <w:sz w:val="21"/>
                <w:szCs w:val="21"/>
              </w:rPr>
            </w:pPr>
            <w:r>
              <w:rPr>
                <w:rFonts w:hint="eastAsia" w:ascii="宋体" w:hAnsi="宋体" w:cs="宋体"/>
                <w:b/>
                <w:bCs/>
                <w:color w:val="000000"/>
                <w:sz w:val="21"/>
                <w:szCs w:val="21"/>
              </w:rPr>
              <w:t>内容</w:t>
            </w:r>
          </w:p>
        </w:tc>
      </w:tr>
      <w:tr w14:paraId="398901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309337F">
            <w:pPr>
              <w:jc w:val="center"/>
              <w:rPr>
                <w:rFonts w:ascii="宋体" w:hAnsi="宋体" w:cs="宋体"/>
                <w:color w:val="000000"/>
                <w:sz w:val="21"/>
                <w:szCs w:val="21"/>
              </w:rPr>
            </w:pPr>
            <w:r>
              <w:rPr>
                <w:rFonts w:hint="eastAsia" w:ascii="宋体" w:hAnsi="宋体" w:cs="宋体"/>
                <w:color w:val="000000"/>
                <w:sz w:val="21"/>
                <w:szCs w:val="21"/>
              </w:rPr>
              <w:t>1</w:t>
            </w:r>
          </w:p>
        </w:tc>
        <w:tc>
          <w:tcPr>
            <w:tcW w:w="7748" w:type="dxa"/>
            <w:vAlign w:val="center"/>
          </w:tcPr>
          <w:p w14:paraId="23095EDD">
            <w:pPr>
              <w:jc w:val="both"/>
              <w:rPr>
                <w:rFonts w:ascii="宋体" w:hAnsi="宋体" w:cs="宋体"/>
                <w:color w:val="000000"/>
                <w:sz w:val="21"/>
                <w:szCs w:val="21"/>
              </w:rPr>
            </w:pPr>
            <w:r>
              <w:rPr>
                <w:rFonts w:hint="eastAsia" w:ascii="宋体" w:hAnsi="宋体" w:cs="宋体"/>
                <w:color w:val="000000"/>
                <w:sz w:val="21"/>
                <w:szCs w:val="21"/>
              </w:rPr>
              <w:t>不得将一个包或一个标段的内容拆开投标；</w:t>
            </w:r>
          </w:p>
        </w:tc>
      </w:tr>
      <w:tr w14:paraId="11AE05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81CB3EC">
            <w:pPr>
              <w:jc w:val="center"/>
              <w:rPr>
                <w:rFonts w:hint="eastAsia" w:ascii="宋体" w:hAnsi="宋体" w:eastAsia="宋体" w:cs="宋体"/>
                <w:color w:val="000000"/>
                <w:kern w:val="2"/>
                <w:sz w:val="21"/>
                <w:szCs w:val="21"/>
              </w:rPr>
            </w:pPr>
            <w:r>
              <w:rPr>
                <w:rFonts w:hint="eastAsia" w:ascii="宋体" w:hAnsi="宋体" w:cs="宋体"/>
                <w:color w:val="000000"/>
                <w:sz w:val="21"/>
                <w:szCs w:val="21"/>
              </w:rPr>
              <w:t>2</w:t>
            </w:r>
          </w:p>
        </w:tc>
        <w:tc>
          <w:tcPr>
            <w:tcW w:w="7748" w:type="dxa"/>
            <w:vAlign w:val="center"/>
          </w:tcPr>
          <w:p w14:paraId="602F4D1C">
            <w:pPr>
              <w:jc w:val="both"/>
              <w:rPr>
                <w:rFonts w:ascii="宋体" w:hAnsi="宋体" w:cs="宋体"/>
                <w:color w:val="000000"/>
                <w:sz w:val="21"/>
                <w:szCs w:val="21"/>
              </w:rPr>
            </w:pPr>
            <w:r>
              <w:rPr>
                <w:rFonts w:hint="eastAsia" w:ascii="宋体" w:hAnsi="宋体" w:cs="宋体"/>
                <w:color w:val="000000"/>
                <w:sz w:val="21"/>
                <w:szCs w:val="21"/>
              </w:rPr>
              <w:t>未按招标文件要求提供招标代理服务费承诺书的；</w:t>
            </w:r>
          </w:p>
        </w:tc>
      </w:tr>
      <w:tr w14:paraId="12D6BF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C287414">
            <w:pPr>
              <w:jc w:val="center"/>
              <w:rPr>
                <w:rFonts w:hint="eastAsia" w:ascii="宋体" w:hAnsi="宋体" w:eastAsia="宋体" w:cs="宋体"/>
                <w:color w:val="000000"/>
                <w:kern w:val="2"/>
                <w:sz w:val="21"/>
                <w:szCs w:val="21"/>
              </w:rPr>
            </w:pPr>
            <w:r>
              <w:rPr>
                <w:rFonts w:hint="eastAsia" w:ascii="宋体" w:hAnsi="宋体" w:cs="宋体"/>
                <w:color w:val="000000"/>
                <w:sz w:val="21"/>
                <w:szCs w:val="21"/>
              </w:rPr>
              <w:t>3</w:t>
            </w:r>
          </w:p>
        </w:tc>
        <w:tc>
          <w:tcPr>
            <w:tcW w:w="7748" w:type="dxa"/>
            <w:vAlign w:val="center"/>
          </w:tcPr>
          <w:p w14:paraId="16FA13D0">
            <w:pPr>
              <w:jc w:val="both"/>
              <w:rPr>
                <w:rFonts w:ascii="宋体" w:hAnsi="宋体" w:cs="宋体"/>
                <w:color w:val="000000"/>
                <w:sz w:val="21"/>
                <w:szCs w:val="21"/>
              </w:rPr>
            </w:pPr>
            <w:r>
              <w:rPr>
                <w:rFonts w:hint="eastAsia" w:ascii="宋体" w:hAnsi="宋体" w:cs="宋体"/>
                <w:color w:val="000000"/>
                <w:sz w:val="21"/>
                <w:szCs w:val="21"/>
              </w:rPr>
              <w:t>对同一项目投标时，不得提供两套以上的投标方案（招标文件另有规定的除外）；</w:t>
            </w:r>
          </w:p>
        </w:tc>
      </w:tr>
      <w:tr w14:paraId="0880B78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53758AF1">
            <w:pPr>
              <w:jc w:val="center"/>
              <w:rPr>
                <w:rFonts w:hint="eastAsia" w:ascii="宋体" w:hAnsi="宋体" w:eastAsia="宋体" w:cs="宋体"/>
                <w:color w:val="000000"/>
                <w:kern w:val="2"/>
                <w:sz w:val="21"/>
                <w:szCs w:val="21"/>
              </w:rPr>
            </w:pPr>
            <w:r>
              <w:rPr>
                <w:rFonts w:hint="eastAsia" w:ascii="宋体" w:hAnsi="宋体" w:cs="宋体"/>
                <w:color w:val="000000"/>
                <w:sz w:val="21"/>
                <w:szCs w:val="21"/>
              </w:rPr>
              <w:t>4</w:t>
            </w:r>
          </w:p>
        </w:tc>
        <w:tc>
          <w:tcPr>
            <w:tcW w:w="7748" w:type="dxa"/>
            <w:vAlign w:val="center"/>
          </w:tcPr>
          <w:p w14:paraId="5F603290">
            <w:pPr>
              <w:jc w:val="both"/>
              <w:rPr>
                <w:rFonts w:hint="eastAsia" w:ascii="宋体" w:hAnsi="宋体" w:eastAsia="宋体" w:cs="宋体"/>
                <w:color w:val="000000"/>
                <w:sz w:val="21"/>
                <w:szCs w:val="21"/>
              </w:rPr>
            </w:pPr>
            <w:r>
              <w:rPr>
                <w:rFonts w:hint="eastAsia" w:ascii="宋体" w:hAnsi="宋体" w:cs="宋体"/>
                <w:color w:val="000000"/>
                <w:sz w:val="21"/>
                <w:szCs w:val="21"/>
              </w:rPr>
              <w:t>分项报价或投标总价高于预算金额（或最高投标限价）的；</w:t>
            </w:r>
            <w:r>
              <w:rPr>
                <w:rFonts w:hint="eastAsia" w:ascii="宋体" w:hAnsi="宋体" w:eastAsia="宋体" w:cs="宋体"/>
                <w:color w:val="000000"/>
                <w:sz w:val="21"/>
                <w:szCs w:val="21"/>
              </w:rPr>
              <w:t>未按招标文件要求进行报价的；</w:t>
            </w:r>
          </w:p>
        </w:tc>
      </w:tr>
      <w:tr w14:paraId="199AF15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4D0E4BA7">
            <w:pPr>
              <w:jc w:val="center"/>
              <w:rPr>
                <w:rFonts w:hint="eastAsia" w:ascii="宋体" w:hAnsi="宋体" w:eastAsia="宋体" w:cs="宋体"/>
                <w:color w:val="000000"/>
                <w:kern w:val="2"/>
                <w:sz w:val="21"/>
                <w:szCs w:val="21"/>
              </w:rPr>
            </w:pPr>
            <w:r>
              <w:rPr>
                <w:rFonts w:hint="eastAsia" w:ascii="宋体" w:hAnsi="宋体" w:cs="宋体"/>
                <w:color w:val="000000"/>
                <w:sz w:val="21"/>
                <w:szCs w:val="21"/>
              </w:rPr>
              <w:t>5</w:t>
            </w:r>
          </w:p>
        </w:tc>
        <w:tc>
          <w:tcPr>
            <w:tcW w:w="7748" w:type="dxa"/>
            <w:vAlign w:val="center"/>
          </w:tcPr>
          <w:p w14:paraId="38791EAF">
            <w:pPr>
              <w:jc w:val="both"/>
              <w:rPr>
                <w:rFonts w:ascii="宋体" w:hAnsi="宋体" w:cs="宋体"/>
                <w:color w:val="000000"/>
                <w:sz w:val="21"/>
                <w:szCs w:val="21"/>
              </w:rPr>
            </w:pPr>
            <w:r>
              <w:rPr>
                <w:rFonts w:hint="eastAsia" w:ascii="宋体" w:hAnsi="宋体" w:cs="宋体"/>
                <w:color w:val="000000"/>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0F3B14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828B725">
            <w:pPr>
              <w:jc w:val="center"/>
              <w:rPr>
                <w:rFonts w:hint="eastAsia" w:ascii="宋体" w:hAnsi="宋体" w:eastAsia="宋体" w:cs="宋体"/>
                <w:color w:val="000000"/>
                <w:kern w:val="2"/>
                <w:sz w:val="21"/>
                <w:szCs w:val="21"/>
              </w:rPr>
            </w:pPr>
            <w:r>
              <w:rPr>
                <w:rFonts w:hint="eastAsia" w:ascii="宋体" w:hAnsi="宋体" w:cs="宋体"/>
                <w:color w:val="000000"/>
                <w:sz w:val="21"/>
                <w:szCs w:val="21"/>
              </w:rPr>
              <w:t>6</w:t>
            </w:r>
          </w:p>
        </w:tc>
        <w:tc>
          <w:tcPr>
            <w:tcW w:w="7748" w:type="dxa"/>
            <w:vAlign w:val="center"/>
          </w:tcPr>
          <w:p w14:paraId="7D06F6E8">
            <w:pPr>
              <w:jc w:val="both"/>
              <w:rPr>
                <w:rFonts w:ascii="宋体" w:hAnsi="宋体" w:cs="宋体"/>
                <w:color w:val="000000"/>
                <w:sz w:val="21"/>
                <w:szCs w:val="21"/>
              </w:rPr>
            </w:pPr>
            <w:r>
              <w:rPr>
                <w:rFonts w:hint="eastAsia" w:ascii="宋体" w:hAnsi="宋体" w:cs="宋体"/>
                <w:color w:val="000000"/>
                <w:sz w:val="21"/>
                <w:szCs w:val="21"/>
              </w:rPr>
              <w:t>同一项目出现两个及以上报价，且按规定无法确定哪个是有效报价；</w:t>
            </w:r>
          </w:p>
        </w:tc>
      </w:tr>
      <w:tr w14:paraId="35EC72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898B862">
            <w:pPr>
              <w:jc w:val="center"/>
              <w:rPr>
                <w:rFonts w:hint="eastAsia" w:ascii="宋体" w:hAnsi="宋体" w:eastAsia="宋体" w:cs="宋体"/>
                <w:color w:val="000000"/>
                <w:kern w:val="2"/>
                <w:sz w:val="21"/>
                <w:szCs w:val="21"/>
              </w:rPr>
            </w:pPr>
            <w:r>
              <w:rPr>
                <w:rFonts w:hint="eastAsia" w:ascii="宋体" w:hAnsi="宋体" w:cs="宋体"/>
                <w:color w:val="000000"/>
                <w:sz w:val="21"/>
                <w:szCs w:val="21"/>
              </w:rPr>
              <w:t>7</w:t>
            </w:r>
          </w:p>
        </w:tc>
        <w:tc>
          <w:tcPr>
            <w:tcW w:w="7748" w:type="dxa"/>
            <w:vAlign w:val="center"/>
          </w:tcPr>
          <w:p w14:paraId="45E67A3E">
            <w:pPr>
              <w:jc w:val="both"/>
              <w:rPr>
                <w:rFonts w:ascii="宋体" w:hAnsi="宋体" w:cs="宋体"/>
                <w:color w:val="000000"/>
                <w:sz w:val="21"/>
                <w:szCs w:val="21"/>
              </w:rPr>
            </w:pPr>
            <w:r>
              <w:rPr>
                <w:rFonts w:hint="eastAsia" w:ascii="宋体" w:hAnsi="宋体" w:cs="宋体"/>
                <w:color w:val="000000"/>
                <w:sz w:val="21"/>
                <w:szCs w:val="21"/>
              </w:rPr>
              <w:t>未按要求提供《</w:t>
            </w:r>
            <w:r>
              <w:rPr>
                <w:rFonts w:hint="eastAsia" w:ascii="宋体" w:hAnsi="宋体" w:eastAsia="宋体" w:cs="宋体"/>
                <w:color w:val="000000"/>
                <w:sz w:val="21"/>
                <w:szCs w:val="21"/>
              </w:rPr>
              <w:t>技术要求</w:t>
            </w:r>
            <w:r>
              <w:rPr>
                <w:rFonts w:hint="eastAsia" w:ascii="宋体" w:hAnsi="宋体" w:cs="宋体"/>
                <w:color w:val="000000"/>
                <w:sz w:val="21"/>
                <w:szCs w:val="21"/>
              </w:rPr>
              <w:t>偏离表》</w:t>
            </w:r>
            <w:r>
              <w:rPr>
                <w:rFonts w:hint="eastAsia" w:ascii="宋体" w:hAnsi="宋体" w:eastAsia="宋体" w:cs="宋体"/>
                <w:color w:val="000000"/>
                <w:sz w:val="21"/>
                <w:szCs w:val="21"/>
              </w:rPr>
              <w:t>或《商务要求偏离表》</w:t>
            </w:r>
            <w:r>
              <w:rPr>
                <w:rFonts w:hint="eastAsia" w:ascii="宋体" w:hAnsi="宋体" w:cs="宋体"/>
                <w:color w:val="000000"/>
                <w:sz w:val="21"/>
                <w:szCs w:val="21"/>
              </w:rPr>
              <w:t>；</w:t>
            </w:r>
          </w:p>
        </w:tc>
      </w:tr>
      <w:tr w14:paraId="7334CA1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4B016568">
            <w:pPr>
              <w:jc w:val="center"/>
              <w:rPr>
                <w:rFonts w:hint="eastAsia" w:ascii="宋体" w:hAnsi="宋体" w:eastAsia="宋体" w:cs="宋体"/>
                <w:color w:val="000000"/>
                <w:kern w:val="2"/>
                <w:sz w:val="21"/>
                <w:szCs w:val="21"/>
              </w:rPr>
            </w:pPr>
            <w:r>
              <w:rPr>
                <w:rFonts w:hint="eastAsia" w:ascii="宋体" w:hAnsi="宋体" w:cs="宋体"/>
                <w:color w:val="000000"/>
                <w:sz w:val="21"/>
                <w:szCs w:val="21"/>
              </w:rPr>
              <w:t>8</w:t>
            </w:r>
          </w:p>
        </w:tc>
        <w:tc>
          <w:tcPr>
            <w:tcW w:w="7748" w:type="dxa"/>
            <w:vAlign w:val="center"/>
          </w:tcPr>
          <w:p w14:paraId="0F9C1DED">
            <w:pPr>
              <w:jc w:val="both"/>
              <w:rPr>
                <w:rFonts w:ascii="宋体" w:hAnsi="宋体" w:cs="宋体"/>
                <w:color w:val="000000"/>
                <w:sz w:val="21"/>
                <w:szCs w:val="21"/>
              </w:rPr>
            </w:pPr>
            <w:r>
              <w:rPr>
                <w:rFonts w:hint="eastAsia" w:ascii="宋体" w:hAnsi="宋体" w:cs="宋体"/>
                <w:color w:val="000000"/>
                <w:sz w:val="21"/>
                <w:szCs w:val="21"/>
              </w:rPr>
              <w:t>所投货物、工程、服务在商务、技术等方面没有实质性满足招标文件要求的（</w:t>
            </w:r>
            <w:r>
              <w:rPr>
                <w:rFonts w:hint="eastAsia"/>
                <w:color w:val="000000"/>
                <w:sz w:val="21"/>
                <w:szCs w:val="21"/>
              </w:rPr>
              <w:t>是否实质性满足招标文件要求，由评审委员会根据实质性条款响应情况作出评判</w:t>
            </w:r>
            <w:r>
              <w:rPr>
                <w:rFonts w:hint="eastAsia" w:ascii="宋体" w:hAnsi="宋体" w:cs="宋体"/>
                <w:color w:val="000000"/>
                <w:sz w:val="21"/>
                <w:szCs w:val="21"/>
              </w:rPr>
              <w:t>）；</w:t>
            </w:r>
          </w:p>
        </w:tc>
      </w:tr>
      <w:tr w14:paraId="0CAF80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4B39A8A6">
            <w:pPr>
              <w:jc w:val="center"/>
              <w:rPr>
                <w:rFonts w:hint="eastAsia" w:ascii="宋体" w:hAnsi="宋体" w:eastAsia="宋体" w:cs="宋体"/>
                <w:color w:val="000000"/>
                <w:kern w:val="2"/>
                <w:sz w:val="21"/>
                <w:szCs w:val="21"/>
              </w:rPr>
            </w:pPr>
            <w:r>
              <w:rPr>
                <w:rFonts w:hint="eastAsia" w:ascii="宋体" w:hAnsi="宋体" w:cs="宋体"/>
                <w:color w:val="000000"/>
                <w:sz w:val="21"/>
                <w:szCs w:val="21"/>
              </w:rPr>
              <w:t>9</w:t>
            </w:r>
          </w:p>
        </w:tc>
        <w:tc>
          <w:tcPr>
            <w:tcW w:w="7748" w:type="dxa"/>
            <w:vAlign w:val="center"/>
          </w:tcPr>
          <w:p w14:paraId="7E07CF7A">
            <w:pPr>
              <w:jc w:val="both"/>
              <w:rPr>
                <w:rFonts w:ascii="宋体" w:hAnsi="宋体" w:cs="宋体"/>
                <w:color w:val="000000"/>
                <w:sz w:val="21"/>
                <w:szCs w:val="21"/>
              </w:rPr>
            </w:pPr>
            <w:r>
              <w:rPr>
                <w:rFonts w:hint="eastAsia" w:ascii="宋体" w:hAnsi="宋体" w:cs="宋体"/>
                <w:color w:val="000000"/>
                <w:sz w:val="21"/>
                <w:szCs w:val="21"/>
              </w:rPr>
              <w:t>未按招标文件所提供的样式填写《投标函》；未按招标文件所提供的《政府采购投标及履约承诺函》进行承诺</w:t>
            </w:r>
            <w:r>
              <w:rPr>
                <w:rFonts w:hint="eastAsia"/>
                <w:color w:val="000000"/>
                <w:sz w:val="21"/>
                <w:szCs w:val="21"/>
              </w:rPr>
              <w:t>或不符合承诺的</w:t>
            </w:r>
            <w:r>
              <w:rPr>
                <w:rFonts w:hint="eastAsia" w:ascii="宋体" w:hAnsi="宋体" w:cs="宋体"/>
                <w:color w:val="000000"/>
                <w:sz w:val="21"/>
                <w:szCs w:val="21"/>
              </w:rPr>
              <w:t>；未按招标文件对投标文件组成的要求提供投标文件的（投标文件组成不完整）；</w:t>
            </w:r>
          </w:p>
        </w:tc>
      </w:tr>
      <w:tr w14:paraId="0EBC71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43D1ED76">
            <w:pPr>
              <w:jc w:val="center"/>
              <w:rPr>
                <w:rFonts w:hint="eastAsia" w:ascii="宋体" w:hAnsi="宋体" w:eastAsia="宋体" w:cs="宋体"/>
                <w:color w:val="000000"/>
                <w:kern w:val="2"/>
                <w:sz w:val="21"/>
                <w:szCs w:val="21"/>
              </w:rPr>
            </w:pPr>
            <w:r>
              <w:rPr>
                <w:rFonts w:hint="eastAsia" w:ascii="宋体" w:hAnsi="宋体" w:cs="宋体"/>
                <w:sz w:val="21"/>
                <w:szCs w:val="21"/>
              </w:rPr>
              <w:t>10</w:t>
            </w:r>
          </w:p>
        </w:tc>
        <w:tc>
          <w:tcPr>
            <w:tcW w:w="7748" w:type="dxa"/>
            <w:vAlign w:val="center"/>
          </w:tcPr>
          <w:p w14:paraId="678FB26A">
            <w:pPr>
              <w:jc w:val="both"/>
              <w:rPr>
                <w:rFonts w:ascii="宋体" w:hAnsi="宋体" w:cs="宋体"/>
                <w:color w:val="000000"/>
                <w:sz w:val="21"/>
                <w:szCs w:val="21"/>
              </w:rPr>
            </w:pPr>
            <w:r>
              <w:rPr>
                <w:rFonts w:hint="eastAsia" w:ascii="宋体" w:hAnsi="宋体" w:cs="宋体"/>
                <w:color w:val="000000"/>
                <w:sz w:val="21"/>
                <w:szCs w:val="21"/>
              </w:rPr>
              <w:t>所投产品</w:t>
            </w:r>
            <w:r>
              <w:rPr>
                <w:rFonts w:hint="eastAsia" w:ascii="宋体" w:hAnsi="宋体" w:eastAsia="宋体" w:cs="宋体"/>
                <w:color w:val="000000"/>
                <w:sz w:val="21"/>
                <w:szCs w:val="21"/>
              </w:rPr>
              <w:t>/</w:t>
            </w:r>
            <w:r>
              <w:rPr>
                <w:rFonts w:hint="eastAsia" w:ascii="宋体" w:hAnsi="宋体" w:cs="宋体"/>
                <w:color w:val="000000"/>
                <w:sz w:val="21"/>
                <w:szCs w:val="21"/>
              </w:rPr>
              <w:t>货物清单</w:t>
            </w:r>
            <w:r>
              <w:rPr>
                <w:rFonts w:hint="eastAsia" w:ascii="宋体" w:hAnsi="宋体" w:eastAsia="宋体" w:cs="宋体"/>
                <w:color w:val="000000"/>
                <w:sz w:val="21"/>
                <w:szCs w:val="21"/>
              </w:rPr>
              <w:t>/</w:t>
            </w:r>
            <w:r>
              <w:rPr>
                <w:rFonts w:hint="eastAsia" w:ascii="宋体" w:hAnsi="宋体" w:cs="宋体"/>
                <w:color w:val="000000"/>
                <w:sz w:val="21"/>
                <w:szCs w:val="21"/>
              </w:rPr>
              <w:t>投标报价有缺漏项或对招标文件规定的项目需求内容或者需求数量进行修改，评审委员会判定投标响应不满足采购需求；</w:t>
            </w:r>
          </w:p>
        </w:tc>
      </w:tr>
      <w:tr w14:paraId="45E2C1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E5E629A">
            <w:pPr>
              <w:jc w:val="center"/>
              <w:rPr>
                <w:rFonts w:hint="eastAsia" w:ascii="宋体" w:hAnsi="宋体" w:eastAsia="宋体" w:cs="宋体"/>
                <w:color w:val="000000"/>
                <w:kern w:val="2"/>
                <w:sz w:val="21"/>
                <w:szCs w:val="21"/>
              </w:rPr>
            </w:pPr>
            <w:r>
              <w:rPr>
                <w:rFonts w:hint="eastAsia" w:ascii="宋体" w:hAnsi="宋体" w:cs="宋体"/>
                <w:color w:val="000000"/>
                <w:sz w:val="21"/>
                <w:szCs w:val="21"/>
              </w:rPr>
              <w:t>11</w:t>
            </w:r>
          </w:p>
        </w:tc>
        <w:tc>
          <w:tcPr>
            <w:tcW w:w="7748" w:type="dxa"/>
            <w:vAlign w:val="center"/>
          </w:tcPr>
          <w:p w14:paraId="35F9A95A">
            <w:pPr>
              <w:jc w:val="both"/>
              <w:rPr>
                <w:rFonts w:ascii="宋体" w:hAnsi="宋体" w:cs="宋体"/>
                <w:color w:val="000000"/>
                <w:sz w:val="21"/>
                <w:szCs w:val="21"/>
              </w:rPr>
            </w:pPr>
            <w:r>
              <w:rPr>
                <w:rFonts w:hint="eastAsia" w:ascii="宋体" w:hAnsi="宋体" w:cs="宋体"/>
                <w:color w:val="000000"/>
                <w:sz w:val="21"/>
                <w:szCs w:val="21"/>
              </w:rPr>
              <w:t>投标文件存在列放位置错误，导致属于信息公开情形的没有被公开；</w:t>
            </w:r>
          </w:p>
        </w:tc>
      </w:tr>
      <w:tr w14:paraId="69133E4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2732BD94">
            <w:pPr>
              <w:jc w:val="center"/>
              <w:rPr>
                <w:rFonts w:hint="eastAsia" w:ascii="宋体" w:hAnsi="宋体" w:eastAsia="宋体" w:cs="宋体"/>
                <w:color w:val="000000"/>
                <w:kern w:val="2"/>
                <w:sz w:val="21"/>
                <w:szCs w:val="21"/>
              </w:rPr>
            </w:pPr>
            <w:r>
              <w:rPr>
                <w:rFonts w:hint="eastAsia" w:ascii="宋体" w:hAnsi="宋体" w:cs="宋体"/>
                <w:color w:val="000000"/>
                <w:sz w:val="21"/>
                <w:szCs w:val="21"/>
              </w:rPr>
              <w:t>12</w:t>
            </w:r>
          </w:p>
        </w:tc>
        <w:tc>
          <w:tcPr>
            <w:tcW w:w="7748" w:type="dxa"/>
            <w:vAlign w:val="center"/>
          </w:tcPr>
          <w:p w14:paraId="609FAF41">
            <w:pPr>
              <w:jc w:val="both"/>
              <w:rPr>
                <w:rFonts w:ascii="宋体" w:hAnsi="宋体" w:cs="宋体"/>
                <w:color w:val="000000"/>
                <w:sz w:val="21"/>
                <w:szCs w:val="21"/>
              </w:rPr>
            </w:pPr>
            <w:r>
              <w:rPr>
                <w:rFonts w:hint="eastAsia" w:ascii="宋体" w:hAnsi="宋体" w:cs="宋体"/>
                <w:color w:val="000000"/>
                <w:sz w:val="21"/>
                <w:szCs w:val="21"/>
              </w:rPr>
              <w:t>投标文件电子文档不得带病毒；</w:t>
            </w:r>
          </w:p>
        </w:tc>
      </w:tr>
      <w:tr w14:paraId="3452B5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224A338B">
            <w:pPr>
              <w:jc w:val="center"/>
              <w:rPr>
                <w:rFonts w:hint="eastAsia" w:ascii="宋体" w:hAnsi="宋体" w:eastAsia="宋体" w:cs="宋体"/>
                <w:color w:val="000000"/>
                <w:kern w:val="2"/>
                <w:sz w:val="21"/>
                <w:szCs w:val="21"/>
              </w:rPr>
            </w:pPr>
            <w:r>
              <w:rPr>
                <w:rFonts w:hint="eastAsia" w:ascii="宋体" w:hAnsi="宋体" w:cs="宋体"/>
                <w:color w:val="000000"/>
                <w:sz w:val="21"/>
                <w:szCs w:val="21"/>
              </w:rPr>
              <w:t>13</w:t>
            </w:r>
          </w:p>
        </w:tc>
        <w:tc>
          <w:tcPr>
            <w:tcW w:w="7748" w:type="dxa"/>
            <w:vAlign w:val="center"/>
          </w:tcPr>
          <w:p w14:paraId="13A822FB">
            <w:pPr>
              <w:jc w:val="both"/>
              <w:rPr>
                <w:rFonts w:ascii="宋体" w:hAnsi="宋体" w:cs="宋体"/>
                <w:color w:val="000000"/>
                <w:sz w:val="21"/>
                <w:szCs w:val="21"/>
              </w:rPr>
            </w:pPr>
            <w:r>
              <w:rPr>
                <w:rFonts w:hint="eastAsia" w:ascii="宋体" w:hAnsi="宋体" w:cs="宋体"/>
                <w:color w:val="000000"/>
                <w:sz w:val="21"/>
                <w:szCs w:val="21"/>
              </w:rPr>
              <w:t>投标文件用不属于本公司的电子密钥进行加密的；</w:t>
            </w:r>
          </w:p>
        </w:tc>
      </w:tr>
      <w:tr w14:paraId="67EF568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40D942F">
            <w:pPr>
              <w:jc w:val="center"/>
              <w:rPr>
                <w:rFonts w:hint="eastAsia" w:ascii="宋体" w:hAnsi="宋体" w:eastAsia="宋体" w:cs="宋体"/>
                <w:color w:val="000000"/>
                <w:sz w:val="21"/>
                <w:szCs w:val="21"/>
              </w:rPr>
            </w:pPr>
            <w:r>
              <w:rPr>
                <w:rFonts w:hint="eastAsia" w:ascii="宋体" w:hAnsi="宋体" w:cs="宋体"/>
                <w:color w:val="000000"/>
                <w:sz w:val="21"/>
                <w:szCs w:val="21"/>
              </w:rPr>
              <w:t>14</w:t>
            </w:r>
          </w:p>
        </w:tc>
        <w:tc>
          <w:tcPr>
            <w:tcW w:w="7748" w:type="dxa"/>
            <w:vAlign w:val="center"/>
          </w:tcPr>
          <w:p w14:paraId="77FAB499">
            <w:pPr>
              <w:jc w:val="both"/>
              <w:rPr>
                <w:rFonts w:ascii="宋体" w:hAnsi="宋体" w:cs="宋体"/>
                <w:color w:val="000000"/>
                <w:sz w:val="21"/>
                <w:szCs w:val="21"/>
              </w:rPr>
            </w:pPr>
            <w:r>
              <w:rPr>
                <w:rFonts w:hint="eastAsia" w:ascii="宋体" w:hAnsi="宋体" w:cs="宋体"/>
                <w:color w:val="000000"/>
                <w:sz w:val="21"/>
                <w:szCs w:val="21"/>
              </w:rPr>
              <w:t>误选了非本项目的最新加密规则文件，导致投标文件不能在开标时解密；</w:t>
            </w:r>
          </w:p>
        </w:tc>
      </w:tr>
      <w:tr w14:paraId="56BE6D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3D675B1">
            <w:pPr>
              <w:jc w:val="center"/>
              <w:rPr>
                <w:rFonts w:hint="eastAsia" w:ascii="宋体" w:hAnsi="宋体" w:eastAsia="宋体" w:cs="宋体"/>
                <w:color w:val="000000"/>
                <w:sz w:val="21"/>
                <w:szCs w:val="21"/>
              </w:rPr>
            </w:pPr>
            <w:r>
              <w:rPr>
                <w:rFonts w:hint="eastAsia" w:ascii="宋体" w:hAnsi="宋体" w:cs="宋体"/>
                <w:color w:val="000000"/>
                <w:sz w:val="21"/>
                <w:szCs w:val="21"/>
              </w:rPr>
              <w:t>15</w:t>
            </w:r>
          </w:p>
        </w:tc>
        <w:tc>
          <w:tcPr>
            <w:tcW w:w="7748" w:type="dxa"/>
            <w:vAlign w:val="center"/>
          </w:tcPr>
          <w:p w14:paraId="356DF78B">
            <w:pPr>
              <w:jc w:val="both"/>
              <w:rPr>
                <w:rFonts w:hint="eastAsia" w:ascii="宋体" w:hAnsi="宋体" w:eastAsia="宋体" w:cs="宋体"/>
                <w:color w:val="000000"/>
                <w:sz w:val="21"/>
                <w:szCs w:val="21"/>
              </w:rPr>
            </w:pPr>
            <w:r>
              <w:rPr>
                <w:rFonts w:hint="eastAsia" w:ascii="宋体" w:hAnsi="宋体" w:cs="宋体"/>
                <w:color w:val="000000"/>
                <w:sz w:val="21"/>
                <w:szCs w:val="21"/>
              </w:rPr>
              <w:t>法律、法规、规章、规范性文件规定的其他情形；</w:t>
            </w:r>
          </w:p>
        </w:tc>
      </w:tr>
      <w:tr w14:paraId="5420219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20" w:type="dxa"/>
            <w:left w:w="108" w:type="dxa"/>
            <w:bottom w:w="20" w:type="dxa"/>
            <w:right w:w="108" w:type="dxa"/>
          </w:tblCellMar>
        </w:tblPrEx>
        <w:trPr>
          <w:trHeight w:val="454" w:hRule="atLeast"/>
          <w:jc w:val="center"/>
        </w:trPr>
        <w:tc>
          <w:tcPr>
            <w:tcW w:w="756" w:type="dxa"/>
            <w:vAlign w:val="center"/>
          </w:tcPr>
          <w:p w14:paraId="626B9372">
            <w:pPr>
              <w:jc w:val="center"/>
              <w:rPr>
                <w:rFonts w:hint="eastAsia" w:ascii="宋体" w:hAnsi="宋体" w:eastAsia="宋体" w:cs="宋体"/>
                <w:color w:val="000000"/>
                <w:sz w:val="21"/>
                <w:szCs w:val="21"/>
              </w:rPr>
            </w:pPr>
            <w:r>
              <w:rPr>
                <w:rFonts w:hint="eastAsia" w:ascii="宋体" w:hAnsi="宋体" w:cs="宋体"/>
                <w:color w:val="000000"/>
                <w:sz w:val="21"/>
                <w:szCs w:val="21"/>
              </w:rPr>
              <w:t>16</w:t>
            </w:r>
          </w:p>
        </w:tc>
        <w:tc>
          <w:tcPr>
            <w:tcW w:w="7748" w:type="dxa"/>
            <w:vAlign w:val="center"/>
          </w:tcPr>
          <w:p w14:paraId="54046DEE">
            <w:pPr>
              <w:jc w:val="both"/>
              <w:rPr>
                <w:rFonts w:ascii="宋体" w:hAnsi="宋体" w:cs="宋体"/>
                <w:color w:val="000000"/>
                <w:sz w:val="21"/>
                <w:szCs w:val="21"/>
              </w:rPr>
            </w:pPr>
            <w:r>
              <w:rPr>
                <w:rFonts w:hint="eastAsia" w:ascii="宋体" w:hAnsi="宋体" w:cs="宋体"/>
                <w:color w:val="000000"/>
                <w:sz w:val="21"/>
                <w:szCs w:val="21"/>
              </w:rPr>
              <w:t xml:space="preserve">出现以下情形之一的供应商作投标无效处理，并依法上报监管机关。 </w:t>
            </w:r>
          </w:p>
          <w:p w14:paraId="48FA246B">
            <w:pPr>
              <w:jc w:val="both"/>
              <w:rPr>
                <w:rFonts w:ascii="宋体" w:hAnsi="宋体" w:cs="宋体"/>
                <w:color w:val="000000"/>
                <w:sz w:val="21"/>
                <w:szCs w:val="21"/>
              </w:rPr>
            </w:pPr>
            <w:r>
              <w:rPr>
                <w:rFonts w:hint="eastAsia" w:ascii="宋体" w:hAnsi="宋体" w:cs="宋体"/>
                <w:color w:val="000000"/>
                <w:sz w:val="21"/>
                <w:szCs w:val="21"/>
              </w:rPr>
              <w:t xml:space="preserve">（1）不同投标供应商投标文件“文件制作机器码”和“IP 地址”一致的； </w:t>
            </w:r>
          </w:p>
          <w:p w14:paraId="3F53F85C">
            <w:pPr>
              <w:jc w:val="both"/>
              <w:rPr>
                <w:rFonts w:ascii="宋体" w:hAnsi="宋体" w:cs="宋体"/>
                <w:color w:val="000000"/>
                <w:sz w:val="21"/>
                <w:szCs w:val="21"/>
              </w:rPr>
            </w:pPr>
            <w:r>
              <w:rPr>
                <w:rFonts w:hint="eastAsia" w:ascii="宋体" w:hAnsi="宋体" w:cs="宋体"/>
                <w:color w:val="000000"/>
                <w:sz w:val="21"/>
                <w:szCs w:val="21"/>
              </w:rPr>
              <w:t xml:space="preserve">（2）不同投标供应商投标文件“文件创建标识码”和“IP 地址”一致的； </w:t>
            </w:r>
          </w:p>
          <w:p w14:paraId="136BB2F2">
            <w:pPr>
              <w:jc w:val="both"/>
              <w:rPr>
                <w:rFonts w:ascii="宋体" w:hAnsi="宋体" w:cs="宋体"/>
                <w:color w:val="000000"/>
                <w:sz w:val="21"/>
                <w:szCs w:val="21"/>
              </w:rPr>
            </w:pPr>
            <w:r>
              <w:rPr>
                <w:rFonts w:hint="eastAsia" w:ascii="宋体" w:hAnsi="宋体" w:cs="宋体"/>
                <w:color w:val="000000"/>
                <w:sz w:val="21"/>
                <w:szCs w:val="21"/>
              </w:rPr>
              <w:t xml:space="preserve">（3）不同投标供应商投标文件“文件制作机器码”一致的； </w:t>
            </w:r>
          </w:p>
          <w:p w14:paraId="25BCB95E">
            <w:pPr>
              <w:jc w:val="both"/>
              <w:rPr>
                <w:rFonts w:ascii="宋体" w:hAnsi="宋体" w:cs="宋体"/>
                <w:color w:val="000000"/>
                <w:sz w:val="21"/>
                <w:szCs w:val="21"/>
              </w:rPr>
            </w:pPr>
            <w:r>
              <w:rPr>
                <w:rFonts w:hint="eastAsia" w:ascii="宋体" w:hAnsi="宋体" w:cs="宋体"/>
                <w:color w:val="000000"/>
                <w:sz w:val="21"/>
                <w:szCs w:val="21"/>
              </w:rPr>
              <w:t>（4）不同投标供应商投标文件“文件创建标识码”一致的。</w:t>
            </w:r>
          </w:p>
        </w:tc>
      </w:tr>
    </w:tbl>
    <w:p w14:paraId="6FB67566">
      <w:pPr>
        <w:pStyle w:val="21"/>
        <w:rPr>
          <w:color w:val="000000"/>
          <w:sz w:val="21"/>
          <w:szCs w:val="21"/>
        </w:rPr>
      </w:pPr>
      <w:r>
        <w:rPr>
          <w:rFonts w:hint="eastAsia" w:ascii="宋体" w:hAnsi="宋体" w:eastAsia="宋体" w:cs="宋体"/>
          <w:color w:val="000000"/>
          <w:sz w:val="21"/>
          <w:szCs w:val="21"/>
        </w:rPr>
        <w:t>注</w:t>
      </w:r>
      <w:r>
        <w:rPr>
          <w:rFonts w:hint="eastAsia"/>
          <w:color w:val="000000"/>
          <w:sz w:val="21"/>
          <w:szCs w:val="21"/>
        </w:rPr>
        <w:t>：存在以上情形之一的，视为</w:t>
      </w:r>
      <w:r>
        <w:rPr>
          <w:color w:val="000000"/>
          <w:sz w:val="21"/>
          <w:szCs w:val="21"/>
        </w:rPr>
        <w:t>《资格性审查表》和《符合性审查表》初审不通过，按投标无效处理。</w:t>
      </w:r>
    </w:p>
    <w:p w14:paraId="45C2C370">
      <w:pPr>
        <w:rPr>
          <w:sz w:val="32"/>
          <w:szCs w:val="36"/>
        </w:rPr>
      </w:pPr>
    </w:p>
    <w:p w14:paraId="5BD0836A">
      <w:pPr>
        <w:rPr>
          <w:rFonts w:hint="eastAsia" w:ascii="宋体" w:hAnsi="宋体" w:eastAsia="宋体" w:cs="宋体"/>
          <w:b/>
          <w:bCs/>
          <w:sz w:val="44"/>
        </w:rPr>
      </w:pPr>
      <w:r>
        <w:rPr>
          <w:rFonts w:hint="eastAsia" w:ascii="宋体" w:hAnsi="宋体" w:eastAsia="宋体" w:cs="宋体"/>
          <w:b/>
          <w:bCs/>
          <w:sz w:val="44"/>
        </w:rPr>
        <w:br w:type="page"/>
      </w: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top w:w="20" w:type="dxa"/>
          <w:left w:w="108" w:type="dxa"/>
          <w:bottom w:w="20" w:type="dxa"/>
          <w:right w:w="108" w:type="dxa"/>
        </w:tblCellMar>
      </w:tblPr>
      <w:tblGrid>
        <w:gridCol w:w="9340"/>
      </w:tblGrid>
      <w:tr w14:paraId="01443C7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20" w:type="dxa"/>
            <w:left w:w="108" w:type="dxa"/>
            <w:bottom w:w="20" w:type="dxa"/>
            <w:right w:w="108" w:type="dxa"/>
          </w:tblCellMar>
        </w:tblPrEx>
        <w:trPr>
          <w:trHeight w:val="551" w:hRule="atLeast"/>
          <w:jc w:val="center"/>
        </w:trPr>
        <w:tc>
          <w:tcPr>
            <w:tcW w:w="9340" w:type="dxa"/>
            <w:shd w:val="clear" w:color="auto" w:fill="FFFFFF"/>
            <w:vAlign w:val="center"/>
          </w:tcPr>
          <w:p w14:paraId="694E70A4">
            <w:pPr>
              <w:jc w:val="center"/>
              <w:rPr>
                <w:rFonts w:hint="eastAsia" w:ascii="黑体" w:hAnsi="黑体" w:eastAsia="黑体" w:cs="黑体"/>
                <w:color w:val="000000"/>
                <w:sz w:val="28"/>
                <w:szCs w:val="28"/>
              </w:rPr>
            </w:pPr>
            <w:r>
              <w:rPr>
                <w:rFonts w:hint="eastAsia" w:ascii="黑体" w:hAnsi="黑体" w:eastAsia="黑体" w:cs="黑体"/>
                <w:color w:val="000000"/>
                <w:sz w:val="28"/>
                <w:szCs w:val="28"/>
              </w:rPr>
              <w:t>关于启动异常低价投标（响应）审查程序的规定</w:t>
            </w:r>
          </w:p>
        </w:tc>
      </w:tr>
      <w:tr w14:paraId="23CBA1B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20" w:type="dxa"/>
            <w:left w:w="108" w:type="dxa"/>
            <w:bottom w:w="20" w:type="dxa"/>
            <w:right w:w="108" w:type="dxa"/>
          </w:tblCellMar>
        </w:tblPrEx>
        <w:trPr>
          <w:trHeight w:val="8232" w:hRule="atLeast"/>
          <w:jc w:val="center"/>
        </w:trPr>
        <w:tc>
          <w:tcPr>
            <w:tcW w:w="9340" w:type="dxa"/>
            <w:shd w:val="clear" w:color="auto" w:fill="FFFFFF"/>
            <w:vAlign w:val="center"/>
          </w:tcPr>
          <w:p w14:paraId="31CF6E01">
            <w:pPr>
              <w:rPr>
                <w:rFonts w:ascii="宋体" w:hAnsi="宋体" w:cs="宋体"/>
                <w:color w:val="000000"/>
                <w:szCs w:val="21"/>
              </w:rPr>
            </w:pPr>
            <w:r>
              <w:rPr>
                <w:rFonts w:hint="eastAsia" w:ascii="宋体" w:hAnsi="宋体" w:cs="宋体"/>
                <w:color w:val="000000"/>
                <w:szCs w:val="21"/>
              </w:rPr>
              <w:t>根据《关于推动解决政府采购异常低价问题的通知》 （财库〔2026〕2号）要求，结合本项目实际情况，本项目评审中出现下列异常低价情形之一的，评审委员会应当启动异常低价投标（响应）审查程序：</w:t>
            </w:r>
          </w:p>
          <w:p w14:paraId="7DBBE39E">
            <w:pPr>
              <w:rPr>
                <w:rFonts w:ascii="宋体" w:hAnsi="宋体" w:cs="宋体"/>
                <w:color w:val="000000"/>
                <w:szCs w:val="21"/>
              </w:rPr>
            </w:pPr>
            <w:r>
              <w:rPr>
                <w:rFonts w:hint="eastAsia" w:ascii="宋体" w:hAnsi="宋体" w:cs="宋体"/>
                <w:b/>
                <w:bCs/>
                <w:color w:val="000000"/>
                <w:szCs w:val="21"/>
              </w:rPr>
              <w:t>1.异常低价情形：</w:t>
            </w:r>
          </w:p>
          <w:p w14:paraId="2C182623">
            <w:pPr>
              <w:rPr>
                <w:rFonts w:ascii="宋体" w:hAnsi="宋体" w:cs="宋体"/>
                <w:color w:val="000000"/>
                <w:szCs w:val="21"/>
              </w:rPr>
            </w:pPr>
            <w:r>
              <w:rPr>
                <w:rFonts w:hint="eastAsia" w:ascii="宋体" w:hAnsi="宋体" w:cs="宋体"/>
                <w:color w:val="000000"/>
                <w:szCs w:val="21"/>
              </w:rPr>
              <w:t>（1）投标（响应）报价低于全部通过符合性审查供应商投标（响应）报价平均值</w:t>
            </w:r>
            <w:r>
              <w:rPr>
                <w:rFonts w:hint="eastAsia" w:ascii="宋体" w:hAnsi="宋体" w:cs="宋体"/>
                <w:szCs w:val="21"/>
                <w:u w:val="single"/>
              </w:rPr>
              <w:t xml:space="preserve"> 65 %</w:t>
            </w:r>
            <w:r>
              <w:rPr>
                <w:rFonts w:hint="eastAsia" w:ascii="宋体" w:hAnsi="宋体" w:cs="宋体"/>
              </w:rPr>
              <w:t>（由采购人在50%-65%之间选择）</w:t>
            </w:r>
            <w:r>
              <w:rPr>
                <w:rFonts w:hint="eastAsia" w:ascii="宋体" w:hAnsi="宋体" w:cs="宋体"/>
                <w:color w:val="000000"/>
                <w:szCs w:val="21"/>
              </w:rPr>
              <w:t>的，即投标（响应）报价&lt;全部通过符合性审查供应商投标（响应）报价平均值×</w:t>
            </w:r>
            <w:r>
              <w:rPr>
                <w:rFonts w:hint="eastAsia" w:ascii="宋体" w:hAnsi="宋体" w:cs="宋体"/>
                <w:szCs w:val="21"/>
                <w:u w:val="single"/>
              </w:rPr>
              <w:t xml:space="preserve">  65  %</w:t>
            </w:r>
            <w:r>
              <w:rPr>
                <w:rFonts w:hint="eastAsia" w:ascii="宋体" w:hAnsi="宋体" w:cs="宋体"/>
              </w:rPr>
              <w:t>（由采购人在50%-65%之间选择）</w:t>
            </w:r>
            <w:r>
              <w:rPr>
                <w:rFonts w:hint="eastAsia" w:ascii="宋体" w:hAnsi="宋体" w:cs="宋体"/>
                <w:color w:val="000000"/>
                <w:szCs w:val="21"/>
              </w:rPr>
              <w:t>的；</w:t>
            </w:r>
          </w:p>
          <w:p w14:paraId="357BE701">
            <w:pPr>
              <w:rPr>
                <w:rFonts w:ascii="宋体" w:hAnsi="宋体" w:cs="宋体"/>
                <w:color w:val="000000"/>
                <w:szCs w:val="21"/>
              </w:rPr>
            </w:pPr>
            <w:r>
              <w:rPr>
                <w:rFonts w:hint="eastAsia" w:ascii="宋体" w:hAnsi="宋体" w:cs="宋体"/>
                <w:color w:val="000000"/>
                <w:szCs w:val="21"/>
              </w:rPr>
              <w:t>（2）投标（响应）报价低于通过符合性审查的</w:t>
            </w:r>
            <w:r>
              <w:rPr>
                <w:rFonts w:hint="eastAsia" w:ascii="宋体" w:hAnsi="宋体" w:cs="宋体"/>
                <w:b/>
                <w:bCs/>
                <w:color w:val="000000"/>
                <w:szCs w:val="21"/>
              </w:rPr>
              <w:t>次低报价供应商</w:t>
            </w:r>
            <w:r>
              <w:rPr>
                <w:rFonts w:hint="eastAsia" w:ascii="宋体" w:hAnsi="宋体" w:cs="宋体"/>
                <w:color w:val="000000"/>
                <w:szCs w:val="21"/>
              </w:rPr>
              <w:t>投标（响应）报价</w:t>
            </w:r>
            <w:r>
              <w:rPr>
                <w:rFonts w:hint="eastAsia" w:ascii="宋体" w:hAnsi="宋体" w:cs="宋体"/>
                <w:szCs w:val="21"/>
                <w:u w:val="single"/>
              </w:rPr>
              <w:t xml:space="preserve">  65  %</w:t>
            </w:r>
            <w:r>
              <w:rPr>
                <w:rFonts w:hint="eastAsia" w:ascii="宋体" w:hAnsi="宋体" w:cs="宋体"/>
              </w:rPr>
              <w:t>（由采购人在50%-65%之间选择）</w:t>
            </w:r>
            <w:r>
              <w:rPr>
                <w:rFonts w:hint="eastAsia" w:ascii="宋体" w:hAnsi="宋体" w:cs="宋体"/>
                <w:color w:val="000000"/>
                <w:szCs w:val="21"/>
              </w:rPr>
              <w:t>的的，即投标（响应）报价&lt;通过符合性审查的</w:t>
            </w:r>
            <w:r>
              <w:rPr>
                <w:rFonts w:hint="eastAsia" w:ascii="宋体" w:hAnsi="宋体" w:cs="宋体"/>
                <w:b/>
                <w:bCs/>
                <w:color w:val="000000"/>
                <w:szCs w:val="21"/>
              </w:rPr>
              <w:t>次低报价供应商</w:t>
            </w:r>
            <w:r>
              <w:rPr>
                <w:rFonts w:hint="eastAsia" w:ascii="宋体" w:hAnsi="宋体" w:cs="宋体"/>
                <w:color w:val="000000"/>
                <w:szCs w:val="21"/>
              </w:rPr>
              <w:t>投标（响应）报价×</w:t>
            </w:r>
            <w:r>
              <w:rPr>
                <w:rFonts w:hint="eastAsia" w:ascii="宋体" w:hAnsi="宋体" w:cs="宋体"/>
                <w:szCs w:val="21"/>
                <w:u w:val="single"/>
              </w:rPr>
              <w:t xml:space="preserve">  65  %</w:t>
            </w:r>
            <w:r>
              <w:rPr>
                <w:rFonts w:hint="eastAsia" w:ascii="宋体" w:hAnsi="宋体" w:cs="宋体"/>
              </w:rPr>
              <w:t>（由采购人在50%-65%之间选择）</w:t>
            </w:r>
            <w:r>
              <w:rPr>
                <w:rFonts w:hint="eastAsia" w:ascii="宋体" w:hAnsi="宋体" w:cs="宋体"/>
                <w:color w:val="000000"/>
                <w:szCs w:val="21"/>
              </w:rPr>
              <w:t>的；</w:t>
            </w:r>
          </w:p>
          <w:p w14:paraId="6D59E67B">
            <w:pPr>
              <w:rPr>
                <w:rFonts w:ascii="宋体" w:hAnsi="宋体" w:cs="宋体"/>
                <w:color w:val="000000"/>
                <w:szCs w:val="21"/>
              </w:rPr>
            </w:pPr>
            <w:r>
              <w:rPr>
                <w:rFonts w:hint="eastAsia" w:ascii="宋体" w:hAnsi="宋体" w:cs="宋体"/>
                <w:color w:val="000000"/>
                <w:szCs w:val="21"/>
              </w:rPr>
              <w:t>（3）投标（响应）报价低于采购项目最高限价</w:t>
            </w:r>
            <w:r>
              <w:rPr>
                <w:rFonts w:hint="eastAsia" w:ascii="宋体" w:hAnsi="宋体" w:cs="宋体"/>
                <w:szCs w:val="21"/>
                <w:u w:val="single"/>
              </w:rPr>
              <w:t xml:space="preserve">   65 %</w:t>
            </w:r>
            <w:r>
              <w:rPr>
                <w:rFonts w:hint="eastAsia" w:ascii="宋体" w:hAnsi="宋体" w:cs="宋体"/>
                <w:color w:val="000000"/>
                <w:szCs w:val="21"/>
              </w:rPr>
              <w:t>（由采购人在45%-65%之间选择）的，即投标（响应）报价&lt;采购项目最高限价×</w:t>
            </w:r>
            <w:r>
              <w:rPr>
                <w:rFonts w:hint="eastAsia" w:ascii="宋体" w:hAnsi="宋体" w:cs="宋体"/>
                <w:szCs w:val="21"/>
                <w:u w:val="single"/>
              </w:rPr>
              <w:t xml:space="preserve">   65 %</w:t>
            </w:r>
            <w:r>
              <w:rPr>
                <w:rFonts w:hint="eastAsia" w:ascii="宋体" w:hAnsi="宋体" w:cs="宋体"/>
                <w:color w:val="000000"/>
                <w:szCs w:val="21"/>
              </w:rPr>
              <w:t>（由采购人在45%-65%之间选择）；</w:t>
            </w:r>
          </w:p>
          <w:p w14:paraId="2CEBE3B6">
            <w:pPr>
              <w:rPr>
                <w:rFonts w:ascii="宋体" w:hAnsi="宋体" w:cs="宋体"/>
                <w:color w:val="000000"/>
                <w:szCs w:val="21"/>
              </w:rPr>
            </w:pPr>
            <w:r>
              <w:rPr>
                <w:rFonts w:hint="eastAsia" w:ascii="宋体" w:hAnsi="宋体" w:cs="宋体"/>
                <w:color w:val="000000"/>
                <w:szCs w:val="21"/>
              </w:rPr>
              <w:t>（4）评审委员会基于专业判断，认为供应商报价过低，有可能影响产品质量或者不能诚信履约的其他情形。</w:t>
            </w:r>
          </w:p>
          <w:p w14:paraId="708B8DAA">
            <w:pPr>
              <w:rPr>
                <w:rFonts w:ascii="宋体" w:hAnsi="宋体" w:cs="宋体"/>
                <w:b/>
                <w:bCs/>
                <w:color w:val="FF0000"/>
                <w:szCs w:val="21"/>
              </w:rPr>
            </w:pPr>
            <w:r>
              <w:rPr>
                <w:rFonts w:hint="eastAsia" w:ascii="宋体" w:hAnsi="宋体" w:cs="宋体"/>
                <w:b/>
                <w:bCs/>
                <w:color w:val="FF0000"/>
                <w:szCs w:val="21"/>
              </w:rPr>
              <w:t>注：相关法律法规对供应商报价有规定的，从其规定。</w:t>
            </w:r>
          </w:p>
          <w:p w14:paraId="34C696B7">
            <w:pPr>
              <w:numPr>
                <w:ilvl w:val="0"/>
                <w:numId w:val="1"/>
              </w:numPr>
              <w:rPr>
                <w:rFonts w:ascii="宋体" w:hAnsi="宋体" w:cs="宋体"/>
                <w:color w:val="000000"/>
                <w:szCs w:val="21"/>
              </w:rPr>
            </w:pPr>
            <w:r>
              <w:rPr>
                <w:rFonts w:hint="eastAsia" w:ascii="宋体" w:hAnsi="宋体" w:cs="宋体"/>
                <w:color w:val="000000"/>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书面说明及必要的证明材料的时间为</w:t>
            </w:r>
            <w:r>
              <w:rPr>
                <w:rFonts w:hint="eastAsia" w:ascii="宋体" w:hAnsi="宋体" w:cs="宋体"/>
                <w:color w:val="FF0000"/>
                <w:szCs w:val="21"/>
                <w:u w:val="single"/>
              </w:rPr>
              <w:t xml:space="preserve">30  </w:t>
            </w:r>
            <w:r>
              <w:rPr>
                <w:rFonts w:hint="eastAsia" w:ascii="宋体" w:hAnsi="宋体" w:cs="宋体"/>
                <w:color w:val="000000"/>
                <w:szCs w:val="21"/>
              </w:rPr>
              <w:t>分钟（采购人可以根据实际修改此处时间（时间≧30分钟））。其中，属于第（3）项情形，供应商已随投标（响应）文件一并提交相关书面说明及必要的证明材料的，在评审现场可不再重复提交。</w:t>
            </w:r>
          </w:p>
          <w:p w14:paraId="4190A9F2">
            <w:pPr>
              <w:rPr>
                <w:rFonts w:ascii="宋体" w:hAnsi="宋体" w:cs="宋体"/>
                <w:color w:val="000000"/>
                <w:szCs w:val="21"/>
              </w:rPr>
            </w:pPr>
            <w:r>
              <w:rPr>
                <w:rFonts w:hint="eastAsia" w:ascii="宋体" w:hAnsi="宋体" w:cs="宋体"/>
                <w:color w:val="000000"/>
                <w:szCs w:val="21"/>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w:t>
            </w:r>
            <w:r>
              <w:rPr>
                <w:rFonts w:hint="eastAsia" w:ascii="宋体" w:hAnsi="宋体" w:cs="宋体"/>
                <w:b/>
                <w:bCs/>
                <w:color w:val="FF0000"/>
                <w:szCs w:val="21"/>
              </w:rPr>
              <w:t>应当将其作为无效投标（响应）处理。</w:t>
            </w:r>
          </w:p>
          <w:p w14:paraId="65D47CFB">
            <w:pPr>
              <w:rPr>
                <w:rFonts w:ascii="宋体" w:hAnsi="宋体" w:cs="宋体"/>
                <w:color w:val="000000"/>
                <w:szCs w:val="21"/>
              </w:rPr>
            </w:pPr>
            <w:r>
              <w:rPr>
                <w:rFonts w:hint="eastAsia" w:ascii="宋体" w:hAnsi="宋体" w:cs="宋体"/>
                <w:b/>
                <w:bCs/>
                <w:color w:val="FF0000"/>
                <w:szCs w:val="21"/>
              </w:rPr>
              <w:t>4.异常低价投标（响应）审查的启动原因、审查意见和审查结果将在评审报告中记录，并随供应商提供的相关书面说明及证明材料，以及评审委员会有关互联网浏览、查询历史一并归档。</w:t>
            </w:r>
          </w:p>
        </w:tc>
      </w:tr>
    </w:tbl>
    <w:p w14:paraId="5608D9D4">
      <w:pPr>
        <w:pStyle w:val="2"/>
        <w:keepNext/>
        <w:keepLines/>
        <w:widowControl w:val="0"/>
        <w:spacing w:before="0" w:after="240" w:afterLines="100" w:line="240" w:lineRule="auto"/>
        <w:rPr>
          <w:rFonts w:hint="eastAsia" w:ascii="宋体" w:hAnsi="宋体" w:eastAsia="宋体" w:cs="宋体"/>
          <w:b/>
          <w:bCs/>
          <w:sz w:val="44"/>
        </w:rPr>
      </w:pPr>
      <w:r>
        <w:rPr>
          <w:rFonts w:hint="eastAsia" w:ascii="宋体" w:hAnsi="宋体" w:eastAsia="宋体" w:cs="宋体"/>
          <w:b/>
          <w:bCs/>
          <w:sz w:val="44"/>
        </w:rPr>
        <w:br w:type="page"/>
      </w:r>
      <w:r>
        <w:rPr>
          <w:rFonts w:hint="eastAsia" w:ascii="宋体" w:hAnsi="宋体" w:eastAsia="宋体" w:cs="宋体"/>
          <w:b/>
          <w:bCs/>
          <w:sz w:val="44"/>
        </w:rPr>
        <w:t>评标信息</w:t>
      </w:r>
    </w:p>
    <w:tbl>
      <w:tblPr>
        <w:tblStyle w:val="28"/>
        <w:tblW w:w="0" w:type="auto"/>
        <w:jc w:val="center"/>
        <w:tblCellSpacing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45" w:type="dxa"/>
          <w:left w:w="45" w:type="dxa"/>
          <w:bottom w:w="45" w:type="dxa"/>
          <w:right w:w="45" w:type="dxa"/>
        </w:tblCellMar>
      </w:tblPr>
      <w:tblGrid>
        <w:gridCol w:w="8504"/>
      </w:tblGrid>
      <w:tr w14:paraId="15ADED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blCellSpacing w:w="0" w:type="dxa"/>
          <w:jc w:val="center"/>
        </w:trPr>
        <w:tc>
          <w:tcPr>
            <w:tcW w:w="8504" w:type="dxa"/>
            <w:vAlign w:val="center"/>
          </w:tcPr>
          <w:p w14:paraId="2C9971C2">
            <w:pPr>
              <w:rPr>
                <w:rFonts w:hint="eastAsia" w:ascii="宋体" w:hAnsi="宋体" w:eastAsia="宋体" w:cs="宋体"/>
                <w:b/>
                <w:bCs/>
                <w:sz w:val="21"/>
                <w:szCs w:val="21"/>
              </w:rPr>
            </w:pPr>
            <w:r>
              <w:rPr>
                <w:rFonts w:hint="eastAsia" w:ascii="宋体" w:hAnsi="宋体" w:eastAsia="宋体" w:cs="宋体"/>
                <w:b/>
                <w:bCs/>
                <w:sz w:val="21"/>
                <w:szCs w:val="21"/>
              </w:rPr>
              <w:t>评标方法：综合评分法</w:t>
            </w:r>
          </w:p>
        </w:tc>
      </w:tr>
      <w:tr w14:paraId="098AE2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8504" w:type="dxa"/>
            <w:vAlign w:val="center"/>
          </w:tcPr>
          <w:p w14:paraId="4C8A9DE2">
            <w:pPr>
              <w:widowControl w:val="0"/>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综合评分法。在最大限度地满足招标文件实质性要求的前提下，按照招标文件中规定的各项因素进行综合评审，评标总得分排名前列的投标人，作为推荐的候选中标供应商。 </w:t>
            </w:r>
          </w:p>
          <w:p w14:paraId="7CD7D132">
            <w:pPr>
              <w:widowControl w:val="0"/>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价格分计算方法：</w:t>
            </w:r>
          </w:p>
          <w:p w14:paraId="7E817328">
            <w:pPr>
              <w:widowControl w:val="0"/>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采用低价优先法计算，即满足招标文件要求且投标价格最低的投标报价为评标基准价，其价格分为满分。其他投标人的价格分统一按照下列公式计算： </w:t>
            </w:r>
          </w:p>
          <w:p w14:paraId="472BB972">
            <w:pPr>
              <w:widowControl w:val="0"/>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投标报价得分=(评标基准价／投标报价)×100 </w:t>
            </w:r>
          </w:p>
          <w:p w14:paraId="73762440">
            <w:pPr>
              <w:widowControl w:val="0"/>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评标总得分＝F1×A1＋F2×A2＋……＋Fn×An </w:t>
            </w:r>
          </w:p>
          <w:p w14:paraId="1659A34A">
            <w:pPr>
              <w:widowControl w:val="0"/>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F1、F2……Fn分别为各项评审因素的得分； </w:t>
            </w:r>
          </w:p>
          <w:p w14:paraId="07DA0110">
            <w:pPr>
              <w:widowControl w:val="0"/>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A1、A2、……An 分别为各项评审因素所占的权重(A1＋A2＋……＋An＝1)。 </w:t>
            </w:r>
          </w:p>
          <w:p w14:paraId="5167789C">
            <w:pPr>
              <w:pStyle w:val="23"/>
              <w:ind w:left="420"/>
              <w:rPr>
                <w:rFonts w:hint="eastAsia" w:ascii="宋体" w:hAnsi="宋体" w:eastAsia="宋体" w:cs="宋体"/>
                <w:sz w:val="21"/>
                <w:szCs w:val="21"/>
              </w:rPr>
            </w:pPr>
            <w:r>
              <w:rPr>
                <w:rFonts w:hint="eastAsia" w:ascii="宋体" w:hAnsi="宋体" w:eastAsia="宋体" w:cs="宋体"/>
                <w:kern w:val="2"/>
                <w:sz w:val="21"/>
                <w:szCs w:val="21"/>
              </w:rPr>
              <w:t>评标过程中，不得去掉报价中的最高报价和最低报价。</w:t>
            </w:r>
          </w:p>
        </w:tc>
      </w:tr>
      <w:tr w14:paraId="4C86C8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8504" w:type="dxa"/>
            <w:vAlign w:val="center"/>
          </w:tcPr>
          <w:p w14:paraId="3021E196">
            <w:pPr>
              <w:widowControl w:val="0"/>
              <w:spacing w:line="264" w:lineRule="auto"/>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sym w:font="Wingdings 2" w:char="0052"/>
            </w:r>
            <w:r>
              <w:rPr>
                <w:rFonts w:hint="eastAsia" w:ascii="宋体" w:hAnsi="宋体" w:eastAsia="宋体" w:cs="宋体"/>
                <w:b/>
                <w:bCs/>
                <w:color w:val="FF0000"/>
                <w:sz w:val="21"/>
                <w:szCs w:val="21"/>
              </w:rPr>
              <w:t>非专门面向中小企业采购项目</w:t>
            </w:r>
          </w:p>
          <w:p w14:paraId="1ED81155">
            <w:pPr>
              <w:ind w:firstLine="420" w:firstLineChars="200"/>
              <w:rPr>
                <w:rFonts w:hint="eastAsia" w:ascii="宋体" w:hAnsi="宋体" w:eastAsia="宋体" w:cs="宋体"/>
                <w:sz w:val="21"/>
                <w:szCs w:val="21"/>
              </w:rPr>
            </w:pPr>
            <w:r>
              <w:rPr>
                <w:rFonts w:hint="eastAsia" w:ascii="宋体" w:hAnsi="宋体" w:eastAsia="宋体" w:cs="宋体"/>
                <w:sz w:val="21"/>
                <w:szCs w:val="21"/>
              </w:rPr>
              <w:t>（1）投标人提供的标的（货物）</w:t>
            </w:r>
            <w:r>
              <w:rPr>
                <w:rFonts w:hint="eastAsia" w:ascii="宋体" w:hAnsi="宋体" w:eastAsia="宋体" w:cs="宋体"/>
                <w:b/>
                <w:sz w:val="21"/>
                <w:szCs w:val="21"/>
              </w:rPr>
              <w:t>全部</w:t>
            </w:r>
            <w:r>
              <w:rPr>
                <w:rFonts w:hint="eastAsia" w:ascii="宋体" w:hAnsi="宋体" w:eastAsia="宋体" w:cs="宋体"/>
                <w:sz w:val="21"/>
                <w:szCs w:val="21"/>
              </w:rPr>
              <w:t>均由优惠主体制造，则对其投标总价给予</w:t>
            </w:r>
            <w:r>
              <w:rPr>
                <w:rFonts w:hint="eastAsia" w:ascii="宋体" w:hAnsi="宋体" w:eastAsia="宋体" w:cs="宋体"/>
                <w:sz w:val="21"/>
                <w:szCs w:val="21"/>
                <w:u w:val="single"/>
              </w:rPr>
              <w:t xml:space="preserve"> 10 %</w:t>
            </w:r>
            <w:r>
              <w:rPr>
                <w:rFonts w:hint="eastAsia" w:ascii="宋体" w:hAnsi="宋体" w:eastAsia="宋体" w:cs="宋体"/>
                <w:sz w:val="21"/>
                <w:szCs w:val="21"/>
              </w:rPr>
              <w:t>的扣除，用扣除后的价格参与评审。满足多项优惠政策的企业，不同时享受多项价格扣除政策。</w:t>
            </w:r>
          </w:p>
          <w:p w14:paraId="621DBB8D">
            <w:pPr>
              <w:ind w:firstLine="420" w:firstLineChars="200"/>
              <w:rPr>
                <w:rFonts w:hint="eastAsia" w:ascii="宋体" w:hAnsi="宋体" w:eastAsia="宋体" w:cs="宋体"/>
                <w:sz w:val="21"/>
                <w:szCs w:val="21"/>
              </w:rPr>
            </w:pPr>
            <w:r>
              <w:rPr>
                <w:rFonts w:hint="eastAsia" w:ascii="宋体" w:hAnsi="宋体" w:eastAsia="宋体" w:cs="宋体"/>
                <w:sz w:val="21"/>
                <w:szCs w:val="21"/>
              </w:rPr>
              <w:t>备注：（a）优惠主体包括小型企业、微型企业、监狱企业、残疾人福利性单位；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优惠主体制造是指提供的货物由中小企业制造，即货物由中小企业生产且使用该中小企业商号或者注册商标；</w:t>
            </w:r>
          </w:p>
          <w:p w14:paraId="29B0E99D">
            <w:pPr>
              <w:ind w:firstLine="422" w:firstLineChars="200"/>
              <w:rPr>
                <w:rFonts w:hint="eastAsia" w:ascii="宋体" w:hAnsi="宋体" w:eastAsia="宋体" w:cs="宋体"/>
                <w:sz w:val="21"/>
                <w:szCs w:val="21"/>
              </w:rPr>
            </w:pPr>
            <w:r>
              <w:rPr>
                <w:rFonts w:hint="eastAsia" w:ascii="宋体" w:hAnsi="宋体" w:eastAsia="宋体" w:cs="宋体"/>
                <w:b/>
                <w:bCs/>
                <w:color w:val="FF0000"/>
                <w:sz w:val="21"/>
                <w:szCs w:val="21"/>
              </w:rPr>
              <w:t>（2）本项目采购标的（货物）对应的中小企业划分标准所属行业为</w:t>
            </w:r>
            <w:r>
              <w:rPr>
                <w:rFonts w:hint="eastAsia" w:ascii="宋体" w:hAnsi="宋体" w:eastAsia="宋体" w:cs="宋体"/>
                <w:b/>
                <w:bCs/>
                <w:color w:val="FF0000"/>
                <w:sz w:val="21"/>
                <w:szCs w:val="21"/>
                <w:u w:val="single"/>
              </w:rPr>
              <w:t xml:space="preserve"> 工业 </w:t>
            </w:r>
            <w:r>
              <w:rPr>
                <w:rFonts w:hint="eastAsia" w:ascii="宋体" w:hAnsi="宋体" w:eastAsia="宋体" w:cs="宋体"/>
                <w:b/>
                <w:bCs/>
                <w:color w:val="FF0000"/>
                <w:sz w:val="21"/>
                <w:szCs w:val="21"/>
              </w:rPr>
              <w:t>，</w:t>
            </w:r>
            <w:r>
              <w:rPr>
                <w:rFonts w:hint="eastAsia" w:ascii="宋体" w:hAnsi="宋体" w:eastAsia="宋体" w:cs="宋体"/>
                <w:sz w:val="21"/>
                <w:szCs w:val="21"/>
              </w:rPr>
              <w:t>根据《工业和信息化部、国家统计局、国家发展和改革委员会、财政部关于印发中小企业划型标准规定的通知》（工信部联企业〔2011〕300 号）。</w:t>
            </w:r>
          </w:p>
          <w:p w14:paraId="02FEFA44">
            <w:pPr>
              <w:ind w:firstLine="420" w:firstLineChars="200"/>
              <w:rPr>
                <w:rFonts w:hint="eastAsia" w:ascii="宋体" w:hAnsi="宋体" w:eastAsia="宋体" w:cs="宋体"/>
                <w:sz w:val="21"/>
                <w:szCs w:val="21"/>
              </w:rPr>
            </w:pPr>
            <w:r>
              <w:rPr>
                <w:rFonts w:hint="eastAsia" w:ascii="宋体" w:hAnsi="宋体" w:eastAsia="宋体" w:cs="宋体"/>
                <w:sz w:val="21"/>
                <w:szCs w:val="21"/>
              </w:rPr>
              <w:t>（3）联合体投标且联合协议中明确约定优惠主体的协议合同金额占到联合体协议总金额30%以上的，价格扣除比例为</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4% </w:t>
            </w:r>
            <w:r>
              <w:rPr>
                <w:rFonts w:hint="eastAsia" w:ascii="宋体" w:hAnsi="宋体" w:eastAsia="宋体" w:cs="宋体"/>
                <w:sz w:val="21"/>
                <w:szCs w:val="21"/>
              </w:rPr>
              <w:t>。联合体各方均为优惠主体的，对其所投产品的价格给予10%的扣除（不接受联合体投标的项目，本条不适用）。</w:t>
            </w:r>
          </w:p>
          <w:p w14:paraId="0AD3A819">
            <w:pPr>
              <w:ind w:firstLine="420" w:firstLineChars="200"/>
              <w:rPr>
                <w:rFonts w:hint="eastAsia" w:ascii="宋体" w:hAnsi="宋体" w:eastAsia="宋体" w:cs="宋体"/>
                <w:sz w:val="21"/>
                <w:szCs w:val="21"/>
              </w:rPr>
            </w:pPr>
            <w:r>
              <w:rPr>
                <w:rFonts w:hint="eastAsia" w:ascii="宋体" w:hAnsi="宋体" w:eastAsia="宋体" w:cs="宋体"/>
                <w:sz w:val="21"/>
                <w:szCs w:val="21"/>
              </w:rPr>
              <w:t>（4）小型企业、微型企业、残疾人福利性单位作为优惠主体的认定资料为《中小企业声明函》、《残疾人福利性单位声明函》；监狱企业作为优惠主体的认定资料为省级以上监狱管理局、戒毒管理局出具的监狱企业证明文件。声明函样式见本招标文件第一册专用条款第四章“投标文件组成要求及格式”中“三、投标人情况及资格证明文件”章节提供的格式）。</w:t>
            </w:r>
          </w:p>
          <w:p w14:paraId="74E46CB2">
            <w:pPr>
              <w:widowControl w:val="0"/>
              <w:spacing w:line="264"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（5）享受价格扣除获得政府采购合同的，小微企业不得将合同分包给大中型企业。</w:t>
            </w:r>
          </w:p>
          <w:p w14:paraId="7A2AE089">
            <w:pPr>
              <w:widowControl w:val="0"/>
              <w:spacing w:line="264"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sym w:font="Wingdings 2" w:char="00A3"/>
            </w:r>
            <w:r>
              <w:rPr>
                <w:rFonts w:hint="eastAsia" w:ascii="宋体" w:hAnsi="宋体" w:eastAsia="宋体" w:cs="宋体"/>
                <w:sz w:val="21"/>
                <w:szCs w:val="21"/>
              </w:rPr>
              <w:t>专门面向中小企业采购项目或预留份额专门面向中小企业采购项目</w:t>
            </w:r>
          </w:p>
          <w:p w14:paraId="59F4F0D0">
            <w:pPr>
              <w:widowControl w:val="0"/>
              <w:spacing w:line="264"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（1）本项目为专门面向中小企业或预留份额专门面向中小企业采购的项目，不再执行价格评审优惠的扶持政策，小微企业不得将合同分包给大中型企业，中型企业不得将合同分包给大型企业。投标人提供</w:t>
            </w:r>
            <w:r>
              <w:rPr>
                <w:rFonts w:hint="eastAsia" w:ascii="宋体" w:hAnsi="宋体" w:eastAsia="宋体" w:cs="宋体"/>
                <w:b/>
                <w:bCs/>
                <w:sz w:val="21"/>
                <w:szCs w:val="21"/>
              </w:rPr>
              <w:t>标的（货物）</w:t>
            </w:r>
            <w:r>
              <w:rPr>
                <w:rFonts w:hint="eastAsia" w:ascii="宋体" w:hAnsi="宋体" w:eastAsia="宋体" w:cs="宋体"/>
                <w:sz w:val="21"/>
                <w:szCs w:val="21"/>
              </w:rPr>
              <w:t>均应由符合“第一章 招标公告-三、申请人的资格-3.落实政府采购政策需满足的资格要求”所规定的企业类型的企业</w:t>
            </w:r>
            <w:r>
              <w:rPr>
                <w:rFonts w:hint="eastAsia" w:ascii="宋体" w:hAnsi="宋体" w:eastAsia="宋体" w:cs="宋体"/>
                <w:b/>
                <w:bCs/>
                <w:sz w:val="21"/>
                <w:szCs w:val="21"/>
              </w:rPr>
              <w:t>制造</w:t>
            </w:r>
            <w:r>
              <w:rPr>
                <w:rFonts w:hint="eastAsia" w:ascii="宋体" w:hAnsi="宋体" w:eastAsia="宋体" w:cs="宋体"/>
                <w:sz w:val="21"/>
                <w:szCs w:val="21"/>
              </w:rPr>
              <w:t>。</w:t>
            </w:r>
          </w:p>
          <w:p w14:paraId="24C73DF2">
            <w:pPr>
              <w:widowControl w:val="0"/>
              <w:spacing w:line="264"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备注：（a）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中小企业制造是指货物由中小企业生产且使用该中小企业商号或者注册商标；投标人提供的货物既有中小企业制造货物，又有非中小企业制造货物的，作无效投标处理。</w:t>
            </w:r>
          </w:p>
          <w:p w14:paraId="0AA0335A">
            <w:pPr>
              <w:widowControl w:val="0"/>
              <w:spacing w:line="264" w:lineRule="auto"/>
              <w:ind w:firstLine="420" w:firstLineChars="200"/>
              <w:rPr>
                <w:rFonts w:hint="eastAsia" w:ascii="宋体" w:hAnsi="宋体" w:eastAsia="宋体" w:cs="宋体"/>
                <w:color w:val="FF0000"/>
                <w:sz w:val="21"/>
                <w:szCs w:val="21"/>
              </w:rPr>
            </w:pPr>
            <w:r>
              <w:rPr>
                <w:rFonts w:hint="eastAsia" w:ascii="宋体" w:hAnsi="宋体" w:eastAsia="宋体" w:cs="宋体"/>
                <w:sz w:val="21"/>
                <w:szCs w:val="21"/>
              </w:rPr>
              <w:t>（2）本项目采购标的（货物）对应的中小企业划分标准所属行业为</w:t>
            </w:r>
            <w:r>
              <w:rPr>
                <w:rFonts w:hint="eastAsia" w:ascii="宋体" w:hAnsi="宋体" w:eastAsia="宋体" w:cs="宋体"/>
                <w:sz w:val="21"/>
                <w:szCs w:val="21"/>
                <w:u w:val="single"/>
              </w:rPr>
              <w:t xml:space="preserve">    </w:t>
            </w:r>
            <w:r>
              <w:rPr>
                <w:rFonts w:hint="eastAsia" w:ascii="宋体" w:hAnsi="宋体" w:eastAsia="宋体" w:cs="宋体"/>
                <w:sz w:val="21"/>
                <w:szCs w:val="21"/>
              </w:rPr>
              <w:t>。投标人须根据《工业和信息化部、国家统计局、国家发展和改革委员会、财政部关于印发中小企业划型标准规定的通知》（工信部联企业〔2011〕300 号），提供符合招标文件“申请人的资格要求”的认定资料，未按要求提供的作投标无效处理。</w:t>
            </w:r>
          </w:p>
          <w:p w14:paraId="3EDEAD48">
            <w:pPr>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中型企业、小型企业、微型企业、残疾人福利性单位的认定资料为《中小企业声明函》、《残疾人福利性单位声明函》；监狱企业的认定资料为省级以上监狱管理局、戒毒管理局出具的监狱企业证明文件。声明函样式见本招标文件“第一册 专用条款—第四章 投标文件格式、附件—第一部分：投标文件正文（信息公开部分）—三、投标人情况及资格证明文件”章节提供的格式）。</w:t>
            </w:r>
          </w:p>
          <w:p w14:paraId="7FAA75B9">
            <w:pPr>
              <w:ind w:firstLine="422" w:firstLineChars="200"/>
              <w:rPr>
                <w:rFonts w:hint="eastAsia" w:ascii="宋体" w:hAnsi="宋体" w:eastAsia="宋体" w:cs="宋体"/>
                <w:b/>
                <w:bCs/>
                <w:sz w:val="21"/>
                <w:szCs w:val="21"/>
              </w:rPr>
            </w:pPr>
            <w:r>
              <w:rPr>
                <w:rFonts w:hint="eastAsia" w:ascii="宋体" w:hAnsi="宋体" w:eastAsia="宋体" w:cs="宋体"/>
                <w:b/>
                <w:bCs/>
                <w:color w:val="FF0000"/>
                <w:sz w:val="21"/>
                <w:szCs w:val="21"/>
              </w:rPr>
              <w:t>1.关于享受对本国产品的政府采购支持政策的主体、价格扣除比例等事项的说明。</w:t>
            </w:r>
          </w:p>
          <w:p w14:paraId="497340DA">
            <w:pPr>
              <w:ind w:firstLine="420" w:firstLineChars="200"/>
              <w:rPr>
                <w:rFonts w:hint="eastAsia" w:ascii="宋体" w:hAnsi="宋体" w:eastAsia="宋体" w:cs="宋体"/>
                <w:sz w:val="21"/>
                <w:szCs w:val="21"/>
              </w:rPr>
            </w:pPr>
            <w:r>
              <w:rPr>
                <w:rFonts w:hint="eastAsia" w:ascii="宋体" w:hAnsi="宋体" w:eastAsia="宋体" w:cs="宋体"/>
                <w:sz w:val="21"/>
                <w:szCs w:val="21"/>
              </w:rPr>
              <w:t>（1）适用主体：国有企业、民营企业、外资企业等各类经营主体平等享受对本国产品的政府采购支持政策。</w:t>
            </w:r>
          </w:p>
          <w:p w14:paraId="658BD4C4">
            <w:pPr>
              <w:ind w:firstLine="420" w:firstLineChars="200"/>
              <w:rPr>
                <w:rFonts w:hint="eastAsia" w:ascii="宋体" w:hAnsi="宋体" w:eastAsia="宋体" w:cs="宋体"/>
                <w:sz w:val="21"/>
                <w:szCs w:val="21"/>
              </w:rPr>
            </w:pPr>
            <w:r>
              <w:rPr>
                <w:rFonts w:hint="eastAsia" w:ascii="宋体" w:hAnsi="宋体" w:eastAsia="宋体" w:cs="宋体"/>
                <w:sz w:val="21"/>
                <w:szCs w:val="21"/>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06E60C9">
            <w:pPr>
              <w:ind w:firstLine="420" w:firstLineChars="200"/>
              <w:rPr>
                <w:rFonts w:hint="eastAsia" w:ascii="宋体" w:hAnsi="宋体" w:eastAsia="宋体" w:cs="宋体"/>
                <w:sz w:val="21"/>
                <w:szCs w:val="21"/>
              </w:rPr>
            </w:pPr>
            <w:r>
              <w:rPr>
                <w:rFonts w:hint="eastAsia" w:ascii="宋体" w:hAnsi="宋体" w:eastAsia="宋体" w:cs="宋体"/>
                <w:sz w:val="21"/>
                <w:szCs w:val="21"/>
              </w:rPr>
              <w:t>（3）价格扣除：政府采购活动中既有本国产品又有非本国产品参与竞争的，依法对本国产品给予价格评审优惠，</w:t>
            </w:r>
            <w:r>
              <w:rPr>
                <w:rFonts w:hint="eastAsia" w:ascii="宋体" w:hAnsi="宋体" w:eastAsia="宋体" w:cs="宋体"/>
                <w:b/>
                <w:bCs/>
                <w:color w:val="FF0000"/>
                <w:sz w:val="21"/>
                <w:szCs w:val="21"/>
              </w:rPr>
              <w:t>对本国产品的报价给予20%的价格扣除</w:t>
            </w:r>
            <w:r>
              <w:rPr>
                <w:rFonts w:hint="eastAsia" w:ascii="宋体" w:hAnsi="宋体" w:eastAsia="宋体" w:cs="宋体"/>
                <w:color w:val="000000"/>
                <w:sz w:val="21"/>
                <w:szCs w:val="21"/>
              </w:rPr>
              <w:t>，</w:t>
            </w:r>
            <w:r>
              <w:rPr>
                <w:rFonts w:hint="eastAsia" w:ascii="宋体" w:hAnsi="宋体" w:eastAsia="宋体" w:cs="宋体"/>
                <w:sz w:val="21"/>
                <w:szCs w:val="21"/>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宋体" w:hAnsi="宋体" w:eastAsia="宋体" w:cs="宋体"/>
                <w:b/>
                <w:bCs/>
                <w:color w:val="FF0000"/>
                <w:sz w:val="21"/>
                <w:szCs w:val="21"/>
              </w:rPr>
              <w:t>总报价给予20%的价格扣除</w:t>
            </w:r>
            <w:r>
              <w:rPr>
                <w:rFonts w:hint="eastAsia" w:ascii="宋体" w:hAnsi="宋体" w:eastAsia="宋体" w:cs="宋体"/>
                <w:sz w:val="21"/>
                <w:szCs w:val="21"/>
              </w:rPr>
              <w:t>，用扣除后的价格参与评审。</w:t>
            </w:r>
          </w:p>
          <w:p w14:paraId="6583C2FA">
            <w:pPr>
              <w:ind w:firstLine="420" w:firstLineChars="200"/>
              <w:rPr>
                <w:rFonts w:hint="eastAsia" w:ascii="宋体" w:hAnsi="宋体" w:eastAsia="宋体" w:cs="宋体"/>
                <w:sz w:val="21"/>
                <w:szCs w:val="21"/>
              </w:rPr>
            </w:pPr>
            <w:r>
              <w:rPr>
                <w:rFonts w:hint="eastAsia" w:ascii="宋体" w:hAnsi="宋体" w:eastAsia="宋体" w:cs="宋体"/>
                <w:sz w:val="21"/>
                <w:szCs w:val="21"/>
              </w:rPr>
              <w:t>（4）供应商出具符合要求的《关于符合本国产品标准的声明函》或财政部会同有关部门规定的有关证明文件，该产品视为本国产品。声明函样式见招标文件“第一册 专用条款—第四章 投标文件组成要求及格式—第一部分：投标文件正文（信息公开部分）—三、投标人情况及资格证明文件”章节提供的格式。</w:t>
            </w:r>
          </w:p>
          <w:p w14:paraId="0ADBE75C">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2.关于同时满足中小企业扶持政策和对本国产品的支持政策的事项说明。</w:t>
            </w:r>
          </w:p>
          <w:p w14:paraId="31477589">
            <w:pPr>
              <w:ind w:firstLine="420" w:firstLineChars="200"/>
              <w:rPr>
                <w:rFonts w:hint="eastAsia" w:ascii="宋体" w:hAnsi="宋体" w:eastAsia="宋体" w:cs="宋体"/>
                <w:sz w:val="21"/>
                <w:szCs w:val="21"/>
              </w:rPr>
            </w:pPr>
            <w:r>
              <w:rPr>
                <w:rFonts w:hint="eastAsia" w:ascii="宋体" w:hAnsi="宋体" w:eastAsia="宋体" w:cs="宋体"/>
                <w:sz w:val="21"/>
                <w:szCs w:val="21"/>
              </w:rPr>
              <w:t>本国产品政策实施后，政府采购活动中既有本国产品又有非本国产品参与竞争的，依法对本国产品给予价格评审优惠，</w:t>
            </w:r>
            <w:r>
              <w:rPr>
                <w:rFonts w:hint="eastAsia" w:ascii="宋体" w:hAnsi="宋体" w:eastAsia="宋体" w:cs="宋体"/>
                <w:b/>
                <w:bCs/>
                <w:color w:val="FF0000"/>
                <w:sz w:val="21"/>
                <w:szCs w:val="21"/>
              </w:rPr>
              <w:t>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w:t>
            </w:r>
            <w:r>
              <w:rPr>
                <w:rFonts w:hint="eastAsia" w:ascii="宋体" w:hAnsi="宋体" w:eastAsia="宋体" w:cs="宋体"/>
                <w:sz w:val="21"/>
                <w:szCs w:val="21"/>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1D74DCB1">
            <w:pPr>
              <w:ind w:firstLine="420" w:firstLineChars="200"/>
              <w:rPr>
                <w:rFonts w:hint="eastAsia" w:ascii="宋体" w:hAnsi="宋体" w:eastAsia="宋体" w:cs="宋体"/>
                <w:sz w:val="21"/>
                <w:szCs w:val="21"/>
              </w:rPr>
            </w:pPr>
            <w:r>
              <w:rPr>
                <w:rFonts w:hint="eastAsia" w:ascii="宋体" w:hAnsi="宋体" w:eastAsia="宋体" w:cs="宋体"/>
                <w:sz w:val="21"/>
                <w:szCs w:val="21"/>
              </w:rPr>
              <w:t>（1）预留份额专门面向中小企业采购的项目，不再享受小微企业价格扣除优惠。若供应商所投货物同时满足对本国产品的支持政策的规定，享受该政策20%价格扣除优惠；</w:t>
            </w:r>
          </w:p>
          <w:p w14:paraId="27433690">
            <w:pPr>
              <w:ind w:firstLine="420" w:firstLineChars="200"/>
              <w:rPr>
                <w:rFonts w:hint="eastAsia" w:ascii="宋体" w:hAnsi="宋体" w:eastAsia="宋体" w:cs="宋体"/>
                <w:sz w:val="21"/>
                <w:szCs w:val="21"/>
              </w:rPr>
            </w:pPr>
            <w:r>
              <w:rPr>
                <w:rFonts w:hint="eastAsia" w:ascii="宋体" w:hAnsi="宋体" w:eastAsia="宋体" w:cs="宋体"/>
                <w:sz w:val="21"/>
                <w:szCs w:val="21"/>
              </w:rPr>
              <w:t>（2）未预留份额专门面向中小企业采购的项目，供应商同时满足小微企业和所投产品符合本国产品支持政策规定的，同时对该供应商投标总报价给予多项价格扣除优惠，用扣除后的价格参与评审。</w:t>
            </w:r>
          </w:p>
          <w:p w14:paraId="5890F7FF">
            <w:pPr>
              <w:widowControl w:val="0"/>
              <w:spacing w:line="264" w:lineRule="auto"/>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3.上述支持政策不改变最终中标（成交）价格，政府采购合同仍按照中标（成交）供应商的报价签订。</w:t>
            </w:r>
          </w:p>
        </w:tc>
      </w:tr>
    </w:tbl>
    <w:p w14:paraId="69CB9DE8">
      <w:pPr>
        <w:wordWrap w:val="0"/>
        <w:jc w:val="center"/>
        <w:rPr>
          <w:b/>
          <w:bCs/>
        </w:rPr>
      </w:pPr>
    </w:p>
    <w:tbl>
      <w:tblPr>
        <w:tblStyle w:val="28"/>
        <w:tblW w:w="0" w:type="auto"/>
        <w:jc w:val="center"/>
        <w:tblCellSpacing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20" w:type="dxa"/>
          <w:left w:w="108" w:type="dxa"/>
          <w:bottom w:w="20" w:type="dxa"/>
          <w:right w:w="108" w:type="dxa"/>
        </w:tblCellMar>
      </w:tblPr>
      <w:tblGrid>
        <w:gridCol w:w="645"/>
        <w:gridCol w:w="570"/>
        <w:gridCol w:w="2025"/>
        <w:gridCol w:w="1394"/>
        <w:gridCol w:w="3870"/>
      </w:tblGrid>
      <w:tr w14:paraId="3B51FE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tcBorders>
              <w:tl2br w:val="nil"/>
              <w:tr2bl w:val="nil"/>
            </w:tcBorders>
            <w:shd w:val="clear" w:color="auto" w:fill="E6EFFA"/>
            <w:vAlign w:val="center"/>
          </w:tcPr>
          <w:p w14:paraId="4375A9D1">
            <w:pPr>
              <w:wordWrap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3989" w:type="dxa"/>
            <w:gridSpan w:val="3"/>
            <w:tcBorders>
              <w:tl2br w:val="nil"/>
              <w:tr2bl w:val="nil"/>
            </w:tcBorders>
            <w:shd w:val="clear" w:color="auto" w:fill="E6EFFA"/>
            <w:vAlign w:val="center"/>
          </w:tcPr>
          <w:p w14:paraId="14009D48">
            <w:pPr>
              <w:wordWrap w:val="0"/>
              <w:jc w:val="center"/>
              <w:rPr>
                <w:rFonts w:hint="eastAsia" w:ascii="宋体" w:hAnsi="宋体" w:eastAsia="宋体" w:cs="宋体"/>
                <w:b/>
                <w:bCs/>
                <w:sz w:val="21"/>
                <w:szCs w:val="21"/>
              </w:rPr>
            </w:pPr>
            <w:r>
              <w:rPr>
                <w:rFonts w:hint="eastAsia" w:ascii="宋体" w:hAnsi="宋体" w:eastAsia="宋体" w:cs="宋体"/>
                <w:b/>
                <w:bCs/>
                <w:sz w:val="21"/>
                <w:szCs w:val="21"/>
              </w:rPr>
              <w:t>评分项</w:t>
            </w:r>
          </w:p>
        </w:tc>
        <w:tc>
          <w:tcPr>
            <w:tcW w:w="3870" w:type="dxa"/>
            <w:tcBorders>
              <w:tl2br w:val="nil"/>
              <w:tr2bl w:val="nil"/>
            </w:tcBorders>
            <w:shd w:val="clear" w:color="auto" w:fill="E6EFFA"/>
            <w:vAlign w:val="center"/>
          </w:tcPr>
          <w:p w14:paraId="769E8B46">
            <w:pPr>
              <w:wordWrap w:val="0"/>
              <w:jc w:val="center"/>
              <w:rPr>
                <w:rFonts w:hint="eastAsia" w:ascii="宋体" w:hAnsi="宋体" w:eastAsia="宋体" w:cs="宋体"/>
                <w:b/>
                <w:bCs/>
                <w:sz w:val="21"/>
                <w:szCs w:val="21"/>
              </w:rPr>
            </w:pPr>
            <w:r>
              <w:rPr>
                <w:rFonts w:hint="eastAsia" w:ascii="宋体" w:hAnsi="宋体" w:eastAsia="宋体" w:cs="宋体"/>
                <w:b/>
                <w:bCs/>
                <w:sz w:val="21"/>
                <w:szCs w:val="21"/>
              </w:rPr>
              <w:t>权重(%)</w:t>
            </w:r>
          </w:p>
        </w:tc>
      </w:tr>
      <w:tr w14:paraId="45DDC5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restart"/>
            <w:tcBorders>
              <w:tl2br w:val="nil"/>
              <w:tr2bl w:val="nil"/>
            </w:tcBorders>
          </w:tcPr>
          <w:p w14:paraId="539D814A">
            <w:pPr>
              <w:wordWrap w:val="0"/>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3989" w:type="dxa"/>
            <w:gridSpan w:val="3"/>
            <w:tcBorders>
              <w:tl2br w:val="nil"/>
              <w:tr2bl w:val="nil"/>
            </w:tcBorders>
          </w:tcPr>
          <w:p w14:paraId="5C75D956">
            <w:pPr>
              <w:wordWrap w:val="0"/>
              <w:jc w:val="center"/>
              <w:rPr>
                <w:rFonts w:hint="eastAsia" w:ascii="宋体" w:hAnsi="宋体" w:eastAsia="宋体" w:cs="宋体"/>
                <w:b/>
                <w:bCs/>
                <w:sz w:val="21"/>
                <w:szCs w:val="21"/>
              </w:rPr>
            </w:pPr>
            <w:r>
              <w:rPr>
                <w:rFonts w:hint="eastAsia" w:ascii="宋体" w:hAnsi="宋体" w:eastAsia="宋体" w:cs="宋体"/>
                <w:b/>
                <w:bCs/>
                <w:sz w:val="21"/>
                <w:szCs w:val="21"/>
              </w:rPr>
              <w:t>价格</w:t>
            </w:r>
          </w:p>
        </w:tc>
        <w:tc>
          <w:tcPr>
            <w:tcW w:w="3870" w:type="dxa"/>
            <w:tcBorders>
              <w:tl2br w:val="nil"/>
              <w:tr2bl w:val="nil"/>
            </w:tcBorders>
          </w:tcPr>
          <w:p w14:paraId="301F8FD6">
            <w:pPr>
              <w:wordWrap w:val="0"/>
              <w:jc w:val="center"/>
              <w:rPr>
                <w:rFonts w:hint="eastAsia" w:ascii="宋体" w:hAnsi="宋体" w:eastAsia="宋体" w:cs="宋体"/>
                <w:b/>
                <w:bCs/>
                <w:sz w:val="21"/>
                <w:szCs w:val="21"/>
              </w:rPr>
            </w:pPr>
            <w:r>
              <w:rPr>
                <w:rFonts w:hint="eastAsia" w:ascii="宋体" w:hAnsi="宋体" w:eastAsia="宋体" w:cs="宋体"/>
                <w:b/>
                <w:bCs/>
                <w:sz w:val="21"/>
                <w:szCs w:val="21"/>
              </w:rPr>
              <w:t>30</w:t>
            </w:r>
          </w:p>
        </w:tc>
      </w:tr>
      <w:tr w14:paraId="1C27C7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67E257A4">
            <w:pPr>
              <w:rPr>
                <w:rFonts w:hint="eastAsia" w:ascii="宋体" w:hAnsi="宋体" w:eastAsia="宋体" w:cs="宋体"/>
                <w:b/>
                <w:bCs/>
                <w:sz w:val="21"/>
                <w:szCs w:val="21"/>
              </w:rPr>
            </w:pPr>
          </w:p>
        </w:tc>
        <w:tc>
          <w:tcPr>
            <w:tcW w:w="7859" w:type="dxa"/>
            <w:gridSpan w:val="4"/>
            <w:tcBorders>
              <w:tl2br w:val="nil"/>
              <w:tr2bl w:val="nil"/>
            </w:tcBorders>
          </w:tcPr>
          <w:p w14:paraId="714917ED">
            <w:pPr>
              <w:wordWrap w:val="0"/>
              <w:rPr>
                <w:rFonts w:hint="eastAsia" w:ascii="宋体" w:hAnsi="宋体" w:eastAsia="宋体" w:cs="宋体"/>
                <w:sz w:val="21"/>
                <w:szCs w:val="21"/>
              </w:rPr>
            </w:pPr>
          </w:p>
        </w:tc>
      </w:tr>
      <w:tr w14:paraId="51DDBD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restart"/>
            <w:tcBorders>
              <w:tl2br w:val="nil"/>
              <w:tr2bl w:val="nil"/>
            </w:tcBorders>
          </w:tcPr>
          <w:p w14:paraId="3D27C754">
            <w:pPr>
              <w:wordWrap w:val="0"/>
              <w:jc w:val="center"/>
              <w:rPr>
                <w:rFonts w:hint="eastAsia" w:ascii="宋体" w:hAnsi="宋体" w:eastAsia="宋体" w:cs="宋体"/>
                <w:b/>
                <w:bCs/>
                <w:sz w:val="21"/>
                <w:szCs w:val="21"/>
              </w:rPr>
            </w:pPr>
            <w:r>
              <w:rPr>
                <w:rFonts w:hint="eastAsia" w:ascii="宋体" w:hAnsi="宋体" w:eastAsia="宋体" w:cs="宋体"/>
                <w:b/>
                <w:bCs/>
                <w:sz w:val="21"/>
                <w:szCs w:val="21"/>
              </w:rPr>
              <w:t>2</w:t>
            </w:r>
          </w:p>
        </w:tc>
        <w:tc>
          <w:tcPr>
            <w:tcW w:w="3989" w:type="dxa"/>
            <w:gridSpan w:val="3"/>
            <w:tcBorders>
              <w:tl2br w:val="nil"/>
              <w:tr2bl w:val="nil"/>
            </w:tcBorders>
          </w:tcPr>
          <w:p w14:paraId="3A16B789">
            <w:pPr>
              <w:wordWrap w:val="0"/>
              <w:jc w:val="center"/>
              <w:rPr>
                <w:rFonts w:hint="eastAsia" w:ascii="宋体" w:hAnsi="宋体" w:eastAsia="宋体" w:cs="宋体"/>
                <w:b/>
                <w:bCs/>
                <w:sz w:val="21"/>
                <w:szCs w:val="21"/>
              </w:rPr>
            </w:pPr>
            <w:r>
              <w:rPr>
                <w:rFonts w:hint="eastAsia" w:ascii="宋体" w:hAnsi="宋体" w:eastAsia="宋体" w:cs="宋体"/>
                <w:b/>
                <w:bCs/>
                <w:sz w:val="21"/>
                <w:szCs w:val="21"/>
              </w:rPr>
              <w:t>技术部分</w:t>
            </w:r>
          </w:p>
        </w:tc>
        <w:tc>
          <w:tcPr>
            <w:tcW w:w="3870" w:type="dxa"/>
            <w:tcBorders>
              <w:tl2br w:val="nil"/>
              <w:tr2bl w:val="nil"/>
            </w:tcBorders>
          </w:tcPr>
          <w:p w14:paraId="148BCA54">
            <w:pPr>
              <w:wordWrap w:val="0"/>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60</w:t>
            </w:r>
          </w:p>
        </w:tc>
      </w:tr>
      <w:tr w14:paraId="5C78E8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42CB0209">
            <w:pPr>
              <w:rPr>
                <w:rFonts w:hint="eastAsia" w:ascii="宋体" w:hAnsi="宋体" w:eastAsia="宋体" w:cs="宋体"/>
                <w:b/>
                <w:bCs/>
                <w:sz w:val="21"/>
                <w:szCs w:val="21"/>
              </w:rPr>
            </w:pPr>
          </w:p>
        </w:tc>
        <w:tc>
          <w:tcPr>
            <w:tcW w:w="7859" w:type="dxa"/>
            <w:gridSpan w:val="4"/>
            <w:tcBorders>
              <w:tl2br w:val="nil"/>
              <w:tr2bl w:val="nil"/>
            </w:tcBorders>
          </w:tcPr>
          <w:p w14:paraId="0119F92D">
            <w:pPr>
              <w:wordWrap w:val="0"/>
              <w:rPr>
                <w:rFonts w:hint="eastAsia" w:ascii="宋体" w:hAnsi="宋体" w:eastAsia="宋体" w:cs="宋体"/>
                <w:sz w:val="21"/>
                <w:szCs w:val="21"/>
              </w:rPr>
            </w:pPr>
          </w:p>
        </w:tc>
      </w:tr>
      <w:tr w14:paraId="148206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shd w:val="clear" w:color="auto" w:fill="E6EFFA"/>
            <w:vAlign w:val="center"/>
          </w:tcPr>
          <w:p w14:paraId="2569FC42">
            <w:pPr>
              <w:rPr>
                <w:rFonts w:hint="eastAsia" w:ascii="宋体" w:hAnsi="宋体" w:eastAsia="宋体" w:cs="宋体"/>
                <w:b/>
                <w:bCs/>
                <w:sz w:val="21"/>
                <w:szCs w:val="21"/>
              </w:rPr>
            </w:pPr>
          </w:p>
        </w:tc>
        <w:tc>
          <w:tcPr>
            <w:tcW w:w="570" w:type="dxa"/>
            <w:tcBorders>
              <w:tl2br w:val="nil"/>
              <w:tr2bl w:val="nil"/>
            </w:tcBorders>
            <w:shd w:val="clear" w:color="auto" w:fill="E6EFFA"/>
            <w:vAlign w:val="center"/>
          </w:tcPr>
          <w:p w14:paraId="6DFF3941">
            <w:pPr>
              <w:wordWrap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025" w:type="dxa"/>
            <w:tcBorders>
              <w:tl2br w:val="nil"/>
              <w:tr2bl w:val="nil"/>
            </w:tcBorders>
            <w:shd w:val="clear" w:color="auto" w:fill="E6EFFA"/>
            <w:vAlign w:val="center"/>
          </w:tcPr>
          <w:p w14:paraId="7344652D">
            <w:pPr>
              <w:wordWrap w:val="0"/>
              <w:jc w:val="center"/>
              <w:rPr>
                <w:rFonts w:hint="eastAsia" w:ascii="宋体" w:hAnsi="宋体" w:eastAsia="宋体" w:cs="宋体"/>
                <w:b/>
                <w:bCs/>
                <w:sz w:val="21"/>
                <w:szCs w:val="21"/>
              </w:rPr>
            </w:pPr>
            <w:r>
              <w:rPr>
                <w:rFonts w:hint="eastAsia" w:ascii="宋体" w:hAnsi="宋体" w:eastAsia="宋体" w:cs="宋体"/>
                <w:b/>
                <w:bCs/>
                <w:sz w:val="21"/>
                <w:szCs w:val="21"/>
              </w:rPr>
              <w:t>评审因素</w:t>
            </w:r>
          </w:p>
        </w:tc>
        <w:tc>
          <w:tcPr>
            <w:tcW w:w="1394" w:type="dxa"/>
            <w:tcBorders>
              <w:tl2br w:val="nil"/>
              <w:tr2bl w:val="nil"/>
            </w:tcBorders>
            <w:shd w:val="clear" w:color="auto" w:fill="E6EFFA"/>
            <w:vAlign w:val="center"/>
          </w:tcPr>
          <w:p w14:paraId="21EA6536">
            <w:pPr>
              <w:wordWrap w:val="0"/>
              <w:jc w:val="center"/>
              <w:rPr>
                <w:rFonts w:hint="eastAsia" w:ascii="宋体" w:hAnsi="宋体" w:eastAsia="宋体" w:cs="宋体"/>
                <w:b/>
                <w:bCs/>
                <w:sz w:val="21"/>
                <w:szCs w:val="21"/>
              </w:rPr>
            </w:pPr>
            <w:r>
              <w:rPr>
                <w:rFonts w:hint="eastAsia" w:ascii="宋体" w:hAnsi="宋体" w:eastAsia="宋体" w:cs="宋体"/>
                <w:b/>
                <w:bCs/>
                <w:sz w:val="21"/>
                <w:szCs w:val="21"/>
              </w:rPr>
              <w:t>权重(%)</w:t>
            </w:r>
          </w:p>
        </w:tc>
        <w:tc>
          <w:tcPr>
            <w:tcW w:w="3870" w:type="dxa"/>
            <w:tcBorders>
              <w:tl2br w:val="nil"/>
              <w:tr2bl w:val="nil"/>
            </w:tcBorders>
            <w:shd w:val="clear" w:color="auto" w:fill="E6EFFA"/>
            <w:vAlign w:val="center"/>
          </w:tcPr>
          <w:p w14:paraId="383997D1">
            <w:pPr>
              <w:wordWrap w:val="0"/>
              <w:jc w:val="center"/>
              <w:rPr>
                <w:rFonts w:hint="eastAsia" w:ascii="宋体" w:hAnsi="宋体" w:eastAsia="宋体" w:cs="宋体"/>
                <w:b/>
                <w:bCs/>
                <w:sz w:val="21"/>
                <w:szCs w:val="21"/>
              </w:rPr>
            </w:pPr>
            <w:r>
              <w:rPr>
                <w:rFonts w:hint="eastAsia" w:ascii="宋体" w:hAnsi="宋体" w:eastAsia="宋体" w:cs="宋体"/>
                <w:b/>
                <w:bCs/>
                <w:sz w:val="21"/>
                <w:szCs w:val="21"/>
              </w:rPr>
              <w:t>评分准则</w:t>
            </w:r>
          </w:p>
        </w:tc>
      </w:tr>
      <w:tr w14:paraId="149AB0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5B41BF43">
            <w:pPr>
              <w:rPr>
                <w:rFonts w:hint="eastAsia" w:ascii="宋体" w:hAnsi="宋体" w:eastAsia="宋体" w:cs="宋体"/>
                <w:b/>
                <w:bCs/>
                <w:sz w:val="21"/>
                <w:szCs w:val="21"/>
              </w:rPr>
            </w:pPr>
          </w:p>
        </w:tc>
        <w:tc>
          <w:tcPr>
            <w:tcW w:w="570" w:type="dxa"/>
            <w:tcBorders>
              <w:tl2br w:val="nil"/>
              <w:tr2bl w:val="nil"/>
            </w:tcBorders>
            <w:vAlign w:val="center"/>
          </w:tcPr>
          <w:p w14:paraId="04535319">
            <w:pPr>
              <w:jc w:val="center"/>
              <w:rPr>
                <w:rFonts w:hint="eastAsia" w:ascii="宋体" w:hAnsi="宋体" w:eastAsia="宋体" w:cs="宋体"/>
                <w:sz w:val="21"/>
                <w:szCs w:val="21"/>
              </w:rPr>
            </w:pPr>
            <w:r>
              <w:rPr>
                <w:rFonts w:hint="eastAsia" w:ascii="宋体" w:hAnsi="宋体" w:eastAsia="宋体" w:cs="宋体"/>
                <w:sz w:val="21"/>
                <w:szCs w:val="21"/>
              </w:rPr>
              <w:t>1</w:t>
            </w:r>
          </w:p>
        </w:tc>
        <w:tc>
          <w:tcPr>
            <w:tcW w:w="2025" w:type="dxa"/>
            <w:tcBorders>
              <w:tl2br w:val="nil"/>
              <w:tr2bl w:val="nil"/>
            </w:tcBorders>
            <w:vAlign w:val="center"/>
          </w:tcPr>
          <w:p w14:paraId="0BA78CD3">
            <w:pPr>
              <w:jc w:val="center"/>
              <w:rPr>
                <w:rFonts w:hint="eastAsia" w:ascii="宋体" w:hAnsi="宋体" w:eastAsia="宋体" w:cs="宋体"/>
                <w:bCs/>
                <w:sz w:val="21"/>
                <w:szCs w:val="21"/>
              </w:rPr>
            </w:pPr>
            <w:r>
              <w:rPr>
                <w:rFonts w:hint="eastAsia" w:ascii="宋体" w:hAnsi="宋体" w:eastAsia="宋体" w:cs="宋体"/>
                <w:bCs/>
                <w:sz w:val="21"/>
                <w:szCs w:val="21"/>
              </w:rPr>
              <w:t>重要技术参数技术响应评分</w:t>
            </w:r>
          </w:p>
        </w:tc>
        <w:tc>
          <w:tcPr>
            <w:tcW w:w="1394" w:type="dxa"/>
            <w:tcBorders>
              <w:tl2br w:val="nil"/>
              <w:tr2bl w:val="nil"/>
            </w:tcBorders>
            <w:vAlign w:val="center"/>
          </w:tcPr>
          <w:p w14:paraId="35D22A9B">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3870" w:type="dxa"/>
            <w:tcBorders>
              <w:tl2br w:val="nil"/>
              <w:tr2bl w:val="nil"/>
            </w:tcBorders>
            <w:vAlign w:val="center"/>
          </w:tcPr>
          <w:p w14:paraId="5AB95FBD">
            <w:pPr>
              <w:rPr>
                <w:rFonts w:hint="eastAsia" w:ascii="宋体" w:hAnsi="宋体" w:eastAsia="宋体" w:cs="宋体"/>
                <w:sz w:val="21"/>
                <w:szCs w:val="21"/>
              </w:rPr>
            </w:pPr>
            <w:r>
              <w:rPr>
                <w:rFonts w:hint="eastAsia" w:ascii="宋体" w:hAnsi="宋体" w:eastAsia="宋体" w:cs="宋体"/>
                <w:sz w:val="21"/>
                <w:szCs w:val="21"/>
              </w:rPr>
              <w:t>投标供应商应如实填写《技术规格偏离表》，评审委员会根据技术需求参数响应情况进行打分，标注▲的为重要技术参数，每1项负偏离的，扣</w:t>
            </w:r>
            <w:r>
              <w:rPr>
                <w:rFonts w:hint="eastAsia" w:ascii="宋体" w:hAnsi="宋体" w:eastAsia="宋体"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扣完为止</w:t>
            </w:r>
            <w:r>
              <w:rPr>
                <w:rFonts w:hint="eastAsia" w:ascii="宋体" w:hAnsi="宋体" w:eastAsia="宋体" w:cs="宋体"/>
                <w:sz w:val="21"/>
                <w:szCs w:val="21"/>
              </w:rPr>
              <w:t>。</w:t>
            </w:r>
          </w:p>
        </w:tc>
      </w:tr>
      <w:tr w14:paraId="725EF0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0D8230B8">
            <w:pPr>
              <w:rPr>
                <w:rFonts w:hint="eastAsia" w:ascii="宋体" w:hAnsi="宋体" w:eastAsia="宋体" w:cs="宋体"/>
                <w:b/>
                <w:bCs/>
                <w:sz w:val="21"/>
                <w:szCs w:val="21"/>
              </w:rPr>
            </w:pPr>
          </w:p>
        </w:tc>
        <w:tc>
          <w:tcPr>
            <w:tcW w:w="570" w:type="dxa"/>
            <w:tcBorders>
              <w:tl2br w:val="nil"/>
              <w:tr2bl w:val="nil"/>
            </w:tcBorders>
            <w:vAlign w:val="center"/>
          </w:tcPr>
          <w:p w14:paraId="26FBE232">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2025" w:type="dxa"/>
            <w:tcBorders>
              <w:tl2br w:val="nil"/>
              <w:tr2bl w:val="nil"/>
            </w:tcBorders>
            <w:vAlign w:val="center"/>
          </w:tcPr>
          <w:p w14:paraId="3BDBFD14">
            <w:pPr>
              <w:jc w:val="center"/>
              <w:rPr>
                <w:rFonts w:hint="eastAsia" w:ascii="宋体" w:hAnsi="宋体" w:eastAsia="宋体" w:cs="宋体"/>
                <w:bCs/>
                <w:sz w:val="21"/>
                <w:szCs w:val="21"/>
              </w:rPr>
            </w:pPr>
            <w:r>
              <w:rPr>
                <w:rFonts w:hint="eastAsia" w:ascii="宋体" w:hAnsi="宋体" w:eastAsia="宋体" w:cs="宋体"/>
                <w:bCs/>
                <w:sz w:val="21"/>
                <w:szCs w:val="21"/>
              </w:rPr>
              <w:t>一般技术参数响应评分</w:t>
            </w:r>
          </w:p>
        </w:tc>
        <w:tc>
          <w:tcPr>
            <w:tcW w:w="1394" w:type="dxa"/>
            <w:tcBorders>
              <w:tl2br w:val="nil"/>
              <w:tr2bl w:val="nil"/>
            </w:tcBorders>
            <w:vAlign w:val="center"/>
          </w:tcPr>
          <w:p w14:paraId="2FDF36D6">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3870" w:type="dxa"/>
            <w:tcBorders>
              <w:tl2br w:val="nil"/>
              <w:tr2bl w:val="nil"/>
            </w:tcBorders>
            <w:vAlign w:val="center"/>
          </w:tcPr>
          <w:p w14:paraId="73946DA2">
            <w:pPr>
              <w:rPr>
                <w:rFonts w:hint="eastAsia" w:ascii="宋体" w:hAnsi="宋体" w:eastAsia="宋体" w:cs="宋体"/>
                <w:sz w:val="21"/>
                <w:szCs w:val="21"/>
                <w:lang w:eastAsia="zh-CN"/>
              </w:rPr>
            </w:pPr>
            <w:r>
              <w:rPr>
                <w:rFonts w:hint="eastAsia" w:ascii="宋体" w:hAnsi="宋体" w:eastAsia="宋体" w:cs="宋体"/>
                <w:sz w:val="21"/>
                <w:szCs w:val="21"/>
              </w:rPr>
              <w:t>投标供应商应如实填写《技术规格偏离表》，评审委员会根据技术需求参数响应情况进行打分，每1项负偏离的，扣</w:t>
            </w:r>
            <w:r>
              <w:rPr>
                <w:rFonts w:hint="eastAsia" w:ascii="宋体" w:hAnsi="宋体" w:eastAsia="宋体" w:cs="宋体"/>
                <w:sz w:val="21"/>
                <w:szCs w:val="21"/>
                <w:lang w:val="en-US" w:eastAsia="zh-CN"/>
              </w:rPr>
              <w:t>0.94</w:t>
            </w:r>
            <w:r>
              <w:rPr>
                <w:rFonts w:hint="eastAsia" w:ascii="宋体" w:hAnsi="宋体" w:eastAsia="宋体" w:cs="宋体"/>
                <w:sz w:val="21"/>
                <w:szCs w:val="21"/>
              </w:rPr>
              <w:t>分；扣完为止</w:t>
            </w:r>
            <w:r>
              <w:rPr>
                <w:rFonts w:hint="eastAsia" w:ascii="宋体" w:hAnsi="宋体" w:eastAsia="宋体" w:cs="宋体"/>
                <w:sz w:val="21"/>
                <w:szCs w:val="21"/>
                <w:lang w:eastAsia="zh-CN"/>
              </w:rPr>
              <w:t>。</w:t>
            </w:r>
          </w:p>
        </w:tc>
      </w:tr>
      <w:tr w14:paraId="7D39FC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6079FD75">
            <w:pPr>
              <w:rPr>
                <w:rFonts w:hint="eastAsia" w:ascii="宋体" w:hAnsi="宋体" w:eastAsia="宋体" w:cs="宋体"/>
                <w:b/>
                <w:bCs/>
                <w:sz w:val="21"/>
                <w:szCs w:val="21"/>
              </w:rPr>
            </w:pPr>
          </w:p>
        </w:tc>
        <w:tc>
          <w:tcPr>
            <w:tcW w:w="570" w:type="dxa"/>
            <w:tcBorders>
              <w:tl2br w:val="nil"/>
              <w:tr2bl w:val="nil"/>
            </w:tcBorders>
            <w:vAlign w:val="center"/>
          </w:tcPr>
          <w:p w14:paraId="5693B44C">
            <w:pPr>
              <w:jc w:val="center"/>
              <w:rPr>
                <w:rFonts w:hint="eastAsia" w:ascii="宋体" w:hAnsi="宋体" w:eastAsia="宋体" w:cs="宋体"/>
                <w:sz w:val="21"/>
                <w:szCs w:val="21"/>
              </w:rPr>
            </w:pPr>
            <w:r>
              <w:rPr>
                <w:rFonts w:hint="eastAsia" w:ascii="宋体" w:hAnsi="宋体" w:eastAsia="宋体" w:cs="宋体"/>
                <w:sz w:val="21"/>
                <w:szCs w:val="21"/>
              </w:rPr>
              <w:t>2</w:t>
            </w:r>
          </w:p>
        </w:tc>
        <w:tc>
          <w:tcPr>
            <w:tcW w:w="2025" w:type="dxa"/>
            <w:tcBorders>
              <w:tl2br w:val="nil"/>
              <w:tr2bl w:val="nil"/>
            </w:tcBorders>
            <w:vAlign w:val="center"/>
          </w:tcPr>
          <w:p w14:paraId="7B789CF3">
            <w:pPr>
              <w:jc w:val="center"/>
              <w:rPr>
                <w:rFonts w:hint="eastAsia" w:ascii="宋体" w:hAnsi="宋体" w:eastAsia="宋体" w:cs="宋体"/>
                <w:bCs/>
                <w:sz w:val="21"/>
                <w:szCs w:val="21"/>
              </w:rPr>
            </w:pPr>
            <w:r>
              <w:rPr>
                <w:rFonts w:hint="eastAsia" w:ascii="宋体" w:hAnsi="宋体" w:eastAsia="宋体" w:cs="宋体"/>
                <w:bCs/>
                <w:sz w:val="21"/>
                <w:szCs w:val="21"/>
              </w:rPr>
              <w:t>售后服务方案</w:t>
            </w:r>
          </w:p>
        </w:tc>
        <w:tc>
          <w:tcPr>
            <w:tcW w:w="1394" w:type="dxa"/>
            <w:tcBorders>
              <w:tl2br w:val="nil"/>
              <w:tr2bl w:val="nil"/>
            </w:tcBorders>
            <w:vAlign w:val="center"/>
          </w:tcPr>
          <w:p w14:paraId="5D2A1235">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3870" w:type="dxa"/>
            <w:tcBorders>
              <w:tl2br w:val="nil"/>
              <w:tr2bl w:val="nil"/>
            </w:tcBorders>
            <w:vAlign w:val="center"/>
          </w:tcPr>
          <w:p w14:paraId="555CF145">
            <w:pPr>
              <w:autoSpaceDE w:val="0"/>
              <w:autoSpaceDN w:val="0"/>
              <w:adjustRightInd w:val="0"/>
              <w:snapToGrid w:val="0"/>
              <w:rPr>
                <w:rFonts w:hint="eastAsia" w:ascii="宋体" w:hAnsi="宋体" w:eastAsia="宋体" w:cs="宋体"/>
                <w:b/>
                <w:bCs/>
                <w:sz w:val="21"/>
                <w:szCs w:val="21"/>
              </w:rPr>
            </w:pPr>
            <w:r>
              <w:rPr>
                <w:rFonts w:hint="eastAsia" w:ascii="宋体" w:hAnsi="宋体" w:eastAsia="宋体" w:cs="宋体"/>
                <w:b/>
                <w:bCs/>
                <w:sz w:val="21"/>
                <w:szCs w:val="21"/>
              </w:rPr>
              <w:t>（一）评分内容：</w:t>
            </w:r>
          </w:p>
          <w:p w14:paraId="24C67B89">
            <w:pPr>
              <w:autoSpaceDE w:val="0"/>
              <w:autoSpaceDN w:val="0"/>
              <w:adjustRightInd w:val="0"/>
              <w:snapToGrid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投标人提供本项目售后服务方案，包括但不限于：</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售后服务机构及维护人员配置、</w:t>
            </w: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故障响应时间、</w:t>
            </w: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备品备件支持计划、</w:t>
            </w: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软件升级、</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易损配件情况方面</w:t>
            </w:r>
            <w:r>
              <w:rPr>
                <w:rFonts w:hint="eastAsia" w:ascii="宋体" w:hAnsi="宋体" w:eastAsia="宋体" w:cs="宋体"/>
                <w:b w:val="0"/>
                <w:bCs w:val="0"/>
                <w:sz w:val="21"/>
                <w:szCs w:val="21"/>
                <w:lang w:eastAsia="zh-CN"/>
              </w:rPr>
              <w:t>。</w:t>
            </w:r>
          </w:p>
          <w:p w14:paraId="33F64057">
            <w:pPr>
              <w:autoSpaceDE w:val="0"/>
              <w:autoSpaceDN w:val="0"/>
              <w:adjustRightInd w:val="0"/>
              <w:snapToGrid w:val="0"/>
              <w:rPr>
                <w:rFonts w:hint="eastAsia" w:ascii="宋体" w:hAnsi="宋体" w:eastAsia="宋体" w:cs="宋体"/>
                <w:b/>
                <w:bCs/>
                <w:sz w:val="21"/>
                <w:szCs w:val="21"/>
              </w:rPr>
            </w:pPr>
            <w:r>
              <w:rPr>
                <w:rFonts w:hint="eastAsia" w:ascii="宋体" w:hAnsi="宋体" w:eastAsia="宋体" w:cs="宋体"/>
                <w:b/>
                <w:bCs/>
                <w:sz w:val="21"/>
                <w:szCs w:val="21"/>
              </w:rPr>
              <w:t>（二）评分标准：</w:t>
            </w:r>
          </w:p>
          <w:p w14:paraId="0645D759">
            <w:pPr>
              <w:autoSpaceDE w:val="0"/>
              <w:autoSpaceDN w:val="0"/>
              <w:adjustRightInd w:val="0"/>
              <w:snapToGrid w:val="0"/>
              <w:rPr>
                <w:rFonts w:hint="eastAsia" w:ascii="宋体" w:hAnsi="宋体" w:eastAsia="宋体" w:cs="宋体"/>
                <w:b w:val="0"/>
                <w:bCs w:val="0"/>
                <w:sz w:val="21"/>
                <w:szCs w:val="21"/>
              </w:rPr>
            </w:pPr>
            <w:r>
              <w:rPr>
                <w:rFonts w:hint="eastAsia" w:ascii="宋体" w:hAnsi="宋体" w:eastAsia="宋体" w:cs="宋体"/>
                <w:b w:val="0"/>
                <w:bCs w:val="0"/>
                <w:sz w:val="21"/>
                <w:szCs w:val="21"/>
              </w:rPr>
              <w:t>提供上述全部内容得</w:t>
            </w:r>
            <w:r>
              <w:rPr>
                <w:rFonts w:hint="eastAsia" w:ascii="宋体" w:hAnsi="宋体" w:eastAsia="宋体" w:cs="宋体"/>
                <w:b w:val="0"/>
                <w:bCs w:val="0"/>
                <w:sz w:val="21"/>
                <w:szCs w:val="21"/>
                <w:lang w:val="en-US" w:eastAsia="zh-CN"/>
              </w:rPr>
              <w:t>50</w:t>
            </w:r>
            <w:r>
              <w:rPr>
                <w:rFonts w:hint="eastAsia" w:ascii="宋体" w:hAnsi="宋体" w:eastAsia="宋体" w:cs="宋体"/>
                <w:b w:val="0"/>
                <w:bCs w:val="0"/>
                <w:sz w:val="21"/>
                <w:szCs w:val="21"/>
              </w:rPr>
              <w:t>分，每缺少一项扣</w:t>
            </w:r>
            <w:r>
              <w:rPr>
                <w:rFonts w:hint="eastAsia" w:ascii="宋体" w:hAnsi="宋体" w:eastAsia="宋体" w:cs="宋体"/>
                <w:b w:val="0"/>
                <w:bCs w:val="0"/>
                <w:sz w:val="21"/>
                <w:szCs w:val="21"/>
                <w:lang w:val="en-US" w:eastAsia="zh-CN"/>
              </w:rPr>
              <w:t>10</w:t>
            </w:r>
            <w:r>
              <w:rPr>
                <w:rFonts w:hint="eastAsia" w:ascii="宋体" w:hAnsi="宋体" w:eastAsia="宋体" w:cs="宋体"/>
                <w:b w:val="0"/>
                <w:bCs w:val="0"/>
                <w:sz w:val="21"/>
                <w:szCs w:val="21"/>
              </w:rPr>
              <w:t>分，扣完为止；提供至少包含上述全部内容要求的基础上进一步评审：</w:t>
            </w:r>
          </w:p>
          <w:p w14:paraId="7BF518B5">
            <w:pPr>
              <w:autoSpaceDE w:val="0"/>
              <w:autoSpaceDN w:val="0"/>
              <w:adjustRightInd w:val="0"/>
              <w:snapToGrid w:val="0"/>
              <w:rPr>
                <w:rFonts w:hint="eastAsia" w:ascii="宋体" w:hAnsi="宋体" w:eastAsia="宋体" w:cs="宋体"/>
                <w:b w:val="0"/>
                <w:bCs w:val="0"/>
                <w:sz w:val="21"/>
                <w:szCs w:val="21"/>
              </w:rPr>
            </w:pPr>
            <w:r>
              <w:rPr>
                <w:rFonts w:hint="eastAsia" w:ascii="宋体" w:hAnsi="宋体" w:eastAsia="宋体" w:cs="宋体"/>
                <w:b w:val="0"/>
                <w:bCs w:val="0"/>
                <w:sz w:val="21"/>
                <w:szCs w:val="21"/>
              </w:rPr>
              <w:t>（1）从售后服务机构配置合理性与完善性、维护人员（需属于技术团队中的人员）配置合理性进行评审：有厂家设置的专门售后服务机构的得</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分，有固定技术人员对接采购人的售后工程师的得</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分；本项总分</w:t>
            </w:r>
            <w:r>
              <w:rPr>
                <w:rFonts w:hint="eastAsia" w:ascii="宋体" w:hAnsi="宋体" w:eastAsia="宋体" w:cs="宋体"/>
                <w:b w:val="0"/>
                <w:bCs w:val="0"/>
                <w:sz w:val="21"/>
                <w:szCs w:val="21"/>
                <w:lang w:val="en-US" w:eastAsia="zh-CN"/>
              </w:rPr>
              <w:t>10</w:t>
            </w:r>
            <w:r>
              <w:rPr>
                <w:rFonts w:hint="eastAsia" w:ascii="宋体" w:hAnsi="宋体" w:eastAsia="宋体" w:cs="宋体"/>
                <w:b w:val="0"/>
                <w:bCs w:val="0"/>
                <w:sz w:val="21"/>
                <w:szCs w:val="21"/>
              </w:rPr>
              <w:t>分。</w:t>
            </w:r>
          </w:p>
          <w:p w14:paraId="6E24C554">
            <w:pPr>
              <w:autoSpaceDE w:val="0"/>
              <w:autoSpaceDN w:val="0"/>
              <w:adjustRightInd w:val="0"/>
              <w:snapToGrid w:val="0"/>
              <w:rPr>
                <w:rFonts w:hint="eastAsia" w:ascii="宋体" w:hAnsi="宋体" w:eastAsia="宋体" w:cs="宋体"/>
                <w:b w:val="0"/>
                <w:bCs w:val="0"/>
                <w:sz w:val="21"/>
                <w:szCs w:val="21"/>
              </w:rPr>
            </w:pPr>
            <w:r>
              <w:rPr>
                <w:rFonts w:hint="eastAsia" w:ascii="宋体" w:hAnsi="宋体" w:eastAsia="宋体" w:cs="宋体"/>
                <w:b w:val="0"/>
                <w:bCs w:val="0"/>
                <w:sz w:val="21"/>
                <w:szCs w:val="21"/>
              </w:rPr>
              <w:t>（2）故障响应时间（最迟4小时派员到场，24小时排除消除故障）：响应时间半小时以内的得1</w:t>
            </w:r>
            <w:r>
              <w:rPr>
                <w:rFonts w:hint="eastAsia" w:ascii="宋体" w:hAnsi="宋体" w:eastAsia="宋体" w:cs="宋体"/>
                <w:b w:val="0"/>
                <w:bCs w:val="0"/>
                <w:sz w:val="21"/>
                <w:szCs w:val="21"/>
                <w:lang w:val="en-US" w:eastAsia="zh-CN"/>
              </w:rPr>
              <w:t>0</w:t>
            </w:r>
            <w:r>
              <w:rPr>
                <w:rFonts w:hint="eastAsia" w:ascii="宋体" w:hAnsi="宋体" w:eastAsia="宋体" w:cs="宋体"/>
                <w:b w:val="0"/>
                <w:bCs w:val="0"/>
                <w:sz w:val="21"/>
                <w:szCs w:val="21"/>
              </w:rPr>
              <w:t>分，1小时以内的得</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分，其余投标人本项不得分；本项总分1</w:t>
            </w:r>
            <w:r>
              <w:rPr>
                <w:rFonts w:hint="eastAsia" w:ascii="宋体" w:hAnsi="宋体" w:eastAsia="宋体" w:cs="宋体"/>
                <w:b w:val="0"/>
                <w:bCs w:val="0"/>
                <w:sz w:val="21"/>
                <w:szCs w:val="21"/>
                <w:lang w:val="en-US" w:eastAsia="zh-CN"/>
              </w:rPr>
              <w:t>0</w:t>
            </w:r>
            <w:r>
              <w:rPr>
                <w:rFonts w:hint="eastAsia" w:ascii="宋体" w:hAnsi="宋体" w:eastAsia="宋体" w:cs="宋体"/>
                <w:b w:val="0"/>
                <w:bCs w:val="0"/>
                <w:sz w:val="21"/>
                <w:szCs w:val="21"/>
              </w:rPr>
              <w:t>分。</w:t>
            </w:r>
          </w:p>
          <w:p w14:paraId="3F6DA5AA">
            <w:pPr>
              <w:autoSpaceDE w:val="0"/>
              <w:autoSpaceDN w:val="0"/>
              <w:adjustRightInd w:val="0"/>
              <w:snapToGrid w:val="0"/>
              <w:rPr>
                <w:rFonts w:hint="eastAsia" w:ascii="宋体" w:hAnsi="宋体" w:eastAsia="宋体" w:cs="宋体"/>
                <w:b w:val="0"/>
                <w:bCs w:val="0"/>
                <w:sz w:val="21"/>
                <w:szCs w:val="21"/>
              </w:rPr>
            </w:pPr>
            <w:r>
              <w:rPr>
                <w:rFonts w:hint="eastAsia" w:ascii="宋体" w:hAnsi="宋体" w:eastAsia="宋体" w:cs="宋体"/>
                <w:b w:val="0"/>
                <w:bCs w:val="0"/>
                <w:sz w:val="21"/>
                <w:szCs w:val="21"/>
              </w:rPr>
              <w:t>（3）从备品备件支持计划所涵盖的全面性，可行性进行评审，列明的备品备件清单数量≥5个的得</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分，备品配件半小时内到位的得</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分；其余投标人本项不得分。本项总分</w:t>
            </w:r>
            <w:r>
              <w:rPr>
                <w:rFonts w:hint="eastAsia" w:ascii="宋体" w:hAnsi="宋体" w:eastAsia="宋体" w:cs="宋体"/>
                <w:b w:val="0"/>
                <w:bCs w:val="0"/>
                <w:sz w:val="21"/>
                <w:szCs w:val="21"/>
                <w:lang w:val="en-US" w:eastAsia="zh-CN"/>
              </w:rPr>
              <w:t>10</w:t>
            </w:r>
            <w:r>
              <w:rPr>
                <w:rFonts w:hint="eastAsia" w:ascii="宋体" w:hAnsi="宋体" w:eastAsia="宋体" w:cs="宋体"/>
                <w:b w:val="0"/>
                <w:bCs w:val="0"/>
                <w:sz w:val="21"/>
                <w:szCs w:val="21"/>
              </w:rPr>
              <w:t>分。</w:t>
            </w:r>
          </w:p>
          <w:p w14:paraId="5290505F">
            <w:pPr>
              <w:autoSpaceDE w:val="0"/>
              <w:autoSpaceDN w:val="0"/>
              <w:adjustRightInd w:val="0"/>
              <w:snapToGrid w:val="0"/>
              <w:rPr>
                <w:rFonts w:hint="eastAsia" w:ascii="宋体" w:hAnsi="宋体" w:eastAsia="宋体" w:cs="宋体"/>
                <w:b w:val="0"/>
                <w:bCs w:val="0"/>
                <w:sz w:val="21"/>
                <w:szCs w:val="21"/>
              </w:rPr>
            </w:pPr>
            <w:r>
              <w:rPr>
                <w:rFonts w:hint="eastAsia" w:ascii="宋体" w:hAnsi="宋体" w:eastAsia="宋体" w:cs="宋体"/>
                <w:b w:val="0"/>
                <w:bCs w:val="0"/>
                <w:sz w:val="21"/>
                <w:szCs w:val="21"/>
              </w:rPr>
              <w:t>（4）软件升级计划的合理性、完善性、时效性进行评审：有每年的定期升级或维护计划的得</w:t>
            </w:r>
            <w:r>
              <w:rPr>
                <w:rFonts w:hint="eastAsia" w:ascii="宋体" w:hAnsi="宋体" w:eastAsia="宋体" w:cs="宋体"/>
                <w:b w:val="0"/>
                <w:bCs w:val="0"/>
                <w:sz w:val="21"/>
                <w:szCs w:val="21"/>
                <w:lang w:val="en-US" w:eastAsia="zh-CN"/>
              </w:rPr>
              <w:t>20</w:t>
            </w:r>
            <w:r>
              <w:rPr>
                <w:rFonts w:hint="eastAsia" w:ascii="宋体" w:hAnsi="宋体" w:eastAsia="宋体" w:cs="宋体"/>
                <w:b w:val="0"/>
                <w:bCs w:val="0"/>
                <w:sz w:val="21"/>
                <w:szCs w:val="21"/>
              </w:rPr>
              <w:t>分；本项总分</w:t>
            </w:r>
            <w:r>
              <w:rPr>
                <w:rFonts w:hint="eastAsia" w:ascii="宋体" w:hAnsi="宋体" w:eastAsia="宋体" w:cs="宋体"/>
                <w:b w:val="0"/>
                <w:bCs w:val="0"/>
                <w:sz w:val="21"/>
                <w:szCs w:val="21"/>
                <w:lang w:val="en-US" w:eastAsia="zh-CN"/>
              </w:rPr>
              <w:t>20</w:t>
            </w:r>
            <w:r>
              <w:rPr>
                <w:rFonts w:hint="eastAsia" w:ascii="宋体" w:hAnsi="宋体" w:eastAsia="宋体" w:cs="宋体"/>
                <w:b w:val="0"/>
                <w:bCs w:val="0"/>
                <w:sz w:val="21"/>
                <w:szCs w:val="21"/>
              </w:rPr>
              <w:t>分。</w:t>
            </w:r>
          </w:p>
          <w:p w14:paraId="642F14B3">
            <w:pPr>
              <w:rPr>
                <w:rFonts w:hint="eastAsia" w:ascii="宋体" w:hAnsi="宋体" w:eastAsia="宋体" w:cs="宋体"/>
                <w:sz w:val="21"/>
                <w:szCs w:val="21"/>
              </w:rPr>
            </w:pPr>
            <w:r>
              <w:rPr>
                <w:rFonts w:hint="eastAsia" w:ascii="宋体" w:hAnsi="宋体" w:eastAsia="宋体" w:cs="宋体"/>
                <w:b w:val="0"/>
                <w:bCs w:val="0"/>
                <w:sz w:val="21"/>
                <w:szCs w:val="21"/>
              </w:rPr>
              <w:t>未提供或无法判断则不得分</w:t>
            </w:r>
            <w:r>
              <w:rPr>
                <w:rFonts w:hint="eastAsia" w:ascii="宋体" w:hAnsi="宋体" w:eastAsia="宋体" w:cs="宋体"/>
                <w:sz w:val="21"/>
                <w:szCs w:val="21"/>
              </w:rPr>
              <w:t>。</w:t>
            </w:r>
          </w:p>
        </w:tc>
      </w:tr>
      <w:tr w14:paraId="1E9032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restart"/>
            <w:tcBorders>
              <w:tl2br w:val="nil"/>
              <w:tr2bl w:val="nil"/>
            </w:tcBorders>
          </w:tcPr>
          <w:p w14:paraId="34A071E3">
            <w:pPr>
              <w:wordWrap w:val="0"/>
              <w:jc w:val="center"/>
              <w:rPr>
                <w:rFonts w:hint="eastAsia" w:ascii="宋体" w:hAnsi="宋体" w:eastAsia="宋体" w:cs="宋体"/>
                <w:b/>
                <w:bCs/>
                <w:sz w:val="21"/>
                <w:szCs w:val="21"/>
              </w:rPr>
            </w:pPr>
            <w:r>
              <w:rPr>
                <w:rFonts w:hint="eastAsia" w:ascii="宋体" w:hAnsi="宋体" w:eastAsia="宋体" w:cs="宋体"/>
                <w:b/>
                <w:bCs/>
                <w:sz w:val="21"/>
                <w:szCs w:val="21"/>
              </w:rPr>
              <w:t>3</w:t>
            </w:r>
          </w:p>
        </w:tc>
        <w:tc>
          <w:tcPr>
            <w:tcW w:w="3989" w:type="dxa"/>
            <w:gridSpan w:val="3"/>
            <w:tcBorders>
              <w:tl2br w:val="nil"/>
              <w:tr2bl w:val="nil"/>
            </w:tcBorders>
          </w:tcPr>
          <w:p w14:paraId="0A3DEBE8">
            <w:pPr>
              <w:wordWrap w:val="0"/>
              <w:jc w:val="center"/>
              <w:rPr>
                <w:rFonts w:hint="eastAsia" w:ascii="宋体" w:hAnsi="宋体" w:eastAsia="宋体" w:cs="宋体"/>
                <w:b/>
                <w:bCs/>
                <w:sz w:val="21"/>
                <w:szCs w:val="21"/>
              </w:rPr>
            </w:pPr>
            <w:r>
              <w:rPr>
                <w:rFonts w:hint="eastAsia" w:ascii="宋体" w:hAnsi="宋体" w:eastAsia="宋体" w:cs="宋体"/>
                <w:b/>
                <w:bCs/>
                <w:sz w:val="21"/>
                <w:szCs w:val="21"/>
              </w:rPr>
              <w:t>商务部分</w:t>
            </w:r>
          </w:p>
        </w:tc>
        <w:tc>
          <w:tcPr>
            <w:tcW w:w="3870" w:type="dxa"/>
            <w:tcBorders>
              <w:tl2br w:val="nil"/>
              <w:tr2bl w:val="nil"/>
            </w:tcBorders>
          </w:tcPr>
          <w:p w14:paraId="048FDFFA">
            <w:pPr>
              <w:wordWrap w:val="0"/>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10</w:t>
            </w:r>
          </w:p>
        </w:tc>
      </w:tr>
      <w:tr w14:paraId="51B22B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1CE445C0">
            <w:pPr>
              <w:rPr>
                <w:rFonts w:hint="eastAsia" w:ascii="宋体" w:hAnsi="宋体" w:eastAsia="宋体" w:cs="宋体"/>
                <w:b/>
                <w:bCs/>
                <w:sz w:val="21"/>
                <w:szCs w:val="21"/>
              </w:rPr>
            </w:pPr>
          </w:p>
        </w:tc>
        <w:tc>
          <w:tcPr>
            <w:tcW w:w="7859" w:type="dxa"/>
            <w:gridSpan w:val="4"/>
            <w:tcBorders>
              <w:tl2br w:val="nil"/>
              <w:tr2bl w:val="nil"/>
            </w:tcBorders>
          </w:tcPr>
          <w:p w14:paraId="7C548653">
            <w:pPr>
              <w:wordWrap w:val="0"/>
              <w:rPr>
                <w:rFonts w:hint="eastAsia" w:ascii="宋体" w:hAnsi="宋体" w:eastAsia="宋体" w:cs="宋体"/>
                <w:sz w:val="21"/>
                <w:szCs w:val="21"/>
              </w:rPr>
            </w:pPr>
          </w:p>
        </w:tc>
      </w:tr>
      <w:tr w14:paraId="5C24CF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shd w:val="clear" w:color="auto" w:fill="E6EFFA"/>
            <w:vAlign w:val="center"/>
          </w:tcPr>
          <w:p w14:paraId="3B3A6440">
            <w:pPr>
              <w:rPr>
                <w:rFonts w:hint="eastAsia" w:ascii="宋体" w:hAnsi="宋体" w:eastAsia="宋体" w:cs="宋体"/>
                <w:b/>
                <w:bCs/>
                <w:sz w:val="21"/>
                <w:szCs w:val="21"/>
              </w:rPr>
            </w:pPr>
          </w:p>
        </w:tc>
        <w:tc>
          <w:tcPr>
            <w:tcW w:w="570" w:type="dxa"/>
            <w:tcBorders>
              <w:tl2br w:val="nil"/>
              <w:tr2bl w:val="nil"/>
            </w:tcBorders>
            <w:shd w:val="clear" w:color="auto" w:fill="E6EFFA"/>
            <w:vAlign w:val="center"/>
          </w:tcPr>
          <w:p w14:paraId="4A24B3EE">
            <w:pPr>
              <w:wordWrap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025" w:type="dxa"/>
            <w:tcBorders>
              <w:tl2br w:val="nil"/>
              <w:tr2bl w:val="nil"/>
            </w:tcBorders>
            <w:shd w:val="clear" w:color="auto" w:fill="E6EFFA"/>
            <w:vAlign w:val="center"/>
          </w:tcPr>
          <w:p w14:paraId="7D1792A4">
            <w:pPr>
              <w:wordWrap w:val="0"/>
              <w:jc w:val="center"/>
              <w:rPr>
                <w:rFonts w:hint="eastAsia" w:ascii="宋体" w:hAnsi="宋体" w:eastAsia="宋体" w:cs="宋体"/>
                <w:b/>
                <w:bCs/>
                <w:sz w:val="21"/>
                <w:szCs w:val="21"/>
              </w:rPr>
            </w:pPr>
            <w:r>
              <w:rPr>
                <w:rFonts w:hint="eastAsia" w:ascii="宋体" w:hAnsi="宋体" w:eastAsia="宋体" w:cs="宋体"/>
                <w:b/>
                <w:bCs/>
                <w:sz w:val="21"/>
                <w:szCs w:val="21"/>
              </w:rPr>
              <w:t>评审因素</w:t>
            </w:r>
          </w:p>
        </w:tc>
        <w:tc>
          <w:tcPr>
            <w:tcW w:w="1394" w:type="dxa"/>
            <w:tcBorders>
              <w:tl2br w:val="nil"/>
              <w:tr2bl w:val="nil"/>
            </w:tcBorders>
            <w:shd w:val="clear" w:color="auto" w:fill="E6EFFA"/>
            <w:vAlign w:val="center"/>
          </w:tcPr>
          <w:p w14:paraId="0C618DF9">
            <w:pPr>
              <w:wordWrap w:val="0"/>
              <w:jc w:val="center"/>
              <w:rPr>
                <w:rFonts w:hint="eastAsia" w:ascii="宋体" w:hAnsi="宋体" w:eastAsia="宋体" w:cs="宋体"/>
                <w:b/>
                <w:bCs/>
                <w:sz w:val="21"/>
                <w:szCs w:val="21"/>
              </w:rPr>
            </w:pPr>
            <w:r>
              <w:rPr>
                <w:rFonts w:hint="eastAsia" w:ascii="宋体" w:hAnsi="宋体" w:eastAsia="宋体" w:cs="宋体"/>
                <w:b/>
                <w:bCs/>
                <w:sz w:val="21"/>
                <w:szCs w:val="21"/>
              </w:rPr>
              <w:t>权重(%)</w:t>
            </w:r>
          </w:p>
        </w:tc>
        <w:tc>
          <w:tcPr>
            <w:tcW w:w="3870" w:type="dxa"/>
            <w:tcBorders>
              <w:tl2br w:val="nil"/>
              <w:tr2bl w:val="nil"/>
            </w:tcBorders>
            <w:shd w:val="clear" w:color="auto" w:fill="E6EFFA"/>
            <w:vAlign w:val="center"/>
          </w:tcPr>
          <w:p w14:paraId="15904E9E">
            <w:pPr>
              <w:wordWrap w:val="0"/>
              <w:jc w:val="center"/>
              <w:rPr>
                <w:rFonts w:hint="eastAsia" w:ascii="宋体" w:hAnsi="宋体" w:eastAsia="宋体" w:cs="宋体"/>
                <w:b/>
                <w:bCs/>
                <w:sz w:val="21"/>
                <w:szCs w:val="21"/>
              </w:rPr>
            </w:pPr>
            <w:r>
              <w:rPr>
                <w:rFonts w:hint="eastAsia" w:ascii="宋体" w:hAnsi="宋体" w:eastAsia="宋体" w:cs="宋体"/>
                <w:b/>
                <w:bCs/>
                <w:sz w:val="21"/>
                <w:szCs w:val="21"/>
              </w:rPr>
              <w:t>评分准则</w:t>
            </w:r>
          </w:p>
        </w:tc>
      </w:tr>
      <w:tr w14:paraId="25635A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rHeight w:val="272" w:hRule="atLeast"/>
          <w:tblCellSpacing w:w="0" w:type="dxa"/>
          <w:jc w:val="center"/>
        </w:trPr>
        <w:tc>
          <w:tcPr>
            <w:tcW w:w="645" w:type="dxa"/>
            <w:vMerge w:val="continue"/>
            <w:tcBorders>
              <w:tl2br w:val="nil"/>
              <w:tr2bl w:val="nil"/>
            </w:tcBorders>
            <w:vAlign w:val="center"/>
          </w:tcPr>
          <w:p w14:paraId="0B4B75BA">
            <w:pPr>
              <w:rPr>
                <w:rFonts w:hint="eastAsia" w:ascii="宋体" w:hAnsi="宋体" w:eastAsia="宋体" w:cs="宋体"/>
                <w:b/>
                <w:bCs/>
                <w:sz w:val="21"/>
                <w:szCs w:val="21"/>
              </w:rPr>
            </w:pPr>
          </w:p>
        </w:tc>
        <w:tc>
          <w:tcPr>
            <w:tcW w:w="570" w:type="dxa"/>
            <w:tcBorders>
              <w:tl2br w:val="nil"/>
              <w:tr2bl w:val="nil"/>
            </w:tcBorders>
            <w:vAlign w:val="center"/>
          </w:tcPr>
          <w:p w14:paraId="68F0141E">
            <w:pPr>
              <w:wordWrap w:val="0"/>
              <w:jc w:val="center"/>
              <w:rPr>
                <w:rFonts w:hint="eastAsia" w:ascii="宋体" w:hAnsi="宋体" w:eastAsia="宋体" w:cs="宋体"/>
                <w:sz w:val="21"/>
                <w:szCs w:val="21"/>
              </w:rPr>
            </w:pPr>
            <w:r>
              <w:rPr>
                <w:rFonts w:hint="eastAsia" w:ascii="宋体" w:hAnsi="宋体" w:eastAsia="宋体" w:cs="宋体"/>
                <w:sz w:val="21"/>
                <w:szCs w:val="21"/>
              </w:rPr>
              <w:t>1</w:t>
            </w:r>
          </w:p>
        </w:tc>
        <w:tc>
          <w:tcPr>
            <w:tcW w:w="2025" w:type="dxa"/>
            <w:tcBorders>
              <w:tl2br w:val="nil"/>
              <w:tr2bl w:val="nil"/>
            </w:tcBorders>
            <w:vAlign w:val="center"/>
          </w:tcPr>
          <w:p w14:paraId="5D40C1E7">
            <w:pPr>
              <w:jc w:val="center"/>
              <w:rPr>
                <w:rFonts w:hint="eastAsia" w:ascii="宋体" w:hAnsi="宋体" w:eastAsia="宋体" w:cs="宋体"/>
                <w:sz w:val="21"/>
                <w:szCs w:val="21"/>
              </w:rPr>
            </w:pPr>
            <w:r>
              <w:rPr>
                <w:rFonts w:hint="eastAsia" w:ascii="宋体" w:hAnsi="宋体" w:eastAsia="宋体" w:cs="宋体"/>
                <w:bCs/>
                <w:sz w:val="21"/>
                <w:szCs w:val="21"/>
              </w:rPr>
              <w:t>有效业绩</w:t>
            </w:r>
          </w:p>
        </w:tc>
        <w:tc>
          <w:tcPr>
            <w:tcW w:w="1394" w:type="dxa"/>
            <w:tcBorders>
              <w:tl2br w:val="nil"/>
              <w:tr2bl w:val="nil"/>
            </w:tcBorders>
            <w:vAlign w:val="center"/>
          </w:tcPr>
          <w:p w14:paraId="185B9030">
            <w:pPr>
              <w:jc w:val="center"/>
              <w:rPr>
                <w:rFonts w:hint="eastAsia" w:ascii="宋体" w:hAnsi="宋体" w:eastAsia="宋体" w:cs="宋体"/>
                <w:sz w:val="21"/>
                <w:szCs w:val="21"/>
                <w:lang w:eastAsia="zh-CN"/>
              </w:rPr>
            </w:pPr>
            <w:r>
              <w:rPr>
                <w:rFonts w:hint="eastAsia" w:ascii="宋体" w:hAnsi="宋体" w:eastAsia="宋体" w:cs="宋体"/>
                <w:bCs/>
                <w:sz w:val="21"/>
                <w:szCs w:val="21"/>
                <w:lang w:val="en-US" w:eastAsia="zh-CN"/>
              </w:rPr>
              <w:t>5</w:t>
            </w:r>
          </w:p>
        </w:tc>
        <w:tc>
          <w:tcPr>
            <w:tcW w:w="3870" w:type="dxa"/>
            <w:tcBorders>
              <w:tl2br w:val="nil"/>
              <w:tr2bl w:val="nil"/>
            </w:tcBorders>
            <w:vAlign w:val="center"/>
          </w:tcPr>
          <w:p w14:paraId="0BB7500A">
            <w:pPr>
              <w:rPr>
                <w:rFonts w:hint="eastAsia" w:ascii="宋体" w:hAnsi="宋体" w:eastAsia="宋体" w:cs="宋体"/>
                <w:b/>
                <w:bCs/>
                <w:sz w:val="21"/>
                <w:szCs w:val="21"/>
              </w:rPr>
            </w:pPr>
            <w:r>
              <w:rPr>
                <w:rFonts w:hint="eastAsia" w:ascii="宋体" w:hAnsi="宋体" w:eastAsia="宋体" w:cs="宋体"/>
                <w:b/>
                <w:bCs/>
                <w:sz w:val="21"/>
                <w:szCs w:val="21"/>
              </w:rPr>
              <w:t>（一）评审内容：</w:t>
            </w:r>
          </w:p>
          <w:p w14:paraId="6BC92CB2">
            <w:pPr>
              <w:rPr>
                <w:rFonts w:hint="eastAsia" w:ascii="宋体" w:hAnsi="宋体" w:eastAsia="宋体" w:cs="宋体"/>
                <w:sz w:val="21"/>
                <w:szCs w:val="21"/>
              </w:rPr>
            </w:pPr>
            <w:r>
              <w:rPr>
                <w:rFonts w:hint="eastAsia" w:ascii="宋体" w:hAnsi="宋体" w:eastAsia="宋体" w:cs="宋体"/>
                <w:sz w:val="21"/>
                <w:szCs w:val="21"/>
              </w:rPr>
              <w:t>提供1项有效业绩的，得</w:t>
            </w:r>
            <w:r>
              <w:rPr>
                <w:rFonts w:hint="eastAsia" w:ascii="宋体" w:hAnsi="宋体" w:eastAsia="宋体" w:cs="宋体"/>
                <w:sz w:val="21"/>
                <w:szCs w:val="21"/>
                <w:lang w:val="en-US" w:eastAsia="zh-CN"/>
              </w:rPr>
              <w:t>25</w:t>
            </w:r>
            <w:r>
              <w:rPr>
                <w:rFonts w:hint="eastAsia" w:ascii="宋体" w:hAnsi="宋体" w:eastAsia="宋体" w:cs="宋体"/>
                <w:sz w:val="21"/>
                <w:szCs w:val="21"/>
              </w:rPr>
              <w:t>分；以此类推，最高不超过100分。</w:t>
            </w:r>
          </w:p>
          <w:p w14:paraId="70DF7D92">
            <w:pPr>
              <w:rPr>
                <w:rFonts w:hint="eastAsia" w:ascii="宋体" w:hAnsi="宋体" w:eastAsia="宋体" w:cs="宋体"/>
                <w:sz w:val="21"/>
                <w:szCs w:val="21"/>
              </w:rPr>
            </w:pPr>
            <w:r>
              <w:rPr>
                <w:rFonts w:hint="eastAsia" w:ascii="宋体" w:hAnsi="宋体" w:eastAsia="宋体" w:cs="宋体"/>
                <w:sz w:val="21"/>
                <w:szCs w:val="21"/>
              </w:rPr>
              <w:t>不提供或者不能有效证明的，得0分。</w:t>
            </w:r>
          </w:p>
          <w:p w14:paraId="290C7CC8">
            <w:pPr>
              <w:rPr>
                <w:rFonts w:hint="eastAsia" w:ascii="宋体" w:hAnsi="宋体" w:eastAsia="宋体" w:cs="宋体"/>
                <w:b w:val="0"/>
                <w:bCs w:val="0"/>
                <w:sz w:val="21"/>
                <w:szCs w:val="21"/>
              </w:rPr>
            </w:pPr>
            <w:r>
              <w:rPr>
                <w:rFonts w:hint="eastAsia" w:ascii="宋体" w:hAnsi="宋体" w:eastAsia="宋体" w:cs="宋体"/>
                <w:b w:val="0"/>
                <w:bCs w:val="0"/>
                <w:sz w:val="21"/>
                <w:szCs w:val="21"/>
              </w:rPr>
              <w:t>有效业绩定义：（同时满足以下全部要求同类业绩才属于有效业绩）</w:t>
            </w:r>
          </w:p>
          <w:p w14:paraId="13BAE4A4">
            <w:pPr>
              <w:rPr>
                <w:rFonts w:hint="eastAsia" w:ascii="宋体" w:hAnsi="宋体" w:eastAsia="宋体" w:cs="宋体"/>
                <w:b w:val="0"/>
                <w:bCs w:val="0"/>
                <w:sz w:val="21"/>
                <w:szCs w:val="21"/>
              </w:rPr>
            </w:pPr>
            <w:r>
              <w:rPr>
                <w:rFonts w:hint="eastAsia" w:ascii="宋体" w:hAnsi="宋体" w:eastAsia="宋体" w:cs="宋体"/>
                <w:b w:val="0"/>
                <w:bCs w:val="0"/>
                <w:sz w:val="21"/>
                <w:szCs w:val="21"/>
              </w:rPr>
              <w:t>1）同类业绩指：</w:t>
            </w:r>
            <w:r>
              <w:rPr>
                <w:rFonts w:hint="eastAsia" w:ascii="宋体" w:hAnsi="宋体" w:eastAsia="宋体" w:cs="宋体"/>
                <w:b w:val="0"/>
                <w:bCs w:val="0"/>
                <w:sz w:val="21"/>
                <w:szCs w:val="21"/>
                <w:lang w:val="en-US" w:eastAsia="zh-CN"/>
              </w:rPr>
              <w:t>所投产品同品牌型号的设备</w:t>
            </w:r>
            <w:r>
              <w:rPr>
                <w:rFonts w:hint="eastAsia" w:ascii="宋体" w:hAnsi="宋体" w:eastAsia="宋体" w:cs="宋体"/>
                <w:b w:val="0"/>
                <w:bCs w:val="0"/>
                <w:sz w:val="21"/>
                <w:szCs w:val="21"/>
              </w:rPr>
              <w:t>。</w:t>
            </w:r>
          </w:p>
          <w:p w14:paraId="4B356E24">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2）</w:t>
            </w:r>
            <w:r>
              <w:rPr>
                <w:rFonts w:hint="eastAsia" w:ascii="宋体" w:hAnsi="宋体" w:eastAsia="宋体" w:cs="宋体"/>
                <w:b w:val="0"/>
                <w:bCs w:val="0"/>
                <w:sz w:val="21"/>
                <w:szCs w:val="21"/>
              </w:rPr>
              <w:t>合同签订时间为</w:t>
            </w:r>
            <w:r>
              <w:rPr>
                <w:rFonts w:hint="eastAsia" w:ascii="宋体" w:hAnsi="宋体" w:eastAsia="宋体" w:cs="宋体"/>
                <w:b w:val="0"/>
                <w:bCs w:val="0"/>
                <w:sz w:val="21"/>
                <w:szCs w:val="21"/>
                <w:lang w:val="en-US" w:eastAsia="zh-CN"/>
              </w:rPr>
              <w:t>2023</w:t>
            </w:r>
            <w:r>
              <w:rPr>
                <w:rFonts w:hint="eastAsia" w:ascii="宋体" w:hAnsi="宋体" w:eastAsia="宋体" w:cs="宋体"/>
                <w:b w:val="0"/>
                <w:bCs w:val="0"/>
                <w:sz w:val="21"/>
                <w:szCs w:val="21"/>
              </w:rPr>
              <w:t>年</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月</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日至投标截止时间前</w:t>
            </w:r>
            <w:r>
              <w:rPr>
                <w:rFonts w:hint="eastAsia" w:ascii="宋体" w:hAnsi="宋体" w:eastAsia="宋体" w:cs="宋体"/>
                <w:b w:val="0"/>
                <w:bCs w:val="0"/>
                <w:sz w:val="21"/>
                <w:szCs w:val="21"/>
                <w:lang w:eastAsia="zh-CN"/>
              </w:rPr>
              <w:t>。</w:t>
            </w:r>
          </w:p>
          <w:p w14:paraId="48E13350">
            <w:pPr>
              <w:rPr>
                <w:rFonts w:hint="eastAsia" w:ascii="宋体" w:hAnsi="宋体" w:eastAsia="宋体" w:cs="宋体"/>
                <w:b/>
                <w:bCs/>
                <w:sz w:val="21"/>
                <w:szCs w:val="21"/>
              </w:rPr>
            </w:pPr>
            <w:r>
              <w:rPr>
                <w:rFonts w:hint="eastAsia" w:ascii="宋体" w:hAnsi="宋体" w:eastAsia="宋体" w:cs="宋体"/>
                <w:b/>
                <w:bCs/>
                <w:sz w:val="21"/>
                <w:szCs w:val="21"/>
              </w:rPr>
              <w:t>（二）评分标准：</w:t>
            </w:r>
          </w:p>
          <w:p w14:paraId="126E1D36">
            <w:pPr>
              <w:rPr>
                <w:rFonts w:hint="eastAsia" w:ascii="宋体" w:hAnsi="宋体" w:eastAsia="宋体" w:cs="宋体"/>
                <w:sz w:val="21"/>
                <w:szCs w:val="21"/>
              </w:rPr>
            </w:pPr>
            <w:r>
              <w:rPr>
                <w:rFonts w:hint="eastAsia" w:ascii="宋体" w:hAnsi="宋体" w:eastAsia="宋体" w:cs="宋体"/>
                <w:sz w:val="21"/>
                <w:szCs w:val="21"/>
              </w:rPr>
              <w:t>供应商需提供合同关键信息（首页、体现采购内容页、签字盖章页、签订时间页）扫描件,未提供不得分。</w:t>
            </w:r>
          </w:p>
        </w:tc>
      </w:tr>
      <w:tr w14:paraId="4AEECF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45" w:type="dxa"/>
            <w:vMerge w:val="continue"/>
            <w:tcBorders>
              <w:tl2br w:val="nil"/>
              <w:tr2bl w:val="nil"/>
            </w:tcBorders>
            <w:vAlign w:val="center"/>
          </w:tcPr>
          <w:p w14:paraId="07C32423">
            <w:pPr>
              <w:rPr>
                <w:rFonts w:hint="eastAsia" w:ascii="宋体" w:hAnsi="宋体" w:eastAsia="宋体" w:cs="宋体"/>
                <w:b/>
                <w:bCs/>
                <w:sz w:val="21"/>
                <w:szCs w:val="21"/>
              </w:rPr>
            </w:pPr>
          </w:p>
        </w:tc>
        <w:tc>
          <w:tcPr>
            <w:tcW w:w="570" w:type="dxa"/>
            <w:tcBorders>
              <w:tl2br w:val="nil"/>
              <w:tr2bl w:val="nil"/>
            </w:tcBorders>
            <w:vAlign w:val="center"/>
          </w:tcPr>
          <w:p w14:paraId="644DF9E7">
            <w:pPr>
              <w:wordWrap w:val="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p>
        </w:tc>
        <w:tc>
          <w:tcPr>
            <w:tcW w:w="2025" w:type="dxa"/>
            <w:tcBorders>
              <w:tl2br w:val="nil"/>
              <w:tr2bl w:val="nil"/>
            </w:tcBorders>
            <w:vAlign w:val="center"/>
          </w:tcPr>
          <w:p w14:paraId="1E78ECAF">
            <w:pPr>
              <w:wordWrap w:val="0"/>
              <w:jc w:val="center"/>
              <w:rPr>
                <w:rFonts w:hint="eastAsia" w:ascii="宋体" w:hAnsi="宋体" w:eastAsia="宋体" w:cs="宋体"/>
                <w:sz w:val="21"/>
                <w:szCs w:val="21"/>
              </w:rPr>
            </w:pPr>
            <w:r>
              <w:rPr>
                <w:rFonts w:hint="eastAsia" w:ascii="宋体" w:hAnsi="宋体" w:eastAsia="宋体" w:cs="宋体"/>
                <w:sz w:val="21"/>
                <w:szCs w:val="21"/>
              </w:rPr>
              <w:t>诚信</w:t>
            </w:r>
          </w:p>
        </w:tc>
        <w:tc>
          <w:tcPr>
            <w:tcW w:w="1394" w:type="dxa"/>
            <w:tcBorders>
              <w:tl2br w:val="nil"/>
              <w:tr2bl w:val="nil"/>
            </w:tcBorders>
            <w:vAlign w:val="center"/>
          </w:tcPr>
          <w:p w14:paraId="201CC048">
            <w:pPr>
              <w:wordWrap w:val="0"/>
              <w:jc w:val="center"/>
              <w:rPr>
                <w:rFonts w:hint="eastAsia" w:ascii="宋体" w:hAnsi="宋体" w:eastAsia="宋体" w:cs="宋体"/>
                <w:sz w:val="21"/>
                <w:szCs w:val="21"/>
              </w:rPr>
            </w:pPr>
            <w:r>
              <w:rPr>
                <w:rFonts w:hint="eastAsia" w:ascii="宋体" w:hAnsi="宋体" w:eastAsia="宋体" w:cs="宋体"/>
                <w:sz w:val="21"/>
                <w:szCs w:val="21"/>
              </w:rPr>
              <w:t>5</w:t>
            </w:r>
          </w:p>
        </w:tc>
        <w:tc>
          <w:tcPr>
            <w:tcW w:w="3870" w:type="dxa"/>
            <w:tcBorders>
              <w:tl2br w:val="nil"/>
              <w:tr2bl w:val="nil"/>
            </w:tcBorders>
          </w:tcPr>
          <w:p w14:paraId="0A09414F">
            <w:pPr>
              <w:wordWrap w:val="0"/>
              <w:rPr>
                <w:rFonts w:hint="eastAsia" w:ascii="宋体" w:hAnsi="宋体" w:eastAsia="宋体" w:cs="宋体"/>
                <w:sz w:val="21"/>
                <w:szCs w:val="21"/>
              </w:rPr>
            </w:pPr>
            <w:r>
              <w:rPr>
                <w:rFonts w:hint="eastAsia" w:ascii="宋体" w:hAnsi="宋体" w:eastAsia="宋体" w:cs="宋体"/>
                <w:sz w:val="21"/>
                <w:szCs w:val="21"/>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100分。</w:t>
            </w:r>
          </w:p>
          <w:p w14:paraId="201B1B30">
            <w:pPr>
              <w:wordWrap w:val="0"/>
              <w:rPr>
                <w:rFonts w:hint="eastAsia" w:ascii="宋体" w:hAnsi="宋体" w:eastAsia="宋体" w:cs="宋体"/>
                <w:sz w:val="21"/>
                <w:szCs w:val="21"/>
              </w:rPr>
            </w:pPr>
            <w:r>
              <w:rPr>
                <w:rFonts w:hint="eastAsia" w:ascii="宋体" w:hAnsi="宋体" w:eastAsia="宋体" w:cs="宋体"/>
                <w:b/>
                <w:bCs/>
                <w:sz w:val="21"/>
                <w:szCs w:val="21"/>
              </w:rPr>
              <w:t>（采购代理机构通过“信用中国”、“中国政府采购网”、“深圳市政府采购监管网”以及市、区财政部门认定的其他渠道查询供应商信用信息，投标人无需提供证明材料。）</w:t>
            </w:r>
          </w:p>
        </w:tc>
      </w:tr>
    </w:tbl>
    <w:p w14:paraId="03B5070A">
      <w:pPr>
        <w:pStyle w:val="23"/>
        <w:spacing w:before="280"/>
        <w:jc w:val="center"/>
        <w:outlineLvl w:val="0"/>
        <w:rPr>
          <w:b/>
          <w:bCs/>
          <w:color w:val="000000"/>
          <w:sz w:val="44"/>
          <w:szCs w:val="44"/>
        </w:rPr>
      </w:pPr>
      <w:bookmarkStart w:id="0" w:name="bt开标一览表"/>
      <w:bookmarkEnd w:id="0"/>
      <w:bookmarkStart w:id="1" w:name="bt合同条款及格式"/>
      <w:bookmarkEnd w:id="1"/>
      <w:bookmarkStart w:id="2" w:name="bt投标文件签署授权委托书"/>
      <w:bookmarkEnd w:id="2"/>
      <w:bookmarkStart w:id="3" w:name="bt其他资料2"/>
      <w:bookmarkEnd w:id="3"/>
      <w:bookmarkStart w:id="4" w:name="bt投标报价汇总表"/>
      <w:bookmarkEnd w:id="4"/>
      <w:bookmarkStart w:id="5" w:name="bt投标人情况介绍"/>
      <w:bookmarkEnd w:id="5"/>
      <w:bookmarkStart w:id="6" w:name="bt项目管理班子配备情况"/>
      <w:bookmarkEnd w:id="6"/>
      <w:bookmarkStart w:id="7" w:name="bt技术标投标文件格式"/>
      <w:bookmarkEnd w:id="7"/>
      <w:bookmarkStart w:id="8" w:name="bt商务标投标文件格式"/>
      <w:bookmarkEnd w:id="8"/>
      <w:bookmarkStart w:id="9" w:name="bt投标函"/>
      <w:bookmarkEnd w:id="9"/>
      <w:bookmarkStart w:id="10" w:name="bt本工程承诺书"/>
      <w:bookmarkEnd w:id="10"/>
      <w:bookmarkStart w:id="11" w:name="bt合同条款"/>
      <w:bookmarkEnd w:id="11"/>
      <w:bookmarkStart w:id="12" w:name="bt说明"/>
      <w:bookmarkEnd w:id="12"/>
      <w:bookmarkStart w:id="13" w:name="合同格式"/>
      <w:bookmarkEnd w:id="13"/>
      <w:bookmarkStart w:id="14" w:name="bt其他资料由投标人自定"/>
      <w:bookmarkEnd w:id="14"/>
      <w:bookmarkStart w:id="15" w:name="bt合同格式"/>
      <w:bookmarkEnd w:id="15"/>
      <w:bookmarkStart w:id="16" w:name="bt投标人须知"/>
      <w:bookmarkEnd w:id="16"/>
      <w:r>
        <w:rPr>
          <w:b/>
          <w:bCs/>
          <w:color w:val="000000"/>
          <w:sz w:val="44"/>
          <w:szCs w:val="44"/>
        </w:rPr>
        <w:t>第一册  专用条款</w:t>
      </w:r>
    </w:p>
    <w:p w14:paraId="52DBCA65">
      <w:pPr>
        <w:pStyle w:val="3"/>
        <w:rPr>
          <w:b/>
          <w:bCs/>
          <w:sz w:val="36"/>
          <w:szCs w:val="36"/>
        </w:rPr>
      </w:pPr>
      <w:r>
        <w:rPr>
          <w:rFonts w:hint="eastAsia" w:ascii="宋体" w:hAnsi="宋体" w:eastAsia="宋体" w:cs="宋体"/>
          <w:b/>
          <w:bCs/>
          <w:sz w:val="36"/>
          <w:szCs w:val="36"/>
        </w:rPr>
        <w:t>第</w:t>
      </w:r>
      <w:r>
        <w:rPr>
          <w:rFonts w:hint="eastAsia"/>
          <w:b/>
          <w:bCs/>
          <w:sz w:val="36"/>
          <w:szCs w:val="36"/>
        </w:rPr>
        <w:t xml:space="preserve">一章  </w:t>
      </w:r>
      <w:r>
        <w:rPr>
          <w:b/>
          <w:bCs/>
          <w:sz w:val="36"/>
          <w:szCs w:val="36"/>
        </w:rPr>
        <w:t>招标公告</w:t>
      </w:r>
    </w:p>
    <w:p w14:paraId="54F074A2"/>
    <w:p w14:paraId="27B752EE">
      <w:pPr>
        <w:ind w:firstLine="480" w:firstLineChars="200"/>
        <w:jc w:val="right"/>
        <w:rPr>
          <w:rFonts w:hint="eastAsia" w:ascii="宋体" w:hAnsi="宋体" w:eastAsia="宋体" w:cs="宋体"/>
          <w:szCs w:val="21"/>
          <w:highlight w:val="green"/>
        </w:rPr>
      </w:pPr>
      <w:r>
        <w:rPr>
          <w:rFonts w:hint="eastAsia" w:ascii="宋体" w:hAnsi="宋体" w:cs="宋体"/>
          <w:szCs w:val="21"/>
        </w:rPr>
        <w:t>文件编码：0722-26FE82</w:t>
      </w:r>
      <w:r>
        <w:rPr>
          <w:rFonts w:hint="eastAsia" w:ascii="宋体" w:hAnsi="宋体" w:eastAsia="宋体" w:cs="宋体"/>
          <w:szCs w:val="21"/>
          <w:lang w:val="en-US" w:eastAsia="zh-CN"/>
        </w:rPr>
        <w:t>64</w:t>
      </w:r>
      <w:r>
        <w:rPr>
          <w:rFonts w:hint="eastAsia" w:ascii="宋体" w:hAnsi="宋体" w:cs="宋体"/>
          <w:szCs w:val="21"/>
        </w:rPr>
        <w:t>SZF-2</w:t>
      </w:r>
    </w:p>
    <w:p w14:paraId="3EF53367">
      <w:pPr>
        <w:pStyle w:val="4"/>
        <w:spacing w:before="0" w:after="0"/>
        <w:rPr>
          <w:rFonts w:cs="宋体"/>
          <w:sz w:val="21"/>
          <w:szCs w:val="21"/>
        </w:rPr>
      </w:pPr>
      <w:r>
        <w:rPr>
          <w:rFonts w:hint="eastAsia" w:cs="宋体"/>
          <w:sz w:val="21"/>
          <w:szCs w:val="21"/>
        </w:rPr>
        <w:t xml:space="preserve">一、项目概况： </w:t>
      </w:r>
    </w:p>
    <w:p w14:paraId="5FC1C012">
      <w:pPr>
        <w:ind w:firstLine="420" w:firstLineChars="200"/>
        <w:rPr>
          <w:rFonts w:ascii="宋体" w:eastAsia="宋体" w:cs="宋体"/>
          <w:sz w:val="21"/>
          <w:szCs w:val="21"/>
        </w:rPr>
      </w:pPr>
      <w:r>
        <w:rPr>
          <w:rFonts w:hint="eastAsia" w:ascii="宋体" w:hAnsi="宋体" w:eastAsia="宋体" w:cs="宋体"/>
          <w:sz w:val="21"/>
          <w:szCs w:val="21"/>
          <w:lang w:eastAsia="zh-CN"/>
        </w:rPr>
        <w:t>中山大学附属第八医院（深圳福田）生物实验室项目小动物MR成像系统</w:t>
      </w:r>
      <w:r>
        <w:rPr>
          <w:rFonts w:hint="eastAsia" w:ascii="宋体" w:hAnsi="宋体" w:eastAsia="宋体" w:cs="宋体"/>
          <w:sz w:val="21"/>
          <w:szCs w:val="21"/>
          <w:lang w:val="en-US" w:eastAsia="zh-CN"/>
        </w:rPr>
        <w:t>采购项目</w:t>
      </w:r>
      <w:r>
        <w:rPr>
          <w:rFonts w:hint="eastAsia" w:ascii="宋体" w:hAnsi="宋体" w:cs="宋体"/>
          <w:sz w:val="21"/>
          <w:szCs w:val="21"/>
        </w:rPr>
        <w:t>的潜在投标人应在（本项目招标公告附件中）获取本项目的招标文件，并于</w:t>
      </w:r>
      <w:r>
        <w:rPr>
          <w:rFonts w:hint="eastAsia" w:ascii="宋体" w:hAnsi="宋体" w:cs="宋体"/>
          <w:sz w:val="21"/>
          <w:szCs w:val="21"/>
          <w:u w:val="single"/>
        </w:rPr>
        <w:t>202</w:t>
      </w:r>
      <w:r>
        <w:rPr>
          <w:rFonts w:hint="eastAsia" w:ascii="宋体" w:hAnsi="宋体" w:eastAsia="宋体" w:cs="宋体"/>
          <w:sz w:val="21"/>
          <w:szCs w:val="21"/>
          <w:u w:val="single"/>
          <w:lang w:val="en-US" w:eastAsia="zh-CN"/>
        </w:rPr>
        <w:t>6</w:t>
      </w:r>
      <w:r>
        <w:rPr>
          <w:rFonts w:hint="eastAsia" w:ascii="宋体" w:hAnsi="宋体" w:cs="宋体"/>
          <w:sz w:val="21"/>
          <w:szCs w:val="21"/>
          <w:u w:val="single"/>
        </w:rPr>
        <w:t>年</w:t>
      </w:r>
      <w:r>
        <w:rPr>
          <w:rFonts w:hint="eastAsia" w:ascii="宋体" w:hAnsi="宋体" w:eastAsia="宋体" w:cs="宋体"/>
          <w:sz w:val="21"/>
          <w:szCs w:val="21"/>
          <w:u w:val="single"/>
          <w:lang w:val="en-US" w:eastAsia="zh-CN"/>
        </w:rPr>
        <w:t>11</w:t>
      </w:r>
      <w:r>
        <w:rPr>
          <w:rFonts w:hint="eastAsia" w:ascii="宋体" w:hAnsi="宋体" w:cs="宋体"/>
          <w:sz w:val="21"/>
          <w:szCs w:val="21"/>
          <w:u w:val="single"/>
        </w:rPr>
        <w:t>月</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rPr>
        <w:t>日</w:t>
      </w:r>
      <w:r>
        <w:rPr>
          <w:rFonts w:hint="eastAsia" w:ascii="宋体" w:hAnsi="宋体" w:eastAsia="宋体" w:cs="宋体"/>
          <w:sz w:val="21"/>
          <w:szCs w:val="21"/>
          <w:u w:val="single"/>
          <w:lang w:val="en-US" w:eastAsia="zh-CN"/>
        </w:rPr>
        <w:t>09</w:t>
      </w:r>
      <w:r>
        <w:rPr>
          <w:rFonts w:hint="eastAsia" w:ascii="宋体" w:hAnsi="宋体" w:cs="宋体"/>
          <w:sz w:val="21"/>
          <w:szCs w:val="21"/>
          <w:u w:val="single"/>
        </w:rPr>
        <w:t>时</w:t>
      </w:r>
      <w:r>
        <w:rPr>
          <w:rFonts w:hint="eastAsia" w:ascii="宋体" w:hAnsi="宋体" w:eastAsia="宋体" w:cs="宋体"/>
          <w:sz w:val="21"/>
          <w:szCs w:val="21"/>
          <w:u w:val="single"/>
          <w:lang w:val="en-US" w:eastAsia="zh-CN"/>
        </w:rPr>
        <w:t>30</w:t>
      </w:r>
      <w:r>
        <w:rPr>
          <w:rFonts w:hint="eastAsia" w:ascii="宋体" w:hAnsi="宋体" w:cs="宋体"/>
          <w:sz w:val="21"/>
          <w:szCs w:val="21"/>
          <w:u w:val="single"/>
        </w:rPr>
        <w:t>分（具体时间详见“深圳公共资源交易网”招标（采购）公告）前</w:t>
      </w:r>
      <w:r>
        <w:rPr>
          <w:rFonts w:hint="eastAsia" w:ascii="宋体" w:hAnsi="宋体" w:cs="宋体"/>
          <w:sz w:val="21"/>
          <w:szCs w:val="21"/>
        </w:rPr>
        <w:t>递交投标文件。</w:t>
      </w:r>
      <w:r>
        <w:rPr>
          <w:rFonts w:hint="eastAsia" w:ascii="宋体" w:eastAsia="宋体" w:cs="宋体"/>
          <w:sz w:val="21"/>
          <w:szCs w:val="21"/>
        </w:rPr>
        <w:t xml:space="preserve"> </w:t>
      </w:r>
    </w:p>
    <w:p w14:paraId="26F26196">
      <w:pPr>
        <w:pStyle w:val="4"/>
        <w:spacing w:before="0" w:after="0"/>
        <w:rPr>
          <w:rFonts w:cs="宋体"/>
          <w:sz w:val="21"/>
          <w:szCs w:val="21"/>
        </w:rPr>
      </w:pPr>
      <w:r>
        <w:rPr>
          <w:rFonts w:hint="eastAsia" w:cs="宋体"/>
          <w:sz w:val="21"/>
          <w:szCs w:val="21"/>
        </w:rPr>
        <w:t xml:space="preserve">二、项目基本情况： </w:t>
      </w:r>
    </w:p>
    <w:p w14:paraId="3B967250">
      <w:pPr>
        <w:ind w:firstLine="420" w:firstLineChars="200"/>
        <w:rPr>
          <w:rFonts w:ascii="宋体" w:hAnsi="宋体" w:cs="宋体"/>
          <w:sz w:val="21"/>
          <w:szCs w:val="21"/>
        </w:rPr>
      </w:pPr>
      <w:r>
        <w:rPr>
          <w:rFonts w:hint="eastAsia" w:ascii="宋体" w:hAnsi="宋体" w:cs="宋体"/>
          <w:sz w:val="21"/>
          <w:szCs w:val="21"/>
        </w:rPr>
        <w:t>1.项目编号：</w:t>
      </w:r>
      <w:bookmarkStart w:id="41" w:name="_GoBack"/>
      <w:bookmarkEnd w:id="41"/>
      <w:r>
        <w:rPr>
          <w:rFonts w:hint="eastAsia" w:ascii="宋体" w:hAnsi="宋体" w:eastAsia="宋体" w:cs="宋体"/>
          <w:sz w:val="21"/>
          <w:szCs w:val="21"/>
          <w:lang w:eastAsia="zh-CN"/>
        </w:rPr>
        <w:t>FTDL2026000110</w:t>
      </w:r>
      <w:r>
        <w:rPr>
          <w:rFonts w:hint="eastAsia" w:ascii="宋体" w:hAnsi="宋体" w:cs="宋体"/>
          <w:sz w:val="21"/>
          <w:szCs w:val="21"/>
        </w:rPr>
        <w:t xml:space="preserve"> </w:t>
      </w:r>
    </w:p>
    <w:p w14:paraId="15AC3118">
      <w:pPr>
        <w:ind w:firstLine="420" w:firstLineChars="200"/>
        <w:rPr>
          <w:rFonts w:ascii="宋体" w:hAnsi="宋体" w:cs="宋体"/>
          <w:sz w:val="21"/>
          <w:szCs w:val="21"/>
        </w:rPr>
      </w:pPr>
      <w:r>
        <w:rPr>
          <w:rFonts w:hint="eastAsia" w:ascii="宋体" w:hAnsi="宋体" w:cs="宋体"/>
          <w:sz w:val="21"/>
          <w:szCs w:val="21"/>
        </w:rPr>
        <w:t>2.项目名称：</w:t>
      </w:r>
      <w:r>
        <w:rPr>
          <w:rFonts w:hint="eastAsia" w:ascii="宋体" w:hAnsi="宋体" w:eastAsia="宋体" w:cs="宋体"/>
          <w:sz w:val="21"/>
          <w:szCs w:val="21"/>
          <w:lang w:eastAsia="zh-CN"/>
        </w:rPr>
        <w:t>中山大学附属第八医院（深圳福田）生物实验室项目小动物MR成像系统</w:t>
      </w:r>
      <w:r>
        <w:rPr>
          <w:rFonts w:hint="eastAsia" w:ascii="宋体" w:hAnsi="宋体" w:cs="宋体"/>
          <w:sz w:val="21"/>
          <w:szCs w:val="21"/>
        </w:rPr>
        <w:t xml:space="preserve"> </w:t>
      </w:r>
    </w:p>
    <w:p w14:paraId="09E42AE2">
      <w:pPr>
        <w:ind w:firstLine="420" w:firstLineChars="200"/>
        <w:rPr>
          <w:rFonts w:ascii="宋体" w:hAnsi="宋体" w:cs="宋体"/>
          <w:sz w:val="21"/>
          <w:szCs w:val="21"/>
        </w:rPr>
      </w:pPr>
      <w:r>
        <w:rPr>
          <w:rFonts w:hint="eastAsia" w:ascii="宋体" w:hAnsi="宋体" w:cs="宋体"/>
          <w:sz w:val="21"/>
          <w:szCs w:val="21"/>
        </w:rPr>
        <w:t>3.预算金额：</w:t>
      </w:r>
      <w:r>
        <w:rPr>
          <w:rFonts w:hint="eastAsia" w:ascii="宋体" w:hAnsi="宋体" w:eastAsia="宋体" w:cs="宋体"/>
          <w:sz w:val="21"/>
          <w:szCs w:val="21"/>
        </w:rPr>
        <w:t>人民币</w:t>
      </w:r>
      <w:r>
        <w:rPr>
          <w:rFonts w:hint="eastAsia" w:ascii="宋体" w:hAnsi="宋体" w:eastAsia="宋体" w:cs="宋体"/>
          <w:sz w:val="21"/>
          <w:szCs w:val="21"/>
          <w:lang w:val="en-US" w:eastAsia="zh-CN"/>
        </w:rPr>
        <w:t>贰仟伍佰万</w:t>
      </w:r>
      <w:r>
        <w:rPr>
          <w:rFonts w:hint="eastAsia" w:ascii="宋体" w:hAnsi="宋体" w:eastAsia="宋体" w:cs="宋体"/>
          <w:sz w:val="21"/>
          <w:szCs w:val="21"/>
        </w:rPr>
        <w:t>元整（¥</w:t>
      </w:r>
      <w:r>
        <w:rPr>
          <w:rFonts w:hint="eastAsia" w:ascii="宋体" w:hAnsi="宋体" w:eastAsia="宋体" w:cs="宋体"/>
          <w:sz w:val="21"/>
          <w:szCs w:val="21"/>
          <w:lang w:val="en-US" w:eastAsia="zh-CN"/>
        </w:rPr>
        <w:t>25</w:t>
      </w:r>
      <w:r>
        <w:rPr>
          <w:rFonts w:hint="eastAsia" w:ascii="宋体" w:hAnsi="宋体" w:eastAsia="宋体" w:cs="宋体"/>
          <w:sz w:val="21"/>
          <w:szCs w:val="21"/>
        </w:rPr>
        <w:t>,</w:t>
      </w:r>
      <w:r>
        <w:rPr>
          <w:rFonts w:hint="eastAsia" w:ascii="宋体" w:hAnsi="宋体" w:eastAsia="宋体" w:cs="宋体"/>
          <w:sz w:val="21"/>
          <w:szCs w:val="21"/>
          <w:lang w:val="en-US" w:eastAsia="zh-CN"/>
        </w:rPr>
        <w:t>0</w:t>
      </w:r>
      <w:r>
        <w:rPr>
          <w:rFonts w:hint="eastAsia" w:ascii="宋体" w:hAnsi="宋体" w:eastAsia="宋体" w:cs="宋体"/>
          <w:sz w:val="21"/>
          <w:szCs w:val="21"/>
        </w:rPr>
        <w:t>00,000.00）</w:t>
      </w:r>
    </w:p>
    <w:p w14:paraId="114DC651">
      <w:pPr>
        <w:ind w:firstLine="420" w:firstLineChars="200"/>
        <w:rPr>
          <w:rFonts w:ascii="宋体" w:hAnsi="宋体" w:cs="宋体"/>
          <w:sz w:val="21"/>
          <w:szCs w:val="21"/>
        </w:rPr>
      </w:pPr>
      <w:r>
        <w:rPr>
          <w:rFonts w:hint="eastAsia" w:ascii="宋体" w:hAnsi="宋体" w:cs="宋体"/>
          <w:sz w:val="21"/>
          <w:szCs w:val="21"/>
        </w:rPr>
        <w:t>4.最高限价：</w:t>
      </w:r>
      <w:r>
        <w:rPr>
          <w:rFonts w:hint="eastAsia" w:ascii="宋体" w:hAnsi="宋体" w:eastAsia="宋体" w:cs="宋体"/>
          <w:sz w:val="21"/>
          <w:szCs w:val="21"/>
        </w:rPr>
        <w:t>人民币</w:t>
      </w:r>
      <w:r>
        <w:rPr>
          <w:rFonts w:hint="eastAsia" w:ascii="宋体" w:hAnsi="宋体" w:eastAsia="宋体" w:cs="宋体"/>
          <w:sz w:val="21"/>
          <w:szCs w:val="21"/>
          <w:lang w:val="en-US" w:eastAsia="zh-CN"/>
        </w:rPr>
        <w:t>贰仟伍佰万</w:t>
      </w:r>
      <w:r>
        <w:rPr>
          <w:rFonts w:hint="eastAsia" w:ascii="宋体" w:hAnsi="宋体" w:eastAsia="宋体" w:cs="宋体"/>
          <w:sz w:val="21"/>
          <w:szCs w:val="21"/>
        </w:rPr>
        <w:t>元整（¥</w:t>
      </w:r>
      <w:r>
        <w:rPr>
          <w:rFonts w:hint="eastAsia" w:ascii="宋体" w:hAnsi="宋体" w:eastAsia="宋体" w:cs="宋体"/>
          <w:sz w:val="21"/>
          <w:szCs w:val="21"/>
          <w:lang w:val="en-US" w:eastAsia="zh-CN"/>
        </w:rPr>
        <w:t>25</w:t>
      </w:r>
      <w:r>
        <w:rPr>
          <w:rFonts w:hint="eastAsia" w:ascii="宋体" w:hAnsi="宋体" w:eastAsia="宋体" w:cs="宋体"/>
          <w:sz w:val="21"/>
          <w:szCs w:val="21"/>
        </w:rPr>
        <w:t>,</w:t>
      </w:r>
      <w:r>
        <w:rPr>
          <w:rFonts w:hint="eastAsia" w:ascii="宋体" w:hAnsi="宋体" w:eastAsia="宋体" w:cs="宋体"/>
          <w:sz w:val="21"/>
          <w:szCs w:val="21"/>
          <w:lang w:val="en-US" w:eastAsia="zh-CN"/>
        </w:rPr>
        <w:t>0</w:t>
      </w:r>
      <w:r>
        <w:rPr>
          <w:rFonts w:hint="eastAsia" w:ascii="宋体" w:hAnsi="宋体" w:eastAsia="宋体" w:cs="宋体"/>
          <w:sz w:val="21"/>
          <w:szCs w:val="21"/>
        </w:rPr>
        <w:t>00,000.00）</w:t>
      </w:r>
    </w:p>
    <w:p w14:paraId="6FBDDD53">
      <w:pPr>
        <w:ind w:firstLine="420" w:firstLineChars="200"/>
        <w:rPr>
          <w:sz w:val="21"/>
          <w:szCs w:val="21"/>
        </w:rPr>
      </w:pPr>
      <w:r>
        <w:rPr>
          <w:rFonts w:hint="eastAsia" w:ascii="宋体" w:hAnsi="宋体" w:cs="宋体"/>
          <w:sz w:val="21"/>
          <w:szCs w:val="21"/>
        </w:rPr>
        <w:t>5.采购需求：</w:t>
      </w:r>
    </w:p>
    <w:tbl>
      <w:tblPr>
        <w:tblStyle w:val="28"/>
        <w:tblW w:w="9592" w:type="dxa"/>
        <w:jc w:val="center"/>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Layout w:type="fixed"/>
        <w:tblCellMar>
          <w:top w:w="60" w:type="dxa"/>
          <w:left w:w="60" w:type="dxa"/>
          <w:bottom w:w="60" w:type="dxa"/>
          <w:right w:w="60" w:type="dxa"/>
        </w:tblCellMar>
      </w:tblPr>
      <w:tblGrid>
        <w:gridCol w:w="5188"/>
        <w:gridCol w:w="750"/>
        <w:gridCol w:w="831"/>
        <w:gridCol w:w="1639"/>
        <w:gridCol w:w="1184"/>
      </w:tblGrid>
      <w:tr w14:paraId="61C6A528">
        <w:tblPrEx>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CellMar>
            <w:top w:w="60" w:type="dxa"/>
            <w:left w:w="60" w:type="dxa"/>
            <w:bottom w:w="60" w:type="dxa"/>
            <w:right w:w="60" w:type="dxa"/>
          </w:tblCellMar>
        </w:tblPrEx>
        <w:trPr>
          <w:jc w:val="center"/>
        </w:trPr>
        <w:tc>
          <w:tcPr>
            <w:tcW w:w="5188" w:type="dxa"/>
            <w:tcBorders>
              <w:top w:val="outset" w:color="AAAAAA" w:sz="6" w:space="0"/>
              <w:left w:val="outset" w:color="AAAAAA" w:sz="6" w:space="0"/>
              <w:bottom w:val="outset" w:color="AAAAAA" w:sz="6" w:space="0"/>
              <w:right w:val="outset" w:color="AAAAAA" w:sz="6" w:space="0"/>
            </w:tcBorders>
            <w:shd w:val="clear" w:color="auto" w:fill="ABCDEF"/>
            <w:noWrap/>
            <w:vAlign w:val="center"/>
          </w:tcPr>
          <w:p w14:paraId="61E0B96E">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标的名称</w:t>
            </w:r>
          </w:p>
        </w:tc>
        <w:tc>
          <w:tcPr>
            <w:tcW w:w="750"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0536899B">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数量</w:t>
            </w:r>
          </w:p>
        </w:tc>
        <w:tc>
          <w:tcPr>
            <w:tcW w:w="831"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1849AE37">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单位</w:t>
            </w:r>
          </w:p>
        </w:tc>
        <w:tc>
          <w:tcPr>
            <w:tcW w:w="1639"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5DAD4294">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简要技术需求</w:t>
            </w:r>
          </w:p>
        </w:tc>
        <w:tc>
          <w:tcPr>
            <w:tcW w:w="1184" w:type="dxa"/>
            <w:tcBorders>
              <w:top w:val="outset" w:color="AAAAAA" w:sz="6" w:space="0"/>
              <w:left w:val="single" w:color="auto" w:sz="2" w:space="0"/>
              <w:bottom w:val="outset" w:color="AAAAAA" w:sz="6" w:space="0"/>
              <w:right w:val="outset" w:color="AAAAAA" w:sz="6" w:space="0"/>
            </w:tcBorders>
            <w:shd w:val="clear" w:color="auto" w:fill="ABCDEF"/>
            <w:noWrap/>
            <w:vAlign w:val="center"/>
          </w:tcPr>
          <w:p w14:paraId="5AE0165C">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备注</w:t>
            </w:r>
          </w:p>
        </w:tc>
      </w:tr>
      <w:tr w14:paraId="47453FD2">
        <w:tblPrEx>
          <w:tblBorders>
            <w:top w:val="outset" w:color="AAAAAA" w:sz="6" w:space="0"/>
            <w:left w:val="outset" w:color="AAAAAA" w:sz="6" w:space="0"/>
            <w:bottom w:val="outset" w:color="AAAAAA" w:sz="6" w:space="0"/>
            <w:right w:val="outset" w:color="AAAAAA" w:sz="6" w:space="0"/>
            <w:insideH w:val="outset" w:color="auto" w:sz="6" w:space="0"/>
            <w:insideV w:val="outset" w:color="auto" w:sz="6" w:space="0"/>
          </w:tblBorders>
          <w:tblCellMar>
            <w:top w:w="60" w:type="dxa"/>
            <w:left w:w="60" w:type="dxa"/>
            <w:bottom w:w="60" w:type="dxa"/>
            <w:right w:w="60" w:type="dxa"/>
          </w:tblCellMar>
        </w:tblPrEx>
        <w:trPr>
          <w:jc w:val="center"/>
        </w:trPr>
        <w:tc>
          <w:tcPr>
            <w:tcW w:w="5188" w:type="dxa"/>
            <w:tcBorders>
              <w:top w:val="outset" w:color="AAAAAA" w:sz="6" w:space="0"/>
              <w:left w:val="outset" w:color="AAAAAA" w:sz="6" w:space="0"/>
              <w:bottom w:val="outset" w:color="AAAAAA" w:sz="6" w:space="0"/>
              <w:right w:val="outset" w:color="AAAAAA" w:sz="6" w:space="0"/>
            </w:tcBorders>
            <w:noWrap/>
            <w:vAlign w:val="center"/>
          </w:tcPr>
          <w:p w14:paraId="1CBAD24A">
            <w:pPr>
              <w:jc w:val="center"/>
              <w:rPr>
                <w:rFonts w:hint="default" w:eastAsia="宋体" w:asciiTheme="majorEastAsia" w:hAnsiTheme="majorEastAsia" w:cstheme="majorEastAsia"/>
                <w:sz w:val="21"/>
                <w:szCs w:val="21"/>
                <w:lang w:val="en-US" w:eastAsia="zh-CN" w:bidi="ar"/>
              </w:rPr>
            </w:pPr>
            <w:r>
              <w:rPr>
                <w:rFonts w:hint="eastAsia" w:ascii="宋体" w:hAnsi="宋体" w:eastAsia="宋体" w:cs="宋体"/>
                <w:sz w:val="21"/>
                <w:szCs w:val="21"/>
                <w:lang w:val="en-US" w:eastAsia="zh-CN"/>
              </w:rPr>
              <w:t>详见第三章用户需求书</w:t>
            </w:r>
          </w:p>
        </w:tc>
        <w:tc>
          <w:tcPr>
            <w:tcW w:w="750" w:type="dxa"/>
            <w:tcBorders>
              <w:top w:val="outset" w:color="AAAAAA" w:sz="6" w:space="0"/>
              <w:left w:val="single" w:color="auto" w:sz="2" w:space="0"/>
              <w:bottom w:val="outset" w:color="AAAAAA" w:sz="6" w:space="0"/>
              <w:right w:val="outset" w:color="AAAAAA" w:sz="6" w:space="0"/>
            </w:tcBorders>
            <w:noWrap/>
            <w:vAlign w:val="center"/>
          </w:tcPr>
          <w:p w14:paraId="462223CB">
            <w:pPr>
              <w:jc w:val="center"/>
              <w:rPr>
                <w:rFonts w:hint="eastAsia" w:asciiTheme="majorEastAsia" w:hAnsiTheme="majorEastAsia" w:eastAsiaTheme="majorEastAsia" w:cstheme="majorEastAsia"/>
                <w:sz w:val="21"/>
                <w:szCs w:val="21"/>
                <w:lang w:bidi="ar"/>
              </w:rPr>
            </w:pPr>
            <w:r>
              <w:rPr>
                <w:rFonts w:hint="eastAsia" w:asciiTheme="majorEastAsia" w:hAnsiTheme="majorEastAsia" w:eastAsiaTheme="majorEastAsia" w:cstheme="majorEastAsia"/>
                <w:sz w:val="21"/>
                <w:szCs w:val="21"/>
              </w:rPr>
              <w:t>1</w:t>
            </w:r>
          </w:p>
        </w:tc>
        <w:tc>
          <w:tcPr>
            <w:tcW w:w="831" w:type="dxa"/>
            <w:tcBorders>
              <w:top w:val="outset" w:color="AAAAAA" w:sz="6" w:space="0"/>
              <w:left w:val="single" w:color="auto" w:sz="2" w:space="0"/>
              <w:bottom w:val="outset" w:color="AAAAAA" w:sz="6" w:space="0"/>
              <w:right w:val="outset" w:color="AAAAAA" w:sz="6" w:space="0"/>
            </w:tcBorders>
            <w:noWrap/>
            <w:vAlign w:val="center"/>
          </w:tcPr>
          <w:p w14:paraId="26C40474">
            <w:pPr>
              <w:jc w:val="center"/>
              <w:rPr>
                <w:rFonts w:hint="eastAsia" w:asciiTheme="majorEastAsia" w:hAnsiTheme="majorEastAsia" w:eastAsiaTheme="majorEastAsia" w:cstheme="majorEastAsia"/>
                <w:sz w:val="21"/>
                <w:szCs w:val="21"/>
                <w:lang w:bidi="ar"/>
              </w:rPr>
            </w:pPr>
            <w:r>
              <w:rPr>
                <w:rFonts w:hint="eastAsia" w:asciiTheme="majorEastAsia" w:hAnsiTheme="majorEastAsia" w:eastAsiaTheme="majorEastAsia" w:cstheme="majorEastAsia"/>
                <w:sz w:val="21"/>
                <w:szCs w:val="21"/>
              </w:rPr>
              <w:t>套</w:t>
            </w:r>
          </w:p>
        </w:tc>
        <w:tc>
          <w:tcPr>
            <w:tcW w:w="1639" w:type="dxa"/>
            <w:tcBorders>
              <w:top w:val="outset" w:color="AAAAAA" w:sz="6" w:space="0"/>
              <w:left w:val="single" w:color="auto" w:sz="2" w:space="0"/>
              <w:bottom w:val="outset" w:color="AAAAAA" w:sz="6" w:space="0"/>
              <w:right w:val="outset" w:color="AAAAAA" w:sz="6" w:space="0"/>
            </w:tcBorders>
            <w:noWrap/>
            <w:vAlign w:val="center"/>
          </w:tcPr>
          <w:p w14:paraId="48EBAA96">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详见招标文件</w:t>
            </w:r>
          </w:p>
        </w:tc>
        <w:tc>
          <w:tcPr>
            <w:tcW w:w="1184" w:type="dxa"/>
            <w:tcBorders>
              <w:top w:val="outset" w:color="AAAAAA" w:sz="6" w:space="0"/>
              <w:left w:val="single" w:color="auto" w:sz="2" w:space="0"/>
              <w:bottom w:val="outset" w:color="AAAAAA" w:sz="6" w:space="0"/>
              <w:right w:val="outset" w:color="AAAAAA" w:sz="6" w:space="0"/>
            </w:tcBorders>
            <w:noWrap/>
            <w:vAlign w:val="center"/>
          </w:tcPr>
          <w:p w14:paraId="13FC0B2B">
            <w:pPr>
              <w:ind w:firstLine="420" w:firstLineChars="200"/>
              <w:jc w:val="center"/>
              <w:rPr>
                <w:rFonts w:hint="eastAsia" w:asciiTheme="majorEastAsia" w:hAnsiTheme="majorEastAsia" w:eastAsiaTheme="majorEastAsia" w:cstheme="majorEastAsia"/>
                <w:sz w:val="21"/>
                <w:szCs w:val="21"/>
              </w:rPr>
            </w:pPr>
          </w:p>
        </w:tc>
      </w:tr>
    </w:tbl>
    <w:p w14:paraId="46AE34E7">
      <w:pPr>
        <w:ind w:firstLine="420" w:firstLineChars="200"/>
        <w:rPr>
          <w:rFonts w:hint="eastAsia" w:ascii="宋体" w:hAnsi="宋体" w:eastAsia="宋体" w:cs="宋体"/>
          <w:sz w:val="21"/>
          <w:szCs w:val="21"/>
        </w:rPr>
      </w:pPr>
      <w:r>
        <w:rPr>
          <w:rFonts w:hint="eastAsia" w:ascii="宋体" w:hAnsi="宋体" w:cs="宋体"/>
          <w:sz w:val="21"/>
          <w:szCs w:val="21"/>
        </w:rPr>
        <w:t>6.合同履行期限（交货期）：详见招标文件。</w:t>
      </w:r>
    </w:p>
    <w:p w14:paraId="2430650D">
      <w:pPr>
        <w:ind w:firstLine="420" w:firstLineChars="200"/>
      </w:pPr>
      <w:r>
        <w:rPr>
          <w:rFonts w:hint="eastAsia" w:ascii="宋体" w:hAnsi="宋体" w:cs="宋体"/>
          <w:sz w:val="21"/>
          <w:szCs w:val="21"/>
        </w:rPr>
        <w:t>7.本项目（是/否）接受联合体投标：详见</w:t>
      </w:r>
      <w:r>
        <w:rPr>
          <w:rFonts w:hint="eastAsia" w:cs="宋体"/>
          <w:sz w:val="21"/>
          <w:szCs w:val="21"/>
        </w:rPr>
        <w:t>申请人的资格要求</w:t>
      </w:r>
      <w:r>
        <w:rPr>
          <w:rFonts w:hint="eastAsia" w:ascii="宋体" w:hAnsi="宋体" w:cs="宋体"/>
          <w:sz w:val="21"/>
          <w:szCs w:val="21"/>
        </w:rPr>
        <w:t>。</w:t>
      </w:r>
    </w:p>
    <w:p w14:paraId="6FA1631C">
      <w:pPr>
        <w:pStyle w:val="4"/>
        <w:spacing w:before="0" w:after="0"/>
        <w:rPr>
          <w:rFonts w:cs="宋体"/>
          <w:sz w:val="21"/>
          <w:szCs w:val="21"/>
        </w:rPr>
      </w:pPr>
      <w:r>
        <w:rPr>
          <w:rFonts w:hint="eastAsia" w:cs="宋体"/>
          <w:sz w:val="21"/>
          <w:szCs w:val="21"/>
        </w:rPr>
        <w:t>三、申请人的资格要求：</w:t>
      </w:r>
    </w:p>
    <w:p w14:paraId="1D641CA4">
      <w:pPr>
        <w:pStyle w:val="23"/>
        <w:spacing w:before="0" w:beforeAutospacing="0" w:after="0" w:afterAutospacing="0"/>
        <w:ind w:firstLine="420" w:firstLineChars="200"/>
        <w:rPr>
          <w:rFonts w:ascii="宋体" w:hAnsi="宋体" w:cs="宋体"/>
          <w:sz w:val="21"/>
          <w:szCs w:val="21"/>
        </w:rPr>
      </w:pPr>
      <w:r>
        <w:rPr>
          <w:rFonts w:hint="eastAsia" w:ascii="宋体" w:hAnsi="宋体" w:cs="宋体"/>
          <w:sz w:val="21"/>
          <w:szCs w:val="21"/>
        </w:rPr>
        <w:t>1.满足《中华人民共和国政府采购法》第二十二条规定（由供应商在《政府采购投标及履约承诺函》中作出声明）。</w:t>
      </w:r>
    </w:p>
    <w:p w14:paraId="24AB6F9C">
      <w:pPr>
        <w:pStyle w:val="23"/>
        <w:spacing w:before="0" w:beforeAutospacing="0" w:after="0" w:afterAutospacing="0"/>
        <w:ind w:firstLine="420" w:firstLineChars="200"/>
        <w:rPr>
          <w:rFonts w:ascii="宋体" w:hAnsi="宋体" w:cs="宋体"/>
          <w:sz w:val="21"/>
          <w:szCs w:val="21"/>
        </w:rPr>
      </w:pPr>
      <w:r>
        <w:rPr>
          <w:rFonts w:hint="eastAsia" w:ascii="宋体" w:hAnsi="宋体" w:cs="宋体"/>
          <w:sz w:val="21"/>
          <w:szCs w:val="21"/>
        </w:rPr>
        <w:t>2.</w:t>
      </w:r>
      <w:r>
        <w:rPr>
          <w:rFonts w:hint="eastAsia" w:ascii="宋体" w:hAnsi="宋体" w:eastAsia="宋体" w:cs="宋体"/>
          <w:color w:val="000000"/>
          <w:sz w:val="21"/>
          <w:szCs w:val="21"/>
        </w:rPr>
        <w:t>在中华人民共和国内注册登记的机构组织，具有独立承担民事责任的能力（提供《营业执照》或机构团体《法人证书》或事务机构《执业许可证》等独立承担民事责任能力的登记证明文件复印件；分支机构投标须提供独立法人单位（如总公司、总校、总院、总所、总会等)出具的愿为其参与本项目投标的行为以及履约等行为承担民事责任的承诺函，且同一家独立法人单位若有两家或两家以上的分支机构，独立法人单位只能授权一家参与投标）。（以上材料须提供扫描件，原件备查）</w:t>
      </w:r>
      <w:r>
        <w:rPr>
          <w:rFonts w:hint="eastAsia" w:ascii="宋体" w:hAnsi="宋体" w:eastAsia="宋体" w:cs="宋体"/>
          <w:sz w:val="21"/>
          <w:szCs w:val="21"/>
        </w:rPr>
        <w:t>。</w:t>
      </w:r>
    </w:p>
    <w:p w14:paraId="5FE577B5">
      <w:pPr>
        <w:ind w:firstLine="420" w:firstLineChars="200"/>
        <w:rPr>
          <w:rFonts w:ascii="宋体" w:hAnsi="宋体" w:cs="宋体"/>
          <w:sz w:val="21"/>
          <w:szCs w:val="21"/>
        </w:rPr>
      </w:pPr>
      <w:r>
        <w:rPr>
          <w:rFonts w:hint="eastAsia" w:ascii="宋体" w:hAnsi="宋体" w:cs="宋体"/>
          <w:sz w:val="21"/>
          <w:szCs w:val="21"/>
        </w:rPr>
        <w:t>3.落实政府采购政策需满足的资格要求：本项目不属于专门面向特定企业（单位）的采购项目</w:t>
      </w:r>
      <w:r>
        <w:rPr>
          <w:rFonts w:hint="eastAsia" w:ascii="宋体" w:eastAsia="宋体" w:cs="宋体"/>
          <w:sz w:val="21"/>
          <w:szCs w:val="21"/>
        </w:rPr>
        <w:t xml:space="preserve">。 </w:t>
      </w:r>
    </w:p>
    <w:p w14:paraId="012E31E6">
      <w:pPr>
        <w:pStyle w:val="23"/>
        <w:spacing w:before="0" w:beforeAutospacing="0" w:after="0" w:afterAutospacing="0"/>
        <w:ind w:firstLine="420" w:firstLineChars="200"/>
        <w:rPr>
          <w:rFonts w:ascii="宋体" w:hAnsi="宋体" w:cs="宋体"/>
          <w:sz w:val="21"/>
          <w:szCs w:val="21"/>
        </w:rPr>
      </w:pPr>
      <w:r>
        <w:rPr>
          <w:rFonts w:hint="eastAsia" w:ascii="宋体" w:hAnsi="宋体" w:cs="宋体"/>
          <w:sz w:val="21"/>
          <w:szCs w:val="21"/>
        </w:rPr>
        <w:t xml:space="preserve">4.参与本项目政府采购活动时不存在被有关部门禁止参与政府采购活动且在有效期内的情况（由供应商在《政府采购投标及履约承诺函》中作出声明）。 </w:t>
      </w:r>
    </w:p>
    <w:p w14:paraId="643D018B">
      <w:pPr>
        <w:pStyle w:val="23"/>
        <w:spacing w:before="0" w:beforeAutospacing="0" w:after="0" w:afterAutospacing="0"/>
        <w:ind w:firstLine="420" w:firstLineChars="200"/>
        <w:rPr>
          <w:rFonts w:ascii="宋体" w:hAnsi="宋体" w:cs="宋体"/>
          <w:sz w:val="21"/>
          <w:szCs w:val="21"/>
        </w:rPr>
      </w:pPr>
      <w:r>
        <w:rPr>
          <w:rFonts w:hint="eastAsia" w:ascii="宋体" w:hAnsi="宋体" w:eastAsia="宋体" w:cs="宋体"/>
          <w:sz w:val="21"/>
          <w:szCs w:val="21"/>
        </w:rPr>
        <w:t>5</w:t>
      </w:r>
      <w:r>
        <w:rPr>
          <w:rFonts w:hint="eastAsia" w:ascii="宋体" w:hAnsi="宋体" w:cs="宋体"/>
          <w:sz w:val="21"/>
          <w:szCs w:val="21"/>
        </w:rPr>
        <w:t>.至开标当日，未有在“信用中国、中国政府采购网、深圳信用网、深圳市政府采购监管网”等网站中被列入“失信被执行人、重大税收违法案件当事人名单（重大税收违法失信主体）、政府采购严重违法失信行为记录名单”（由供应商在《政府采购投标及履约承诺函》中作出声明）。</w:t>
      </w:r>
    </w:p>
    <w:p w14:paraId="13712C28">
      <w:pPr>
        <w:pStyle w:val="23"/>
        <w:spacing w:before="0" w:beforeAutospacing="0" w:after="0" w:afterAutospacing="0"/>
        <w:ind w:firstLine="420" w:firstLineChars="200"/>
        <w:rPr>
          <w:rFonts w:ascii="宋体" w:hAnsi="宋体" w:cs="宋体"/>
          <w:sz w:val="21"/>
          <w:szCs w:val="21"/>
        </w:rPr>
      </w:pPr>
      <w:r>
        <w:rPr>
          <w:rFonts w:hint="eastAsia" w:ascii="宋体" w:hAnsi="宋体" w:eastAsia="宋体" w:cs="宋体"/>
          <w:sz w:val="21"/>
          <w:szCs w:val="21"/>
        </w:rPr>
        <w:t>6</w:t>
      </w:r>
      <w:r>
        <w:rPr>
          <w:rFonts w:hint="eastAsia" w:ascii="宋体" w:hAnsi="宋体" w:cs="宋体"/>
          <w:sz w:val="21"/>
          <w:szCs w:val="21"/>
        </w:rPr>
        <w:t>.参与政府采购项目投标的供应商近三年内无行贿犯罪记录（由供应商在《政府采购投标及履约承诺函》中作出声明）。</w:t>
      </w:r>
    </w:p>
    <w:p w14:paraId="77B7C6BB">
      <w:pPr>
        <w:pStyle w:val="23"/>
        <w:spacing w:before="0" w:beforeAutospacing="0" w:after="0" w:afterAutospacing="0"/>
        <w:ind w:firstLine="420" w:firstLineChars="200"/>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cs="宋体"/>
          <w:sz w:val="21"/>
          <w:szCs w:val="21"/>
        </w:rPr>
        <w:t>.为此项目提供整体设计、规范编制或者项目管理、监理、检测等服务的供应商，不得再参加此项目的其他招标采购活动（由供应商在《政府采购投标及履约承诺函》）中作出声明）。</w:t>
      </w:r>
    </w:p>
    <w:p w14:paraId="604FE9B8">
      <w:pPr>
        <w:pStyle w:val="23"/>
        <w:spacing w:before="0" w:beforeAutospacing="0" w:after="0" w:afterAutospacing="0"/>
        <w:ind w:firstLine="420" w:firstLineChars="200"/>
        <w:rPr>
          <w:rFonts w:ascii="宋体" w:hAnsi="宋体" w:cs="宋体"/>
          <w:sz w:val="21"/>
          <w:szCs w:val="21"/>
        </w:rPr>
      </w:pPr>
      <w:r>
        <w:rPr>
          <w:rFonts w:hint="eastAsia" w:ascii="宋体" w:hAnsi="宋体" w:eastAsia="宋体" w:cs="宋体"/>
          <w:sz w:val="21"/>
          <w:szCs w:val="21"/>
        </w:rPr>
        <w:t>8</w:t>
      </w:r>
      <w:r>
        <w:rPr>
          <w:rFonts w:hint="eastAsia" w:ascii="宋体" w:hAnsi="宋体" w:cs="宋体"/>
          <w:sz w:val="21"/>
          <w:szCs w:val="21"/>
        </w:rPr>
        <w:t>.不存在《深圳市财政局政府采购供应商信用信息管理办法》(深财规〔2023〕3号）列明的严重违法失信行为（由供应商在《政府采购投标及履约承诺函》）中作出声明）</w:t>
      </w:r>
      <w:r>
        <w:rPr>
          <w:rFonts w:hint="eastAsia" w:ascii="宋体" w:hAnsi="宋体" w:eastAsia="宋体" w:cs="宋体"/>
          <w:sz w:val="21"/>
          <w:szCs w:val="21"/>
        </w:rPr>
        <w:t>。</w:t>
      </w:r>
    </w:p>
    <w:p w14:paraId="74C6265C">
      <w:pPr>
        <w:pStyle w:val="23"/>
        <w:spacing w:before="0" w:beforeAutospacing="0" w:after="0" w:afterAutospacing="0"/>
        <w:ind w:firstLine="478" w:firstLineChars="228"/>
        <w:rPr>
          <w:rFonts w:ascii="宋体" w:hAnsi="宋体" w:cs="宋体"/>
          <w:sz w:val="21"/>
          <w:szCs w:val="21"/>
        </w:rPr>
      </w:pPr>
      <w:r>
        <w:rPr>
          <w:rFonts w:hint="eastAsia" w:ascii="宋体" w:eastAsia="宋体" w:cs="宋体"/>
          <w:sz w:val="21"/>
          <w:szCs w:val="21"/>
        </w:rPr>
        <w:t>9.</w:t>
      </w:r>
      <w:r>
        <w:rPr>
          <w:rFonts w:hint="eastAsia" w:ascii="宋体" w:hAnsi="宋体" w:cs="宋体"/>
          <w:sz w:val="21"/>
          <w:szCs w:val="21"/>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如发现不同投标供应商的相关信息存在上</w:t>
      </w:r>
      <w:r>
        <w:rPr>
          <w:rFonts w:hint="eastAsia" w:ascii="宋体" w:hAnsi="宋体" w:eastAsia="宋体" w:cs="宋体"/>
          <w:sz w:val="21"/>
          <w:szCs w:val="21"/>
        </w:rPr>
        <w:t>述“不得”</w:t>
      </w:r>
      <w:r>
        <w:rPr>
          <w:rFonts w:hint="eastAsia" w:ascii="宋体" w:hAnsi="宋体" w:cs="宋体"/>
          <w:sz w:val="21"/>
          <w:szCs w:val="21"/>
        </w:rPr>
        <w:t>的情形，作投标无效处理）；</w:t>
      </w:r>
    </w:p>
    <w:p w14:paraId="70BA948D">
      <w:pPr>
        <w:pStyle w:val="23"/>
        <w:spacing w:before="0" w:beforeAutospacing="0" w:after="0" w:afterAutospacing="0"/>
        <w:ind w:firstLine="478" w:firstLineChars="228"/>
        <w:rPr>
          <w:rFonts w:ascii="宋体" w:eastAsia="宋体" w:cs="宋体"/>
          <w:sz w:val="21"/>
          <w:szCs w:val="21"/>
        </w:rPr>
      </w:pPr>
      <w:r>
        <w:rPr>
          <w:rFonts w:hint="eastAsia" w:ascii="宋体" w:eastAsia="宋体" w:cs="宋体"/>
          <w:sz w:val="21"/>
          <w:szCs w:val="21"/>
        </w:rPr>
        <w:t>10.本项目是否接受投标人选用进口产品参与投标的要求：详见招标文件“货物需求明细表”。</w:t>
      </w:r>
    </w:p>
    <w:p w14:paraId="40E1CC40">
      <w:pPr>
        <w:pStyle w:val="23"/>
        <w:spacing w:before="0" w:beforeAutospacing="0" w:after="0" w:afterAutospacing="0"/>
        <w:ind w:firstLine="478" w:firstLineChars="228"/>
        <w:rPr>
          <w:rFonts w:ascii="宋体" w:hAnsi="宋体" w:cs="宋体"/>
          <w:sz w:val="21"/>
          <w:szCs w:val="21"/>
        </w:rPr>
      </w:pPr>
      <w:r>
        <w:rPr>
          <w:rFonts w:hint="eastAsia" w:ascii="宋体" w:hAnsi="宋体" w:cs="宋体"/>
          <w:sz w:val="21"/>
          <w:szCs w:val="21"/>
        </w:rPr>
        <w:t>1</w:t>
      </w:r>
      <w:r>
        <w:rPr>
          <w:rFonts w:hint="eastAsia" w:ascii="宋体" w:hAnsi="宋体" w:eastAsia="宋体" w:cs="宋体"/>
          <w:sz w:val="21"/>
          <w:szCs w:val="21"/>
        </w:rPr>
        <w:t>1</w:t>
      </w:r>
      <w:r>
        <w:rPr>
          <w:rFonts w:hint="eastAsia" w:ascii="宋体" w:hAnsi="宋体" w:cs="宋体"/>
          <w:sz w:val="21"/>
          <w:szCs w:val="21"/>
        </w:rPr>
        <w:t>.本项目不接受联合体投标，</w:t>
      </w:r>
      <w:r>
        <w:rPr>
          <w:rFonts w:hint="eastAsia" w:ascii="宋体" w:hAnsi="宋体" w:eastAsia="宋体" w:cs="宋体"/>
          <w:sz w:val="21"/>
          <w:szCs w:val="21"/>
          <w:lang w:val="en-US" w:eastAsia="zh-CN"/>
        </w:rPr>
        <w:t>本项目涉及施工部分允许分包，投标人如不具备工程施工资质的，应委托具备工程施工资质单位进行施工，</w:t>
      </w:r>
      <w:r>
        <w:rPr>
          <w:rFonts w:hint="eastAsia" w:ascii="宋体" w:hAnsi="宋体" w:cs="宋体"/>
          <w:sz w:val="21"/>
          <w:szCs w:val="21"/>
        </w:rPr>
        <w:t>不允许转包。</w:t>
      </w:r>
    </w:p>
    <w:p w14:paraId="2BB82C88">
      <w:pPr>
        <w:pStyle w:val="23"/>
        <w:spacing w:before="0" w:beforeAutospacing="0" w:after="0" w:afterAutospacing="0"/>
        <w:ind w:firstLine="478" w:firstLineChars="228"/>
        <w:rPr>
          <w:rFonts w:hint="eastAsia" w:ascii="宋体" w:hAnsi="宋体" w:eastAsia="宋体" w:cs="宋体"/>
          <w:sz w:val="21"/>
          <w:szCs w:val="21"/>
        </w:rPr>
      </w:pPr>
      <w:r>
        <w:rPr>
          <w:rFonts w:hint="eastAsia" w:ascii="宋体" w:hAnsi="宋体" w:eastAsia="宋体" w:cs="宋体"/>
          <w:sz w:val="21"/>
          <w:szCs w:val="21"/>
        </w:rPr>
        <w:t>12.</w:t>
      </w:r>
      <w:r>
        <w:rPr>
          <w:rFonts w:hint="eastAsia" w:ascii="宋体" w:hAnsi="宋体" w:cs="宋体"/>
          <w:sz w:val="21"/>
          <w:szCs w:val="21"/>
        </w:rPr>
        <w:t>本项目的特定资格要求：</w:t>
      </w:r>
    </w:p>
    <w:p w14:paraId="316583CD">
      <w:pPr>
        <w:pStyle w:val="23"/>
        <w:spacing w:before="0" w:beforeAutospacing="0" w:after="0" w:afterAutospacing="0"/>
        <w:ind w:firstLine="478" w:firstLineChars="228"/>
        <w:rPr>
          <w:rFonts w:asci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若投标产品为进口产品，则投标人必须是所投产品的制造商或制造商有效授权的合法代理商，并提供设备制造商授权书复印件（投标人是设备制造商的除外）和由设备制造商或授权的中国总代理签署的合法有效的保修、维修承诺函扫描件；若投标产品为国产产品，则无需提供</w:t>
      </w:r>
      <w:r>
        <w:rPr>
          <w:rFonts w:hint="eastAsia" w:ascii="宋体" w:hAnsi="宋体" w:cs="宋体"/>
          <w:sz w:val="21"/>
          <w:szCs w:val="21"/>
        </w:rPr>
        <w:t>。</w:t>
      </w:r>
    </w:p>
    <w:p w14:paraId="1E7E0D11">
      <w:pPr>
        <w:pStyle w:val="23"/>
        <w:spacing w:before="0" w:beforeAutospacing="0" w:after="0" w:afterAutospacing="0"/>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注：“信用中国”、“中国政府采购网”、“深圳信用网”以及“深圳市政府采购监管网”为供应商信用信息的查询渠道，相关信息以开标当日的查询信息为准。</w:t>
      </w:r>
    </w:p>
    <w:p w14:paraId="64C8047D">
      <w:pPr>
        <w:pStyle w:val="4"/>
        <w:spacing w:before="0" w:after="0"/>
        <w:rPr>
          <w:rFonts w:cs="宋体"/>
          <w:sz w:val="21"/>
          <w:szCs w:val="21"/>
        </w:rPr>
      </w:pPr>
      <w:r>
        <w:rPr>
          <w:rFonts w:hint="eastAsia" w:cs="宋体"/>
          <w:sz w:val="21"/>
          <w:szCs w:val="21"/>
        </w:rPr>
        <w:t>四、获取招标文件：</w:t>
      </w:r>
    </w:p>
    <w:p w14:paraId="68611BE7">
      <w:pPr>
        <w:pStyle w:val="23"/>
        <w:spacing w:before="0" w:beforeAutospacing="0" w:after="0" w:afterAutospacing="0"/>
        <w:ind w:firstLine="420" w:firstLineChars="200"/>
        <w:rPr>
          <w:rFonts w:hint="eastAsia" w:ascii="宋体" w:hAnsi="宋体" w:eastAsia="宋体" w:cs="宋体"/>
          <w:sz w:val="21"/>
          <w:szCs w:val="21"/>
        </w:rPr>
      </w:pPr>
      <w:r>
        <w:rPr>
          <w:rFonts w:hint="eastAsia" w:ascii="宋体" w:hAnsi="宋体" w:eastAsia="宋体" w:cs="宋体"/>
          <w:sz w:val="21"/>
          <w:szCs w:val="21"/>
        </w:rPr>
        <w:t>时间：</w:t>
      </w:r>
      <w:r>
        <w:rPr>
          <w:rFonts w:hint="eastAsia" w:ascii="宋体" w:hAnsi="宋体" w:eastAsia="宋体" w:cs="宋体"/>
          <w:sz w:val="21"/>
          <w:szCs w:val="21"/>
          <w:u w:val="single"/>
        </w:rPr>
        <w:t>自本公告发布之日起至202</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年</w:t>
      </w:r>
      <w:r>
        <w:rPr>
          <w:rFonts w:hint="eastAsia" w:ascii="宋体" w:hAnsi="宋体" w:eastAsia="宋体" w:cs="宋体"/>
          <w:sz w:val="21"/>
          <w:szCs w:val="21"/>
          <w:u w:val="single"/>
          <w:lang w:val="en-US" w:eastAsia="zh-CN"/>
        </w:rPr>
        <w:t>11</w:t>
      </w:r>
      <w:r>
        <w:rPr>
          <w:rFonts w:hint="eastAsia" w:ascii="宋体" w:hAnsi="宋体" w:eastAsia="宋体" w:cs="宋体"/>
          <w:sz w:val="21"/>
          <w:szCs w:val="21"/>
          <w:u w:val="single"/>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日</w:t>
      </w:r>
      <w:r>
        <w:rPr>
          <w:rFonts w:hint="eastAsia" w:ascii="宋体" w:hAnsi="宋体" w:eastAsia="宋体" w:cs="宋体"/>
          <w:sz w:val="21"/>
          <w:szCs w:val="21"/>
          <w:u w:val="single"/>
          <w:lang w:val="en-US" w:eastAsia="zh-CN"/>
        </w:rPr>
        <w:t>09</w:t>
      </w:r>
      <w:r>
        <w:rPr>
          <w:rFonts w:hint="eastAsia" w:ascii="宋体" w:hAnsi="宋体" w:eastAsia="宋体" w:cs="宋体"/>
          <w:sz w:val="21"/>
          <w:szCs w:val="21"/>
          <w:u w:val="single"/>
        </w:rPr>
        <w:t>时</w:t>
      </w:r>
      <w:r>
        <w:rPr>
          <w:rFonts w:hint="eastAsia" w:ascii="宋体" w:hAnsi="宋体" w:eastAsia="宋体" w:cs="宋体"/>
          <w:sz w:val="21"/>
          <w:szCs w:val="21"/>
          <w:u w:val="single"/>
          <w:lang w:val="en-US" w:eastAsia="zh-CN"/>
        </w:rPr>
        <w:t>30</w:t>
      </w:r>
      <w:r>
        <w:rPr>
          <w:rFonts w:hint="eastAsia" w:ascii="宋体" w:hAnsi="宋体" w:eastAsia="宋体" w:cs="宋体"/>
          <w:sz w:val="21"/>
          <w:szCs w:val="21"/>
          <w:u w:val="single"/>
        </w:rPr>
        <w:t>分（具体时间详见“深圳公共资源交易网”招标（采购）公告）</w:t>
      </w:r>
      <w:r>
        <w:rPr>
          <w:rFonts w:hint="eastAsia" w:ascii="宋体" w:hAnsi="宋体" w:eastAsia="宋体" w:cs="宋体"/>
          <w:sz w:val="21"/>
          <w:szCs w:val="21"/>
        </w:rPr>
        <w:t xml:space="preserve">。 </w:t>
      </w:r>
    </w:p>
    <w:p w14:paraId="70786DB8">
      <w:pPr>
        <w:pStyle w:val="23"/>
        <w:spacing w:before="0" w:beforeAutospacing="0" w:after="0" w:afterAutospacing="0"/>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地点：登录深圳政府采购智慧平台（http://zfcg.szggzy.com:8081/）下载本项目招标文件。 </w:t>
      </w:r>
    </w:p>
    <w:p w14:paraId="57160EE6">
      <w:pPr>
        <w:pStyle w:val="23"/>
        <w:tabs>
          <w:tab w:val="center" w:pos="4366"/>
        </w:tabs>
        <w:spacing w:before="0" w:beforeAutospacing="0" w:after="0" w:afterAutospacing="0"/>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方式：在线下载。 </w:t>
      </w:r>
      <w:r>
        <w:rPr>
          <w:rFonts w:hint="eastAsia" w:ascii="宋体" w:hAnsi="宋体" w:eastAsia="宋体" w:cs="宋体"/>
          <w:sz w:val="21"/>
          <w:szCs w:val="21"/>
        </w:rPr>
        <w:tab/>
      </w:r>
    </w:p>
    <w:p w14:paraId="04466C7E">
      <w:pPr>
        <w:pStyle w:val="23"/>
        <w:spacing w:before="0" w:beforeAutospacing="0" w:after="0" w:afterAutospacing="0"/>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售价：免费。    </w:t>
      </w:r>
    </w:p>
    <w:p w14:paraId="1CBCD692">
      <w:pPr>
        <w:ind w:firstLine="420" w:firstLineChars="200"/>
        <w:rPr>
          <w:rFonts w:hint="eastAsia" w:ascii="宋体" w:hAnsi="宋体" w:eastAsia="宋体" w:cs="宋体"/>
          <w:b/>
          <w:bCs/>
          <w:color w:val="000000"/>
          <w:sz w:val="21"/>
          <w:szCs w:val="21"/>
        </w:rPr>
      </w:pPr>
      <w:r>
        <w:rPr>
          <w:rFonts w:hint="eastAsia" w:ascii="宋体" w:hAnsi="宋体" w:eastAsia="宋体" w:cs="宋体"/>
          <w:color w:val="000000"/>
          <w:sz w:val="21"/>
          <w:szCs w:val="21"/>
        </w:rPr>
        <w:t>凡已注册的深圳市网上政府采购供应商，按照授予的操作权限，可于获取招标文件时间内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http://zfcg.szggzy.com:8081/TPBidder/CAHandle），并前往深圳市南山区沙河西路3185号南山智谷A座（深圳交易集团总部大楼）3楼前台（咨询电话：0755-83948165、0755-83938966、4008301330）绑定深圳政府采购智慧平台用户，再进行投标报名。在网上报名后，点击“【我的项目】→【项目流程】→【采购文件下载】”进行招标文件的下载。</w:t>
      </w:r>
    </w:p>
    <w:p w14:paraId="13806CBE">
      <w:pPr>
        <w:pStyle w:val="4"/>
        <w:spacing w:before="0" w:after="0"/>
        <w:rPr>
          <w:rFonts w:cs="宋体"/>
          <w:color w:val="000000"/>
          <w:sz w:val="21"/>
          <w:szCs w:val="21"/>
        </w:rPr>
      </w:pPr>
      <w:r>
        <w:rPr>
          <w:rFonts w:hint="eastAsia" w:cs="宋体"/>
          <w:color w:val="000000"/>
          <w:sz w:val="21"/>
          <w:szCs w:val="21"/>
        </w:rPr>
        <w:t>五、提交投标文件截止时间、开标时间和地点：</w:t>
      </w:r>
    </w:p>
    <w:p w14:paraId="40D8765C">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1.投标截止时间：所有投标文件应于</w:t>
      </w:r>
      <w:r>
        <w:rPr>
          <w:rFonts w:hint="eastAsia" w:ascii="宋体" w:hAnsi="宋体" w:eastAsia="宋体" w:cs="宋体"/>
          <w:color w:val="000000"/>
          <w:sz w:val="21"/>
          <w:szCs w:val="21"/>
          <w:u w:val="single"/>
        </w:rPr>
        <w:t>202</w:t>
      </w:r>
      <w:r>
        <w:rPr>
          <w:rFonts w:hint="eastAsia" w:ascii="宋体" w:hAnsi="宋体" w:eastAsia="宋体" w:cs="宋体"/>
          <w:color w:val="000000"/>
          <w:sz w:val="21"/>
          <w:szCs w:val="21"/>
          <w:u w:val="single"/>
          <w:lang w:val="en-US" w:eastAsia="zh-CN"/>
        </w:rPr>
        <w:t>6</w:t>
      </w:r>
      <w:r>
        <w:rPr>
          <w:rFonts w:hint="eastAsia" w:ascii="宋体" w:hAnsi="宋体" w:eastAsia="宋体" w:cs="宋体"/>
          <w:color w:val="000000"/>
          <w:sz w:val="21"/>
          <w:szCs w:val="21"/>
          <w:u w:val="single"/>
        </w:rPr>
        <w:t>年</w:t>
      </w:r>
      <w:r>
        <w:rPr>
          <w:rFonts w:hint="eastAsia" w:ascii="宋体" w:hAnsi="宋体" w:eastAsia="宋体" w:cs="宋体"/>
          <w:color w:val="000000"/>
          <w:sz w:val="21"/>
          <w:szCs w:val="21"/>
          <w:u w:val="single"/>
          <w:lang w:val="en-US" w:eastAsia="zh-CN"/>
        </w:rPr>
        <w:t>11</w:t>
      </w:r>
      <w:r>
        <w:rPr>
          <w:rFonts w:hint="eastAsia" w:ascii="宋体" w:hAnsi="宋体" w:eastAsia="宋体" w:cs="宋体"/>
          <w:color w:val="000000"/>
          <w:sz w:val="21"/>
          <w:szCs w:val="21"/>
          <w:u w:val="single"/>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日</w:t>
      </w:r>
      <w:r>
        <w:rPr>
          <w:rFonts w:hint="eastAsia" w:ascii="宋体" w:hAnsi="宋体" w:eastAsia="宋体" w:cs="宋体"/>
          <w:color w:val="000000"/>
          <w:sz w:val="21"/>
          <w:szCs w:val="21"/>
          <w:u w:val="single"/>
          <w:lang w:val="en-US" w:eastAsia="zh-CN"/>
        </w:rPr>
        <w:t>09</w:t>
      </w:r>
      <w:r>
        <w:rPr>
          <w:rFonts w:hint="eastAsia" w:ascii="宋体" w:hAnsi="宋体" w:eastAsia="宋体" w:cs="宋体"/>
          <w:color w:val="000000"/>
          <w:sz w:val="21"/>
          <w:szCs w:val="21"/>
          <w:u w:val="single"/>
        </w:rPr>
        <w:t>时</w:t>
      </w:r>
      <w:r>
        <w:rPr>
          <w:rFonts w:hint="eastAsia" w:ascii="宋体" w:hAnsi="宋体" w:eastAsia="宋体" w:cs="宋体"/>
          <w:color w:val="000000"/>
          <w:sz w:val="21"/>
          <w:szCs w:val="21"/>
          <w:u w:val="single"/>
          <w:lang w:val="en-US" w:eastAsia="zh-CN"/>
        </w:rPr>
        <w:t>30</w:t>
      </w:r>
      <w:r>
        <w:rPr>
          <w:rFonts w:hint="eastAsia" w:ascii="宋体" w:hAnsi="宋体" w:eastAsia="宋体" w:cs="宋体"/>
          <w:color w:val="000000"/>
          <w:sz w:val="21"/>
          <w:szCs w:val="21"/>
          <w:u w:val="single"/>
        </w:rPr>
        <w:t>分（具体时间详见“深圳公共资源交易网”招标（采购）公告）</w:t>
      </w:r>
      <w:r>
        <w:rPr>
          <w:rFonts w:hint="eastAsia" w:ascii="宋体" w:hAnsi="宋体" w:eastAsia="宋体" w:cs="宋体"/>
          <w:color w:val="000000"/>
          <w:sz w:val="21"/>
          <w:szCs w:val="21"/>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14:paraId="4B41903F">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2.开标时间和地点：定于</w:t>
      </w:r>
      <w:r>
        <w:rPr>
          <w:rFonts w:hint="eastAsia" w:ascii="宋体" w:hAnsi="宋体" w:eastAsia="宋体" w:cs="宋体"/>
          <w:color w:val="000000"/>
          <w:sz w:val="21"/>
          <w:szCs w:val="21"/>
          <w:u w:val="single"/>
        </w:rPr>
        <w:t>202</w:t>
      </w:r>
      <w:r>
        <w:rPr>
          <w:rFonts w:hint="eastAsia" w:ascii="宋体" w:hAnsi="宋体" w:eastAsia="宋体" w:cs="宋体"/>
          <w:color w:val="000000"/>
          <w:sz w:val="21"/>
          <w:szCs w:val="21"/>
          <w:u w:val="single"/>
          <w:lang w:val="en-US" w:eastAsia="zh-CN"/>
        </w:rPr>
        <w:t>6</w:t>
      </w:r>
      <w:r>
        <w:rPr>
          <w:rFonts w:hint="eastAsia" w:ascii="宋体" w:hAnsi="宋体" w:eastAsia="宋体" w:cs="宋体"/>
          <w:color w:val="000000"/>
          <w:sz w:val="21"/>
          <w:szCs w:val="21"/>
          <w:u w:val="single"/>
        </w:rPr>
        <w:t>年</w:t>
      </w:r>
      <w:r>
        <w:rPr>
          <w:rFonts w:hint="eastAsia" w:ascii="宋体" w:hAnsi="宋体" w:eastAsia="宋体" w:cs="宋体"/>
          <w:color w:val="000000"/>
          <w:sz w:val="21"/>
          <w:szCs w:val="21"/>
          <w:u w:val="single"/>
          <w:lang w:val="en-US" w:eastAsia="zh-CN"/>
        </w:rPr>
        <w:t>11</w:t>
      </w:r>
      <w:r>
        <w:rPr>
          <w:rFonts w:hint="eastAsia" w:ascii="宋体" w:hAnsi="宋体" w:eastAsia="宋体" w:cs="宋体"/>
          <w:color w:val="000000"/>
          <w:sz w:val="21"/>
          <w:szCs w:val="21"/>
          <w:u w:val="single"/>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日</w:t>
      </w:r>
      <w:r>
        <w:rPr>
          <w:rFonts w:hint="eastAsia" w:ascii="宋体" w:hAnsi="宋体" w:eastAsia="宋体" w:cs="宋体"/>
          <w:color w:val="000000"/>
          <w:sz w:val="21"/>
          <w:szCs w:val="21"/>
          <w:u w:val="single"/>
          <w:lang w:val="en-US" w:eastAsia="zh-CN"/>
        </w:rPr>
        <w:t>09</w:t>
      </w:r>
      <w:r>
        <w:rPr>
          <w:rFonts w:hint="eastAsia" w:ascii="宋体" w:hAnsi="宋体" w:eastAsia="宋体" w:cs="宋体"/>
          <w:color w:val="000000"/>
          <w:sz w:val="21"/>
          <w:szCs w:val="21"/>
          <w:u w:val="single"/>
        </w:rPr>
        <w:t>时</w:t>
      </w:r>
      <w:r>
        <w:rPr>
          <w:rFonts w:hint="eastAsia" w:ascii="宋体" w:hAnsi="宋体" w:eastAsia="宋体" w:cs="宋体"/>
          <w:color w:val="000000"/>
          <w:sz w:val="21"/>
          <w:szCs w:val="21"/>
          <w:u w:val="single"/>
          <w:lang w:val="en-US" w:eastAsia="zh-CN"/>
        </w:rPr>
        <w:t>30</w:t>
      </w:r>
      <w:r>
        <w:rPr>
          <w:rFonts w:hint="eastAsia" w:ascii="宋体" w:hAnsi="宋体" w:eastAsia="宋体" w:cs="宋体"/>
          <w:color w:val="000000"/>
          <w:sz w:val="21"/>
          <w:szCs w:val="21"/>
          <w:u w:val="single"/>
        </w:rPr>
        <w:t>分（具体时间详见“深圳公共资源交易网”招标（采购）公告）</w:t>
      </w:r>
      <w:r>
        <w:rPr>
          <w:rFonts w:hint="eastAsia" w:ascii="宋体" w:hAnsi="宋体" w:eastAsia="宋体" w:cs="宋体"/>
          <w:color w:val="000000"/>
          <w:sz w:val="21"/>
          <w:szCs w:val="21"/>
        </w:rPr>
        <w:t>，在中国远东国际招标有限公司（深圳市福田区上步南路1001号锦峰大厦2</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楼）公开开标。供应商可以登录“深圳政府采购智慧平台用户网上办事子系统（http://zfcg.szggzy.com:8081/TPBidder/memberLogin）”，在“【我的项目】→【项目流程】→【开标及解密】”进行在线解密、查询开标情况。</w:t>
      </w:r>
    </w:p>
    <w:p w14:paraId="2D479F26">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3.在线解密：</w:t>
      </w:r>
      <w:r>
        <w:rPr>
          <w:rFonts w:hint="eastAsia" w:ascii="宋体" w:hAnsi="宋体" w:eastAsia="宋体" w:cs="宋体"/>
          <w:b/>
          <w:bCs/>
          <w:color w:val="000000"/>
          <w:sz w:val="21"/>
          <w:szCs w:val="21"/>
        </w:rPr>
        <w:t>投标人须在</w:t>
      </w:r>
      <w:r>
        <w:rPr>
          <w:rFonts w:hint="eastAsia" w:ascii="宋体" w:hAnsi="宋体" w:eastAsia="宋体" w:cs="宋体"/>
          <w:color w:val="000000"/>
          <w:sz w:val="21"/>
          <w:szCs w:val="21"/>
          <w:u w:val="single"/>
        </w:rPr>
        <w:t>202</w:t>
      </w:r>
      <w:r>
        <w:rPr>
          <w:rFonts w:hint="eastAsia" w:ascii="宋体" w:hAnsi="宋体" w:eastAsia="宋体" w:cs="宋体"/>
          <w:color w:val="000000"/>
          <w:sz w:val="21"/>
          <w:szCs w:val="21"/>
          <w:u w:val="single"/>
          <w:lang w:val="en-US" w:eastAsia="zh-CN"/>
        </w:rPr>
        <w:t>6</w:t>
      </w:r>
      <w:r>
        <w:rPr>
          <w:rFonts w:hint="eastAsia" w:ascii="宋体" w:hAnsi="宋体" w:eastAsia="宋体" w:cs="宋体"/>
          <w:color w:val="000000"/>
          <w:sz w:val="21"/>
          <w:szCs w:val="21"/>
          <w:u w:val="single"/>
        </w:rPr>
        <w:t>年</w:t>
      </w:r>
      <w:r>
        <w:rPr>
          <w:rFonts w:hint="eastAsia" w:ascii="宋体" w:hAnsi="宋体" w:eastAsia="宋体" w:cs="宋体"/>
          <w:color w:val="000000"/>
          <w:sz w:val="21"/>
          <w:szCs w:val="21"/>
          <w:u w:val="single"/>
          <w:lang w:val="en-US" w:eastAsia="zh-CN"/>
        </w:rPr>
        <w:t>11</w:t>
      </w:r>
      <w:r>
        <w:rPr>
          <w:rFonts w:hint="eastAsia" w:ascii="宋体" w:hAnsi="宋体" w:eastAsia="宋体" w:cs="宋体"/>
          <w:color w:val="000000"/>
          <w:sz w:val="21"/>
          <w:szCs w:val="21"/>
          <w:u w:val="single"/>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日</w:t>
      </w:r>
      <w:r>
        <w:rPr>
          <w:rFonts w:hint="eastAsia" w:ascii="宋体" w:hAnsi="宋体" w:eastAsia="宋体" w:cs="宋体"/>
          <w:color w:val="000000"/>
          <w:sz w:val="21"/>
          <w:szCs w:val="21"/>
          <w:u w:val="single"/>
          <w:lang w:val="en-US" w:eastAsia="zh-CN"/>
        </w:rPr>
        <w:t>09</w:t>
      </w:r>
      <w:r>
        <w:rPr>
          <w:rFonts w:hint="eastAsia" w:ascii="宋体" w:hAnsi="宋体" w:eastAsia="宋体" w:cs="宋体"/>
          <w:color w:val="000000"/>
          <w:sz w:val="21"/>
          <w:szCs w:val="21"/>
          <w:u w:val="single"/>
        </w:rPr>
        <w:t>时</w:t>
      </w:r>
      <w:r>
        <w:rPr>
          <w:rFonts w:hint="eastAsia" w:ascii="宋体" w:hAnsi="宋体" w:eastAsia="宋体" w:cs="宋体"/>
          <w:color w:val="000000"/>
          <w:sz w:val="21"/>
          <w:szCs w:val="21"/>
          <w:u w:val="single"/>
          <w:lang w:val="en-US" w:eastAsia="zh-CN"/>
        </w:rPr>
        <w:t>30</w:t>
      </w:r>
      <w:r>
        <w:rPr>
          <w:rFonts w:hint="eastAsia" w:ascii="宋体" w:hAnsi="宋体" w:eastAsia="宋体" w:cs="宋体"/>
          <w:color w:val="000000"/>
          <w:sz w:val="21"/>
          <w:szCs w:val="21"/>
          <w:u w:val="single"/>
        </w:rPr>
        <w:t>分-</w:t>
      </w:r>
      <w:r>
        <w:rPr>
          <w:rFonts w:hint="eastAsia" w:ascii="宋体" w:hAnsi="宋体" w:eastAsia="宋体" w:cs="宋体"/>
          <w:color w:val="000000"/>
          <w:sz w:val="21"/>
          <w:szCs w:val="21"/>
          <w:u w:val="single"/>
          <w:lang w:val="en-US" w:eastAsia="zh-CN"/>
        </w:rPr>
        <w:t>10</w:t>
      </w:r>
      <w:r>
        <w:rPr>
          <w:rFonts w:hint="eastAsia" w:ascii="宋体" w:hAnsi="宋体" w:eastAsia="宋体" w:cs="宋体"/>
          <w:color w:val="000000"/>
          <w:sz w:val="21"/>
          <w:szCs w:val="21"/>
          <w:u w:val="single"/>
        </w:rPr>
        <w:t>时</w:t>
      </w:r>
      <w:r>
        <w:rPr>
          <w:rFonts w:hint="eastAsia" w:ascii="宋体" w:hAnsi="宋体" w:eastAsia="宋体" w:cs="宋体"/>
          <w:color w:val="000000"/>
          <w:sz w:val="21"/>
          <w:szCs w:val="21"/>
          <w:u w:val="single"/>
          <w:lang w:val="en-US" w:eastAsia="zh-CN"/>
        </w:rPr>
        <w:t>00</w:t>
      </w:r>
      <w:r>
        <w:rPr>
          <w:rFonts w:hint="eastAsia" w:ascii="宋体" w:hAnsi="宋体" w:eastAsia="宋体" w:cs="宋体"/>
          <w:color w:val="000000"/>
          <w:sz w:val="21"/>
          <w:szCs w:val="21"/>
          <w:u w:val="single"/>
        </w:rPr>
        <w:t>分（具体时间详见“深圳公共资源交易网”招标（采购）公告）</w:t>
      </w:r>
      <w:r>
        <w:rPr>
          <w:rFonts w:hint="eastAsia" w:ascii="宋体" w:hAnsi="宋体" w:eastAsia="宋体" w:cs="宋体"/>
          <w:b/>
          <w:bCs/>
          <w:color w:val="000000"/>
          <w:sz w:val="21"/>
          <w:szCs w:val="21"/>
        </w:rPr>
        <w:t>期间进行解密，逾期未解密的作无效处理</w:t>
      </w:r>
      <w:r>
        <w:rPr>
          <w:rFonts w:hint="eastAsia" w:ascii="宋体" w:hAnsi="宋体" w:eastAsia="宋体" w:cs="宋体"/>
          <w:color w:val="000000"/>
          <w:sz w:val="21"/>
          <w:szCs w:val="21"/>
        </w:rPr>
        <w:t xml:space="preserve">。解密方法：登录“深圳政府采购智慧平台用户网上办事子系统（http://zfcg.szggzy.com:8081/TPBidder/memberLogin）”，使用本单位制作电子投标文件同一个电子密钥，在“【我的项目】→【项目流程】→【开标及解密】”进行在线解密、查询开标情况。    </w:t>
      </w:r>
    </w:p>
    <w:p w14:paraId="2FB13B9D">
      <w:pPr>
        <w:pStyle w:val="4"/>
        <w:spacing w:before="0" w:after="0"/>
        <w:rPr>
          <w:rFonts w:cs="宋体"/>
          <w:color w:val="000000"/>
          <w:sz w:val="21"/>
          <w:szCs w:val="21"/>
        </w:rPr>
      </w:pPr>
      <w:r>
        <w:rPr>
          <w:rFonts w:hint="eastAsia" w:cs="宋体"/>
          <w:color w:val="000000"/>
          <w:sz w:val="21"/>
          <w:szCs w:val="21"/>
        </w:rPr>
        <w:t xml:space="preserve">六、公告期限： </w:t>
      </w:r>
    </w:p>
    <w:p w14:paraId="3D48C276">
      <w:pPr>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自本公告发布之日起5个工作日。</w:t>
      </w:r>
    </w:p>
    <w:p w14:paraId="2B590D33">
      <w:pPr>
        <w:pStyle w:val="4"/>
        <w:spacing w:before="0" w:after="0"/>
        <w:rPr>
          <w:rFonts w:cs="宋体"/>
          <w:color w:val="000000"/>
          <w:sz w:val="21"/>
          <w:szCs w:val="21"/>
        </w:rPr>
      </w:pPr>
      <w:r>
        <w:rPr>
          <w:rFonts w:hint="eastAsia" w:cs="宋体"/>
          <w:color w:val="000000"/>
          <w:sz w:val="21"/>
          <w:szCs w:val="21"/>
        </w:rPr>
        <w:t>七、其他补充事宜：</w:t>
      </w:r>
    </w:p>
    <w:p w14:paraId="125C1953">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1.本项目实行网上投标，采用电子投标文件。  </w:t>
      </w:r>
    </w:p>
    <w:p w14:paraId="724436AD">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投标报名操作：投标人如确定参加本项目投标，首先要在深圳公共资源交易中心（深圳政府采购智慧平台）网上报名投标，方法为登录“深圳政府采购智慧平台用户网上办事子系统（http://zfcg.szggzy.com:8081/TPBidder/memberLogin）”→点击【招标公告】→选中要报名的项目→点击“【我要报名（或“待办→邀请提醒”）】”；如果网上报名后上传了投标文件，又不参加投标，应再到【我的项目】→【项目流程】→【递交投标(应答)文件】功能点中进行“【撤回本次投标】”操作；如果是未注册为深圳政府采购的供应商，请访问深圳公共资源交易中心（https://www.szggzy.com/jyfw/list.html?id=jyfwzfcg）,先办理注册手续（注册咨询：0755-83938966，电子密钥办理咨询：0755-83948165），再进行投标报名。在网上报名后，点击“我的项目→项目流程”中进行招标文件的下载。</w:t>
      </w:r>
    </w:p>
    <w:p w14:paraId="3DF28D86">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投标操作：具体操作为登录“深圳政府采购智慧平台用户网上办事子系统（http://zfcg.szggzy.com:8081/TPBidder/memberLogin）”，用“我的项目→项目流程→递交投标(应答)文件→上传投标文件”功能点上传投标文件。本项目电子投标文件最大容量为100MB，超过此容量的文件将被拒绝。</w:t>
      </w:r>
    </w:p>
    <w:p w14:paraId="1D2C1F21">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4.开标操作：投标人可以登录“深圳政府采购智慧平台用户网上办事子系统（http://zfcg.szggzy.com:8081/TPBidder/memberLogin）”，在系统登录首页面即可查看开标情况。</w:t>
      </w:r>
    </w:p>
    <w:p w14:paraId="40B2F979">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5.采购文件澄清/修改事项：</w:t>
      </w:r>
      <w:r>
        <w:rPr>
          <w:rFonts w:hint="eastAsia" w:ascii="宋体" w:hAnsi="宋体" w:eastAsia="宋体" w:cs="宋体"/>
          <w:color w:val="000000"/>
          <w:sz w:val="21"/>
          <w:szCs w:val="21"/>
          <w:u w:val="single"/>
        </w:rPr>
        <w:t>202</w:t>
      </w:r>
      <w:r>
        <w:rPr>
          <w:rFonts w:hint="eastAsia" w:ascii="宋体" w:hAnsi="宋体" w:eastAsia="宋体" w:cs="宋体"/>
          <w:color w:val="000000"/>
          <w:sz w:val="21"/>
          <w:szCs w:val="21"/>
          <w:u w:val="single"/>
          <w:lang w:val="en-US" w:eastAsia="zh-CN"/>
        </w:rPr>
        <w:t>6</w:t>
      </w:r>
      <w:r>
        <w:rPr>
          <w:rFonts w:hint="eastAsia" w:ascii="宋体" w:hAnsi="宋体" w:eastAsia="宋体" w:cs="宋体"/>
          <w:color w:val="000000"/>
          <w:sz w:val="21"/>
          <w:szCs w:val="21"/>
          <w:u w:val="single"/>
        </w:rPr>
        <w:t>年</w:t>
      </w:r>
      <w:r>
        <w:rPr>
          <w:rFonts w:hint="eastAsia" w:ascii="宋体" w:hAnsi="宋体" w:eastAsia="宋体" w:cs="宋体"/>
          <w:color w:val="000000"/>
          <w:sz w:val="21"/>
          <w:szCs w:val="21"/>
          <w:u w:val="single"/>
          <w:lang w:val="en-US" w:eastAsia="zh-CN"/>
        </w:rPr>
        <w:t>11</w:t>
      </w:r>
      <w:r>
        <w:rPr>
          <w:rFonts w:hint="eastAsia" w:ascii="宋体" w:hAnsi="宋体" w:eastAsia="宋体" w:cs="宋体"/>
          <w:color w:val="000000"/>
          <w:sz w:val="21"/>
          <w:szCs w:val="21"/>
          <w:u w:val="single"/>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日</w:t>
      </w:r>
      <w:r>
        <w:rPr>
          <w:rFonts w:hint="eastAsia" w:ascii="宋体" w:hAnsi="宋体" w:eastAsia="宋体" w:cs="宋体"/>
          <w:color w:val="000000"/>
          <w:sz w:val="21"/>
          <w:szCs w:val="21"/>
          <w:u w:val="single"/>
          <w:lang w:val="en-US" w:eastAsia="zh-CN"/>
        </w:rPr>
        <w:t>00</w:t>
      </w:r>
      <w:r>
        <w:rPr>
          <w:rFonts w:hint="eastAsia" w:ascii="宋体" w:hAnsi="宋体" w:eastAsia="宋体" w:cs="宋体"/>
          <w:color w:val="000000"/>
          <w:sz w:val="21"/>
          <w:szCs w:val="21"/>
          <w:u w:val="single"/>
        </w:rPr>
        <w:t>时</w:t>
      </w:r>
      <w:r>
        <w:rPr>
          <w:rFonts w:hint="eastAsia" w:ascii="宋体" w:hAnsi="宋体" w:eastAsia="宋体" w:cs="宋体"/>
          <w:color w:val="000000"/>
          <w:sz w:val="21"/>
          <w:szCs w:val="21"/>
          <w:u w:val="single"/>
          <w:lang w:val="en-US" w:eastAsia="zh-CN"/>
        </w:rPr>
        <w:t>00</w:t>
      </w:r>
      <w:r>
        <w:rPr>
          <w:rFonts w:hint="eastAsia" w:ascii="宋体" w:hAnsi="宋体" w:eastAsia="宋体" w:cs="宋体"/>
          <w:color w:val="000000"/>
          <w:sz w:val="21"/>
          <w:szCs w:val="21"/>
          <w:u w:val="single"/>
        </w:rPr>
        <w:t>分（具体时间详见“深圳公共资源交易网”招标（采购）公告）</w:t>
      </w:r>
      <w:r>
        <w:rPr>
          <w:rFonts w:hint="eastAsia" w:ascii="宋体" w:hAnsi="宋体" w:eastAsia="宋体" w:cs="宋体"/>
          <w:color w:val="000000"/>
          <w:sz w:val="21"/>
          <w:szCs w:val="21"/>
        </w:rPr>
        <w:t>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000000"/>
          <w:sz w:val="21"/>
          <w:szCs w:val="21"/>
          <w:u w:val="single"/>
        </w:rPr>
        <w:t>202</w:t>
      </w:r>
      <w:r>
        <w:rPr>
          <w:rFonts w:hint="eastAsia" w:ascii="宋体" w:hAnsi="宋体" w:eastAsia="宋体" w:cs="宋体"/>
          <w:color w:val="000000"/>
          <w:sz w:val="21"/>
          <w:szCs w:val="21"/>
          <w:u w:val="single"/>
          <w:lang w:val="en-US" w:eastAsia="zh-CN"/>
        </w:rPr>
        <w:t>6</w:t>
      </w:r>
      <w:r>
        <w:rPr>
          <w:rFonts w:hint="eastAsia" w:ascii="宋体" w:hAnsi="宋体" w:eastAsia="宋体" w:cs="宋体"/>
          <w:color w:val="000000"/>
          <w:sz w:val="21"/>
          <w:szCs w:val="21"/>
          <w:u w:val="single"/>
        </w:rPr>
        <w:t>年</w:t>
      </w:r>
      <w:r>
        <w:rPr>
          <w:rFonts w:hint="eastAsia" w:ascii="宋体" w:hAnsi="宋体" w:eastAsia="宋体" w:cs="宋体"/>
          <w:color w:val="000000"/>
          <w:sz w:val="21"/>
          <w:szCs w:val="21"/>
          <w:u w:val="single"/>
          <w:lang w:val="en-US" w:eastAsia="zh-CN"/>
        </w:rPr>
        <w:t>11</w:t>
      </w:r>
      <w:r>
        <w:rPr>
          <w:rFonts w:hint="eastAsia" w:ascii="宋体" w:hAnsi="宋体" w:eastAsia="宋体" w:cs="宋体"/>
          <w:color w:val="000000"/>
          <w:sz w:val="21"/>
          <w:szCs w:val="21"/>
          <w:u w:val="single"/>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日</w:t>
      </w:r>
      <w:r>
        <w:rPr>
          <w:rFonts w:hint="eastAsia" w:ascii="宋体" w:hAnsi="宋体" w:eastAsia="宋体" w:cs="宋体"/>
          <w:color w:val="000000"/>
          <w:sz w:val="21"/>
          <w:szCs w:val="21"/>
          <w:u w:val="single"/>
          <w:lang w:val="en-US" w:eastAsia="zh-CN"/>
        </w:rPr>
        <w:t>00</w:t>
      </w:r>
      <w:r>
        <w:rPr>
          <w:rFonts w:hint="eastAsia" w:ascii="宋体" w:hAnsi="宋体" w:eastAsia="宋体" w:cs="宋体"/>
          <w:color w:val="000000"/>
          <w:sz w:val="21"/>
          <w:szCs w:val="21"/>
          <w:u w:val="single"/>
        </w:rPr>
        <w:t>时</w:t>
      </w:r>
      <w:r>
        <w:rPr>
          <w:rFonts w:hint="eastAsia" w:ascii="宋体" w:hAnsi="宋体" w:eastAsia="宋体" w:cs="宋体"/>
          <w:color w:val="000000"/>
          <w:sz w:val="21"/>
          <w:szCs w:val="21"/>
          <w:u w:val="single"/>
          <w:lang w:val="en-US" w:eastAsia="zh-CN"/>
        </w:rPr>
        <w:t>00</w:t>
      </w:r>
      <w:r>
        <w:rPr>
          <w:rFonts w:hint="eastAsia" w:ascii="宋体" w:hAnsi="宋体" w:eastAsia="宋体" w:cs="宋体"/>
          <w:color w:val="000000"/>
          <w:sz w:val="21"/>
          <w:szCs w:val="21"/>
          <w:u w:val="single"/>
        </w:rPr>
        <w:t>分（具体时间详见“深圳公共资源交易网”招标（采购）公告）</w:t>
      </w:r>
      <w:r>
        <w:rPr>
          <w:rFonts w:hint="eastAsia" w:ascii="宋体" w:hAnsi="宋体" w:eastAsia="宋体" w:cs="宋体"/>
          <w:color w:val="000000"/>
          <w:sz w:val="21"/>
          <w:szCs w:val="21"/>
        </w:rPr>
        <w:t xml:space="preserve">前将采购文件澄清/修改情况在“【我的项目】→【项目流程】→【答疑澄清文件下载】”中公布，望投标人予以关注。 </w:t>
      </w:r>
    </w:p>
    <w:p w14:paraId="2D19718C">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请质疑供应商根据深圳公共资源交易网站（https://www.szggzy.com/globalSearch/details.html?contentId=1211037）所发布的质疑指引、质疑函模板填写质疑函并提交质疑材料。质疑材料可以采用现场或邮寄方式提交，采用邮寄方式提交的，交邮时间应在本公告发布之日起七个工作日内。现场提交、邮寄地址：深圳市福田区上步南路1001号锦峰大厦24楼。根据《深圳经济特区政府采购条例》第四十二条“供应商投诉的事项应当是经过质疑的事项”的规定，未经正式质疑的，将影响供应商行使向财政部门提起投诉的权利。） </w:t>
      </w:r>
    </w:p>
    <w:p w14:paraId="4425D27D">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国远东国际招标有限公司有权对中标供应商就本项目要求提供的相关证明资料（原件）进行审查。供应商提供虚假资料被查实的，则可能面临被取消本项目中标资格、列入不良行为记录名单和三年内禁止参与深圳市政府采购活动的风险。 </w:t>
      </w:r>
    </w:p>
    <w:p w14:paraId="7A08DBF3">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本招标公告及本项目招标文件所涉及的时间一律为北京时间。投标人有义务在招标活动期间浏览深圳公共资源交易网站（http://www.szggzy.com），在深圳公共资源交易网站（http://www.szggzy.com）上公布的与本次招标项目有关的信息视为已送达各投标人。 </w:t>
      </w:r>
    </w:p>
    <w:p w14:paraId="40EAF19D">
      <w:pPr>
        <w:pStyle w:val="23"/>
        <w:spacing w:before="0" w:beforeAutospacing="0" w:after="0" w:afterAutospacing="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8.本项目不需要投标保证金。 </w:t>
      </w:r>
    </w:p>
    <w:p w14:paraId="1043E316">
      <w:pPr>
        <w:pStyle w:val="4"/>
        <w:spacing w:before="0" w:after="0"/>
        <w:rPr>
          <w:rFonts w:cs="宋体"/>
          <w:sz w:val="21"/>
          <w:szCs w:val="21"/>
        </w:rPr>
      </w:pPr>
      <w:r>
        <w:rPr>
          <w:rFonts w:hint="eastAsia" w:cs="宋体"/>
          <w:sz w:val="21"/>
          <w:szCs w:val="21"/>
        </w:rPr>
        <w:t>八、对本次采购提出询问，请按以下方式联系：</w:t>
      </w:r>
    </w:p>
    <w:p w14:paraId="176B8EAC">
      <w:pPr>
        <w:ind w:left="480" w:leftChars="200"/>
        <w:rPr>
          <w:rFonts w:hint="eastAsia" w:ascii="宋体" w:hAnsi="宋体" w:eastAsia="宋体" w:cs="宋体"/>
          <w:sz w:val="21"/>
          <w:szCs w:val="21"/>
        </w:rPr>
      </w:pPr>
      <w:r>
        <w:rPr>
          <w:rFonts w:hint="eastAsia" w:ascii="宋体" w:hAnsi="宋体" w:eastAsia="宋体" w:cs="宋体"/>
          <w:sz w:val="21"/>
          <w:szCs w:val="21"/>
        </w:rPr>
        <w:t xml:space="preserve">1.采购人信息  </w:t>
      </w:r>
    </w:p>
    <w:p w14:paraId="144D217F">
      <w:pPr>
        <w:ind w:left="480" w:leftChars="200"/>
        <w:rPr>
          <w:rFonts w:hint="eastAsia" w:ascii="宋体" w:hAnsi="宋体" w:eastAsia="宋体" w:cs="宋体"/>
          <w:sz w:val="21"/>
          <w:szCs w:val="21"/>
        </w:rPr>
      </w:pPr>
      <w:r>
        <w:rPr>
          <w:rFonts w:hint="eastAsia" w:ascii="宋体" w:hAnsi="宋体" w:eastAsia="宋体" w:cs="宋体"/>
          <w:sz w:val="21"/>
          <w:szCs w:val="21"/>
        </w:rPr>
        <w:t>名称：</w:t>
      </w:r>
      <w:r>
        <w:rPr>
          <w:rFonts w:hint="eastAsia" w:ascii="宋体" w:hAnsi="宋体" w:eastAsia="宋体" w:cs="宋体"/>
          <w:sz w:val="21"/>
          <w:szCs w:val="21"/>
          <w:lang w:eastAsia="zh-CN"/>
        </w:rPr>
        <w:t>中山大学附属第八医院（深圳福田）</w:t>
      </w:r>
      <w:r>
        <w:rPr>
          <w:rFonts w:hint="eastAsia" w:ascii="宋体" w:hAnsi="宋体" w:eastAsia="宋体" w:cs="宋体"/>
          <w:sz w:val="21"/>
          <w:szCs w:val="21"/>
        </w:rPr>
        <w:br w:type="textWrapping"/>
      </w:r>
      <w:r>
        <w:rPr>
          <w:rFonts w:hint="eastAsia" w:ascii="宋体" w:hAnsi="宋体" w:eastAsia="宋体" w:cs="宋体"/>
          <w:sz w:val="21"/>
          <w:szCs w:val="21"/>
        </w:rPr>
        <w:t xml:space="preserve">地址：深圳市福田区深南中路3025号 </w:t>
      </w:r>
    </w:p>
    <w:p w14:paraId="6E0AC3C6">
      <w:pPr>
        <w:ind w:left="480" w:leftChars="200"/>
        <w:rPr>
          <w:rFonts w:hint="eastAsia" w:ascii="宋体" w:hAnsi="宋体" w:eastAsia="宋体" w:cs="宋体"/>
          <w:sz w:val="21"/>
          <w:szCs w:val="21"/>
          <w:lang w:eastAsia="zh-CN"/>
        </w:rPr>
      </w:pPr>
      <w:r>
        <w:rPr>
          <w:rFonts w:hint="eastAsia" w:ascii="宋体" w:hAnsi="宋体" w:eastAsia="宋体" w:cs="宋体"/>
          <w:sz w:val="21"/>
          <w:szCs w:val="21"/>
        </w:rPr>
        <w:t>联系人：</w:t>
      </w:r>
      <w:r>
        <w:rPr>
          <w:rFonts w:hint="eastAsia" w:ascii="宋体" w:hAnsi="宋体" w:eastAsia="宋体" w:cs="宋体"/>
          <w:sz w:val="21"/>
          <w:szCs w:val="21"/>
          <w:lang w:val="en-US" w:eastAsia="zh-CN"/>
        </w:rPr>
        <w:t xml:space="preserve">杨老师 </w:t>
      </w:r>
    </w:p>
    <w:p w14:paraId="2E057D70">
      <w:pPr>
        <w:ind w:left="480" w:leftChars="200"/>
        <w:rPr>
          <w:rFonts w:hint="eastAsia" w:ascii="宋体" w:hAnsi="宋体" w:eastAsia="宋体" w:cs="宋体"/>
          <w:sz w:val="21"/>
          <w:szCs w:val="21"/>
          <w:lang w:eastAsia="zh-CN"/>
        </w:rPr>
      </w:pPr>
      <w:r>
        <w:rPr>
          <w:rFonts w:hint="eastAsia" w:ascii="宋体" w:hAnsi="宋体" w:eastAsia="宋体" w:cs="宋体"/>
          <w:sz w:val="21"/>
          <w:szCs w:val="21"/>
        </w:rPr>
        <w:t>联系方式：0755-82898683</w:t>
      </w:r>
      <w:r>
        <w:rPr>
          <w:rFonts w:hint="eastAsia" w:ascii="宋体" w:hAnsi="宋体" w:eastAsia="宋体" w:cs="宋体"/>
          <w:sz w:val="21"/>
          <w:szCs w:val="21"/>
          <w:lang w:val="en-US" w:eastAsia="zh-CN"/>
        </w:rPr>
        <w:t xml:space="preserve"> </w:t>
      </w:r>
    </w:p>
    <w:p w14:paraId="23AA0AEE">
      <w:pPr>
        <w:ind w:left="480" w:leftChars="200"/>
        <w:rPr>
          <w:rFonts w:hint="eastAsia" w:ascii="宋体" w:hAnsi="宋体" w:eastAsia="宋体" w:cs="宋体"/>
          <w:sz w:val="21"/>
          <w:szCs w:val="21"/>
        </w:rPr>
      </w:pPr>
      <w:r>
        <w:rPr>
          <w:rFonts w:hint="eastAsia" w:ascii="宋体" w:hAnsi="宋体" w:eastAsia="宋体" w:cs="宋体"/>
          <w:sz w:val="21"/>
          <w:szCs w:val="21"/>
        </w:rPr>
        <w:t xml:space="preserve">2.采购实施机构信息  </w:t>
      </w:r>
    </w:p>
    <w:p w14:paraId="4D720CC0">
      <w:pPr>
        <w:ind w:left="480" w:leftChars="200"/>
        <w:rPr>
          <w:rFonts w:hint="eastAsia" w:ascii="宋体" w:hAnsi="宋体" w:eastAsia="宋体" w:cs="宋体"/>
          <w:sz w:val="21"/>
          <w:szCs w:val="21"/>
        </w:rPr>
      </w:pPr>
      <w:r>
        <w:rPr>
          <w:rFonts w:hint="eastAsia" w:ascii="宋体" w:hAnsi="宋体" w:eastAsia="宋体" w:cs="宋体"/>
          <w:sz w:val="21"/>
          <w:szCs w:val="21"/>
        </w:rPr>
        <w:t xml:space="preserve">名称：中国远东国际招标有限公司  </w:t>
      </w:r>
    </w:p>
    <w:p w14:paraId="2B5FF5BF">
      <w:pPr>
        <w:ind w:left="480" w:leftChars="200"/>
        <w:rPr>
          <w:rFonts w:hint="eastAsia" w:ascii="宋体" w:hAnsi="宋体" w:eastAsia="宋体" w:cs="宋体"/>
          <w:sz w:val="21"/>
          <w:szCs w:val="21"/>
        </w:rPr>
      </w:pPr>
      <w:r>
        <w:rPr>
          <w:rFonts w:hint="eastAsia" w:ascii="宋体" w:hAnsi="宋体" w:eastAsia="宋体" w:cs="宋体"/>
          <w:sz w:val="21"/>
          <w:szCs w:val="21"/>
        </w:rPr>
        <w:t xml:space="preserve">地址：深圳市福田区上步南路锦峰大厦24楼  </w:t>
      </w:r>
    </w:p>
    <w:p w14:paraId="1B636B9E">
      <w:pPr>
        <w:ind w:left="480" w:leftChars="200"/>
        <w:rPr>
          <w:rFonts w:hint="eastAsia" w:ascii="宋体" w:hAnsi="宋体" w:eastAsia="宋体" w:cs="宋体"/>
          <w:sz w:val="21"/>
          <w:szCs w:val="21"/>
        </w:rPr>
      </w:pPr>
      <w:r>
        <w:rPr>
          <w:rFonts w:hint="eastAsia" w:ascii="宋体" w:hAnsi="宋体" w:eastAsia="宋体" w:cs="宋体"/>
          <w:sz w:val="21"/>
          <w:szCs w:val="21"/>
        </w:rPr>
        <w:t xml:space="preserve">联系方式：0755-83004312转103 </w:t>
      </w:r>
    </w:p>
    <w:p w14:paraId="50244DF6">
      <w:pPr>
        <w:ind w:left="480" w:leftChars="200"/>
        <w:rPr>
          <w:rFonts w:hint="eastAsia" w:ascii="宋体" w:hAnsi="宋体" w:eastAsia="宋体" w:cs="宋体"/>
          <w:sz w:val="21"/>
          <w:szCs w:val="21"/>
        </w:rPr>
      </w:pPr>
      <w:r>
        <w:rPr>
          <w:rFonts w:hint="eastAsia" w:ascii="宋体" w:hAnsi="宋体" w:eastAsia="宋体" w:cs="宋体"/>
          <w:sz w:val="21"/>
          <w:szCs w:val="21"/>
        </w:rPr>
        <w:t xml:space="preserve">3.项目联系方式  </w:t>
      </w:r>
    </w:p>
    <w:p w14:paraId="1BCFADBC">
      <w:pPr>
        <w:ind w:left="480" w:leftChars="200"/>
        <w:rPr>
          <w:rFonts w:hint="default" w:ascii="宋体" w:hAnsi="宋体" w:eastAsia="宋体" w:cs="宋体"/>
          <w:sz w:val="21"/>
          <w:szCs w:val="21"/>
          <w:lang w:val="en-US" w:eastAsia="zh-CN"/>
        </w:rPr>
      </w:pPr>
      <w:r>
        <w:rPr>
          <w:rFonts w:hint="eastAsia" w:ascii="宋体" w:hAnsi="宋体" w:eastAsia="宋体" w:cs="宋体"/>
          <w:sz w:val="21"/>
          <w:szCs w:val="21"/>
        </w:rPr>
        <w:t>项目联系人：王展庭、</w:t>
      </w:r>
      <w:r>
        <w:rPr>
          <w:rFonts w:hint="eastAsia" w:ascii="宋体" w:hAnsi="宋体" w:eastAsia="宋体" w:cs="宋体"/>
          <w:sz w:val="21"/>
          <w:szCs w:val="21"/>
          <w:lang w:val="en-US" w:eastAsia="zh-CN"/>
        </w:rPr>
        <w:t>钟博豪</w:t>
      </w:r>
    </w:p>
    <w:p w14:paraId="0948D732">
      <w:pPr>
        <w:ind w:left="480" w:leftChars="200"/>
        <w:rPr>
          <w:rFonts w:hint="eastAsia" w:ascii="宋体" w:hAnsi="宋体" w:eastAsia="宋体" w:cs="宋体"/>
          <w:sz w:val="21"/>
          <w:szCs w:val="21"/>
          <w:lang w:eastAsia="zh-CN"/>
        </w:rPr>
      </w:pPr>
      <w:r>
        <w:rPr>
          <w:rFonts w:hint="eastAsia" w:ascii="宋体" w:hAnsi="宋体" w:eastAsia="宋体" w:cs="宋体"/>
          <w:sz w:val="21"/>
          <w:szCs w:val="21"/>
        </w:rPr>
        <w:t>联系方式：0755-83004312转103、10</w:t>
      </w:r>
      <w:r>
        <w:rPr>
          <w:rFonts w:hint="eastAsia" w:ascii="宋体" w:hAnsi="宋体" w:eastAsia="宋体" w:cs="宋体"/>
          <w:sz w:val="21"/>
          <w:szCs w:val="21"/>
          <w:lang w:val="en-US" w:eastAsia="zh-CN"/>
        </w:rPr>
        <w:t>9</w:t>
      </w:r>
    </w:p>
    <w:p w14:paraId="4A746118">
      <w:pPr>
        <w:ind w:left="480" w:leftChars="200"/>
        <w:rPr>
          <w:rFonts w:hint="eastAsia" w:ascii="宋体" w:hAnsi="宋体" w:eastAsia="宋体" w:cs="宋体"/>
          <w:sz w:val="21"/>
          <w:szCs w:val="21"/>
        </w:rPr>
      </w:pPr>
      <w:r>
        <w:rPr>
          <w:rFonts w:hint="eastAsia" w:ascii="宋体" w:hAnsi="宋体" w:eastAsia="宋体" w:cs="宋体"/>
          <w:sz w:val="21"/>
          <w:szCs w:val="21"/>
        </w:rPr>
        <w:t>邮    箱：</w:t>
      </w:r>
      <w:r>
        <w:fldChar w:fldCharType="begin"/>
      </w:r>
      <w:r>
        <w:instrText xml:space="preserve"> HYPERLINK "mailto:info@zgyd11.com、dept2@zgyd11.com" </w:instrText>
      </w:r>
      <w:r>
        <w:fldChar w:fldCharType="separate"/>
      </w:r>
      <w:r>
        <w:rPr>
          <w:rFonts w:hint="eastAsia" w:ascii="宋体" w:hAnsi="宋体" w:eastAsia="宋体" w:cs="宋体"/>
          <w:sz w:val="21"/>
          <w:szCs w:val="21"/>
        </w:rPr>
        <w:t>dept2@zgyd11.com</w:t>
      </w:r>
      <w:r>
        <w:rPr>
          <w:rFonts w:hint="eastAsia" w:ascii="宋体" w:hAnsi="宋体" w:eastAsia="宋体" w:cs="宋体"/>
          <w:sz w:val="21"/>
          <w:szCs w:val="21"/>
        </w:rPr>
        <w:fldChar w:fldCharType="end"/>
      </w:r>
    </w:p>
    <w:p w14:paraId="6DBDBDF1">
      <w:pPr>
        <w:ind w:left="480" w:leftChars="200"/>
        <w:rPr>
          <w:rFonts w:hint="eastAsia" w:ascii="宋体" w:hAnsi="宋体" w:eastAsia="宋体" w:cs="宋体"/>
          <w:sz w:val="21"/>
          <w:szCs w:val="21"/>
        </w:rPr>
      </w:pPr>
      <w:r>
        <w:rPr>
          <w:rFonts w:hint="eastAsia" w:ascii="宋体" w:hAnsi="宋体" w:eastAsia="宋体" w:cs="宋体"/>
          <w:sz w:val="21"/>
          <w:szCs w:val="21"/>
        </w:rPr>
        <w:t>系统技术支持:0755-36568999转1转1</w:t>
      </w:r>
    </w:p>
    <w:p w14:paraId="232CB9CB">
      <w:pPr>
        <w:jc w:val="right"/>
        <w:rPr>
          <w:rFonts w:hint="eastAsia" w:ascii="宋体" w:hAnsi="宋体" w:eastAsia="宋体" w:cs="宋体"/>
          <w:sz w:val="21"/>
          <w:szCs w:val="21"/>
        </w:rPr>
      </w:pPr>
    </w:p>
    <w:p w14:paraId="05E06250">
      <w:pPr>
        <w:pStyle w:val="7"/>
        <w:ind w:firstLine="392" w:firstLineChars="187"/>
        <w:rPr>
          <w:rFonts w:hint="eastAsia" w:ascii="宋体" w:hAnsi="宋体" w:eastAsia="宋体" w:cs="宋体"/>
          <w:b/>
          <w:bCs/>
          <w:sz w:val="21"/>
          <w:szCs w:val="21"/>
        </w:rPr>
      </w:pPr>
      <w:r>
        <w:rPr>
          <w:rFonts w:hint="eastAsia" w:ascii="宋体" w:hAnsi="宋体" w:eastAsia="宋体" w:cs="宋体"/>
          <w:sz w:val="21"/>
          <w:szCs w:val="21"/>
        </w:rPr>
        <w:t xml:space="preserve">                                                   中国远东国际招标有限公司</w:t>
      </w:r>
    </w:p>
    <w:p w14:paraId="0C284812">
      <w:pPr>
        <w:pStyle w:val="7"/>
        <w:spacing w:before="60" w:beforeLines="25" w:after="60" w:afterLines="25"/>
        <w:ind w:firstLine="448" w:firstLineChars="187"/>
      </w:pPr>
    </w:p>
    <w:p w14:paraId="00618614">
      <w:pPr>
        <w:spacing w:line="312" w:lineRule="auto"/>
        <w:jc w:val="center"/>
        <w:rPr>
          <w:color w:val="000000"/>
        </w:rPr>
      </w:pPr>
      <w:r>
        <w:rPr>
          <w:rFonts w:hint="eastAsia" w:ascii="宋体" w:hAnsi="宋体"/>
          <w:b/>
          <w:bCs/>
          <w:color w:val="FF0000"/>
        </w:rPr>
        <w:t>*备注：各项时间节点</w:t>
      </w:r>
      <w:r>
        <w:rPr>
          <w:rFonts w:hint="eastAsia" w:ascii="宋体" w:hAnsi="宋体" w:eastAsia="宋体"/>
          <w:b/>
          <w:bCs/>
          <w:color w:val="FF0000"/>
        </w:rPr>
        <w:t>和开标地点</w:t>
      </w:r>
      <w:r>
        <w:rPr>
          <w:rFonts w:hint="eastAsia" w:ascii="宋体" w:hAnsi="宋体"/>
          <w:b/>
          <w:bCs/>
          <w:color w:val="FF0000"/>
        </w:rPr>
        <w:t>以“深圳公共资源交易网（https://www.szggzy.com）” 招标（采购）公告的公布信息为准。</w:t>
      </w:r>
    </w:p>
    <w:p w14:paraId="38614ED6">
      <w:pPr>
        <w:pStyle w:val="3"/>
        <w:rPr>
          <w:b/>
          <w:bCs/>
          <w:sz w:val="36"/>
          <w:szCs w:val="36"/>
        </w:rPr>
      </w:pPr>
      <w:r>
        <w:br w:type="page"/>
      </w:r>
      <w:r>
        <w:rPr>
          <w:rFonts w:hint="eastAsia"/>
          <w:b/>
          <w:bCs/>
          <w:sz w:val="36"/>
          <w:szCs w:val="36"/>
        </w:rPr>
        <w:t>第二章 对通用条款的补充内容及其他关键信息</w:t>
      </w:r>
    </w:p>
    <w:p w14:paraId="081A299C">
      <w:pPr>
        <w:pStyle w:val="4"/>
        <w:spacing w:before="0" w:after="48" w:afterLines="20"/>
        <w:jc w:val="center"/>
        <w:rPr>
          <w:szCs w:val="28"/>
        </w:rPr>
      </w:pPr>
      <w:bookmarkStart w:id="17" w:name="_Toc73521635"/>
      <w:bookmarkStart w:id="18" w:name="_Toc60560625"/>
      <w:bookmarkStart w:id="19" w:name="_Toc100052364"/>
      <w:bookmarkStart w:id="20" w:name="_Toc101074876"/>
      <w:bookmarkStart w:id="21" w:name="_Toc73521547"/>
      <w:bookmarkStart w:id="22" w:name="_Toc73517639"/>
      <w:bookmarkStart w:id="23" w:name="_Toc73518117"/>
      <w:bookmarkStart w:id="24" w:name="_Toc60631620"/>
      <w:r>
        <w:rPr>
          <w:szCs w:val="28"/>
        </w:rPr>
        <w:t>一、对通用条款的补充内容</w:t>
      </w:r>
    </w:p>
    <w:bookmarkEnd w:id="17"/>
    <w:bookmarkEnd w:id="18"/>
    <w:bookmarkEnd w:id="19"/>
    <w:bookmarkEnd w:id="20"/>
    <w:bookmarkEnd w:id="21"/>
    <w:bookmarkEnd w:id="22"/>
    <w:bookmarkEnd w:id="23"/>
    <w:bookmarkEnd w:id="24"/>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470"/>
        <w:gridCol w:w="6276"/>
      </w:tblGrid>
      <w:tr w14:paraId="73789D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6EBAFA92">
            <w:pPr>
              <w:jc w:val="center"/>
              <w:rPr>
                <w:rFonts w:hint="eastAsia" w:ascii="宋体" w:hAnsi="宋体" w:eastAsia="宋体" w:cs="宋体"/>
                <w:b/>
                <w:bCs/>
                <w:sz w:val="21"/>
                <w:szCs w:val="21"/>
              </w:rPr>
            </w:pPr>
            <w:r>
              <w:rPr>
                <w:rFonts w:hint="eastAsia" w:ascii="宋体" w:hAnsi="宋体" w:eastAsia="宋体" w:cs="宋体"/>
                <w:b/>
                <w:bCs/>
                <w:sz w:val="21"/>
                <w:szCs w:val="21"/>
              </w:rPr>
              <w:t>通用条款序号</w:t>
            </w:r>
          </w:p>
        </w:tc>
        <w:tc>
          <w:tcPr>
            <w:tcW w:w="1470" w:type="dxa"/>
            <w:vAlign w:val="center"/>
          </w:tcPr>
          <w:p w14:paraId="162B9606">
            <w:pPr>
              <w:jc w:val="center"/>
              <w:rPr>
                <w:rFonts w:hint="eastAsia" w:ascii="宋体" w:hAnsi="宋体" w:eastAsia="宋体" w:cs="宋体"/>
                <w:b/>
                <w:bCs/>
                <w:sz w:val="21"/>
                <w:szCs w:val="21"/>
              </w:rPr>
            </w:pPr>
            <w:r>
              <w:rPr>
                <w:rFonts w:hint="eastAsia" w:ascii="宋体" w:hAnsi="宋体" w:eastAsia="宋体" w:cs="宋体"/>
                <w:b/>
                <w:bCs/>
                <w:sz w:val="21"/>
                <w:szCs w:val="21"/>
              </w:rPr>
              <w:t>涉及事项</w:t>
            </w:r>
          </w:p>
        </w:tc>
        <w:tc>
          <w:tcPr>
            <w:tcW w:w="6276" w:type="dxa"/>
            <w:vAlign w:val="center"/>
          </w:tcPr>
          <w:p w14:paraId="212715B6">
            <w:pPr>
              <w:jc w:val="center"/>
              <w:rPr>
                <w:rFonts w:hint="eastAsia" w:ascii="宋体" w:hAnsi="宋体" w:eastAsia="宋体" w:cs="宋体"/>
                <w:b/>
                <w:bCs/>
                <w:sz w:val="21"/>
                <w:szCs w:val="21"/>
              </w:rPr>
            </w:pPr>
            <w:r>
              <w:rPr>
                <w:rFonts w:hint="eastAsia" w:ascii="宋体" w:hAnsi="宋体" w:eastAsia="宋体" w:cs="宋体"/>
                <w:b/>
                <w:bCs/>
                <w:sz w:val="21"/>
                <w:szCs w:val="21"/>
              </w:rPr>
              <w:t>具体补充内容</w:t>
            </w:r>
          </w:p>
        </w:tc>
      </w:tr>
      <w:tr w14:paraId="1402B9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752E669F">
            <w:pPr>
              <w:jc w:val="center"/>
              <w:rPr>
                <w:rFonts w:hint="eastAsia" w:ascii="宋体" w:hAnsi="宋体" w:eastAsia="宋体" w:cs="宋体"/>
                <w:sz w:val="21"/>
                <w:szCs w:val="21"/>
              </w:rPr>
            </w:pPr>
            <w:r>
              <w:rPr>
                <w:rFonts w:hint="eastAsia" w:ascii="宋体" w:hAnsi="宋体" w:eastAsia="宋体" w:cs="宋体"/>
                <w:sz w:val="21"/>
                <w:szCs w:val="21"/>
              </w:rPr>
              <w:t>9</w:t>
            </w:r>
          </w:p>
        </w:tc>
        <w:tc>
          <w:tcPr>
            <w:tcW w:w="1470" w:type="dxa"/>
            <w:vAlign w:val="center"/>
          </w:tcPr>
          <w:p w14:paraId="1023CCB0">
            <w:pPr>
              <w:jc w:val="center"/>
              <w:rPr>
                <w:rFonts w:hint="eastAsia" w:ascii="宋体" w:hAnsi="宋体" w:eastAsia="宋体" w:cs="宋体"/>
                <w:sz w:val="21"/>
                <w:szCs w:val="21"/>
              </w:rPr>
            </w:pPr>
            <w:r>
              <w:rPr>
                <w:rFonts w:hint="eastAsia" w:ascii="宋体" w:hAnsi="宋体" w:eastAsia="宋体" w:cs="宋体"/>
                <w:sz w:val="21"/>
                <w:szCs w:val="21"/>
              </w:rPr>
              <w:t>踏勘现场</w:t>
            </w:r>
          </w:p>
        </w:tc>
        <w:tc>
          <w:tcPr>
            <w:tcW w:w="6276" w:type="dxa"/>
            <w:vAlign w:val="center"/>
          </w:tcPr>
          <w:p w14:paraId="48703735">
            <w:pPr>
              <w:jc w:val="center"/>
              <w:rPr>
                <w:rFonts w:hint="eastAsia" w:ascii="宋体" w:hAnsi="宋体" w:eastAsia="宋体" w:cs="宋体"/>
                <w:sz w:val="21"/>
                <w:szCs w:val="21"/>
              </w:rPr>
            </w:pPr>
            <w:r>
              <w:rPr>
                <w:rFonts w:hint="eastAsia" w:ascii="宋体" w:hAnsi="宋体" w:eastAsia="宋体" w:cs="宋体"/>
                <w:sz w:val="21"/>
                <w:szCs w:val="21"/>
              </w:rPr>
              <w:t>无</w:t>
            </w:r>
          </w:p>
        </w:tc>
      </w:tr>
      <w:tr w14:paraId="5DA0E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479C0DBB">
            <w:pPr>
              <w:jc w:val="center"/>
              <w:rPr>
                <w:rFonts w:hint="eastAsia" w:ascii="宋体" w:hAnsi="宋体" w:eastAsia="宋体" w:cs="宋体"/>
                <w:sz w:val="21"/>
                <w:szCs w:val="21"/>
              </w:rPr>
            </w:pPr>
            <w:r>
              <w:rPr>
                <w:rFonts w:hint="eastAsia" w:ascii="宋体" w:hAnsi="宋体" w:eastAsia="宋体" w:cs="宋体"/>
                <w:sz w:val="21"/>
                <w:szCs w:val="21"/>
              </w:rPr>
              <w:t>12/13</w:t>
            </w:r>
          </w:p>
        </w:tc>
        <w:tc>
          <w:tcPr>
            <w:tcW w:w="1470" w:type="dxa"/>
            <w:vAlign w:val="center"/>
          </w:tcPr>
          <w:p w14:paraId="48C78DC2">
            <w:pPr>
              <w:jc w:val="center"/>
              <w:rPr>
                <w:rFonts w:hint="eastAsia" w:ascii="宋体" w:hAnsi="宋体" w:eastAsia="宋体" w:cs="宋体"/>
                <w:sz w:val="21"/>
                <w:szCs w:val="21"/>
              </w:rPr>
            </w:pPr>
            <w:r>
              <w:rPr>
                <w:rFonts w:hint="eastAsia" w:ascii="宋体" w:hAnsi="宋体" w:eastAsia="宋体" w:cs="宋体"/>
                <w:sz w:val="21"/>
                <w:szCs w:val="21"/>
              </w:rPr>
              <w:t>招标文件的澄清和修改</w:t>
            </w:r>
          </w:p>
        </w:tc>
        <w:tc>
          <w:tcPr>
            <w:tcW w:w="6276" w:type="dxa"/>
            <w:vAlign w:val="center"/>
          </w:tcPr>
          <w:p w14:paraId="2A96289D">
            <w:pPr>
              <w:rPr>
                <w:rFonts w:hint="eastAsia" w:ascii="宋体" w:hAnsi="宋体" w:eastAsia="宋体" w:cs="宋体"/>
                <w:sz w:val="21"/>
                <w:szCs w:val="21"/>
              </w:rPr>
            </w:pPr>
            <w:r>
              <w:rPr>
                <w:rFonts w:hint="eastAsia" w:ascii="宋体" w:hAnsi="宋体" w:eastAsia="宋体" w:cs="宋体"/>
                <w:sz w:val="21"/>
                <w:szCs w:val="21"/>
              </w:rPr>
              <w:t>不晚于投标截止日三日前（详见招标公告），投标人有义务在招标期间在【</w:t>
            </w:r>
            <w:r>
              <w:rPr>
                <w:rFonts w:hint="eastAsia" w:ascii="宋体" w:hAnsi="宋体" w:eastAsia="宋体" w:cs="宋体"/>
                <w:color w:val="FF0000"/>
                <w:sz w:val="21"/>
                <w:szCs w:val="21"/>
              </w:rPr>
              <w:t>深圳公共资源交易网站（https://www.szggzy.com/）</w:t>
            </w:r>
            <w:r>
              <w:rPr>
                <w:rFonts w:hint="eastAsia" w:ascii="宋体" w:hAnsi="宋体" w:eastAsia="宋体" w:cs="宋体"/>
                <w:sz w:val="21"/>
                <w:szCs w:val="21"/>
              </w:rPr>
              <w:t>】浏览与本项目有关的澄清和修改信息。</w:t>
            </w:r>
          </w:p>
        </w:tc>
      </w:tr>
      <w:tr w14:paraId="6D657C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7FCDD9A8">
            <w:pPr>
              <w:jc w:val="center"/>
              <w:rPr>
                <w:rFonts w:hint="eastAsia" w:ascii="宋体" w:hAnsi="宋体" w:eastAsia="宋体" w:cs="宋体"/>
                <w:sz w:val="21"/>
                <w:szCs w:val="21"/>
              </w:rPr>
            </w:pPr>
            <w:r>
              <w:rPr>
                <w:rFonts w:hint="eastAsia" w:ascii="宋体" w:hAnsi="宋体" w:eastAsia="宋体" w:cs="宋体"/>
                <w:sz w:val="21"/>
                <w:szCs w:val="21"/>
              </w:rPr>
              <w:t>20</w:t>
            </w:r>
          </w:p>
        </w:tc>
        <w:tc>
          <w:tcPr>
            <w:tcW w:w="1470" w:type="dxa"/>
            <w:vAlign w:val="center"/>
          </w:tcPr>
          <w:p w14:paraId="1724071B">
            <w:pPr>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6276" w:type="dxa"/>
            <w:vAlign w:val="center"/>
          </w:tcPr>
          <w:p w14:paraId="5C316110">
            <w:pPr>
              <w:jc w:val="center"/>
              <w:rPr>
                <w:rFonts w:hint="eastAsia" w:ascii="宋体" w:hAnsi="宋体" w:eastAsia="宋体" w:cs="宋体"/>
                <w:sz w:val="21"/>
                <w:szCs w:val="21"/>
              </w:rPr>
            </w:pPr>
            <w:r>
              <w:rPr>
                <w:rFonts w:hint="eastAsia" w:ascii="宋体" w:hAnsi="宋体" w:eastAsia="宋体" w:cs="宋体"/>
                <w:sz w:val="21"/>
                <w:szCs w:val="21"/>
              </w:rPr>
              <w:t>120个日历日</w:t>
            </w:r>
          </w:p>
        </w:tc>
      </w:tr>
      <w:tr w14:paraId="57DF34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697483F3">
            <w:pPr>
              <w:jc w:val="center"/>
              <w:rPr>
                <w:rFonts w:hint="eastAsia" w:ascii="宋体" w:hAnsi="宋体" w:eastAsia="宋体" w:cs="宋体"/>
                <w:sz w:val="21"/>
                <w:szCs w:val="21"/>
              </w:rPr>
            </w:pPr>
            <w:r>
              <w:rPr>
                <w:rFonts w:hint="eastAsia" w:ascii="宋体" w:hAnsi="宋体" w:eastAsia="宋体" w:cs="宋体"/>
                <w:sz w:val="21"/>
                <w:szCs w:val="21"/>
              </w:rPr>
              <w:t>22</w:t>
            </w:r>
          </w:p>
        </w:tc>
        <w:tc>
          <w:tcPr>
            <w:tcW w:w="1470" w:type="dxa"/>
            <w:vAlign w:val="center"/>
          </w:tcPr>
          <w:p w14:paraId="35F6F4BE">
            <w:pPr>
              <w:jc w:val="center"/>
              <w:rPr>
                <w:rFonts w:hint="eastAsia" w:ascii="宋体" w:hAnsi="宋体" w:eastAsia="宋体" w:cs="宋体"/>
                <w:sz w:val="21"/>
                <w:szCs w:val="21"/>
              </w:rPr>
            </w:pPr>
            <w:r>
              <w:rPr>
                <w:rFonts w:hint="eastAsia" w:ascii="宋体" w:hAnsi="宋体" w:eastAsia="宋体" w:cs="宋体"/>
                <w:sz w:val="21"/>
                <w:szCs w:val="21"/>
              </w:rPr>
              <w:t>投标人的替代方案</w:t>
            </w:r>
          </w:p>
        </w:tc>
        <w:tc>
          <w:tcPr>
            <w:tcW w:w="6276" w:type="dxa"/>
            <w:vAlign w:val="center"/>
          </w:tcPr>
          <w:p w14:paraId="5E17F357">
            <w:pPr>
              <w:jc w:val="center"/>
              <w:rPr>
                <w:rFonts w:hint="eastAsia" w:ascii="宋体" w:hAnsi="宋体" w:eastAsia="宋体" w:cs="宋体"/>
                <w:sz w:val="21"/>
                <w:szCs w:val="21"/>
              </w:rPr>
            </w:pPr>
            <w:r>
              <w:rPr>
                <w:rFonts w:hint="eastAsia" w:ascii="宋体" w:hAnsi="宋体" w:eastAsia="宋体" w:cs="宋体"/>
                <w:sz w:val="21"/>
                <w:szCs w:val="21"/>
              </w:rPr>
              <w:t>不接受</w:t>
            </w:r>
          </w:p>
        </w:tc>
      </w:tr>
      <w:tr w14:paraId="2F458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28DC1889">
            <w:pPr>
              <w:jc w:val="center"/>
              <w:rPr>
                <w:rFonts w:hint="eastAsia" w:ascii="宋体" w:hAnsi="宋体" w:eastAsia="宋体" w:cs="宋体"/>
                <w:sz w:val="21"/>
                <w:szCs w:val="21"/>
              </w:rPr>
            </w:pPr>
            <w:r>
              <w:rPr>
                <w:rFonts w:hint="eastAsia" w:ascii="宋体" w:hAnsi="宋体" w:eastAsia="宋体" w:cs="宋体"/>
                <w:sz w:val="21"/>
                <w:szCs w:val="21"/>
              </w:rPr>
              <w:t>26</w:t>
            </w:r>
          </w:p>
        </w:tc>
        <w:tc>
          <w:tcPr>
            <w:tcW w:w="1470" w:type="dxa"/>
            <w:vAlign w:val="center"/>
          </w:tcPr>
          <w:p w14:paraId="1EA5FC64">
            <w:pPr>
              <w:jc w:val="center"/>
              <w:rPr>
                <w:rFonts w:hint="eastAsia" w:ascii="宋体" w:hAnsi="宋体" w:eastAsia="宋体" w:cs="宋体"/>
                <w:sz w:val="21"/>
                <w:szCs w:val="21"/>
              </w:rPr>
            </w:pPr>
            <w:bookmarkStart w:id="25" w:name="_Hlk71664860"/>
            <w:r>
              <w:rPr>
                <w:rFonts w:hint="eastAsia" w:ascii="宋体" w:hAnsi="宋体" w:eastAsia="宋体" w:cs="宋体"/>
                <w:sz w:val="21"/>
                <w:szCs w:val="21"/>
              </w:rPr>
              <w:t>样品、演示、方案讲解</w:t>
            </w:r>
            <w:bookmarkEnd w:id="25"/>
          </w:p>
        </w:tc>
        <w:tc>
          <w:tcPr>
            <w:tcW w:w="6276" w:type="dxa"/>
            <w:vAlign w:val="center"/>
          </w:tcPr>
          <w:p w14:paraId="60D039C7">
            <w:pPr>
              <w:rPr>
                <w:rFonts w:hint="eastAsia" w:ascii="宋体" w:hAnsi="宋体" w:eastAsia="宋体" w:cs="宋体"/>
                <w:sz w:val="21"/>
                <w:szCs w:val="21"/>
              </w:rPr>
            </w:pPr>
            <w:r>
              <w:rPr>
                <w:rFonts w:hint="eastAsia" w:ascii="宋体" w:hAnsi="宋体" w:eastAsia="宋体" w:cs="宋体"/>
                <w:sz w:val="21"/>
                <w:szCs w:val="21"/>
              </w:rPr>
              <w:t>如有样品、演示、方案讲解，具体安排见</w:t>
            </w:r>
            <w:r>
              <w:rPr>
                <w:rFonts w:hint="eastAsia" w:ascii="宋体" w:hAnsi="宋体" w:eastAsia="宋体" w:cs="宋体"/>
                <w:color w:val="FF0000"/>
                <w:sz w:val="21"/>
                <w:szCs w:val="21"/>
              </w:rPr>
              <w:t>第三章 用户需求书相关要求</w:t>
            </w:r>
          </w:p>
        </w:tc>
      </w:tr>
      <w:tr w14:paraId="0F9612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18BF6C92">
            <w:pPr>
              <w:jc w:val="center"/>
              <w:rPr>
                <w:rFonts w:hint="eastAsia" w:ascii="宋体" w:hAnsi="宋体" w:eastAsia="宋体" w:cs="宋体"/>
                <w:sz w:val="21"/>
                <w:szCs w:val="21"/>
              </w:rPr>
            </w:pPr>
            <w:r>
              <w:rPr>
                <w:rFonts w:hint="eastAsia" w:ascii="宋体" w:hAnsi="宋体" w:eastAsia="宋体" w:cs="宋体"/>
                <w:sz w:val="21"/>
                <w:szCs w:val="21"/>
              </w:rPr>
              <w:t>37</w:t>
            </w:r>
          </w:p>
        </w:tc>
        <w:tc>
          <w:tcPr>
            <w:tcW w:w="1470" w:type="dxa"/>
            <w:vAlign w:val="center"/>
          </w:tcPr>
          <w:p w14:paraId="02B4E127">
            <w:pPr>
              <w:jc w:val="center"/>
              <w:rPr>
                <w:rFonts w:hint="eastAsia" w:ascii="宋体" w:hAnsi="宋体" w:eastAsia="宋体" w:cs="宋体"/>
                <w:sz w:val="21"/>
                <w:szCs w:val="21"/>
              </w:rPr>
            </w:pPr>
            <w:r>
              <w:rPr>
                <w:rFonts w:hint="eastAsia" w:ascii="宋体" w:hAnsi="宋体" w:eastAsia="宋体" w:cs="宋体"/>
                <w:sz w:val="21"/>
                <w:szCs w:val="21"/>
              </w:rPr>
              <w:t>评审方法</w:t>
            </w:r>
          </w:p>
        </w:tc>
        <w:tc>
          <w:tcPr>
            <w:tcW w:w="6276" w:type="dxa"/>
            <w:vAlign w:val="center"/>
          </w:tcPr>
          <w:p w14:paraId="702E4CE9">
            <w:pPr>
              <w:rPr>
                <w:rFonts w:hint="eastAsia"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最低价法</w:t>
            </w:r>
          </w:p>
          <w:p w14:paraId="3B498C3F">
            <w:pPr>
              <w:rPr>
                <w:rFonts w:hint="eastAsia" w:ascii="宋体" w:hAnsi="宋体" w:eastAsia="宋体" w:cs="宋体"/>
                <w:sz w:val="21"/>
                <w:szCs w:val="21"/>
              </w:rPr>
            </w:pPr>
            <w:r>
              <w:rPr>
                <w:rFonts w:ascii="Segoe UI Emoji" w:hAnsi="Segoe UI Emoji" w:eastAsia="宋体" w:cs="Segoe UI Emoji"/>
                <w:b/>
                <w:sz w:val="21"/>
                <w:szCs w:val="21"/>
              </w:rPr>
              <w:t>☑</w:t>
            </w:r>
            <w:r>
              <w:rPr>
                <w:rFonts w:hint="eastAsia" w:ascii="宋体" w:hAnsi="宋体" w:eastAsia="宋体" w:cs="宋体"/>
                <w:b/>
                <w:sz w:val="21"/>
                <w:szCs w:val="21"/>
              </w:rPr>
              <w:t xml:space="preserve"> </w:t>
            </w:r>
            <w:r>
              <w:rPr>
                <w:rFonts w:hint="eastAsia" w:ascii="宋体" w:hAnsi="宋体" w:eastAsia="宋体" w:cs="宋体"/>
                <w:sz w:val="21"/>
                <w:szCs w:val="21"/>
              </w:rPr>
              <w:t>综合评分法</w:t>
            </w:r>
          </w:p>
        </w:tc>
      </w:tr>
      <w:tr w14:paraId="14DC13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Merge w:val="restart"/>
            <w:vAlign w:val="center"/>
          </w:tcPr>
          <w:p w14:paraId="0B44E2AE">
            <w:pPr>
              <w:jc w:val="center"/>
              <w:rPr>
                <w:rFonts w:hint="eastAsia" w:ascii="宋体" w:hAnsi="宋体" w:eastAsia="宋体" w:cs="宋体"/>
                <w:sz w:val="21"/>
                <w:szCs w:val="21"/>
              </w:rPr>
            </w:pPr>
            <w:r>
              <w:rPr>
                <w:rFonts w:hint="eastAsia" w:ascii="宋体" w:hAnsi="宋体" w:eastAsia="宋体" w:cs="宋体"/>
                <w:sz w:val="21"/>
                <w:szCs w:val="21"/>
              </w:rPr>
              <w:t>38</w:t>
            </w:r>
          </w:p>
        </w:tc>
        <w:tc>
          <w:tcPr>
            <w:tcW w:w="1470" w:type="dxa"/>
            <w:vMerge w:val="restart"/>
            <w:vAlign w:val="center"/>
          </w:tcPr>
          <w:p w14:paraId="6CB8F0DE">
            <w:pPr>
              <w:jc w:val="center"/>
              <w:rPr>
                <w:rFonts w:hint="eastAsia" w:ascii="宋体" w:hAnsi="宋体" w:eastAsia="宋体" w:cs="宋体"/>
                <w:sz w:val="21"/>
                <w:szCs w:val="21"/>
              </w:rPr>
            </w:pPr>
            <w:r>
              <w:rPr>
                <w:rFonts w:hint="eastAsia" w:ascii="宋体" w:hAnsi="宋体" w:eastAsia="宋体" w:cs="宋体"/>
                <w:sz w:val="21"/>
                <w:szCs w:val="21"/>
              </w:rPr>
              <w:t>定标方法</w:t>
            </w:r>
          </w:p>
        </w:tc>
        <w:tc>
          <w:tcPr>
            <w:tcW w:w="6276" w:type="dxa"/>
            <w:vAlign w:val="center"/>
          </w:tcPr>
          <w:p w14:paraId="0DFD75AE">
            <w:pPr>
              <w:rPr>
                <w:rFonts w:hint="eastAsia" w:ascii="宋体" w:hAnsi="宋体" w:eastAsia="宋体" w:cs="宋体"/>
                <w:sz w:val="21"/>
                <w:szCs w:val="21"/>
              </w:rPr>
            </w:pPr>
            <w:r>
              <w:rPr>
                <w:rFonts w:hint="eastAsia" w:ascii="宋体" w:hAnsi="宋体" w:eastAsia="宋体" w:cs="宋体"/>
                <w:b/>
                <w:sz w:val="21"/>
                <w:szCs w:val="21"/>
              </w:rPr>
              <w:t xml:space="preserve"> □ </w:t>
            </w:r>
            <w:r>
              <w:rPr>
                <w:rFonts w:hint="eastAsia" w:ascii="宋体" w:hAnsi="宋体" w:eastAsia="宋体" w:cs="宋体"/>
                <w:sz w:val="21"/>
                <w:szCs w:val="21"/>
              </w:rPr>
              <w:t>非评定分离</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4371"/>
            </w:tblGrid>
            <w:tr w14:paraId="27ED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4F983F98">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评标方法</w:t>
                  </w:r>
                </w:p>
              </w:tc>
              <w:tc>
                <w:tcPr>
                  <w:tcW w:w="4371" w:type="dxa"/>
                  <w:vAlign w:val="center"/>
                </w:tcPr>
                <w:p w14:paraId="1ECC8A94">
                  <w:pPr>
                    <w:widowControl w:val="0"/>
                    <w:jc w:val="center"/>
                    <w:rPr>
                      <w:rFonts w:hint="eastAsia" w:ascii="宋体" w:hAnsi="宋体" w:eastAsia="宋体" w:cs="宋体"/>
                      <w:sz w:val="21"/>
                      <w:szCs w:val="21"/>
                    </w:rPr>
                  </w:pPr>
                  <w:r>
                    <w:rPr>
                      <w:rFonts w:hint="eastAsia" w:ascii="宋体" w:hAnsi="宋体" w:eastAsia="宋体" w:cs="宋体"/>
                      <w:sz w:val="21"/>
                      <w:szCs w:val="21"/>
                    </w:rPr>
                    <w:t>综合评分法</w:t>
                  </w:r>
                </w:p>
              </w:tc>
            </w:tr>
            <w:tr w14:paraId="4077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4E064C23">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定标方法</w:t>
                  </w:r>
                </w:p>
              </w:tc>
              <w:tc>
                <w:tcPr>
                  <w:tcW w:w="4371" w:type="dxa"/>
                  <w:vAlign w:val="center"/>
                </w:tcPr>
                <w:p w14:paraId="62A3C988">
                  <w:pPr>
                    <w:widowControl w:val="0"/>
                    <w:jc w:val="center"/>
                    <w:rPr>
                      <w:rFonts w:hint="eastAsia" w:ascii="宋体" w:hAnsi="宋体" w:eastAsia="宋体" w:cs="宋体"/>
                      <w:sz w:val="21"/>
                      <w:szCs w:val="21"/>
                    </w:rPr>
                  </w:pPr>
                  <w:r>
                    <w:rPr>
                      <w:rFonts w:hint="eastAsia" w:ascii="宋体" w:hAnsi="宋体" w:eastAsia="宋体" w:cs="宋体"/>
                      <w:sz w:val="21"/>
                      <w:szCs w:val="21"/>
                    </w:rPr>
                    <w:t>采购人在评审报告推荐的候选中标供应商（中标人）中按顺序确定中标供应商（中标人）。</w:t>
                  </w:r>
                </w:p>
              </w:tc>
            </w:tr>
            <w:tr w14:paraId="6E4B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3D9FF7C1">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候选中标供应商（中标人）数量</w:t>
                  </w:r>
                </w:p>
              </w:tc>
              <w:tc>
                <w:tcPr>
                  <w:tcW w:w="4371" w:type="dxa"/>
                  <w:vAlign w:val="center"/>
                </w:tcPr>
                <w:p w14:paraId="3CF06B26">
                  <w:pPr>
                    <w:widowControl w:val="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3</w:t>
                  </w:r>
                </w:p>
              </w:tc>
            </w:tr>
            <w:tr w14:paraId="1440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5DDF9244">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中标供应商（中标人）数量</w:t>
                  </w:r>
                </w:p>
              </w:tc>
              <w:tc>
                <w:tcPr>
                  <w:tcW w:w="4371" w:type="dxa"/>
                  <w:vAlign w:val="center"/>
                </w:tcPr>
                <w:p w14:paraId="64FB3582">
                  <w:pPr>
                    <w:widowControl w:val="0"/>
                    <w:jc w:val="center"/>
                    <w:rPr>
                      <w:rFonts w:hint="eastAsia" w:ascii="宋体" w:hAnsi="宋体" w:eastAsia="宋体" w:cs="宋体"/>
                      <w:sz w:val="21"/>
                      <w:szCs w:val="21"/>
                    </w:rPr>
                  </w:pPr>
                  <w:r>
                    <w:rPr>
                      <w:rFonts w:hint="eastAsia" w:ascii="宋体" w:hAnsi="宋体" w:eastAsia="宋体" w:cs="宋体"/>
                      <w:sz w:val="21"/>
                      <w:szCs w:val="21"/>
                    </w:rPr>
                    <w:t>1</w:t>
                  </w:r>
                </w:p>
              </w:tc>
            </w:tr>
          </w:tbl>
          <w:p w14:paraId="10DD4CE8">
            <w:pPr>
              <w:pStyle w:val="11"/>
              <w:rPr>
                <w:rFonts w:hint="eastAsia" w:ascii="宋体" w:hAnsi="宋体" w:eastAsia="宋体" w:cs="宋体"/>
                <w:sz w:val="21"/>
                <w:szCs w:val="21"/>
              </w:rPr>
            </w:pPr>
          </w:p>
        </w:tc>
      </w:tr>
      <w:tr w14:paraId="0C0F7C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Merge w:val="continue"/>
            <w:vAlign w:val="center"/>
          </w:tcPr>
          <w:p w14:paraId="59E62B89">
            <w:pPr>
              <w:jc w:val="center"/>
              <w:rPr>
                <w:rFonts w:hint="eastAsia" w:ascii="宋体" w:hAnsi="宋体" w:eastAsia="宋体" w:cs="宋体"/>
                <w:sz w:val="21"/>
                <w:szCs w:val="21"/>
              </w:rPr>
            </w:pPr>
          </w:p>
        </w:tc>
        <w:tc>
          <w:tcPr>
            <w:tcW w:w="1470" w:type="dxa"/>
            <w:vMerge w:val="continue"/>
            <w:vAlign w:val="center"/>
          </w:tcPr>
          <w:p w14:paraId="6E210C85">
            <w:pPr>
              <w:jc w:val="center"/>
              <w:rPr>
                <w:rFonts w:hint="eastAsia" w:ascii="宋体" w:hAnsi="宋体" w:eastAsia="宋体" w:cs="宋体"/>
                <w:sz w:val="21"/>
                <w:szCs w:val="21"/>
              </w:rPr>
            </w:pPr>
          </w:p>
        </w:tc>
        <w:tc>
          <w:tcPr>
            <w:tcW w:w="6276" w:type="dxa"/>
            <w:vAlign w:val="center"/>
          </w:tcPr>
          <w:p w14:paraId="04EA3DC9">
            <w:pPr>
              <w:rPr>
                <w:rFonts w:hint="eastAsia" w:ascii="宋体" w:hAnsi="宋体" w:eastAsia="宋体" w:cs="宋体"/>
                <w:sz w:val="21"/>
                <w:szCs w:val="21"/>
              </w:rPr>
            </w:pPr>
            <w:r>
              <w:rPr>
                <w:rFonts w:ascii="Segoe UI Emoji" w:hAnsi="Segoe UI Emoji" w:eastAsia="宋体" w:cs="Segoe UI Emoji"/>
                <w:b/>
                <w:sz w:val="21"/>
                <w:szCs w:val="21"/>
              </w:rPr>
              <w:t>☑</w:t>
            </w:r>
            <w:r>
              <w:rPr>
                <w:rFonts w:hint="eastAsia" w:ascii="宋体" w:hAnsi="宋体" w:eastAsia="宋体" w:cs="宋体"/>
                <w:sz w:val="21"/>
                <w:szCs w:val="21"/>
              </w:rPr>
              <w:t>评定分离</w:t>
            </w:r>
          </w:p>
          <w:p w14:paraId="2950F80D">
            <w:pPr>
              <w:ind w:firstLine="420" w:firstLineChars="200"/>
              <w:rPr>
                <w:rFonts w:hint="eastAsia" w:ascii="宋体" w:hAnsi="宋体" w:eastAsia="宋体" w:cs="宋体"/>
                <w:sz w:val="21"/>
                <w:szCs w:val="21"/>
              </w:rPr>
            </w:pPr>
            <w:r>
              <w:rPr>
                <w:rFonts w:hint="eastAsia" w:ascii="宋体" w:hAnsi="宋体" w:eastAsia="宋体" w:cs="宋体"/>
                <w:sz w:val="21"/>
                <w:szCs w:val="21"/>
              </w:rPr>
              <w:t>本项目推荐的候选中标供应商不进行排名，且中标（成交）结果信息公示内容仅公示候选中标供应商名单，不公示得分和排名。</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4051"/>
            </w:tblGrid>
            <w:tr w14:paraId="0F33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2248CEC2">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评标方法</w:t>
                  </w:r>
                </w:p>
              </w:tc>
              <w:tc>
                <w:tcPr>
                  <w:tcW w:w="4051" w:type="dxa"/>
                  <w:vAlign w:val="center"/>
                </w:tcPr>
                <w:p w14:paraId="5E30BF9E">
                  <w:pPr>
                    <w:widowControl w:val="0"/>
                    <w:jc w:val="center"/>
                    <w:rPr>
                      <w:rFonts w:hint="eastAsia" w:ascii="宋体" w:hAnsi="宋体" w:eastAsia="宋体" w:cs="宋体"/>
                      <w:sz w:val="21"/>
                      <w:szCs w:val="21"/>
                    </w:rPr>
                  </w:pPr>
                  <w:r>
                    <w:rPr>
                      <w:rFonts w:hint="eastAsia" w:ascii="宋体" w:hAnsi="宋体" w:eastAsia="宋体" w:cs="宋体"/>
                      <w:sz w:val="21"/>
                      <w:szCs w:val="21"/>
                    </w:rPr>
                    <w:t>综合评分法</w:t>
                  </w:r>
                </w:p>
              </w:tc>
            </w:tr>
            <w:tr w14:paraId="4053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571B0768">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定标方法</w:t>
                  </w:r>
                </w:p>
              </w:tc>
              <w:tc>
                <w:tcPr>
                  <w:tcW w:w="4051" w:type="dxa"/>
                  <w:vAlign w:val="center"/>
                </w:tcPr>
                <w:p w14:paraId="42F807E2">
                  <w:pPr>
                    <w:widowControl w:val="0"/>
                    <w:jc w:val="center"/>
                    <w:rPr>
                      <w:rFonts w:hint="eastAsia" w:ascii="宋体" w:hAnsi="宋体" w:eastAsia="宋体" w:cs="宋体"/>
                      <w:sz w:val="21"/>
                      <w:szCs w:val="21"/>
                    </w:rPr>
                  </w:pPr>
                  <w:r>
                    <w:rPr>
                      <w:rFonts w:hint="eastAsia" w:ascii="宋体" w:hAnsi="宋体" w:eastAsia="宋体" w:cs="宋体"/>
                      <w:sz w:val="21"/>
                      <w:szCs w:val="21"/>
                    </w:rPr>
                    <w:t>自定法</w:t>
                  </w:r>
                </w:p>
              </w:tc>
            </w:tr>
            <w:tr w14:paraId="3332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54DFED5C">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候选中标供应商（中标人）数量</w:t>
                  </w:r>
                </w:p>
              </w:tc>
              <w:tc>
                <w:tcPr>
                  <w:tcW w:w="4051" w:type="dxa"/>
                  <w:vAlign w:val="center"/>
                </w:tcPr>
                <w:p w14:paraId="2DA1CC99">
                  <w:pPr>
                    <w:widowControl w:val="0"/>
                    <w:jc w:val="center"/>
                    <w:rPr>
                      <w:rFonts w:hint="eastAsia" w:ascii="宋体" w:hAnsi="宋体" w:eastAsia="宋体" w:cs="宋体"/>
                      <w:sz w:val="21"/>
                      <w:szCs w:val="21"/>
                    </w:rPr>
                  </w:pPr>
                  <w:r>
                    <w:rPr>
                      <w:rFonts w:hint="eastAsia" w:ascii="宋体" w:hAnsi="宋体" w:eastAsia="宋体" w:cs="宋体"/>
                      <w:sz w:val="21"/>
                      <w:szCs w:val="21"/>
                    </w:rPr>
                    <w:t>3</w:t>
                  </w:r>
                </w:p>
              </w:tc>
            </w:tr>
            <w:tr w14:paraId="0AF5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731" w:type="dxa"/>
                  <w:vAlign w:val="center"/>
                </w:tcPr>
                <w:p w14:paraId="3EC200A5">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中标供应商（中标人）数量</w:t>
                  </w:r>
                </w:p>
              </w:tc>
              <w:tc>
                <w:tcPr>
                  <w:tcW w:w="4051" w:type="dxa"/>
                  <w:vAlign w:val="center"/>
                </w:tcPr>
                <w:p w14:paraId="339F8D1D">
                  <w:pPr>
                    <w:widowControl w:val="0"/>
                    <w:jc w:val="center"/>
                    <w:rPr>
                      <w:rFonts w:hint="eastAsia" w:ascii="宋体" w:hAnsi="宋体" w:eastAsia="宋体" w:cs="宋体"/>
                      <w:sz w:val="21"/>
                      <w:szCs w:val="21"/>
                    </w:rPr>
                  </w:pPr>
                  <w:r>
                    <w:rPr>
                      <w:rFonts w:hint="eastAsia" w:ascii="宋体" w:hAnsi="宋体" w:eastAsia="宋体" w:cs="宋体"/>
                      <w:sz w:val="21"/>
                      <w:szCs w:val="21"/>
                    </w:rPr>
                    <w:t>1</w:t>
                  </w:r>
                </w:p>
              </w:tc>
            </w:tr>
          </w:tbl>
          <w:p w14:paraId="01F76CA4">
            <w:pPr>
              <w:rPr>
                <w:rFonts w:hint="eastAsia" w:ascii="宋体" w:hAnsi="宋体" w:eastAsia="宋体" w:cs="宋体"/>
                <w:sz w:val="21"/>
                <w:szCs w:val="21"/>
              </w:rPr>
            </w:pPr>
          </w:p>
        </w:tc>
      </w:tr>
      <w:tr w14:paraId="2513CD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dxa"/>
            <w:vAlign w:val="center"/>
          </w:tcPr>
          <w:p w14:paraId="49268D24">
            <w:pPr>
              <w:jc w:val="center"/>
              <w:rPr>
                <w:rFonts w:hint="eastAsia" w:ascii="宋体" w:hAnsi="宋体" w:eastAsia="宋体" w:cs="宋体"/>
                <w:sz w:val="21"/>
                <w:szCs w:val="21"/>
              </w:rPr>
            </w:pPr>
            <w:r>
              <w:rPr>
                <w:rFonts w:hint="eastAsia" w:ascii="宋体" w:hAnsi="宋体" w:eastAsia="宋体" w:cs="宋体"/>
                <w:sz w:val="21"/>
                <w:szCs w:val="21"/>
              </w:rPr>
              <w:t>46</w:t>
            </w:r>
          </w:p>
        </w:tc>
        <w:tc>
          <w:tcPr>
            <w:tcW w:w="1470" w:type="dxa"/>
            <w:vAlign w:val="center"/>
          </w:tcPr>
          <w:p w14:paraId="6701797B">
            <w:pPr>
              <w:jc w:val="center"/>
              <w:rPr>
                <w:rFonts w:hint="eastAsia" w:ascii="宋体" w:hAnsi="宋体" w:eastAsia="宋体" w:cs="宋体"/>
                <w:sz w:val="21"/>
                <w:szCs w:val="21"/>
              </w:rPr>
            </w:pPr>
            <w:r>
              <w:rPr>
                <w:rFonts w:hint="eastAsia" w:ascii="宋体" w:hAnsi="宋体" w:eastAsia="宋体" w:cs="宋体"/>
                <w:sz w:val="21"/>
                <w:szCs w:val="21"/>
              </w:rPr>
              <w:t>履约担保</w:t>
            </w:r>
          </w:p>
        </w:tc>
        <w:tc>
          <w:tcPr>
            <w:tcW w:w="6276" w:type="dxa"/>
            <w:vAlign w:val="center"/>
          </w:tcPr>
          <w:p w14:paraId="3E9E4551">
            <w:pPr>
              <w:rPr>
                <w:rFonts w:hint="eastAsia" w:ascii="宋体" w:hAnsi="宋体" w:eastAsia="宋体" w:cs="宋体"/>
                <w:sz w:val="21"/>
                <w:szCs w:val="21"/>
              </w:rPr>
            </w:pPr>
            <w:r>
              <w:rPr>
                <w:rFonts w:ascii="Segoe UI Emoji" w:hAnsi="Segoe UI Emoji" w:eastAsia="宋体" w:cs="Segoe UI Emoji"/>
                <w:b/>
                <w:sz w:val="21"/>
                <w:szCs w:val="21"/>
              </w:rPr>
              <w:t>☑</w:t>
            </w:r>
            <w:r>
              <w:rPr>
                <w:rFonts w:hint="eastAsia" w:ascii="宋体" w:hAnsi="宋体" w:eastAsia="宋体" w:cs="宋体"/>
                <w:b/>
                <w:sz w:val="21"/>
                <w:szCs w:val="21"/>
              </w:rPr>
              <w:t xml:space="preserve"> </w:t>
            </w:r>
            <w:r>
              <w:rPr>
                <w:rFonts w:hint="eastAsia" w:ascii="宋体" w:hAnsi="宋体" w:eastAsia="宋体" w:cs="宋体"/>
                <w:sz w:val="21"/>
                <w:szCs w:val="21"/>
              </w:rPr>
              <w:t>不需要</w:t>
            </w:r>
          </w:p>
          <w:p w14:paraId="58D601E7">
            <w:pPr>
              <w:rPr>
                <w:rFonts w:hint="eastAsia" w:ascii="宋体" w:hAnsi="宋体" w:eastAsia="宋体" w:cs="宋体"/>
                <w:sz w:val="21"/>
                <w:szCs w:val="21"/>
              </w:rPr>
            </w:pPr>
            <w:r>
              <w:rPr>
                <w:rFonts w:hint="eastAsia" w:ascii="宋体" w:hAnsi="宋体" w:eastAsia="宋体" w:cs="宋体"/>
                <w:b/>
                <w:sz w:val="21"/>
                <w:szCs w:val="21"/>
              </w:rPr>
              <w:t>□</w:t>
            </w:r>
            <w:r>
              <w:rPr>
                <w:rFonts w:hint="eastAsia" w:ascii="宋体" w:hAnsi="宋体" w:eastAsia="宋体" w:cs="宋体"/>
                <w:sz w:val="21"/>
                <w:szCs w:val="21"/>
              </w:rPr>
              <w:t xml:space="preserve"> 需要，合同金额的</w:t>
            </w:r>
            <w:r>
              <w:rPr>
                <w:rFonts w:hint="eastAsia" w:ascii="宋体" w:hAnsi="宋体" w:eastAsia="宋体" w:cs="宋体"/>
                <w:sz w:val="21"/>
                <w:szCs w:val="21"/>
                <w:u w:val="single"/>
              </w:rPr>
              <w:t xml:space="preserve">    </w:t>
            </w:r>
            <w:r>
              <w:rPr>
                <w:rFonts w:hint="eastAsia" w:ascii="宋体" w:hAnsi="宋体" w:eastAsia="宋体" w:cs="宋体"/>
                <w:sz w:val="21"/>
                <w:szCs w:val="21"/>
              </w:rPr>
              <w:t>%，从验收之日起1年（与项目售后服务期一致）期满后10个工作日内甲方不计利息将履约保证金退回；如有违约或出现应由投标人承担的责任，投标人同意学校可以直接从保证金中扣除，不足部分仍由投标人承担。</w:t>
            </w:r>
          </w:p>
        </w:tc>
      </w:tr>
    </w:tbl>
    <w:p w14:paraId="03C7B44F">
      <w:pPr>
        <w:rPr>
          <w:b/>
          <w:sz w:val="21"/>
          <w:szCs w:val="21"/>
        </w:rPr>
      </w:pPr>
      <w:r>
        <w:rPr>
          <w:rFonts w:hint="eastAsia" w:ascii="宋体" w:hAnsi="宋体" w:eastAsia="宋体" w:cs="宋体"/>
          <w:sz w:val="21"/>
          <w:szCs w:val="21"/>
        </w:rPr>
        <w:t>备</w:t>
      </w:r>
      <w:r>
        <w:rPr>
          <w:rFonts w:hint="eastAsia"/>
          <w:sz w:val="21"/>
          <w:szCs w:val="21"/>
        </w:rPr>
        <w:t>注：本表是通用条款相关条款的补充和明确，如与通用条款内容相冲突的，以本表为准。</w:t>
      </w:r>
    </w:p>
    <w:p w14:paraId="1F5CF179">
      <w:pPr>
        <w:pStyle w:val="4"/>
        <w:spacing w:before="120" w:beforeLines="50" w:after="120" w:afterLines="50"/>
        <w:jc w:val="center"/>
        <w:rPr>
          <w:szCs w:val="24"/>
        </w:rPr>
      </w:pPr>
      <w:r>
        <w:rPr>
          <w:rFonts w:hint="eastAsia"/>
          <w:szCs w:val="24"/>
        </w:rPr>
        <w:t>二、其他关键信息</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192"/>
        <w:gridCol w:w="6511"/>
      </w:tblGrid>
      <w:tr w14:paraId="56CBE0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88" w:hRule="atLeast"/>
          <w:jc w:val="center"/>
        </w:trPr>
        <w:tc>
          <w:tcPr>
            <w:tcW w:w="801" w:type="dxa"/>
            <w:vAlign w:val="center"/>
          </w:tcPr>
          <w:p w14:paraId="4BA88054">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192" w:type="dxa"/>
            <w:vAlign w:val="center"/>
          </w:tcPr>
          <w:p w14:paraId="1A4FFA66">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内   容</w:t>
            </w:r>
          </w:p>
        </w:tc>
        <w:tc>
          <w:tcPr>
            <w:tcW w:w="6511" w:type="dxa"/>
            <w:vAlign w:val="center"/>
          </w:tcPr>
          <w:p w14:paraId="0945D368">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规   定</w:t>
            </w:r>
          </w:p>
        </w:tc>
      </w:tr>
      <w:tr w14:paraId="385F7D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1" w:type="dxa"/>
            <w:vAlign w:val="center"/>
          </w:tcPr>
          <w:p w14:paraId="6677008C">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w:t>
            </w:r>
          </w:p>
        </w:tc>
        <w:tc>
          <w:tcPr>
            <w:tcW w:w="1192" w:type="dxa"/>
            <w:vAlign w:val="center"/>
          </w:tcPr>
          <w:p w14:paraId="7E5CE16F">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是否长期货物采购项目</w:t>
            </w:r>
          </w:p>
        </w:tc>
        <w:tc>
          <w:tcPr>
            <w:tcW w:w="6511" w:type="dxa"/>
            <w:vAlign w:val="center"/>
          </w:tcPr>
          <w:p w14:paraId="4C4152B7">
            <w:pPr>
              <w:rPr>
                <w:rFonts w:hint="eastAsia" w:ascii="宋体" w:hAnsi="宋体" w:eastAsia="宋体" w:cs="宋体"/>
                <w:bCs/>
                <w:sz w:val="21"/>
                <w:szCs w:val="21"/>
                <w:lang w:val="zh-CN"/>
              </w:rPr>
            </w:pPr>
            <w:r>
              <w:rPr>
                <w:rFonts w:hint="eastAsia" w:ascii="宋体" w:hAnsi="宋体" w:eastAsia="宋体" w:cs="宋体"/>
                <w:bCs/>
                <w:sz w:val="21"/>
                <w:szCs w:val="21"/>
                <w:lang w:val="zh-CN"/>
              </w:rPr>
              <w:t>□ 是。本项目为长期货物项目，合同期满可以续签，但合同履行期限最长不得超过</w:t>
            </w:r>
            <w:r>
              <w:rPr>
                <w:rFonts w:hint="eastAsia" w:ascii="宋体" w:hAnsi="宋体" w:eastAsia="宋体" w:cs="宋体"/>
                <w:bCs/>
                <w:sz w:val="21"/>
                <w:szCs w:val="21"/>
              </w:rPr>
              <w:t>二十四</w:t>
            </w:r>
            <w:r>
              <w:rPr>
                <w:rFonts w:hint="eastAsia" w:ascii="宋体" w:hAnsi="宋体" w:eastAsia="宋体" w:cs="宋体"/>
                <w:bCs/>
                <w:sz w:val="21"/>
                <w:szCs w:val="21"/>
                <w:lang w:val="zh-CN"/>
              </w:rPr>
              <w:t>个月。如甲方对履约情况不满意，甲方不再续约。</w:t>
            </w:r>
          </w:p>
          <w:p w14:paraId="010F05D5">
            <w:pPr>
              <w:rPr>
                <w:rFonts w:hint="eastAsia" w:ascii="宋体" w:hAnsi="宋体" w:eastAsia="宋体" w:cs="宋体"/>
                <w:sz w:val="21"/>
                <w:szCs w:val="21"/>
              </w:rPr>
            </w:pPr>
            <w:r>
              <w:rPr>
                <w:rFonts w:ascii="Segoe UI Emoji" w:hAnsi="Segoe UI Emoji" w:eastAsia="宋体" w:cs="Segoe UI Emoji"/>
                <w:bCs/>
                <w:sz w:val="21"/>
                <w:szCs w:val="21"/>
                <w:lang w:val="zh-CN"/>
              </w:rPr>
              <w:t>☑</w:t>
            </w:r>
            <w:r>
              <w:rPr>
                <w:rFonts w:hint="eastAsia" w:ascii="宋体" w:hAnsi="宋体" w:eastAsia="宋体" w:cs="宋体"/>
                <w:bCs/>
                <w:sz w:val="21"/>
                <w:szCs w:val="21"/>
                <w:lang w:val="zh-CN"/>
              </w:rPr>
              <w:t xml:space="preserve"> 否。</w:t>
            </w:r>
          </w:p>
        </w:tc>
      </w:tr>
      <w:tr w14:paraId="102093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423" w:hRule="atLeast"/>
          <w:jc w:val="center"/>
        </w:trPr>
        <w:tc>
          <w:tcPr>
            <w:tcW w:w="801" w:type="dxa"/>
            <w:vAlign w:val="center"/>
          </w:tcPr>
          <w:p w14:paraId="4260FE91">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w:t>
            </w:r>
          </w:p>
        </w:tc>
        <w:tc>
          <w:tcPr>
            <w:tcW w:w="1192" w:type="dxa"/>
            <w:vAlign w:val="center"/>
          </w:tcPr>
          <w:p w14:paraId="1E12CC48">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招标代理服务费</w:t>
            </w:r>
          </w:p>
        </w:tc>
        <w:tc>
          <w:tcPr>
            <w:tcW w:w="6511" w:type="dxa"/>
            <w:vAlign w:val="center"/>
          </w:tcPr>
          <w:p w14:paraId="5233A432">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（1）本项目向中标供应商（中标人）收取招标代理服务费。</w:t>
            </w:r>
          </w:p>
          <w:p w14:paraId="222EFB4A">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中标供应商在领取《中标通知书》之前须向中国远东国际招标有限公司交纳代理服务费。若因中标供应商交纳代理服务费所产生的时间影响到合同签订的，由中标供应商自行承担责任。</w:t>
            </w:r>
          </w:p>
          <w:p w14:paraId="7F6B19A6">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招标代理服务费根据《关于规范深圳市社会采购代理机构管理有关事项的补充通知》（深财购〔2018〕27号）的指导和规定收费标准收取，收费标准如下。</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843"/>
              <w:gridCol w:w="1187"/>
              <w:gridCol w:w="1091"/>
              <w:gridCol w:w="1115"/>
            </w:tblGrid>
            <w:tr w14:paraId="4A65E1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843" w:type="dxa"/>
                  <w:vMerge w:val="restart"/>
                  <w:shd w:val="clear" w:color="auto" w:fill="D7D7D7"/>
                  <w:vAlign w:val="center"/>
                </w:tcPr>
                <w:p w14:paraId="4AC3F85B">
                  <w:pPr>
                    <w:adjustRightInd w:val="0"/>
                    <w:snapToGrid w:val="0"/>
                    <w:spacing w:line="264" w:lineRule="auto"/>
                    <w:ind w:right="26"/>
                    <w:jc w:val="center"/>
                    <w:rPr>
                      <w:rFonts w:hint="eastAsia" w:ascii="宋体" w:hAnsi="宋体" w:eastAsia="宋体" w:cs="宋体"/>
                      <w:b/>
                      <w:bCs/>
                      <w:sz w:val="21"/>
                      <w:szCs w:val="21"/>
                    </w:rPr>
                  </w:pPr>
                  <w:r>
                    <w:rPr>
                      <w:rFonts w:hint="eastAsia" w:ascii="宋体" w:hAnsi="宋体" w:eastAsia="宋体" w:cs="宋体"/>
                      <w:b/>
                      <w:bCs/>
                      <w:sz w:val="21"/>
                      <w:szCs w:val="21"/>
                    </w:rPr>
                    <w:t>中标金额（万元）</w:t>
                  </w:r>
                </w:p>
              </w:tc>
              <w:tc>
                <w:tcPr>
                  <w:tcW w:w="3393" w:type="dxa"/>
                  <w:gridSpan w:val="3"/>
                  <w:shd w:val="clear" w:color="auto" w:fill="D7D7D7"/>
                  <w:vAlign w:val="center"/>
                </w:tcPr>
                <w:p w14:paraId="5B1B890F">
                  <w:pPr>
                    <w:adjustRightInd w:val="0"/>
                    <w:snapToGrid w:val="0"/>
                    <w:spacing w:line="264" w:lineRule="auto"/>
                    <w:ind w:right="26"/>
                    <w:jc w:val="center"/>
                    <w:rPr>
                      <w:rFonts w:hint="eastAsia" w:ascii="宋体" w:hAnsi="宋体" w:eastAsia="宋体" w:cs="宋体"/>
                      <w:b/>
                      <w:bCs/>
                      <w:sz w:val="21"/>
                      <w:szCs w:val="21"/>
                    </w:rPr>
                  </w:pPr>
                  <w:r>
                    <w:rPr>
                      <w:rFonts w:hint="eastAsia" w:ascii="宋体" w:hAnsi="宋体" w:eastAsia="宋体" w:cs="宋体"/>
                      <w:b/>
                      <w:bCs/>
                      <w:sz w:val="21"/>
                      <w:szCs w:val="21"/>
                    </w:rPr>
                    <w:t>各类型招标代理服务费计算费率</w:t>
                  </w:r>
                </w:p>
              </w:tc>
            </w:tr>
            <w:tr w14:paraId="272EDA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Merge w:val="continue"/>
                  <w:shd w:val="clear" w:color="auto" w:fill="D7D7D7"/>
                  <w:vAlign w:val="center"/>
                </w:tcPr>
                <w:p w14:paraId="418EE8BC">
                  <w:pPr>
                    <w:adjustRightInd w:val="0"/>
                    <w:snapToGrid w:val="0"/>
                    <w:spacing w:line="264" w:lineRule="auto"/>
                    <w:ind w:right="26"/>
                    <w:jc w:val="center"/>
                    <w:rPr>
                      <w:rFonts w:hint="eastAsia" w:ascii="宋体" w:hAnsi="宋体" w:eastAsia="宋体" w:cs="宋体"/>
                      <w:b/>
                      <w:bCs/>
                      <w:sz w:val="21"/>
                      <w:szCs w:val="21"/>
                    </w:rPr>
                  </w:pPr>
                </w:p>
              </w:tc>
              <w:tc>
                <w:tcPr>
                  <w:tcW w:w="1187" w:type="dxa"/>
                  <w:shd w:val="clear" w:color="auto" w:fill="D7D7D7"/>
                  <w:vAlign w:val="center"/>
                </w:tcPr>
                <w:p w14:paraId="2283540F">
                  <w:pPr>
                    <w:adjustRightInd w:val="0"/>
                    <w:snapToGrid w:val="0"/>
                    <w:spacing w:line="264" w:lineRule="auto"/>
                    <w:ind w:right="26"/>
                    <w:jc w:val="center"/>
                    <w:rPr>
                      <w:rFonts w:hint="eastAsia" w:ascii="宋体" w:hAnsi="宋体" w:eastAsia="宋体" w:cs="宋体"/>
                      <w:b/>
                      <w:bCs/>
                      <w:sz w:val="21"/>
                      <w:szCs w:val="21"/>
                    </w:rPr>
                  </w:pPr>
                  <w:r>
                    <w:rPr>
                      <w:rFonts w:hint="eastAsia" w:ascii="宋体" w:hAnsi="宋体" w:eastAsia="宋体" w:cs="宋体"/>
                      <w:b/>
                      <w:bCs/>
                      <w:sz w:val="21"/>
                      <w:szCs w:val="21"/>
                    </w:rPr>
                    <w:t>货物招标</w:t>
                  </w:r>
                </w:p>
              </w:tc>
              <w:tc>
                <w:tcPr>
                  <w:tcW w:w="1091" w:type="dxa"/>
                  <w:shd w:val="clear" w:color="auto" w:fill="D7D7D7"/>
                  <w:vAlign w:val="center"/>
                </w:tcPr>
                <w:p w14:paraId="233C7C2C">
                  <w:pPr>
                    <w:adjustRightInd w:val="0"/>
                    <w:snapToGrid w:val="0"/>
                    <w:spacing w:line="264" w:lineRule="auto"/>
                    <w:ind w:right="26"/>
                    <w:jc w:val="center"/>
                    <w:rPr>
                      <w:rFonts w:hint="eastAsia" w:ascii="宋体" w:hAnsi="宋体" w:eastAsia="宋体" w:cs="宋体"/>
                      <w:b/>
                      <w:bCs/>
                      <w:sz w:val="21"/>
                      <w:szCs w:val="21"/>
                    </w:rPr>
                  </w:pPr>
                  <w:r>
                    <w:rPr>
                      <w:rFonts w:hint="eastAsia" w:ascii="宋体" w:hAnsi="宋体" w:eastAsia="宋体" w:cs="宋体"/>
                      <w:b/>
                      <w:bCs/>
                      <w:sz w:val="21"/>
                      <w:szCs w:val="21"/>
                    </w:rPr>
                    <w:t>服务招标</w:t>
                  </w:r>
                </w:p>
              </w:tc>
              <w:tc>
                <w:tcPr>
                  <w:tcW w:w="1115" w:type="dxa"/>
                  <w:shd w:val="clear" w:color="auto" w:fill="D7D7D7"/>
                  <w:vAlign w:val="center"/>
                </w:tcPr>
                <w:p w14:paraId="62746AB7">
                  <w:pPr>
                    <w:adjustRightInd w:val="0"/>
                    <w:snapToGrid w:val="0"/>
                    <w:spacing w:line="264" w:lineRule="auto"/>
                    <w:ind w:right="26"/>
                    <w:jc w:val="center"/>
                    <w:rPr>
                      <w:rFonts w:hint="eastAsia" w:ascii="宋体" w:hAnsi="宋体" w:eastAsia="宋体" w:cs="宋体"/>
                      <w:b/>
                      <w:bCs/>
                      <w:sz w:val="21"/>
                      <w:szCs w:val="21"/>
                    </w:rPr>
                  </w:pPr>
                  <w:r>
                    <w:rPr>
                      <w:rFonts w:hint="eastAsia" w:ascii="宋体" w:hAnsi="宋体" w:eastAsia="宋体" w:cs="宋体"/>
                      <w:b/>
                      <w:bCs/>
                      <w:sz w:val="21"/>
                      <w:szCs w:val="21"/>
                    </w:rPr>
                    <w:t>工程招标</w:t>
                  </w:r>
                </w:p>
              </w:tc>
            </w:tr>
            <w:tr w14:paraId="58625A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4B79A46C">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100万元以下</w:t>
                  </w:r>
                </w:p>
              </w:tc>
              <w:tc>
                <w:tcPr>
                  <w:tcW w:w="1187" w:type="dxa"/>
                  <w:vAlign w:val="center"/>
                </w:tcPr>
                <w:p w14:paraId="14A5A505">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1.5%</w:t>
                  </w:r>
                </w:p>
              </w:tc>
              <w:tc>
                <w:tcPr>
                  <w:tcW w:w="1091" w:type="dxa"/>
                  <w:vAlign w:val="center"/>
                </w:tcPr>
                <w:p w14:paraId="31B865DE">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1.5%</w:t>
                  </w:r>
                </w:p>
              </w:tc>
              <w:tc>
                <w:tcPr>
                  <w:tcW w:w="1115" w:type="dxa"/>
                  <w:vAlign w:val="center"/>
                </w:tcPr>
                <w:p w14:paraId="0A28C035">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1.0%</w:t>
                  </w:r>
                </w:p>
              </w:tc>
            </w:tr>
            <w:tr w14:paraId="25CCBC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50355D53">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100万元（含）-500万元</w:t>
                  </w:r>
                </w:p>
              </w:tc>
              <w:tc>
                <w:tcPr>
                  <w:tcW w:w="1187" w:type="dxa"/>
                  <w:vAlign w:val="center"/>
                </w:tcPr>
                <w:p w14:paraId="2A4A07AE">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1.1%</w:t>
                  </w:r>
                </w:p>
              </w:tc>
              <w:tc>
                <w:tcPr>
                  <w:tcW w:w="1091" w:type="dxa"/>
                  <w:vAlign w:val="center"/>
                </w:tcPr>
                <w:p w14:paraId="75155F78">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0.8%</w:t>
                  </w:r>
                </w:p>
              </w:tc>
              <w:tc>
                <w:tcPr>
                  <w:tcW w:w="1115" w:type="dxa"/>
                  <w:vAlign w:val="center"/>
                </w:tcPr>
                <w:p w14:paraId="4FFC86D0">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0.7%</w:t>
                  </w:r>
                </w:p>
              </w:tc>
            </w:tr>
            <w:tr w14:paraId="14F600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3A58B917">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500万元（含）-1000万元</w:t>
                  </w:r>
                </w:p>
              </w:tc>
              <w:tc>
                <w:tcPr>
                  <w:tcW w:w="1187" w:type="dxa"/>
                  <w:vAlign w:val="center"/>
                </w:tcPr>
                <w:p w14:paraId="78C16F0F">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0.8%</w:t>
                  </w:r>
                </w:p>
              </w:tc>
              <w:tc>
                <w:tcPr>
                  <w:tcW w:w="1091" w:type="dxa"/>
                  <w:vAlign w:val="center"/>
                </w:tcPr>
                <w:p w14:paraId="2FCE8C22">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0.45%</w:t>
                  </w:r>
                </w:p>
              </w:tc>
              <w:tc>
                <w:tcPr>
                  <w:tcW w:w="1115" w:type="dxa"/>
                  <w:vAlign w:val="center"/>
                </w:tcPr>
                <w:p w14:paraId="21E2CD98">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0.55%</w:t>
                  </w:r>
                </w:p>
              </w:tc>
            </w:tr>
            <w:tr w14:paraId="154FF9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3C7E4F39">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1000万元（含）-5000万元</w:t>
                  </w:r>
                </w:p>
              </w:tc>
              <w:tc>
                <w:tcPr>
                  <w:tcW w:w="1187" w:type="dxa"/>
                  <w:vAlign w:val="center"/>
                </w:tcPr>
                <w:p w14:paraId="54B208EF">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0.5%</w:t>
                  </w:r>
                </w:p>
              </w:tc>
              <w:tc>
                <w:tcPr>
                  <w:tcW w:w="1091" w:type="dxa"/>
                  <w:vAlign w:val="center"/>
                </w:tcPr>
                <w:p w14:paraId="4D0DA0C0">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0.25%</w:t>
                  </w:r>
                </w:p>
              </w:tc>
              <w:tc>
                <w:tcPr>
                  <w:tcW w:w="1115" w:type="dxa"/>
                  <w:vAlign w:val="center"/>
                </w:tcPr>
                <w:p w14:paraId="1EDCBD1E">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0.35%</w:t>
                  </w:r>
                </w:p>
              </w:tc>
            </w:tr>
            <w:tr w14:paraId="0AD868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382ECF0B">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5000万元（含）-1亿元</w:t>
                  </w:r>
                </w:p>
              </w:tc>
              <w:tc>
                <w:tcPr>
                  <w:tcW w:w="1187" w:type="dxa"/>
                  <w:vAlign w:val="center"/>
                </w:tcPr>
                <w:p w14:paraId="76C99ADB">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0.25%</w:t>
                  </w:r>
                </w:p>
              </w:tc>
              <w:tc>
                <w:tcPr>
                  <w:tcW w:w="1091" w:type="dxa"/>
                  <w:vAlign w:val="center"/>
                </w:tcPr>
                <w:p w14:paraId="2F46B6CD">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0.1%</w:t>
                  </w:r>
                </w:p>
              </w:tc>
              <w:tc>
                <w:tcPr>
                  <w:tcW w:w="1115" w:type="dxa"/>
                  <w:vAlign w:val="center"/>
                </w:tcPr>
                <w:p w14:paraId="46DF9809">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0.2%</w:t>
                  </w:r>
                </w:p>
              </w:tc>
            </w:tr>
            <w:tr w14:paraId="6A390E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2B33071D">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1亿元（含）-5亿元</w:t>
                  </w:r>
                </w:p>
              </w:tc>
              <w:tc>
                <w:tcPr>
                  <w:tcW w:w="1187" w:type="dxa"/>
                  <w:vAlign w:val="center"/>
                </w:tcPr>
                <w:p w14:paraId="5FA4AB77">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0.05%</w:t>
                  </w:r>
                </w:p>
              </w:tc>
              <w:tc>
                <w:tcPr>
                  <w:tcW w:w="1091" w:type="dxa"/>
                  <w:vAlign w:val="center"/>
                </w:tcPr>
                <w:p w14:paraId="4B52DC75">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0.05%</w:t>
                  </w:r>
                </w:p>
              </w:tc>
              <w:tc>
                <w:tcPr>
                  <w:tcW w:w="1115" w:type="dxa"/>
                  <w:vAlign w:val="center"/>
                </w:tcPr>
                <w:p w14:paraId="44E04161">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0.05%</w:t>
                  </w:r>
                </w:p>
              </w:tc>
            </w:tr>
            <w:tr w14:paraId="4C1454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29DB78E2">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5亿元（含）-10亿元</w:t>
                  </w:r>
                </w:p>
              </w:tc>
              <w:tc>
                <w:tcPr>
                  <w:tcW w:w="1187" w:type="dxa"/>
                  <w:vAlign w:val="center"/>
                </w:tcPr>
                <w:p w14:paraId="63B9503D">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0.035%</w:t>
                  </w:r>
                </w:p>
              </w:tc>
              <w:tc>
                <w:tcPr>
                  <w:tcW w:w="1091" w:type="dxa"/>
                  <w:vAlign w:val="center"/>
                </w:tcPr>
                <w:p w14:paraId="574821B4">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0.035%</w:t>
                  </w:r>
                </w:p>
              </w:tc>
              <w:tc>
                <w:tcPr>
                  <w:tcW w:w="1115" w:type="dxa"/>
                  <w:vAlign w:val="center"/>
                </w:tcPr>
                <w:p w14:paraId="0541E5AA">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0.035%</w:t>
                  </w:r>
                </w:p>
              </w:tc>
            </w:tr>
            <w:tr w14:paraId="5C48DA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42EBE6EE">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10亿元（含）-50亿元</w:t>
                  </w:r>
                </w:p>
              </w:tc>
              <w:tc>
                <w:tcPr>
                  <w:tcW w:w="1187" w:type="dxa"/>
                  <w:vAlign w:val="center"/>
                </w:tcPr>
                <w:p w14:paraId="6F06FEBE">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0.008%</w:t>
                  </w:r>
                </w:p>
              </w:tc>
              <w:tc>
                <w:tcPr>
                  <w:tcW w:w="1091" w:type="dxa"/>
                  <w:vAlign w:val="center"/>
                </w:tcPr>
                <w:p w14:paraId="7A67A765">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0.008%</w:t>
                  </w:r>
                </w:p>
              </w:tc>
              <w:tc>
                <w:tcPr>
                  <w:tcW w:w="1115" w:type="dxa"/>
                  <w:vAlign w:val="center"/>
                </w:tcPr>
                <w:p w14:paraId="758DCEF1">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0.008%</w:t>
                  </w:r>
                </w:p>
              </w:tc>
            </w:tr>
            <w:tr w14:paraId="5C1BAF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43" w:type="dxa"/>
                  <w:vAlign w:val="center"/>
                </w:tcPr>
                <w:p w14:paraId="71E4F116">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50亿元（含）-100亿元</w:t>
                  </w:r>
                </w:p>
              </w:tc>
              <w:tc>
                <w:tcPr>
                  <w:tcW w:w="1187" w:type="dxa"/>
                  <w:vAlign w:val="center"/>
                </w:tcPr>
                <w:p w14:paraId="7701D5AB">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0.006%</w:t>
                  </w:r>
                </w:p>
              </w:tc>
              <w:tc>
                <w:tcPr>
                  <w:tcW w:w="1091" w:type="dxa"/>
                  <w:vAlign w:val="center"/>
                </w:tcPr>
                <w:p w14:paraId="1C6F0AEB">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0.006%</w:t>
                  </w:r>
                </w:p>
              </w:tc>
              <w:tc>
                <w:tcPr>
                  <w:tcW w:w="1115" w:type="dxa"/>
                  <w:vAlign w:val="center"/>
                </w:tcPr>
                <w:p w14:paraId="6B028E58">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0.006%</w:t>
                  </w:r>
                </w:p>
              </w:tc>
            </w:tr>
            <w:tr w14:paraId="7523AB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2843" w:type="dxa"/>
                  <w:vAlign w:val="center"/>
                </w:tcPr>
                <w:p w14:paraId="2D389E38">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100亿元（含）以上</w:t>
                  </w:r>
                </w:p>
              </w:tc>
              <w:tc>
                <w:tcPr>
                  <w:tcW w:w="1187" w:type="dxa"/>
                  <w:vAlign w:val="center"/>
                </w:tcPr>
                <w:p w14:paraId="701A87A2">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0.004%</w:t>
                  </w:r>
                </w:p>
              </w:tc>
              <w:tc>
                <w:tcPr>
                  <w:tcW w:w="1091" w:type="dxa"/>
                  <w:vAlign w:val="center"/>
                </w:tcPr>
                <w:p w14:paraId="44D24205">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0.004%</w:t>
                  </w:r>
                </w:p>
              </w:tc>
              <w:tc>
                <w:tcPr>
                  <w:tcW w:w="1115" w:type="dxa"/>
                  <w:vAlign w:val="center"/>
                </w:tcPr>
                <w:p w14:paraId="513B9082">
                  <w:pPr>
                    <w:adjustRightInd w:val="0"/>
                    <w:snapToGrid w:val="0"/>
                    <w:spacing w:line="264" w:lineRule="auto"/>
                    <w:ind w:right="26"/>
                    <w:jc w:val="center"/>
                    <w:rPr>
                      <w:rFonts w:hint="eastAsia" w:ascii="宋体" w:hAnsi="宋体" w:eastAsia="宋体" w:cs="宋体"/>
                      <w:sz w:val="21"/>
                      <w:szCs w:val="21"/>
                    </w:rPr>
                  </w:pPr>
                  <w:r>
                    <w:rPr>
                      <w:rFonts w:hint="eastAsia" w:ascii="宋体" w:hAnsi="宋体" w:eastAsia="宋体" w:cs="宋体"/>
                      <w:sz w:val="21"/>
                      <w:szCs w:val="21"/>
                    </w:rPr>
                    <w:t>0.004%</w:t>
                  </w:r>
                </w:p>
              </w:tc>
            </w:tr>
          </w:tbl>
          <w:p w14:paraId="7469245F">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（2）招标代理服务收费按差额定率累进法计算；</w:t>
            </w:r>
          </w:p>
          <w:p w14:paraId="00A53572">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（3）本次招标为货物招标，招标代理服务费计算费率类别为</w:t>
            </w:r>
            <w:r>
              <w:rPr>
                <w:rFonts w:hint="eastAsia" w:ascii="宋体" w:hAnsi="宋体" w:eastAsia="宋体" w:cs="宋体"/>
                <w:b/>
                <w:bCs/>
                <w:sz w:val="21"/>
                <w:szCs w:val="21"/>
                <w:u w:val="single"/>
              </w:rPr>
              <w:t xml:space="preserve"> 货物招标 </w:t>
            </w:r>
            <w:r>
              <w:rPr>
                <w:rFonts w:hint="eastAsia" w:ascii="宋体" w:hAnsi="宋体" w:eastAsia="宋体" w:cs="宋体"/>
                <w:b/>
                <w:bCs/>
                <w:sz w:val="21"/>
                <w:szCs w:val="21"/>
              </w:rPr>
              <w:t>。</w:t>
            </w:r>
          </w:p>
          <w:p w14:paraId="5CFFFD4D">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（4）招标代理服务费按</w:t>
            </w:r>
            <w:r>
              <w:rPr>
                <w:rFonts w:hint="eastAsia" w:ascii="宋体" w:hAnsi="宋体" w:eastAsia="宋体" w:cs="宋体"/>
                <w:b/>
                <w:bCs/>
                <w:sz w:val="21"/>
                <w:szCs w:val="21"/>
                <w:u w:val="single"/>
              </w:rPr>
              <w:t>货物招标</w:t>
            </w:r>
            <w:r>
              <w:rPr>
                <w:rFonts w:hint="eastAsia" w:ascii="宋体" w:hAnsi="宋体" w:eastAsia="宋体" w:cs="宋体"/>
                <w:sz w:val="21"/>
                <w:szCs w:val="21"/>
              </w:rPr>
              <w:t>计费标准的</w:t>
            </w:r>
            <w:r>
              <w:rPr>
                <w:rFonts w:hint="eastAsia" w:ascii="宋体" w:hAnsi="宋体" w:eastAsia="宋体" w:cs="宋体"/>
                <w:sz w:val="21"/>
                <w:szCs w:val="21"/>
                <w:lang w:val="en-US" w:eastAsia="zh-CN"/>
              </w:rPr>
              <w:t>7</w:t>
            </w:r>
            <w:r>
              <w:rPr>
                <w:rFonts w:hint="eastAsia" w:ascii="宋体" w:hAnsi="宋体" w:eastAsia="宋体" w:cs="宋体"/>
                <w:sz w:val="21"/>
                <w:szCs w:val="21"/>
              </w:rPr>
              <w:t>0%计算收取。</w:t>
            </w:r>
          </w:p>
          <w:p w14:paraId="63A5573A">
            <w:pPr>
              <w:adjustRightInd w:val="0"/>
              <w:snapToGrid w:val="0"/>
              <w:spacing w:line="264" w:lineRule="auto"/>
              <w:ind w:right="26"/>
              <w:rPr>
                <w:rFonts w:hint="eastAsia" w:ascii="宋体" w:hAnsi="宋体" w:eastAsia="宋体" w:cs="宋体"/>
                <w:sz w:val="21"/>
                <w:szCs w:val="21"/>
              </w:rPr>
            </w:pPr>
            <w:r>
              <w:rPr>
                <w:rFonts w:hint="eastAsia" w:ascii="宋体" w:hAnsi="宋体" w:eastAsia="宋体" w:cs="宋体"/>
                <w:sz w:val="21"/>
                <w:szCs w:val="21"/>
              </w:rPr>
              <w:t>（5）招标代理服务费缴纳至：</w:t>
            </w:r>
          </w:p>
          <w:p w14:paraId="591032B9">
            <w:pPr>
              <w:adjustRightInd w:val="0"/>
              <w:snapToGrid w:val="0"/>
              <w:spacing w:line="264" w:lineRule="auto"/>
              <w:ind w:right="26" w:firstLine="420" w:firstLineChars="200"/>
              <w:rPr>
                <w:rFonts w:hint="eastAsia" w:ascii="宋体" w:hAnsi="宋体" w:eastAsia="宋体" w:cs="宋体"/>
                <w:sz w:val="21"/>
                <w:szCs w:val="21"/>
              </w:rPr>
            </w:pPr>
            <w:r>
              <w:rPr>
                <w:rFonts w:hint="eastAsia" w:ascii="宋体" w:hAnsi="宋体" w:eastAsia="宋体" w:cs="宋体"/>
                <w:sz w:val="21"/>
                <w:szCs w:val="21"/>
              </w:rPr>
              <w:t>开户名称：中国远东国际招标有限公司深圳分公司</w:t>
            </w:r>
          </w:p>
          <w:p w14:paraId="5D76B733">
            <w:pPr>
              <w:adjustRightInd w:val="0"/>
              <w:snapToGrid w:val="0"/>
              <w:spacing w:line="264" w:lineRule="auto"/>
              <w:ind w:right="26" w:firstLine="420" w:firstLineChars="200"/>
              <w:rPr>
                <w:rFonts w:hint="eastAsia" w:ascii="宋体" w:hAnsi="宋体" w:eastAsia="宋体" w:cs="宋体"/>
                <w:sz w:val="21"/>
                <w:szCs w:val="21"/>
              </w:rPr>
            </w:pPr>
            <w:r>
              <w:rPr>
                <w:rFonts w:hint="eastAsia" w:ascii="宋体" w:hAnsi="宋体" w:eastAsia="宋体" w:cs="宋体"/>
                <w:sz w:val="21"/>
                <w:szCs w:val="21"/>
              </w:rPr>
              <w:t>银行账号：443066027015004105368</w:t>
            </w:r>
          </w:p>
          <w:p w14:paraId="2E5F111F">
            <w:pPr>
              <w:ind w:firstLine="420" w:firstLineChars="200"/>
              <w:rPr>
                <w:rFonts w:hint="eastAsia" w:ascii="宋体" w:hAnsi="宋体" w:eastAsia="宋体" w:cs="宋体"/>
                <w:color w:val="000000"/>
                <w:sz w:val="21"/>
                <w:szCs w:val="21"/>
              </w:rPr>
            </w:pPr>
            <w:r>
              <w:rPr>
                <w:rFonts w:hint="eastAsia" w:ascii="宋体" w:hAnsi="宋体" w:eastAsia="宋体" w:cs="宋体"/>
                <w:sz w:val="21"/>
                <w:szCs w:val="21"/>
              </w:rPr>
              <w:t>开户银行：交通银行股份有限公司深圳上步支行</w:t>
            </w:r>
          </w:p>
        </w:tc>
      </w:tr>
      <w:tr w14:paraId="0CEEB2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1" w:type="dxa"/>
            <w:vAlign w:val="center"/>
          </w:tcPr>
          <w:p w14:paraId="4CD3DD05">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3</w:t>
            </w:r>
          </w:p>
        </w:tc>
        <w:tc>
          <w:tcPr>
            <w:tcW w:w="1192" w:type="dxa"/>
            <w:vAlign w:val="center"/>
          </w:tcPr>
          <w:p w14:paraId="76D2DAB6">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sz w:val="21"/>
                <w:szCs w:val="21"/>
              </w:rPr>
              <w:t>关于政府采购订单融资政策</w:t>
            </w:r>
          </w:p>
        </w:tc>
        <w:tc>
          <w:tcPr>
            <w:tcW w:w="6511" w:type="dxa"/>
            <w:vAlign w:val="center"/>
          </w:tcPr>
          <w:p w14:paraId="121D666A">
            <w:pPr>
              <w:rPr>
                <w:rFonts w:hint="eastAsia" w:ascii="宋体" w:hAnsi="宋体" w:eastAsia="宋体" w:cs="宋体"/>
                <w:sz w:val="21"/>
                <w:szCs w:val="21"/>
              </w:rPr>
            </w:pPr>
            <w:r>
              <w:rPr>
                <w:rFonts w:hint="eastAsia" w:ascii="宋体" w:hAnsi="宋体" w:eastAsia="宋体" w:cs="宋体"/>
                <w:bCs/>
                <w:sz w:val="21"/>
                <w:szCs w:val="21"/>
              </w:rPr>
              <w:t>关于政府采购订单融资政策：为进一步拓宽企业融资渠道，降低企业融资成本，我市推出政府采购订单融资服务，中标（成交）供应商可以凭借中标（成交）通知书或政府采购合同向金融机构提出融资申请。订单融资具体流程可登录深圳交易集团融资服务平台（http://zfcg.szggzy.com:8081/financeplatform/），相关政策法规参阅深圳市政府采购监管网（http://zfcg.sz.gov.cn/）信息公开栏目。咨询电话：0755­88653386。</w:t>
            </w:r>
          </w:p>
        </w:tc>
      </w:tr>
      <w:tr w14:paraId="49441A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01" w:type="dxa"/>
            <w:vAlign w:val="center"/>
          </w:tcPr>
          <w:p w14:paraId="3C3DB364">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4</w:t>
            </w:r>
          </w:p>
        </w:tc>
        <w:tc>
          <w:tcPr>
            <w:tcW w:w="1192" w:type="dxa"/>
            <w:vAlign w:val="center"/>
          </w:tcPr>
          <w:p w14:paraId="2617C4BE">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其他说明</w:t>
            </w:r>
          </w:p>
        </w:tc>
        <w:tc>
          <w:tcPr>
            <w:tcW w:w="6511" w:type="dxa"/>
            <w:vAlign w:val="center"/>
          </w:tcPr>
          <w:p w14:paraId="78E37673">
            <w:pPr>
              <w:rPr>
                <w:rFonts w:hint="eastAsia" w:ascii="宋体" w:hAnsi="宋体" w:eastAsia="宋体" w:cs="宋体"/>
                <w:sz w:val="21"/>
                <w:szCs w:val="21"/>
              </w:rPr>
            </w:pPr>
            <w:r>
              <w:rPr>
                <w:rFonts w:hint="eastAsia" w:ascii="宋体" w:hAnsi="宋体" w:eastAsia="宋体" w:cs="宋体"/>
                <w:sz w:val="21"/>
                <w:szCs w:val="21"/>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须使用同一种方式，否则解密失败，导致投标无效（即：使用电子执照加密的，后续开标只能使用电子执照解密）。</w:t>
            </w:r>
          </w:p>
        </w:tc>
      </w:tr>
      <w:tr w14:paraId="60B5C5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60" w:hRule="atLeast"/>
          <w:jc w:val="center"/>
        </w:trPr>
        <w:tc>
          <w:tcPr>
            <w:tcW w:w="801" w:type="dxa"/>
            <w:vAlign w:val="center"/>
          </w:tcPr>
          <w:p w14:paraId="54B1036A">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5</w:t>
            </w:r>
          </w:p>
        </w:tc>
        <w:tc>
          <w:tcPr>
            <w:tcW w:w="1192" w:type="dxa"/>
            <w:vAlign w:val="center"/>
          </w:tcPr>
          <w:p w14:paraId="25DCC962">
            <w:pPr>
              <w:spacing w:line="30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重要提示</w:t>
            </w:r>
          </w:p>
        </w:tc>
        <w:tc>
          <w:tcPr>
            <w:tcW w:w="6511" w:type="dxa"/>
            <w:vAlign w:val="center"/>
          </w:tcPr>
          <w:p w14:paraId="22268035">
            <w:pPr>
              <w:rPr>
                <w:rFonts w:hint="eastAsia" w:ascii="宋体" w:hAnsi="宋体" w:eastAsia="宋体" w:cs="宋体"/>
                <w:sz w:val="21"/>
                <w:szCs w:val="21"/>
              </w:rPr>
            </w:pPr>
            <w:r>
              <w:rPr>
                <w:rFonts w:hint="eastAsia" w:ascii="宋体" w:hAnsi="宋体" w:eastAsia="宋体" w:cs="宋体"/>
                <w:sz w:val="21"/>
                <w:szCs w:val="21"/>
              </w:rPr>
              <w:t>（1）使用电子营业执照功能时，请确保已经在手机微信安装 “电子营业执照”小程序，或已安装了“电子营业执照”APP，并且在 “电子营业执照”小程序/app中完成相应的下载电子营业执照、法人授权、备份密钥等操作（具体详见国家工商总局网站），电子投标地区必须选择 “广东省-深圳市-深圳政府采购智慧平台”（请根据手机小程序/app提示进行设置，或拨打电子营业执照平台技术支持电话010-86355313，15921122750）。</w:t>
            </w:r>
          </w:p>
          <w:p w14:paraId="3A112F4C">
            <w:pPr>
              <w:rPr>
                <w:rFonts w:hint="eastAsia" w:ascii="宋体" w:hAnsi="宋体" w:eastAsia="宋体" w:cs="宋体"/>
                <w:sz w:val="21"/>
                <w:szCs w:val="21"/>
              </w:rPr>
            </w:pPr>
            <w:r>
              <w:rPr>
                <w:rFonts w:hint="eastAsia" w:ascii="宋体" w:hAnsi="宋体" w:eastAsia="宋体" w:cs="宋体"/>
                <w:sz w:val="21"/>
                <w:szCs w:val="21"/>
              </w:rPr>
              <w:t>（2）电子营业执照应用于投标文件制作和加解密属于创新应用场景，如不熟悉操作可能导致错过投标截止时间，系统已提供加密、测试解密和撤回重新上传的功能，各投标人须预留充足时间，提前制作和加密上传投标文件。</w:t>
            </w:r>
          </w:p>
          <w:p w14:paraId="4050395F">
            <w:pPr>
              <w:rPr>
                <w:rFonts w:hint="eastAsia" w:ascii="宋体" w:hAnsi="宋体" w:eastAsia="宋体" w:cs="宋体"/>
                <w:sz w:val="21"/>
                <w:szCs w:val="21"/>
              </w:rPr>
            </w:pPr>
            <w:r>
              <w:rPr>
                <w:rFonts w:hint="eastAsia" w:ascii="宋体" w:hAnsi="宋体" w:eastAsia="宋体" w:cs="宋体"/>
                <w:sz w:val="21"/>
                <w:szCs w:val="21"/>
              </w:rPr>
              <w:t>（3）已办理数字证书（电子密钥）的用户，可以继续使用数字证书完成投标活动。未申请电子营业执照或无法通过电子营业执照完成投标文件制作和加解密的用户，必须使用电子密钥进行投标文件制作和加解密，咨询电话0755-83948165，020-89524338（CA办理指引详见链接https://szggzy.com/calock/caLock.html）。</w:t>
            </w:r>
          </w:p>
        </w:tc>
      </w:tr>
    </w:tbl>
    <w:p w14:paraId="385E37D8">
      <w:pPr>
        <w:ind w:firstLine="480" w:firstLineChars="200"/>
        <w:rPr>
          <w:b/>
          <w:bCs/>
        </w:rPr>
      </w:pPr>
    </w:p>
    <w:p w14:paraId="11912766">
      <w:pPr>
        <w:rPr>
          <w:rFonts w:cs="宋体"/>
          <w:szCs w:val="28"/>
        </w:rPr>
      </w:pPr>
    </w:p>
    <w:p w14:paraId="08A123F0">
      <w:pPr>
        <w:pStyle w:val="21"/>
        <w:jc w:val="center"/>
        <w:outlineLvl w:val="1"/>
        <w:rPr>
          <w:rFonts w:hint="eastAsia" w:ascii="黑体" w:hAnsi="黑体" w:eastAsia="黑体" w:cs="黑体"/>
          <w:sz w:val="36"/>
          <w:szCs w:val="36"/>
        </w:rPr>
      </w:pPr>
      <w:r>
        <w:rPr>
          <w:rFonts w:hint="eastAsia" w:ascii="黑体" w:hAnsi="黑体" w:eastAsia="黑体" w:cs="黑体"/>
          <w:b/>
          <w:bCs/>
          <w:sz w:val="36"/>
          <w:szCs w:val="36"/>
        </w:rPr>
        <w:br w:type="page"/>
      </w:r>
      <w:r>
        <w:rPr>
          <w:rFonts w:hint="eastAsia" w:ascii="黑体" w:hAnsi="黑体" w:eastAsia="黑体" w:cs="黑体"/>
          <w:b/>
          <w:bCs/>
          <w:sz w:val="36"/>
          <w:szCs w:val="36"/>
        </w:rPr>
        <w:t>第三章 用户需求书</w:t>
      </w:r>
    </w:p>
    <w:p w14:paraId="28EC644A">
      <w:pPr>
        <w:pStyle w:val="4"/>
        <w:spacing w:before="120" w:beforeLines="50" w:after="120" w:afterLines="50"/>
        <w:jc w:val="center"/>
        <w:rPr>
          <w:szCs w:val="28"/>
        </w:rPr>
      </w:pPr>
      <w:r>
        <w:rPr>
          <w:rFonts w:hint="eastAsia"/>
          <w:szCs w:val="28"/>
        </w:rPr>
        <w:t>一、项目基本信息</w:t>
      </w:r>
    </w:p>
    <w:tbl>
      <w:tblPr>
        <w:tblStyle w:val="28"/>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406"/>
        <w:gridCol w:w="1358"/>
        <w:gridCol w:w="1890"/>
        <w:gridCol w:w="2151"/>
      </w:tblGrid>
      <w:tr w14:paraId="436AF7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33" w:type="dxa"/>
            <w:vAlign w:val="center"/>
          </w:tcPr>
          <w:p w14:paraId="0FD023E8">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3406" w:type="dxa"/>
            <w:vAlign w:val="center"/>
          </w:tcPr>
          <w:p w14:paraId="3EFE3786">
            <w:pPr>
              <w:jc w:val="center"/>
              <w:rPr>
                <w:rFonts w:hint="eastAsia" w:ascii="宋体" w:hAnsi="宋体" w:eastAsia="宋体" w:cs="宋体"/>
                <w:b/>
                <w:sz w:val="21"/>
                <w:szCs w:val="21"/>
              </w:rPr>
            </w:pPr>
            <w:r>
              <w:rPr>
                <w:rFonts w:hint="eastAsia" w:ascii="宋体" w:hAnsi="宋体" w:eastAsia="宋体" w:cs="宋体"/>
                <w:b/>
                <w:sz w:val="21"/>
                <w:szCs w:val="21"/>
              </w:rPr>
              <w:t>采购项目名称</w:t>
            </w:r>
          </w:p>
        </w:tc>
        <w:tc>
          <w:tcPr>
            <w:tcW w:w="1358" w:type="dxa"/>
            <w:vAlign w:val="center"/>
          </w:tcPr>
          <w:p w14:paraId="39A4EB05">
            <w:pPr>
              <w:widowControl w:val="0"/>
              <w:jc w:val="center"/>
              <w:rPr>
                <w:rFonts w:hint="eastAsia" w:ascii="宋体" w:hAnsi="宋体" w:eastAsia="宋体" w:cs="宋体"/>
                <w:b/>
                <w:sz w:val="21"/>
                <w:szCs w:val="21"/>
              </w:rPr>
            </w:pPr>
            <w:r>
              <w:rPr>
                <w:rFonts w:hint="eastAsia" w:ascii="宋体" w:hAnsi="宋体" w:eastAsia="宋体" w:cs="宋体"/>
                <w:b/>
                <w:bCs/>
                <w:szCs w:val="21"/>
              </w:rPr>
              <w:t>备</w:t>
            </w:r>
            <w:r>
              <w:rPr>
                <w:b/>
                <w:bCs/>
                <w:szCs w:val="21"/>
              </w:rPr>
              <w:t>注</w:t>
            </w:r>
          </w:p>
        </w:tc>
        <w:tc>
          <w:tcPr>
            <w:tcW w:w="1890" w:type="dxa"/>
            <w:vAlign w:val="center"/>
          </w:tcPr>
          <w:p w14:paraId="06D8E268">
            <w:pPr>
              <w:jc w:val="center"/>
              <w:rPr>
                <w:rFonts w:hint="eastAsia" w:ascii="宋体" w:hAnsi="宋体" w:eastAsia="宋体" w:cs="宋体"/>
                <w:b/>
                <w:sz w:val="21"/>
                <w:szCs w:val="21"/>
              </w:rPr>
            </w:pPr>
            <w:r>
              <w:rPr>
                <w:rFonts w:hint="eastAsia" w:ascii="宋体" w:hAnsi="宋体" w:eastAsia="宋体" w:cs="宋体"/>
                <w:b/>
                <w:sz w:val="21"/>
                <w:szCs w:val="21"/>
              </w:rPr>
              <w:t>预算金额（元）</w:t>
            </w:r>
          </w:p>
        </w:tc>
        <w:tc>
          <w:tcPr>
            <w:tcW w:w="2151" w:type="dxa"/>
            <w:vAlign w:val="center"/>
          </w:tcPr>
          <w:p w14:paraId="49725D1D">
            <w:pPr>
              <w:jc w:val="center"/>
              <w:rPr>
                <w:rFonts w:hint="eastAsia" w:ascii="宋体" w:hAnsi="宋体" w:eastAsia="宋体" w:cs="宋体"/>
                <w:b/>
                <w:sz w:val="21"/>
                <w:szCs w:val="21"/>
              </w:rPr>
            </w:pPr>
            <w:r>
              <w:rPr>
                <w:rFonts w:hint="eastAsia" w:ascii="宋体" w:hAnsi="宋体" w:eastAsia="宋体" w:cs="宋体"/>
                <w:b/>
                <w:sz w:val="21"/>
                <w:szCs w:val="21"/>
              </w:rPr>
              <w:t>最高限价（元）</w:t>
            </w:r>
          </w:p>
        </w:tc>
      </w:tr>
      <w:tr w14:paraId="49CD56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3" w:type="dxa"/>
            <w:vAlign w:val="center"/>
          </w:tcPr>
          <w:p w14:paraId="799C4AA8">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3406" w:type="dxa"/>
            <w:vAlign w:val="center"/>
          </w:tcPr>
          <w:p w14:paraId="7BE90B42">
            <w:pPr>
              <w:jc w:val="center"/>
              <w:rPr>
                <w:rFonts w:hint="eastAsia" w:ascii="宋体" w:hAnsi="宋体" w:eastAsia="宋体" w:cs="宋体"/>
                <w:b/>
                <w:bCs/>
                <w:sz w:val="21"/>
                <w:szCs w:val="21"/>
                <w:lang w:eastAsia="zh-CN"/>
              </w:rPr>
            </w:pPr>
            <w:r>
              <w:rPr>
                <w:rFonts w:hint="eastAsia" w:ascii="宋体" w:hAnsi="宋体" w:eastAsia="宋体" w:cs="宋体"/>
                <w:sz w:val="21"/>
                <w:szCs w:val="21"/>
                <w:lang w:eastAsia="zh-CN"/>
              </w:rPr>
              <w:t>中山大学附属第八医院（深圳福田）生物实验室项目小动物MR成像系统</w:t>
            </w:r>
          </w:p>
        </w:tc>
        <w:tc>
          <w:tcPr>
            <w:tcW w:w="1358" w:type="dxa"/>
            <w:vAlign w:val="center"/>
          </w:tcPr>
          <w:p w14:paraId="3661E979">
            <w:pPr>
              <w:jc w:val="center"/>
              <w:rPr>
                <w:rFonts w:hint="eastAsia" w:ascii="宋体" w:hAnsi="宋体" w:eastAsia="宋体" w:cs="宋体"/>
                <w:bCs/>
                <w:sz w:val="21"/>
                <w:szCs w:val="21"/>
              </w:rPr>
            </w:pPr>
            <w:r>
              <w:rPr>
                <w:rFonts w:hint="eastAsia" w:ascii="宋体" w:hAnsi="宋体" w:eastAsia="宋体" w:cs="宋体"/>
                <w:sz w:val="21"/>
                <w:szCs w:val="21"/>
                <w:lang w:val="en-US" w:eastAsia="zh-CN"/>
              </w:rPr>
              <w:t>接受</w:t>
            </w:r>
            <w:r>
              <w:rPr>
                <w:rFonts w:hint="eastAsia" w:ascii="宋体" w:hAnsi="宋体" w:eastAsia="宋体" w:cs="宋体"/>
                <w:sz w:val="21"/>
                <w:szCs w:val="21"/>
              </w:rPr>
              <w:t>进口</w:t>
            </w:r>
          </w:p>
        </w:tc>
        <w:tc>
          <w:tcPr>
            <w:tcW w:w="1890" w:type="dxa"/>
            <w:vAlign w:val="center"/>
          </w:tcPr>
          <w:p w14:paraId="6546A298">
            <w:pPr>
              <w:jc w:val="center"/>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eastAsia="宋体" w:cs="宋体"/>
                <w:bCs/>
                <w:sz w:val="21"/>
                <w:szCs w:val="21"/>
                <w:lang w:val="en-US" w:eastAsia="zh-CN"/>
              </w:rPr>
              <w:t>25</w:t>
            </w:r>
            <w:r>
              <w:rPr>
                <w:rFonts w:hint="eastAsia" w:ascii="宋体" w:hAnsi="宋体" w:eastAsia="宋体" w:cs="宋体"/>
                <w:bCs/>
                <w:sz w:val="21"/>
                <w:szCs w:val="21"/>
              </w:rPr>
              <w:t>,</w:t>
            </w:r>
            <w:r>
              <w:rPr>
                <w:rFonts w:hint="eastAsia" w:ascii="宋体" w:hAnsi="宋体" w:eastAsia="宋体" w:cs="宋体"/>
                <w:bCs/>
                <w:sz w:val="21"/>
                <w:szCs w:val="21"/>
                <w:lang w:val="en-US" w:eastAsia="zh-CN"/>
              </w:rPr>
              <w:t>0</w:t>
            </w:r>
            <w:r>
              <w:rPr>
                <w:rFonts w:hint="eastAsia" w:ascii="宋体" w:hAnsi="宋体" w:eastAsia="宋体" w:cs="宋体"/>
                <w:bCs/>
                <w:sz w:val="21"/>
                <w:szCs w:val="21"/>
              </w:rPr>
              <w:t>00,000.00</w:t>
            </w:r>
          </w:p>
        </w:tc>
        <w:tc>
          <w:tcPr>
            <w:tcW w:w="2151" w:type="dxa"/>
            <w:vAlign w:val="center"/>
          </w:tcPr>
          <w:p w14:paraId="61D880AD">
            <w:pPr>
              <w:jc w:val="center"/>
              <w:rPr>
                <w:rFonts w:hint="eastAsia" w:ascii="宋体" w:hAnsi="宋体" w:eastAsia="宋体" w:cs="宋体"/>
                <w:sz w:val="21"/>
                <w:szCs w:val="21"/>
              </w:rPr>
            </w:pPr>
            <w:r>
              <w:rPr>
                <w:rFonts w:hint="eastAsia" w:ascii="宋体" w:hAnsi="宋体" w:eastAsia="宋体" w:cs="宋体"/>
                <w:bCs/>
                <w:sz w:val="21"/>
                <w:szCs w:val="21"/>
              </w:rPr>
              <w:t>¥</w:t>
            </w:r>
            <w:r>
              <w:rPr>
                <w:rFonts w:hint="eastAsia" w:ascii="宋体" w:hAnsi="宋体" w:eastAsia="宋体" w:cs="宋体"/>
                <w:bCs/>
                <w:sz w:val="21"/>
                <w:szCs w:val="21"/>
                <w:lang w:val="en-US" w:eastAsia="zh-CN"/>
              </w:rPr>
              <w:t>25</w:t>
            </w:r>
            <w:r>
              <w:rPr>
                <w:rFonts w:hint="eastAsia" w:ascii="宋体" w:hAnsi="宋体" w:eastAsia="宋体" w:cs="宋体"/>
                <w:bCs/>
                <w:sz w:val="21"/>
                <w:szCs w:val="21"/>
              </w:rPr>
              <w:t>,</w:t>
            </w:r>
            <w:r>
              <w:rPr>
                <w:rFonts w:hint="eastAsia" w:ascii="宋体" w:hAnsi="宋体" w:eastAsia="宋体" w:cs="宋体"/>
                <w:bCs/>
                <w:sz w:val="21"/>
                <w:szCs w:val="21"/>
                <w:lang w:val="en-US" w:eastAsia="zh-CN"/>
              </w:rPr>
              <w:t>0</w:t>
            </w:r>
            <w:r>
              <w:rPr>
                <w:rFonts w:hint="eastAsia" w:ascii="宋体" w:hAnsi="宋体" w:eastAsia="宋体" w:cs="宋体"/>
                <w:bCs/>
                <w:sz w:val="21"/>
                <w:szCs w:val="21"/>
              </w:rPr>
              <w:t>00,000.00</w:t>
            </w:r>
          </w:p>
        </w:tc>
      </w:tr>
    </w:tbl>
    <w:p w14:paraId="65794473">
      <w:pPr>
        <w:pStyle w:val="4"/>
        <w:spacing w:before="120" w:beforeLines="50" w:after="120" w:afterLines="50"/>
        <w:jc w:val="center"/>
        <w:rPr>
          <w:szCs w:val="24"/>
        </w:rPr>
      </w:pPr>
      <w:r>
        <w:rPr>
          <w:rFonts w:hint="eastAsia"/>
          <w:szCs w:val="24"/>
        </w:rPr>
        <w:t>二、</w:t>
      </w:r>
      <w:bookmarkStart w:id="26" w:name="_Hlk72073432"/>
      <w:r>
        <w:rPr>
          <w:rFonts w:hint="eastAsia"/>
          <w:szCs w:val="24"/>
        </w:rPr>
        <w:t>货物需求明细</w:t>
      </w:r>
      <w:bookmarkEnd w:id="26"/>
    </w:p>
    <w:tbl>
      <w:tblPr>
        <w:tblStyle w:val="28"/>
        <w:tblW w:w="877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417"/>
        <w:gridCol w:w="854"/>
        <w:gridCol w:w="862"/>
        <w:gridCol w:w="1058"/>
        <w:gridCol w:w="1708"/>
      </w:tblGrid>
      <w:tr w14:paraId="204FB1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shd w:val="clear" w:color="000000" w:fill="BFBFBF"/>
            <w:vAlign w:val="center"/>
          </w:tcPr>
          <w:p w14:paraId="134960DE">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17" w:type="dxa"/>
            <w:tcBorders>
              <w:tl2br w:val="nil"/>
              <w:tr2bl w:val="nil"/>
            </w:tcBorders>
            <w:shd w:val="clear" w:color="000000" w:fill="BFBFBF"/>
            <w:vAlign w:val="center"/>
          </w:tcPr>
          <w:p w14:paraId="794C71CD">
            <w:pPr>
              <w:widowControl/>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货物名称</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标的名称</w:t>
            </w:r>
            <w:r>
              <w:rPr>
                <w:rFonts w:hint="eastAsia" w:ascii="宋体" w:hAnsi="宋体" w:eastAsia="宋体" w:cs="宋体"/>
                <w:b/>
                <w:bCs/>
                <w:color w:val="auto"/>
                <w:kern w:val="0"/>
                <w:sz w:val="21"/>
                <w:szCs w:val="21"/>
                <w:highlight w:val="none"/>
                <w:lang w:eastAsia="zh-CN"/>
              </w:rPr>
              <w:t>）</w:t>
            </w:r>
          </w:p>
        </w:tc>
        <w:tc>
          <w:tcPr>
            <w:tcW w:w="854" w:type="dxa"/>
            <w:tcBorders>
              <w:tl2br w:val="nil"/>
              <w:tr2bl w:val="nil"/>
            </w:tcBorders>
            <w:shd w:val="clear" w:color="000000" w:fill="BFBFBF"/>
            <w:vAlign w:val="center"/>
          </w:tcPr>
          <w:p w14:paraId="020D218C">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数量</w:t>
            </w:r>
          </w:p>
        </w:tc>
        <w:tc>
          <w:tcPr>
            <w:tcW w:w="862" w:type="dxa"/>
            <w:tcBorders>
              <w:tl2br w:val="nil"/>
              <w:tr2bl w:val="nil"/>
            </w:tcBorders>
            <w:shd w:val="clear" w:color="000000" w:fill="BFBFBF"/>
            <w:vAlign w:val="center"/>
          </w:tcPr>
          <w:p w14:paraId="7599B85E">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单位</w:t>
            </w:r>
          </w:p>
        </w:tc>
        <w:tc>
          <w:tcPr>
            <w:tcW w:w="1058" w:type="dxa"/>
            <w:tcBorders>
              <w:tl2br w:val="nil"/>
              <w:tr2bl w:val="nil"/>
            </w:tcBorders>
            <w:shd w:val="clear" w:color="000000" w:fill="BFBFBF"/>
            <w:vAlign w:val="center"/>
          </w:tcPr>
          <w:p w14:paraId="7A913D33">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备注</w:t>
            </w:r>
          </w:p>
        </w:tc>
        <w:tc>
          <w:tcPr>
            <w:tcW w:w="1708" w:type="dxa"/>
            <w:tcBorders>
              <w:tl2br w:val="nil"/>
              <w:tr2bl w:val="nil"/>
            </w:tcBorders>
            <w:shd w:val="clear" w:color="000000" w:fill="BFBFBF"/>
            <w:vAlign w:val="center"/>
          </w:tcPr>
          <w:p w14:paraId="34F8203F">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所属行业</w:t>
            </w:r>
          </w:p>
        </w:tc>
      </w:tr>
      <w:tr w14:paraId="13DAA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5C755141">
            <w:pPr>
              <w:widowControl/>
              <w:numPr>
                <w:ilvl w:val="0"/>
                <w:numId w:val="0"/>
              </w:numPr>
              <w:ind w:left="425" w:leftChars="0" w:hanging="425"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t>1.</w:t>
            </w:r>
          </w:p>
        </w:tc>
        <w:tc>
          <w:tcPr>
            <w:tcW w:w="3417" w:type="dxa"/>
            <w:tcBorders>
              <w:tl2br w:val="nil"/>
              <w:tr2bl w:val="nil"/>
            </w:tcBorders>
            <w:vAlign w:val="center"/>
          </w:tcPr>
          <w:p w14:paraId="6CC0882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9.4T小动物磁共振成像系统</w:t>
            </w:r>
          </w:p>
        </w:tc>
        <w:tc>
          <w:tcPr>
            <w:tcW w:w="854" w:type="dxa"/>
            <w:tcBorders>
              <w:tl2br w:val="nil"/>
              <w:tr2bl w:val="nil"/>
            </w:tcBorders>
            <w:vAlign w:val="center"/>
          </w:tcPr>
          <w:p w14:paraId="1B2DF39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246A9A3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58" w:type="dxa"/>
            <w:vMerge w:val="restart"/>
            <w:tcBorders>
              <w:tl2br w:val="nil"/>
              <w:tr2bl w:val="nil"/>
            </w:tcBorders>
            <w:vAlign w:val="center"/>
          </w:tcPr>
          <w:p w14:paraId="419E274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接受</w:t>
            </w:r>
            <w:r>
              <w:rPr>
                <w:rFonts w:hint="eastAsia" w:ascii="宋体" w:hAnsi="宋体" w:eastAsia="宋体" w:cs="宋体"/>
                <w:color w:val="auto"/>
                <w:sz w:val="21"/>
                <w:szCs w:val="21"/>
                <w:highlight w:val="none"/>
              </w:rPr>
              <w:t>进口</w:t>
            </w:r>
          </w:p>
        </w:tc>
        <w:tc>
          <w:tcPr>
            <w:tcW w:w="1708" w:type="dxa"/>
            <w:tcBorders>
              <w:tl2br w:val="nil"/>
              <w:tr2bl w:val="nil"/>
            </w:tcBorders>
            <w:vAlign w:val="center"/>
          </w:tcPr>
          <w:p w14:paraId="132DEE8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0212FB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0BF12F73">
            <w:pPr>
              <w:widowControl/>
              <w:numPr>
                <w:ilvl w:val="1"/>
                <w:numId w:val="0"/>
              </w:numPr>
              <w:ind w:left="567" w:leftChars="0" w:hanging="567"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t>1.1.</w:t>
            </w:r>
          </w:p>
        </w:tc>
        <w:tc>
          <w:tcPr>
            <w:tcW w:w="3417" w:type="dxa"/>
            <w:tcBorders>
              <w:tl2br w:val="nil"/>
              <w:tr2bl w:val="nil"/>
            </w:tcBorders>
            <w:vAlign w:val="center"/>
          </w:tcPr>
          <w:p w14:paraId="4BF707E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9.4T超导磁体</w:t>
            </w:r>
          </w:p>
        </w:tc>
        <w:tc>
          <w:tcPr>
            <w:tcW w:w="854" w:type="dxa"/>
            <w:tcBorders>
              <w:tl2br w:val="nil"/>
              <w:tr2bl w:val="nil"/>
            </w:tcBorders>
            <w:vAlign w:val="center"/>
          </w:tcPr>
          <w:p w14:paraId="653A0B2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0CDBCD6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328E0671">
            <w:pPr>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3CF845C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56F585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157E515A">
            <w:pPr>
              <w:widowControl/>
              <w:numPr>
                <w:ilvl w:val="1"/>
                <w:numId w:val="0"/>
              </w:numPr>
              <w:ind w:left="567" w:leftChars="0" w:hanging="567"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1.2.</w:t>
            </w:r>
          </w:p>
        </w:tc>
        <w:tc>
          <w:tcPr>
            <w:tcW w:w="3417" w:type="dxa"/>
            <w:tcBorders>
              <w:tl2br w:val="nil"/>
              <w:tr2bl w:val="nil"/>
            </w:tcBorders>
            <w:vAlign w:val="center"/>
          </w:tcPr>
          <w:p w14:paraId="137DF6A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梯度功率放大器</w:t>
            </w:r>
          </w:p>
        </w:tc>
        <w:tc>
          <w:tcPr>
            <w:tcW w:w="854" w:type="dxa"/>
            <w:tcBorders>
              <w:tl2br w:val="nil"/>
              <w:tr2bl w:val="nil"/>
            </w:tcBorders>
            <w:vAlign w:val="center"/>
          </w:tcPr>
          <w:p w14:paraId="1B9DEE9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50AA3E58">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DD8214C">
            <w:pPr>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69DBF22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051B2C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20BC0665">
            <w:pPr>
              <w:widowControl/>
              <w:numPr>
                <w:ilvl w:val="1"/>
                <w:numId w:val="0"/>
              </w:numPr>
              <w:ind w:left="567" w:leftChars="0" w:hanging="567"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1.3.</w:t>
            </w:r>
          </w:p>
        </w:tc>
        <w:tc>
          <w:tcPr>
            <w:tcW w:w="3417" w:type="dxa"/>
            <w:tcBorders>
              <w:tl2br w:val="nil"/>
              <w:tr2bl w:val="nil"/>
            </w:tcBorders>
            <w:vAlign w:val="center"/>
          </w:tcPr>
          <w:p w14:paraId="7E3AA54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自动动物床及相关配件</w:t>
            </w:r>
          </w:p>
        </w:tc>
        <w:tc>
          <w:tcPr>
            <w:tcW w:w="854" w:type="dxa"/>
            <w:tcBorders>
              <w:tl2br w:val="nil"/>
              <w:tr2bl w:val="nil"/>
            </w:tcBorders>
            <w:vAlign w:val="center"/>
          </w:tcPr>
          <w:p w14:paraId="044A239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49423D3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39BEBCB">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64894E1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4C1CCE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6624F17C">
            <w:pPr>
              <w:widowControl/>
              <w:numPr>
                <w:ilvl w:val="1"/>
                <w:numId w:val="0"/>
              </w:numPr>
              <w:ind w:left="567" w:leftChars="0" w:hanging="567"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1.4.</w:t>
            </w:r>
          </w:p>
        </w:tc>
        <w:tc>
          <w:tcPr>
            <w:tcW w:w="3417" w:type="dxa"/>
            <w:tcBorders>
              <w:tl2br w:val="nil"/>
              <w:tr2bl w:val="nil"/>
            </w:tcBorders>
            <w:vAlign w:val="center"/>
          </w:tcPr>
          <w:p w14:paraId="0956156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射频系统</w:t>
            </w:r>
          </w:p>
        </w:tc>
        <w:tc>
          <w:tcPr>
            <w:tcW w:w="854" w:type="dxa"/>
            <w:tcBorders>
              <w:tl2br w:val="nil"/>
              <w:tr2bl w:val="nil"/>
            </w:tcBorders>
            <w:vAlign w:val="center"/>
          </w:tcPr>
          <w:p w14:paraId="445C41A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5C886009">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7F6A15B2">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715C7D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38EE0A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10AD8985">
            <w:pPr>
              <w:widowControl/>
              <w:numPr>
                <w:ilvl w:val="1"/>
                <w:numId w:val="0"/>
              </w:numPr>
              <w:ind w:left="567" w:leftChars="0" w:hanging="567"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1.5.</w:t>
            </w:r>
          </w:p>
        </w:tc>
        <w:tc>
          <w:tcPr>
            <w:tcW w:w="3417" w:type="dxa"/>
            <w:tcBorders>
              <w:tl2br w:val="nil"/>
              <w:tr2bl w:val="nil"/>
            </w:tcBorders>
            <w:vAlign w:val="center"/>
          </w:tcPr>
          <w:p w14:paraId="1C11201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匀场电源</w:t>
            </w:r>
          </w:p>
        </w:tc>
        <w:tc>
          <w:tcPr>
            <w:tcW w:w="854" w:type="dxa"/>
            <w:tcBorders>
              <w:tl2br w:val="nil"/>
              <w:tr2bl w:val="nil"/>
            </w:tcBorders>
            <w:vAlign w:val="center"/>
          </w:tcPr>
          <w:p w14:paraId="557AB51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2611596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F84E6BB">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48A4314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1E688C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67F22E40">
            <w:pPr>
              <w:widowControl/>
              <w:numPr>
                <w:ilvl w:val="1"/>
                <w:numId w:val="0"/>
              </w:numPr>
              <w:ind w:left="567" w:leftChars="0" w:hanging="567"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1.6.</w:t>
            </w:r>
          </w:p>
        </w:tc>
        <w:tc>
          <w:tcPr>
            <w:tcW w:w="3417" w:type="dxa"/>
            <w:tcBorders>
              <w:tl2br w:val="nil"/>
              <w:tr2bl w:val="nil"/>
            </w:tcBorders>
            <w:vAlign w:val="center"/>
          </w:tcPr>
          <w:p w14:paraId="01D00EB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相关软件包</w:t>
            </w:r>
          </w:p>
        </w:tc>
        <w:tc>
          <w:tcPr>
            <w:tcW w:w="854" w:type="dxa"/>
            <w:tcBorders>
              <w:tl2br w:val="nil"/>
              <w:tr2bl w:val="nil"/>
            </w:tcBorders>
            <w:vAlign w:val="center"/>
          </w:tcPr>
          <w:p w14:paraId="38C6FBF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665F703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B247E5D">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CF3A99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6BAD6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1953D41E">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1.7.</w:t>
            </w:r>
          </w:p>
        </w:tc>
        <w:tc>
          <w:tcPr>
            <w:tcW w:w="3417" w:type="dxa"/>
            <w:tcBorders>
              <w:tl2br w:val="nil"/>
              <w:tr2bl w:val="nil"/>
            </w:tcBorders>
            <w:vAlign w:val="center"/>
          </w:tcPr>
          <w:p w14:paraId="7ED8729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后处理工作站</w:t>
            </w:r>
          </w:p>
        </w:tc>
        <w:tc>
          <w:tcPr>
            <w:tcW w:w="854" w:type="dxa"/>
            <w:tcBorders>
              <w:tl2br w:val="nil"/>
              <w:tr2bl w:val="nil"/>
            </w:tcBorders>
            <w:vAlign w:val="center"/>
          </w:tcPr>
          <w:p w14:paraId="7A38C77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118B7D8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73E555BD">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3D5B739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2C7908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7AD416FF">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1.8.</w:t>
            </w:r>
          </w:p>
        </w:tc>
        <w:tc>
          <w:tcPr>
            <w:tcW w:w="3417" w:type="dxa"/>
            <w:tcBorders>
              <w:tl2br w:val="nil"/>
              <w:tr2bl w:val="nil"/>
            </w:tcBorders>
            <w:vAlign w:val="center"/>
          </w:tcPr>
          <w:p w14:paraId="55A9C53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动物生理监测单元</w:t>
            </w:r>
          </w:p>
        </w:tc>
        <w:tc>
          <w:tcPr>
            <w:tcW w:w="854" w:type="dxa"/>
            <w:tcBorders>
              <w:tl2br w:val="nil"/>
              <w:tr2bl w:val="nil"/>
            </w:tcBorders>
            <w:vAlign w:val="center"/>
          </w:tcPr>
          <w:p w14:paraId="6A4F5BC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78E54AC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0E389F6">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7A1EA29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4CFC1B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2771FDEB">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1.9.</w:t>
            </w:r>
          </w:p>
        </w:tc>
        <w:tc>
          <w:tcPr>
            <w:tcW w:w="3417" w:type="dxa"/>
            <w:tcBorders>
              <w:tl2br w:val="nil"/>
              <w:tr2bl w:val="nil"/>
            </w:tcBorders>
            <w:vAlign w:val="center"/>
          </w:tcPr>
          <w:p w14:paraId="3604BBF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动物麻醉装置</w:t>
            </w:r>
          </w:p>
        </w:tc>
        <w:tc>
          <w:tcPr>
            <w:tcW w:w="854" w:type="dxa"/>
            <w:tcBorders>
              <w:tl2br w:val="nil"/>
              <w:tr2bl w:val="nil"/>
            </w:tcBorders>
            <w:vAlign w:val="center"/>
          </w:tcPr>
          <w:p w14:paraId="1736DF72">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08DFB53B">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60BC524E">
            <w:pPr>
              <w:widowControl/>
              <w:jc w:val="center"/>
              <w:rPr>
                <w:rFonts w:hint="eastAsia" w:ascii="宋体" w:hAnsi="宋体" w:eastAsia="宋体" w:cs="宋体"/>
                <w:color w:val="auto"/>
                <w:sz w:val="21"/>
                <w:szCs w:val="21"/>
                <w:highlight w:val="none"/>
              </w:rPr>
            </w:pPr>
          </w:p>
        </w:tc>
        <w:tc>
          <w:tcPr>
            <w:tcW w:w="1708" w:type="dxa"/>
            <w:tcBorders>
              <w:tl2br w:val="nil"/>
              <w:tr2bl w:val="nil"/>
            </w:tcBorders>
            <w:shd w:val="clear" w:color="auto" w:fill="auto"/>
            <w:vAlign w:val="center"/>
          </w:tcPr>
          <w:p w14:paraId="055BF6D1">
            <w:pPr>
              <w:widowControl/>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工业</w:t>
            </w:r>
          </w:p>
        </w:tc>
      </w:tr>
      <w:tr w14:paraId="45E63C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5B205708">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1.10.</w:t>
            </w:r>
          </w:p>
        </w:tc>
        <w:tc>
          <w:tcPr>
            <w:tcW w:w="3417" w:type="dxa"/>
            <w:tcBorders>
              <w:tl2br w:val="nil"/>
              <w:tr2bl w:val="nil"/>
            </w:tcBorders>
            <w:vAlign w:val="center"/>
          </w:tcPr>
          <w:p w14:paraId="3884922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循环水保温系统</w:t>
            </w:r>
          </w:p>
        </w:tc>
        <w:tc>
          <w:tcPr>
            <w:tcW w:w="854" w:type="dxa"/>
            <w:tcBorders>
              <w:tl2br w:val="nil"/>
              <w:tr2bl w:val="nil"/>
            </w:tcBorders>
            <w:vAlign w:val="center"/>
          </w:tcPr>
          <w:p w14:paraId="28D64115">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7C62CF80">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683045F4">
            <w:pPr>
              <w:widowControl/>
              <w:jc w:val="center"/>
              <w:rPr>
                <w:rFonts w:hint="eastAsia" w:ascii="宋体" w:hAnsi="宋体" w:eastAsia="宋体" w:cs="宋体"/>
                <w:color w:val="auto"/>
                <w:sz w:val="21"/>
                <w:szCs w:val="21"/>
                <w:highlight w:val="none"/>
              </w:rPr>
            </w:pPr>
          </w:p>
        </w:tc>
        <w:tc>
          <w:tcPr>
            <w:tcW w:w="1708" w:type="dxa"/>
            <w:tcBorders>
              <w:tl2br w:val="nil"/>
              <w:tr2bl w:val="nil"/>
            </w:tcBorders>
            <w:shd w:val="clear" w:color="auto" w:fill="auto"/>
            <w:vAlign w:val="center"/>
          </w:tcPr>
          <w:p w14:paraId="195A57C1">
            <w:pPr>
              <w:widowControl/>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工业</w:t>
            </w:r>
          </w:p>
        </w:tc>
      </w:tr>
      <w:tr w14:paraId="164138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36CEC8E5">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1.11.</w:t>
            </w:r>
          </w:p>
        </w:tc>
        <w:tc>
          <w:tcPr>
            <w:tcW w:w="3417" w:type="dxa"/>
            <w:tcBorders>
              <w:tl2br w:val="nil"/>
              <w:tr2bl w:val="nil"/>
            </w:tcBorders>
            <w:vAlign w:val="center"/>
          </w:tcPr>
          <w:p w14:paraId="7293395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大小鼠头部容积线圈</w:t>
            </w:r>
          </w:p>
        </w:tc>
        <w:tc>
          <w:tcPr>
            <w:tcW w:w="854" w:type="dxa"/>
            <w:tcBorders>
              <w:tl2br w:val="nil"/>
              <w:tr2bl w:val="nil"/>
            </w:tcBorders>
            <w:vAlign w:val="center"/>
          </w:tcPr>
          <w:p w14:paraId="1342F05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7DD379C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69F6BBEB">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72280DD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03B341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4F75AECB">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1.12.</w:t>
            </w:r>
          </w:p>
        </w:tc>
        <w:tc>
          <w:tcPr>
            <w:tcW w:w="3417" w:type="dxa"/>
            <w:tcBorders>
              <w:tl2br w:val="nil"/>
              <w:tr2bl w:val="nil"/>
            </w:tcBorders>
            <w:vAlign w:val="center"/>
          </w:tcPr>
          <w:p w14:paraId="7DBFE8A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大鼠头小鼠体长调谐容积线圈</w:t>
            </w:r>
          </w:p>
        </w:tc>
        <w:tc>
          <w:tcPr>
            <w:tcW w:w="854" w:type="dxa"/>
            <w:tcBorders>
              <w:tl2br w:val="nil"/>
              <w:tr2bl w:val="nil"/>
            </w:tcBorders>
            <w:vAlign w:val="center"/>
          </w:tcPr>
          <w:p w14:paraId="7F49028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00B0404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3281D3B5">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48E8B40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65253C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23DFFB7C">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1.13.</w:t>
            </w:r>
          </w:p>
        </w:tc>
        <w:tc>
          <w:tcPr>
            <w:tcW w:w="3417" w:type="dxa"/>
            <w:tcBorders>
              <w:tl2br w:val="nil"/>
              <w:tr2bl w:val="nil"/>
            </w:tcBorders>
            <w:vAlign w:val="center"/>
          </w:tcPr>
          <w:p w14:paraId="784C40D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大鼠体部专用容积线圈</w:t>
            </w:r>
          </w:p>
        </w:tc>
        <w:tc>
          <w:tcPr>
            <w:tcW w:w="854" w:type="dxa"/>
            <w:tcBorders>
              <w:tl2br w:val="nil"/>
              <w:tr2bl w:val="nil"/>
            </w:tcBorders>
            <w:vAlign w:val="center"/>
          </w:tcPr>
          <w:p w14:paraId="399FAB1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4EBC787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7E1AF26A">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5245FB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26214D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3981029B">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1.14.</w:t>
            </w:r>
          </w:p>
        </w:tc>
        <w:tc>
          <w:tcPr>
            <w:tcW w:w="3417" w:type="dxa"/>
            <w:tcBorders>
              <w:tl2br w:val="nil"/>
              <w:tr2bl w:val="nil"/>
            </w:tcBorders>
            <w:vAlign w:val="center"/>
          </w:tcPr>
          <w:p w14:paraId="0C043601">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大鼠头部表面线圈</w:t>
            </w:r>
          </w:p>
        </w:tc>
        <w:tc>
          <w:tcPr>
            <w:tcW w:w="854" w:type="dxa"/>
            <w:tcBorders>
              <w:tl2br w:val="nil"/>
              <w:tr2bl w:val="nil"/>
            </w:tcBorders>
            <w:vAlign w:val="center"/>
          </w:tcPr>
          <w:p w14:paraId="52C14AAD">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862" w:type="dxa"/>
            <w:tcBorders>
              <w:tl2br w:val="nil"/>
              <w:tr2bl w:val="nil"/>
            </w:tcBorders>
            <w:vAlign w:val="center"/>
          </w:tcPr>
          <w:p w14:paraId="44D8E36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6EFE2E89">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2B9CA4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05A3FC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281DB87F">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1.15.</w:t>
            </w:r>
          </w:p>
        </w:tc>
        <w:tc>
          <w:tcPr>
            <w:tcW w:w="3417" w:type="dxa"/>
            <w:tcBorders>
              <w:tl2br w:val="nil"/>
              <w:tr2bl w:val="nil"/>
            </w:tcBorders>
            <w:vAlign w:val="center"/>
          </w:tcPr>
          <w:p w14:paraId="52205CC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小鼠头部表面线圈</w:t>
            </w:r>
          </w:p>
        </w:tc>
        <w:tc>
          <w:tcPr>
            <w:tcW w:w="854" w:type="dxa"/>
            <w:tcBorders>
              <w:tl2br w:val="nil"/>
              <w:tr2bl w:val="nil"/>
            </w:tcBorders>
            <w:vAlign w:val="center"/>
          </w:tcPr>
          <w:p w14:paraId="1FCB8A40">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862" w:type="dxa"/>
            <w:tcBorders>
              <w:tl2br w:val="nil"/>
              <w:tr2bl w:val="nil"/>
            </w:tcBorders>
            <w:vAlign w:val="center"/>
          </w:tcPr>
          <w:p w14:paraId="118E626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7612ED92">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6F29A87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3C36CF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2BCF7793">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1.16.</w:t>
            </w:r>
          </w:p>
        </w:tc>
        <w:tc>
          <w:tcPr>
            <w:tcW w:w="3417" w:type="dxa"/>
            <w:tcBorders>
              <w:tl2br w:val="nil"/>
              <w:tr2bl w:val="nil"/>
            </w:tcBorders>
            <w:vAlign w:val="center"/>
          </w:tcPr>
          <w:p w14:paraId="47879C5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小鼠头部光遗传线圈</w:t>
            </w:r>
          </w:p>
        </w:tc>
        <w:tc>
          <w:tcPr>
            <w:tcW w:w="854" w:type="dxa"/>
            <w:tcBorders>
              <w:tl2br w:val="nil"/>
              <w:tr2bl w:val="nil"/>
            </w:tcBorders>
            <w:vAlign w:val="center"/>
          </w:tcPr>
          <w:p w14:paraId="131D2A5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228A8B4D">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06257E4B">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27C8A60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22B052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3BAD10BE">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1.17.</w:t>
            </w:r>
          </w:p>
        </w:tc>
        <w:tc>
          <w:tcPr>
            <w:tcW w:w="3417" w:type="dxa"/>
            <w:tcBorders>
              <w:tl2br w:val="nil"/>
              <w:tr2bl w:val="nil"/>
            </w:tcBorders>
            <w:vAlign w:val="center"/>
          </w:tcPr>
          <w:p w14:paraId="74E4600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环形表面线圈</w:t>
            </w:r>
          </w:p>
        </w:tc>
        <w:tc>
          <w:tcPr>
            <w:tcW w:w="854" w:type="dxa"/>
            <w:tcBorders>
              <w:tl2br w:val="nil"/>
              <w:tr2bl w:val="nil"/>
            </w:tcBorders>
            <w:vAlign w:val="center"/>
          </w:tcPr>
          <w:p w14:paraId="69E959A0">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862" w:type="dxa"/>
            <w:tcBorders>
              <w:tl2br w:val="nil"/>
              <w:tr2bl w:val="nil"/>
            </w:tcBorders>
            <w:vAlign w:val="center"/>
          </w:tcPr>
          <w:p w14:paraId="2DDE3C6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19DB7F97">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6D7DF67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3E74FC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5C28EDB5">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1.18.</w:t>
            </w:r>
          </w:p>
        </w:tc>
        <w:tc>
          <w:tcPr>
            <w:tcW w:w="3417" w:type="dxa"/>
            <w:tcBorders>
              <w:tl2br w:val="nil"/>
              <w:tr2bl w:val="nil"/>
            </w:tcBorders>
            <w:vAlign w:val="center"/>
          </w:tcPr>
          <w:p w14:paraId="1F586A83">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小鼠多功能扫描的专用23Na核多功能单环线圈</w:t>
            </w:r>
          </w:p>
        </w:tc>
        <w:tc>
          <w:tcPr>
            <w:tcW w:w="854" w:type="dxa"/>
            <w:tcBorders>
              <w:tl2br w:val="nil"/>
              <w:tr2bl w:val="nil"/>
            </w:tcBorders>
            <w:vAlign w:val="center"/>
          </w:tcPr>
          <w:p w14:paraId="7162B816">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0B9C327B">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36F79C76">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7AED69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4AB868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07D0A33F">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1.19.</w:t>
            </w:r>
          </w:p>
        </w:tc>
        <w:tc>
          <w:tcPr>
            <w:tcW w:w="3417" w:type="dxa"/>
            <w:tcBorders>
              <w:tl2br w:val="nil"/>
              <w:tr2bl w:val="nil"/>
            </w:tcBorders>
            <w:vAlign w:val="center"/>
          </w:tcPr>
          <w:p w14:paraId="5D0D25D2">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小鼠多功能扫描的专用31P核多功能单环线圈</w:t>
            </w:r>
          </w:p>
        </w:tc>
        <w:tc>
          <w:tcPr>
            <w:tcW w:w="854" w:type="dxa"/>
            <w:tcBorders>
              <w:tl2br w:val="nil"/>
              <w:tr2bl w:val="nil"/>
            </w:tcBorders>
            <w:vAlign w:val="center"/>
          </w:tcPr>
          <w:p w14:paraId="15103DEE">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390E53D7">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0B6FEA88">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516B6EB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139A03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562E0AC8">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1.20.</w:t>
            </w:r>
          </w:p>
        </w:tc>
        <w:tc>
          <w:tcPr>
            <w:tcW w:w="3417" w:type="dxa"/>
            <w:tcBorders>
              <w:tl2br w:val="nil"/>
              <w:tr2bl w:val="nil"/>
            </w:tcBorders>
            <w:vAlign w:val="center"/>
          </w:tcPr>
          <w:p w14:paraId="0019526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小鼠多功能扫描的专用2H核多功能单环线圈</w:t>
            </w:r>
          </w:p>
        </w:tc>
        <w:tc>
          <w:tcPr>
            <w:tcW w:w="854" w:type="dxa"/>
            <w:tcBorders>
              <w:tl2br w:val="nil"/>
              <w:tr2bl w:val="nil"/>
            </w:tcBorders>
            <w:vAlign w:val="center"/>
          </w:tcPr>
          <w:p w14:paraId="6E907E9F">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6A1DA03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4DA648E">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F04BE9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77A78D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0D679579">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1.21.</w:t>
            </w:r>
          </w:p>
        </w:tc>
        <w:tc>
          <w:tcPr>
            <w:tcW w:w="3417" w:type="dxa"/>
            <w:tcBorders>
              <w:tl2br w:val="nil"/>
              <w:tr2bl w:val="nil"/>
            </w:tcBorders>
            <w:vAlign w:val="center"/>
          </w:tcPr>
          <w:p w14:paraId="3BF39840">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高性能梯度线圈</w:t>
            </w:r>
          </w:p>
        </w:tc>
        <w:tc>
          <w:tcPr>
            <w:tcW w:w="854" w:type="dxa"/>
            <w:tcBorders>
              <w:tl2br w:val="nil"/>
              <w:tr2bl w:val="nil"/>
            </w:tcBorders>
            <w:vAlign w:val="center"/>
          </w:tcPr>
          <w:p w14:paraId="57181EF5">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6C3E860C">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23E41B0C">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5A4FE75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4DB086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0A70553B">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p>
        </w:tc>
        <w:tc>
          <w:tcPr>
            <w:tcW w:w="3417" w:type="dxa"/>
            <w:tcBorders>
              <w:tl2br w:val="nil"/>
              <w:tr2bl w:val="nil"/>
            </w:tcBorders>
            <w:vAlign w:val="center"/>
          </w:tcPr>
          <w:p w14:paraId="7976CE61">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精密空调</w:t>
            </w:r>
          </w:p>
        </w:tc>
        <w:tc>
          <w:tcPr>
            <w:tcW w:w="854" w:type="dxa"/>
            <w:tcBorders>
              <w:tl2br w:val="nil"/>
              <w:tr2bl w:val="nil"/>
            </w:tcBorders>
            <w:vAlign w:val="center"/>
          </w:tcPr>
          <w:p w14:paraId="602AA9F2">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47693704">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57E3B4FA">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5BBC555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r w14:paraId="04C8D0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l2br w:val="nil"/>
              <w:tr2bl w:val="nil"/>
            </w:tcBorders>
            <w:vAlign w:val="center"/>
          </w:tcPr>
          <w:p w14:paraId="2110DC69">
            <w:pPr>
              <w:widowControl/>
              <w:numPr>
                <w:ilvl w:val="1"/>
                <w:numId w:val="0"/>
              </w:numPr>
              <w:ind w:left="567" w:leftChars="0" w:hanging="567"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3.</w:t>
            </w:r>
          </w:p>
        </w:tc>
        <w:tc>
          <w:tcPr>
            <w:tcW w:w="3417" w:type="dxa"/>
            <w:tcBorders>
              <w:tl2br w:val="nil"/>
              <w:tr2bl w:val="nil"/>
            </w:tcBorders>
            <w:vAlign w:val="center"/>
          </w:tcPr>
          <w:p w14:paraId="3750597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水冷机</w:t>
            </w:r>
          </w:p>
        </w:tc>
        <w:tc>
          <w:tcPr>
            <w:tcW w:w="854" w:type="dxa"/>
            <w:tcBorders>
              <w:tl2br w:val="nil"/>
              <w:tr2bl w:val="nil"/>
            </w:tcBorders>
            <w:vAlign w:val="center"/>
          </w:tcPr>
          <w:p w14:paraId="3ADDFDE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862" w:type="dxa"/>
            <w:tcBorders>
              <w:tl2br w:val="nil"/>
              <w:tr2bl w:val="nil"/>
            </w:tcBorders>
            <w:vAlign w:val="center"/>
          </w:tcPr>
          <w:p w14:paraId="58AF03FA">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套</w:t>
            </w:r>
          </w:p>
        </w:tc>
        <w:tc>
          <w:tcPr>
            <w:tcW w:w="1058" w:type="dxa"/>
            <w:vMerge w:val="continue"/>
            <w:tcBorders>
              <w:tl2br w:val="nil"/>
              <w:tr2bl w:val="nil"/>
            </w:tcBorders>
            <w:vAlign w:val="center"/>
          </w:tcPr>
          <w:p w14:paraId="113D7C5A">
            <w:pPr>
              <w:widowControl/>
              <w:jc w:val="center"/>
              <w:rPr>
                <w:rFonts w:hint="eastAsia" w:ascii="宋体" w:hAnsi="宋体" w:eastAsia="宋体" w:cs="宋体"/>
                <w:color w:val="auto"/>
                <w:sz w:val="21"/>
                <w:szCs w:val="21"/>
                <w:highlight w:val="none"/>
              </w:rPr>
            </w:pPr>
          </w:p>
        </w:tc>
        <w:tc>
          <w:tcPr>
            <w:tcW w:w="1708" w:type="dxa"/>
            <w:tcBorders>
              <w:tl2br w:val="nil"/>
              <w:tr2bl w:val="nil"/>
            </w:tcBorders>
            <w:vAlign w:val="center"/>
          </w:tcPr>
          <w:p w14:paraId="1BDCFD8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r>
    </w:tbl>
    <w:p w14:paraId="512CA900">
      <w:pPr>
        <w:ind w:firstLine="632" w:firstLineChars="300"/>
        <w:rPr>
          <w:rFonts w:hint="eastAsia" w:ascii="宋体" w:hAnsi="宋体" w:eastAsia="宋体" w:cs="宋体"/>
          <w:b/>
          <w:color w:val="FF0000"/>
          <w:sz w:val="21"/>
          <w:szCs w:val="21"/>
        </w:rPr>
      </w:pPr>
      <w:r>
        <w:rPr>
          <w:rFonts w:hint="eastAsia" w:ascii="宋体" w:hAnsi="宋体" w:eastAsia="宋体" w:cs="宋体"/>
          <w:b/>
          <w:color w:val="FF0000"/>
          <w:sz w:val="21"/>
          <w:szCs w:val="21"/>
        </w:rPr>
        <w:t>备注：</w:t>
      </w:r>
    </w:p>
    <w:p w14:paraId="395C4489">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1.备注栏注明</w:t>
      </w:r>
      <w:r>
        <w:rPr>
          <w:rFonts w:hint="eastAsia" w:ascii="宋体" w:hAnsi="宋体" w:eastAsia="宋体" w:cs="宋体"/>
          <w:b/>
          <w:color w:val="FF0000"/>
          <w:sz w:val="21"/>
          <w:szCs w:val="21"/>
          <w:u w:val="double"/>
        </w:rPr>
        <w:t>“拒绝进口”</w:t>
      </w:r>
      <w:r>
        <w:rPr>
          <w:rFonts w:hint="eastAsia" w:ascii="宋体" w:hAnsi="宋体" w:eastAsia="宋体" w:cs="宋体"/>
          <w:b/>
          <w:color w:val="FF0000"/>
          <w:sz w:val="21"/>
          <w:szCs w:val="21"/>
        </w:rPr>
        <w:t>的产品不接受投标人选用进口产品参与投标；注明</w:t>
      </w:r>
      <w:r>
        <w:rPr>
          <w:rFonts w:hint="eastAsia" w:ascii="宋体" w:hAnsi="宋体" w:eastAsia="宋体" w:cs="宋体"/>
          <w:b/>
          <w:color w:val="FF0000"/>
          <w:sz w:val="21"/>
          <w:szCs w:val="21"/>
          <w:u w:val="double"/>
        </w:rPr>
        <w:t>“接受进口”</w:t>
      </w:r>
      <w:r>
        <w:rPr>
          <w:rFonts w:hint="eastAsia" w:ascii="宋体" w:hAnsi="宋体" w:eastAsia="宋体" w:cs="宋体"/>
          <w:b/>
          <w:color w:val="FF0000"/>
          <w:sz w:val="21"/>
          <w:szCs w:val="21"/>
        </w:rPr>
        <w:t xml:space="preserve">的产品允许投标人选用进口产品参与投标，但不排斥国内产品。 </w:t>
      </w:r>
    </w:p>
    <w:p w14:paraId="23BE05F3">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324D8179">
      <w:pPr>
        <w:ind w:firstLine="422" w:firstLineChars="200"/>
        <w:rPr>
          <w:rFonts w:hint="eastAsia" w:ascii="宋体" w:hAnsi="宋体" w:eastAsia="宋体" w:cs="宋体"/>
          <w:b/>
          <w:color w:val="FF0000"/>
          <w:sz w:val="21"/>
          <w:szCs w:val="21"/>
          <w:lang w:eastAsia="zh-CN"/>
        </w:rPr>
      </w:pPr>
      <w:r>
        <w:rPr>
          <w:rFonts w:hint="eastAsia" w:ascii="宋体" w:hAnsi="宋体" w:eastAsia="宋体" w:cs="宋体"/>
          <w:b/>
          <w:color w:val="FF0000"/>
          <w:sz w:val="21"/>
          <w:szCs w:val="21"/>
        </w:rPr>
        <w:t>3.核心产品：9.4T小动物磁共振成像系统</w:t>
      </w:r>
    </w:p>
    <w:p w14:paraId="5FE79A57">
      <w:pPr>
        <w:rPr>
          <w:rFonts w:hint="eastAsia"/>
          <w:szCs w:val="28"/>
        </w:rPr>
      </w:pPr>
      <w:r>
        <w:rPr>
          <w:rFonts w:hint="eastAsia"/>
          <w:szCs w:val="28"/>
        </w:rPr>
        <w:br w:type="page"/>
      </w:r>
    </w:p>
    <w:p w14:paraId="4BF70E5F">
      <w:pPr>
        <w:pStyle w:val="4"/>
        <w:spacing w:before="120" w:beforeLines="50" w:after="120" w:afterLines="50"/>
        <w:jc w:val="center"/>
        <w:rPr>
          <w:rFonts w:cs="宋体"/>
          <w:szCs w:val="28"/>
        </w:rPr>
      </w:pPr>
      <w:r>
        <w:rPr>
          <w:rFonts w:hint="eastAsia"/>
          <w:szCs w:val="28"/>
        </w:rPr>
        <w:t>三、技术要求</w:t>
      </w:r>
    </w:p>
    <w:p w14:paraId="5FEF3D35">
      <w:pPr>
        <w:rPr>
          <w:rFonts w:ascii="宋体" w:eastAsia="宋体" w:cs="宋体"/>
          <w:b/>
          <w:sz w:val="21"/>
          <w:szCs w:val="21"/>
        </w:rPr>
      </w:pPr>
      <w:r>
        <w:rPr>
          <w:rFonts w:hint="eastAsia" w:ascii="宋体" w:eastAsia="宋体" w:cs="宋体"/>
          <w:b/>
          <w:sz w:val="21"/>
          <w:szCs w:val="21"/>
        </w:rPr>
        <w:t>说明：</w:t>
      </w:r>
    </w:p>
    <w:p w14:paraId="780C0D44">
      <w:pPr>
        <w:rPr>
          <w:rFonts w:ascii="宋体" w:eastAsia="宋体" w:cs="宋体"/>
          <w:b/>
          <w:sz w:val="21"/>
          <w:szCs w:val="21"/>
        </w:rPr>
      </w:pPr>
      <w:r>
        <w:rPr>
          <w:rFonts w:hint="eastAsia" w:ascii="宋体" w:eastAsia="宋体" w:cs="宋体"/>
          <w:b/>
          <w:sz w:val="21"/>
          <w:szCs w:val="21"/>
        </w:rPr>
        <w:t>1、评分时，如对一项招标技术要求（以划分框为准）中的内容存在两处（或以上）负偏离的，在评分时只作一项负偏离扣分。</w:t>
      </w:r>
    </w:p>
    <w:p w14:paraId="0165E2F1">
      <w:pPr>
        <w:rPr>
          <w:rFonts w:ascii="宋体" w:eastAsia="宋体" w:cs="宋体"/>
          <w:b/>
          <w:sz w:val="21"/>
          <w:szCs w:val="21"/>
        </w:rPr>
      </w:pPr>
      <w:r>
        <w:rPr>
          <w:rFonts w:hint="eastAsia" w:ascii="宋体" w:eastAsia="宋体" w:cs="宋体"/>
          <w:b/>
          <w:sz w:val="21"/>
          <w:szCs w:val="21"/>
        </w:rPr>
        <w:t>2、带“★”指标项为实质性条款，如出现负偏离，将被视为未实质性满足招标文件要求作投标无效处理；带“▲”指标项为重要参数条款，负偏离时依相关评分准则内容作重点扣分处理。</w:t>
      </w:r>
    </w:p>
    <w:p w14:paraId="3CBFE721">
      <w:pPr>
        <w:rPr>
          <w:rFonts w:ascii="宋体" w:eastAsia="宋体" w:cs="宋体"/>
          <w:b/>
          <w:sz w:val="21"/>
          <w:szCs w:val="21"/>
        </w:rPr>
      </w:pPr>
      <w:r>
        <w:rPr>
          <w:rFonts w:hint="eastAsia" w:ascii="宋体" w:eastAsia="宋体" w:cs="宋体"/>
          <w:b/>
          <w:sz w:val="21"/>
          <w:szCs w:val="21"/>
        </w:rPr>
        <w:t>3、招标技术要求中，用</w:t>
      </w:r>
      <w:r>
        <w:rPr>
          <w:rFonts w:hint="eastAsia" w:ascii="宋体" w:eastAsia="宋体" w:cs="宋体"/>
          <w:b/>
          <w:color w:val="FF0000"/>
          <w:sz w:val="21"/>
          <w:szCs w:val="21"/>
        </w:rPr>
        <w:t>红色加粗字体标注</w:t>
      </w:r>
      <w:r>
        <w:rPr>
          <w:rFonts w:hint="eastAsia" w:ascii="宋体" w:eastAsia="宋体" w:cs="宋体"/>
          <w:b/>
          <w:sz w:val="21"/>
          <w:szCs w:val="21"/>
        </w:rPr>
        <w:t>的指标项均要求提供证明资料；其余指标项未要求提供证明资料，无需提供相关证明资料。</w:t>
      </w:r>
    </w:p>
    <w:p w14:paraId="2912C3F1">
      <w:pPr>
        <w:rPr>
          <w:rFonts w:ascii="宋体" w:eastAsia="宋体" w:cs="宋体"/>
          <w:b/>
          <w:sz w:val="21"/>
          <w:szCs w:val="21"/>
        </w:rPr>
      </w:pPr>
      <w:r>
        <w:rPr>
          <w:rFonts w:hint="eastAsia" w:ascii="宋体" w:eastAsia="宋体" w:cs="宋体"/>
          <w:b/>
          <w:sz w:val="21"/>
          <w:szCs w:val="21"/>
        </w:rPr>
        <w:t>4、涉及区间的技术要求，除特别注明以外，所投产品响应数值在招标文件要求的区间范围内即认定为满足该项技术要求。例：区间要求为0-20ML, 所投产品响应为0ML、10ML或20ML等（即在区间范围内），即为满足该项技术要求。</w:t>
      </w:r>
    </w:p>
    <w:tbl>
      <w:tblPr>
        <w:tblStyle w:val="28"/>
        <w:tblW w:w="863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532"/>
        <w:gridCol w:w="5643"/>
        <w:gridCol w:w="753"/>
      </w:tblGrid>
      <w:tr w14:paraId="5E7C26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tcBorders>
              <w:tl2br w:val="nil"/>
              <w:tr2bl w:val="nil"/>
            </w:tcBorders>
            <w:shd w:val="clear" w:color="auto" w:fill="BEBEBE"/>
            <w:vAlign w:val="center"/>
          </w:tcPr>
          <w:p w14:paraId="47815472">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532" w:type="dxa"/>
            <w:tcBorders>
              <w:tl2br w:val="nil"/>
              <w:tr2bl w:val="nil"/>
            </w:tcBorders>
            <w:shd w:val="clear" w:color="auto" w:fill="BEBEBE"/>
            <w:vAlign w:val="center"/>
          </w:tcPr>
          <w:p w14:paraId="0C1B3159">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货物名称</w:t>
            </w:r>
          </w:p>
        </w:tc>
        <w:tc>
          <w:tcPr>
            <w:tcW w:w="5643" w:type="dxa"/>
            <w:tcBorders>
              <w:tl2br w:val="nil"/>
              <w:tr2bl w:val="nil"/>
            </w:tcBorders>
            <w:shd w:val="clear" w:color="auto" w:fill="BEBEBE"/>
            <w:vAlign w:val="center"/>
          </w:tcPr>
          <w:p w14:paraId="4F208F3C">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技术要求</w:t>
            </w:r>
          </w:p>
        </w:tc>
        <w:tc>
          <w:tcPr>
            <w:tcW w:w="753" w:type="dxa"/>
            <w:tcBorders>
              <w:tl2br w:val="nil"/>
              <w:tr2bl w:val="nil"/>
            </w:tcBorders>
            <w:shd w:val="clear" w:color="auto" w:fill="BEBEBE"/>
            <w:vAlign w:val="center"/>
          </w:tcPr>
          <w:p w14:paraId="287D995E">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标注</w:t>
            </w:r>
          </w:p>
        </w:tc>
      </w:tr>
      <w:tr w14:paraId="70D8A0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restart"/>
            <w:tcBorders>
              <w:tl2br w:val="nil"/>
              <w:tr2bl w:val="nil"/>
            </w:tcBorders>
            <w:vAlign w:val="center"/>
          </w:tcPr>
          <w:p w14:paraId="2BF1B5B2">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1532" w:type="dxa"/>
            <w:vMerge w:val="restart"/>
            <w:tcBorders>
              <w:tl2br w:val="nil"/>
              <w:tr2bl w:val="nil"/>
            </w:tcBorders>
            <w:vAlign w:val="center"/>
          </w:tcPr>
          <w:p w14:paraId="60E86B1C">
            <w:pPr>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小动物MR成像系统</w:t>
            </w:r>
          </w:p>
        </w:tc>
        <w:tc>
          <w:tcPr>
            <w:tcW w:w="5643" w:type="dxa"/>
            <w:tcBorders>
              <w:tl2br w:val="nil"/>
              <w:tr2bl w:val="nil"/>
            </w:tcBorders>
            <w:vAlign w:val="center"/>
          </w:tcPr>
          <w:p w14:paraId="14377720">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1、磁体技术：</w:t>
            </w:r>
          </w:p>
        </w:tc>
        <w:tc>
          <w:tcPr>
            <w:tcW w:w="753" w:type="dxa"/>
            <w:tcBorders>
              <w:tl2br w:val="nil"/>
              <w:tr2bl w:val="nil"/>
            </w:tcBorders>
            <w:vAlign w:val="center"/>
          </w:tcPr>
          <w:p w14:paraId="09D263D9">
            <w:pPr>
              <w:jc w:val="left"/>
              <w:rPr>
                <w:rFonts w:hint="eastAsia" w:ascii="宋体" w:hAnsi="宋体" w:eastAsia="宋体" w:cs="宋体"/>
                <w:kern w:val="0"/>
                <w:sz w:val="21"/>
                <w:szCs w:val="21"/>
                <w:highlight w:val="none"/>
              </w:rPr>
            </w:pPr>
          </w:p>
        </w:tc>
      </w:tr>
      <w:tr w14:paraId="58386BB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0BB8463A">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9616DF3">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2AA6A7B1">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1.1场强≥9.4T</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shd w:val="clear" w:color="auto" w:fill="auto"/>
            <w:vAlign w:val="center"/>
          </w:tcPr>
          <w:p w14:paraId="431BC54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w:t>
            </w:r>
          </w:p>
        </w:tc>
      </w:tr>
      <w:tr w14:paraId="486D73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tl2br w:val="nil"/>
              <w:tr2bl w:val="nil"/>
            </w:tcBorders>
            <w:vAlign w:val="center"/>
          </w:tcPr>
          <w:p w14:paraId="5DDFC40B">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7E26775">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800214E">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1.2磁场稳定性：漂移量≤0.05ppm/h</w:t>
            </w:r>
          </w:p>
        </w:tc>
        <w:tc>
          <w:tcPr>
            <w:tcW w:w="753" w:type="dxa"/>
            <w:tcBorders>
              <w:tl2br w:val="nil"/>
              <w:tr2bl w:val="nil"/>
            </w:tcBorders>
            <w:vAlign w:val="center"/>
          </w:tcPr>
          <w:p w14:paraId="61BD3828">
            <w:pPr>
              <w:jc w:val="center"/>
              <w:rPr>
                <w:rFonts w:hint="eastAsia" w:ascii="宋体" w:hAnsi="宋体" w:eastAsia="宋体" w:cs="宋体"/>
                <w:kern w:val="0"/>
                <w:sz w:val="21"/>
                <w:szCs w:val="21"/>
                <w:highlight w:val="none"/>
              </w:rPr>
            </w:pPr>
          </w:p>
        </w:tc>
      </w:tr>
      <w:tr w14:paraId="357AA5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09EF98E">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674060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F9AB16E">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1.3磁体均匀度≤7ppm@18cm DSV</w:t>
            </w:r>
          </w:p>
        </w:tc>
        <w:tc>
          <w:tcPr>
            <w:tcW w:w="753" w:type="dxa"/>
            <w:tcBorders>
              <w:tl2br w:val="nil"/>
              <w:tr2bl w:val="nil"/>
            </w:tcBorders>
            <w:vAlign w:val="center"/>
          </w:tcPr>
          <w:p w14:paraId="4F948C91">
            <w:pPr>
              <w:jc w:val="center"/>
              <w:rPr>
                <w:rFonts w:hint="eastAsia" w:ascii="宋体" w:hAnsi="宋体" w:eastAsia="宋体" w:cs="宋体"/>
                <w:kern w:val="0"/>
                <w:sz w:val="21"/>
                <w:szCs w:val="21"/>
                <w:highlight w:val="none"/>
              </w:rPr>
            </w:pPr>
          </w:p>
        </w:tc>
      </w:tr>
      <w:tr w14:paraId="3A15F8E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tl2br w:val="nil"/>
              <w:tr2bl w:val="nil"/>
            </w:tcBorders>
            <w:vAlign w:val="center"/>
          </w:tcPr>
          <w:p w14:paraId="50A53896">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3615C3D">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7066E9C0">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1.4匀场线圈通道数≥8</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555DC37B">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p>
        </w:tc>
      </w:tr>
      <w:tr w14:paraId="655941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6F3116C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5242A3C">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511F14CD">
            <w:pPr>
              <w:keepNext w:val="0"/>
              <w:keepLines w:val="0"/>
              <w:widowControl/>
              <w:suppressLineNumbers w:val="0"/>
              <w:jc w:val="left"/>
              <w:textAlignment w:val="center"/>
              <w:rPr>
                <w:rFonts w:hint="eastAsia" w:ascii="宋体" w:hAnsi="宋体" w:eastAsia="宋体" w:cs="宋体"/>
                <w:kern w:val="0"/>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1.5常温孔径：≥300mm</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shd w:val="clear" w:color="auto" w:fill="auto"/>
            <w:vAlign w:val="center"/>
          </w:tcPr>
          <w:p w14:paraId="0A29FBB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w:t>
            </w:r>
          </w:p>
        </w:tc>
      </w:tr>
      <w:tr w14:paraId="2DC2C2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5FE43715">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6DBCC05">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1C16929">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2、梯度系统</w:t>
            </w:r>
          </w:p>
        </w:tc>
        <w:tc>
          <w:tcPr>
            <w:tcW w:w="753" w:type="dxa"/>
            <w:tcBorders>
              <w:tl2br w:val="nil"/>
              <w:tr2bl w:val="nil"/>
            </w:tcBorders>
            <w:vAlign w:val="center"/>
          </w:tcPr>
          <w:p w14:paraId="360BB6D6">
            <w:pPr>
              <w:jc w:val="center"/>
              <w:rPr>
                <w:rFonts w:hint="eastAsia" w:ascii="宋体" w:hAnsi="宋体" w:eastAsia="宋体" w:cs="宋体"/>
                <w:kern w:val="0"/>
                <w:sz w:val="21"/>
                <w:szCs w:val="21"/>
                <w:highlight w:val="none"/>
              </w:rPr>
            </w:pPr>
          </w:p>
        </w:tc>
      </w:tr>
      <w:tr w14:paraId="0117B6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0D09A58F">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9BC3965">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19FDEE7">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2.1梯度放大器最大输出功率 ≥300A/800V</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shd w:val="clear" w:color="auto" w:fill="auto"/>
            <w:vAlign w:val="center"/>
          </w:tcPr>
          <w:p w14:paraId="74B7A31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w:t>
            </w:r>
          </w:p>
        </w:tc>
      </w:tr>
      <w:tr w14:paraId="53880E2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FCF32BB">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6352698">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7CCAA9C4">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2.2梯度线圈内径≥110mm</w:t>
            </w:r>
          </w:p>
        </w:tc>
        <w:tc>
          <w:tcPr>
            <w:tcW w:w="753" w:type="dxa"/>
            <w:tcBorders>
              <w:tl2br w:val="nil"/>
              <w:tr2bl w:val="nil"/>
            </w:tcBorders>
            <w:vAlign w:val="center"/>
          </w:tcPr>
          <w:p w14:paraId="6060E6D5">
            <w:pPr>
              <w:jc w:val="center"/>
              <w:rPr>
                <w:rFonts w:hint="eastAsia" w:ascii="宋体" w:hAnsi="宋体" w:eastAsia="宋体" w:cs="宋体"/>
                <w:kern w:val="0"/>
                <w:sz w:val="21"/>
                <w:szCs w:val="21"/>
                <w:highlight w:val="none"/>
              </w:rPr>
            </w:pPr>
          </w:p>
        </w:tc>
      </w:tr>
      <w:tr w14:paraId="2377D1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0CC1FE5">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BE52653">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206CE1A3">
            <w:pPr>
              <w:keepNext w:val="0"/>
              <w:keepLines w:val="0"/>
              <w:widowControl/>
              <w:suppressLineNumbers w:val="0"/>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2.3最大单轴梯度强度≥600mT/m</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shd w:val="clear" w:color="auto" w:fill="auto"/>
            <w:vAlign w:val="center"/>
          </w:tcPr>
          <w:p w14:paraId="3DB796EC">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p>
        </w:tc>
      </w:tr>
      <w:tr w14:paraId="755EF5A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4D57578C">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52879BE">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C0E9D26">
            <w:pPr>
              <w:keepNext w:val="0"/>
              <w:keepLines w:val="0"/>
              <w:widowControl/>
              <w:suppressLineNumbers w:val="0"/>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2.4梯度切换率≥5000T/m/s</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shd w:val="clear" w:color="auto" w:fill="auto"/>
            <w:vAlign w:val="center"/>
          </w:tcPr>
          <w:p w14:paraId="1BB4B894">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p>
        </w:tc>
      </w:tr>
      <w:tr w14:paraId="49A834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0A4FBEFF">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57D9C41">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7FE341F">
            <w:pPr>
              <w:keepNext w:val="0"/>
              <w:keepLines w:val="0"/>
              <w:widowControl/>
              <w:suppressLineNumbers w:val="0"/>
              <w:jc w:val="both"/>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2.5匀场通道数≥8</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3C7D5BB5">
            <w:pPr>
              <w:keepNext w:val="0"/>
              <w:keepLines w:val="0"/>
              <w:widowControl/>
              <w:suppressLineNumbers w:val="0"/>
              <w:jc w:val="center"/>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p>
        </w:tc>
      </w:tr>
      <w:tr w14:paraId="64581A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42320FEC">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4C9AA4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4E35E276">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2.6匀场通道最大电流≥ 10 A</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37C843A0">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p>
        </w:tc>
      </w:tr>
      <w:tr w14:paraId="1223E6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DB1C639">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639D12C">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2E170221">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2.7三轴同步输出平均电流：≥90A</w:t>
            </w:r>
          </w:p>
        </w:tc>
        <w:tc>
          <w:tcPr>
            <w:tcW w:w="753" w:type="dxa"/>
            <w:tcBorders>
              <w:tl2br w:val="nil"/>
              <w:tr2bl w:val="nil"/>
            </w:tcBorders>
            <w:vAlign w:val="center"/>
          </w:tcPr>
          <w:p w14:paraId="60F4EAF9">
            <w:pPr>
              <w:jc w:val="center"/>
              <w:rPr>
                <w:rFonts w:hint="eastAsia" w:ascii="宋体" w:hAnsi="宋体" w:eastAsia="宋体" w:cs="宋体"/>
                <w:kern w:val="0"/>
                <w:sz w:val="21"/>
                <w:szCs w:val="21"/>
                <w:highlight w:val="none"/>
              </w:rPr>
            </w:pPr>
          </w:p>
        </w:tc>
      </w:tr>
      <w:tr w14:paraId="362701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24B06793">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55071BB">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2F36108">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2.8屏蔽方式：主动屏蔽</w:t>
            </w:r>
          </w:p>
        </w:tc>
        <w:tc>
          <w:tcPr>
            <w:tcW w:w="753" w:type="dxa"/>
            <w:tcBorders>
              <w:tl2br w:val="nil"/>
              <w:tr2bl w:val="nil"/>
            </w:tcBorders>
            <w:vAlign w:val="center"/>
          </w:tcPr>
          <w:p w14:paraId="2DF79470">
            <w:pPr>
              <w:jc w:val="center"/>
              <w:rPr>
                <w:rFonts w:hint="eastAsia" w:ascii="宋体" w:hAnsi="宋体" w:eastAsia="宋体" w:cs="宋体"/>
                <w:kern w:val="0"/>
                <w:sz w:val="21"/>
                <w:szCs w:val="21"/>
                <w:highlight w:val="none"/>
              </w:rPr>
            </w:pPr>
          </w:p>
        </w:tc>
      </w:tr>
      <w:tr w14:paraId="7479E2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3E495FAA">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A14163A">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8B66630">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3、射频系统</w:t>
            </w:r>
          </w:p>
        </w:tc>
        <w:tc>
          <w:tcPr>
            <w:tcW w:w="753" w:type="dxa"/>
            <w:tcBorders>
              <w:tl2br w:val="nil"/>
              <w:tr2bl w:val="nil"/>
            </w:tcBorders>
            <w:vAlign w:val="center"/>
          </w:tcPr>
          <w:p w14:paraId="4DC46556">
            <w:pPr>
              <w:jc w:val="center"/>
              <w:rPr>
                <w:rFonts w:hint="eastAsia" w:ascii="宋体" w:hAnsi="宋体" w:eastAsia="宋体" w:cs="宋体"/>
                <w:kern w:val="0"/>
                <w:sz w:val="21"/>
                <w:szCs w:val="21"/>
                <w:highlight w:val="none"/>
              </w:rPr>
            </w:pPr>
          </w:p>
        </w:tc>
      </w:tr>
      <w:tr w14:paraId="097343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6AF7A096">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1AC8EC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73B9376">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3.1射频发射通道≥2 通道</w:t>
            </w:r>
          </w:p>
        </w:tc>
        <w:tc>
          <w:tcPr>
            <w:tcW w:w="753" w:type="dxa"/>
            <w:tcBorders>
              <w:tl2br w:val="nil"/>
              <w:tr2bl w:val="nil"/>
            </w:tcBorders>
            <w:vAlign w:val="center"/>
          </w:tcPr>
          <w:p w14:paraId="5FAB09E4">
            <w:pPr>
              <w:jc w:val="center"/>
              <w:rPr>
                <w:rFonts w:hint="eastAsia" w:ascii="宋体" w:hAnsi="宋体" w:eastAsia="宋体" w:cs="宋体"/>
                <w:kern w:val="0"/>
                <w:sz w:val="21"/>
                <w:szCs w:val="21"/>
                <w:highlight w:val="none"/>
              </w:rPr>
            </w:pPr>
          </w:p>
        </w:tc>
      </w:tr>
      <w:tr w14:paraId="0E8B03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001FF34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3AD82F6">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A9A7776">
            <w:pPr>
              <w:keepNext w:val="0"/>
              <w:keepLines w:val="0"/>
              <w:widowControl/>
              <w:suppressLineNumbers w:val="0"/>
              <w:jc w:val="left"/>
              <w:textAlignment w:val="center"/>
              <w:rPr>
                <w:rFonts w:hint="eastAsia" w:ascii="宋体" w:hAnsi="宋体" w:eastAsia="宋体" w:cs="宋体"/>
                <w:color w:val="FF0000"/>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3.2射频接收通道≥20通道</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77865FBA">
            <w:pPr>
              <w:keepNext w:val="0"/>
              <w:keepLines w:val="0"/>
              <w:widowControl/>
              <w:suppressLineNumbers w:val="0"/>
              <w:jc w:val="center"/>
              <w:textAlignment w:val="center"/>
              <w:rPr>
                <w:rFonts w:hint="eastAsia" w:ascii="宋体" w:hAnsi="宋体" w:eastAsia="宋体" w:cs="宋体"/>
                <w:color w:val="FF0000"/>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w:t>
            </w:r>
          </w:p>
        </w:tc>
      </w:tr>
      <w:tr w14:paraId="59854B0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06081333">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74F901C">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C4830F6">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3.3射频功率放大器功率≥2kw</w:t>
            </w:r>
          </w:p>
        </w:tc>
        <w:tc>
          <w:tcPr>
            <w:tcW w:w="753" w:type="dxa"/>
            <w:tcBorders>
              <w:tl2br w:val="nil"/>
              <w:tr2bl w:val="nil"/>
            </w:tcBorders>
            <w:vAlign w:val="center"/>
          </w:tcPr>
          <w:p w14:paraId="351CF0A8">
            <w:pPr>
              <w:jc w:val="both"/>
              <w:rPr>
                <w:rFonts w:hint="eastAsia" w:ascii="宋体" w:hAnsi="宋体" w:eastAsia="宋体" w:cs="宋体"/>
                <w:kern w:val="0"/>
                <w:sz w:val="21"/>
                <w:szCs w:val="21"/>
                <w:highlight w:val="none"/>
              </w:rPr>
            </w:pPr>
          </w:p>
        </w:tc>
      </w:tr>
      <w:tr w14:paraId="758EEB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672157BE">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11F7F97">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457E3396">
            <w:pPr>
              <w:keepNext w:val="0"/>
              <w:keepLines w:val="0"/>
              <w:widowControl/>
              <w:suppressLineNumbers w:val="0"/>
              <w:jc w:val="left"/>
              <w:textAlignment w:val="center"/>
              <w:rPr>
                <w:rFonts w:hint="eastAsia" w:ascii="宋体" w:hAnsi="宋体" w:eastAsia="宋体" w:cs="宋体"/>
                <w:kern w:val="0"/>
                <w:sz w:val="21"/>
                <w:szCs w:val="21"/>
                <w:highlight w:val="none"/>
                <w:lang w:val="en-US"/>
              </w:rPr>
            </w:pPr>
            <w:r>
              <w:rPr>
                <w:rFonts w:hint="eastAsia" w:ascii="宋体" w:hAnsi="宋体" w:eastAsia="宋体" w:cs="宋体"/>
                <w:b/>
                <w:bCs/>
                <w:i w:val="0"/>
                <w:iCs w:val="0"/>
                <w:color w:val="000000"/>
                <w:kern w:val="0"/>
                <w:sz w:val="21"/>
                <w:szCs w:val="21"/>
                <w:highlight w:val="none"/>
                <w:u w:val="none"/>
                <w:lang w:val="en-US" w:eastAsia="zh-CN" w:bidi="ar"/>
              </w:rPr>
              <w:t>4、自动动物床</w:t>
            </w:r>
          </w:p>
        </w:tc>
        <w:tc>
          <w:tcPr>
            <w:tcW w:w="753" w:type="dxa"/>
            <w:tcBorders>
              <w:tl2br w:val="nil"/>
              <w:tr2bl w:val="nil"/>
            </w:tcBorders>
            <w:vAlign w:val="center"/>
          </w:tcPr>
          <w:p w14:paraId="2A47043F">
            <w:pPr>
              <w:widowControl/>
              <w:rPr>
                <w:rFonts w:hint="eastAsia" w:ascii="宋体" w:hAnsi="宋体" w:eastAsia="宋体" w:cs="宋体"/>
                <w:kern w:val="0"/>
                <w:sz w:val="21"/>
                <w:szCs w:val="21"/>
                <w:highlight w:val="none"/>
              </w:rPr>
            </w:pPr>
          </w:p>
        </w:tc>
      </w:tr>
      <w:tr w14:paraId="40C7581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3E4C2A96">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19F1EB4">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29894C8F">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4.1具备磁共振兼容</w:t>
            </w:r>
          </w:p>
        </w:tc>
        <w:tc>
          <w:tcPr>
            <w:tcW w:w="753" w:type="dxa"/>
            <w:tcBorders>
              <w:tl2br w:val="nil"/>
              <w:tr2bl w:val="nil"/>
            </w:tcBorders>
            <w:vAlign w:val="center"/>
          </w:tcPr>
          <w:p w14:paraId="03404944">
            <w:pPr>
              <w:widowControl/>
              <w:rPr>
                <w:rFonts w:hint="eastAsia" w:ascii="宋体" w:hAnsi="宋体" w:eastAsia="宋体" w:cs="宋体"/>
                <w:kern w:val="0"/>
                <w:sz w:val="21"/>
                <w:szCs w:val="21"/>
                <w:highlight w:val="none"/>
              </w:rPr>
            </w:pPr>
          </w:p>
        </w:tc>
      </w:tr>
      <w:tr w14:paraId="575B910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tl2br w:val="nil"/>
              <w:tr2bl w:val="nil"/>
            </w:tcBorders>
            <w:vAlign w:val="center"/>
          </w:tcPr>
          <w:p w14:paraId="5FB4CEC0">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BC88EAB">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44BE8A96">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4.2最大承重≥4kg</w:t>
            </w:r>
          </w:p>
        </w:tc>
        <w:tc>
          <w:tcPr>
            <w:tcW w:w="753" w:type="dxa"/>
            <w:tcBorders>
              <w:tl2br w:val="nil"/>
              <w:tr2bl w:val="nil"/>
            </w:tcBorders>
            <w:vAlign w:val="center"/>
          </w:tcPr>
          <w:p w14:paraId="74C0AA34">
            <w:pPr>
              <w:widowControl/>
              <w:rPr>
                <w:rFonts w:hint="eastAsia" w:ascii="宋体" w:hAnsi="宋体" w:eastAsia="宋体" w:cs="宋体"/>
                <w:kern w:val="0"/>
                <w:sz w:val="21"/>
                <w:szCs w:val="21"/>
                <w:highlight w:val="none"/>
              </w:rPr>
            </w:pPr>
          </w:p>
        </w:tc>
      </w:tr>
      <w:tr w14:paraId="36A9AC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704" w:type="dxa"/>
            <w:vMerge w:val="continue"/>
            <w:tcBorders>
              <w:tl2br w:val="nil"/>
              <w:tr2bl w:val="nil"/>
            </w:tcBorders>
            <w:vAlign w:val="center"/>
          </w:tcPr>
          <w:p w14:paraId="0A57104F">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9701FEA">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442607B3">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4.3定位移动精度：不大于0.1mm</w:t>
            </w:r>
          </w:p>
        </w:tc>
        <w:tc>
          <w:tcPr>
            <w:tcW w:w="753" w:type="dxa"/>
            <w:tcBorders>
              <w:tl2br w:val="nil"/>
              <w:tr2bl w:val="nil"/>
            </w:tcBorders>
            <w:vAlign w:val="center"/>
          </w:tcPr>
          <w:p w14:paraId="5027B422">
            <w:pPr>
              <w:widowControl/>
              <w:rPr>
                <w:rFonts w:hint="eastAsia" w:ascii="宋体" w:hAnsi="宋体" w:eastAsia="宋体" w:cs="宋体"/>
                <w:kern w:val="0"/>
                <w:sz w:val="21"/>
                <w:szCs w:val="21"/>
                <w:highlight w:val="none"/>
              </w:rPr>
            </w:pPr>
          </w:p>
        </w:tc>
      </w:tr>
      <w:tr w14:paraId="5993CE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4CDD8FFE">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DBBEF09">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0D5041C">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4.4仓角度调节≥±2.5°</w:t>
            </w:r>
          </w:p>
        </w:tc>
        <w:tc>
          <w:tcPr>
            <w:tcW w:w="753" w:type="dxa"/>
            <w:tcBorders>
              <w:tl2br w:val="nil"/>
              <w:tr2bl w:val="nil"/>
            </w:tcBorders>
            <w:vAlign w:val="center"/>
          </w:tcPr>
          <w:p w14:paraId="30E7B480">
            <w:pPr>
              <w:widowControl/>
              <w:rPr>
                <w:rFonts w:hint="eastAsia" w:ascii="宋体" w:hAnsi="宋体" w:eastAsia="宋体" w:cs="宋体"/>
                <w:kern w:val="0"/>
                <w:sz w:val="21"/>
                <w:szCs w:val="21"/>
                <w:highlight w:val="none"/>
              </w:rPr>
            </w:pPr>
          </w:p>
        </w:tc>
      </w:tr>
      <w:tr w14:paraId="3567686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tl2br w:val="nil"/>
              <w:tr2bl w:val="nil"/>
            </w:tcBorders>
            <w:vAlign w:val="center"/>
          </w:tcPr>
          <w:p w14:paraId="7E5FBD0D">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F46A17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4B87A1DF">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4.5支持一键进出床</w:t>
            </w:r>
          </w:p>
        </w:tc>
        <w:tc>
          <w:tcPr>
            <w:tcW w:w="753" w:type="dxa"/>
            <w:tcBorders>
              <w:tl2br w:val="nil"/>
              <w:tr2bl w:val="nil"/>
            </w:tcBorders>
            <w:vAlign w:val="center"/>
          </w:tcPr>
          <w:p w14:paraId="239D2579">
            <w:pPr>
              <w:widowControl/>
              <w:rPr>
                <w:rFonts w:hint="eastAsia" w:ascii="宋体" w:hAnsi="宋体" w:eastAsia="宋体" w:cs="宋体"/>
                <w:kern w:val="0"/>
                <w:sz w:val="21"/>
                <w:szCs w:val="21"/>
                <w:highlight w:val="none"/>
              </w:rPr>
            </w:pPr>
          </w:p>
        </w:tc>
      </w:tr>
      <w:tr w14:paraId="62A858D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1E05B370">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80319A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9E1E47E">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4.6具备激光定位功能</w:t>
            </w:r>
          </w:p>
        </w:tc>
        <w:tc>
          <w:tcPr>
            <w:tcW w:w="753" w:type="dxa"/>
            <w:tcBorders>
              <w:tl2br w:val="nil"/>
              <w:tr2bl w:val="nil"/>
            </w:tcBorders>
            <w:vAlign w:val="center"/>
          </w:tcPr>
          <w:p w14:paraId="5B48FD8A">
            <w:pPr>
              <w:widowControl/>
              <w:rPr>
                <w:rFonts w:hint="eastAsia" w:ascii="宋体" w:hAnsi="宋体" w:eastAsia="宋体" w:cs="宋体"/>
                <w:kern w:val="0"/>
                <w:sz w:val="21"/>
                <w:szCs w:val="21"/>
                <w:highlight w:val="none"/>
              </w:rPr>
            </w:pPr>
          </w:p>
        </w:tc>
      </w:tr>
      <w:tr w14:paraId="391FB9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37B098BC">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073FEA2">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FA22211">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5、磁共振成像线圈</w:t>
            </w:r>
          </w:p>
        </w:tc>
        <w:tc>
          <w:tcPr>
            <w:tcW w:w="753" w:type="dxa"/>
            <w:tcBorders>
              <w:tl2br w:val="nil"/>
              <w:tr2bl w:val="nil"/>
            </w:tcBorders>
            <w:vAlign w:val="center"/>
          </w:tcPr>
          <w:p w14:paraId="7D2614D2">
            <w:pPr>
              <w:widowControl/>
              <w:rPr>
                <w:rFonts w:hint="eastAsia" w:ascii="宋体" w:hAnsi="宋体" w:eastAsia="宋体" w:cs="宋体"/>
                <w:kern w:val="0"/>
                <w:sz w:val="21"/>
                <w:szCs w:val="21"/>
                <w:highlight w:val="none"/>
              </w:rPr>
            </w:pPr>
          </w:p>
        </w:tc>
      </w:tr>
      <w:tr w14:paraId="763FED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2CF40C8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1B1F7BB">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07D56DF">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5.1配置一个大小鼠头部容积线圈：1H收发一体线圈，内径≥80 mm</w:t>
            </w:r>
          </w:p>
        </w:tc>
        <w:tc>
          <w:tcPr>
            <w:tcW w:w="753" w:type="dxa"/>
            <w:tcBorders>
              <w:tl2br w:val="nil"/>
              <w:tr2bl w:val="nil"/>
            </w:tcBorders>
            <w:vAlign w:val="center"/>
          </w:tcPr>
          <w:p w14:paraId="162FAB7F">
            <w:pPr>
              <w:widowControl/>
              <w:rPr>
                <w:rFonts w:hint="eastAsia" w:ascii="宋体" w:hAnsi="宋体" w:eastAsia="宋体" w:cs="宋体"/>
                <w:kern w:val="0"/>
                <w:sz w:val="21"/>
                <w:szCs w:val="21"/>
                <w:highlight w:val="none"/>
              </w:rPr>
            </w:pPr>
          </w:p>
        </w:tc>
      </w:tr>
      <w:tr w14:paraId="4A487C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576E3CD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315EBB1">
            <w:pPr>
              <w:jc w:val="center"/>
              <w:rPr>
                <w:rFonts w:hint="eastAsia" w:ascii="宋体" w:hAnsi="宋体" w:eastAsia="宋体" w:cs="宋体"/>
                <w:bCs/>
                <w:sz w:val="21"/>
                <w:szCs w:val="21"/>
                <w:highlight w:val="none"/>
              </w:rPr>
            </w:pPr>
          </w:p>
        </w:tc>
        <w:tc>
          <w:tcPr>
            <w:tcW w:w="5643" w:type="dxa"/>
            <w:tcBorders>
              <w:tl2br w:val="nil"/>
              <w:tr2bl w:val="nil"/>
            </w:tcBorders>
            <w:vAlign w:val="bottom"/>
          </w:tcPr>
          <w:p w14:paraId="1C65795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5.2配置一个大鼠头小鼠体长调谐容积线圈：1H收发一体线圈，内径≥40 mm</w:t>
            </w:r>
          </w:p>
        </w:tc>
        <w:tc>
          <w:tcPr>
            <w:tcW w:w="753" w:type="dxa"/>
            <w:tcBorders>
              <w:tl2br w:val="nil"/>
              <w:tr2bl w:val="nil"/>
            </w:tcBorders>
            <w:vAlign w:val="center"/>
          </w:tcPr>
          <w:p w14:paraId="58A5FEEF">
            <w:pPr>
              <w:widowControl/>
              <w:rPr>
                <w:rFonts w:hint="eastAsia" w:ascii="宋体" w:hAnsi="宋体" w:eastAsia="宋体" w:cs="宋体"/>
                <w:kern w:val="0"/>
                <w:sz w:val="21"/>
                <w:szCs w:val="21"/>
                <w:highlight w:val="none"/>
              </w:rPr>
            </w:pPr>
          </w:p>
        </w:tc>
      </w:tr>
      <w:tr w14:paraId="23CF69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5E94FC59">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992097E">
            <w:pPr>
              <w:jc w:val="center"/>
              <w:rPr>
                <w:rFonts w:hint="eastAsia" w:ascii="宋体" w:hAnsi="宋体" w:eastAsia="宋体" w:cs="宋体"/>
                <w:bCs/>
                <w:sz w:val="21"/>
                <w:szCs w:val="21"/>
                <w:highlight w:val="none"/>
              </w:rPr>
            </w:pPr>
          </w:p>
        </w:tc>
        <w:tc>
          <w:tcPr>
            <w:tcW w:w="5643" w:type="dxa"/>
            <w:tcBorders>
              <w:tl2br w:val="nil"/>
              <w:tr2bl w:val="nil"/>
            </w:tcBorders>
            <w:vAlign w:val="bottom"/>
          </w:tcPr>
          <w:p w14:paraId="6C2345B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5.3配置一个大鼠体部专用容积线圈：1H收发一体线圈，内径≥70 mm</w:t>
            </w:r>
          </w:p>
        </w:tc>
        <w:tc>
          <w:tcPr>
            <w:tcW w:w="753" w:type="dxa"/>
            <w:tcBorders>
              <w:tl2br w:val="nil"/>
              <w:tr2bl w:val="nil"/>
            </w:tcBorders>
            <w:vAlign w:val="center"/>
          </w:tcPr>
          <w:p w14:paraId="38306115">
            <w:pPr>
              <w:widowControl/>
              <w:rPr>
                <w:rFonts w:hint="eastAsia" w:ascii="宋体" w:hAnsi="宋体" w:eastAsia="宋体" w:cs="宋体"/>
                <w:kern w:val="0"/>
                <w:sz w:val="21"/>
                <w:szCs w:val="21"/>
                <w:highlight w:val="none"/>
              </w:rPr>
            </w:pPr>
          </w:p>
        </w:tc>
      </w:tr>
      <w:tr w14:paraId="038790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6CEB1357">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C2B592A">
            <w:pPr>
              <w:jc w:val="center"/>
              <w:rPr>
                <w:rFonts w:hint="eastAsia" w:ascii="宋体" w:hAnsi="宋体" w:eastAsia="宋体" w:cs="宋体"/>
                <w:bCs/>
                <w:sz w:val="21"/>
                <w:szCs w:val="21"/>
                <w:highlight w:val="none"/>
              </w:rPr>
            </w:pPr>
          </w:p>
        </w:tc>
        <w:tc>
          <w:tcPr>
            <w:tcW w:w="5643" w:type="dxa"/>
            <w:tcBorders>
              <w:tl2br w:val="nil"/>
              <w:tr2bl w:val="nil"/>
            </w:tcBorders>
            <w:vAlign w:val="bottom"/>
          </w:tcPr>
          <w:p w14:paraId="3240EF8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5.4配置一个大鼠头部表面线圈：1H收发一体线圈，线圈阵列：1x3</w:t>
            </w:r>
          </w:p>
        </w:tc>
        <w:tc>
          <w:tcPr>
            <w:tcW w:w="753" w:type="dxa"/>
            <w:tcBorders>
              <w:tl2br w:val="nil"/>
              <w:tr2bl w:val="nil"/>
            </w:tcBorders>
            <w:vAlign w:val="center"/>
          </w:tcPr>
          <w:p w14:paraId="58FC1264">
            <w:pPr>
              <w:widowControl/>
              <w:rPr>
                <w:rFonts w:hint="eastAsia" w:ascii="宋体" w:hAnsi="宋体" w:eastAsia="宋体" w:cs="宋体"/>
                <w:kern w:val="0"/>
                <w:sz w:val="21"/>
                <w:szCs w:val="21"/>
                <w:highlight w:val="none"/>
              </w:rPr>
            </w:pPr>
          </w:p>
        </w:tc>
      </w:tr>
      <w:tr w14:paraId="696819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292CEEB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5D25B86">
            <w:pPr>
              <w:jc w:val="center"/>
              <w:rPr>
                <w:rFonts w:hint="eastAsia" w:ascii="宋体" w:hAnsi="宋体" w:eastAsia="宋体" w:cs="宋体"/>
                <w:bCs/>
                <w:sz w:val="21"/>
                <w:szCs w:val="21"/>
                <w:highlight w:val="none"/>
              </w:rPr>
            </w:pPr>
          </w:p>
        </w:tc>
        <w:tc>
          <w:tcPr>
            <w:tcW w:w="5643" w:type="dxa"/>
            <w:tcBorders>
              <w:tl2br w:val="nil"/>
              <w:tr2bl w:val="nil"/>
            </w:tcBorders>
            <w:vAlign w:val="bottom"/>
          </w:tcPr>
          <w:p w14:paraId="167C96C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5.5配置一个小鼠头部表面线圈：1H接收表面线圈，线圈阵列：1x3</w:t>
            </w:r>
          </w:p>
        </w:tc>
        <w:tc>
          <w:tcPr>
            <w:tcW w:w="753" w:type="dxa"/>
            <w:tcBorders>
              <w:tl2br w:val="nil"/>
              <w:tr2bl w:val="nil"/>
            </w:tcBorders>
            <w:vAlign w:val="center"/>
          </w:tcPr>
          <w:p w14:paraId="10F2114D">
            <w:pPr>
              <w:widowControl/>
              <w:rPr>
                <w:rFonts w:hint="eastAsia" w:ascii="宋体" w:hAnsi="宋体" w:eastAsia="宋体" w:cs="宋体"/>
                <w:kern w:val="0"/>
                <w:sz w:val="21"/>
                <w:szCs w:val="21"/>
                <w:highlight w:val="none"/>
              </w:rPr>
            </w:pPr>
          </w:p>
        </w:tc>
      </w:tr>
      <w:tr w14:paraId="4C4F35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3D480F02">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9586C87">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3C67BE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5.6配置一个小鼠头部光遗传线圈：1H接收表面线圈，线圈阵列：1x3</w:t>
            </w:r>
          </w:p>
        </w:tc>
        <w:tc>
          <w:tcPr>
            <w:tcW w:w="753" w:type="dxa"/>
            <w:tcBorders>
              <w:tl2br w:val="nil"/>
              <w:tr2bl w:val="nil"/>
            </w:tcBorders>
            <w:vAlign w:val="center"/>
          </w:tcPr>
          <w:p w14:paraId="77278BD1">
            <w:pPr>
              <w:widowControl/>
              <w:rPr>
                <w:rFonts w:hint="eastAsia" w:ascii="宋体" w:hAnsi="宋体" w:eastAsia="宋体" w:cs="宋体"/>
                <w:kern w:val="0"/>
                <w:sz w:val="21"/>
                <w:szCs w:val="21"/>
                <w:highlight w:val="none"/>
              </w:rPr>
            </w:pPr>
          </w:p>
        </w:tc>
      </w:tr>
      <w:tr w14:paraId="10F80C1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4B4FAEC2">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13651D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2574592C">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5.7配备三个环形表面接收线圈，内径范围分别为8-12mm（涵盖此范围即可）、13-17mm（涵盖此范围即可）、19-22mm（涵盖此范围即可）；1H接收表面线圈，阵列形式：1×1</w:t>
            </w:r>
          </w:p>
        </w:tc>
        <w:tc>
          <w:tcPr>
            <w:tcW w:w="753" w:type="dxa"/>
            <w:tcBorders>
              <w:tl2br w:val="nil"/>
              <w:tr2bl w:val="nil"/>
            </w:tcBorders>
            <w:vAlign w:val="center"/>
          </w:tcPr>
          <w:p w14:paraId="78712CCA">
            <w:pPr>
              <w:widowControl/>
              <w:rPr>
                <w:rFonts w:hint="eastAsia" w:ascii="宋体" w:hAnsi="宋体" w:eastAsia="宋体" w:cs="宋体"/>
                <w:kern w:val="0"/>
                <w:sz w:val="21"/>
                <w:szCs w:val="21"/>
                <w:highlight w:val="none"/>
              </w:rPr>
            </w:pPr>
          </w:p>
        </w:tc>
      </w:tr>
      <w:tr w14:paraId="183484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6EA9BBA4">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E6F761E">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A317E19">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5.8适用于小鼠扫描的23Na核多功能单环接收线圈：23Na表面接收线圈，阵列形式：1×1</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20CDFD53">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p>
        </w:tc>
      </w:tr>
      <w:tr w14:paraId="07445D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21B18AC0">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6A22129">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5E06F40">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5.9适用于小鼠扫描的31P核多功能单环接收线圈：31P表面接收线圈，阵列形式：1×1</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5306BA18">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p>
        </w:tc>
      </w:tr>
      <w:tr w14:paraId="7EDE390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F0B7A36">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216322C">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1048842C">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5.10适用于小鼠扫描的2H核多功能单环接收线圈：2H表面接收线圈，阵列形式：1×1</w:t>
            </w:r>
            <w:r>
              <w:rPr>
                <w:rFonts w:hint="eastAsia" w:ascii="宋体" w:hAnsi="宋体" w:eastAsia="宋体" w:cs="宋体"/>
                <w:b/>
                <w:color w:val="FF0000"/>
                <w:sz w:val="21"/>
                <w:szCs w:val="21"/>
                <w:highlight w:val="none"/>
                <w:lang w:val="en-US" w:eastAsia="zh-CN"/>
              </w:rPr>
              <w:t>（提供技术白皮书或彩页）</w:t>
            </w:r>
          </w:p>
        </w:tc>
        <w:tc>
          <w:tcPr>
            <w:tcW w:w="753" w:type="dxa"/>
            <w:tcBorders>
              <w:tl2br w:val="nil"/>
              <w:tr2bl w:val="nil"/>
            </w:tcBorders>
            <w:vAlign w:val="center"/>
          </w:tcPr>
          <w:p w14:paraId="31064E0A">
            <w:pPr>
              <w:keepNext w:val="0"/>
              <w:keepLines w:val="0"/>
              <w:widowControl/>
              <w:suppressLineNumbers w:val="0"/>
              <w:jc w:val="center"/>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p>
        </w:tc>
      </w:tr>
      <w:tr w14:paraId="60DB229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25141F0B">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9A4FA36">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2C95A140">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5.11配置一个大鼠头部表面线圈：1H接收表面线圈，线圈阵列：2x2</w:t>
            </w:r>
          </w:p>
        </w:tc>
        <w:tc>
          <w:tcPr>
            <w:tcW w:w="753" w:type="dxa"/>
            <w:tcBorders>
              <w:tl2br w:val="nil"/>
              <w:tr2bl w:val="nil"/>
            </w:tcBorders>
            <w:vAlign w:val="center"/>
          </w:tcPr>
          <w:p w14:paraId="0DF64393">
            <w:pPr>
              <w:widowControl/>
              <w:rPr>
                <w:rFonts w:hint="eastAsia" w:ascii="宋体" w:hAnsi="宋体" w:eastAsia="宋体" w:cs="宋体"/>
                <w:kern w:val="0"/>
                <w:sz w:val="21"/>
                <w:szCs w:val="21"/>
                <w:highlight w:val="none"/>
              </w:rPr>
            </w:pPr>
          </w:p>
        </w:tc>
      </w:tr>
      <w:tr w14:paraId="1AF8A3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B7CA28A">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FDB3919">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D62C29F">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5.12配置一个小鼠头部表面线圈：1H接收表面线圈，线圈阵列：2x2</w:t>
            </w:r>
          </w:p>
        </w:tc>
        <w:tc>
          <w:tcPr>
            <w:tcW w:w="753" w:type="dxa"/>
            <w:tcBorders>
              <w:tl2br w:val="nil"/>
              <w:tr2bl w:val="nil"/>
            </w:tcBorders>
            <w:vAlign w:val="center"/>
          </w:tcPr>
          <w:p w14:paraId="46F712DA">
            <w:pPr>
              <w:widowControl/>
              <w:rPr>
                <w:rFonts w:hint="eastAsia" w:ascii="宋体" w:hAnsi="宋体" w:eastAsia="宋体" w:cs="宋体"/>
                <w:kern w:val="0"/>
                <w:sz w:val="21"/>
                <w:szCs w:val="21"/>
                <w:highlight w:val="none"/>
              </w:rPr>
            </w:pPr>
          </w:p>
        </w:tc>
      </w:tr>
      <w:tr w14:paraId="3A7468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91534AF">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CABC957">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26C9D21">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5.13大鼠固定床组件：用于大鼠固定的床体部件，设有温水系统所需的贯通孔道</w:t>
            </w:r>
          </w:p>
        </w:tc>
        <w:tc>
          <w:tcPr>
            <w:tcW w:w="753" w:type="dxa"/>
            <w:tcBorders>
              <w:tl2br w:val="nil"/>
              <w:tr2bl w:val="nil"/>
            </w:tcBorders>
            <w:vAlign w:val="center"/>
          </w:tcPr>
          <w:p w14:paraId="4A1992E7">
            <w:pPr>
              <w:widowControl/>
              <w:rPr>
                <w:rFonts w:hint="eastAsia" w:ascii="宋体" w:hAnsi="宋体" w:eastAsia="宋体" w:cs="宋体"/>
                <w:kern w:val="0"/>
                <w:sz w:val="21"/>
                <w:szCs w:val="21"/>
                <w:highlight w:val="none"/>
              </w:rPr>
            </w:pPr>
          </w:p>
        </w:tc>
      </w:tr>
      <w:tr w14:paraId="089F409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7382E1D0">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21A824D">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55867E0E">
            <w:pPr>
              <w:keepNext w:val="0"/>
              <w:keepLines w:val="0"/>
              <w:widowControl/>
              <w:suppressLineNumbers w:val="0"/>
              <w:jc w:val="left"/>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5.14小鼠固定床组件：用于小鼠固定的床体部件，设有温水系统所需的贯通孔道</w:t>
            </w:r>
          </w:p>
        </w:tc>
        <w:tc>
          <w:tcPr>
            <w:tcW w:w="753" w:type="dxa"/>
            <w:tcBorders>
              <w:tl2br w:val="nil"/>
              <w:tr2bl w:val="nil"/>
            </w:tcBorders>
            <w:vAlign w:val="center"/>
          </w:tcPr>
          <w:p w14:paraId="606312A1">
            <w:pPr>
              <w:widowControl/>
              <w:rPr>
                <w:rFonts w:hint="eastAsia" w:ascii="宋体" w:hAnsi="宋体" w:eastAsia="宋体" w:cs="宋体"/>
                <w:kern w:val="0"/>
                <w:sz w:val="21"/>
                <w:szCs w:val="21"/>
                <w:highlight w:val="none"/>
              </w:rPr>
            </w:pPr>
          </w:p>
        </w:tc>
      </w:tr>
      <w:tr w14:paraId="4C1EF39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52DD19F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DCF2E17">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3C70ADAA">
            <w:pPr>
              <w:keepNext w:val="0"/>
              <w:keepLines w:val="0"/>
              <w:widowControl/>
              <w:suppressLineNumbers w:val="0"/>
              <w:jc w:val="both"/>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5.15小鼠体部容积线圈固定组件：连接到小鼠应用固定组件床体的固定组件，适用于小鼠体部容积线圈，用于体部应用，包括：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(1)鼻部吸入集麻醉装置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(2)头部固定装置</w:t>
            </w:r>
          </w:p>
        </w:tc>
        <w:tc>
          <w:tcPr>
            <w:tcW w:w="753" w:type="dxa"/>
            <w:tcBorders>
              <w:tl2br w:val="nil"/>
              <w:tr2bl w:val="nil"/>
            </w:tcBorders>
            <w:vAlign w:val="center"/>
          </w:tcPr>
          <w:p w14:paraId="1BAF4C8B">
            <w:pPr>
              <w:widowControl/>
              <w:rPr>
                <w:rFonts w:hint="eastAsia" w:ascii="宋体" w:hAnsi="宋体" w:eastAsia="宋体" w:cs="宋体"/>
                <w:kern w:val="0"/>
                <w:sz w:val="21"/>
                <w:szCs w:val="21"/>
                <w:highlight w:val="none"/>
              </w:rPr>
            </w:pPr>
          </w:p>
        </w:tc>
      </w:tr>
      <w:tr w14:paraId="6125C0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4D9DB526">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642FB25">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00966879">
            <w:pPr>
              <w:keepNext w:val="0"/>
              <w:keepLines w:val="0"/>
              <w:widowControl/>
              <w:suppressLineNumbers w:val="0"/>
              <w:jc w:val="both"/>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5.16大小鼠头部容积线圈应用固定组件：连接到小鼠应用固定组件床体的固定组件，适用于大小鼠头部容积线圈，用于头部应用，包括：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(1)鼻部吸入集麻醉装置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(2)三点式头部固定装置</w:t>
            </w:r>
          </w:p>
        </w:tc>
        <w:tc>
          <w:tcPr>
            <w:tcW w:w="753" w:type="dxa"/>
            <w:tcBorders>
              <w:tl2br w:val="nil"/>
              <w:tr2bl w:val="nil"/>
            </w:tcBorders>
            <w:vAlign w:val="center"/>
          </w:tcPr>
          <w:p w14:paraId="26775816">
            <w:pPr>
              <w:widowControl/>
              <w:rPr>
                <w:rFonts w:hint="eastAsia" w:ascii="宋体" w:hAnsi="宋体" w:eastAsia="宋体" w:cs="宋体"/>
                <w:kern w:val="0"/>
                <w:sz w:val="21"/>
                <w:szCs w:val="21"/>
                <w:highlight w:val="none"/>
              </w:rPr>
            </w:pPr>
          </w:p>
        </w:tc>
      </w:tr>
      <w:tr w14:paraId="6D9419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4CA9F15F">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5F4959F">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7188913D">
            <w:pPr>
              <w:keepNext w:val="0"/>
              <w:keepLines w:val="0"/>
              <w:widowControl/>
              <w:suppressLineNumbers w:val="0"/>
              <w:jc w:val="both"/>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5.17大鼠头部容积线圈应用固定组件：连接到大鼠应用固定组件床体的固定组件，适用于容积线圈，适用于头部应用，包括：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(1)鼻部吸入集麻醉装置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(2)三点式头部固定装置</w:t>
            </w:r>
          </w:p>
        </w:tc>
        <w:tc>
          <w:tcPr>
            <w:tcW w:w="753" w:type="dxa"/>
            <w:tcBorders>
              <w:tl2br w:val="nil"/>
              <w:tr2bl w:val="nil"/>
            </w:tcBorders>
            <w:vAlign w:val="center"/>
          </w:tcPr>
          <w:p w14:paraId="0547464F">
            <w:pPr>
              <w:widowControl/>
              <w:rPr>
                <w:rFonts w:hint="eastAsia" w:ascii="宋体" w:hAnsi="宋体" w:eastAsia="宋体" w:cs="宋体"/>
                <w:kern w:val="0"/>
                <w:sz w:val="21"/>
                <w:szCs w:val="21"/>
                <w:highlight w:val="none"/>
              </w:rPr>
            </w:pPr>
          </w:p>
        </w:tc>
      </w:tr>
      <w:tr w14:paraId="4EF91C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2C2995D6">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DD760E1">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63F23B30">
            <w:pPr>
              <w:keepNext w:val="0"/>
              <w:keepLines w:val="0"/>
              <w:widowControl/>
              <w:suppressLineNumbers w:val="0"/>
              <w:jc w:val="both"/>
              <w:textAlignment w:val="center"/>
              <w:rPr>
                <w:rFonts w:hint="eastAsia" w:ascii="宋体" w:hAnsi="宋体" w:eastAsia="宋体" w:cs="宋体"/>
                <w:kern w:val="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5.18大鼠表面线圈和体部容积线圈应用固定组件：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连接到大鼠应用固定组件床体的固定组件，适用于表面线圈、阵列线圈和体部容积线圈，用于体部应用或头部应用，包括：</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(1)鼻部吸入集麻醉装置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(2)三点式头部固定装置</w:t>
            </w:r>
          </w:p>
        </w:tc>
        <w:tc>
          <w:tcPr>
            <w:tcW w:w="753" w:type="dxa"/>
            <w:tcBorders>
              <w:tl2br w:val="nil"/>
              <w:tr2bl w:val="nil"/>
            </w:tcBorders>
            <w:vAlign w:val="center"/>
          </w:tcPr>
          <w:p w14:paraId="0A403408">
            <w:pPr>
              <w:widowControl/>
              <w:rPr>
                <w:rFonts w:hint="eastAsia" w:ascii="宋体" w:hAnsi="宋体" w:eastAsia="宋体" w:cs="宋体"/>
                <w:kern w:val="0"/>
                <w:sz w:val="21"/>
                <w:szCs w:val="21"/>
                <w:highlight w:val="none"/>
              </w:rPr>
            </w:pPr>
          </w:p>
        </w:tc>
      </w:tr>
      <w:tr w14:paraId="5645ABC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04" w:type="dxa"/>
            <w:vMerge w:val="continue"/>
            <w:tcBorders>
              <w:tl2br w:val="nil"/>
              <w:tr2bl w:val="nil"/>
            </w:tcBorders>
            <w:vAlign w:val="center"/>
          </w:tcPr>
          <w:p w14:paraId="669BECC1">
            <w:pPr>
              <w:jc w:val="center"/>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560FF63">
            <w:pPr>
              <w:jc w:val="center"/>
              <w:rPr>
                <w:rFonts w:hint="eastAsia" w:ascii="宋体" w:hAnsi="宋体" w:eastAsia="宋体" w:cs="宋体"/>
                <w:bCs/>
                <w:sz w:val="21"/>
                <w:szCs w:val="21"/>
                <w:highlight w:val="none"/>
              </w:rPr>
            </w:pPr>
          </w:p>
        </w:tc>
        <w:tc>
          <w:tcPr>
            <w:tcW w:w="5643" w:type="dxa"/>
            <w:tcBorders>
              <w:tl2br w:val="nil"/>
              <w:tr2bl w:val="nil"/>
            </w:tcBorders>
            <w:vAlign w:val="center"/>
          </w:tcPr>
          <w:p w14:paraId="517C339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6、磁共振序列及成像技术</w:t>
            </w:r>
          </w:p>
        </w:tc>
        <w:tc>
          <w:tcPr>
            <w:tcW w:w="753" w:type="dxa"/>
            <w:tcBorders>
              <w:tl2br w:val="nil"/>
              <w:tr2bl w:val="nil"/>
            </w:tcBorders>
            <w:vAlign w:val="center"/>
          </w:tcPr>
          <w:p w14:paraId="489C6791">
            <w:pPr>
              <w:widowControl/>
              <w:rPr>
                <w:rFonts w:hint="eastAsia" w:ascii="宋体" w:hAnsi="宋体" w:eastAsia="宋体" w:cs="宋体"/>
                <w:kern w:val="0"/>
                <w:sz w:val="21"/>
                <w:szCs w:val="21"/>
                <w:highlight w:val="none"/>
              </w:rPr>
            </w:pPr>
          </w:p>
        </w:tc>
      </w:tr>
      <w:tr w14:paraId="26EA55E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4375E845">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AD47B1B">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F5BCBF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 具备自旋回波序列</w:t>
            </w:r>
          </w:p>
        </w:tc>
        <w:tc>
          <w:tcPr>
            <w:tcW w:w="753" w:type="dxa"/>
            <w:tcBorders>
              <w:tl2br w:val="nil"/>
              <w:tr2bl w:val="nil"/>
            </w:tcBorders>
            <w:vAlign w:val="center"/>
          </w:tcPr>
          <w:p w14:paraId="278FE7F5">
            <w:pPr>
              <w:widowControl/>
              <w:jc w:val="left"/>
              <w:rPr>
                <w:rFonts w:hint="eastAsia" w:ascii="宋体" w:hAnsi="宋体" w:eastAsia="宋体" w:cs="宋体"/>
                <w:bCs/>
                <w:sz w:val="21"/>
                <w:szCs w:val="21"/>
                <w:highlight w:val="none"/>
              </w:rPr>
            </w:pPr>
          </w:p>
        </w:tc>
      </w:tr>
      <w:tr w14:paraId="675633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2E9B67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A72EB82">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9F61515">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 具备快速自旋回波序列</w:t>
            </w:r>
          </w:p>
        </w:tc>
        <w:tc>
          <w:tcPr>
            <w:tcW w:w="753" w:type="dxa"/>
            <w:tcBorders>
              <w:tl2br w:val="nil"/>
              <w:tr2bl w:val="nil"/>
            </w:tcBorders>
            <w:vAlign w:val="center"/>
          </w:tcPr>
          <w:p w14:paraId="1FF9CC03">
            <w:pPr>
              <w:widowControl/>
              <w:jc w:val="left"/>
              <w:rPr>
                <w:rFonts w:hint="eastAsia" w:ascii="宋体" w:hAnsi="宋体" w:eastAsia="宋体" w:cs="宋体"/>
                <w:bCs/>
                <w:sz w:val="21"/>
                <w:szCs w:val="21"/>
                <w:highlight w:val="none"/>
              </w:rPr>
            </w:pPr>
          </w:p>
        </w:tc>
      </w:tr>
      <w:tr w14:paraId="5ACBF13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A2602A4">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EBB2679">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FF5D2C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 具备单次激发快速自旋回波序列</w:t>
            </w:r>
          </w:p>
        </w:tc>
        <w:tc>
          <w:tcPr>
            <w:tcW w:w="753" w:type="dxa"/>
            <w:tcBorders>
              <w:tl2br w:val="nil"/>
              <w:tr2bl w:val="nil"/>
            </w:tcBorders>
            <w:vAlign w:val="center"/>
          </w:tcPr>
          <w:p w14:paraId="38997FA0">
            <w:pPr>
              <w:widowControl/>
              <w:jc w:val="left"/>
              <w:rPr>
                <w:rFonts w:hint="eastAsia" w:ascii="宋体" w:hAnsi="宋体" w:eastAsia="宋体" w:cs="宋体"/>
                <w:bCs/>
                <w:sz w:val="21"/>
                <w:szCs w:val="21"/>
                <w:highlight w:val="none"/>
              </w:rPr>
            </w:pPr>
          </w:p>
        </w:tc>
      </w:tr>
      <w:tr w14:paraId="722CD5D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F17F6D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5A3859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1DE79A2">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 具备快速自旋回波翻转角智能调制技术</w:t>
            </w:r>
          </w:p>
        </w:tc>
        <w:tc>
          <w:tcPr>
            <w:tcW w:w="753" w:type="dxa"/>
            <w:tcBorders>
              <w:tl2br w:val="nil"/>
              <w:tr2bl w:val="nil"/>
            </w:tcBorders>
            <w:vAlign w:val="center"/>
          </w:tcPr>
          <w:p w14:paraId="5A6F7E52">
            <w:pPr>
              <w:widowControl/>
              <w:jc w:val="left"/>
              <w:rPr>
                <w:rFonts w:hint="eastAsia" w:ascii="宋体" w:hAnsi="宋体" w:eastAsia="宋体" w:cs="宋体"/>
                <w:bCs/>
                <w:sz w:val="21"/>
                <w:szCs w:val="21"/>
                <w:highlight w:val="none"/>
              </w:rPr>
            </w:pPr>
          </w:p>
        </w:tc>
      </w:tr>
      <w:tr w14:paraId="173DC0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D1AE40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5E3E56B">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46F27E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 具备反转恢复自旋回波序列</w:t>
            </w:r>
          </w:p>
        </w:tc>
        <w:tc>
          <w:tcPr>
            <w:tcW w:w="753" w:type="dxa"/>
            <w:tcBorders>
              <w:tl2br w:val="nil"/>
              <w:tr2bl w:val="nil"/>
            </w:tcBorders>
            <w:vAlign w:val="center"/>
          </w:tcPr>
          <w:p w14:paraId="5E102AF8">
            <w:pPr>
              <w:widowControl/>
              <w:jc w:val="left"/>
              <w:rPr>
                <w:rFonts w:hint="eastAsia" w:ascii="宋体" w:hAnsi="宋体" w:eastAsia="宋体" w:cs="宋体"/>
                <w:bCs/>
                <w:sz w:val="21"/>
                <w:szCs w:val="21"/>
                <w:highlight w:val="none"/>
              </w:rPr>
            </w:pPr>
          </w:p>
        </w:tc>
      </w:tr>
      <w:tr w14:paraId="717C25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B4D948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88E60DA">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6255178">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6.6 具备快速反转恢复序列</w:t>
            </w:r>
          </w:p>
        </w:tc>
        <w:tc>
          <w:tcPr>
            <w:tcW w:w="753" w:type="dxa"/>
            <w:tcBorders>
              <w:tl2br w:val="nil"/>
              <w:tr2bl w:val="nil"/>
            </w:tcBorders>
            <w:vAlign w:val="center"/>
          </w:tcPr>
          <w:p w14:paraId="4AD7C2EA">
            <w:pPr>
              <w:widowControl/>
              <w:jc w:val="left"/>
              <w:rPr>
                <w:rFonts w:hint="eastAsia" w:ascii="宋体" w:hAnsi="宋体" w:eastAsia="宋体" w:cs="宋体"/>
                <w:bCs/>
                <w:sz w:val="21"/>
                <w:szCs w:val="21"/>
                <w:highlight w:val="none"/>
              </w:rPr>
            </w:pPr>
          </w:p>
        </w:tc>
      </w:tr>
      <w:tr w14:paraId="372625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F17995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43ED21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9BE03C8">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6.7 具备扰相梯度回波序列</w:t>
            </w:r>
          </w:p>
        </w:tc>
        <w:tc>
          <w:tcPr>
            <w:tcW w:w="753" w:type="dxa"/>
            <w:tcBorders>
              <w:tl2br w:val="nil"/>
              <w:tr2bl w:val="nil"/>
            </w:tcBorders>
            <w:vAlign w:val="center"/>
          </w:tcPr>
          <w:p w14:paraId="6E6AE39F">
            <w:pPr>
              <w:widowControl/>
              <w:jc w:val="left"/>
              <w:rPr>
                <w:rFonts w:hint="eastAsia" w:ascii="宋体" w:hAnsi="宋体" w:eastAsia="宋体" w:cs="宋体"/>
                <w:bCs/>
                <w:sz w:val="21"/>
                <w:szCs w:val="21"/>
                <w:highlight w:val="none"/>
              </w:rPr>
            </w:pPr>
          </w:p>
        </w:tc>
      </w:tr>
      <w:tr w14:paraId="746E08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A0985F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EB8D2DD">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E9DA42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6.8 具备快速扰相梯度回波序列</w:t>
            </w:r>
          </w:p>
        </w:tc>
        <w:tc>
          <w:tcPr>
            <w:tcW w:w="753" w:type="dxa"/>
            <w:tcBorders>
              <w:tl2br w:val="nil"/>
              <w:tr2bl w:val="nil"/>
            </w:tcBorders>
            <w:vAlign w:val="center"/>
          </w:tcPr>
          <w:p w14:paraId="114C1645">
            <w:pPr>
              <w:widowControl/>
              <w:jc w:val="left"/>
              <w:rPr>
                <w:rFonts w:hint="eastAsia" w:ascii="宋体" w:hAnsi="宋体" w:eastAsia="宋体" w:cs="宋体"/>
                <w:bCs/>
                <w:sz w:val="21"/>
                <w:szCs w:val="21"/>
                <w:highlight w:val="none"/>
              </w:rPr>
            </w:pPr>
          </w:p>
        </w:tc>
      </w:tr>
      <w:tr w14:paraId="66CFD2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2ADB4DD">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CD730E8">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AAB510B">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6.9 具备稳态自由进动梯度回波序列</w:t>
            </w:r>
          </w:p>
        </w:tc>
        <w:tc>
          <w:tcPr>
            <w:tcW w:w="753" w:type="dxa"/>
            <w:tcBorders>
              <w:tl2br w:val="nil"/>
              <w:tr2bl w:val="nil"/>
            </w:tcBorders>
            <w:vAlign w:val="center"/>
          </w:tcPr>
          <w:p w14:paraId="5431A2BA">
            <w:pPr>
              <w:widowControl/>
              <w:jc w:val="left"/>
              <w:rPr>
                <w:rFonts w:hint="eastAsia" w:ascii="宋体" w:hAnsi="宋体" w:eastAsia="宋体" w:cs="宋体"/>
                <w:bCs/>
                <w:sz w:val="21"/>
                <w:szCs w:val="21"/>
                <w:highlight w:val="none"/>
              </w:rPr>
            </w:pPr>
          </w:p>
        </w:tc>
      </w:tr>
      <w:tr w14:paraId="47161C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1FFFF9E">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CC22194">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FC16808">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6.10 具备平衡稳态自由进动梯度回波序列</w:t>
            </w:r>
          </w:p>
        </w:tc>
        <w:tc>
          <w:tcPr>
            <w:tcW w:w="753" w:type="dxa"/>
            <w:tcBorders>
              <w:tl2br w:val="nil"/>
              <w:tr2bl w:val="nil"/>
            </w:tcBorders>
            <w:vAlign w:val="center"/>
          </w:tcPr>
          <w:p w14:paraId="39059165">
            <w:pPr>
              <w:widowControl/>
              <w:jc w:val="left"/>
              <w:rPr>
                <w:rFonts w:hint="eastAsia" w:ascii="宋体" w:hAnsi="宋体" w:eastAsia="宋体" w:cs="宋体"/>
                <w:bCs/>
                <w:sz w:val="21"/>
                <w:szCs w:val="21"/>
                <w:highlight w:val="none"/>
              </w:rPr>
            </w:pPr>
          </w:p>
        </w:tc>
      </w:tr>
      <w:tr w14:paraId="691B1D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CF8AC0E">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C735C6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0F3A5D3B">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6.11 具备三维快速扰相梯度回波序列</w:t>
            </w:r>
          </w:p>
        </w:tc>
        <w:tc>
          <w:tcPr>
            <w:tcW w:w="753" w:type="dxa"/>
            <w:tcBorders>
              <w:tl2br w:val="nil"/>
              <w:tr2bl w:val="nil"/>
            </w:tcBorders>
            <w:vAlign w:val="center"/>
          </w:tcPr>
          <w:p w14:paraId="2A768037">
            <w:pPr>
              <w:widowControl/>
              <w:jc w:val="left"/>
              <w:rPr>
                <w:rFonts w:hint="eastAsia" w:ascii="宋体" w:hAnsi="宋体" w:eastAsia="宋体" w:cs="宋体"/>
                <w:bCs/>
                <w:sz w:val="21"/>
                <w:szCs w:val="21"/>
                <w:highlight w:val="none"/>
              </w:rPr>
            </w:pPr>
          </w:p>
        </w:tc>
      </w:tr>
      <w:tr w14:paraId="19FDC3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0566F5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F729FCF">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BDE1CA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6.12 具备对比增强血管成像梯度回波序列</w:t>
            </w:r>
          </w:p>
        </w:tc>
        <w:tc>
          <w:tcPr>
            <w:tcW w:w="753" w:type="dxa"/>
            <w:tcBorders>
              <w:tl2br w:val="nil"/>
              <w:tr2bl w:val="nil"/>
            </w:tcBorders>
            <w:vAlign w:val="center"/>
          </w:tcPr>
          <w:p w14:paraId="559B0E9A">
            <w:pPr>
              <w:widowControl/>
              <w:jc w:val="left"/>
              <w:rPr>
                <w:rFonts w:hint="eastAsia" w:ascii="宋体" w:hAnsi="宋体" w:eastAsia="宋体" w:cs="宋体"/>
                <w:bCs/>
                <w:sz w:val="21"/>
                <w:szCs w:val="21"/>
                <w:highlight w:val="none"/>
              </w:rPr>
            </w:pPr>
          </w:p>
        </w:tc>
      </w:tr>
      <w:tr w14:paraId="579D69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97CF867">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8C5B42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49D0261">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6.13 具备时间飞跃法梯度回波序列</w:t>
            </w:r>
          </w:p>
        </w:tc>
        <w:tc>
          <w:tcPr>
            <w:tcW w:w="753" w:type="dxa"/>
            <w:tcBorders>
              <w:tl2br w:val="nil"/>
              <w:tr2bl w:val="nil"/>
            </w:tcBorders>
            <w:vAlign w:val="center"/>
          </w:tcPr>
          <w:p w14:paraId="61A007F1">
            <w:pPr>
              <w:widowControl/>
              <w:jc w:val="left"/>
              <w:rPr>
                <w:rFonts w:hint="eastAsia" w:ascii="宋体" w:hAnsi="宋体" w:eastAsia="宋体" w:cs="宋体"/>
                <w:bCs/>
                <w:sz w:val="21"/>
                <w:szCs w:val="21"/>
                <w:highlight w:val="none"/>
              </w:rPr>
            </w:pPr>
          </w:p>
        </w:tc>
      </w:tr>
      <w:tr w14:paraId="5306BA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803043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3421BE6">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A035E1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6.14 具备相位变化双梯度回波序列</w:t>
            </w:r>
          </w:p>
        </w:tc>
        <w:tc>
          <w:tcPr>
            <w:tcW w:w="753" w:type="dxa"/>
            <w:tcBorders>
              <w:tl2br w:val="nil"/>
              <w:tr2bl w:val="nil"/>
            </w:tcBorders>
            <w:vAlign w:val="center"/>
          </w:tcPr>
          <w:p w14:paraId="08DEC693">
            <w:pPr>
              <w:widowControl/>
              <w:jc w:val="left"/>
              <w:rPr>
                <w:rFonts w:hint="eastAsia" w:ascii="宋体" w:hAnsi="宋体" w:eastAsia="宋体" w:cs="宋体"/>
                <w:bCs/>
                <w:sz w:val="21"/>
                <w:szCs w:val="21"/>
                <w:highlight w:val="none"/>
              </w:rPr>
            </w:pPr>
          </w:p>
        </w:tc>
      </w:tr>
      <w:tr w14:paraId="60C5235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B8103F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248E50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7F067FE">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6.15 具备自由感应衰减的回波平面成像序列</w:t>
            </w:r>
          </w:p>
        </w:tc>
        <w:tc>
          <w:tcPr>
            <w:tcW w:w="753" w:type="dxa"/>
            <w:tcBorders>
              <w:tl2br w:val="nil"/>
              <w:tr2bl w:val="nil"/>
            </w:tcBorders>
            <w:vAlign w:val="center"/>
          </w:tcPr>
          <w:p w14:paraId="6D20F6DE">
            <w:pPr>
              <w:widowControl/>
              <w:jc w:val="left"/>
              <w:rPr>
                <w:rFonts w:hint="eastAsia" w:ascii="宋体" w:hAnsi="宋体" w:eastAsia="宋体" w:cs="宋体"/>
                <w:bCs/>
                <w:sz w:val="21"/>
                <w:szCs w:val="21"/>
                <w:highlight w:val="none"/>
              </w:rPr>
            </w:pPr>
          </w:p>
        </w:tc>
      </w:tr>
      <w:tr w14:paraId="2A7DCA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4BD86B9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708F2B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7BE1D08">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6.16 具备自旋回波的回波平面成像序列</w:t>
            </w:r>
          </w:p>
        </w:tc>
        <w:tc>
          <w:tcPr>
            <w:tcW w:w="753" w:type="dxa"/>
            <w:tcBorders>
              <w:tl2br w:val="nil"/>
              <w:tr2bl w:val="nil"/>
            </w:tcBorders>
            <w:vAlign w:val="center"/>
          </w:tcPr>
          <w:p w14:paraId="0A2973A4">
            <w:pPr>
              <w:widowControl/>
              <w:jc w:val="left"/>
              <w:rPr>
                <w:rFonts w:hint="eastAsia" w:ascii="宋体" w:hAnsi="宋体" w:eastAsia="宋体" w:cs="宋体"/>
                <w:bCs/>
                <w:sz w:val="21"/>
                <w:szCs w:val="21"/>
                <w:highlight w:val="none"/>
              </w:rPr>
            </w:pPr>
          </w:p>
        </w:tc>
      </w:tr>
      <w:tr w14:paraId="5260A0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048B98D">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E92A113">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CC4E683">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6.17 具备弥散加权成像的回波平面成像序列</w:t>
            </w:r>
          </w:p>
        </w:tc>
        <w:tc>
          <w:tcPr>
            <w:tcW w:w="753" w:type="dxa"/>
            <w:tcBorders>
              <w:tl2br w:val="nil"/>
              <w:tr2bl w:val="nil"/>
            </w:tcBorders>
            <w:vAlign w:val="center"/>
          </w:tcPr>
          <w:p w14:paraId="336AEB78">
            <w:pPr>
              <w:widowControl/>
              <w:jc w:val="left"/>
              <w:rPr>
                <w:rFonts w:hint="eastAsia" w:ascii="宋体" w:hAnsi="宋体" w:eastAsia="宋体" w:cs="宋体"/>
                <w:bCs/>
                <w:sz w:val="21"/>
                <w:szCs w:val="21"/>
                <w:highlight w:val="none"/>
              </w:rPr>
            </w:pPr>
          </w:p>
        </w:tc>
      </w:tr>
      <w:tr w14:paraId="6715DA6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88D4DB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D5A1144">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BA30BA2">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6.18 具备部分傅里叶采集重建技术</w:t>
            </w:r>
          </w:p>
        </w:tc>
        <w:tc>
          <w:tcPr>
            <w:tcW w:w="753" w:type="dxa"/>
            <w:tcBorders>
              <w:tl2br w:val="nil"/>
              <w:tr2bl w:val="nil"/>
            </w:tcBorders>
            <w:vAlign w:val="center"/>
          </w:tcPr>
          <w:p w14:paraId="64732B01">
            <w:pPr>
              <w:widowControl/>
              <w:jc w:val="left"/>
              <w:rPr>
                <w:rFonts w:hint="eastAsia" w:ascii="宋体" w:hAnsi="宋体" w:eastAsia="宋体" w:cs="宋体"/>
                <w:bCs/>
                <w:sz w:val="21"/>
                <w:szCs w:val="21"/>
                <w:highlight w:val="none"/>
              </w:rPr>
            </w:pPr>
          </w:p>
        </w:tc>
      </w:tr>
      <w:tr w14:paraId="20C3F6C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FD2628D">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548BFF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31B0819">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6.19 具备部分回波采集重建技术</w:t>
            </w:r>
          </w:p>
        </w:tc>
        <w:tc>
          <w:tcPr>
            <w:tcW w:w="753" w:type="dxa"/>
            <w:tcBorders>
              <w:tl2br w:val="nil"/>
              <w:tr2bl w:val="nil"/>
            </w:tcBorders>
            <w:vAlign w:val="center"/>
          </w:tcPr>
          <w:p w14:paraId="1DB7A944">
            <w:pPr>
              <w:widowControl/>
              <w:jc w:val="left"/>
              <w:rPr>
                <w:rFonts w:hint="eastAsia" w:ascii="宋体" w:hAnsi="宋体" w:eastAsia="宋体" w:cs="宋体"/>
                <w:bCs/>
                <w:sz w:val="21"/>
                <w:szCs w:val="21"/>
                <w:highlight w:val="none"/>
              </w:rPr>
            </w:pPr>
          </w:p>
        </w:tc>
      </w:tr>
      <w:tr w14:paraId="686AAF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8945BF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CAD2179">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0E432601">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6.20 具备矩形视野采集</w:t>
            </w:r>
          </w:p>
        </w:tc>
        <w:tc>
          <w:tcPr>
            <w:tcW w:w="753" w:type="dxa"/>
            <w:tcBorders>
              <w:tl2br w:val="nil"/>
              <w:tr2bl w:val="nil"/>
            </w:tcBorders>
            <w:vAlign w:val="center"/>
          </w:tcPr>
          <w:p w14:paraId="00FCC395">
            <w:pPr>
              <w:widowControl/>
              <w:jc w:val="left"/>
              <w:rPr>
                <w:rFonts w:hint="eastAsia" w:ascii="宋体" w:hAnsi="宋体" w:eastAsia="宋体" w:cs="宋体"/>
                <w:bCs/>
                <w:sz w:val="21"/>
                <w:szCs w:val="21"/>
                <w:highlight w:val="none"/>
              </w:rPr>
            </w:pPr>
          </w:p>
        </w:tc>
      </w:tr>
      <w:tr w14:paraId="0F9E1B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1EC895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F772D3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41D0F98">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6.21 具备并行成像技术</w:t>
            </w:r>
          </w:p>
        </w:tc>
        <w:tc>
          <w:tcPr>
            <w:tcW w:w="753" w:type="dxa"/>
            <w:tcBorders>
              <w:tl2br w:val="nil"/>
              <w:tr2bl w:val="nil"/>
            </w:tcBorders>
            <w:vAlign w:val="center"/>
          </w:tcPr>
          <w:p w14:paraId="676BB209">
            <w:pPr>
              <w:widowControl/>
              <w:jc w:val="left"/>
              <w:rPr>
                <w:rFonts w:hint="eastAsia" w:ascii="宋体" w:hAnsi="宋体" w:eastAsia="宋体" w:cs="宋体"/>
                <w:bCs/>
                <w:sz w:val="21"/>
                <w:szCs w:val="21"/>
                <w:highlight w:val="none"/>
              </w:rPr>
            </w:pPr>
          </w:p>
        </w:tc>
      </w:tr>
      <w:tr w14:paraId="6A1495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DA48450">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4193769">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D686A1C">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6.22 具备频率选择脂肪饱和法</w:t>
            </w:r>
          </w:p>
        </w:tc>
        <w:tc>
          <w:tcPr>
            <w:tcW w:w="753" w:type="dxa"/>
            <w:tcBorders>
              <w:tl2br w:val="nil"/>
              <w:tr2bl w:val="nil"/>
            </w:tcBorders>
            <w:vAlign w:val="center"/>
          </w:tcPr>
          <w:p w14:paraId="0B236BE9">
            <w:pPr>
              <w:widowControl/>
              <w:jc w:val="left"/>
              <w:rPr>
                <w:rFonts w:hint="eastAsia" w:ascii="宋体" w:hAnsi="宋体" w:eastAsia="宋体" w:cs="宋体"/>
                <w:bCs/>
                <w:sz w:val="21"/>
                <w:szCs w:val="21"/>
                <w:highlight w:val="none"/>
              </w:rPr>
            </w:pPr>
          </w:p>
        </w:tc>
      </w:tr>
      <w:tr w14:paraId="50ED397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520CF90">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30C9CCB">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944188E">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6.23 具备精准频率反转恢复脂肪抑制技术</w:t>
            </w:r>
          </w:p>
        </w:tc>
        <w:tc>
          <w:tcPr>
            <w:tcW w:w="753" w:type="dxa"/>
            <w:tcBorders>
              <w:tl2br w:val="nil"/>
              <w:tr2bl w:val="nil"/>
            </w:tcBorders>
            <w:vAlign w:val="center"/>
          </w:tcPr>
          <w:p w14:paraId="69DC415D">
            <w:pPr>
              <w:widowControl/>
              <w:jc w:val="left"/>
              <w:rPr>
                <w:rFonts w:hint="eastAsia" w:ascii="宋体" w:hAnsi="宋体" w:eastAsia="宋体" w:cs="宋体"/>
                <w:bCs/>
                <w:sz w:val="21"/>
                <w:szCs w:val="21"/>
                <w:highlight w:val="none"/>
              </w:rPr>
            </w:pPr>
          </w:p>
        </w:tc>
      </w:tr>
      <w:tr w14:paraId="3237D3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10AC1A8">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FC4A9F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E2E081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6.24 具备频谱特异激发技术</w:t>
            </w:r>
          </w:p>
        </w:tc>
        <w:tc>
          <w:tcPr>
            <w:tcW w:w="753" w:type="dxa"/>
            <w:tcBorders>
              <w:tl2br w:val="nil"/>
              <w:tr2bl w:val="nil"/>
            </w:tcBorders>
            <w:vAlign w:val="center"/>
          </w:tcPr>
          <w:p w14:paraId="60FF2F7D">
            <w:pPr>
              <w:widowControl/>
              <w:jc w:val="left"/>
              <w:rPr>
                <w:rFonts w:hint="eastAsia" w:ascii="宋体" w:hAnsi="宋体" w:eastAsia="宋体" w:cs="宋体"/>
                <w:bCs/>
                <w:sz w:val="21"/>
                <w:szCs w:val="21"/>
                <w:highlight w:val="none"/>
              </w:rPr>
            </w:pPr>
          </w:p>
        </w:tc>
      </w:tr>
      <w:tr w14:paraId="31FA2F6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3865A0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FE063DD">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FDE957D">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6.25 具备短时间反转恢复技术</w:t>
            </w:r>
          </w:p>
        </w:tc>
        <w:tc>
          <w:tcPr>
            <w:tcW w:w="753" w:type="dxa"/>
            <w:tcBorders>
              <w:tl2br w:val="nil"/>
              <w:tr2bl w:val="nil"/>
            </w:tcBorders>
            <w:vAlign w:val="center"/>
          </w:tcPr>
          <w:p w14:paraId="560834BC">
            <w:pPr>
              <w:widowControl/>
              <w:jc w:val="left"/>
              <w:rPr>
                <w:rFonts w:hint="eastAsia" w:ascii="宋体" w:hAnsi="宋体" w:eastAsia="宋体" w:cs="宋体"/>
                <w:bCs/>
                <w:sz w:val="21"/>
                <w:szCs w:val="21"/>
                <w:highlight w:val="none"/>
              </w:rPr>
            </w:pPr>
          </w:p>
        </w:tc>
      </w:tr>
      <w:tr w14:paraId="1AF9B0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0A642D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914D348">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BABAA0C">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6.26 具备反转恢复的回波平面成像序列技术</w:t>
            </w:r>
          </w:p>
        </w:tc>
        <w:tc>
          <w:tcPr>
            <w:tcW w:w="753" w:type="dxa"/>
            <w:tcBorders>
              <w:tl2br w:val="nil"/>
              <w:tr2bl w:val="nil"/>
            </w:tcBorders>
            <w:vAlign w:val="center"/>
          </w:tcPr>
          <w:p w14:paraId="70457F3F">
            <w:pPr>
              <w:widowControl/>
              <w:jc w:val="left"/>
              <w:rPr>
                <w:rFonts w:hint="eastAsia" w:ascii="宋体" w:hAnsi="宋体" w:eastAsia="宋体" w:cs="宋体"/>
                <w:bCs/>
                <w:sz w:val="21"/>
                <w:szCs w:val="21"/>
                <w:highlight w:val="none"/>
              </w:rPr>
            </w:pPr>
          </w:p>
        </w:tc>
      </w:tr>
      <w:tr w14:paraId="0EBCFAD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40A2D6D">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190A9BD">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5A7F87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6.27 具备放射状片层定位技术</w:t>
            </w:r>
          </w:p>
        </w:tc>
        <w:tc>
          <w:tcPr>
            <w:tcW w:w="753" w:type="dxa"/>
            <w:tcBorders>
              <w:tl2br w:val="nil"/>
              <w:tr2bl w:val="nil"/>
            </w:tcBorders>
            <w:vAlign w:val="center"/>
          </w:tcPr>
          <w:p w14:paraId="49594561">
            <w:pPr>
              <w:widowControl/>
              <w:jc w:val="left"/>
              <w:rPr>
                <w:rFonts w:hint="eastAsia" w:ascii="宋体" w:hAnsi="宋体" w:eastAsia="宋体" w:cs="宋体"/>
                <w:bCs/>
                <w:sz w:val="21"/>
                <w:szCs w:val="21"/>
                <w:highlight w:val="none"/>
              </w:rPr>
            </w:pPr>
          </w:p>
        </w:tc>
      </w:tr>
      <w:tr w14:paraId="38EA6B1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651EBA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2826EBD">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5FB11A5">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6.28 具备多层块多角度片层定位技术</w:t>
            </w:r>
          </w:p>
        </w:tc>
        <w:tc>
          <w:tcPr>
            <w:tcW w:w="753" w:type="dxa"/>
            <w:tcBorders>
              <w:tl2br w:val="nil"/>
              <w:tr2bl w:val="nil"/>
            </w:tcBorders>
            <w:vAlign w:val="center"/>
          </w:tcPr>
          <w:p w14:paraId="163E338A">
            <w:pPr>
              <w:widowControl/>
              <w:jc w:val="left"/>
              <w:rPr>
                <w:rFonts w:hint="eastAsia" w:ascii="宋体" w:hAnsi="宋体" w:eastAsia="宋体" w:cs="宋体"/>
                <w:bCs/>
                <w:sz w:val="21"/>
                <w:szCs w:val="21"/>
                <w:highlight w:val="none"/>
              </w:rPr>
            </w:pPr>
          </w:p>
        </w:tc>
      </w:tr>
      <w:tr w14:paraId="3BFCD8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4DE932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6BD6E4B">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9997421">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6.29 具备同反相位梯度回波技术</w:t>
            </w:r>
          </w:p>
        </w:tc>
        <w:tc>
          <w:tcPr>
            <w:tcW w:w="753" w:type="dxa"/>
            <w:tcBorders>
              <w:tl2br w:val="nil"/>
              <w:tr2bl w:val="nil"/>
            </w:tcBorders>
            <w:vAlign w:val="center"/>
          </w:tcPr>
          <w:p w14:paraId="29694989">
            <w:pPr>
              <w:widowControl/>
              <w:jc w:val="left"/>
              <w:rPr>
                <w:rFonts w:hint="eastAsia" w:ascii="宋体" w:hAnsi="宋体" w:eastAsia="宋体" w:cs="宋体"/>
                <w:bCs/>
                <w:sz w:val="21"/>
                <w:szCs w:val="21"/>
                <w:highlight w:val="none"/>
              </w:rPr>
            </w:pPr>
          </w:p>
        </w:tc>
      </w:tr>
      <w:tr w14:paraId="6691C8D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9912AC7">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C82C4EB">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1322CBF">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6.30 具备自由饱和带技术</w:t>
            </w:r>
          </w:p>
        </w:tc>
        <w:tc>
          <w:tcPr>
            <w:tcW w:w="753" w:type="dxa"/>
            <w:tcBorders>
              <w:tl2br w:val="nil"/>
              <w:tr2bl w:val="nil"/>
            </w:tcBorders>
            <w:vAlign w:val="center"/>
          </w:tcPr>
          <w:p w14:paraId="2C2F4B12">
            <w:pPr>
              <w:widowControl/>
              <w:jc w:val="left"/>
              <w:rPr>
                <w:rFonts w:hint="eastAsia" w:ascii="宋体" w:hAnsi="宋体" w:eastAsia="宋体" w:cs="宋体"/>
                <w:bCs/>
                <w:sz w:val="21"/>
                <w:szCs w:val="21"/>
                <w:highlight w:val="none"/>
              </w:rPr>
            </w:pPr>
          </w:p>
        </w:tc>
      </w:tr>
      <w:tr w14:paraId="79A672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4DED97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9FE305A">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31B134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6.31 具备平行饱和带技术</w:t>
            </w:r>
          </w:p>
        </w:tc>
        <w:tc>
          <w:tcPr>
            <w:tcW w:w="753" w:type="dxa"/>
            <w:tcBorders>
              <w:tl2br w:val="nil"/>
              <w:tr2bl w:val="nil"/>
            </w:tcBorders>
            <w:vAlign w:val="center"/>
          </w:tcPr>
          <w:p w14:paraId="10866063">
            <w:pPr>
              <w:widowControl/>
              <w:jc w:val="left"/>
              <w:rPr>
                <w:rFonts w:hint="eastAsia" w:ascii="宋体" w:hAnsi="宋体" w:eastAsia="宋体" w:cs="宋体"/>
                <w:bCs/>
                <w:sz w:val="21"/>
                <w:szCs w:val="21"/>
                <w:highlight w:val="none"/>
              </w:rPr>
            </w:pPr>
          </w:p>
        </w:tc>
      </w:tr>
      <w:tr w14:paraId="5147AA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01B7DE4">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7F8854D">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DA6AAB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6.32 具备伴随饱和带技术</w:t>
            </w:r>
          </w:p>
        </w:tc>
        <w:tc>
          <w:tcPr>
            <w:tcW w:w="753" w:type="dxa"/>
            <w:tcBorders>
              <w:tl2br w:val="nil"/>
              <w:tr2bl w:val="nil"/>
            </w:tcBorders>
            <w:vAlign w:val="center"/>
          </w:tcPr>
          <w:p w14:paraId="7F7DF7F3">
            <w:pPr>
              <w:widowControl/>
              <w:jc w:val="left"/>
              <w:rPr>
                <w:rFonts w:hint="eastAsia" w:ascii="宋体" w:hAnsi="宋体" w:eastAsia="宋体" w:cs="宋体"/>
                <w:bCs/>
                <w:sz w:val="21"/>
                <w:szCs w:val="21"/>
                <w:highlight w:val="none"/>
              </w:rPr>
            </w:pPr>
          </w:p>
        </w:tc>
      </w:tr>
      <w:tr w14:paraId="643B89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D64A888">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813F43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8CCD665">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6.33 具备流动补偿</w:t>
            </w:r>
          </w:p>
        </w:tc>
        <w:tc>
          <w:tcPr>
            <w:tcW w:w="753" w:type="dxa"/>
            <w:tcBorders>
              <w:tl2br w:val="nil"/>
              <w:tr2bl w:val="nil"/>
            </w:tcBorders>
            <w:vAlign w:val="center"/>
          </w:tcPr>
          <w:p w14:paraId="1151CBE9">
            <w:pPr>
              <w:widowControl/>
              <w:jc w:val="left"/>
              <w:rPr>
                <w:rFonts w:hint="eastAsia" w:ascii="宋体" w:hAnsi="宋体" w:eastAsia="宋体" w:cs="宋体"/>
                <w:bCs/>
                <w:sz w:val="21"/>
                <w:szCs w:val="21"/>
                <w:highlight w:val="none"/>
              </w:rPr>
            </w:pPr>
          </w:p>
        </w:tc>
      </w:tr>
      <w:tr w14:paraId="33FC44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6D9C61E">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978145D">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32EDFB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6.34 具备多通道合并技术</w:t>
            </w:r>
          </w:p>
        </w:tc>
        <w:tc>
          <w:tcPr>
            <w:tcW w:w="753" w:type="dxa"/>
            <w:tcBorders>
              <w:tl2br w:val="nil"/>
              <w:tr2bl w:val="nil"/>
            </w:tcBorders>
            <w:vAlign w:val="center"/>
          </w:tcPr>
          <w:p w14:paraId="6AAD645F">
            <w:pPr>
              <w:widowControl/>
              <w:jc w:val="left"/>
              <w:rPr>
                <w:rFonts w:hint="eastAsia" w:ascii="宋体" w:hAnsi="宋体" w:eastAsia="宋体" w:cs="宋体"/>
                <w:bCs/>
                <w:sz w:val="21"/>
                <w:szCs w:val="21"/>
                <w:highlight w:val="none"/>
              </w:rPr>
            </w:pPr>
          </w:p>
        </w:tc>
      </w:tr>
      <w:tr w14:paraId="2AF73CA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3F915E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8B30D3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864F43F">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6.35 具备动物专用呼吸触发技术</w:t>
            </w:r>
          </w:p>
        </w:tc>
        <w:tc>
          <w:tcPr>
            <w:tcW w:w="753" w:type="dxa"/>
            <w:tcBorders>
              <w:tl2br w:val="nil"/>
              <w:tr2bl w:val="nil"/>
            </w:tcBorders>
            <w:vAlign w:val="center"/>
          </w:tcPr>
          <w:p w14:paraId="421C6E80">
            <w:pPr>
              <w:widowControl/>
              <w:jc w:val="left"/>
              <w:rPr>
                <w:rFonts w:hint="eastAsia" w:ascii="宋体" w:hAnsi="宋体" w:eastAsia="宋体" w:cs="宋体"/>
                <w:bCs/>
                <w:sz w:val="21"/>
                <w:szCs w:val="21"/>
                <w:highlight w:val="none"/>
              </w:rPr>
            </w:pPr>
          </w:p>
        </w:tc>
      </w:tr>
      <w:tr w14:paraId="095B16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12D923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6458E2A">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EE85359">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6.36 具备平均模式（包括内平均和外平均模式）</w:t>
            </w:r>
          </w:p>
        </w:tc>
        <w:tc>
          <w:tcPr>
            <w:tcW w:w="753" w:type="dxa"/>
            <w:tcBorders>
              <w:tl2br w:val="nil"/>
              <w:tr2bl w:val="nil"/>
            </w:tcBorders>
            <w:vAlign w:val="center"/>
          </w:tcPr>
          <w:p w14:paraId="65B21CC7">
            <w:pPr>
              <w:widowControl/>
              <w:jc w:val="left"/>
              <w:rPr>
                <w:rFonts w:hint="eastAsia" w:ascii="宋体" w:hAnsi="宋体" w:eastAsia="宋体" w:cs="宋体"/>
                <w:bCs/>
                <w:sz w:val="21"/>
                <w:szCs w:val="21"/>
                <w:highlight w:val="none"/>
              </w:rPr>
            </w:pPr>
          </w:p>
        </w:tc>
      </w:tr>
      <w:tr w14:paraId="224B69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7AD153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DFFA25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DDEB922">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6.37 具备图像滤波</w:t>
            </w:r>
          </w:p>
        </w:tc>
        <w:tc>
          <w:tcPr>
            <w:tcW w:w="753" w:type="dxa"/>
            <w:tcBorders>
              <w:tl2br w:val="nil"/>
              <w:tr2bl w:val="nil"/>
            </w:tcBorders>
            <w:vAlign w:val="center"/>
          </w:tcPr>
          <w:p w14:paraId="6DBE238E">
            <w:pPr>
              <w:widowControl/>
              <w:jc w:val="left"/>
              <w:rPr>
                <w:rFonts w:hint="eastAsia" w:ascii="宋体" w:hAnsi="宋体" w:eastAsia="宋体" w:cs="宋体"/>
                <w:bCs/>
                <w:sz w:val="21"/>
                <w:szCs w:val="21"/>
                <w:highlight w:val="none"/>
              </w:rPr>
            </w:pPr>
          </w:p>
        </w:tc>
      </w:tr>
      <w:tr w14:paraId="565EEE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EC19BAA">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EECBD7F">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7635129">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6.38 具备图像插值</w:t>
            </w:r>
          </w:p>
        </w:tc>
        <w:tc>
          <w:tcPr>
            <w:tcW w:w="753" w:type="dxa"/>
            <w:tcBorders>
              <w:tl2br w:val="nil"/>
              <w:tr2bl w:val="nil"/>
            </w:tcBorders>
            <w:vAlign w:val="center"/>
          </w:tcPr>
          <w:p w14:paraId="60492BBA">
            <w:pPr>
              <w:widowControl/>
              <w:jc w:val="left"/>
              <w:rPr>
                <w:rFonts w:hint="eastAsia" w:ascii="宋体" w:hAnsi="宋体" w:eastAsia="宋体" w:cs="宋体"/>
                <w:bCs/>
                <w:sz w:val="21"/>
                <w:szCs w:val="21"/>
                <w:highlight w:val="none"/>
              </w:rPr>
            </w:pPr>
          </w:p>
        </w:tc>
      </w:tr>
      <w:tr w14:paraId="643E0B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849ECBA">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81921B3">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739547C">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6.39 具备顺序、交错片层采集</w:t>
            </w:r>
          </w:p>
        </w:tc>
        <w:tc>
          <w:tcPr>
            <w:tcW w:w="753" w:type="dxa"/>
            <w:tcBorders>
              <w:tl2br w:val="nil"/>
              <w:tr2bl w:val="nil"/>
            </w:tcBorders>
            <w:vAlign w:val="center"/>
          </w:tcPr>
          <w:p w14:paraId="2959444D">
            <w:pPr>
              <w:widowControl/>
              <w:jc w:val="left"/>
              <w:rPr>
                <w:rFonts w:hint="eastAsia" w:ascii="宋体" w:hAnsi="宋体" w:eastAsia="宋体" w:cs="宋体"/>
                <w:bCs/>
                <w:sz w:val="21"/>
                <w:szCs w:val="21"/>
                <w:highlight w:val="none"/>
              </w:rPr>
            </w:pPr>
          </w:p>
        </w:tc>
      </w:tr>
      <w:tr w14:paraId="47F1C8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415A2950">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5B21136">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C388660">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6.40 具备可变采样带宽</w:t>
            </w:r>
          </w:p>
        </w:tc>
        <w:tc>
          <w:tcPr>
            <w:tcW w:w="753" w:type="dxa"/>
            <w:tcBorders>
              <w:tl2br w:val="nil"/>
              <w:tr2bl w:val="nil"/>
            </w:tcBorders>
            <w:vAlign w:val="center"/>
          </w:tcPr>
          <w:p w14:paraId="6D8B7ED7">
            <w:pPr>
              <w:widowControl/>
              <w:jc w:val="left"/>
              <w:rPr>
                <w:rFonts w:hint="eastAsia" w:ascii="宋体" w:hAnsi="宋体" w:eastAsia="宋体" w:cs="宋体"/>
                <w:bCs/>
                <w:sz w:val="21"/>
                <w:szCs w:val="21"/>
                <w:highlight w:val="none"/>
              </w:rPr>
            </w:pPr>
          </w:p>
        </w:tc>
      </w:tr>
      <w:tr w14:paraId="41E8C05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92A617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0C556E3">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774C8A4">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6.41 具备可调节采样增益</w:t>
            </w:r>
          </w:p>
        </w:tc>
        <w:tc>
          <w:tcPr>
            <w:tcW w:w="753" w:type="dxa"/>
            <w:tcBorders>
              <w:tl2br w:val="nil"/>
              <w:tr2bl w:val="nil"/>
            </w:tcBorders>
            <w:vAlign w:val="center"/>
          </w:tcPr>
          <w:p w14:paraId="621D62AE">
            <w:pPr>
              <w:widowControl/>
              <w:jc w:val="left"/>
              <w:rPr>
                <w:rFonts w:hint="eastAsia" w:ascii="宋体" w:hAnsi="宋体" w:eastAsia="宋体" w:cs="宋体"/>
                <w:bCs/>
                <w:sz w:val="21"/>
                <w:szCs w:val="21"/>
                <w:highlight w:val="none"/>
              </w:rPr>
            </w:pPr>
          </w:p>
        </w:tc>
      </w:tr>
      <w:tr w14:paraId="7A40087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A104ED8">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305A0DE">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0A06FA7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6.42 具备频率偏移</w:t>
            </w:r>
          </w:p>
        </w:tc>
        <w:tc>
          <w:tcPr>
            <w:tcW w:w="753" w:type="dxa"/>
            <w:tcBorders>
              <w:tl2br w:val="nil"/>
              <w:tr2bl w:val="nil"/>
            </w:tcBorders>
            <w:vAlign w:val="center"/>
          </w:tcPr>
          <w:p w14:paraId="39198080">
            <w:pPr>
              <w:widowControl/>
              <w:jc w:val="left"/>
              <w:rPr>
                <w:rFonts w:hint="eastAsia" w:ascii="宋体" w:hAnsi="宋体" w:eastAsia="宋体" w:cs="宋体"/>
                <w:bCs/>
                <w:sz w:val="21"/>
                <w:szCs w:val="21"/>
                <w:highlight w:val="none"/>
              </w:rPr>
            </w:pPr>
          </w:p>
        </w:tc>
      </w:tr>
      <w:tr w14:paraId="7B859B9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0E8C72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8AEE14E">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554D1B4">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6.43 具备负间距</w:t>
            </w:r>
          </w:p>
        </w:tc>
        <w:tc>
          <w:tcPr>
            <w:tcW w:w="753" w:type="dxa"/>
            <w:tcBorders>
              <w:tl2br w:val="nil"/>
              <w:tr2bl w:val="nil"/>
            </w:tcBorders>
            <w:vAlign w:val="center"/>
          </w:tcPr>
          <w:p w14:paraId="0A406560">
            <w:pPr>
              <w:widowControl/>
              <w:jc w:val="left"/>
              <w:rPr>
                <w:rFonts w:hint="eastAsia" w:ascii="宋体" w:hAnsi="宋体" w:eastAsia="宋体" w:cs="宋体"/>
                <w:bCs/>
                <w:sz w:val="21"/>
                <w:szCs w:val="21"/>
                <w:highlight w:val="none"/>
              </w:rPr>
            </w:pPr>
          </w:p>
        </w:tc>
      </w:tr>
      <w:tr w14:paraId="2193CC7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4FBFED25">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9C1D1B7">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5E2F616">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6.44 具备图形交互式扫描平面定位技术</w:t>
            </w:r>
          </w:p>
        </w:tc>
        <w:tc>
          <w:tcPr>
            <w:tcW w:w="753" w:type="dxa"/>
            <w:tcBorders>
              <w:tl2br w:val="nil"/>
              <w:tr2bl w:val="nil"/>
            </w:tcBorders>
            <w:vAlign w:val="center"/>
          </w:tcPr>
          <w:p w14:paraId="1124B8CB">
            <w:pPr>
              <w:widowControl/>
              <w:jc w:val="left"/>
              <w:rPr>
                <w:rFonts w:hint="eastAsia" w:ascii="宋体" w:hAnsi="宋体" w:eastAsia="宋体" w:cs="宋体"/>
                <w:bCs/>
                <w:sz w:val="21"/>
                <w:szCs w:val="21"/>
                <w:highlight w:val="none"/>
              </w:rPr>
            </w:pPr>
          </w:p>
        </w:tc>
      </w:tr>
      <w:tr w14:paraId="3F5CF3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D91F7DE">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EBECCD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F7C890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6.45 具备2D/3D工具和后处理</w:t>
            </w:r>
          </w:p>
        </w:tc>
        <w:tc>
          <w:tcPr>
            <w:tcW w:w="753" w:type="dxa"/>
            <w:tcBorders>
              <w:tl2br w:val="nil"/>
              <w:tr2bl w:val="nil"/>
            </w:tcBorders>
            <w:vAlign w:val="center"/>
          </w:tcPr>
          <w:p w14:paraId="7DE38F83">
            <w:pPr>
              <w:widowControl/>
              <w:jc w:val="left"/>
              <w:rPr>
                <w:rFonts w:hint="eastAsia" w:ascii="宋体" w:hAnsi="宋体" w:eastAsia="宋体" w:cs="宋体"/>
                <w:bCs/>
                <w:sz w:val="21"/>
                <w:szCs w:val="21"/>
                <w:highlight w:val="none"/>
              </w:rPr>
            </w:pPr>
          </w:p>
        </w:tc>
      </w:tr>
      <w:tr w14:paraId="454256A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A5AF591">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08579B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DF03B93">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6.46 具备常规伪影校正技术</w:t>
            </w:r>
          </w:p>
        </w:tc>
        <w:tc>
          <w:tcPr>
            <w:tcW w:w="753" w:type="dxa"/>
            <w:tcBorders>
              <w:tl2br w:val="nil"/>
              <w:tr2bl w:val="nil"/>
            </w:tcBorders>
            <w:vAlign w:val="center"/>
          </w:tcPr>
          <w:p w14:paraId="50D4DFC6">
            <w:pPr>
              <w:widowControl/>
              <w:jc w:val="left"/>
              <w:rPr>
                <w:rFonts w:hint="eastAsia" w:ascii="宋体" w:hAnsi="宋体" w:eastAsia="宋体" w:cs="宋体"/>
                <w:bCs/>
                <w:sz w:val="21"/>
                <w:szCs w:val="21"/>
                <w:highlight w:val="none"/>
              </w:rPr>
            </w:pPr>
          </w:p>
        </w:tc>
      </w:tr>
      <w:tr w14:paraId="743AEC0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E7F6B6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FDB7098">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06D7A03">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6.47 具备脑功能成像技术</w:t>
            </w:r>
          </w:p>
        </w:tc>
        <w:tc>
          <w:tcPr>
            <w:tcW w:w="753" w:type="dxa"/>
            <w:tcBorders>
              <w:tl2br w:val="nil"/>
              <w:tr2bl w:val="nil"/>
            </w:tcBorders>
            <w:vAlign w:val="center"/>
          </w:tcPr>
          <w:p w14:paraId="3B2C089D">
            <w:pPr>
              <w:widowControl/>
              <w:jc w:val="left"/>
              <w:rPr>
                <w:rFonts w:hint="eastAsia" w:ascii="宋体" w:hAnsi="宋体" w:eastAsia="宋体" w:cs="宋体"/>
                <w:bCs/>
                <w:sz w:val="21"/>
                <w:szCs w:val="21"/>
                <w:highlight w:val="none"/>
              </w:rPr>
            </w:pPr>
          </w:p>
        </w:tc>
      </w:tr>
      <w:tr w14:paraId="5FE5BAE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52DE73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AA6BD7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8C9255A">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6.48 具备弥散张量成像</w:t>
            </w:r>
          </w:p>
        </w:tc>
        <w:tc>
          <w:tcPr>
            <w:tcW w:w="753" w:type="dxa"/>
            <w:tcBorders>
              <w:tl2br w:val="nil"/>
              <w:tr2bl w:val="nil"/>
            </w:tcBorders>
            <w:vAlign w:val="center"/>
          </w:tcPr>
          <w:p w14:paraId="4D933EA3">
            <w:pPr>
              <w:widowControl/>
              <w:jc w:val="left"/>
              <w:rPr>
                <w:rFonts w:hint="eastAsia" w:ascii="宋体" w:hAnsi="宋体" w:eastAsia="宋体" w:cs="宋体"/>
                <w:bCs/>
                <w:sz w:val="21"/>
                <w:szCs w:val="21"/>
                <w:highlight w:val="none"/>
              </w:rPr>
            </w:pPr>
          </w:p>
        </w:tc>
      </w:tr>
      <w:tr w14:paraId="6489FB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585E00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1F491D46">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22244B0">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6.49 具备脑灌注成像技术</w:t>
            </w:r>
          </w:p>
        </w:tc>
        <w:tc>
          <w:tcPr>
            <w:tcW w:w="753" w:type="dxa"/>
            <w:tcBorders>
              <w:tl2br w:val="nil"/>
              <w:tr2bl w:val="nil"/>
            </w:tcBorders>
            <w:shd w:val="clear" w:color="auto" w:fill="auto"/>
            <w:vAlign w:val="center"/>
          </w:tcPr>
          <w:p w14:paraId="75E65C33">
            <w:pPr>
              <w:keepNext w:val="0"/>
              <w:keepLines w:val="0"/>
              <w:widowControl/>
              <w:suppressLineNumbers w:val="0"/>
              <w:jc w:val="both"/>
              <w:textAlignment w:val="center"/>
              <w:rPr>
                <w:rFonts w:hint="eastAsia" w:ascii="宋体" w:hAnsi="宋体" w:eastAsia="宋体" w:cs="宋体"/>
                <w:i w:val="0"/>
                <w:iCs w:val="0"/>
                <w:color w:val="000000"/>
                <w:kern w:val="2"/>
                <w:sz w:val="21"/>
                <w:szCs w:val="21"/>
                <w:highlight w:val="none"/>
                <w:u w:val="none"/>
                <w:lang w:val="en-US" w:eastAsia="zh-CN" w:bidi="ar-SA"/>
              </w:rPr>
            </w:pPr>
          </w:p>
        </w:tc>
      </w:tr>
      <w:tr w14:paraId="6DCFB6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5799E6E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042F62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8C17E9C">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6.50 具备磁化率加权成像技术</w:t>
            </w:r>
          </w:p>
        </w:tc>
        <w:tc>
          <w:tcPr>
            <w:tcW w:w="753" w:type="dxa"/>
            <w:tcBorders>
              <w:tl2br w:val="nil"/>
              <w:tr2bl w:val="nil"/>
            </w:tcBorders>
            <w:vAlign w:val="center"/>
          </w:tcPr>
          <w:p w14:paraId="2DCE79F6">
            <w:pPr>
              <w:widowControl/>
              <w:jc w:val="left"/>
              <w:rPr>
                <w:rFonts w:hint="eastAsia" w:ascii="宋体" w:hAnsi="宋体" w:eastAsia="宋体" w:cs="宋体"/>
                <w:bCs/>
                <w:sz w:val="21"/>
                <w:szCs w:val="21"/>
                <w:highlight w:val="none"/>
              </w:rPr>
            </w:pPr>
          </w:p>
        </w:tc>
      </w:tr>
      <w:tr w14:paraId="3B0A05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58A21B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0F551A8">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0B851BB">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6.51 具备快速磁化率加权成像技术</w:t>
            </w:r>
          </w:p>
        </w:tc>
        <w:tc>
          <w:tcPr>
            <w:tcW w:w="753" w:type="dxa"/>
            <w:tcBorders>
              <w:tl2br w:val="nil"/>
              <w:tr2bl w:val="nil"/>
            </w:tcBorders>
            <w:vAlign w:val="center"/>
          </w:tcPr>
          <w:p w14:paraId="5EB8AB8D">
            <w:pPr>
              <w:widowControl/>
              <w:jc w:val="left"/>
              <w:rPr>
                <w:rFonts w:hint="eastAsia" w:ascii="宋体" w:hAnsi="宋体" w:eastAsia="宋体" w:cs="宋体"/>
                <w:bCs/>
                <w:sz w:val="21"/>
                <w:szCs w:val="21"/>
                <w:highlight w:val="none"/>
              </w:rPr>
            </w:pPr>
          </w:p>
        </w:tc>
      </w:tr>
      <w:tr w14:paraId="5FE029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AD1BD4A">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D58590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B8357A5">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6.52 具备高级磁化率加权成像技术</w:t>
            </w:r>
          </w:p>
        </w:tc>
        <w:tc>
          <w:tcPr>
            <w:tcW w:w="753" w:type="dxa"/>
            <w:tcBorders>
              <w:tl2br w:val="nil"/>
              <w:tr2bl w:val="nil"/>
            </w:tcBorders>
            <w:vAlign w:val="center"/>
          </w:tcPr>
          <w:p w14:paraId="2AC17D48">
            <w:pPr>
              <w:widowControl/>
              <w:jc w:val="left"/>
              <w:rPr>
                <w:rFonts w:hint="eastAsia" w:ascii="宋体" w:hAnsi="宋体" w:eastAsia="宋体" w:cs="宋体"/>
                <w:bCs/>
                <w:sz w:val="21"/>
                <w:szCs w:val="21"/>
                <w:highlight w:val="none"/>
              </w:rPr>
            </w:pPr>
          </w:p>
        </w:tc>
      </w:tr>
      <w:tr w14:paraId="5A1A7F7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024831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B8CB18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7A8886B">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6.53 具备定量磁化率成像技术</w:t>
            </w:r>
          </w:p>
        </w:tc>
        <w:tc>
          <w:tcPr>
            <w:tcW w:w="753" w:type="dxa"/>
            <w:tcBorders>
              <w:tl2br w:val="nil"/>
              <w:tr2bl w:val="nil"/>
            </w:tcBorders>
            <w:vAlign w:val="center"/>
          </w:tcPr>
          <w:p w14:paraId="66BF3872">
            <w:pPr>
              <w:widowControl/>
              <w:jc w:val="left"/>
              <w:rPr>
                <w:rFonts w:hint="eastAsia" w:ascii="宋体" w:hAnsi="宋体" w:eastAsia="宋体" w:cs="宋体"/>
                <w:bCs/>
                <w:sz w:val="21"/>
                <w:szCs w:val="21"/>
                <w:highlight w:val="none"/>
              </w:rPr>
            </w:pPr>
          </w:p>
        </w:tc>
      </w:tr>
      <w:tr w14:paraId="0B07598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60A9CA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771E4D4">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05D9495">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6.54 具备黑血磁化率加权成像技术</w:t>
            </w:r>
          </w:p>
        </w:tc>
        <w:tc>
          <w:tcPr>
            <w:tcW w:w="753" w:type="dxa"/>
            <w:tcBorders>
              <w:tl2br w:val="nil"/>
              <w:tr2bl w:val="nil"/>
            </w:tcBorders>
            <w:vAlign w:val="center"/>
          </w:tcPr>
          <w:p w14:paraId="02FB12CF">
            <w:pPr>
              <w:widowControl/>
              <w:jc w:val="left"/>
              <w:rPr>
                <w:rFonts w:hint="eastAsia" w:ascii="宋体" w:hAnsi="宋体" w:eastAsia="宋体" w:cs="宋体"/>
                <w:bCs/>
                <w:sz w:val="21"/>
                <w:szCs w:val="21"/>
                <w:highlight w:val="none"/>
              </w:rPr>
            </w:pPr>
          </w:p>
        </w:tc>
      </w:tr>
      <w:tr w14:paraId="3EF66DE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22FF7C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93BA30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6F4D55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6.55 具备单体素波谱成像技术</w:t>
            </w:r>
          </w:p>
        </w:tc>
        <w:tc>
          <w:tcPr>
            <w:tcW w:w="753" w:type="dxa"/>
            <w:tcBorders>
              <w:tl2br w:val="nil"/>
              <w:tr2bl w:val="nil"/>
            </w:tcBorders>
            <w:vAlign w:val="center"/>
          </w:tcPr>
          <w:p w14:paraId="07ABF60C">
            <w:pPr>
              <w:widowControl/>
              <w:jc w:val="left"/>
              <w:rPr>
                <w:rFonts w:hint="eastAsia" w:ascii="宋体" w:hAnsi="宋体" w:eastAsia="宋体" w:cs="宋体"/>
                <w:bCs/>
                <w:sz w:val="21"/>
                <w:szCs w:val="21"/>
                <w:highlight w:val="none"/>
              </w:rPr>
            </w:pPr>
          </w:p>
        </w:tc>
      </w:tr>
      <w:tr w14:paraId="6B37B21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D84F5D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2118DF3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45FEFB2">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6.56 具备脂肪定量成像技术</w:t>
            </w:r>
          </w:p>
        </w:tc>
        <w:tc>
          <w:tcPr>
            <w:tcW w:w="753" w:type="dxa"/>
            <w:tcBorders>
              <w:tl2br w:val="nil"/>
              <w:tr2bl w:val="nil"/>
            </w:tcBorders>
            <w:vAlign w:val="center"/>
          </w:tcPr>
          <w:p w14:paraId="2277E22A">
            <w:pPr>
              <w:widowControl/>
              <w:jc w:val="left"/>
              <w:rPr>
                <w:rFonts w:hint="eastAsia" w:ascii="宋体" w:hAnsi="宋体" w:eastAsia="宋体" w:cs="宋体"/>
                <w:bCs/>
                <w:sz w:val="21"/>
                <w:szCs w:val="21"/>
                <w:highlight w:val="none"/>
              </w:rPr>
            </w:pPr>
          </w:p>
        </w:tc>
      </w:tr>
      <w:tr w14:paraId="3AF5CDC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297054C">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5EE08E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F9C5CD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6.57 空间定位波谱：PRESS、STEAM</w:t>
            </w:r>
          </w:p>
        </w:tc>
        <w:tc>
          <w:tcPr>
            <w:tcW w:w="753" w:type="dxa"/>
            <w:tcBorders>
              <w:tl2br w:val="nil"/>
              <w:tr2bl w:val="nil"/>
            </w:tcBorders>
            <w:vAlign w:val="center"/>
          </w:tcPr>
          <w:p w14:paraId="4D643E35">
            <w:pPr>
              <w:widowControl/>
              <w:jc w:val="left"/>
              <w:rPr>
                <w:rFonts w:hint="eastAsia" w:ascii="宋体" w:hAnsi="宋体" w:eastAsia="宋体" w:cs="宋体"/>
                <w:bCs/>
                <w:sz w:val="21"/>
                <w:szCs w:val="21"/>
                <w:highlight w:val="none"/>
              </w:rPr>
            </w:pPr>
          </w:p>
        </w:tc>
      </w:tr>
      <w:tr w14:paraId="45D2B54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441170C8">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C9F04D4">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ACCABAC">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6.58 支持化学位移成像波谱：CSI2D</w:t>
            </w:r>
          </w:p>
        </w:tc>
        <w:tc>
          <w:tcPr>
            <w:tcW w:w="753" w:type="dxa"/>
            <w:tcBorders>
              <w:tl2br w:val="nil"/>
              <w:tr2bl w:val="nil"/>
            </w:tcBorders>
            <w:vAlign w:val="center"/>
          </w:tcPr>
          <w:p w14:paraId="285F5B24">
            <w:pPr>
              <w:widowControl/>
              <w:jc w:val="left"/>
              <w:rPr>
                <w:rFonts w:hint="eastAsia" w:ascii="宋体" w:hAnsi="宋体" w:eastAsia="宋体" w:cs="宋体"/>
                <w:bCs/>
                <w:sz w:val="21"/>
                <w:szCs w:val="21"/>
                <w:highlight w:val="none"/>
              </w:rPr>
            </w:pPr>
          </w:p>
        </w:tc>
      </w:tr>
      <w:tr w14:paraId="4C5FA10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0C6414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0C4796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0E24474">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6.59 具备脂肪定量成像技术</w:t>
            </w:r>
          </w:p>
        </w:tc>
        <w:tc>
          <w:tcPr>
            <w:tcW w:w="753" w:type="dxa"/>
            <w:tcBorders>
              <w:tl2br w:val="nil"/>
              <w:tr2bl w:val="nil"/>
            </w:tcBorders>
            <w:vAlign w:val="center"/>
          </w:tcPr>
          <w:p w14:paraId="62606AA8">
            <w:pPr>
              <w:keepNext w:val="0"/>
              <w:keepLines w:val="0"/>
              <w:widowControl/>
              <w:suppressLineNumbers w:val="0"/>
              <w:jc w:val="both"/>
              <w:textAlignment w:val="center"/>
              <w:rPr>
                <w:rFonts w:hint="eastAsia" w:ascii="宋体" w:hAnsi="宋体" w:eastAsia="宋体" w:cs="宋体"/>
                <w:bCs/>
                <w:sz w:val="21"/>
                <w:szCs w:val="21"/>
                <w:highlight w:val="none"/>
              </w:rPr>
            </w:pPr>
          </w:p>
        </w:tc>
      </w:tr>
      <w:tr w14:paraId="503A749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A810B04">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A4092A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657BE57">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6.60 具备一次扫描多参数定量成像技术</w:t>
            </w:r>
          </w:p>
        </w:tc>
        <w:tc>
          <w:tcPr>
            <w:tcW w:w="753" w:type="dxa"/>
            <w:tcBorders>
              <w:tl2br w:val="nil"/>
              <w:tr2bl w:val="nil"/>
            </w:tcBorders>
            <w:vAlign w:val="center"/>
          </w:tcPr>
          <w:p w14:paraId="08534E67">
            <w:pPr>
              <w:keepNext w:val="0"/>
              <w:keepLines w:val="0"/>
              <w:widowControl/>
              <w:suppressLineNumbers w:val="0"/>
              <w:jc w:val="both"/>
              <w:textAlignment w:val="center"/>
              <w:rPr>
                <w:rFonts w:hint="eastAsia" w:ascii="宋体" w:hAnsi="宋体" w:eastAsia="宋体" w:cs="宋体"/>
                <w:bCs/>
                <w:sz w:val="21"/>
                <w:szCs w:val="21"/>
                <w:highlight w:val="none"/>
              </w:rPr>
            </w:pPr>
          </w:p>
        </w:tc>
      </w:tr>
      <w:tr w14:paraId="70C673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74F30CD">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C764C9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6B535DC">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6.61 具备振荡梯度自旋回波成像技术</w:t>
            </w:r>
          </w:p>
        </w:tc>
        <w:tc>
          <w:tcPr>
            <w:tcW w:w="753" w:type="dxa"/>
            <w:tcBorders>
              <w:tl2br w:val="nil"/>
              <w:tr2bl w:val="nil"/>
            </w:tcBorders>
            <w:vAlign w:val="center"/>
          </w:tcPr>
          <w:p w14:paraId="5C5999A0">
            <w:pPr>
              <w:keepNext w:val="0"/>
              <w:keepLines w:val="0"/>
              <w:widowControl/>
              <w:suppressLineNumbers w:val="0"/>
              <w:jc w:val="both"/>
              <w:textAlignment w:val="center"/>
              <w:rPr>
                <w:rFonts w:hint="eastAsia" w:ascii="宋体" w:hAnsi="宋体" w:eastAsia="宋体" w:cs="宋体"/>
                <w:bCs/>
                <w:sz w:val="21"/>
                <w:szCs w:val="21"/>
                <w:highlight w:val="none"/>
              </w:rPr>
            </w:pPr>
          </w:p>
        </w:tc>
      </w:tr>
      <w:tr w14:paraId="31706C5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B66691B">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1EAE3C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A3F42F6">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6.62 具备同时多层成像技术</w:t>
            </w:r>
          </w:p>
        </w:tc>
        <w:tc>
          <w:tcPr>
            <w:tcW w:w="753" w:type="dxa"/>
            <w:tcBorders>
              <w:tl2br w:val="nil"/>
              <w:tr2bl w:val="nil"/>
            </w:tcBorders>
            <w:vAlign w:val="center"/>
          </w:tcPr>
          <w:p w14:paraId="225F2907">
            <w:pPr>
              <w:keepNext w:val="0"/>
              <w:keepLines w:val="0"/>
              <w:widowControl/>
              <w:suppressLineNumbers w:val="0"/>
              <w:jc w:val="both"/>
              <w:textAlignment w:val="center"/>
              <w:rPr>
                <w:rFonts w:hint="eastAsia" w:ascii="宋体" w:hAnsi="宋体" w:eastAsia="宋体" w:cs="宋体"/>
                <w:bCs/>
                <w:sz w:val="21"/>
                <w:szCs w:val="21"/>
                <w:highlight w:val="none"/>
              </w:rPr>
            </w:pPr>
          </w:p>
        </w:tc>
      </w:tr>
      <w:tr w14:paraId="24CB0C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A657595">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6151E8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0E539BD0">
            <w:pPr>
              <w:keepNext w:val="0"/>
              <w:keepLines w:val="0"/>
              <w:widowControl/>
              <w:suppressLineNumbers w:val="0"/>
              <w:jc w:val="both"/>
              <w:textAlignment w:val="bottom"/>
              <w:rPr>
                <w:rFonts w:hint="eastAsia" w:ascii="宋体" w:hAnsi="宋体" w:eastAsia="宋体" w:cs="宋体"/>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6.63 具备运动伪影校正技术</w:t>
            </w:r>
          </w:p>
        </w:tc>
        <w:tc>
          <w:tcPr>
            <w:tcW w:w="753" w:type="dxa"/>
            <w:tcBorders>
              <w:tl2br w:val="nil"/>
              <w:tr2bl w:val="nil"/>
            </w:tcBorders>
            <w:vAlign w:val="center"/>
          </w:tcPr>
          <w:p w14:paraId="0B2A27A3">
            <w:pPr>
              <w:keepNext w:val="0"/>
              <w:keepLines w:val="0"/>
              <w:widowControl/>
              <w:suppressLineNumbers w:val="0"/>
              <w:jc w:val="both"/>
              <w:textAlignment w:val="center"/>
              <w:rPr>
                <w:rFonts w:hint="eastAsia" w:ascii="宋体" w:hAnsi="宋体" w:eastAsia="宋体" w:cs="宋体"/>
                <w:bCs/>
                <w:sz w:val="21"/>
                <w:szCs w:val="21"/>
                <w:highlight w:val="none"/>
              </w:rPr>
            </w:pPr>
          </w:p>
        </w:tc>
      </w:tr>
      <w:tr w14:paraId="30F7C73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56D209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419C5C3">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74DDE5B">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7主机计算机</w:t>
            </w:r>
          </w:p>
        </w:tc>
        <w:tc>
          <w:tcPr>
            <w:tcW w:w="753" w:type="dxa"/>
            <w:tcBorders>
              <w:tl2br w:val="nil"/>
              <w:tr2bl w:val="nil"/>
            </w:tcBorders>
            <w:vAlign w:val="center"/>
          </w:tcPr>
          <w:p w14:paraId="4DC070E9">
            <w:pPr>
              <w:widowControl/>
              <w:jc w:val="left"/>
              <w:rPr>
                <w:rFonts w:hint="eastAsia" w:ascii="宋体" w:hAnsi="宋体" w:eastAsia="宋体" w:cs="宋体"/>
                <w:bCs/>
                <w:sz w:val="21"/>
                <w:szCs w:val="21"/>
                <w:highlight w:val="none"/>
              </w:rPr>
            </w:pPr>
          </w:p>
        </w:tc>
      </w:tr>
      <w:tr w14:paraId="63E941A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2213FE7">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3434182">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A44A248">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7.1处理器:≥8核，≥3.9 GHz</w:t>
            </w:r>
          </w:p>
        </w:tc>
        <w:tc>
          <w:tcPr>
            <w:tcW w:w="753" w:type="dxa"/>
            <w:tcBorders>
              <w:tl2br w:val="nil"/>
              <w:tr2bl w:val="nil"/>
            </w:tcBorders>
            <w:vAlign w:val="center"/>
          </w:tcPr>
          <w:p w14:paraId="5BE40272">
            <w:pPr>
              <w:widowControl/>
              <w:jc w:val="left"/>
              <w:rPr>
                <w:rFonts w:hint="eastAsia" w:ascii="宋体" w:hAnsi="宋体" w:eastAsia="宋体" w:cs="宋体"/>
                <w:bCs/>
                <w:sz w:val="21"/>
                <w:szCs w:val="21"/>
                <w:highlight w:val="none"/>
              </w:rPr>
            </w:pPr>
          </w:p>
        </w:tc>
      </w:tr>
      <w:tr w14:paraId="5C82D56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4985530">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CC792E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81515CA">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7.2内存≥ 128G</w:t>
            </w:r>
          </w:p>
        </w:tc>
        <w:tc>
          <w:tcPr>
            <w:tcW w:w="753" w:type="dxa"/>
            <w:tcBorders>
              <w:tl2br w:val="nil"/>
              <w:tr2bl w:val="nil"/>
            </w:tcBorders>
            <w:vAlign w:val="center"/>
          </w:tcPr>
          <w:p w14:paraId="2FE6B8BC">
            <w:pPr>
              <w:widowControl/>
              <w:jc w:val="left"/>
              <w:rPr>
                <w:rFonts w:hint="eastAsia" w:ascii="宋体" w:hAnsi="宋体" w:eastAsia="宋体" w:cs="宋体"/>
                <w:bCs/>
                <w:sz w:val="21"/>
                <w:szCs w:val="21"/>
                <w:highlight w:val="none"/>
              </w:rPr>
            </w:pPr>
          </w:p>
        </w:tc>
      </w:tr>
      <w:tr w14:paraId="423ED1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3814E96">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C679F7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F9BD6B3">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7.3系统硬盘容量≥3.84T</w:t>
            </w:r>
          </w:p>
        </w:tc>
        <w:tc>
          <w:tcPr>
            <w:tcW w:w="753" w:type="dxa"/>
            <w:tcBorders>
              <w:tl2br w:val="nil"/>
              <w:tr2bl w:val="nil"/>
            </w:tcBorders>
            <w:vAlign w:val="center"/>
          </w:tcPr>
          <w:p w14:paraId="378D12DD">
            <w:pPr>
              <w:widowControl/>
              <w:jc w:val="left"/>
              <w:rPr>
                <w:rFonts w:hint="eastAsia" w:ascii="宋体" w:hAnsi="宋体" w:eastAsia="宋体" w:cs="宋体"/>
                <w:bCs/>
                <w:sz w:val="21"/>
                <w:szCs w:val="21"/>
                <w:highlight w:val="none"/>
              </w:rPr>
            </w:pPr>
          </w:p>
        </w:tc>
      </w:tr>
      <w:tr w14:paraId="6E44BF4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E97540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6A96D9F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680D2513">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8重建计算机</w:t>
            </w:r>
          </w:p>
        </w:tc>
        <w:tc>
          <w:tcPr>
            <w:tcW w:w="753" w:type="dxa"/>
            <w:tcBorders>
              <w:tl2br w:val="nil"/>
              <w:tr2bl w:val="nil"/>
            </w:tcBorders>
            <w:vAlign w:val="center"/>
          </w:tcPr>
          <w:p w14:paraId="7D9E3CED">
            <w:pPr>
              <w:widowControl/>
              <w:jc w:val="left"/>
              <w:rPr>
                <w:rFonts w:hint="eastAsia" w:ascii="宋体" w:hAnsi="宋体" w:eastAsia="宋体" w:cs="宋体"/>
                <w:bCs/>
                <w:sz w:val="21"/>
                <w:szCs w:val="21"/>
                <w:highlight w:val="none"/>
              </w:rPr>
            </w:pPr>
          </w:p>
        </w:tc>
      </w:tr>
      <w:tr w14:paraId="72DF3C4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A9AA34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4CB9C09">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8351F28">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8.1处理器 ≥32核*2，≥2.1 GHz</w:t>
            </w:r>
          </w:p>
        </w:tc>
        <w:tc>
          <w:tcPr>
            <w:tcW w:w="753" w:type="dxa"/>
            <w:tcBorders>
              <w:tl2br w:val="nil"/>
              <w:tr2bl w:val="nil"/>
            </w:tcBorders>
            <w:vAlign w:val="center"/>
          </w:tcPr>
          <w:p w14:paraId="08B6A11E">
            <w:pPr>
              <w:widowControl/>
              <w:jc w:val="left"/>
              <w:rPr>
                <w:rFonts w:hint="eastAsia" w:ascii="宋体" w:hAnsi="宋体" w:eastAsia="宋体" w:cs="宋体"/>
                <w:bCs/>
                <w:sz w:val="21"/>
                <w:szCs w:val="21"/>
                <w:highlight w:val="none"/>
              </w:rPr>
            </w:pPr>
          </w:p>
        </w:tc>
      </w:tr>
      <w:tr w14:paraId="1AD5F5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7AF0ABA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9CDADA5">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A7A594A">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8.2内存≥256G</w:t>
            </w:r>
          </w:p>
        </w:tc>
        <w:tc>
          <w:tcPr>
            <w:tcW w:w="753" w:type="dxa"/>
            <w:tcBorders>
              <w:tl2br w:val="nil"/>
              <w:tr2bl w:val="nil"/>
            </w:tcBorders>
            <w:vAlign w:val="center"/>
          </w:tcPr>
          <w:p w14:paraId="48754E6C">
            <w:pPr>
              <w:widowControl/>
              <w:jc w:val="left"/>
              <w:rPr>
                <w:rFonts w:hint="eastAsia" w:ascii="宋体" w:hAnsi="宋体" w:eastAsia="宋体" w:cs="宋体"/>
                <w:bCs/>
                <w:sz w:val="21"/>
                <w:szCs w:val="21"/>
                <w:highlight w:val="none"/>
              </w:rPr>
            </w:pPr>
          </w:p>
        </w:tc>
      </w:tr>
      <w:tr w14:paraId="137865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0B12D11C">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40DF58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519C9804">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8.3硬盘容量 ≥3.84 TB</w:t>
            </w:r>
          </w:p>
        </w:tc>
        <w:tc>
          <w:tcPr>
            <w:tcW w:w="753" w:type="dxa"/>
            <w:tcBorders>
              <w:tl2br w:val="nil"/>
              <w:tr2bl w:val="nil"/>
            </w:tcBorders>
            <w:vAlign w:val="center"/>
          </w:tcPr>
          <w:p w14:paraId="31B7E7CC">
            <w:pPr>
              <w:widowControl/>
              <w:jc w:val="left"/>
              <w:rPr>
                <w:rFonts w:hint="eastAsia" w:ascii="宋体" w:hAnsi="宋体" w:eastAsia="宋体" w:cs="宋体"/>
                <w:bCs/>
                <w:sz w:val="21"/>
                <w:szCs w:val="21"/>
                <w:highlight w:val="none"/>
              </w:rPr>
            </w:pPr>
          </w:p>
        </w:tc>
      </w:tr>
      <w:tr w14:paraId="1429ABC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1CC456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EC49313">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A335981">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8.4最大采集矩阵 ≥2048 × 2048（插值）</w:t>
            </w:r>
          </w:p>
        </w:tc>
        <w:tc>
          <w:tcPr>
            <w:tcW w:w="753" w:type="dxa"/>
            <w:tcBorders>
              <w:tl2br w:val="nil"/>
              <w:tr2bl w:val="nil"/>
            </w:tcBorders>
            <w:vAlign w:val="center"/>
          </w:tcPr>
          <w:p w14:paraId="6150BEB9">
            <w:pPr>
              <w:widowControl/>
              <w:jc w:val="left"/>
              <w:rPr>
                <w:rFonts w:hint="eastAsia" w:ascii="宋体" w:hAnsi="宋体" w:eastAsia="宋体" w:cs="宋体"/>
                <w:bCs/>
                <w:sz w:val="21"/>
                <w:szCs w:val="21"/>
                <w:highlight w:val="none"/>
              </w:rPr>
            </w:pPr>
          </w:p>
        </w:tc>
      </w:tr>
      <w:tr w14:paraId="520BE8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tl2br w:val="nil"/>
              <w:tr2bl w:val="nil"/>
            </w:tcBorders>
            <w:vAlign w:val="center"/>
          </w:tcPr>
          <w:p w14:paraId="4A79811C">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1BF463B">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06446B62">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8.5图像重建 ≥ 15,000 幅/秒（256 × 256）</w:t>
            </w:r>
          </w:p>
        </w:tc>
        <w:tc>
          <w:tcPr>
            <w:tcW w:w="753" w:type="dxa"/>
            <w:tcBorders>
              <w:tl2br w:val="nil"/>
              <w:tr2bl w:val="nil"/>
            </w:tcBorders>
            <w:vAlign w:val="center"/>
          </w:tcPr>
          <w:p w14:paraId="27D05DCC">
            <w:pPr>
              <w:widowControl/>
              <w:jc w:val="left"/>
              <w:rPr>
                <w:rFonts w:hint="eastAsia" w:ascii="宋体" w:hAnsi="宋体" w:eastAsia="宋体" w:cs="宋体"/>
                <w:bCs/>
                <w:sz w:val="21"/>
                <w:szCs w:val="21"/>
                <w:highlight w:val="none"/>
              </w:rPr>
            </w:pPr>
          </w:p>
        </w:tc>
      </w:tr>
      <w:tr w14:paraId="472A570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4535244">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F754606">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7874B878">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 其他设备</w:t>
            </w:r>
          </w:p>
        </w:tc>
        <w:tc>
          <w:tcPr>
            <w:tcW w:w="753" w:type="dxa"/>
            <w:tcBorders>
              <w:tl2br w:val="nil"/>
              <w:tr2bl w:val="nil"/>
            </w:tcBorders>
            <w:vAlign w:val="center"/>
          </w:tcPr>
          <w:p w14:paraId="52BD77CA">
            <w:pPr>
              <w:widowControl/>
              <w:jc w:val="left"/>
              <w:rPr>
                <w:rFonts w:hint="eastAsia" w:ascii="宋体" w:hAnsi="宋体" w:eastAsia="宋体" w:cs="宋体"/>
                <w:bCs/>
                <w:sz w:val="21"/>
                <w:szCs w:val="21"/>
                <w:highlight w:val="none"/>
              </w:rPr>
            </w:pPr>
          </w:p>
        </w:tc>
      </w:tr>
      <w:tr w14:paraId="5D649D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045558F">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EC7E347">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3EB461CA">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9.1交钥匙工程：（包括但不限于MR机房及公共区域内的隔断墙体拆除与新砌、钢结构工程、钢筋混凝土浇筑楼板、吊顶天棚、墙面装饰、地面铺设、磁屏蔽、门窗制安、强弱电、给排水、消防设施设备安装及调试、通风空调等）</w:t>
            </w:r>
          </w:p>
        </w:tc>
        <w:tc>
          <w:tcPr>
            <w:tcW w:w="753" w:type="dxa"/>
            <w:tcBorders>
              <w:tl2br w:val="nil"/>
              <w:tr2bl w:val="nil"/>
            </w:tcBorders>
            <w:vAlign w:val="center"/>
          </w:tcPr>
          <w:p w14:paraId="2B4DA19F">
            <w:pPr>
              <w:widowControl/>
              <w:jc w:val="left"/>
              <w:rPr>
                <w:rFonts w:hint="eastAsia" w:ascii="宋体" w:hAnsi="宋体" w:eastAsia="宋体" w:cs="宋体"/>
                <w:bCs/>
                <w:sz w:val="21"/>
                <w:szCs w:val="21"/>
                <w:highlight w:val="none"/>
              </w:rPr>
            </w:pPr>
          </w:p>
        </w:tc>
      </w:tr>
      <w:tr w14:paraId="49483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B6D6CE3">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55C8CF0">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FFBB853">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9.2水冷机：使用水作为换热介质，为整机发热器件提供散热，覆盖梯度功率放大器、梯度线圈、磁体压缩单元等热负载部件</w:t>
            </w:r>
          </w:p>
        </w:tc>
        <w:tc>
          <w:tcPr>
            <w:tcW w:w="753" w:type="dxa"/>
            <w:tcBorders>
              <w:tl2br w:val="nil"/>
              <w:tr2bl w:val="nil"/>
            </w:tcBorders>
            <w:vAlign w:val="center"/>
          </w:tcPr>
          <w:p w14:paraId="34291117">
            <w:pPr>
              <w:widowControl/>
              <w:jc w:val="left"/>
              <w:rPr>
                <w:rFonts w:hint="eastAsia" w:ascii="宋体" w:hAnsi="宋体" w:eastAsia="宋体" w:cs="宋体"/>
                <w:bCs/>
                <w:sz w:val="21"/>
                <w:szCs w:val="21"/>
                <w:highlight w:val="none"/>
              </w:rPr>
            </w:pPr>
          </w:p>
        </w:tc>
      </w:tr>
      <w:tr w14:paraId="69B33D0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EAB37EC">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4DB2C8E6">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686D22A">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9.3精密空调：具备两个独立循环管路，可轮流工作</w:t>
            </w:r>
          </w:p>
        </w:tc>
        <w:tc>
          <w:tcPr>
            <w:tcW w:w="753" w:type="dxa"/>
            <w:tcBorders>
              <w:tl2br w:val="nil"/>
              <w:tr2bl w:val="nil"/>
            </w:tcBorders>
            <w:vAlign w:val="center"/>
          </w:tcPr>
          <w:p w14:paraId="4E5047FC">
            <w:pPr>
              <w:widowControl/>
              <w:jc w:val="left"/>
              <w:rPr>
                <w:rFonts w:hint="eastAsia" w:ascii="宋体" w:hAnsi="宋体" w:eastAsia="宋体" w:cs="宋体"/>
                <w:bCs/>
                <w:sz w:val="21"/>
                <w:szCs w:val="21"/>
                <w:highlight w:val="none"/>
              </w:rPr>
            </w:pPr>
          </w:p>
        </w:tc>
      </w:tr>
      <w:tr w14:paraId="3DB1E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7566A59">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6641B96">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6E53AA8">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9.4系统需配备一套可实现监控实验动物的心电，呼吸和体温的生理监控系统，并</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支持同步触发扫描功能</w:t>
            </w:r>
          </w:p>
        </w:tc>
        <w:tc>
          <w:tcPr>
            <w:tcW w:w="753" w:type="dxa"/>
            <w:tcBorders>
              <w:tl2br w:val="nil"/>
              <w:tr2bl w:val="nil"/>
            </w:tcBorders>
            <w:vAlign w:val="center"/>
          </w:tcPr>
          <w:p w14:paraId="6E8875CE">
            <w:pPr>
              <w:widowControl/>
              <w:jc w:val="left"/>
              <w:rPr>
                <w:rFonts w:hint="eastAsia" w:ascii="宋体" w:hAnsi="宋体" w:eastAsia="宋体" w:cs="宋体"/>
                <w:bCs/>
                <w:sz w:val="21"/>
                <w:szCs w:val="21"/>
                <w:highlight w:val="none"/>
              </w:rPr>
            </w:pPr>
          </w:p>
        </w:tc>
      </w:tr>
      <w:tr w14:paraId="77B097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6FCCC7CE">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5073DFAC">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0CDDC0C9">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9.5动物麻醉模块：包含动物气体麻醉机及附件</w:t>
            </w:r>
          </w:p>
        </w:tc>
        <w:tc>
          <w:tcPr>
            <w:tcW w:w="753" w:type="dxa"/>
            <w:tcBorders>
              <w:tl2br w:val="nil"/>
              <w:tr2bl w:val="nil"/>
            </w:tcBorders>
            <w:vAlign w:val="center"/>
          </w:tcPr>
          <w:p w14:paraId="02C66A3B">
            <w:pPr>
              <w:widowControl/>
              <w:jc w:val="left"/>
              <w:rPr>
                <w:rFonts w:hint="eastAsia" w:ascii="宋体" w:hAnsi="宋体" w:eastAsia="宋体" w:cs="宋体"/>
                <w:bCs/>
                <w:sz w:val="21"/>
                <w:szCs w:val="21"/>
                <w:highlight w:val="none"/>
              </w:rPr>
            </w:pPr>
          </w:p>
        </w:tc>
      </w:tr>
      <w:tr w14:paraId="60C186F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36601E47">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74F657A7">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292F484A">
            <w:pPr>
              <w:keepNext w:val="0"/>
              <w:keepLines w:val="0"/>
              <w:widowControl/>
              <w:suppressLineNumbers w:val="0"/>
              <w:jc w:val="both"/>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9.6 配置一套循环水保温系统：提供自动循环水保温单元</w:t>
            </w:r>
          </w:p>
        </w:tc>
        <w:tc>
          <w:tcPr>
            <w:tcW w:w="753" w:type="dxa"/>
            <w:tcBorders>
              <w:tl2br w:val="nil"/>
              <w:tr2bl w:val="nil"/>
            </w:tcBorders>
            <w:vAlign w:val="center"/>
          </w:tcPr>
          <w:p w14:paraId="7304DEE8">
            <w:pPr>
              <w:widowControl/>
              <w:jc w:val="left"/>
              <w:rPr>
                <w:rFonts w:hint="eastAsia" w:ascii="宋体" w:hAnsi="宋体" w:eastAsia="宋体" w:cs="宋体"/>
                <w:bCs/>
                <w:sz w:val="21"/>
                <w:szCs w:val="21"/>
                <w:highlight w:val="none"/>
              </w:rPr>
            </w:pPr>
          </w:p>
        </w:tc>
      </w:tr>
      <w:tr w14:paraId="1368BE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4EAEA85">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03F5C484">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4EC12F8E">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10科研平台</w:t>
            </w:r>
          </w:p>
        </w:tc>
        <w:tc>
          <w:tcPr>
            <w:tcW w:w="753" w:type="dxa"/>
            <w:tcBorders>
              <w:tl2br w:val="nil"/>
              <w:tr2bl w:val="nil"/>
            </w:tcBorders>
            <w:vAlign w:val="center"/>
          </w:tcPr>
          <w:p w14:paraId="2C720CC0">
            <w:pPr>
              <w:widowControl/>
              <w:jc w:val="left"/>
              <w:rPr>
                <w:rFonts w:hint="eastAsia" w:ascii="宋体" w:hAnsi="宋体" w:eastAsia="宋体" w:cs="宋体"/>
                <w:bCs/>
                <w:sz w:val="21"/>
                <w:szCs w:val="21"/>
                <w:highlight w:val="none"/>
              </w:rPr>
            </w:pPr>
          </w:p>
        </w:tc>
      </w:tr>
      <w:tr w14:paraId="0708B8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24094001">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480EA6F">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8B3D7F3">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10.1支持个性化序列与重建开发，在平台提供的脉冲序列开发环境下，可以根据自身的科研需求，有针对性地设计脉冲、梯度等序列与采集模块。</w:t>
            </w:r>
          </w:p>
        </w:tc>
        <w:tc>
          <w:tcPr>
            <w:tcW w:w="753" w:type="dxa"/>
            <w:tcBorders>
              <w:tl2br w:val="nil"/>
              <w:tr2bl w:val="nil"/>
            </w:tcBorders>
            <w:vAlign w:val="center"/>
          </w:tcPr>
          <w:p w14:paraId="6DC249EE">
            <w:pPr>
              <w:widowControl/>
              <w:jc w:val="left"/>
              <w:rPr>
                <w:rFonts w:hint="eastAsia" w:ascii="宋体" w:hAnsi="宋体" w:eastAsia="宋体" w:cs="宋体"/>
                <w:bCs/>
                <w:sz w:val="21"/>
                <w:szCs w:val="21"/>
                <w:highlight w:val="none"/>
              </w:rPr>
            </w:pPr>
          </w:p>
        </w:tc>
      </w:tr>
      <w:tr w14:paraId="2725B0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4" w:hRule="atLeast"/>
          <w:jc w:val="center"/>
        </w:trPr>
        <w:tc>
          <w:tcPr>
            <w:tcW w:w="704" w:type="dxa"/>
            <w:vMerge w:val="continue"/>
            <w:tcBorders>
              <w:tl2br w:val="nil"/>
              <w:tr2bl w:val="nil"/>
            </w:tcBorders>
            <w:vAlign w:val="center"/>
          </w:tcPr>
          <w:p w14:paraId="1E194E62">
            <w:pPr>
              <w:widowControl/>
              <w:jc w:val="left"/>
              <w:rPr>
                <w:rFonts w:hint="eastAsia" w:ascii="宋体" w:hAnsi="宋体" w:eastAsia="宋体" w:cs="宋体"/>
                <w:bCs/>
                <w:sz w:val="21"/>
                <w:szCs w:val="21"/>
                <w:highlight w:val="none"/>
              </w:rPr>
            </w:pPr>
          </w:p>
        </w:tc>
        <w:tc>
          <w:tcPr>
            <w:tcW w:w="1532" w:type="dxa"/>
            <w:vMerge w:val="continue"/>
            <w:tcBorders>
              <w:tl2br w:val="nil"/>
              <w:tr2bl w:val="nil"/>
            </w:tcBorders>
            <w:vAlign w:val="center"/>
          </w:tcPr>
          <w:p w14:paraId="3E1E5291">
            <w:pPr>
              <w:widowControl/>
              <w:jc w:val="left"/>
              <w:rPr>
                <w:rFonts w:hint="eastAsia" w:ascii="宋体" w:hAnsi="宋体" w:eastAsia="宋体" w:cs="宋体"/>
                <w:bCs/>
                <w:sz w:val="21"/>
                <w:szCs w:val="21"/>
                <w:highlight w:val="none"/>
              </w:rPr>
            </w:pPr>
          </w:p>
        </w:tc>
        <w:tc>
          <w:tcPr>
            <w:tcW w:w="5643" w:type="dxa"/>
            <w:tcBorders>
              <w:tl2br w:val="nil"/>
              <w:tr2bl w:val="nil"/>
            </w:tcBorders>
            <w:vAlign w:val="bottom"/>
          </w:tcPr>
          <w:p w14:paraId="1D5DF0E9">
            <w:pPr>
              <w:keepNext w:val="0"/>
              <w:keepLines w:val="0"/>
              <w:widowControl/>
              <w:suppressLineNumbers w:val="0"/>
              <w:jc w:val="both"/>
              <w:textAlignment w:val="bottom"/>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10.2提供装机时最新版本磁共振成像序列及软件包。</w:t>
            </w:r>
          </w:p>
        </w:tc>
        <w:tc>
          <w:tcPr>
            <w:tcW w:w="753" w:type="dxa"/>
            <w:tcBorders>
              <w:tl2br w:val="nil"/>
              <w:tr2bl w:val="nil"/>
            </w:tcBorders>
            <w:vAlign w:val="center"/>
          </w:tcPr>
          <w:p w14:paraId="3AC59315">
            <w:pPr>
              <w:widowControl/>
              <w:jc w:val="left"/>
              <w:rPr>
                <w:rFonts w:hint="eastAsia" w:ascii="宋体" w:hAnsi="宋体" w:eastAsia="宋体" w:cs="宋体"/>
                <w:bCs/>
                <w:sz w:val="21"/>
                <w:szCs w:val="21"/>
                <w:highlight w:val="none"/>
              </w:rPr>
            </w:pPr>
          </w:p>
        </w:tc>
      </w:tr>
    </w:tbl>
    <w:p w14:paraId="68F3825A">
      <w:pPr>
        <w:rPr>
          <w:rFonts w:ascii="宋体" w:eastAsia="宋体" w:cs="宋体"/>
          <w:b/>
          <w:sz w:val="21"/>
          <w:szCs w:val="21"/>
        </w:rPr>
      </w:pPr>
    </w:p>
    <w:p w14:paraId="4A3D900A">
      <w:pPr>
        <w:rPr>
          <w:rFonts w:hint="eastAsia"/>
          <w:szCs w:val="28"/>
        </w:rPr>
      </w:pPr>
      <w:r>
        <w:rPr>
          <w:rFonts w:hint="eastAsia"/>
          <w:szCs w:val="28"/>
        </w:rPr>
        <w:br w:type="page"/>
      </w:r>
    </w:p>
    <w:p w14:paraId="1CDC3C54">
      <w:pPr>
        <w:pStyle w:val="4"/>
        <w:spacing w:before="120" w:beforeLines="50" w:after="120" w:afterLines="50"/>
        <w:jc w:val="center"/>
        <w:rPr>
          <w:rFonts w:cs="宋体"/>
          <w:szCs w:val="28"/>
        </w:rPr>
      </w:pPr>
      <w:r>
        <w:rPr>
          <w:rFonts w:hint="eastAsia"/>
          <w:szCs w:val="28"/>
        </w:rPr>
        <w:t>★四、商务要求</w:t>
      </w:r>
    </w:p>
    <w:p w14:paraId="4803111F">
      <w:pPr>
        <w:rPr>
          <w:rFonts w:hint="eastAsia" w:ascii="宋体" w:hAnsi="宋体" w:eastAsia="宋体" w:cs="宋体"/>
          <w:b/>
          <w:sz w:val="21"/>
          <w:szCs w:val="21"/>
        </w:rPr>
      </w:pPr>
      <w:r>
        <w:rPr>
          <w:rFonts w:hint="eastAsia" w:ascii="宋体" w:hAnsi="宋体" w:eastAsia="宋体" w:cs="宋体"/>
          <w:b/>
          <w:sz w:val="21"/>
          <w:szCs w:val="21"/>
        </w:rPr>
        <w:t>说明：</w:t>
      </w:r>
    </w:p>
    <w:p w14:paraId="38B4AB5A">
      <w:pPr>
        <w:rPr>
          <w:rFonts w:ascii="宋体" w:eastAsia="宋体" w:cs="宋体"/>
          <w:b/>
          <w:sz w:val="21"/>
          <w:szCs w:val="21"/>
        </w:rPr>
      </w:pPr>
      <w:r>
        <w:rPr>
          <w:rFonts w:hint="eastAsia" w:ascii="宋体" w:eastAsia="宋体" w:cs="宋体"/>
          <w:b/>
          <w:sz w:val="21"/>
          <w:szCs w:val="21"/>
        </w:rPr>
        <w:t xml:space="preserve">1.带“★”指标项为关键指标，如出现负偏离，将被视为未实质性满足招标文件要求作投标无效处理。带“▲”指标项为重要指标，负偏离时依相关评分准则内容作重点扣分处理。 </w:t>
      </w:r>
    </w:p>
    <w:p w14:paraId="061E746A">
      <w:r>
        <w:rPr>
          <w:rFonts w:hint="eastAsia" w:ascii="宋体" w:eastAsia="宋体" w:cs="宋体"/>
          <w:b/>
          <w:sz w:val="21"/>
          <w:szCs w:val="21"/>
        </w:rPr>
        <w:t>2.招标</w:t>
      </w:r>
      <w:r>
        <w:rPr>
          <w:rFonts w:hint="eastAsia" w:ascii="宋体" w:hAnsi="宋体" w:eastAsia="宋体" w:cs="宋体"/>
          <w:b/>
          <w:sz w:val="21"/>
          <w:szCs w:val="21"/>
        </w:rPr>
        <w:t>商务</w:t>
      </w:r>
      <w:r>
        <w:rPr>
          <w:rFonts w:hint="eastAsia" w:ascii="宋体" w:eastAsia="宋体" w:cs="宋体"/>
          <w:b/>
          <w:sz w:val="21"/>
          <w:szCs w:val="21"/>
        </w:rPr>
        <w:t>要求中，用</w:t>
      </w:r>
      <w:r>
        <w:rPr>
          <w:rFonts w:hint="eastAsia" w:ascii="宋体" w:eastAsia="宋体" w:cs="宋体"/>
          <w:b/>
          <w:color w:val="FF0000"/>
          <w:sz w:val="21"/>
          <w:szCs w:val="21"/>
          <w:u w:val="double"/>
        </w:rPr>
        <w:t xml:space="preserve"> 红色字体标注的条款 </w:t>
      </w:r>
      <w:r>
        <w:rPr>
          <w:rFonts w:hint="eastAsia" w:ascii="宋体" w:eastAsia="宋体" w:cs="宋体"/>
          <w:b/>
          <w:sz w:val="21"/>
          <w:szCs w:val="21"/>
        </w:rPr>
        <w:t>为要求提供证明资料的条款，其余为未要求提供证明资料的条款，无需提供相关证明资料。</w:t>
      </w:r>
    </w:p>
    <w:tbl>
      <w:tblPr>
        <w:tblStyle w:val="28"/>
        <w:tblW w:w="885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52"/>
        <w:gridCol w:w="28"/>
        <w:gridCol w:w="6585"/>
      </w:tblGrid>
      <w:tr w14:paraId="1BC3D2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tcBorders>
              <w:tl2br w:val="nil"/>
              <w:tr2bl w:val="nil"/>
            </w:tcBorders>
            <w:vAlign w:val="center"/>
          </w:tcPr>
          <w:p w14:paraId="282ADF1F">
            <w:pP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8165" w:type="dxa"/>
            <w:gridSpan w:val="3"/>
            <w:tcBorders>
              <w:tl2br w:val="nil"/>
              <w:tr2bl w:val="nil"/>
            </w:tcBorders>
            <w:vAlign w:val="center"/>
          </w:tcPr>
          <w:p w14:paraId="0902AD54">
            <w:pPr>
              <w:spacing w:line="36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商务要求</w:t>
            </w:r>
            <w:r>
              <w:rPr>
                <w:rFonts w:hint="eastAsia" w:ascii="宋体" w:hAnsi="宋体" w:eastAsia="宋体" w:cs="宋体"/>
                <w:bCs/>
                <w:sz w:val="21"/>
                <w:szCs w:val="21"/>
                <w:highlight w:val="none"/>
              </w:rPr>
              <w:t>★</w:t>
            </w:r>
          </w:p>
        </w:tc>
      </w:tr>
      <w:tr w14:paraId="7E287E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53" w:type="dxa"/>
            <w:gridSpan w:val="4"/>
            <w:tcBorders>
              <w:tl2br w:val="nil"/>
              <w:tr2bl w:val="nil"/>
            </w:tcBorders>
            <w:vAlign w:val="center"/>
          </w:tcPr>
          <w:p w14:paraId="18244A82">
            <w:pP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（一）免费保修期内售后服务要求</w:t>
            </w:r>
          </w:p>
        </w:tc>
      </w:tr>
      <w:tr w14:paraId="74688B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tcBorders>
              <w:tl2br w:val="nil"/>
              <w:tr2bl w:val="nil"/>
            </w:tcBorders>
            <w:vAlign w:val="center"/>
          </w:tcPr>
          <w:p w14:paraId="764CD239">
            <w:pPr>
              <w:spacing w:line="360" w:lineRule="exact"/>
              <w:jc w:val="center"/>
              <w:rPr>
                <w:rFonts w:hint="eastAsia" w:ascii="宋体" w:hAnsi="宋体" w:eastAsia="宋体" w:cs="宋体"/>
                <w:b/>
                <w:sz w:val="21"/>
                <w:szCs w:val="21"/>
                <w:highlight w:val="none"/>
              </w:rPr>
            </w:pPr>
            <w:r>
              <w:rPr>
                <w:rFonts w:hint="eastAsia" w:ascii="宋体" w:hAnsi="宋体" w:eastAsia="宋体" w:cs="宋体"/>
                <w:bCs/>
                <w:sz w:val="21"/>
                <w:szCs w:val="21"/>
                <w:highlight w:val="none"/>
              </w:rPr>
              <w:t>1</w:t>
            </w:r>
          </w:p>
        </w:tc>
        <w:tc>
          <w:tcPr>
            <w:tcW w:w="1552" w:type="dxa"/>
            <w:tcBorders>
              <w:tl2br w:val="nil"/>
              <w:tr2bl w:val="nil"/>
            </w:tcBorders>
            <w:vAlign w:val="center"/>
          </w:tcPr>
          <w:p w14:paraId="6E8580B7">
            <w:pPr>
              <w:jc w:val="center"/>
              <w:rPr>
                <w:rFonts w:hint="eastAsia" w:ascii="宋体" w:hAnsi="宋体" w:eastAsia="宋体" w:cs="宋体"/>
                <w:b/>
                <w:sz w:val="21"/>
                <w:szCs w:val="21"/>
                <w:highlight w:val="none"/>
              </w:rPr>
            </w:pPr>
            <w:r>
              <w:rPr>
                <w:rFonts w:hint="eastAsia" w:ascii="宋体" w:hAnsi="宋体" w:eastAsia="宋体" w:cs="宋体"/>
                <w:kern w:val="0"/>
                <w:sz w:val="21"/>
                <w:szCs w:val="21"/>
                <w:highlight w:val="none"/>
              </w:rPr>
              <w:t>售后服务要求</w:t>
            </w:r>
          </w:p>
        </w:tc>
        <w:tc>
          <w:tcPr>
            <w:tcW w:w="6613" w:type="dxa"/>
            <w:gridSpan w:val="2"/>
            <w:tcBorders>
              <w:tl2br w:val="nil"/>
              <w:tr2bl w:val="nil"/>
            </w:tcBorders>
            <w:vAlign w:val="top"/>
          </w:tcPr>
          <w:p w14:paraId="334465FC">
            <w:pPr>
              <w:rPr>
                <w:rFonts w:hint="eastAsia" w:ascii="宋体" w:hAnsi="宋体" w:eastAsia="宋体" w:cs="宋体"/>
                <w:b/>
                <w:sz w:val="21"/>
                <w:szCs w:val="21"/>
                <w:highlight w:val="none"/>
              </w:rPr>
            </w:pPr>
            <w:r>
              <w:rPr>
                <w:rFonts w:hint="eastAsia" w:ascii="宋体" w:hAnsi="宋体" w:eastAsia="宋体" w:cs="宋体"/>
                <w:sz w:val="21"/>
                <w:szCs w:val="21"/>
                <w:highlight w:val="none"/>
              </w:rPr>
              <w:t>一旦发生产品质量及安装问题，</w:t>
            </w:r>
            <w:r>
              <w:rPr>
                <w:rFonts w:hint="eastAsia" w:ascii="宋体" w:hAnsi="宋体" w:eastAsia="宋体" w:cs="宋体"/>
                <w:kern w:val="0"/>
                <w:sz w:val="21"/>
                <w:szCs w:val="21"/>
                <w:highlight w:val="none"/>
              </w:rPr>
              <w:t>中标人</w:t>
            </w:r>
            <w:r>
              <w:rPr>
                <w:rFonts w:hint="eastAsia" w:ascii="宋体" w:hAnsi="宋体" w:eastAsia="宋体" w:cs="宋体"/>
                <w:sz w:val="21"/>
                <w:szCs w:val="21"/>
                <w:highlight w:val="none"/>
              </w:rPr>
              <w:t>保证在接到通知24小时内赶到现场，进行免费维修或更换有缺陷的设备或部件；响应时间：6小时响应；修复时间：72小时内；冗余服务：在24小时内或紧急情况下，未能修复，提供具有同样功能的设备供使用单位使用。设备使用期间中标人每季度至少回访使用方使用科室一次并对设备进行维护并留存维护记录。</w:t>
            </w:r>
          </w:p>
        </w:tc>
      </w:tr>
      <w:tr w14:paraId="3D7298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tcBorders>
              <w:tl2br w:val="nil"/>
              <w:tr2bl w:val="nil"/>
            </w:tcBorders>
            <w:vAlign w:val="center"/>
          </w:tcPr>
          <w:p w14:paraId="7696FC13">
            <w:pPr>
              <w:spacing w:line="360" w:lineRule="exact"/>
              <w:jc w:val="center"/>
              <w:rPr>
                <w:rFonts w:hint="eastAsia" w:ascii="宋体" w:hAnsi="宋体" w:eastAsia="宋体" w:cs="宋体"/>
                <w:b/>
                <w:sz w:val="21"/>
                <w:szCs w:val="21"/>
                <w:highlight w:val="none"/>
              </w:rPr>
            </w:pPr>
            <w:r>
              <w:rPr>
                <w:rFonts w:hint="eastAsia" w:ascii="宋体" w:hAnsi="宋体" w:eastAsia="宋体" w:cs="宋体"/>
                <w:sz w:val="21"/>
                <w:szCs w:val="21"/>
                <w:highlight w:val="none"/>
              </w:rPr>
              <w:t>2</w:t>
            </w:r>
          </w:p>
        </w:tc>
        <w:tc>
          <w:tcPr>
            <w:tcW w:w="1552" w:type="dxa"/>
            <w:tcBorders>
              <w:tl2br w:val="nil"/>
              <w:tr2bl w:val="nil"/>
            </w:tcBorders>
            <w:vAlign w:val="center"/>
          </w:tcPr>
          <w:p w14:paraId="56C6229C">
            <w:pPr>
              <w:spacing w:line="360" w:lineRule="exact"/>
              <w:jc w:val="center"/>
              <w:rPr>
                <w:rFonts w:hint="eastAsia" w:ascii="宋体" w:hAnsi="宋体" w:eastAsia="宋体" w:cs="宋体"/>
                <w:b/>
                <w:sz w:val="21"/>
                <w:szCs w:val="21"/>
                <w:highlight w:val="none"/>
              </w:rPr>
            </w:pPr>
            <w:r>
              <w:rPr>
                <w:rFonts w:hint="eastAsia" w:ascii="宋体" w:hAnsi="宋体" w:eastAsia="宋体" w:cs="宋体"/>
                <w:sz w:val="21"/>
                <w:szCs w:val="21"/>
                <w:highlight w:val="none"/>
              </w:rPr>
              <w:t>原厂整机质保期</w:t>
            </w:r>
          </w:p>
        </w:tc>
        <w:tc>
          <w:tcPr>
            <w:tcW w:w="6613" w:type="dxa"/>
            <w:gridSpan w:val="2"/>
            <w:tcBorders>
              <w:tl2br w:val="nil"/>
              <w:tr2bl w:val="nil"/>
            </w:tcBorders>
          </w:tcPr>
          <w:p w14:paraId="6F807908">
            <w:pPr>
              <w:adjustRightInd w:val="0"/>
              <w:snapToGrid w:val="0"/>
              <w:rPr>
                <w:rFonts w:hint="eastAsia" w:ascii="宋体" w:hAnsi="宋体" w:eastAsia="宋体" w:cs="宋体"/>
                <w:b/>
                <w:sz w:val="21"/>
                <w:szCs w:val="21"/>
                <w:highlight w:val="none"/>
              </w:rPr>
            </w:pPr>
            <w:r>
              <w:rPr>
                <w:rFonts w:hint="eastAsia" w:ascii="宋体" w:hAnsi="宋体" w:eastAsia="宋体" w:cs="宋体"/>
                <w:sz w:val="21"/>
                <w:szCs w:val="21"/>
                <w:highlight w:val="none"/>
              </w:rPr>
              <w:t>原厂整机</w:t>
            </w:r>
            <w:r>
              <w:rPr>
                <w:rFonts w:hint="eastAsia" w:ascii="宋体" w:hAnsi="宋体" w:eastAsia="宋体" w:cs="宋体"/>
                <w:kern w:val="0"/>
                <w:sz w:val="21"/>
                <w:szCs w:val="21"/>
                <w:highlight w:val="none"/>
              </w:rPr>
              <w:t>质量保证期（简称“质保期”）≥</w:t>
            </w:r>
            <w:r>
              <w:rPr>
                <w:rFonts w:hint="eastAsia" w:ascii="宋体" w:hAnsi="宋体" w:eastAsia="宋体" w:cs="宋体"/>
                <w:kern w:val="0"/>
                <w:sz w:val="21"/>
                <w:szCs w:val="21"/>
                <w:highlight w:val="none"/>
                <w:lang w:val="en-US" w:eastAsia="zh-CN"/>
              </w:rPr>
              <w:t>10</w:t>
            </w:r>
            <w:r>
              <w:rPr>
                <w:rFonts w:hint="eastAsia" w:ascii="宋体" w:hAnsi="宋体" w:eastAsia="宋体" w:cs="宋体"/>
                <w:kern w:val="0"/>
                <w:sz w:val="21"/>
                <w:szCs w:val="21"/>
                <w:highlight w:val="none"/>
              </w:rPr>
              <w:t>年，质保期自设备最终验收合格之日起算，质保期内供货方对所供设备实行包修、包换、包退、包维护保养，期满后可同时提供终身有偿维修保养服务。保修期内设备故障率≤5 %。设备故障率未达要求的，每升高1%，保修期顺延30天。当设备故障率≥10 %时，中标人必须在采购人提出要求之日起30日内无条件更换新机，并按该设备总价的5%向采购人支付违约金，由此造成使用方其他损失的，中标人应另行赔偿。采购人维修通知的邮件发出后，视为采购人的维修通知送达中标人。中标人应无偿并迅速更换由于元件缺陷及制造工艺等问题而发生故障的产品。</w:t>
            </w:r>
          </w:p>
        </w:tc>
      </w:tr>
      <w:tr w14:paraId="5E6632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53" w:type="dxa"/>
            <w:gridSpan w:val="4"/>
            <w:tcBorders>
              <w:tl2br w:val="nil"/>
              <w:tr2bl w:val="nil"/>
            </w:tcBorders>
            <w:vAlign w:val="center"/>
          </w:tcPr>
          <w:p w14:paraId="62BCABAC">
            <w:pP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（三）其他商务要求</w:t>
            </w:r>
          </w:p>
        </w:tc>
      </w:tr>
      <w:tr w14:paraId="132187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restart"/>
            <w:tcBorders>
              <w:tl2br w:val="nil"/>
              <w:tr2bl w:val="nil"/>
            </w:tcBorders>
            <w:vAlign w:val="center"/>
          </w:tcPr>
          <w:p w14:paraId="264DCF43">
            <w:pPr>
              <w:jc w:val="center"/>
              <w:rPr>
                <w:rFonts w:hint="eastAsia" w:ascii="宋体" w:hAnsi="宋体" w:eastAsia="宋体" w:cs="宋体"/>
                <w:b w:val="0"/>
                <w:bCs/>
                <w:sz w:val="21"/>
                <w:szCs w:val="21"/>
                <w:highlight w:val="none"/>
              </w:rPr>
            </w:pPr>
            <w:bookmarkStart w:id="27" w:name="_Hlk72260973"/>
            <w:r>
              <w:rPr>
                <w:rFonts w:hint="eastAsia" w:ascii="宋体" w:hAnsi="宋体" w:eastAsia="宋体" w:cs="宋体"/>
                <w:b w:val="0"/>
                <w:bCs/>
                <w:sz w:val="21"/>
                <w:szCs w:val="21"/>
                <w:highlight w:val="none"/>
                <w:lang w:eastAsia="zh-CN"/>
              </w:rPr>
              <w:t>1</w:t>
            </w:r>
          </w:p>
        </w:tc>
        <w:tc>
          <w:tcPr>
            <w:tcW w:w="1580" w:type="dxa"/>
            <w:gridSpan w:val="2"/>
            <w:vMerge w:val="restart"/>
            <w:tcBorders>
              <w:tl2br w:val="nil"/>
              <w:tr2bl w:val="nil"/>
            </w:tcBorders>
            <w:vAlign w:val="center"/>
          </w:tcPr>
          <w:p w14:paraId="22FBE393">
            <w:pPr>
              <w:jc w:val="center"/>
              <w:rPr>
                <w:rFonts w:hint="eastAsia" w:ascii="宋体" w:hAnsi="宋体" w:eastAsia="宋体" w:cs="宋体"/>
                <w:b w:val="0"/>
                <w:bCs/>
                <w:sz w:val="21"/>
                <w:szCs w:val="21"/>
                <w:highlight w:val="none"/>
              </w:rPr>
            </w:pPr>
            <w:r>
              <w:rPr>
                <w:rFonts w:hint="eastAsia" w:ascii="宋体" w:hAnsi="宋体" w:eastAsia="宋体" w:cs="宋体"/>
                <w:bCs/>
                <w:sz w:val="21"/>
                <w:szCs w:val="21"/>
                <w:highlight w:val="none"/>
              </w:rPr>
              <w:t>关于交货关于违约</w:t>
            </w:r>
          </w:p>
        </w:tc>
        <w:tc>
          <w:tcPr>
            <w:tcW w:w="6585" w:type="dxa"/>
            <w:tcBorders>
              <w:tl2br w:val="nil"/>
              <w:tr2bl w:val="nil"/>
            </w:tcBorders>
            <w:vAlign w:val="top"/>
          </w:tcPr>
          <w:p w14:paraId="5D8B5D42">
            <w:pPr>
              <w:rPr>
                <w:rFonts w:hint="eastAsia" w:ascii="宋体" w:hAnsi="宋体" w:eastAsia="宋体" w:cs="宋体"/>
                <w:sz w:val="21"/>
                <w:szCs w:val="21"/>
                <w:highlight w:val="none"/>
              </w:rPr>
            </w:pPr>
            <w:r>
              <w:rPr>
                <w:rFonts w:hint="eastAsia" w:ascii="宋体" w:hAnsi="宋体" w:eastAsia="宋体" w:cs="宋体"/>
                <w:sz w:val="21"/>
                <w:szCs w:val="21"/>
                <w:highlight w:val="none"/>
              </w:rPr>
              <w:t>1.1运输及卸车搬至</w:t>
            </w:r>
            <w:r>
              <w:rPr>
                <w:rFonts w:hint="eastAsia" w:ascii="宋体" w:hAnsi="宋体" w:eastAsia="宋体" w:cs="宋体"/>
                <w:sz w:val="21"/>
                <w:szCs w:val="21"/>
                <w:highlight w:val="none"/>
                <w:lang w:val="en-US" w:eastAsia="zh-CN"/>
              </w:rPr>
              <w:t>采购人</w:t>
            </w:r>
            <w:r>
              <w:rPr>
                <w:rFonts w:hint="eastAsia" w:ascii="宋体" w:hAnsi="宋体" w:eastAsia="宋体" w:cs="宋体"/>
                <w:sz w:val="21"/>
                <w:szCs w:val="21"/>
                <w:highlight w:val="none"/>
              </w:rPr>
              <w:t>指定地点。运输费用及风险由</w:t>
            </w:r>
            <w:r>
              <w:rPr>
                <w:rFonts w:hint="eastAsia" w:ascii="宋体" w:hAnsi="宋体" w:eastAsia="宋体" w:cs="宋体"/>
                <w:sz w:val="21"/>
                <w:szCs w:val="21"/>
                <w:highlight w:val="none"/>
                <w:lang w:val="en-US" w:eastAsia="zh-CN"/>
              </w:rPr>
              <w:t>中标人</w:t>
            </w:r>
            <w:r>
              <w:rPr>
                <w:rFonts w:hint="eastAsia" w:ascii="宋体" w:hAnsi="宋体" w:eastAsia="宋体" w:cs="宋体"/>
                <w:sz w:val="21"/>
                <w:szCs w:val="21"/>
                <w:highlight w:val="none"/>
              </w:rPr>
              <w:t>承担。设备的包装均应有良好的防湿、防锈、防潮、防雨、防腐及防碰撞的措施，符合产品标准关于包装的要求。凡由于包装问题造成的损失和由此产生的费用均由中标人必承担。</w:t>
            </w:r>
          </w:p>
        </w:tc>
      </w:tr>
      <w:tr w14:paraId="4A8154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6822E718">
            <w:pPr>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53FBFA66">
            <w:pPr>
              <w:jc w:val="center"/>
              <w:rPr>
                <w:rFonts w:hint="eastAsia" w:ascii="宋体" w:hAnsi="宋体" w:eastAsia="宋体" w:cs="宋体"/>
                <w:b w:val="0"/>
                <w:bCs/>
                <w:sz w:val="21"/>
                <w:szCs w:val="21"/>
                <w:highlight w:val="none"/>
              </w:rPr>
            </w:pPr>
          </w:p>
        </w:tc>
        <w:tc>
          <w:tcPr>
            <w:tcW w:w="6585" w:type="dxa"/>
            <w:tcBorders>
              <w:tl2br w:val="nil"/>
              <w:tr2bl w:val="nil"/>
            </w:tcBorders>
            <w:vAlign w:val="top"/>
          </w:tcPr>
          <w:p w14:paraId="7670909A">
            <w:pPr>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1.2中标人必须承担的设备运输、安装调试、验收检测和提供设备操作说明书、图纸等其他类似的义务。</w:t>
            </w:r>
          </w:p>
        </w:tc>
      </w:tr>
      <w:tr w14:paraId="73FF0E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56BE1410">
            <w:pPr>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1E16AF77">
            <w:pPr>
              <w:jc w:val="center"/>
              <w:rPr>
                <w:rFonts w:hint="eastAsia" w:ascii="宋体" w:hAnsi="宋体" w:eastAsia="宋体" w:cs="宋体"/>
                <w:bCs/>
                <w:sz w:val="21"/>
                <w:szCs w:val="21"/>
                <w:highlight w:val="none"/>
              </w:rPr>
            </w:pPr>
          </w:p>
        </w:tc>
        <w:tc>
          <w:tcPr>
            <w:tcW w:w="6585" w:type="dxa"/>
            <w:tcBorders>
              <w:tl2br w:val="nil"/>
              <w:tr2bl w:val="nil"/>
            </w:tcBorders>
            <w:vAlign w:val="top"/>
          </w:tcPr>
          <w:p w14:paraId="2187DBB2">
            <w:pPr>
              <w:rPr>
                <w:rFonts w:hint="eastAsia" w:ascii="宋体" w:hAnsi="宋体" w:eastAsia="宋体" w:cs="宋体"/>
                <w:color w:val="000000"/>
                <w:sz w:val="21"/>
                <w:szCs w:val="21"/>
                <w:highlight w:val="none"/>
              </w:rPr>
            </w:pPr>
            <w:r>
              <w:rPr>
                <w:rFonts w:hint="eastAsia" w:ascii="宋体" w:hAnsi="宋体" w:eastAsia="宋体" w:cs="宋体"/>
                <w:b/>
                <w:bCs/>
                <w:color w:val="auto"/>
                <w:sz w:val="21"/>
                <w:szCs w:val="21"/>
                <w:highlight w:val="none"/>
              </w:rPr>
              <w:t>1.3签订合同后，接</w:t>
            </w:r>
            <w:r>
              <w:rPr>
                <w:rFonts w:hint="eastAsia" w:ascii="宋体" w:hAnsi="宋体" w:eastAsia="宋体" w:cs="宋体"/>
                <w:b/>
                <w:bCs/>
                <w:color w:val="auto"/>
                <w:sz w:val="21"/>
                <w:szCs w:val="21"/>
                <w:highlight w:val="none"/>
                <w:lang w:val="en-US" w:eastAsia="zh-CN"/>
              </w:rPr>
              <w:t>采购人</w:t>
            </w:r>
            <w:r>
              <w:rPr>
                <w:rFonts w:hint="eastAsia" w:ascii="宋体" w:hAnsi="宋体" w:eastAsia="宋体" w:cs="宋体"/>
                <w:b/>
                <w:bCs/>
                <w:color w:val="auto"/>
                <w:sz w:val="21"/>
                <w:szCs w:val="21"/>
                <w:highlight w:val="none"/>
              </w:rPr>
              <w:t>通知</w:t>
            </w:r>
            <w:r>
              <w:rPr>
                <w:rFonts w:hint="eastAsia" w:ascii="宋体" w:hAnsi="宋体" w:eastAsia="宋体" w:cs="宋体"/>
                <w:b/>
                <w:bCs/>
                <w:color w:val="auto"/>
                <w:sz w:val="21"/>
                <w:szCs w:val="21"/>
                <w:highlight w:val="none"/>
                <w:lang w:val="en-US" w:eastAsia="zh-CN"/>
              </w:rPr>
              <w:t>60</w:t>
            </w:r>
            <w:r>
              <w:rPr>
                <w:rFonts w:hint="eastAsia" w:ascii="宋体" w:hAnsi="宋体" w:eastAsia="宋体" w:cs="宋体"/>
                <w:b/>
                <w:bCs/>
                <w:color w:val="auto"/>
                <w:sz w:val="21"/>
                <w:szCs w:val="21"/>
                <w:highlight w:val="none"/>
              </w:rPr>
              <w:t>日（日历日）内交货。</w:t>
            </w:r>
          </w:p>
        </w:tc>
      </w:tr>
      <w:tr w14:paraId="10B343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restart"/>
            <w:tcBorders>
              <w:tl2br w:val="nil"/>
              <w:tr2bl w:val="nil"/>
            </w:tcBorders>
            <w:vAlign w:val="center"/>
          </w:tcPr>
          <w:p w14:paraId="6AA7BB1C">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2</w:t>
            </w:r>
          </w:p>
        </w:tc>
        <w:tc>
          <w:tcPr>
            <w:tcW w:w="1580" w:type="dxa"/>
            <w:gridSpan w:val="2"/>
            <w:vMerge w:val="restart"/>
            <w:tcBorders>
              <w:tl2br w:val="nil"/>
              <w:tr2bl w:val="nil"/>
            </w:tcBorders>
            <w:vAlign w:val="center"/>
          </w:tcPr>
          <w:p w14:paraId="3D924C2C">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关于交货</w:t>
            </w:r>
          </w:p>
        </w:tc>
        <w:tc>
          <w:tcPr>
            <w:tcW w:w="6585" w:type="dxa"/>
            <w:tcBorders>
              <w:tl2br w:val="nil"/>
              <w:tr2bl w:val="nil"/>
            </w:tcBorders>
            <w:shd w:val="clear" w:color="auto" w:fill="auto"/>
            <w:vAlign w:val="top"/>
          </w:tcPr>
          <w:p w14:paraId="6A656906">
            <w:pPr>
              <w:spacing w:line="340" w:lineRule="exac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2.1</w:t>
            </w:r>
            <w:r>
              <w:rPr>
                <w:rFonts w:hint="eastAsia" w:ascii="宋体" w:hAnsi="宋体" w:eastAsia="宋体" w:cs="宋体"/>
                <w:kern w:val="0"/>
                <w:sz w:val="21"/>
                <w:szCs w:val="21"/>
                <w:highlight w:val="none"/>
              </w:rPr>
              <w:t>货物安装需施工的，</w:t>
            </w:r>
            <w:r>
              <w:rPr>
                <w:rFonts w:hint="eastAsia" w:ascii="宋体" w:hAnsi="宋体" w:eastAsia="宋体" w:cs="宋体"/>
                <w:bCs/>
                <w:sz w:val="21"/>
                <w:szCs w:val="21"/>
                <w:highlight w:val="none"/>
              </w:rPr>
              <w:t>中标人</w:t>
            </w:r>
            <w:r>
              <w:rPr>
                <w:rFonts w:hint="eastAsia" w:ascii="宋体" w:hAnsi="宋体" w:eastAsia="宋体" w:cs="宋体"/>
                <w:kern w:val="0"/>
                <w:sz w:val="21"/>
                <w:szCs w:val="21"/>
                <w:highlight w:val="none"/>
              </w:rPr>
              <w:t>应在合同签订前提供设备安装施工图纸，采购人与</w:t>
            </w:r>
            <w:r>
              <w:rPr>
                <w:rFonts w:hint="eastAsia" w:ascii="宋体" w:hAnsi="宋体" w:eastAsia="宋体" w:cs="宋体"/>
                <w:bCs/>
                <w:sz w:val="21"/>
                <w:szCs w:val="21"/>
                <w:highlight w:val="none"/>
              </w:rPr>
              <w:t>中标人必</w:t>
            </w:r>
            <w:r>
              <w:rPr>
                <w:rFonts w:hint="eastAsia" w:ascii="宋体" w:hAnsi="宋体" w:eastAsia="宋体" w:cs="宋体"/>
                <w:kern w:val="0"/>
                <w:sz w:val="21"/>
                <w:szCs w:val="21"/>
                <w:highlight w:val="none"/>
              </w:rPr>
              <w:t>共同签字确定安装场地施工方案，确保安装场地（包括消防、环保等）适合设备安装，如因</w:t>
            </w:r>
            <w:r>
              <w:rPr>
                <w:rFonts w:hint="eastAsia" w:ascii="宋体" w:hAnsi="宋体" w:eastAsia="宋体" w:cs="宋体"/>
                <w:bCs/>
                <w:sz w:val="21"/>
                <w:szCs w:val="21"/>
                <w:highlight w:val="none"/>
              </w:rPr>
              <w:t>中标人</w:t>
            </w:r>
            <w:r>
              <w:rPr>
                <w:rFonts w:hint="eastAsia" w:ascii="宋体" w:hAnsi="宋体" w:eastAsia="宋体" w:cs="宋体"/>
                <w:kern w:val="0"/>
                <w:sz w:val="21"/>
                <w:szCs w:val="21"/>
                <w:highlight w:val="none"/>
              </w:rPr>
              <w:t>延迟提供材料或未及时签字确认方案等致设备无法如期安装所造成的损失由</w:t>
            </w:r>
            <w:r>
              <w:rPr>
                <w:rFonts w:hint="eastAsia" w:ascii="宋体" w:hAnsi="宋体" w:eastAsia="宋体" w:cs="宋体"/>
                <w:bCs/>
                <w:sz w:val="21"/>
                <w:szCs w:val="21"/>
                <w:highlight w:val="none"/>
              </w:rPr>
              <w:t>中标人必</w:t>
            </w:r>
            <w:r>
              <w:rPr>
                <w:rFonts w:hint="eastAsia" w:ascii="宋体" w:hAnsi="宋体" w:eastAsia="宋体" w:cs="宋体"/>
                <w:kern w:val="0"/>
                <w:sz w:val="21"/>
                <w:szCs w:val="21"/>
                <w:highlight w:val="none"/>
              </w:rPr>
              <w:t>承担。安装前</w:t>
            </w:r>
            <w:r>
              <w:rPr>
                <w:rFonts w:hint="eastAsia" w:ascii="宋体" w:hAnsi="宋体" w:eastAsia="宋体" w:cs="宋体"/>
                <w:bCs/>
                <w:sz w:val="21"/>
                <w:szCs w:val="21"/>
                <w:highlight w:val="none"/>
              </w:rPr>
              <w:t>中标人</w:t>
            </w:r>
            <w:r>
              <w:rPr>
                <w:rFonts w:hint="eastAsia" w:ascii="宋体" w:hAnsi="宋体" w:eastAsia="宋体" w:cs="宋体"/>
                <w:kern w:val="0"/>
                <w:sz w:val="21"/>
                <w:szCs w:val="21"/>
                <w:highlight w:val="none"/>
              </w:rPr>
              <w:t>通知采购人使用科室、设备科、采购方及</w:t>
            </w:r>
            <w:r>
              <w:rPr>
                <w:rFonts w:hint="eastAsia" w:ascii="宋体" w:hAnsi="宋体" w:eastAsia="宋体" w:cs="宋体"/>
                <w:bCs/>
                <w:sz w:val="21"/>
                <w:szCs w:val="21"/>
                <w:highlight w:val="none"/>
              </w:rPr>
              <w:t>中标人</w:t>
            </w:r>
            <w:r>
              <w:rPr>
                <w:rFonts w:hint="eastAsia" w:ascii="宋体" w:hAnsi="宋体" w:eastAsia="宋体" w:cs="宋体"/>
                <w:kern w:val="0"/>
                <w:sz w:val="21"/>
                <w:szCs w:val="21"/>
                <w:highlight w:val="none"/>
              </w:rPr>
              <w:t>共同到场开箱，并填写开箱记录。</w:t>
            </w:r>
            <w:r>
              <w:rPr>
                <w:rFonts w:hint="eastAsia" w:ascii="宋体" w:hAnsi="宋体" w:eastAsia="宋体" w:cs="宋体"/>
                <w:bCs/>
                <w:sz w:val="21"/>
                <w:szCs w:val="21"/>
                <w:highlight w:val="none"/>
              </w:rPr>
              <w:t>中标人</w:t>
            </w:r>
            <w:r>
              <w:rPr>
                <w:rFonts w:hint="eastAsia" w:ascii="宋体" w:hAnsi="宋体" w:eastAsia="宋体" w:cs="宋体"/>
                <w:kern w:val="0"/>
                <w:sz w:val="21"/>
                <w:szCs w:val="21"/>
                <w:highlight w:val="none"/>
              </w:rPr>
              <w:t>应提供与货物相符且完整的资料，提供包括但不限于如下资料：①产品安装、操作和维修手册②中文版使用说明书③出厂合格证（进口产品提供进口报关单及检疫证明）④到货清单。</w:t>
            </w:r>
          </w:p>
        </w:tc>
      </w:tr>
      <w:tr w14:paraId="1A8313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776A4C51">
            <w:pPr>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440B7EF6">
            <w:pPr>
              <w:jc w:val="center"/>
              <w:rPr>
                <w:rFonts w:hint="eastAsia" w:ascii="宋体" w:hAnsi="宋体" w:eastAsia="宋体" w:cs="宋体"/>
                <w:bCs/>
                <w:sz w:val="21"/>
                <w:szCs w:val="21"/>
                <w:highlight w:val="none"/>
              </w:rPr>
            </w:pPr>
          </w:p>
        </w:tc>
        <w:tc>
          <w:tcPr>
            <w:tcW w:w="6585" w:type="dxa"/>
            <w:tcBorders>
              <w:tl2br w:val="nil"/>
              <w:tr2bl w:val="nil"/>
            </w:tcBorders>
            <w:shd w:val="clear" w:color="auto" w:fill="auto"/>
            <w:vAlign w:val="top"/>
          </w:tcPr>
          <w:p w14:paraId="19F89C91">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 交钥匙工程：</w:t>
            </w:r>
          </w:p>
          <w:p w14:paraId="4647B3D2">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2.2.1.动物MR机房改造方案详细参数要求：项目包括但不限于MR机房及公共区域内的隔断墙体拆除与新砌、钢结构工程、钢筋混凝土浇筑楼板、吊顶天棚、墙面装饰、地面铺设、磁屏蔽、门窗制安、强弱电、给排水、消防设施设备安装及调试、通风空调等。</w:t>
            </w:r>
          </w:p>
          <w:p w14:paraId="696A6535">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2.2.2.所有设备、材料由投标人负责采购。参照招标人已有品牌选品，如有定色样品经使用科室确认，方可使用。如无特殊要求，本项目所用设备及主要材料品牌必须符合深圳市建筑工务署或福田区建筑工务署相关设备、材料品牌库的相关要求。清单中有明确的品牌要求的项目，投标人必须严格遵守或使用深圳市建筑工务署品牌库中同档次及以上产品。</w:t>
            </w:r>
          </w:p>
          <w:p w14:paraId="76B4450C">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2.2.3.投标报价已包括人工费、材料费、机械费、管理费、措施项目费、安全文明施工费、规费、利润、税金以及有关协调服务费等为完成设备安装所发生的全部费用。</w:t>
            </w:r>
          </w:p>
          <w:p w14:paraId="5E8A27C7">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2.2.4.投标人如不具备工程施工资质的，应委托具备工程施工资质单位进行施工，施工期间，投标人应委托监理单位对项目进行监督和管理。按照有关规定材料需要送检的，投标人应将材料取样送检。</w:t>
            </w:r>
          </w:p>
          <w:p w14:paraId="1E8B51FA">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2.2.5.项目竣工后，监理单位组织各参建单位就材料、设备的数量、质量、环保等内容按照约定以及国家的有关规定共同验收，验收未通过的应及时无偿整改以符合验收标准。验收通过后签署《工程质量验收单》。</w:t>
            </w:r>
          </w:p>
          <w:p w14:paraId="4B2416A5">
            <w:pPr>
              <w:spacing w:line="34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2.2.6.项目质保：装饰装修工程保修期为二年，有防水要求的防渗漏工程保修期为五年。保修期内，因中标人原因造成工程的缺陷、损坏，中标人应在接到招标人保修通知后24小时内安排人员无条件负责修复。如中标人不在约定期限内派人修理，采购人可自行委托其他人员修理，涉及的相关修复费用由中标人承担。由此造成的因工程的缺陷、损坏造成的人身伤害和财产损失均由中标人承担。</w:t>
            </w:r>
          </w:p>
        </w:tc>
      </w:tr>
      <w:tr w14:paraId="0E8FF3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26D32936">
            <w:pPr>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080DFB72">
            <w:pPr>
              <w:jc w:val="center"/>
              <w:rPr>
                <w:rFonts w:hint="eastAsia" w:ascii="宋体" w:hAnsi="宋体" w:eastAsia="宋体" w:cs="宋体"/>
                <w:bCs/>
                <w:sz w:val="21"/>
                <w:szCs w:val="21"/>
                <w:highlight w:val="none"/>
              </w:rPr>
            </w:pPr>
          </w:p>
        </w:tc>
        <w:tc>
          <w:tcPr>
            <w:tcW w:w="6585" w:type="dxa"/>
            <w:tcBorders>
              <w:tl2br w:val="nil"/>
              <w:tr2bl w:val="nil"/>
            </w:tcBorders>
            <w:shd w:val="clear" w:color="auto" w:fill="auto"/>
            <w:vAlign w:val="top"/>
          </w:tcPr>
          <w:p w14:paraId="129F75A5">
            <w:pPr>
              <w:spacing w:line="340" w:lineRule="exact"/>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2.</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中标人安装时须对安装场地及场地内的其他设备、设施有良好保护措施。如因供货方原因造成使用方场地或场地内其他设备、设施损坏，由供货方承担赔偿责任。如安装地点不适合应当书面通知使用方调换合适的地点，设备运送、安装调试以及计量检测所产生的费用由供货方负责</w:t>
            </w:r>
          </w:p>
        </w:tc>
      </w:tr>
      <w:bookmarkEnd w:id="27"/>
      <w:tr w14:paraId="77D6F2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restart"/>
            <w:tcBorders>
              <w:tl2br w:val="nil"/>
              <w:tr2bl w:val="nil"/>
            </w:tcBorders>
            <w:shd w:val="clear" w:color="auto" w:fill="auto"/>
            <w:vAlign w:val="center"/>
          </w:tcPr>
          <w:p w14:paraId="6CE517C8">
            <w:pPr>
              <w:jc w:val="center"/>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 w:val="21"/>
                <w:szCs w:val="21"/>
                <w:highlight w:val="none"/>
              </w:rPr>
              <w:t>3</w:t>
            </w:r>
          </w:p>
          <w:p w14:paraId="3081F87C">
            <w:pPr>
              <w:spacing w:line="360" w:lineRule="exact"/>
              <w:jc w:val="center"/>
              <w:rPr>
                <w:rFonts w:hint="eastAsia" w:ascii="宋体" w:hAnsi="宋体" w:eastAsia="宋体" w:cs="宋体"/>
                <w:b w:val="0"/>
                <w:bCs/>
                <w:sz w:val="21"/>
                <w:szCs w:val="21"/>
                <w:highlight w:val="none"/>
              </w:rPr>
            </w:pPr>
          </w:p>
        </w:tc>
        <w:tc>
          <w:tcPr>
            <w:tcW w:w="1580" w:type="dxa"/>
            <w:gridSpan w:val="2"/>
            <w:vMerge w:val="restart"/>
            <w:tcBorders>
              <w:tl2br w:val="nil"/>
              <w:tr2bl w:val="nil"/>
            </w:tcBorders>
            <w:shd w:val="clear" w:color="auto" w:fill="auto"/>
            <w:vAlign w:val="center"/>
          </w:tcPr>
          <w:p w14:paraId="3B3C279F">
            <w:pPr>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关于验收</w:t>
            </w:r>
          </w:p>
          <w:p w14:paraId="196A43B2">
            <w:pPr>
              <w:spacing w:line="360" w:lineRule="exact"/>
              <w:jc w:val="center"/>
              <w:rPr>
                <w:rFonts w:hint="eastAsia" w:ascii="宋体" w:hAnsi="宋体" w:eastAsia="宋体" w:cs="宋体"/>
                <w:bCs/>
                <w:color w:val="000000"/>
                <w:sz w:val="21"/>
                <w:szCs w:val="21"/>
                <w:highlight w:val="none"/>
              </w:rPr>
            </w:pPr>
          </w:p>
        </w:tc>
        <w:tc>
          <w:tcPr>
            <w:tcW w:w="6585" w:type="dxa"/>
            <w:tcBorders>
              <w:tl2br w:val="nil"/>
              <w:tr2bl w:val="nil"/>
            </w:tcBorders>
            <w:shd w:val="clear" w:color="auto" w:fill="auto"/>
            <w:vAlign w:val="top"/>
          </w:tcPr>
          <w:p w14:paraId="4B8D1248">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3.1设备经过采购人、中标人检验认可后，签署验收报告，产品保修期自验收合格之日起算，由中标人提供产品保修文件。一般采取第三方检测中心的样品检测报告确认书，及出厂检测报告等。</w:t>
            </w:r>
          </w:p>
        </w:tc>
      </w:tr>
      <w:tr w14:paraId="0F2B43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581115CB">
            <w:pPr>
              <w:spacing w:line="360" w:lineRule="exact"/>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74524B26">
            <w:pPr>
              <w:spacing w:line="360" w:lineRule="exact"/>
              <w:jc w:val="center"/>
              <w:rPr>
                <w:rStyle w:val="31"/>
                <w:rFonts w:hint="eastAsia" w:ascii="宋体" w:hAnsi="宋体" w:eastAsia="宋体" w:cs="宋体"/>
                <w:b w:val="0"/>
                <w:color w:val="000000"/>
                <w:sz w:val="21"/>
                <w:szCs w:val="21"/>
                <w:highlight w:val="none"/>
              </w:rPr>
            </w:pPr>
          </w:p>
        </w:tc>
        <w:tc>
          <w:tcPr>
            <w:tcW w:w="6585" w:type="dxa"/>
            <w:tcBorders>
              <w:tl2br w:val="nil"/>
              <w:tr2bl w:val="nil"/>
            </w:tcBorders>
            <w:shd w:val="clear" w:color="auto" w:fill="auto"/>
            <w:vAlign w:val="top"/>
          </w:tcPr>
          <w:p w14:paraId="702E7BF7">
            <w:pPr>
              <w:rPr>
                <w:rFonts w:hint="eastAsia" w:ascii="宋体" w:hAnsi="宋体" w:eastAsia="宋体" w:cs="宋体"/>
                <w:sz w:val="21"/>
                <w:szCs w:val="21"/>
                <w:highlight w:val="none"/>
              </w:rPr>
            </w:pPr>
            <w:r>
              <w:rPr>
                <w:rFonts w:hint="eastAsia" w:ascii="宋体" w:hAnsi="宋体" w:eastAsia="宋体" w:cs="宋体"/>
                <w:sz w:val="21"/>
                <w:szCs w:val="21"/>
                <w:highlight w:val="none"/>
              </w:rPr>
              <w:t>3.2当满足以下条件时，采购人才向中标人签发验收报告：</w:t>
            </w:r>
          </w:p>
          <w:p w14:paraId="1C2D225D">
            <w:pPr>
              <w:rPr>
                <w:rFonts w:hint="eastAsia" w:ascii="宋体" w:hAnsi="宋体" w:eastAsia="宋体" w:cs="宋体"/>
                <w:sz w:val="21"/>
                <w:szCs w:val="21"/>
                <w:highlight w:val="none"/>
              </w:rPr>
            </w:pPr>
            <w:r>
              <w:rPr>
                <w:rFonts w:hint="eastAsia" w:ascii="宋体" w:hAnsi="宋体" w:eastAsia="宋体" w:cs="宋体"/>
                <w:sz w:val="21"/>
                <w:szCs w:val="21"/>
                <w:highlight w:val="none"/>
              </w:rPr>
              <w:t>a、已按照合同规定提供了全部产品及完整的技术资料。</w:t>
            </w:r>
          </w:p>
          <w:p w14:paraId="0894ECB5">
            <w:pPr>
              <w:rPr>
                <w:rFonts w:hint="eastAsia" w:ascii="宋体" w:hAnsi="宋体" w:eastAsia="宋体" w:cs="宋体"/>
                <w:sz w:val="21"/>
                <w:szCs w:val="21"/>
                <w:highlight w:val="none"/>
              </w:rPr>
            </w:pPr>
            <w:r>
              <w:rPr>
                <w:rFonts w:hint="eastAsia" w:ascii="宋体" w:hAnsi="宋体" w:eastAsia="宋体" w:cs="宋体"/>
                <w:sz w:val="21"/>
                <w:szCs w:val="21"/>
                <w:highlight w:val="none"/>
              </w:rPr>
              <w:t>b、设备符合招标文件技术规格书的要求，性能满足要求。</w:t>
            </w:r>
          </w:p>
          <w:p w14:paraId="56B9B4FC">
            <w:pPr>
              <w:rPr>
                <w:rFonts w:hint="eastAsia" w:ascii="宋体" w:hAnsi="宋体" w:eastAsia="宋体" w:cs="宋体"/>
                <w:sz w:val="21"/>
                <w:szCs w:val="21"/>
                <w:highlight w:val="none"/>
              </w:rPr>
            </w:pPr>
            <w:r>
              <w:rPr>
                <w:rFonts w:hint="eastAsia" w:ascii="宋体" w:hAnsi="宋体" w:eastAsia="宋体" w:cs="宋体"/>
                <w:sz w:val="21"/>
                <w:szCs w:val="21"/>
                <w:highlight w:val="none"/>
              </w:rPr>
              <w:t>c、设备具备产品合格证。</w:t>
            </w:r>
          </w:p>
          <w:p w14:paraId="73CE1FDF">
            <w:pPr>
              <w:rPr>
                <w:rFonts w:hint="eastAsia" w:ascii="宋体" w:hAnsi="宋体" w:eastAsia="宋体" w:cs="宋体"/>
                <w:sz w:val="21"/>
                <w:szCs w:val="21"/>
                <w:highlight w:val="none"/>
              </w:rPr>
            </w:pPr>
            <w:r>
              <w:rPr>
                <w:rFonts w:hint="eastAsia" w:ascii="宋体" w:hAnsi="宋体" w:eastAsia="宋体" w:cs="宋体"/>
                <w:sz w:val="21"/>
                <w:szCs w:val="21"/>
                <w:highlight w:val="none"/>
              </w:rPr>
              <w:t>d、在进行测试和验收运行过程中发生的故障已被消除并得到使用方的认可。</w:t>
            </w:r>
          </w:p>
          <w:p w14:paraId="2D8E33C4">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e、设备在交由使用方使用之前已通过质量管理部门的验收，并得到使用证书。</w:t>
            </w:r>
          </w:p>
        </w:tc>
      </w:tr>
      <w:tr w14:paraId="771A7E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1BA6E861">
            <w:pPr>
              <w:spacing w:line="360" w:lineRule="exact"/>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26CDCAA8">
            <w:pPr>
              <w:spacing w:line="360" w:lineRule="exact"/>
              <w:jc w:val="center"/>
              <w:rPr>
                <w:rStyle w:val="31"/>
                <w:rFonts w:hint="eastAsia" w:ascii="宋体" w:hAnsi="宋体" w:eastAsia="宋体" w:cs="宋体"/>
                <w:b w:val="0"/>
                <w:color w:val="000000"/>
                <w:sz w:val="21"/>
                <w:szCs w:val="21"/>
                <w:highlight w:val="none"/>
              </w:rPr>
            </w:pPr>
          </w:p>
        </w:tc>
        <w:tc>
          <w:tcPr>
            <w:tcW w:w="6585" w:type="dxa"/>
            <w:tcBorders>
              <w:tl2br w:val="nil"/>
              <w:tr2bl w:val="nil"/>
            </w:tcBorders>
            <w:shd w:val="clear" w:color="auto" w:fill="auto"/>
            <w:vAlign w:val="top"/>
          </w:tcPr>
          <w:p w14:paraId="5322AFE6">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3.3验收日期前中标人必须完成合同约定的各项培训，包括对采购人相关人员进行货物使用培训及日常保养培训并提供培训记录。现场验收时中标人提供必要的技术支持并协助采购人完成各项指标和功能的测试，否则因验收延误所产生的后果由中标人负责。</w:t>
            </w:r>
          </w:p>
        </w:tc>
      </w:tr>
      <w:tr w14:paraId="0B8CD4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restart"/>
            <w:tcBorders>
              <w:tl2br w:val="nil"/>
              <w:tr2bl w:val="nil"/>
            </w:tcBorders>
            <w:vAlign w:val="center"/>
          </w:tcPr>
          <w:p w14:paraId="50F55FF8">
            <w:pPr>
              <w:spacing w:line="360" w:lineRule="exact"/>
              <w:jc w:val="cente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4</w:t>
            </w:r>
          </w:p>
        </w:tc>
        <w:tc>
          <w:tcPr>
            <w:tcW w:w="1580" w:type="dxa"/>
            <w:gridSpan w:val="2"/>
            <w:vMerge w:val="restart"/>
            <w:tcBorders>
              <w:tl2br w:val="nil"/>
              <w:tr2bl w:val="nil"/>
            </w:tcBorders>
            <w:vAlign w:val="center"/>
          </w:tcPr>
          <w:p w14:paraId="7BBAD170">
            <w:pPr>
              <w:spacing w:line="360" w:lineRule="exact"/>
              <w:jc w:val="center"/>
              <w:rPr>
                <w:rFonts w:hint="eastAsia" w:ascii="宋体" w:hAnsi="宋体" w:eastAsia="宋体" w:cs="宋体"/>
                <w:b w:val="0"/>
                <w:bCs/>
                <w:sz w:val="21"/>
                <w:szCs w:val="21"/>
                <w:highlight w:val="none"/>
              </w:rPr>
            </w:pPr>
            <w:r>
              <w:rPr>
                <w:rFonts w:hint="eastAsia" w:ascii="宋体" w:hAnsi="宋体" w:eastAsia="宋体" w:cs="宋体"/>
                <w:bCs/>
                <w:sz w:val="21"/>
                <w:szCs w:val="21"/>
                <w:highlight w:val="none"/>
              </w:rPr>
              <w:t>关于违约</w:t>
            </w:r>
          </w:p>
        </w:tc>
        <w:tc>
          <w:tcPr>
            <w:tcW w:w="6585" w:type="dxa"/>
            <w:tcBorders>
              <w:tl2br w:val="nil"/>
              <w:tr2bl w:val="nil"/>
            </w:tcBorders>
            <w:shd w:val="clear" w:color="auto" w:fill="auto"/>
            <w:vAlign w:val="top"/>
          </w:tcPr>
          <w:p w14:paraId="579DD975">
            <w:pPr>
              <w:rPr>
                <w:rFonts w:hint="eastAsia" w:ascii="宋体" w:hAnsi="宋体" w:eastAsia="宋体" w:cs="宋体"/>
                <w:sz w:val="21"/>
                <w:szCs w:val="21"/>
                <w:highlight w:val="none"/>
              </w:rPr>
            </w:pPr>
            <w:r>
              <w:rPr>
                <w:rFonts w:hint="eastAsia" w:ascii="宋体" w:hAnsi="宋体" w:eastAsia="宋体" w:cs="宋体"/>
                <w:sz w:val="21"/>
                <w:szCs w:val="21"/>
                <w:highlight w:val="none"/>
              </w:rPr>
              <w:t>4.1中标人不能交货的，需偿付不能交货部分货款的违约金并按主管部门相关规定处理。</w:t>
            </w:r>
          </w:p>
        </w:tc>
      </w:tr>
      <w:tr w14:paraId="328547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7CB7BB99">
            <w:pPr>
              <w:spacing w:line="360" w:lineRule="exact"/>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78707F28">
            <w:pPr>
              <w:spacing w:line="360" w:lineRule="exact"/>
              <w:jc w:val="center"/>
              <w:rPr>
                <w:rFonts w:hint="eastAsia" w:ascii="宋体" w:hAnsi="宋体" w:eastAsia="宋体" w:cs="宋体"/>
                <w:b w:val="0"/>
                <w:bCs/>
                <w:sz w:val="21"/>
                <w:szCs w:val="21"/>
                <w:highlight w:val="none"/>
              </w:rPr>
            </w:pPr>
          </w:p>
        </w:tc>
        <w:tc>
          <w:tcPr>
            <w:tcW w:w="6585" w:type="dxa"/>
            <w:tcBorders>
              <w:tl2br w:val="nil"/>
              <w:tr2bl w:val="nil"/>
            </w:tcBorders>
            <w:shd w:val="clear" w:color="auto" w:fill="auto"/>
            <w:vAlign w:val="top"/>
          </w:tcPr>
          <w:p w14:paraId="560B45DF">
            <w:pPr>
              <w:rPr>
                <w:rFonts w:hint="eastAsia" w:ascii="宋体" w:hAnsi="宋体" w:eastAsia="宋体" w:cs="宋体"/>
                <w:sz w:val="21"/>
                <w:szCs w:val="21"/>
                <w:highlight w:val="none"/>
              </w:rPr>
            </w:pPr>
            <w:r>
              <w:rPr>
                <w:rFonts w:hint="eastAsia" w:ascii="宋体" w:hAnsi="宋体" w:eastAsia="宋体" w:cs="宋体"/>
                <w:sz w:val="21"/>
                <w:szCs w:val="21"/>
                <w:highlight w:val="none"/>
              </w:rPr>
              <w:t>4.2中标人逾期交货的，将被没收履约保证金并按主管部门相关规定处理。</w:t>
            </w:r>
          </w:p>
        </w:tc>
      </w:tr>
      <w:tr w14:paraId="696DE4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vMerge w:val="continue"/>
            <w:tcBorders>
              <w:tl2br w:val="nil"/>
              <w:tr2bl w:val="nil"/>
            </w:tcBorders>
            <w:vAlign w:val="center"/>
          </w:tcPr>
          <w:p w14:paraId="7170545D">
            <w:pPr>
              <w:spacing w:line="360" w:lineRule="exact"/>
              <w:jc w:val="center"/>
              <w:rPr>
                <w:rFonts w:hint="eastAsia" w:ascii="宋体" w:hAnsi="宋体" w:eastAsia="宋体" w:cs="宋体"/>
                <w:b w:val="0"/>
                <w:bCs/>
                <w:sz w:val="21"/>
                <w:szCs w:val="21"/>
                <w:highlight w:val="none"/>
              </w:rPr>
            </w:pPr>
          </w:p>
        </w:tc>
        <w:tc>
          <w:tcPr>
            <w:tcW w:w="1580" w:type="dxa"/>
            <w:gridSpan w:val="2"/>
            <w:vMerge w:val="continue"/>
            <w:tcBorders>
              <w:tl2br w:val="nil"/>
              <w:tr2bl w:val="nil"/>
            </w:tcBorders>
            <w:vAlign w:val="center"/>
          </w:tcPr>
          <w:p w14:paraId="168F7D1E">
            <w:pPr>
              <w:spacing w:line="360" w:lineRule="exact"/>
              <w:jc w:val="center"/>
              <w:rPr>
                <w:rFonts w:hint="eastAsia" w:ascii="宋体" w:hAnsi="宋体" w:eastAsia="宋体" w:cs="宋体"/>
                <w:b w:val="0"/>
                <w:bCs/>
                <w:sz w:val="21"/>
                <w:szCs w:val="21"/>
                <w:highlight w:val="none"/>
              </w:rPr>
            </w:pPr>
          </w:p>
        </w:tc>
        <w:tc>
          <w:tcPr>
            <w:tcW w:w="6585" w:type="dxa"/>
            <w:tcBorders>
              <w:tl2br w:val="nil"/>
              <w:tr2bl w:val="nil"/>
            </w:tcBorders>
            <w:shd w:val="clear" w:color="auto" w:fill="auto"/>
            <w:vAlign w:val="top"/>
          </w:tcPr>
          <w:p w14:paraId="2E104B1E">
            <w:pPr>
              <w:rPr>
                <w:rFonts w:hint="eastAsia" w:ascii="宋体" w:hAnsi="宋体" w:eastAsia="宋体" w:cs="宋体"/>
                <w:sz w:val="21"/>
                <w:szCs w:val="21"/>
                <w:highlight w:val="none"/>
              </w:rPr>
            </w:pPr>
            <w:r>
              <w:rPr>
                <w:rFonts w:hint="eastAsia" w:ascii="宋体" w:hAnsi="宋体" w:eastAsia="宋体" w:cs="宋体"/>
                <w:sz w:val="21"/>
                <w:szCs w:val="21"/>
                <w:highlight w:val="none"/>
              </w:rPr>
              <w:t>4.3中标人所交的设备品种、型号、规格、质量不符合合同规定标准的，采购人有权拒绝收货，如因货物不符合要求给采购人造成不良影响或损失的，则中标人应向采购人偿付相应设备合同价30%的违约金。</w:t>
            </w:r>
          </w:p>
        </w:tc>
      </w:tr>
      <w:tr w14:paraId="220FEA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tcBorders>
              <w:tl2br w:val="nil"/>
              <w:tr2bl w:val="nil"/>
            </w:tcBorders>
            <w:shd w:val="clear" w:color="auto" w:fill="auto"/>
            <w:vAlign w:val="center"/>
          </w:tcPr>
          <w:p w14:paraId="1233FE4E">
            <w:pPr>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5</w:t>
            </w:r>
          </w:p>
        </w:tc>
        <w:tc>
          <w:tcPr>
            <w:tcW w:w="1580" w:type="dxa"/>
            <w:gridSpan w:val="2"/>
            <w:tcBorders>
              <w:tl2br w:val="nil"/>
              <w:tr2bl w:val="nil"/>
            </w:tcBorders>
            <w:shd w:val="clear" w:color="auto" w:fill="auto"/>
            <w:vAlign w:val="center"/>
          </w:tcPr>
          <w:p w14:paraId="4A37502F">
            <w:pPr>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关于付款</w:t>
            </w:r>
          </w:p>
        </w:tc>
        <w:tc>
          <w:tcPr>
            <w:tcW w:w="6585" w:type="dxa"/>
            <w:tcBorders>
              <w:tl2br w:val="nil"/>
              <w:tr2bl w:val="nil"/>
            </w:tcBorders>
            <w:shd w:val="clear" w:color="auto" w:fill="auto"/>
            <w:vAlign w:val="top"/>
          </w:tcPr>
          <w:p w14:paraId="34E4C7A6">
            <w:pPr>
              <w:pStyle w:val="9"/>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1、合同签订后7个工作日内，且政府投资项目资金计划下达后，支付中标人合同总金额的[30%]预付款；</w:t>
            </w:r>
          </w:p>
          <w:p w14:paraId="32DD1266">
            <w:pPr>
              <w:pStyle w:val="9"/>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2、项目所有设备安装完成，试运行完成并验收合格，出具证明文件后7个工作日内，且政府投资项目资金计划下达后，付款文件齐全后支付中标人合同总金额的 [50%] </w:t>
            </w:r>
          </w:p>
          <w:p w14:paraId="35325BCE">
            <w:pPr>
              <w:pStyle w:val="14"/>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lang w:val="en-US" w:eastAsia="zh-CN"/>
              </w:rPr>
              <w:t xml:space="preserve">3、设备投入使用、报送工程结算资料后7个工作日，且政府投资项目资金计划下达后，支付中标人合同总金额的 [20%] </w:t>
            </w:r>
          </w:p>
        </w:tc>
      </w:tr>
      <w:tr w14:paraId="5DCA60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color="auto" w:fill="auto"/>
            <w:vAlign w:val="center"/>
          </w:tcPr>
          <w:p w14:paraId="19AA0A37">
            <w:pPr>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6</w:t>
            </w:r>
          </w:p>
        </w:tc>
        <w:tc>
          <w:tcPr>
            <w:tcW w:w="0" w:type="auto"/>
            <w:gridSpan w:val="2"/>
            <w:tcBorders>
              <w:tl2br w:val="nil"/>
              <w:tr2bl w:val="nil"/>
            </w:tcBorders>
            <w:shd w:val="clear" w:color="auto" w:fill="auto"/>
            <w:vAlign w:val="center"/>
          </w:tcPr>
          <w:p w14:paraId="53700852">
            <w:pPr>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报价要求</w:t>
            </w:r>
          </w:p>
        </w:tc>
        <w:tc>
          <w:tcPr>
            <w:tcW w:w="0" w:type="auto"/>
            <w:tcBorders>
              <w:tl2br w:val="nil"/>
              <w:tr2bl w:val="nil"/>
            </w:tcBorders>
            <w:shd w:val="clear" w:color="auto" w:fill="auto"/>
            <w:vAlign w:val="top"/>
          </w:tcPr>
          <w:p w14:paraId="3EE3FE4F">
            <w:pP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本合同总价款已包括中标人为履行本合同义务所发生的一切费用，包含但不限于包装、设计、设备制造、包装、仓储、运输、安装调试、验收和保修期届满前备品备件费用以及与本合同设备及服务相关的税等。</w:t>
            </w:r>
          </w:p>
        </w:tc>
      </w:tr>
      <w:tr w14:paraId="643C1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8" w:type="dxa"/>
            <w:tcBorders>
              <w:tl2br w:val="nil"/>
              <w:tr2bl w:val="nil"/>
            </w:tcBorders>
            <w:shd w:val="clear" w:color="auto" w:fill="auto"/>
            <w:vAlign w:val="center"/>
          </w:tcPr>
          <w:p w14:paraId="1EAA51D8">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7</w:t>
            </w:r>
          </w:p>
        </w:tc>
        <w:tc>
          <w:tcPr>
            <w:tcW w:w="1580" w:type="dxa"/>
            <w:gridSpan w:val="2"/>
            <w:tcBorders>
              <w:tl2br w:val="nil"/>
              <w:tr2bl w:val="nil"/>
            </w:tcBorders>
            <w:shd w:val="clear" w:color="auto" w:fill="auto"/>
            <w:vAlign w:val="center"/>
          </w:tcPr>
          <w:p w14:paraId="06611485">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争议解决方法</w:t>
            </w:r>
          </w:p>
        </w:tc>
        <w:tc>
          <w:tcPr>
            <w:tcW w:w="0" w:type="auto"/>
            <w:tcBorders>
              <w:tl2br w:val="nil"/>
              <w:tr2bl w:val="nil"/>
            </w:tcBorders>
            <w:shd w:val="clear" w:color="auto" w:fill="auto"/>
            <w:vAlign w:val="top"/>
          </w:tcPr>
          <w:p w14:paraId="69CF9956">
            <w:pP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因设备的质量问题而发生争议，难以界定设备质量是否符合合同要求的，双方均有权请求广东省或深圳市质检部门进行质量鉴定，鉴定费用由</w:t>
            </w:r>
            <w:r>
              <w:rPr>
                <w:rFonts w:hint="eastAsia" w:ascii="宋体" w:hAnsi="宋体" w:eastAsia="宋体" w:cs="宋体"/>
                <w:sz w:val="21"/>
                <w:szCs w:val="21"/>
                <w:highlight w:val="none"/>
                <w:lang w:val="en-US" w:eastAsia="zh-CN"/>
              </w:rPr>
              <w:t>中标人</w:t>
            </w:r>
            <w:r>
              <w:rPr>
                <w:rFonts w:hint="eastAsia" w:ascii="宋体" w:hAnsi="宋体" w:eastAsia="宋体" w:cs="宋体"/>
                <w:sz w:val="21"/>
                <w:szCs w:val="21"/>
                <w:highlight w:val="none"/>
              </w:rPr>
              <w:t>预付，经鉴定设备符合合同要求的，鉴定费用由</w:t>
            </w:r>
            <w:r>
              <w:rPr>
                <w:rFonts w:hint="eastAsia" w:ascii="宋体" w:hAnsi="宋体" w:eastAsia="宋体" w:cs="宋体"/>
                <w:sz w:val="21"/>
                <w:szCs w:val="21"/>
                <w:highlight w:val="none"/>
                <w:lang w:val="en-US" w:eastAsia="zh-CN"/>
              </w:rPr>
              <w:t>采购人</w:t>
            </w:r>
            <w:r>
              <w:rPr>
                <w:rFonts w:hint="eastAsia" w:ascii="宋体" w:hAnsi="宋体" w:eastAsia="宋体" w:cs="宋体"/>
                <w:sz w:val="21"/>
                <w:szCs w:val="21"/>
                <w:highlight w:val="none"/>
              </w:rPr>
              <w:t>承担；不符合要求的，鉴定费用由</w:t>
            </w:r>
            <w:r>
              <w:rPr>
                <w:rFonts w:hint="eastAsia" w:ascii="宋体" w:hAnsi="宋体" w:eastAsia="宋体" w:cs="宋体"/>
                <w:sz w:val="21"/>
                <w:szCs w:val="21"/>
                <w:highlight w:val="none"/>
                <w:lang w:val="en-US" w:eastAsia="zh-CN"/>
              </w:rPr>
              <w:t>中标人</w:t>
            </w:r>
            <w:r>
              <w:rPr>
                <w:rFonts w:hint="eastAsia" w:ascii="宋体" w:hAnsi="宋体" w:eastAsia="宋体" w:cs="宋体"/>
                <w:sz w:val="21"/>
                <w:szCs w:val="21"/>
                <w:highlight w:val="none"/>
              </w:rPr>
              <w:t>承担。</w:t>
            </w:r>
          </w:p>
        </w:tc>
      </w:tr>
    </w:tbl>
    <w:p w14:paraId="61ACA1A9">
      <w:pPr>
        <w:ind w:firstLine="420" w:firstLineChars="200"/>
        <w:rPr>
          <w:rFonts w:hint="eastAsia" w:ascii="宋体" w:hAnsi="宋体" w:eastAsia="宋体" w:cs="宋体"/>
          <w:color w:val="000000"/>
          <w:sz w:val="21"/>
          <w:szCs w:val="21"/>
        </w:rPr>
      </w:pPr>
    </w:p>
    <w:p w14:paraId="1E2D1B38">
      <w:pPr>
        <w:outlineLvl w:val="9"/>
        <w:rPr>
          <w:rFonts w:hint="eastAsia"/>
          <w:b/>
          <w:bCs/>
          <w:sz w:val="28"/>
          <w:szCs w:val="28"/>
        </w:rPr>
      </w:pPr>
      <w:bookmarkStart w:id="28" w:name="_Hlk106183334"/>
      <w:bookmarkStart w:id="29" w:name="_Hlk106278670"/>
    </w:p>
    <w:p w14:paraId="5560B405">
      <w:pPr>
        <w:pStyle w:val="4"/>
        <w:spacing w:before="156" w:beforeLines="50" w:after="156" w:afterLines="50"/>
        <w:jc w:val="center"/>
        <w:rPr>
          <w:rFonts w:hint="eastAsia" w:ascii="宋体" w:hAnsi="宋体" w:cs="Times New Roman"/>
          <w:b/>
          <w:bCs/>
          <w:sz w:val="28"/>
          <w:szCs w:val="28"/>
          <w:lang w:val="en-US" w:eastAsia="zh-CN"/>
        </w:rPr>
      </w:pPr>
      <w:r>
        <w:rPr>
          <w:rFonts w:hint="eastAsia" w:ascii="宋体" w:hAnsi="宋体" w:cs="Times New Roman"/>
          <w:b/>
          <w:bCs/>
          <w:sz w:val="28"/>
          <w:szCs w:val="28"/>
          <w:lang w:val="en-US" w:eastAsia="zh-CN"/>
        </w:rPr>
        <w:t>五、特别说明</w:t>
      </w:r>
    </w:p>
    <w:p w14:paraId="47234E10">
      <w:pPr>
        <w:rPr>
          <w:b/>
          <w:bCs/>
          <w:sz w:val="28"/>
          <w:szCs w:val="28"/>
        </w:rPr>
      </w:pPr>
      <w:r>
        <w:rPr>
          <w:rFonts w:hint="default" w:ascii="宋体" w:hAnsi="宋体" w:cs="宋体"/>
          <w:b w:val="0"/>
          <w:bCs w:val="0"/>
          <w:sz w:val="21"/>
          <w:szCs w:val="21"/>
          <w:lang w:val="en-US" w:eastAsia="zh-CN"/>
        </w:rPr>
        <w:t>本项目由深圳市福田区建筑工务署代为走</w:t>
      </w:r>
      <w:r>
        <w:rPr>
          <w:rFonts w:hint="eastAsia" w:ascii="宋体" w:hAnsi="宋体" w:cs="宋体"/>
          <w:b w:val="0"/>
          <w:bCs w:val="0"/>
          <w:sz w:val="21"/>
          <w:szCs w:val="21"/>
          <w:lang w:val="en-US" w:eastAsia="zh-CN"/>
        </w:rPr>
        <w:t>深圳政府采购智慧平台</w:t>
      </w:r>
      <w:r>
        <w:rPr>
          <w:rFonts w:hint="default" w:ascii="宋体" w:hAnsi="宋体" w:cs="宋体"/>
          <w:b w:val="0"/>
          <w:bCs w:val="0"/>
          <w:sz w:val="21"/>
          <w:szCs w:val="21"/>
          <w:lang w:val="en-US" w:eastAsia="zh-CN"/>
        </w:rPr>
        <w:t>线上流程</w:t>
      </w:r>
      <w:r>
        <w:rPr>
          <w:rFonts w:hint="default" w:ascii="宋体" w:hAnsi="宋体" w:cs="宋体"/>
          <w:b w:val="0"/>
          <w:bCs w:val="0"/>
          <w:sz w:val="21"/>
          <w:szCs w:val="21"/>
        </w:rPr>
        <w:t>。</w:t>
      </w:r>
    </w:p>
    <w:p w14:paraId="55459D51">
      <w:pPr>
        <w:outlineLvl w:val="9"/>
        <w:rPr>
          <w:rFonts w:hint="default"/>
          <w:b/>
          <w:bCs/>
          <w:sz w:val="28"/>
          <w:szCs w:val="28"/>
          <w:lang w:val="en-US"/>
        </w:rPr>
      </w:pPr>
    </w:p>
    <w:p w14:paraId="38DBD09B">
      <w:pPr>
        <w:outlineLvl w:val="9"/>
        <w:rPr>
          <w:rFonts w:hint="default"/>
          <w:b/>
          <w:bCs/>
          <w:sz w:val="28"/>
          <w:szCs w:val="28"/>
          <w:lang w:val="en-US"/>
        </w:rPr>
      </w:pPr>
    </w:p>
    <w:bookmarkEnd w:id="28"/>
    <w:bookmarkEnd w:id="29"/>
    <w:p w14:paraId="69AF9BED">
      <w:pPr>
        <w:pStyle w:val="4"/>
        <w:spacing w:before="120" w:beforeLines="50" w:after="120" w:afterLines="50"/>
        <w:jc w:val="center"/>
        <w:rPr>
          <w:sz w:val="28"/>
          <w:szCs w:val="28"/>
        </w:rPr>
      </w:pPr>
      <w:r>
        <w:rPr>
          <w:rFonts w:hint="eastAsia"/>
          <w:b/>
          <w:bCs/>
          <w:sz w:val="28"/>
          <w:szCs w:val="28"/>
          <w:lang w:val="en-US" w:eastAsia="zh-CN"/>
        </w:rPr>
        <w:t>六</w:t>
      </w:r>
      <w:r>
        <w:rPr>
          <w:rFonts w:hint="eastAsia"/>
          <w:b/>
          <w:bCs/>
          <w:sz w:val="28"/>
          <w:szCs w:val="28"/>
        </w:rPr>
        <w:t>、其他重要条款</w:t>
      </w:r>
    </w:p>
    <w:p w14:paraId="10FDC0B9">
      <w:pPr>
        <w:ind w:firstLine="420" w:firstLineChars="200"/>
        <w:rPr>
          <w:rFonts w:hint="eastAsia" w:ascii="宋体" w:hAnsi="宋体" w:eastAsia="宋体" w:cs="宋体"/>
          <w:bCs/>
          <w:sz w:val="21"/>
          <w:szCs w:val="21"/>
        </w:rPr>
      </w:pPr>
      <w:r>
        <w:rPr>
          <w:rFonts w:hint="eastAsia" w:ascii="宋体" w:hAnsi="宋体" w:eastAsia="宋体" w:cs="宋体"/>
          <w:bCs/>
          <w:sz w:val="21"/>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71D722B7">
      <w:pPr>
        <w:pStyle w:val="7"/>
        <w:spacing w:before="60" w:beforeLines="25" w:after="60" w:afterLines="25"/>
        <w:ind w:firstLineChars="200"/>
        <w:rPr>
          <w:rFonts w:hint="eastAsia" w:ascii="宋体" w:hAnsi="宋体" w:eastAsia="宋体" w:cs="宋体"/>
          <w:sz w:val="21"/>
          <w:szCs w:val="21"/>
        </w:rPr>
      </w:pPr>
      <w:r>
        <w:rPr>
          <w:rFonts w:hint="eastAsia" w:ascii="宋体" w:hAnsi="宋体" w:eastAsia="宋体" w:cs="宋体"/>
          <w:bCs/>
          <w:sz w:val="21"/>
          <w:szCs w:val="21"/>
        </w:rPr>
        <w:t>2.投标人应充分了解项目的位置、情况、道路及任何其它足以影响投标报价的情况，任何因忽视或误解项目情况而导致的索赔或服务期限延长申请将不获批准。</w:t>
      </w:r>
    </w:p>
    <w:p w14:paraId="655BB872">
      <w:pPr>
        <w:ind w:firstLine="420" w:firstLineChars="200"/>
        <w:rPr>
          <w:rFonts w:hint="eastAsia" w:ascii="宋体" w:hAnsi="宋体" w:eastAsia="宋体" w:cs="宋体"/>
          <w:bCs/>
          <w:sz w:val="21"/>
          <w:szCs w:val="21"/>
        </w:rPr>
      </w:pPr>
      <w:r>
        <w:rPr>
          <w:rFonts w:hint="eastAsia" w:ascii="宋体" w:hAnsi="宋体" w:eastAsia="宋体" w:cs="宋体"/>
          <w:bCs/>
          <w:sz w:val="21"/>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0ABFD1E5">
      <w:pPr>
        <w:ind w:firstLine="420" w:firstLineChars="200"/>
        <w:rPr>
          <w:rFonts w:hint="eastAsia" w:ascii="宋体" w:hAnsi="宋体" w:eastAsia="宋体" w:cs="宋体"/>
          <w:bCs/>
          <w:sz w:val="21"/>
          <w:szCs w:val="21"/>
        </w:rPr>
      </w:pPr>
      <w:r>
        <w:rPr>
          <w:rFonts w:hint="eastAsia" w:ascii="宋体" w:hAnsi="宋体" w:eastAsia="宋体" w:cs="宋体"/>
          <w:bCs/>
          <w:sz w:val="21"/>
          <w:szCs w:val="21"/>
        </w:rPr>
        <w:t>4.鼓励采购人积极运用公共信用信息，明确对信用记录良好的供应商（特别是中小微企业）免收履约保证金，确需收取履约保证金的，列明通过保函等非现金方式收取。在采购合同中明确对上述企业加大首付款或预付款比例，具体由采购人根据项目实际情况确定。</w:t>
      </w:r>
    </w:p>
    <w:p w14:paraId="7BE407EB">
      <w:pPr>
        <w:ind w:firstLine="420" w:firstLineChars="200"/>
        <w:rPr>
          <w:rFonts w:hint="eastAsia" w:ascii="宋体" w:hAnsi="宋体" w:eastAsia="宋体" w:cs="宋体"/>
          <w:bCs/>
          <w:sz w:val="21"/>
          <w:szCs w:val="21"/>
        </w:rPr>
      </w:pPr>
      <w:r>
        <w:rPr>
          <w:rFonts w:hint="eastAsia" w:ascii="宋体" w:hAnsi="宋体" w:eastAsia="宋体" w:cs="宋体"/>
          <w:bCs/>
          <w:sz w:val="21"/>
          <w:szCs w:val="21"/>
        </w:rPr>
        <w:t>5.除政府采购合同继续履行将损害国家利益和社会公共利益外，双方当事人不得擅自变更、中止或者终止合同。</w:t>
      </w:r>
    </w:p>
    <w:p w14:paraId="7610B861">
      <w:pPr>
        <w:ind w:firstLine="420" w:firstLineChars="200"/>
        <w:rPr>
          <w:rFonts w:hint="eastAsia" w:ascii="宋体" w:hAnsi="宋体" w:eastAsia="宋体" w:cs="宋体"/>
          <w:bCs/>
          <w:sz w:val="21"/>
          <w:szCs w:val="21"/>
        </w:rPr>
      </w:pPr>
      <w:r>
        <w:rPr>
          <w:rFonts w:ascii="宋体" w:hAnsi="宋体" w:eastAsia="宋体" w:cs="宋体"/>
          <w:bCs/>
          <w:sz w:val="21"/>
          <w:szCs w:val="21"/>
        </w:rPr>
        <w:t xml:space="preserve">6. </w:t>
      </w:r>
      <w:r>
        <w:rPr>
          <w:rFonts w:hint="eastAsia" w:ascii="宋体" w:hAnsi="宋体" w:eastAsia="宋体" w:cs="宋体"/>
          <w:bCs/>
          <w:sz w:val="21"/>
          <w:szCs w:val="21"/>
        </w:rPr>
        <w:t>采购人及采购代理机构在授予合同前的任何时候仍保留接受或拒绝任何投标，宣布招标程序无效或拒绝所有投标的权利，无须向受影响的投标人承担任何责任。同时也无须通知受影响的投标人有关采购人和采购代理机构这样做的原因。</w:t>
      </w:r>
    </w:p>
    <w:p w14:paraId="7A7E64BC">
      <w:pPr>
        <w:ind w:firstLine="420" w:firstLineChars="200"/>
        <w:rPr>
          <w:rFonts w:ascii="宋体" w:hAnsi="宋体" w:cs="宋体"/>
          <w:sz w:val="21"/>
          <w:szCs w:val="21"/>
        </w:rPr>
      </w:pPr>
    </w:p>
    <w:p w14:paraId="5DEB781B">
      <w:pPr>
        <w:ind w:firstLine="480" w:firstLineChars="200"/>
        <w:rPr>
          <w:rFonts w:ascii="宋体" w:hAnsi="宋体" w:cs="宋体"/>
        </w:rPr>
      </w:pPr>
    </w:p>
    <w:p w14:paraId="2D6B8EBC"/>
    <w:p w14:paraId="124F7D7E">
      <w:pPr>
        <w:rPr>
          <w:b/>
          <w:bCs/>
          <w:sz w:val="36"/>
          <w:szCs w:val="36"/>
        </w:rPr>
      </w:pPr>
      <w:r>
        <w:rPr>
          <w:szCs w:val="28"/>
        </w:rPr>
        <w:br w:type="page"/>
      </w:r>
    </w:p>
    <w:p w14:paraId="0E8E1149">
      <w:pPr>
        <w:pStyle w:val="3"/>
        <w:rPr>
          <w:b/>
          <w:bCs/>
          <w:sz w:val="36"/>
          <w:szCs w:val="36"/>
        </w:rPr>
      </w:pPr>
      <w:r>
        <w:rPr>
          <w:rFonts w:hint="eastAsia" w:ascii="宋体" w:hAnsi="宋体" w:eastAsia="宋体" w:cs="宋体"/>
          <w:b/>
          <w:bCs/>
          <w:sz w:val="36"/>
          <w:szCs w:val="36"/>
        </w:rPr>
        <w:t>第</w:t>
      </w:r>
      <w:r>
        <w:rPr>
          <w:rFonts w:hint="eastAsia"/>
          <w:b/>
          <w:bCs/>
          <w:sz w:val="36"/>
          <w:szCs w:val="36"/>
        </w:rPr>
        <w:t>四章  投标文件格式、附件</w:t>
      </w:r>
    </w:p>
    <w:p w14:paraId="7B39CE12">
      <w:pPr>
        <w:spacing w:line="288" w:lineRule="auto"/>
        <w:outlineLvl w:val="2"/>
        <w:rPr>
          <w:rStyle w:val="59"/>
          <w:rFonts w:hint="eastAsia" w:ascii="宋体" w:hAnsi="宋体" w:eastAsia="宋体" w:cs="宋体"/>
          <w:b/>
          <w:bCs w:val="0"/>
          <w:color w:val="FF0000"/>
          <w:sz w:val="21"/>
          <w:szCs w:val="21"/>
        </w:rPr>
      </w:pPr>
      <w:r>
        <w:rPr>
          <w:rStyle w:val="59"/>
          <w:rFonts w:hint="eastAsia" w:ascii="宋体" w:hAnsi="宋体" w:eastAsia="宋体" w:cs="宋体"/>
          <w:b/>
          <w:bCs w:val="0"/>
          <w:color w:val="FF0000"/>
          <w:sz w:val="21"/>
          <w:szCs w:val="21"/>
        </w:rPr>
        <w:t>特别提醒：</w:t>
      </w:r>
    </w:p>
    <w:p w14:paraId="73A37D59">
      <w:pPr>
        <w:spacing w:line="288"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文件正文将对外公开，投标文件附件不公开。投标人在编辑投标文件时，在投标文件目录中属于本节点内容的必须在本节点中填写，填写到其他节点或附件的将可能导致投标无效，一切后果由供应商自行承担。</w:t>
      </w:r>
    </w:p>
    <w:p w14:paraId="620CC66D">
      <w:pPr>
        <w:spacing w:line="288"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投标文件正文（信息公开部分）必须编制于“投标</w:t>
      </w:r>
      <w:r>
        <w:rPr>
          <w:rFonts w:hint="eastAsia" w:ascii="宋体" w:hAnsi="宋体" w:eastAsia="宋体" w:cs="宋体"/>
          <w:color w:val="0000FF"/>
          <w:sz w:val="21"/>
          <w:szCs w:val="21"/>
        </w:rPr>
        <w:t>书</w:t>
      </w:r>
      <w:r>
        <w:rPr>
          <w:rFonts w:hint="eastAsia" w:ascii="宋体" w:hAnsi="宋体" w:eastAsia="宋体" w:cs="宋体"/>
          <w:color w:val="000000"/>
          <w:sz w:val="21"/>
          <w:szCs w:val="21"/>
        </w:rPr>
        <w:t>目录”，投标文件附件（非信息公开部分）必须编制于“投标书附件”，如下图所示。</w:t>
      </w:r>
    </w:p>
    <w:p w14:paraId="1F25309F">
      <w:pPr>
        <w:snapToGrid w:val="0"/>
        <w:spacing w:line="288"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drawing>
          <wp:inline distT="0" distB="0" distL="114300" distR="114300">
            <wp:extent cx="5278755" cy="4126230"/>
            <wp:effectExtent l="0" t="0" r="9525" b="3810"/>
            <wp:docPr id="4" name="图片 4"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应用程序&#10;&#10;描述已自动生成"/>
                    <pic:cNvPicPr>
                      <a:picLocks noChangeAspect="1"/>
                    </pic:cNvPicPr>
                  </pic:nvPicPr>
                  <pic:blipFill>
                    <a:blip r:embed="rId10"/>
                    <a:stretch>
                      <a:fillRect/>
                    </a:stretch>
                  </pic:blipFill>
                  <pic:spPr>
                    <a:xfrm>
                      <a:off x="0" y="0"/>
                      <a:ext cx="5278755" cy="4126230"/>
                    </a:xfrm>
                    <a:prstGeom prst="rect">
                      <a:avLst/>
                    </a:prstGeom>
                    <a:noFill/>
                    <a:ln>
                      <a:noFill/>
                    </a:ln>
                  </pic:spPr>
                </pic:pic>
              </a:graphicData>
            </a:graphic>
          </wp:inline>
        </w:drawing>
      </w:r>
    </w:p>
    <w:p w14:paraId="70C70240">
      <w:pPr>
        <w:spacing w:line="288"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政府采购代理机构公布投标文件正文（信息公开部分）时为计算机截取信息自动公布，</w:t>
      </w:r>
      <w:r>
        <w:rPr>
          <w:rFonts w:hint="eastAsia" w:ascii="宋体" w:hAnsi="宋体" w:eastAsia="宋体" w:cs="宋体"/>
          <w:b/>
          <w:bCs/>
          <w:color w:val="000000"/>
          <w:sz w:val="21"/>
          <w:szCs w:val="21"/>
        </w:rPr>
        <w:t>如投标人误将涉及个人隐私的信息放入投标文件正文，相关后果由投标人自负；</w:t>
      </w:r>
      <w:r>
        <w:rPr>
          <w:rFonts w:hint="eastAsia" w:ascii="宋体" w:hAnsi="宋体" w:eastAsia="宋体" w:cs="宋体"/>
          <w:color w:val="000000"/>
          <w:sz w:val="21"/>
          <w:szCs w:val="21"/>
        </w:rPr>
        <w:t>如投标人将必须放于投标文件正文（信息公开部分）的内容放入投标文件附件（非信息公开部分）以回避信息公开、证明文件与业绩等相关资料列放位置错误，由此引发的不利于投标人的后果由投标人承担。</w:t>
      </w:r>
    </w:p>
    <w:p w14:paraId="1DAE3DD3">
      <w:pPr>
        <w:spacing w:line="288" w:lineRule="auto"/>
        <w:ind w:firstLine="422" w:firstLineChars="200"/>
        <w:rPr>
          <w:rFonts w:hint="eastAsia" w:ascii="宋体" w:hAnsi="宋体" w:eastAsia="宋体" w:cs="宋体"/>
          <w:b/>
          <w:bCs/>
          <w:strike/>
          <w:color w:val="FF0000"/>
          <w:sz w:val="21"/>
          <w:szCs w:val="21"/>
        </w:rPr>
      </w:pPr>
      <w:r>
        <w:rPr>
          <w:rFonts w:hint="eastAsia" w:ascii="宋体" w:hAnsi="宋体" w:eastAsia="宋体" w:cs="宋体"/>
          <w:b/>
          <w:bCs/>
          <w:color w:val="FF0000"/>
          <w:sz w:val="21"/>
          <w:szCs w:val="21"/>
        </w:rPr>
        <w:t>备注：</w:t>
      </w:r>
    </w:p>
    <w:p w14:paraId="408682C5">
      <w:pPr>
        <w:spacing w:line="288" w:lineRule="auto"/>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1.本项目为网上电子投标项目，投标文件不需法人或授权委托人另行签字，无需加盖单位公章，招标文件专用条款另有规定的除外。</w:t>
      </w:r>
    </w:p>
    <w:p w14:paraId="0353A579">
      <w:pPr>
        <w:spacing w:line="288" w:lineRule="auto"/>
        <w:ind w:firstLine="422" w:firstLineChars="200"/>
        <w:rPr>
          <w:rFonts w:hint="eastAsia" w:ascii="宋体" w:hAnsi="宋体" w:eastAsia="宋体" w:cs="宋体"/>
          <w:color w:val="FF0000"/>
          <w:sz w:val="21"/>
          <w:szCs w:val="21"/>
        </w:rPr>
      </w:pPr>
      <w:r>
        <w:rPr>
          <w:rFonts w:hint="eastAsia" w:ascii="宋体" w:hAnsi="宋体" w:eastAsia="宋体" w:cs="宋体"/>
          <w:b/>
          <w:bCs/>
          <w:color w:val="FF0000"/>
          <w:sz w:val="21"/>
          <w:szCs w:val="21"/>
        </w:rPr>
        <w:t>2.关于“开标一览表”的评标说明：“开标一览表”中除“投标报价”外，其他信息不作评审依据。</w:t>
      </w:r>
    </w:p>
    <w:p w14:paraId="3AFFC7A2">
      <w:pPr>
        <w:rPr>
          <w:rFonts w:ascii="宋体" w:hAnsi="宋体"/>
          <w:b/>
          <w:bCs/>
          <w:szCs w:val="20"/>
        </w:rPr>
      </w:pPr>
      <w:r>
        <w:rPr>
          <w:rFonts w:ascii="宋体" w:hAnsi="宋体"/>
          <w:b/>
          <w:bCs/>
          <w:szCs w:val="20"/>
        </w:rPr>
        <w:br w:type="page"/>
      </w:r>
    </w:p>
    <w:p w14:paraId="019A5FEF">
      <w:pPr>
        <w:outlineLvl w:val="2"/>
        <w:rPr>
          <w:rStyle w:val="59"/>
          <w:rFonts w:ascii="Times New Roman" w:eastAsia="宋体"/>
          <w:b/>
          <w:bCs w:val="0"/>
          <w:color w:val="FF0000"/>
          <w:sz w:val="24"/>
        </w:rPr>
      </w:pPr>
      <w:r>
        <w:rPr>
          <w:rStyle w:val="59"/>
          <w:rFonts w:hint="eastAsia" w:ascii="Times New Roman" w:eastAsia="宋体"/>
          <w:b/>
          <w:bCs w:val="0"/>
          <w:color w:val="FF0000"/>
          <w:sz w:val="24"/>
        </w:rPr>
        <w:t>投标文件组成：</w:t>
      </w:r>
    </w:p>
    <w:p w14:paraId="1A5F0248">
      <w:pPr>
        <w:outlineLvl w:val="2"/>
        <w:rPr>
          <w:rFonts w:hint="eastAsia" w:ascii="宋体" w:hAnsi="宋体" w:eastAsia="宋体" w:cs="宋体"/>
          <w:bCs/>
          <w:color w:val="FF0000"/>
        </w:rPr>
      </w:pPr>
      <w:r>
        <w:rPr>
          <w:rFonts w:hint="eastAsia" w:ascii="宋体" w:hAnsi="宋体" w:eastAsia="宋体" w:cs="宋体"/>
          <w:b/>
          <w:color w:val="FF0000"/>
        </w:rPr>
        <w:t>第一部分：投标文件正文（信息公开部分）</w:t>
      </w:r>
    </w:p>
    <w:p w14:paraId="49E74F4F">
      <w:pPr>
        <w:rPr>
          <w:rStyle w:val="59"/>
          <w:rFonts w:ascii="Times New Roman" w:eastAsia="宋体"/>
          <w:b/>
          <w:bCs w:val="0"/>
          <w:color w:val="FF0000"/>
          <w:sz w:val="21"/>
          <w:szCs w:val="21"/>
        </w:rPr>
      </w:pPr>
    </w:p>
    <w:p w14:paraId="49DA7628">
      <w:pPr>
        <w:pStyle w:val="5"/>
        <w:jc w:val="center"/>
        <w:rPr>
          <w:rFonts w:ascii="Times New Roman" w:hAnsi="Times New Roman"/>
          <w:b w:val="0"/>
          <w:color w:val="000000"/>
          <w:sz w:val="24"/>
        </w:rPr>
      </w:pPr>
      <w:r>
        <w:rPr>
          <w:rFonts w:ascii="Times New Roman" w:hAnsi="Times New Roman"/>
          <w:b w:val="0"/>
          <w:color w:val="000000"/>
          <w:sz w:val="24"/>
        </w:rPr>
        <w:t>一、投标函</w:t>
      </w:r>
    </w:p>
    <w:p w14:paraId="5CF3C6A1">
      <w:pPr>
        <w:spacing w:line="288"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致：</w:t>
      </w:r>
      <w:r>
        <w:rPr>
          <w:rFonts w:hint="eastAsia" w:ascii="宋体" w:hAnsi="宋体" w:eastAsia="宋体" w:cs="宋体"/>
          <w:b/>
          <w:bCs/>
          <w:color w:val="000000"/>
          <w:sz w:val="21"/>
          <w:szCs w:val="21"/>
          <w:u w:val="single"/>
        </w:rPr>
        <w:t xml:space="preserve">  中国远东国际招标有限公司  </w:t>
      </w:r>
    </w:p>
    <w:p w14:paraId="0F17F020">
      <w:pPr>
        <w:spacing w:after="120" w:afterLines="5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1.根据已收到贵</w:t>
      </w:r>
      <w:r>
        <w:rPr>
          <w:rFonts w:hint="eastAsia" w:ascii="宋体" w:hAnsi="宋体" w:cs="宋体"/>
          <w:sz w:val="21"/>
          <w:szCs w:val="21"/>
        </w:rPr>
        <w:t>单位</w:t>
      </w:r>
      <w:r>
        <w:rPr>
          <w:rFonts w:hint="eastAsia" w:ascii="宋体" w:hAnsi="宋体" w:eastAsia="宋体" w:cs="宋体"/>
          <w:sz w:val="21"/>
          <w:szCs w:val="21"/>
        </w:rPr>
        <w:t>的项目编号为</w:t>
      </w:r>
      <w:r>
        <w:rPr>
          <w:rFonts w:hint="eastAsia" w:ascii="宋体" w:hAnsi="宋体" w:eastAsia="宋体" w:cs="宋体"/>
          <w:sz w:val="21"/>
          <w:szCs w:val="21"/>
          <w:u w:val="single"/>
        </w:rPr>
        <w:t xml:space="preserve">                </w:t>
      </w:r>
      <w:r>
        <w:rPr>
          <w:rFonts w:hint="eastAsia" w:ascii="宋体" w:hAnsi="宋体" w:eastAsia="宋体" w:cs="宋体"/>
          <w:sz w:val="21"/>
          <w:szCs w:val="21"/>
        </w:rPr>
        <w:t>的</w:t>
      </w:r>
      <w:r>
        <w:rPr>
          <w:rFonts w:hint="eastAsia" w:ascii="宋体" w:hAnsi="宋体" w:eastAsia="宋体" w:cs="宋体"/>
          <w:sz w:val="21"/>
          <w:szCs w:val="21"/>
          <w:u w:val="single"/>
        </w:rPr>
        <w:t xml:space="preserve">                      </w:t>
      </w:r>
      <w:r>
        <w:rPr>
          <w:rFonts w:hint="eastAsia" w:ascii="宋体" w:hAnsi="宋体" w:eastAsia="宋体" w:cs="宋体"/>
          <w:sz w:val="21"/>
          <w:szCs w:val="21"/>
        </w:rPr>
        <w:t>项目的招标文件，遵照《深圳经济特区政府采购条例》和《深圳网上政府采购管理暂行办法》等有关规定，我单位经研究上述招标文件的专用条款及通用条款后，</w:t>
      </w:r>
      <w:r>
        <w:rPr>
          <w:rFonts w:hint="eastAsia" w:ascii="宋体" w:hAnsi="宋体" w:cs="宋体"/>
          <w:sz w:val="21"/>
          <w:szCs w:val="21"/>
        </w:rPr>
        <w:t>我单位</w:t>
      </w:r>
      <w:r>
        <w:rPr>
          <w:rFonts w:hint="eastAsia" w:ascii="宋体" w:hAnsi="宋体" w:eastAsia="宋体" w:cs="宋体"/>
          <w:sz w:val="21"/>
          <w:szCs w:val="21"/>
        </w:rPr>
        <w:t>愿以投标书编制软件中《开标一览表》中填写的投标报价并按招标文件要求承包上述项目并修补其任何缺陷。</w:t>
      </w:r>
    </w:p>
    <w:p w14:paraId="2463A2BD">
      <w:pPr>
        <w:spacing w:after="120" w:afterLines="5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rPr>
        <w:t>我单位</w:t>
      </w:r>
      <w:r>
        <w:rPr>
          <w:rFonts w:hint="eastAsia" w:ascii="宋体" w:hAnsi="宋体" w:eastAsia="宋体" w:cs="宋体"/>
          <w:sz w:val="21"/>
          <w:szCs w:val="21"/>
        </w:rPr>
        <w:t>已认真核实了投标文件的全部资料，所有资料均为真实资料。</w:t>
      </w:r>
      <w:r>
        <w:rPr>
          <w:rFonts w:hint="eastAsia" w:ascii="宋体" w:hAnsi="宋体" w:cs="宋体"/>
          <w:sz w:val="21"/>
          <w:szCs w:val="21"/>
        </w:rPr>
        <w:t>我单位</w:t>
      </w:r>
      <w:r>
        <w:rPr>
          <w:rFonts w:hint="eastAsia" w:ascii="宋体" w:hAnsi="宋体" w:eastAsia="宋体" w:cs="宋体"/>
          <w:sz w:val="21"/>
          <w:szCs w:val="21"/>
        </w:rPr>
        <w:t>对投标文件中全部投标资料的真实性负责，如被证实</w:t>
      </w:r>
      <w:r>
        <w:rPr>
          <w:rFonts w:hint="eastAsia" w:ascii="宋体" w:hAnsi="宋体" w:cs="宋体"/>
          <w:sz w:val="21"/>
          <w:szCs w:val="21"/>
        </w:rPr>
        <w:t>我单位</w:t>
      </w:r>
      <w:r>
        <w:rPr>
          <w:rFonts w:hint="eastAsia" w:ascii="宋体" w:hAnsi="宋体" w:eastAsia="宋体" w:cs="宋体"/>
          <w:sz w:val="21"/>
          <w:szCs w:val="21"/>
        </w:rPr>
        <w:t>的投标文件中存在虚假资料的，则视为</w:t>
      </w:r>
      <w:r>
        <w:rPr>
          <w:rFonts w:hint="eastAsia" w:ascii="宋体" w:hAnsi="宋体" w:cs="宋体"/>
          <w:sz w:val="21"/>
          <w:szCs w:val="21"/>
        </w:rPr>
        <w:t>我单位</w:t>
      </w:r>
      <w:r>
        <w:rPr>
          <w:rFonts w:hint="eastAsia" w:ascii="宋体" w:hAnsi="宋体" w:eastAsia="宋体" w:cs="宋体"/>
          <w:sz w:val="21"/>
          <w:szCs w:val="21"/>
        </w:rPr>
        <w:t>隐瞒真实情况、提供虚假资料，</w:t>
      </w:r>
      <w:r>
        <w:rPr>
          <w:rFonts w:hint="eastAsia" w:ascii="宋体" w:hAnsi="宋体" w:cs="宋体"/>
          <w:sz w:val="21"/>
          <w:szCs w:val="21"/>
        </w:rPr>
        <w:t>我单位</w:t>
      </w:r>
      <w:r>
        <w:rPr>
          <w:rFonts w:hint="eastAsia" w:ascii="宋体" w:hAnsi="宋体" w:eastAsia="宋体" w:cs="宋体"/>
          <w:sz w:val="21"/>
          <w:szCs w:val="21"/>
        </w:rPr>
        <w:t>愿意接受主管部门作出的行政处罚。</w:t>
      </w:r>
    </w:p>
    <w:p w14:paraId="1D66FF75">
      <w:pPr>
        <w:spacing w:after="120" w:afterLines="5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3.如果</w:t>
      </w:r>
      <w:r>
        <w:rPr>
          <w:rFonts w:hint="eastAsia" w:ascii="宋体" w:hAnsi="宋体" w:cs="宋体"/>
          <w:sz w:val="21"/>
          <w:szCs w:val="21"/>
        </w:rPr>
        <w:t>我单位</w:t>
      </w:r>
      <w:r>
        <w:rPr>
          <w:rFonts w:hint="eastAsia" w:ascii="宋体" w:hAnsi="宋体" w:eastAsia="宋体" w:cs="宋体"/>
          <w:sz w:val="21"/>
          <w:szCs w:val="21"/>
        </w:rPr>
        <w:t>中标，</w:t>
      </w:r>
      <w:r>
        <w:rPr>
          <w:rFonts w:hint="eastAsia" w:ascii="宋体" w:hAnsi="宋体" w:cs="宋体"/>
          <w:sz w:val="21"/>
          <w:szCs w:val="21"/>
        </w:rPr>
        <w:t>我单位</w:t>
      </w:r>
      <w:r>
        <w:rPr>
          <w:rFonts w:hint="eastAsia" w:ascii="宋体" w:hAnsi="宋体" w:eastAsia="宋体" w:cs="宋体"/>
          <w:sz w:val="21"/>
          <w:szCs w:val="21"/>
        </w:rPr>
        <w:t>将按照招标文件要求提交履约担保。</w:t>
      </w:r>
    </w:p>
    <w:p w14:paraId="1362FA55">
      <w:pPr>
        <w:spacing w:after="120" w:afterLines="5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rPr>
        <w:t>我单位</w:t>
      </w:r>
      <w:r>
        <w:rPr>
          <w:rFonts w:hint="eastAsia" w:ascii="宋体" w:hAnsi="宋体" w:eastAsia="宋体" w:cs="宋体"/>
          <w:sz w:val="21"/>
          <w:szCs w:val="21"/>
        </w:rPr>
        <w:t>同意所递交的投标文件在“对通用条款的补充内容”中的投标有效期内有效，在此期间内</w:t>
      </w:r>
      <w:r>
        <w:rPr>
          <w:rFonts w:hint="eastAsia" w:ascii="宋体" w:hAnsi="宋体" w:cs="宋体"/>
          <w:sz w:val="21"/>
          <w:szCs w:val="21"/>
        </w:rPr>
        <w:t>我单位</w:t>
      </w:r>
      <w:r>
        <w:rPr>
          <w:rFonts w:hint="eastAsia" w:ascii="宋体" w:hAnsi="宋体" w:eastAsia="宋体" w:cs="宋体"/>
          <w:sz w:val="21"/>
          <w:szCs w:val="21"/>
        </w:rPr>
        <w:t>的投标有可能中标，</w:t>
      </w:r>
      <w:r>
        <w:rPr>
          <w:rFonts w:hint="eastAsia" w:ascii="宋体" w:hAnsi="宋体" w:cs="宋体"/>
          <w:sz w:val="21"/>
          <w:szCs w:val="21"/>
        </w:rPr>
        <w:t>我单位</w:t>
      </w:r>
      <w:r>
        <w:rPr>
          <w:rFonts w:hint="eastAsia" w:ascii="宋体" w:hAnsi="宋体" w:eastAsia="宋体" w:cs="宋体"/>
          <w:sz w:val="21"/>
          <w:szCs w:val="21"/>
        </w:rPr>
        <w:t>将受此约束。</w:t>
      </w:r>
    </w:p>
    <w:p w14:paraId="572A45A7">
      <w:pPr>
        <w:spacing w:after="120" w:afterLines="5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5.除非另外达成协议并生效，贵方的中标通知书和本投标文件将构成约束我们双方的合同的重要内容。</w:t>
      </w:r>
    </w:p>
    <w:p w14:paraId="0BBEE90B">
      <w:pPr>
        <w:spacing w:after="120" w:afterLines="5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cs="宋体"/>
          <w:sz w:val="21"/>
          <w:szCs w:val="21"/>
        </w:rPr>
        <w:t>我单位</w:t>
      </w:r>
      <w:r>
        <w:rPr>
          <w:rFonts w:hint="eastAsia" w:ascii="宋体" w:hAnsi="宋体" w:eastAsia="宋体" w:cs="宋体"/>
          <w:sz w:val="21"/>
          <w:szCs w:val="21"/>
        </w:rPr>
        <w:t>理解贵方将不受必须接受你们所收到的最低报价或其它任何投标文件的约束。</w:t>
      </w:r>
    </w:p>
    <w:p w14:paraId="35FF0883">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7.如我单位按项目要求提供样品，且未在规定时间内取回样品的，视同放弃取回，同意中国远东国际招标公司对样品进行清理。</w:t>
      </w:r>
    </w:p>
    <w:p w14:paraId="13F6684D">
      <w:pPr>
        <w:spacing w:after="120" w:afterLines="50" w:line="288" w:lineRule="auto"/>
        <w:ind w:firstLine="420" w:firstLineChars="200"/>
        <w:rPr>
          <w:rFonts w:hint="eastAsia" w:ascii="宋体" w:hAnsi="宋体" w:eastAsia="宋体" w:cs="宋体"/>
          <w:color w:val="000000"/>
          <w:sz w:val="21"/>
          <w:szCs w:val="21"/>
        </w:rPr>
      </w:pPr>
    </w:p>
    <w:p w14:paraId="6F0C1C39">
      <w:pPr>
        <w:spacing w:line="288"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3EA3B722">
      <w:pPr>
        <w:spacing w:line="288" w:lineRule="auto"/>
        <w:ind w:firstLine="420" w:firstLineChars="200"/>
        <w:rPr>
          <w:rFonts w:hint="eastAsia" w:ascii="宋体" w:hAnsi="宋体" w:eastAsia="宋体" w:cs="宋体"/>
          <w:color w:val="000000"/>
          <w:sz w:val="21"/>
          <w:szCs w:val="21"/>
          <w:u w:val="single"/>
        </w:rPr>
      </w:pPr>
      <w:r>
        <w:rPr>
          <w:rFonts w:hint="eastAsia" w:ascii="宋体" w:hAnsi="宋体" w:eastAsia="宋体" w:cs="宋体"/>
          <w:color w:val="000000"/>
          <w:sz w:val="21"/>
          <w:szCs w:val="21"/>
        </w:rPr>
        <w:t>法定代表人</w:t>
      </w:r>
      <w:r>
        <w:rPr>
          <w:rFonts w:hint="eastAsia" w:ascii="宋体" w:hAnsi="宋体" w:eastAsia="宋体" w:cs="宋体"/>
          <w:sz w:val="21"/>
          <w:szCs w:val="21"/>
        </w:rPr>
        <w:t>（负责人）</w:t>
      </w:r>
      <w:r>
        <w:rPr>
          <w:rFonts w:hint="eastAsia" w:ascii="宋体" w:hAnsi="宋体" w:eastAsia="宋体" w:cs="宋体"/>
          <w:color w:val="000000"/>
          <w:sz w:val="21"/>
          <w:szCs w:val="21"/>
        </w:rPr>
        <w:t>或其委托代理人：</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29B57A14">
      <w:pPr>
        <w:spacing w:line="288" w:lineRule="auto"/>
        <w:ind w:firstLine="420" w:firstLineChars="200"/>
        <w:rPr>
          <w:rFonts w:hint="eastAsia" w:ascii="宋体" w:hAnsi="宋体" w:eastAsia="宋体" w:cs="宋体"/>
          <w:color w:val="000000"/>
          <w:sz w:val="21"/>
          <w:szCs w:val="21"/>
          <w:u w:val="single"/>
        </w:rPr>
      </w:pPr>
      <w:r>
        <w:rPr>
          <w:rFonts w:hint="eastAsia" w:ascii="宋体" w:hAnsi="宋体" w:eastAsia="宋体" w:cs="宋体"/>
          <w:color w:val="000000"/>
          <w:sz w:val="21"/>
          <w:szCs w:val="21"/>
        </w:rPr>
        <w:t>邮政编码：</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电话：</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32192C3B">
      <w:pPr>
        <w:spacing w:line="288" w:lineRule="auto"/>
        <w:ind w:firstLine="420" w:firstLineChars="200"/>
        <w:rPr>
          <w:rFonts w:hint="eastAsia" w:ascii="宋体" w:hAnsi="宋体" w:eastAsia="宋体" w:cs="宋体"/>
          <w:color w:val="000000"/>
          <w:sz w:val="21"/>
          <w:szCs w:val="21"/>
          <w:u w:val="single"/>
        </w:rPr>
      </w:pPr>
      <w:r>
        <w:rPr>
          <w:rFonts w:hint="eastAsia" w:ascii="宋体" w:hAnsi="宋体" w:eastAsia="宋体" w:cs="宋体"/>
          <w:color w:val="000000"/>
          <w:sz w:val="21"/>
          <w:szCs w:val="21"/>
        </w:rPr>
        <w:t>传真：</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邮箱：</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0AC29A8B">
      <w:pPr>
        <w:spacing w:line="288"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开户银行名称：</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开户银行</w:t>
      </w:r>
      <w:r>
        <w:rPr>
          <w:rFonts w:hint="eastAsia" w:ascii="宋体" w:hAnsi="宋体" w:cs="宋体"/>
          <w:color w:val="000000"/>
          <w:sz w:val="21"/>
          <w:szCs w:val="21"/>
        </w:rPr>
        <w:t>账</w:t>
      </w:r>
      <w:r>
        <w:rPr>
          <w:rFonts w:hint="eastAsia" w:ascii="宋体" w:hAnsi="宋体" w:eastAsia="宋体" w:cs="宋体"/>
          <w:color w:val="000000"/>
          <w:sz w:val="21"/>
          <w:szCs w:val="21"/>
        </w:rPr>
        <w:t>号：</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66AF886E">
      <w:pPr>
        <w:spacing w:line="288"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开户银行地址：</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开户银行电话：</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p>
    <w:p w14:paraId="7711DE2A">
      <w:pPr>
        <w:spacing w:line="288" w:lineRule="auto"/>
        <w:ind w:firstLine="420" w:firstLineChars="200"/>
        <w:rPr>
          <w:rFonts w:hint="eastAsia" w:ascii="宋体" w:hAnsi="宋体" w:eastAsia="宋体" w:cs="宋体"/>
          <w:b/>
          <w:bCs/>
          <w:sz w:val="21"/>
          <w:szCs w:val="21"/>
        </w:rPr>
      </w:pPr>
      <w:r>
        <w:rPr>
          <w:rFonts w:hint="eastAsia" w:ascii="宋体" w:hAnsi="宋体" w:eastAsia="宋体" w:cs="宋体"/>
          <w:color w:val="000000"/>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0384FB48">
      <w:pPr>
        <w:pStyle w:val="70"/>
        <w:jc w:val="center"/>
        <w:outlineLvl w:val="3"/>
        <w:rPr>
          <w:bCs w:val="0"/>
          <w:color w:val="000000"/>
        </w:rPr>
      </w:pPr>
      <w:r>
        <w:rPr>
          <w:rFonts w:hint="eastAsia"/>
        </w:rPr>
        <w:br w:type="page"/>
      </w:r>
      <w:r>
        <w:rPr>
          <w:rFonts w:hint="eastAsia" w:ascii="黑体" w:hAnsi="黑体" w:eastAsia="黑体" w:cs="黑体"/>
          <w:bCs w:val="0"/>
          <w:color w:val="000000"/>
        </w:rPr>
        <w:t>二、政府采购投标及履约承诺函</w:t>
      </w:r>
    </w:p>
    <w:p w14:paraId="1FA89CC0">
      <w:pPr>
        <w:widowControl w:val="0"/>
        <w:spacing w:line="260" w:lineRule="exact"/>
        <w:rPr>
          <w:b/>
          <w:bCs/>
          <w:color w:val="000000"/>
          <w:sz w:val="21"/>
          <w:szCs w:val="21"/>
        </w:rPr>
      </w:pPr>
    </w:p>
    <w:p w14:paraId="22922FF1">
      <w:pPr>
        <w:widowControl w:val="0"/>
        <w:spacing w:line="260" w:lineRule="exact"/>
        <w:rPr>
          <w:rFonts w:eastAsia="宋体"/>
          <w:b/>
          <w:bCs/>
          <w:color w:val="000000"/>
          <w:sz w:val="21"/>
          <w:szCs w:val="21"/>
        </w:rPr>
      </w:pPr>
      <w:r>
        <w:rPr>
          <w:rFonts w:hint="eastAsia" w:ascii="宋体" w:hAnsi="宋体" w:eastAsia="宋体" w:cs="宋体"/>
          <w:b/>
          <w:bCs/>
          <w:color w:val="000000"/>
          <w:sz w:val="21"/>
          <w:szCs w:val="21"/>
        </w:rPr>
        <w:t>致</w:t>
      </w:r>
      <w:r>
        <w:rPr>
          <w:b/>
          <w:bCs/>
          <w:color w:val="000000"/>
          <w:sz w:val="21"/>
          <w:szCs w:val="21"/>
        </w:rPr>
        <w:t>：</w:t>
      </w:r>
      <w:r>
        <w:rPr>
          <w:rFonts w:hint="eastAsia"/>
          <w:b/>
          <w:bCs/>
          <w:color w:val="000000"/>
          <w:sz w:val="21"/>
          <w:szCs w:val="21"/>
        </w:rPr>
        <w:t>中国远东国际招标有限公司</w:t>
      </w:r>
    </w:p>
    <w:p w14:paraId="5D46013F">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我单位承诺：</w:t>
      </w:r>
    </w:p>
    <w:p w14:paraId="61AABFC7">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1.我单位</w:t>
      </w:r>
      <w:r>
        <w:rPr>
          <w:rFonts w:hint="eastAsia" w:ascii="宋体" w:hAnsi="宋体" w:cs="宋体"/>
          <w:color w:val="000000"/>
          <w:sz w:val="21"/>
          <w:szCs w:val="21"/>
        </w:rPr>
        <w:t>参与</w:t>
      </w:r>
      <w:r>
        <w:rPr>
          <w:rFonts w:hint="eastAsia" w:ascii="宋体" w:hAnsi="宋体" w:eastAsia="宋体" w:cs="宋体"/>
          <w:color w:val="000000"/>
          <w:sz w:val="21"/>
          <w:szCs w:val="21"/>
        </w:rPr>
        <w:t>本项目所投标（响应）的货物、工程或服务</w:t>
      </w:r>
      <w:r>
        <w:rPr>
          <w:rFonts w:hint="eastAsia" w:ascii="宋体" w:hAnsi="宋体" w:cs="宋体"/>
          <w:color w:val="000000"/>
          <w:sz w:val="21"/>
          <w:szCs w:val="21"/>
        </w:rPr>
        <w:t>不存在侵犯知识产权的情况。</w:t>
      </w:r>
    </w:p>
    <w:p w14:paraId="6E8C12BA">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2.我单位具备《中华人民共和国政府采购法》第二十二条的条件。</w:t>
      </w:r>
    </w:p>
    <w:p w14:paraId="0EB756D2">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cs="宋体"/>
          <w:color w:val="000000"/>
          <w:sz w:val="21"/>
          <w:szCs w:val="21"/>
        </w:rPr>
        <w:t>3.我单位参与本项目政府采购活动时不存在被有关部门禁止参与政府采购活动且在有效期内的情况。</w:t>
      </w:r>
    </w:p>
    <w:p w14:paraId="2A8A6379">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cs="宋体"/>
          <w:color w:val="000000"/>
          <w:sz w:val="21"/>
          <w:szCs w:val="21"/>
        </w:rPr>
        <w:t>4</w:t>
      </w:r>
      <w:r>
        <w:rPr>
          <w:rFonts w:hint="eastAsia" w:ascii="宋体" w:hAnsi="宋体" w:eastAsia="宋体" w:cs="宋体"/>
          <w:color w:val="000000"/>
          <w:sz w:val="21"/>
          <w:szCs w:val="21"/>
        </w:rPr>
        <w:t>.我单位至开标当日，未有在“信用中国、中国政府采购网、深圳信用网、深圳市政府采购监管网”等网站中被列入“失信被执行人、重大税收违法案件当事人名单（重大税收违法失信主体）、政府采购严重违法失信行为记录名单”的情况。</w:t>
      </w:r>
    </w:p>
    <w:p w14:paraId="1A16E0BE">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cs="宋体"/>
          <w:color w:val="000000"/>
          <w:sz w:val="21"/>
          <w:szCs w:val="21"/>
        </w:rPr>
        <w:t>5.</w:t>
      </w:r>
      <w:r>
        <w:rPr>
          <w:color w:val="000000"/>
          <w:sz w:val="21"/>
          <w:szCs w:val="21"/>
        </w:rPr>
        <w:t>我单位参与本项目投标前三年内</w:t>
      </w:r>
      <w:r>
        <w:rPr>
          <w:rFonts w:hint="eastAsia" w:ascii="宋体" w:hAnsi="宋体" w:cs="宋体"/>
          <w:color w:val="000000"/>
          <w:sz w:val="21"/>
          <w:szCs w:val="21"/>
        </w:rPr>
        <w:t>无行贿犯罪记录。</w:t>
      </w:r>
    </w:p>
    <w:p w14:paraId="7AB88CF2">
      <w:pPr>
        <w:widowControl w:val="0"/>
        <w:spacing w:line="260" w:lineRule="exact"/>
        <w:ind w:firstLine="420" w:firstLineChars="200"/>
        <w:rPr>
          <w:rFonts w:ascii="宋体" w:hAnsi="宋体"/>
          <w:color w:val="000000"/>
          <w:sz w:val="21"/>
          <w:szCs w:val="21"/>
        </w:rPr>
      </w:pPr>
      <w:r>
        <w:rPr>
          <w:rFonts w:hint="eastAsia" w:ascii="宋体" w:hAnsi="宋体" w:cs="宋体"/>
          <w:color w:val="000000"/>
          <w:sz w:val="21"/>
          <w:szCs w:val="21"/>
        </w:rPr>
        <w:t>6</w:t>
      </w:r>
      <w:r>
        <w:rPr>
          <w:rFonts w:hint="eastAsia" w:ascii="宋体" w:hAnsi="宋体" w:eastAsia="宋体" w:cs="宋体"/>
          <w:color w:val="000000"/>
          <w:sz w:val="21"/>
          <w:szCs w:val="21"/>
        </w:rPr>
        <w:t>.我单位参与</w:t>
      </w:r>
      <w:r>
        <w:rPr>
          <w:rFonts w:hint="eastAsia" w:ascii="宋体" w:hAnsi="宋体" w:cs="宋体"/>
          <w:color w:val="000000"/>
          <w:sz w:val="21"/>
          <w:szCs w:val="21"/>
        </w:rPr>
        <w:t>本</w:t>
      </w:r>
      <w:r>
        <w:rPr>
          <w:rFonts w:hint="eastAsia" w:ascii="宋体" w:hAnsi="宋体" w:eastAsia="宋体" w:cs="宋体"/>
          <w:color w:val="000000"/>
          <w:sz w:val="21"/>
          <w:szCs w:val="21"/>
        </w:rPr>
        <w:t>项目投标，严格遵循政府采购相关法律</w:t>
      </w:r>
      <w:r>
        <w:rPr>
          <w:rFonts w:hint="eastAsia" w:ascii="宋体" w:hAnsi="宋体" w:cs="宋体"/>
          <w:color w:val="000000"/>
          <w:sz w:val="21"/>
          <w:szCs w:val="21"/>
        </w:rPr>
        <w:t>和</w:t>
      </w:r>
      <w:r>
        <w:rPr>
          <w:rFonts w:hint="eastAsia" w:ascii="宋体" w:hAnsi="宋体" w:eastAsia="宋体" w:cs="宋体"/>
          <w:color w:val="000000"/>
          <w:sz w:val="21"/>
          <w:szCs w:val="21"/>
        </w:rPr>
        <w:t>公平竞争的原则，</w:t>
      </w:r>
      <w:r>
        <w:rPr>
          <w:rFonts w:hint="eastAsia" w:ascii="宋体" w:hAnsi="宋体" w:cs="宋体"/>
          <w:color w:val="000000"/>
          <w:sz w:val="21"/>
          <w:szCs w:val="21"/>
        </w:rPr>
        <w:t>不造假、不围标、不串标、不陪标，</w:t>
      </w:r>
      <w:r>
        <w:rPr>
          <w:rFonts w:hint="eastAsia" w:ascii="宋体" w:hAnsi="宋体" w:eastAsia="宋体" w:cs="宋体"/>
          <w:color w:val="000000"/>
          <w:sz w:val="21"/>
          <w:szCs w:val="21"/>
        </w:rPr>
        <w:t>不损害采购人或者其他投标人的合法权益。我单位已清楚，如违反上述要求，</w:t>
      </w:r>
      <w:r>
        <w:rPr>
          <w:rFonts w:hint="eastAsia" w:ascii="宋体" w:hAnsi="宋体" w:cs="宋体"/>
          <w:color w:val="000000"/>
          <w:sz w:val="21"/>
          <w:szCs w:val="21"/>
        </w:rPr>
        <w:t>我单位自行承担</w:t>
      </w:r>
      <w:r>
        <w:rPr>
          <w:rFonts w:hint="eastAsia" w:ascii="宋体" w:hAnsi="宋体"/>
          <w:color w:val="000000"/>
          <w:sz w:val="21"/>
          <w:szCs w:val="21"/>
        </w:rPr>
        <w:t>投标被无效处理、被提请政府采购主管部门给予处罚的风险。</w:t>
      </w:r>
    </w:p>
    <w:p w14:paraId="15041B66">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7.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99BD8B7">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AD5DB51">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094B8F6A">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9.我单位承诺中标后项目不转包，未经采购人同意不进行分包。</w:t>
      </w:r>
    </w:p>
    <w:p w14:paraId="32C998F2">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10.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7AFD41AB">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11.我单位保证，若所投货物涉及《财政部生态环境部关于印发节能产品政府采购品目清单的通知》（财库〔2019〕19号）列明的政府采购强制产品，则所投该产品符合节能产品的认证要求。</w:t>
      </w:r>
    </w:p>
    <w:p w14:paraId="60CD4171">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12.我单位保证，不存在“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的情形。</w:t>
      </w:r>
    </w:p>
    <w:p w14:paraId="3D5483DD">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13.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6E5379C4">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14.我单位清楚，如存在违反投标承诺行为情节严重的，将根据《深圳市财政局关于印发&lt;深圳市财政局政府采购供应商信用信息管理办法&gt;的通知》，依法被列入失信信息。</w:t>
      </w:r>
    </w:p>
    <w:p w14:paraId="13735528">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cs="宋体"/>
          <w:color w:val="000000"/>
          <w:sz w:val="21"/>
          <w:szCs w:val="21"/>
        </w:rPr>
        <w:t>15</w:t>
      </w:r>
      <w:r>
        <w:rPr>
          <w:rFonts w:hint="eastAsia" w:ascii="宋体" w:hAnsi="宋体" w:eastAsia="宋体" w:cs="宋体"/>
          <w:color w:val="000000"/>
          <w:sz w:val="21"/>
          <w:szCs w:val="21"/>
        </w:rPr>
        <w:t>.本单位（公司）不存在《深圳市财政局政府采购供应商信用信息管理办法》(深财规〔2023〕3号）列明的严重违法失信行为。</w:t>
      </w:r>
    </w:p>
    <w:p w14:paraId="4A96AA3C">
      <w:pPr>
        <w:widowControl w:val="0"/>
        <w:spacing w:line="26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16.我单位已知悉并同意中标（成交）结果信息公示（公开）的内容。</w:t>
      </w:r>
    </w:p>
    <w:p w14:paraId="110D9D50">
      <w:pPr>
        <w:widowControl w:val="0"/>
        <w:spacing w:line="260" w:lineRule="exact"/>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以上承诺，如有违反，愿依照国家相关法律处理，并承担由此给采购人带来的损失。</w:t>
      </w:r>
    </w:p>
    <w:p w14:paraId="5258AD8D">
      <w:pPr>
        <w:widowControl w:val="0"/>
        <w:spacing w:line="260" w:lineRule="exact"/>
        <w:ind w:firstLine="4202" w:firstLineChars="2000"/>
        <w:rPr>
          <w:b/>
          <w:bCs/>
          <w:color w:val="000000"/>
          <w:sz w:val="21"/>
          <w:szCs w:val="21"/>
        </w:rPr>
      </w:pPr>
    </w:p>
    <w:p w14:paraId="2F06C980">
      <w:pPr>
        <w:widowControl w:val="0"/>
        <w:spacing w:line="260" w:lineRule="exact"/>
        <w:ind w:firstLine="4216" w:firstLineChars="2000"/>
        <w:rPr>
          <w:b/>
          <w:bCs/>
          <w:color w:val="000000"/>
          <w:sz w:val="21"/>
          <w:szCs w:val="21"/>
          <w:u w:val="single"/>
        </w:rPr>
      </w:pPr>
      <w:r>
        <w:rPr>
          <w:rFonts w:hint="eastAsia" w:ascii="宋体" w:hAnsi="宋体" w:eastAsia="宋体" w:cs="宋体"/>
          <w:b/>
          <w:bCs/>
          <w:color w:val="000000"/>
          <w:sz w:val="21"/>
          <w:szCs w:val="21"/>
        </w:rPr>
        <w:t>投</w:t>
      </w:r>
      <w:r>
        <w:rPr>
          <w:rFonts w:hint="eastAsia"/>
          <w:b/>
          <w:bCs/>
          <w:color w:val="000000"/>
          <w:sz w:val="21"/>
          <w:szCs w:val="21"/>
        </w:rPr>
        <w:t>标人：</w:t>
      </w:r>
      <w:r>
        <w:rPr>
          <w:rFonts w:hint="eastAsia"/>
          <w:color w:val="000000"/>
          <w:sz w:val="21"/>
          <w:szCs w:val="21"/>
          <w:u w:val="single"/>
        </w:rPr>
        <w:t xml:space="preserve">                      </w:t>
      </w:r>
    </w:p>
    <w:p w14:paraId="326CEDB8">
      <w:pPr>
        <w:widowControl w:val="0"/>
        <w:spacing w:line="260" w:lineRule="exact"/>
        <w:ind w:firstLine="4202" w:firstLineChars="2000"/>
        <w:rPr>
          <w:b/>
          <w:bCs/>
          <w:sz w:val="21"/>
          <w:szCs w:val="21"/>
        </w:rPr>
      </w:pPr>
      <w:r>
        <w:rPr>
          <w:rFonts w:hint="eastAsia" w:ascii="宋体" w:hAnsi="宋体"/>
          <w:b/>
          <w:bCs/>
          <w:color w:val="000000"/>
          <w:sz w:val="21"/>
          <w:szCs w:val="21"/>
        </w:rPr>
        <w:t>日  期：</w:t>
      </w:r>
      <w:r>
        <w:rPr>
          <w:rFonts w:hint="eastAsia" w:ascii="宋体" w:hAnsi="宋体"/>
          <w:b/>
          <w:bCs/>
          <w:color w:val="000000"/>
          <w:sz w:val="21"/>
          <w:szCs w:val="21"/>
          <w:u w:val="single"/>
        </w:rPr>
        <w:t xml:space="preserve">        </w:t>
      </w:r>
      <w:r>
        <w:rPr>
          <w:rFonts w:hint="eastAsia" w:ascii="宋体" w:hAnsi="宋体"/>
          <w:b/>
          <w:bCs/>
          <w:color w:val="000000"/>
          <w:sz w:val="21"/>
          <w:szCs w:val="21"/>
        </w:rPr>
        <w:t>年</w:t>
      </w:r>
      <w:r>
        <w:rPr>
          <w:rFonts w:hint="eastAsia" w:ascii="宋体" w:hAnsi="宋体"/>
          <w:b/>
          <w:bCs/>
          <w:color w:val="000000"/>
          <w:sz w:val="21"/>
          <w:szCs w:val="21"/>
          <w:u w:val="single"/>
        </w:rPr>
        <w:t xml:space="preserve">    </w:t>
      </w:r>
      <w:r>
        <w:rPr>
          <w:rFonts w:hint="eastAsia" w:ascii="宋体" w:hAnsi="宋体"/>
          <w:b/>
          <w:bCs/>
          <w:color w:val="000000"/>
          <w:sz w:val="21"/>
          <w:szCs w:val="21"/>
        </w:rPr>
        <w:t>月</w:t>
      </w:r>
      <w:r>
        <w:rPr>
          <w:rFonts w:hint="eastAsia" w:ascii="宋体" w:hAnsi="宋体"/>
          <w:b/>
          <w:bCs/>
          <w:color w:val="000000"/>
          <w:sz w:val="21"/>
          <w:szCs w:val="21"/>
          <w:u w:val="single"/>
        </w:rPr>
        <w:t xml:space="preserve">    </w:t>
      </w:r>
      <w:r>
        <w:rPr>
          <w:rFonts w:hint="eastAsia" w:ascii="宋体" w:hAnsi="宋体"/>
          <w:b/>
          <w:bCs/>
          <w:color w:val="000000"/>
          <w:sz w:val="21"/>
          <w:szCs w:val="21"/>
        </w:rPr>
        <w:t>日</w:t>
      </w:r>
    </w:p>
    <w:p w14:paraId="17E88ADB">
      <w:pPr>
        <w:pStyle w:val="5"/>
        <w:spacing w:before="120" w:after="120"/>
        <w:jc w:val="center"/>
        <w:rPr>
          <w:rFonts w:ascii="黑体"/>
          <w:b w:val="0"/>
          <w:sz w:val="24"/>
        </w:rPr>
      </w:pPr>
      <w:r>
        <w:rPr>
          <w:rFonts w:ascii="Times New Roman" w:hAnsi="Times New Roman"/>
          <w:bCs w:val="0"/>
          <w:sz w:val="24"/>
        </w:rPr>
        <w:br w:type="page"/>
      </w:r>
      <w:r>
        <w:rPr>
          <w:rFonts w:hint="eastAsia" w:ascii="黑体"/>
          <w:b w:val="0"/>
          <w:sz w:val="24"/>
        </w:rPr>
        <w:t>三、投标人情况及资格证明文件</w:t>
      </w:r>
    </w:p>
    <w:p w14:paraId="4F23B352">
      <w:pPr>
        <w:outlineLvl w:val="4"/>
        <w:rPr>
          <w:rFonts w:hint="eastAsia" w:ascii="黑体" w:hAnsi="宋体" w:eastAsia="黑体"/>
          <w:bCs/>
          <w:szCs w:val="32"/>
        </w:rPr>
      </w:pPr>
      <w:r>
        <w:rPr>
          <w:rFonts w:hint="eastAsia" w:ascii="黑体" w:hAnsi="宋体" w:eastAsia="黑体"/>
          <w:bCs/>
          <w:szCs w:val="32"/>
        </w:rPr>
        <w:t>（一）投标人资格证明文件</w:t>
      </w:r>
    </w:p>
    <w:p w14:paraId="27A340BC">
      <w:pPr>
        <w:spacing w:before="120" w:beforeLines="50"/>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（特别提示：投标人须按本招标文件第一册第一章招标公告 “申请人的资格要求”（即投标人资格要求）提供相关的资格证明资料，未提供或提供不完整、不符合要求的，将作投标无效处理。）</w:t>
      </w:r>
    </w:p>
    <w:p w14:paraId="3CF72E02">
      <w:pPr>
        <w:ind w:firstLine="480" w:firstLineChars="200"/>
        <w:rPr>
          <w:rFonts w:hint="eastAsia" w:ascii="黑体" w:hAnsi="宋体" w:eastAsia="黑体"/>
          <w:bCs/>
          <w:szCs w:val="32"/>
        </w:rPr>
      </w:pPr>
    </w:p>
    <w:p w14:paraId="71ACE807">
      <w:pPr>
        <w:outlineLvl w:val="4"/>
        <w:rPr>
          <w:rFonts w:hint="eastAsia" w:ascii="黑体" w:hAnsi="宋体" w:eastAsia="黑体"/>
          <w:bCs/>
          <w:szCs w:val="32"/>
        </w:rPr>
      </w:pPr>
      <w:r>
        <w:rPr>
          <w:rFonts w:hint="eastAsia" w:ascii="黑体" w:hAnsi="宋体" w:eastAsia="黑体"/>
          <w:bCs/>
          <w:szCs w:val="32"/>
        </w:rPr>
        <w:t>（二）中小企业声明函、残疾人福利性单位声明函及监狱企业声明函</w:t>
      </w:r>
    </w:p>
    <w:p w14:paraId="114E4490">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填写指引1</w:t>
      </w:r>
      <w:r>
        <w:rPr>
          <w:rFonts w:hint="eastAsia" w:ascii="黑体" w:hAnsi="宋体" w:eastAsia="黑体"/>
          <w:bCs/>
          <w:color w:val="FF0000"/>
          <w:sz w:val="21"/>
          <w:szCs w:val="21"/>
          <w:highlight w:val="yellow"/>
        </w:rPr>
        <w:t>（仅适用于“非专门面向中小企业采购项目”）</w:t>
      </w:r>
      <w:r>
        <w:rPr>
          <w:rFonts w:hint="eastAsia" w:ascii="黑体" w:hAnsi="宋体" w:eastAsia="黑体"/>
          <w:bCs/>
          <w:color w:val="FF0000"/>
          <w:sz w:val="21"/>
          <w:szCs w:val="21"/>
        </w:rPr>
        <w:t>：</w:t>
      </w:r>
    </w:p>
    <w:p w14:paraId="02A91112">
      <w:pPr>
        <w:ind w:firstLine="420" w:firstLineChars="200"/>
        <w:rPr>
          <w:rFonts w:hint="eastAsia" w:ascii="黑体" w:hAnsi="黑体" w:eastAsia="黑体"/>
          <w:color w:val="FF0000"/>
          <w:sz w:val="21"/>
          <w:szCs w:val="21"/>
        </w:rPr>
      </w:pPr>
      <w:r>
        <w:rPr>
          <w:rFonts w:hint="eastAsia" w:ascii="黑体" w:hAnsi="宋体" w:eastAsia="黑体"/>
          <w:bCs/>
          <w:color w:val="FF0000"/>
          <w:sz w:val="21"/>
          <w:szCs w:val="21"/>
        </w:rPr>
        <w:t>1.该部分内容由投标人根据自身实际情况填写，不符合要求的投标人可以不填写或直接删除相应的声明函。</w:t>
      </w:r>
      <w:r>
        <w:rPr>
          <w:rFonts w:hint="eastAsia" w:ascii="黑体" w:hAnsi="黑体" w:eastAsia="黑体"/>
          <w:color w:val="FF0000"/>
          <w:sz w:val="21"/>
          <w:szCs w:val="21"/>
        </w:rPr>
        <w:t>投标人提供的声明函不属实的，属于提供虚假资料谋取中标，依照《中华人民共和国政府采购法》等国家有关规定追究相应责任。</w:t>
      </w:r>
    </w:p>
    <w:p w14:paraId="2B00A154">
      <w:pPr>
        <w:ind w:firstLine="420" w:firstLineChars="200"/>
        <w:rPr>
          <w:rFonts w:hint="eastAsia" w:ascii="黑体" w:hAnsi="黑体" w:eastAsia="黑体"/>
          <w:color w:val="FF0000"/>
          <w:sz w:val="21"/>
          <w:szCs w:val="21"/>
        </w:rPr>
      </w:pPr>
      <w:r>
        <w:rPr>
          <w:rFonts w:hint="eastAsia" w:ascii="黑体" w:hAnsi="黑体" w:eastAsia="黑体"/>
          <w:color w:val="FF0000"/>
          <w:sz w:val="21"/>
          <w:szCs w:val="21"/>
        </w:rPr>
        <w:t>2.该部分内容填写需要参考的相关文件：(</w:t>
      </w:r>
      <w:r>
        <w:rPr>
          <w:rFonts w:ascii="黑体" w:hAnsi="黑体" w:eastAsia="黑体"/>
          <w:color w:val="FF0000"/>
          <w:sz w:val="21"/>
          <w:szCs w:val="21"/>
        </w:rPr>
        <w:t>1</w:t>
      </w:r>
      <w:r>
        <w:rPr>
          <w:rFonts w:hint="eastAsia" w:ascii="黑体" w:hAnsi="黑体" w:eastAsia="黑体"/>
          <w:color w:val="FF0000"/>
          <w:sz w:val="21"/>
          <w:szCs w:val="21"/>
        </w:rPr>
        <w:t>)财政部《政府采购促进中小企业发展管理办法》（财库〔2020〕46号）；(</w:t>
      </w:r>
      <w:r>
        <w:rPr>
          <w:rFonts w:ascii="黑体" w:hAnsi="黑体" w:eastAsia="黑体"/>
          <w:color w:val="FF0000"/>
          <w:sz w:val="21"/>
          <w:szCs w:val="21"/>
        </w:rPr>
        <w:t>2</w:t>
      </w:r>
      <w:r>
        <w:rPr>
          <w:rFonts w:hint="eastAsia" w:ascii="黑体" w:hAnsi="黑体" w:eastAsia="黑体"/>
          <w:color w:val="FF0000"/>
          <w:sz w:val="21"/>
          <w:szCs w:val="21"/>
        </w:rPr>
        <w:t>)《金融业企业划型标准规定》（银发〔2015〕309 号）；（3）《工业和信息化部、国家统计局、国家发展和改革委员会、财政部关于印发中小企业划型标准规定的通知》（工信部联企业〔2011〕300 号，以下简称3</w:t>
      </w:r>
      <w:r>
        <w:rPr>
          <w:rFonts w:ascii="黑体" w:hAnsi="黑体" w:eastAsia="黑体"/>
          <w:color w:val="FF0000"/>
          <w:sz w:val="21"/>
          <w:szCs w:val="21"/>
        </w:rPr>
        <w:t>00</w:t>
      </w:r>
      <w:r>
        <w:rPr>
          <w:rFonts w:hint="eastAsia" w:ascii="黑体" w:hAnsi="黑体" w:eastAsia="黑体"/>
          <w:color w:val="FF0000"/>
          <w:sz w:val="21"/>
          <w:szCs w:val="21"/>
        </w:rPr>
        <w:t>号文）。</w:t>
      </w:r>
    </w:p>
    <w:p w14:paraId="5239D96D">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3.请依照提供的格式和内容填写声明函，不要随意变更格式；声明函不需要盖章或签字；</w:t>
      </w:r>
      <w:r>
        <w:rPr>
          <w:rFonts w:hint="eastAsia" w:ascii="黑体" w:hAnsi="黑体" w:eastAsia="黑体"/>
          <w:color w:val="FF0000"/>
          <w:sz w:val="21"/>
          <w:szCs w:val="21"/>
        </w:rPr>
        <w:t>满足多项优惠政策的投标人，不同时享受多项价格扣除政策。</w:t>
      </w:r>
    </w:p>
    <w:p w14:paraId="10570723">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4.声明函具体填写要求：</w:t>
      </w:r>
    </w:p>
    <w:p w14:paraId="75B989B3">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（1）声明是中小企业须填写《中小企业声明函》(货物)的以下内容：</w:t>
      </w:r>
    </w:p>
    <w:p w14:paraId="69E49CDF">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第一处，在“单位名称”下划线处如实填写采购人名称（中国远东国际招标有限公司不是本项目的采购人，而是组织实施机构）；</w:t>
      </w:r>
    </w:p>
    <w:p w14:paraId="0263192B">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第二处，在“项目名称”下划线处如实填写采购项目名称。</w:t>
      </w:r>
    </w:p>
    <w:p w14:paraId="2EC9274B">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第三处，在“标的名称”下划线处填写所采购货物（标的）的具体名称（以招标文件第一册第三章 用户需求书“货物需求明细”的“货物名称（标的名称）”一栏为准）；如果涉及多项货物（标的）由同一企业制造，“标的名称”下划线处可以如实填写多项货物（标的）。</w:t>
      </w:r>
    </w:p>
    <w:p w14:paraId="75F52337">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第四处，在“采购文件中明确的所属行业”下划线处填写采购标的对应的中小企业划分标准所属行业（所属行业可在“评标信息”查看）；</w:t>
      </w:r>
      <w:r>
        <w:rPr>
          <w:rFonts w:hint="eastAsia" w:ascii="黑体" w:hAnsi="宋体" w:eastAsia="黑体"/>
          <w:bCs/>
          <w:color w:val="4F81BD"/>
          <w:sz w:val="21"/>
          <w:szCs w:val="21"/>
          <w:u w:val="double"/>
        </w:rPr>
        <w:t>《中小企业声明函》中制造商所属行业应当与招标文件要求的行业相一致</w:t>
      </w:r>
      <w:r>
        <w:rPr>
          <w:rFonts w:hint="eastAsia" w:ascii="黑体" w:hAnsi="宋体" w:eastAsia="黑体"/>
          <w:bCs/>
          <w:color w:val="FF0000"/>
          <w:sz w:val="21"/>
          <w:szCs w:val="21"/>
        </w:rPr>
        <w:t>，供应商如有疑问，结合《关于印发中小企业划型标准规定的通知》（工信部联企业〔2011〕300 号）进行判断。</w:t>
      </w:r>
    </w:p>
    <w:p w14:paraId="5854E3F3">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第五处，在“企业名称”下划线处如实填写制造商名称；在“从业人员”、“营业收入”、“资产总额”下划线处如实填写</w:t>
      </w:r>
      <w:r>
        <w:rPr>
          <w:rFonts w:hint="eastAsia" w:ascii="黑体" w:hAnsi="宋体" w:eastAsia="黑体"/>
          <w:bCs/>
          <w:color w:val="4F81BD"/>
          <w:sz w:val="21"/>
          <w:szCs w:val="21"/>
          <w:u w:val="double"/>
        </w:rPr>
        <w:t>制造商的</w:t>
      </w:r>
      <w:r>
        <w:rPr>
          <w:rFonts w:hint="eastAsia" w:ascii="黑体" w:hAnsi="宋体" w:eastAsia="黑体"/>
          <w:bCs/>
          <w:color w:val="FF0000"/>
          <w:sz w:val="21"/>
          <w:szCs w:val="21"/>
        </w:rPr>
        <w:t>从业人员、营业收入、资产总额；在“中型企业、小型企业、微型企业”下划线处如实依照300号文填写相应的企业类型；从业人员、营业收入、资产总额填报上一年度数据，无上一年度数据的新成立企业可以不填报。</w:t>
      </w:r>
    </w:p>
    <w:p w14:paraId="4BB9BB91">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（2）声明是残疾人福利性单位须填写《残疾人福利性单位声明函》（货物类）的相关内容（填写位置的字体已加粗），具体参照上述针对《中小企业声明函》的填写要求进行填写。</w:t>
      </w:r>
    </w:p>
    <w:p w14:paraId="2F5D7ECC">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（3）声明是监狱企业须填写《监狱企业声明函》的相关内容（填写位置的字体已加粗），具体参照上述针对《中小企业声明函》的填写要求进行填写。</w:t>
      </w:r>
    </w:p>
    <w:p w14:paraId="30D618C6">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5.事业单位、社会组织等非企业主体不享受中小企业扶持政策，但事业单位、社会组织等非企业主体提供全部由中小企业制造的货物参加货物采购项目的除外。</w:t>
      </w:r>
    </w:p>
    <w:p w14:paraId="20813468">
      <w:pPr>
        <w:ind w:firstLine="420" w:firstLineChars="200"/>
        <w:rPr>
          <w:rFonts w:hint="eastAsia" w:ascii="黑体" w:hAnsi="宋体" w:eastAsia="黑体"/>
          <w:bCs/>
          <w:color w:val="FF0000"/>
          <w:sz w:val="21"/>
          <w:szCs w:val="21"/>
        </w:rPr>
      </w:pPr>
    </w:p>
    <w:p w14:paraId="17C43068">
      <w:pPr>
        <w:ind w:firstLine="420" w:firstLineChars="200"/>
        <w:rPr>
          <w:rFonts w:hint="eastAsia" w:ascii="黑体" w:hAnsi="宋体" w:eastAsia="黑体"/>
          <w:bCs/>
          <w:color w:val="FF0000"/>
          <w:sz w:val="21"/>
          <w:szCs w:val="21"/>
        </w:rPr>
      </w:pPr>
    </w:p>
    <w:p w14:paraId="5C81C937">
      <w:pPr>
        <w:ind w:firstLine="420" w:firstLineChars="200"/>
        <w:rPr>
          <w:rFonts w:hint="eastAsia" w:ascii="黑体" w:hAnsi="宋体" w:eastAsia="黑体"/>
          <w:bCs/>
          <w:color w:val="4F81BD"/>
          <w:sz w:val="21"/>
          <w:szCs w:val="21"/>
        </w:rPr>
      </w:pPr>
      <w:r>
        <w:rPr>
          <w:rFonts w:hint="eastAsia" w:ascii="黑体" w:hAnsi="宋体" w:eastAsia="黑体"/>
          <w:bCs/>
          <w:color w:val="FF0000"/>
          <w:sz w:val="21"/>
          <w:szCs w:val="21"/>
        </w:rPr>
        <w:t>6.声明函的有效性最终由评审委员会判定；如评审委员会判定声明函无效，相关供应商不享受</w:t>
      </w:r>
      <w:r>
        <w:rPr>
          <w:rFonts w:hint="eastAsia" w:ascii="黑体" w:hAnsi="黑体" w:eastAsia="黑体"/>
          <w:color w:val="FF0000"/>
          <w:sz w:val="21"/>
          <w:szCs w:val="21"/>
        </w:rPr>
        <w:t>价格扣除</w:t>
      </w:r>
      <w:r>
        <w:rPr>
          <w:rFonts w:hint="eastAsia" w:ascii="黑体" w:hAnsi="宋体" w:eastAsia="黑体"/>
          <w:bCs/>
          <w:color w:val="4F81BD"/>
          <w:sz w:val="21"/>
          <w:szCs w:val="21"/>
        </w:rPr>
        <w:t>（但不作投标无效处理）。</w:t>
      </w:r>
    </w:p>
    <w:p w14:paraId="7A112F19">
      <w:pPr>
        <w:pStyle w:val="11"/>
        <w:rPr>
          <w:rFonts w:hint="eastAsia" w:ascii="黑体" w:hAnsi="宋体" w:eastAsia="黑体"/>
          <w:color w:val="4F81BD"/>
          <w:sz w:val="21"/>
          <w:szCs w:val="21"/>
        </w:rPr>
      </w:pPr>
    </w:p>
    <w:p w14:paraId="0048D669">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填写指引2</w:t>
      </w:r>
      <w:r>
        <w:rPr>
          <w:rFonts w:hint="eastAsia" w:ascii="黑体" w:hAnsi="宋体" w:eastAsia="黑体"/>
          <w:bCs/>
          <w:color w:val="FF0000"/>
          <w:sz w:val="21"/>
          <w:szCs w:val="21"/>
          <w:highlight w:val="yellow"/>
        </w:rPr>
        <w:t>（仅适用于“专门面向中小企业采购项目或预留份额专门面向中小企业采购项目”）</w:t>
      </w:r>
      <w:r>
        <w:rPr>
          <w:rFonts w:hint="eastAsia" w:ascii="黑体" w:hAnsi="宋体" w:eastAsia="黑体"/>
          <w:bCs/>
          <w:color w:val="FF0000"/>
          <w:sz w:val="21"/>
          <w:szCs w:val="21"/>
        </w:rPr>
        <w:t>：</w:t>
      </w:r>
    </w:p>
    <w:p w14:paraId="0556253B">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1.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14:paraId="54DF0CEB">
      <w:pPr>
        <w:ind w:firstLine="420" w:firstLineChars="200"/>
        <w:rPr>
          <w:rFonts w:hint="eastAsia" w:ascii="黑体" w:hAnsi="黑体" w:eastAsia="黑体"/>
          <w:color w:val="FF0000"/>
          <w:sz w:val="21"/>
          <w:szCs w:val="21"/>
        </w:rPr>
      </w:pPr>
      <w:r>
        <w:rPr>
          <w:rFonts w:hint="eastAsia" w:ascii="黑体" w:hAnsi="宋体" w:eastAsia="黑体"/>
          <w:bCs/>
          <w:color w:val="FF0000"/>
          <w:sz w:val="21"/>
          <w:szCs w:val="21"/>
        </w:rPr>
        <w:t>2.</w:t>
      </w:r>
      <w:r>
        <w:rPr>
          <w:rFonts w:hint="eastAsia" w:ascii="黑体" w:hAnsi="黑体" w:eastAsia="黑体"/>
          <w:color w:val="FF0000"/>
          <w:sz w:val="21"/>
          <w:szCs w:val="21"/>
        </w:rPr>
        <w:t>该部分内容填写需要参考的相关文件：(</w:t>
      </w:r>
      <w:r>
        <w:rPr>
          <w:rFonts w:ascii="黑体" w:hAnsi="黑体" w:eastAsia="黑体"/>
          <w:color w:val="FF0000"/>
          <w:sz w:val="21"/>
          <w:szCs w:val="21"/>
        </w:rPr>
        <w:t>1</w:t>
      </w:r>
      <w:r>
        <w:rPr>
          <w:rFonts w:hint="eastAsia" w:ascii="黑体" w:hAnsi="黑体" w:eastAsia="黑体"/>
          <w:color w:val="FF0000"/>
          <w:sz w:val="21"/>
          <w:szCs w:val="21"/>
        </w:rPr>
        <w:t>)财政部《政府采购促进中小企业发展管理办法》（财库〔2020〕46号）；(</w:t>
      </w:r>
      <w:r>
        <w:rPr>
          <w:rFonts w:ascii="黑体" w:hAnsi="黑体" w:eastAsia="黑体"/>
          <w:color w:val="FF0000"/>
          <w:sz w:val="21"/>
          <w:szCs w:val="21"/>
        </w:rPr>
        <w:t>2</w:t>
      </w:r>
      <w:r>
        <w:rPr>
          <w:rFonts w:hint="eastAsia" w:ascii="黑体" w:hAnsi="黑体" w:eastAsia="黑体"/>
          <w:color w:val="FF0000"/>
          <w:sz w:val="21"/>
          <w:szCs w:val="21"/>
        </w:rPr>
        <w:t>)《金融业企业划型标准规定》（银发〔2015〕309 号）；（3）《工业和信息化部、国家统计局、国家发展和改革委员会、财政部关于印发中小企业划型标准规定的通知》（工信部联企业〔2011〕300 号，以下简称3</w:t>
      </w:r>
      <w:r>
        <w:rPr>
          <w:rFonts w:ascii="黑体" w:hAnsi="黑体" w:eastAsia="黑体"/>
          <w:color w:val="FF0000"/>
          <w:sz w:val="21"/>
          <w:szCs w:val="21"/>
        </w:rPr>
        <w:t>00</w:t>
      </w:r>
      <w:r>
        <w:rPr>
          <w:rFonts w:hint="eastAsia" w:ascii="黑体" w:hAnsi="黑体" w:eastAsia="黑体"/>
          <w:color w:val="FF0000"/>
          <w:sz w:val="21"/>
          <w:szCs w:val="21"/>
        </w:rPr>
        <w:t>号文）。</w:t>
      </w:r>
    </w:p>
    <w:p w14:paraId="0BFF7C56">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3.请依照提供的格式和内容填写声明函，不要随意变更格式；声明函不需要盖章或签字。</w:t>
      </w:r>
    </w:p>
    <w:p w14:paraId="63519E38">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4.声明函具体填写要求：</w:t>
      </w:r>
    </w:p>
    <w:p w14:paraId="4D2FC646">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（1）声明是中小企业须填写《中小企业声明函》(货物)的以下内容：</w:t>
      </w:r>
    </w:p>
    <w:p w14:paraId="3CD655E7">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一处，在“单位名称”下划线处如实填写采购人名称（中国远东国际招标有限公司不是本项目的采购人，而是组织实施机构）；供应商未填写“采购人名称”或填写的“采购人名称”与招标文件的“采购人名称”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w:t>
      </w:r>
    </w:p>
    <w:p w14:paraId="05AA5D08">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第二处，在“项目名称”下划线处如实填写采购项目名称；供应商未填写“项目名称”或填写的“项目名称”与招标文件的“项目名称”不一致的，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w:t>
      </w:r>
    </w:p>
    <w:p w14:paraId="73BFB4C6">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第三处，在“标的名称”下划线处填写所采购货物（标的）的具体名称（以招标文件第一册第三章 用户需求书“货物需求明细”的“货物名称（标的名称）”一栏为准）；如果涉及多项货物（标的）由同一企业制造，“标的名称”下划线处可以如实填写多项货物（标的）；供应商未填写“标的名称”或填写的“标的名称”与招标文件第一册第三章 用户需求书“货物需求明细”的“货物名称（标的名称）”一栏不一致的，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w:t>
      </w:r>
    </w:p>
    <w:p w14:paraId="1C870AF7">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第四处，在“采购文件中明确的所属行业”下划线处填写采购标的对应的中小企业划分标准所属行业（所属行业可在“评标信息”查看）；</w:t>
      </w:r>
      <w:r>
        <w:rPr>
          <w:rFonts w:hint="eastAsia" w:ascii="黑体" w:hAnsi="宋体" w:eastAsia="黑体"/>
          <w:bCs/>
          <w:color w:val="4F81BD"/>
          <w:sz w:val="21"/>
          <w:szCs w:val="21"/>
          <w:u w:val="double"/>
        </w:rPr>
        <w:t>《中小企业声明函》中制造商所属行业应当与招标文件要求的行业相一致</w:t>
      </w:r>
      <w:r>
        <w:rPr>
          <w:rFonts w:hint="eastAsia" w:ascii="黑体" w:hAnsi="宋体" w:eastAsia="黑体"/>
          <w:bCs/>
          <w:color w:val="FF0000"/>
          <w:sz w:val="21"/>
          <w:szCs w:val="21"/>
        </w:rPr>
        <w:t>，供应商如有疑问，结合《关于印发中小企业划型标准规定的通知》（工信部联企业〔2011〕300 号）进行判断；供应商未填写“所属行业”或填写的“所属行业”与招标文件约定的“所属行业”不一致的，</w:t>
      </w:r>
      <w:r>
        <w:rPr>
          <w:rFonts w:hint="eastAsia" w:ascii="黑体" w:hAnsi="宋体" w:eastAsia="黑体"/>
          <w:bCs/>
          <w:color w:val="4F81BD"/>
          <w:sz w:val="21"/>
          <w:szCs w:val="21"/>
          <w:u w:val="double"/>
        </w:rPr>
        <w:t>将导致投标无效</w:t>
      </w:r>
      <w:r>
        <w:rPr>
          <w:rFonts w:hint="eastAsia" w:ascii="黑体" w:hAnsi="宋体" w:eastAsia="黑体"/>
          <w:bCs/>
          <w:color w:val="FF0000"/>
          <w:sz w:val="21"/>
          <w:szCs w:val="21"/>
        </w:rPr>
        <w:t>；例如，招标文件约定本项目采购标的对应的中小企业划分标准所属行业为“其他未列明的行业”，但供应商在“采购文件中明确的所属行业”下划线处填写为“工业”或“</w:t>
      </w:r>
      <w:r>
        <w:rPr>
          <w:rFonts w:hint="eastAsia" w:ascii="黑体" w:hAnsi="宋体" w:eastAsia="黑体"/>
          <w:bCs/>
          <w:color w:val="FF0000"/>
          <w:sz w:val="21"/>
          <w:szCs w:val="21"/>
          <w:highlight w:val="yellow"/>
        </w:rPr>
        <w:t>采购文件中明确的所属行业</w:t>
      </w:r>
      <w:r>
        <w:rPr>
          <w:rFonts w:hint="eastAsia" w:ascii="黑体" w:hAnsi="宋体" w:eastAsia="黑体"/>
          <w:bCs/>
          <w:color w:val="FF0000"/>
          <w:sz w:val="21"/>
          <w:szCs w:val="21"/>
        </w:rPr>
        <w:t>”，</w:t>
      </w:r>
      <w:r>
        <w:rPr>
          <w:rFonts w:hint="eastAsia" w:ascii="黑体" w:hAnsi="宋体" w:eastAsia="黑体"/>
          <w:bCs/>
          <w:color w:val="4F81BD"/>
          <w:sz w:val="21"/>
          <w:szCs w:val="21"/>
          <w:u w:val="double"/>
        </w:rPr>
        <w:t>做投标无效处理</w:t>
      </w:r>
      <w:r>
        <w:rPr>
          <w:rFonts w:hint="eastAsia" w:ascii="黑体" w:hAnsi="宋体" w:eastAsia="黑体"/>
          <w:bCs/>
          <w:color w:val="FF0000"/>
          <w:sz w:val="21"/>
          <w:szCs w:val="21"/>
        </w:rPr>
        <w:t>。</w:t>
      </w:r>
    </w:p>
    <w:p w14:paraId="03BC631A">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第五处，在“企业名称”下划线处如实填写承接企业名称；在“从业人员”、“营业收入”、“资产总额”下划线处如实填写</w:t>
      </w:r>
      <w:r>
        <w:rPr>
          <w:rFonts w:hint="eastAsia" w:ascii="黑体" w:hAnsi="宋体" w:eastAsia="黑体"/>
          <w:bCs/>
          <w:color w:val="4F81BD"/>
          <w:sz w:val="21"/>
          <w:szCs w:val="21"/>
          <w:u w:val="double"/>
        </w:rPr>
        <w:t>制造商的</w:t>
      </w:r>
      <w:r>
        <w:rPr>
          <w:rFonts w:hint="eastAsia" w:ascii="黑体" w:hAnsi="宋体" w:eastAsia="黑体"/>
          <w:bCs/>
          <w:color w:val="FF0000"/>
          <w:sz w:val="21"/>
          <w:szCs w:val="21"/>
        </w:rPr>
        <w:t>从业人员、营业收入、资产总额；在“中型企业、小型企业、微型企业”下划线处如实依照300号文填写相应的企业类型；企业类型只能填写“中型企业”、“小型企业”或“微型企业”，如投标人企业类型填写为“中小企业、小微企业”或其他表述的，视为未按要求填写，</w:t>
      </w:r>
      <w:r>
        <w:rPr>
          <w:rFonts w:hint="eastAsia" w:ascii="黑体" w:hAnsi="宋体" w:eastAsia="黑体"/>
          <w:bCs/>
          <w:color w:val="4F81BD"/>
          <w:sz w:val="21"/>
          <w:szCs w:val="21"/>
          <w:u w:val="double"/>
        </w:rPr>
        <w:t>做投标无效处理</w:t>
      </w:r>
      <w:r>
        <w:rPr>
          <w:rFonts w:hint="eastAsia" w:ascii="黑体" w:hAnsi="宋体" w:eastAsia="黑体"/>
          <w:bCs/>
          <w:color w:val="FF0000"/>
          <w:sz w:val="21"/>
          <w:szCs w:val="21"/>
        </w:rPr>
        <w:t>。从业人员、营业收入、资产总额填报上一年度数据，无上一年度数据的新成立企业可以不填报；供应商填写的中小微企业类型与实际不一致的，将导致投标无效。例如，供应商本属于中型企业，但供应商在中小企业声明函时填报为小型企业；供应商本属于微型企业，但供应商在中小企业声明函时填报为小型企业；以上两种情形均</w:t>
      </w:r>
      <w:r>
        <w:rPr>
          <w:rFonts w:hint="eastAsia" w:ascii="黑体" w:hAnsi="宋体" w:eastAsia="黑体"/>
          <w:bCs/>
          <w:color w:val="4F81BD"/>
          <w:sz w:val="21"/>
          <w:szCs w:val="21"/>
          <w:u w:val="double"/>
        </w:rPr>
        <w:t>做投标无效处理</w:t>
      </w:r>
      <w:r>
        <w:rPr>
          <w:rFonts w:hint="eastAsia" w:ascii="黑体" w:hAnsi="宋体" w:eastAsia="黑体"/>
          <w:bCs/>
          <w:color w:val="FF0000"/>
          <w:sz w:val="21"/>
          <w:szCs w:val="21"/>
        </w:rPr>
        <w:t>。</w:t>
      </w:r>
    </w:p>
    <w:p w14:paraId="6D3286DA">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（2）声明是残疾人福利性单位须填写《残疾人福利性单位声明函》（货物类）的相关内容（填写位置的字体已加粗），具体参照上述针对《中小企业声明函》的填写要求进行填写。</w:t>
      </w:r>
    </w:p>
    <w:p w14:paraId="466C520E">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（3）声明是监狱企业须填写《监狱企业声明函》的相关内容（填写位置的字体已加粗），具体参照上述针对《中小企业声明函》的填写要求进行填写。</w:t>
      </w:r>
    </w:p>
    <w:p w14:paraId="4494BC7A">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5.事业单位、社会组织等非企业主体不享受中小企业扶持政策，但事业单位、社会组织等非企业主体提供全部由中小企业制造的货物参加货物采购项目的除外。</w:t>
      </w:r>
    </w:p>
    <w:p w14:paraId="190F628C">
      <w:pPr>
        <w:ind w:firstLine="420" w:firstLineChars="200"/>
        <w:rPr>
          <w:rFonts w:hint="eastAsia" w:ascii="黑体" w:hAnsi="宋体" w:eastAsia="黑体"/>
          <w:bCs/>
          <w:color w:val="FF0000"/>
          <w:sz w:val="21"/>
          <w:szCs w:val="21"/>
        </w:rPr>
      </w:pPr>
      <w:r>
        <w:rPr>
          <w:rFonts w:hint="eastAsia" w:ascii="黑体" w:hAnsi="宋体" w:eastAsia="黑体"/>
          <w:bCs/>
          <w:color w:val="FF0000"/>
          <w:sz w:val="21"/>
          <w:szCs w:val="21"/>
        </w:rPr>
        <w:t>6.本项目属于专门面向中小微企业采购，要求提供声明函作为依据，未提供声明函或声明内容不满足要求的，</w:t>
      </w:r>
      <w:r>
        <w:rPr>
          <w:rFonts w:hint="eastAsia" w:ascii="黑体" w:hAnsi="宋体" w:eastAsia="黑体"/>
          <w:bCs/>
          <w:color w:val="4F81BD"/>
          <w:sz w:val="21"/>
          <w:szCs w:val="21"/>
          <w:u w:val="double"/>
        </w:rPr>
        <w:t>做资格审查不通过处理、投标无效处理</w:t>
      </w:r>
      <w:r>
        <w:rPr>
          <w:rFonts w:hint="eastAsia" w:ascii="黑体" w:hAnsi="宋体" w:eastAsia="黑体"/>
          <w:bCs/>
          <w:color w:val="FF0000"/>
          <w:sz w:val="21"/>
          <w:szCs w:val="21"/>
        </w:rPr>
        <w:t>。</w:t>
      </w:r>
    </w:p>
    <w:p w14:paraId="7E44609C">
      <w:pPr>
        <w:ind w:firstLine="420" w:firstLineChars="200"/>
        <w:rPr>
          <w:rFonts w:hint="eastAsia" w:ascii="黑体" w:hAnsi="宋体" w:eastAsia="黑体"/>
          <w:bCs/>
          <w:color w:val="FF0000"/>
          <w:sz w:val="21"/>
          <w:szCs w:val="21"/>
        </w:rPr>
      </w:pPr>
    </w:p>
    <w:p w14:paraId="203B3304">
      <w:pPr>
        <w:pStyle w:val="11"/>
      </w:pPr>
    </w:p>
    <w:p w14:paraId="1A20DB20">
      <w:pPr>
        <w:pStyle w:val="6"/>
        <w:spacing w:before="120" w:beforeLines="50" w:after="120" w:afterLines="50" w:line="320" w:lineRule="auto"/>
        <w:jc w:val="center"/>
        <w:rPr>
          <w:rFonts w:hint="eastAsia" w:ascii="宋体" w:hAnsi="宋体" w:eastAsia="宋体" w:cs="宋体"/>
          <w:kern w:val="2"/>
          <w:szCs w:val="24"/>
        </w:rPr>
      </w:pPr>
      <w:r>
        <w:br w:type="page"/>
      </w:r>
      <w:r>
        <w:rPr>
          <w:rFonts w:hint="eastAsia" w:ascii="宋体" w:hAnsi="宋体" w:eastAsia="宋体" w:cs="宋体"/>
          <w:kern w:val="2"/>
          <w:szCs w:val="24"/>
        </w:rPr>
        <w:t>1.中小企业声明函（货物）</w:t>
      </w:r>
    </w:p>
    <w:p w14:paraId="798316B7">
      <w:pPr>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w:t>
      </w:r>
      <w:r>
        <w:rPr>
          <w:rFonts w:hint="eastAsia" w:ascii="宋体" w:hAnsi="宋体" w:eastAsia="宋体" w:cs="宋体"/>
          <w:b/>
          <w:bCs/>
          <w:sz w:val="21"/>
          <w:szCs w:val="21"/>
          <w:u w:val="single"/>
          <w:lang w:eastAsia="zh-CN"/>
        </w:rPr>
        <w:t>中山大学附属第八医院（深圳福田）</w:t>
      </w:r>
      <w:r>
        <w:rPr>
          <w:rFonts w:hint="eastAsia" w:ascii="宋体" w:hAnsi="宋体" w:eastAsia="宋体" w:cs="宋体"/>
          <w:b/>
          <w:bCs/>
          <w:sz w:val="21"/>
          <w:szCs w:val="21"/>
          <w:u w:val="single"/>
        </w:rPr>
        <w:t xml:space="preserve">） </w:t>
      </w:r>
      <w:r>
        <w:rPr>
          <w:rFonts w:hint="eastAsia" w:ascii="宋体" w:hAnsi="宋体" w:eastAsia="宋体" w:cs="宋体"/>
          <w:sz w:val="21"/>
          <w:szCs w:val="21"/>
        </w:rPr>
        <w:t>的</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w:t>
      </w:r>
      <w:r>
        <w:rPr>
          <w:rFonts w:hint="eastAsia" w:ascii="宋体" w:hAnsi="宋体" w:eastAsia="宋体" w:cs="宋体"/>
          <w:b/>
          <w:bCs/>
          <w:sz w:val="21"/>
          <w:szCs w:val="21"/>
          <w:u w:val="single"/>
          <w:lang w:eastAsia="zh-CN"/>
        </w:rPr>
        <w:t>中山大学附属第八医院（深圳福田）生物实验室项目小动物MR成像系统</w:t>
      </w:r>
      <w:r>
        <w:rPr>
          <w:rFonts w:hint="eastAsia" w:ascii="宋体" w:hAnsi="宋体" w:eastAsia="宋体" w:cs="宋体"/>
          <w:b/>
          <w:bCs/>
          <w:sz w:val="21"/>
          <w:szCs w:val="21"/>
          <w:u w:val="single"/>
        </w:rPr>
        <w:t xml:space="preserve">） </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14:paraId="350B5E3F">
      <w:pPr>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
          <w:bCs/>
          <w:sz w:val="21"/>
          <w:szCs w:val="21"/>
          <w:u w:val="single"/>
        </w:rPr>
        <w:t>（标的名称）</w:t>
      </w:r>
      <w:r>
        <w:rPr>
          <w:rFonts w:hint="eastAsia" w:ascii="宋体" w:hAnsi="宋体" w:eastAsia="宋体" w:cs="宋体"/>
          <w:sz w:val="21"/>
          <w:szCs w:val="21"/>
        </w:rPr>
        <w:t>， 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（采购文件明确的所属行业） </w:t>
      </w:r>
      <w:r>
        <w:rPr>
          <w:rFonts w:hint="eastAsia" w:ascii="宋体" w:hAnsi="宋体" w:eastAsia="宋体" w:cs="宋体"/>
          <w:sz w:val="21"/>
          <w:szCs w:val="21"/>
        </w:rPr>
        <w:t>；制造商为</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（企业名称） </w:t>
      </w:r>
      <w:r>
        <w:rPr>
          <w:rFonts w:hint="eastAsia" w:ascii="宋体" w:hAnsi="宋体" w:eastAsia="宋体" w:cs="宋体"/>
          <w:sz w:val="21"/>
          <w:szCs w:val="21"/>
        </w:rPr>
        <w:t>，从业人员</w:t>
      </w:r>
      <w:r>
        <w:rPr>
          <w:rFonts w:hint="eastAsia" w:ascii="宋体" w:hAnsi="宋体" w:eastAsia="宋体" w:cs="宋体"/>
          <w:sz w:val="21"/>
          <w:szCs w:val="21"/>
          <w:u w:val="single"/>
        </w:rPr>
        <w:tab/>
      </w:r>
      <w:r>
        <w:rPr>
          <w:rFonts w:hint="eastAsia" w:ascii="宋体" w:hAnsi="宋体" w:eastAsia="宋体" w:cs="宋体"/>
          <w:sz w:val="21"/>
          <w:szCs w:val="21"/>
        </w:rPr>
        <w:t>人，营业收入为</w:t>
      </w:r>
      <w:r>
        <w:rPr>
          <w:rFonts w:hint="eastAsia" w:ascii="宋体" w:hAnsi="宋体" w:eastAsia="宋体" w:cs="宋体"/>
          <w:sz w:val="21"/>
          <w:szCs w:val="21"/>
          <w:u w:val="single"/>
        </w:rPr>
        <w:tab/>
      </w:r>
      <w:r>
        <w:rPr>
          <w:rFonts w:hint="eastAsia" w:ascii="宋体" w:hAnsi="宋体" w:eastAsia="宋体" w:cs="宋体"/>
          <w:sz w:val="21"/>
          <w:szCs w:val="21"/>
        </w:rPr>
        <w:t>万元，资产总额为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（中型企业、小型企业、微型企业）</w:t>
      </w:r>
      <w:r>
        <w:rPr>
          <w:rFonts w:hint="eastAsia" w:ascii="宋体" w:hAnsi="宋体" w:eastAsia="宋体" w:cs="宋体"/>
          <w:sz w:val="21"/>
          <w:szCs w:val="21"/>
        </w:rPr>
        <w:t>；</w:t>
      </w:r>
    </w:p>
    <w:p w14:paraId="102B62CB">
      <w:pPr>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b/>
          <w:bCs/>
          <w:sz w:val="21"/>
          <w:szCs w:val="21"/>
          <w:u w:val="single"/>
        </w:rPr>
        <w:t>（标的名称）</w:t>
      </w:r>
      <w:r>
        <w:rPr>
          <w:rFonts w:hint="eastAsia" w:ascii="宋体" w:hAnsi="宋体" w:eastAsia="宋体" w:cs="宋体"/>
          <w:sz w:val="21"/>
          <w:szCs w:val="21"/>
        </w:rPr>
        <w:t>， 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（采购文件明确的所属行业） </w:t>
      </w:r>
      <w:r>
        <w:rPr>
          <w:rFonts w:hint="eastAsia" w:ascii="宋体" w:hAnsi="宋体" w:eastAsia="宋体" w:cs="宋体"/>
          <w:sz w:val="21"/>
          <w:szCs w:val="21"/>
        </w:rPr>
        <w:t>；制造商为</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 xml:space="preserve">（企业名称） </w:t>
      </w:r>
      <w:r>
        <w:rPr>
          <w:rFonts w:hint="eastAsia" w:ascii="宋体" w:hAnsi="宋体" w:eastAsia="宋体" w:cs="宋体"/>
          <w:sz w:val="21"/>
          <w:szCs w:val="21"/>
        </w:rPr>
        <w:t>，从业人员</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w:t>
      </w:r>
      <w:r>
        <w:rPr>
          <w:rFonts w:hint="eastAsia" w:ascii="宋体" w:hAnsi="宋体" w:eastAsia="宋体" w:cs="宋体"/>
          <w:b/>
          <w:bCs/>
          <w:sz w:val="21"/>
          <w:szCs w:val="21"/>
          <w:u w:val="single"/>
        </w:rPr>
        <w:t>（中型企业、小型企业、微型企业）</w:t>
      </w:r>
      <w:r>
        <w:rPr>
          <w:rFonts w:hint="eastAsia" w:ascii="宋体" w:hAnsi="宋体" w:eastAsia="宋体" w:cs="宋体"/>
          <w:sz w:val="21"/>
          <w:szCs w:val="21"/>
        </w:rPr>
        <w:t>；</w:t>
      </w:r>
    </w:p>
    <w:p w14:paraId="6B79B94B">
      <w:pPr>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w:t>
      </w:r>
    </w:p>
    <w:p w14:paraId="37C67140">
      <w:pPr>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52F37998">
      <w:pPr>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618C91C9">
      <w:pPr>
        <w:spacing w:line="360" w:lineRule="auto"/>
        <w:ind w:right="2400" w:rightChars="1000" w:firstLine="420" w:firstLineChars="200"/>
        <w:jc w:val="right"/>
        <w:textAlignment w:val="baseline"/>
        <w:rPr>
          <w:rFonts w:hint="eastAsia" w:ascii="宋体" w:hAnsi="宋体" w:eastAsia="宋体" w:cs="宋体"/>
          <w:color w:val="000000"/>
          <w:sz w:val="21"/>
          <w:szCs w:val="21"/>
        </w:rPr>
      </w:pPr>
    </w:p>
    <w:p w14:paraId="68C1B67E">
      <w:pPr>
        <w:spacing w:line="360" w:lineRule="auto"/>
        <w:ind w:right="2400" w:rightChars="1000" w:firstLine="422" w:firstLineChars="200"/>
        <w:jc w:val="right"/>
        <w:textAlignment w:val="baseline"/>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企业名称：</w:t>
      </w:r>
    </w:p>
    <w:p w14:paraId="6A82DDE2">
      <w:pPr>
        <w:spacing w:line="360" w:lineRule="auto"/>
        <w:ind w:right="2400" w:rightChars="1000" w:firstLine="422" w:firstLineChars="200"/>
        <w:jc w:val="right"/>
        <w:textAlignment w:val="baseline"/>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日期：</w:t>
      </w:r>
    </w:p>
    <w:p w14:paraId="39870656">
      <w:pPr>
        <w:spacing w:before="120" w:beforeLines="50" w:after="120" w:afterLines="50" w:line="360" w:lineRule="auto"/>
        <w:jc w:val="center"/>
        <w:outlineLvl w:val="5"/>
        <w:rPr>
          <w:rFonts w:hint="eastAsia" w:ascii="宋体" w:hAnsi="宋体" w:eastAsia="宋体" w:cs="宋体"/>
          <w:b/>
          <w:kern w:val="2"/>
        </w:rPr>
      </w:pPr>
      <w:r>
        <w:rPr>
          <w:rFonts w:hint="eastAsia" w:ascii="宋体" w:hAnsi="宋体" w:eastAsia="宋体" w:cs="宋体"/>
          <w:b/>
          <w:kern w:val="2"/>
        </w:rPr>
        <w:t>2.残疾人福利性单位声明函（货物类）</w:t>
      </w:r>
    </w:p>
    <w:p w14:paraId="0C0AE5EA">
      <w:pPr>
        <w:rPr>
          <w:b/>
          <w:bCs/>
        </w:rPr>
      </w:pPr>
    </w:p>
    <w:p w14:paraId="1922FF3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本投标人郑重声明，根据《财政部民政部中国残疾人联合会关于促进残疾人就业政府采购政策的通知》（财库〔2017〕141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b/>
          <w:bCs/>
          <w:sz w:val="21"/>
          <w:szCs w:val="21"/>
          <w:u w:val="single"/>
        </w:rPr>
        <w:t>（单位名称）</w:t>
      </w:r>
      <w:r>
        <w:rPr>
          <w:rFonts w:hint="eastAsia" w:ascii="宋体" w:hAnsi="宋体" w:eastAsia="宋体" w:cs="宋体"/>
          <w:sz w:val="21"/>
          <w:szCs w:val="21"/>
          <w:u w:val="single"/>
        </w:rPr>
        <w:t>单位</w:t>
      </w:r>
      <w:r>
        <w:rPr>
          <w:rFonts w:hint="eastAsia" w:ascii="宋体" w:hAnsi="宋体" w:eastAsia="宋体" w:cs="宋体"/>
          <w:sz w:val="21"/>
          <w:szCs w:val="21"/>
        </w:rPr>
        <w:t>的</w:t>
      </w:r>
      <w:r>
        <w:rPr>
          <w:rFonts w:hint="eastAsia" w:ascii="宋体" w:hAnsi="宋体" w:eastAsia="宋体" w:cs="宋体"/>
          <w:b/>
          <w:bCs/>
          <w:sz w:val="21"/>
          <w:szCs w:val="21"/>
          <w:u w:val="single"/>
        </w:rPr>
        <w:t>（项目名称）</w:t>
      </w:r>
      <w:r>
        <w:rPr>
          <w:rFonts w:hint="eastAsia" w:ascii="宋体" w:hAnsi="宋体" w:eastAsia="宋体" w:cs="宋体"/>
          <w:sz w:val="21"/>
          <w:szCs w:val="21"/>
          <w:u w:val="single"/>
        </w:rPr>
        <w:t>项目</w:t>
      </w:r>
      <w:r>
        <w:rPr>
          <w:rFonts w:hint="eastAsia" w:ascii="宋体" w:hAnsi="宋体" w:eastAsia="宋体" w:cs="宋体"/>
          <w:sz w:val="21"/>
          <w:szCs w:val="21"/>
        </w:rPr>
        <w:t>采购活动提供本单位制造的货物，或者提供其他残疾人福利性单位制造的货物（不包括使用非残疾人福利性单位注册商标的货物）。</w:t>
      </w:r>
    </w:p>
    <w:p w14:paraId="6EA616E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74C99D04">
      <w:pPr>
        <w:ind w:firstLine="480" w:firstLineChars="200"/>
        <w:rPr>
          <w:rFonts w:ascii="宋体" w:hAnsi="宋体"/>
          <w:szCs w:val="21"/>
        </w:rPr>
      </w:pPr>
    </w:p>
    <w:p w14:paraId="7599A174">
      <w:pPr>
        <w:ind w:firstLine="480" w:firstLineChars="200"/>
        <w:rPr>
          <w:rFonts w:ascii="宋体" w:hAnsi="宋体"/>
          <w:szCs w:val="21"/>
        </w:rPr>
      </w:pPr>
    </w:p>
    <w:p w14:paraId="21D3DAD9">
      <w:pPr>
        <w:spacing w:line="360" w:lineRule="auto"/>
        <w:ind w:right="2400" w:rightChars="1000" w:firstLine="422" w:firstLineChars="200"/>
        <w:jc w:val="right"/>
        <w:textAlignment w:val="baseline"/>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企业名称：</w:t>
      </w:r>
    </w:p>
    <w:p w14:paraId="577F8C79">
      <w:pPr>
        <w:spacing w:line="360" w:lineRule="auto"/>
        <w:ind w:right="2400" w:rightChars="1000" w:firstLine="422" w:firstLineChars="200"/>
        <w:jc w:val="right"/>
        <w:textAlignment w:val="baseline"/>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日期：</w:t>
      </w:r>
    </w:p>
    <w:p w14:paraId="533CEF66">
      <w:pPr>
        <w:spacing w:before="120" w:beforeLines="50" w:after="120" w:afterLines="50" w:line="360" w:lineRule="auto"/>
        <w:jc w:val="center"/>
        <w:outlineLvl w:val="5"/>
        <w:rPr>
          <w:rFonts w:hint="eastAsia" w:ascii="宋体" w:hAnsi="宋体" w:eastAsia="宋体" w:cs="宋体"/>
          <w:b/>
          <w:kern w:val="2"/>
        </w:rPr>
      </w:pPr>
      <w:r>
        <w:rPr>
          <w:rFonts w:hint="eastAsia" w:ascii="宋体" w:hAnsi="宋体" w:eastAsia="宋体" w:cs="宋体"/>
          <w:b/>
          <w:kern w:val="2"/>
        </w:rPr>
        <w:br w:type="page"/>
      </w:r>
      <w:r>
        <w:rPr>
          <w:rFonts w:hint="eastAsia" w:ascii="宋体" w:hAnsi="宋体" w:eastAsia="宋体" w:cs="宋体"/>
          <w:b/>
          <w:kern w:val="2"/>
        </w:rPr>
        <w:t>3.监狱企业声明函【货物类，监狱企业如需享受优惠政策，还须另行提供省级以上监狱管理局、戒毒管理局（含新疆生产建设兵团）出具的监狱企业证明文件】</w:t>
      </w:r>
    </w:p>
    <w:p w14:paraId="63B8F60B">
      <w:pPr>
        <w:spacing w:line="360" w:lineRule="auto"/>
        <w:ind w:firstLine="420" w:firstLineChars="200"/>
        <w:rPr>
          <w:rFonts w:ascii="宋体" w:hAnsi="宋体"/>
          <w:sz w:val="21"/>
          <w:szCs w:val="21"/>
        </w:rPr>
      </w:pPr>
    </w:p>
    <w:p w14:paraId="49C3E39B">
      <w:pPr>
        <w:spacing w:line="360" w:lineRule="auto"/>
        <w:ind w:firstLine="420" w:firstLineChars="200"/>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sz w:val="21"/>
          <w:szCs w:val="21"/>
        </w:rPr>
        <w:t>参加</w:t>
      </w:r>
      <w:r>
        <w:rPr>
          <w:rFonts w:ascii="宋体" w:hAnsi="宋体"/>
          <w:b/>
          <w:bCs/>
          <w:sz w:val="21"/>
          <w:szCs w:val="21"/>
          <w:u w:val="single"/>
        </w:rPr>
        <w:t>（</w:t>
      </w:r>
      <w:r>
        <w:rPr>
          <w:rFonts w:hint="eastAsia" w:ascii="宋体" w:hAnsi="宋体"/>
          <w:b/>
          <w:bCs/>
          <w:sz w:val="21"/>
          <w:szCs w:val="21"/>
          <w:u w:val="single"/>
        </w:rPr>
        <w:t>单位名称</w:t>
      </w:r>
      <w:r>
        <w:rPr>
          <w:rFonts w:ascii="宋体" w:hAnsi="宋体"/>
          <w:b/>
          <w:bCs/>
          <w:sz w:val="21"/>
          <w:szCs w:val="21"/>
          <w:u w:val="single"/>
        </w:rPr>
        <w:t>）</w:t>
      </w:r>
      <w:r>
        <w:rPr>
          <w:rFonts w:ascii="宋体" w:hAnsi="宋体"/>
          <w:sz w:val="21"/>
          <w:szCs w:val="21"/>
        </w:rPr>
        <w:t>的</w:t>
      </w:r>
      <w:r>
        <w:rPr>
          <w:rFonts w:ascii="宋体" w:hAnsi="宋体"/>
          <w:b/>
          <w:bCs/>
          <w:sz w:val="21"/>
          <w:szCs w:val="21"/>
          <w:u w:val="single"/>
        </w:rPr>
        <w:t>（项目名称）</w:t>
      </w:r>
      <w:r>
        <w:rPr>
          <w:rFonts w:ascii="宋体" w:hAnsi="宋体"/>
          <w:sz w:val="21"/>
          <w:szCs w:val="21"/>
        </w:rPr>
        <w:t>采购活动，</w:t>
      </w:r>
      <w:r>
        <w:rPr>
          <w:rFonts w:hint="eastAsia" w:ascii="宋体" w:hAnsi="宋体"/>
          <w:sz w:val="21"/>
          <w:szCs w:val="21"/>
        </w:rPr>
        <w:t>本投标人提供的货物全部由符合政策要求的监狱企业</w:t>
      </w:r>
      <w:r>
        <w:rPr>
          <w:rFonts w:hint="eastAsia" w:ascii="宋体" w:hAnsi="宋体" w:eastAsia="宋体"/>
          <w:sz w:val="21"/>
          <w:szCs w:val="21"/>
        </w:rPr>
        <w:t>制造</w:t>
      </w:r>
      <w:r>
        <w:rPr>
          <w:rFonts w:hint="eastAsia" w:ascii="宋体" w:hAnsi="宋体"/>
          <w:sz w:val="21"/>
          <w:szCs w:val="21"/>
        </w:rPr>
        <w:t>。相关监狱企业的具体情况如下：</w:t>
      </w:r>
    </w:p>
    <w:p w14:paraId="7AFF8274">
      <w:pPr>
        <w:spacing w:line="360" w:lineRule="auto"/>
        <w:ind w:firstLine="420" w:firstLineChars="200"/>
        <w:rPr>
          <w:rFonts w:ascii="宋体" w:hAnsi="宋体"/>
          <w:sz w:val="21"/>
          <w:szCs w:val="21"/>
        </w:rPr>
      </w:pPr>
      <w:r>
        <w:rPr>
          <w:rFonts w:ascii="宋体" w:hAnsi="宋体"/>
          <w:sz w:val="21"/>
          <w:szCs w:val="21"/>
        </w:rPr>
        <w:t>1.</w:t>
      </w:r>
      <w:r>
        <w:rPr>
          <w:rFonts w:ascii="宋体" w:hAnsi="宋体"/>
          <w:b/>
          <w:bCs/>
          <w:sz w:val="21"/>
          <w:szCs w:val="21"/>
          <w:u w:val="single"/>
        </w:rPr>
        <w:t xml:space="preserve"> （标的名称）</w:t>
      </w:r>
      <w:r>
        <w:rPr>
          <w:rFonts w:ascii="宋体" w:hAnsi="宋体"/>
          <w:sz w:val="21"/>
          <w:szCs w:val="21"/>
        </w:rPr>
        <w:t xml:space="preserve"> </w:t>
      </w:r>
      <w:r>
        <w:rPr>
          <w:rFonts w:hint="eastAsia" w:ascii="宋体" w:hAnsi="宋体"/>
          <w:sz w:val="21"/>
          <w:szCs w:val="21"/>
        </w:rPr>
        <w:t>，</w:t>
      </w:r>
      <w:r>
        <w:rPr>
          <w:rFonts w:hint="eastAsia" w:ascii="宋体" w:hAnsi="宋体" w:eastAsia="宋体"/>
          <w:sz w:val="21"/>
          <w:szCs w:val="21"/>
        </w:rPr>
        <w:t>制造商</w:t>
      </w:r>
      <w:r>
        <w:rPr>
          <w:rFonts w:ascii="宋体" w:hAnsi="宋体"/>
          <w:sz w:val="21"/>
          <w:szCs w:val="21"/>
        </w:rPr>
        <w:t>为</w:t>
      </w:r>
      <w:r>
        <w:rPr>
          <w:rFonts w:ascii="宋体" w:hAnsi="宋体"/>
          <w:b/>
          <w:bCs/>
          <w:sz w:val="21"/>
          <w:szCs w:val="21"/>
          <w:u w:val="single"/>
        </w:rPr>
        <w:t>（</w:t>
      </w:r>
      <w:r>
        <w:rPr>
          <w:rFonts w:hint="eastAsia" w:ascii="宋体" w:hAnsi="宋体"/>
          <w:b/>
          <w:bCs/>
          <w:sz w:val="21"/>
          <w:szCs w:val="21"/>
          <w:u w:val="single"/>
        </w:rPr>
        <w:t>企业</w:t>
      </w:r>
      <w:r>
        <w:rPr>
          <w:rFonts w:ascii="宋体" w:hAnsi="宋体"/>
          <w:b/>
          <w:bCs/>
          <w:sz w:val="21"/>
          <w:szCs w:val="21"/>
          <w:u w:val="single"/>
        </w:rPr>
        <w:t>名称）</w:t>
      </w:r>
      <w:r>
        <w:rPr>
          <w:rFonts w:ascii="宋体" w:hAnsi="宋体"/>
          <w:sz w:val="21"/>
          <w:szCs w:val="21"/>
        </w:rPr>
        <w:t>，属于</w:t>
      </w:r>
      <w:r>
        <w:rPr>
          <w:rFonts w:hint="eastAsia" w:ascii="宋体" w:hAnsi="宋体"/>
          <w:b/>
          <w:bCs/>
          <w:sz w:val="21"/>
          <w:szCs w:val="21"/>
          <w:u w:val="single"/>
        </w:rPr>
        <w:t>监狱企业</w:t>
      </w:r>
      <w:r>
        <w:rPr>
          <w:rFonts w:ascii="宋体" w:hAnsi="宋体"/>
          <w:sz w:val="21"/>
          <w:szCs w:val="21"/>
        </w:rPr>
        <w:t>；</w:t>
      </w:r>
    </w:p>
    <w:p w14:paraId="373C917B">
      <w:pPr>
        <w:spacing w:line="360" w:lineRule="auto"/>
        <w:ind w:firstLine="420" w:firstLineChars="200"/>
        <w:rPr>
          <w:rFonts w:ascii="宋体" w:hAnsi="宋体"/>
          <w:sz w:val="21"/>
          <w:szCs w:val="21"/>
        </w:rPr>
      </w:pPr>
      <w:r>
        <w:rPr>
          <w:rFonts w:ascii="宋体" w:hAnsi="宋体"/>
          <w:sz w:val="21"/>
          <w:szCs w:val="21"/>
        </w:rPr>
        <w:t>2.</w:t>
      </w:r>
      <w:r>
        <w:rPr>
          <w:rFonts w:ascii="宋体" w:hAnsi="宋体"/>
          <w:b/>
          <w:bCs/>
          <w:sz w:val="21"/>
          <w:szCs w:val="21"/>
          <w:u w:val="single"/>
        </w:rPr>
        <w:t xml:space="preserve"> （标的名称）</w:t>
      </w:r>
      <w:r>
        <w:rPr>
          <w:rFonts w:ascii="宋体" w:hAnsi="宋体"/>
          <w:sz w:val="21"/>
          <w:szCs w:val="21"/>
        </w:rPr>
        <w:t xml:space="preserve"> </w:t>
      </w:r>
      <w:r>
        <w:rPr>
          <w:rFonts w:hint="eastAsia" w:ascii="宋体" w:hAnsi="宋体"/>
          <w:sz w:val="21"/>
          <w:szCs w:val="21"/>
        </w:rPr>
        <w:t>，</w:t>
      </w:r>
      <w:r>
        <w:rPr>
          <w:rFonts w:hint="eastAsia" w:ascii="宋体" w:hAnsi="宋体" w:eastAsia="宋体"/>
          <w:sz w:val="21"/>
          <w:szCs w:val="21"/>
        </w:rPr>
        <w:t>制造商</w:t>
      </w:r>
      <w:r>
        <w:rPr>
          <w:rFonts w:ascii="宋体" w:hAnsi="宋体"/>
          <w:sz w:val="21"/>
          <w:szCs w:val="21"/>
        </w:rPr>
        <w:t>为</w:t>
      </w:r>
      <w:r>
        <w:rPr>
          <w:rFonts w:ascii="宋体" w:hAnsi="宋体"/>
          <w:b/>
          <w:bCs/>
          <w:sz w:val="21"/>
          <w:szCs w:val="21"/>
          <w:u w:val="single"/>
        </w:rPr>
        <w:t>（</w:t>
      </w:r>
      <w:r>
        <w:rPr>
          <w:rFonts w:hint="eastAsia" w:ascii="宋体" w:hAnsi="宋体"/>
          <w:b/>
          <w:bCs/>
          <w:sz w:val="21"/>
          <w:szCs w:val="21"/>
          <w:u w:val="single"/>
        </w:rPr>
        <w:t>企业</w:t>
      </w:r>
      <w:r>
        <w:rPr>
          <w:rFonts w:ascii="宋体" w:hAnsi="宋体"/>
          <w:b/>
          <w:bCs/>
          <w:sz w:val="21"/>
          <w:szCs w:val="21"/>
          <w:u w:val="single"/>
        </w:rPr>
        <w:t>名称）</w:t>
      </w:r>
      <w:r>
        <w:rPr>
          <w:rFonts w:ascii="宋体" w:hAnsi="宋体"/>
          <w:sz w:val="21"/>
          <w:szCs w:val="21"/>
        </w:rPr>
        <w:t>，属于</w:t>
      </w:r>
      <w:r>
        <w:rPr>
          <w:rFonts w:hint="eastAsia" w:ascii="宋体" w:hAnsi="宋体"/>
          <w:b/>
          <w:bCs/>
          <w:sz w:val="21"/>
          <w:szCs w:val="21"/>
          <w:u w:val="single"/>
        </w:rPr>
        <w:t>监狱企业</w:t>
      </w:r>
      <w:r>
        <w:rPr>
          <w:rFonts w:hint="eastAsia" w:ascii="宋体" w:hAnsi="宋体"/>
          <w:sz w:val="21"/>
          <w:szCs w:val="21"/>
        </w:rPr>
        <w:t>。</w:t>
      </w:r>
    </w:p>
    <w:p w14:paraId="29A5E08B">
      <w:pPr>
        <w:spacing w:line="360" w:lineRule="auto"/>
        <w:ind w:firstLine="420" w:firstLineChars="200"/>
        <w:rPr>
          <w:rFonts w:ascii="宋体" w:hAnsi="宋体"/>
          <w:sz w:val="21"/>
          <w:szCs w:val="21"/>
        </w:rPr>
      </w:pPr>
      <w:r>
        <w:rPr>
          <w:rFonts w:ascii="宋体" w:hAnsi="宋体"/>
          <w:sz w:val="21"/>
          <w:szCs w:val="21"/>
        </w:rPr>
        <w:t xml:space="preserve">…… </w:t>
      </w:r>
    </w:p>
    <w:p w14:paraId="5BA40B90">
      <w:pPr>
        <w:spacing w:line="360" w:lineRule="auto"/>
        <w:ind w:firstLine="420" w:firstLineChars="200"/>
        <w:rPr>
          <w:rFonts w:ascii="宋体" w:hAnsi="宋体"/>
          <w:sz w:val="21"/>
          <w:szCs w:val="21"/>
        </w:rPr>
      </w:pPr>
      <w:r>
        <w:rPr>
          <w:rFonts w:ascii="宋体" w:hAnsi="宋体"/>
          <w:sz w:val="21"/>
          <w:szCs w:val="21"/>
        </w:rPr>
        <w:t>本</w:t>
      </w:r>
      <w:r>
        <w:rPr>
          <w:rFonts w:hint="eastAsia" w:ascii="宋体" w:hAnsi="宋体"/>
          <w:sz w:val="21"/>
          <w:szCs w:val="21"/>
        </w:rPr>
        <w:t>投标人</w:t>
      </w:r>
      <w:r>
        <w:rPr>
          <w:rFonts w:ascii="宋体" w:hAnsi="宋体"/>
          <w:sz w:val="21"/>
          <w:szCs w:val="21"/>
        </w:rPr>
        <w:t>对上述声明内容的真实性负责。如有虚假，将依法承担相应责任。</w:t>
      </w:r>
    </w:p>
    <w:p w14:paraId="3F5C6FB3">
      <w:pPr>
        <w:spacing w:line="360" w:lineRule="auto"/>
        <w:ind w:firstLine="420" w:firstLineChars="200"/>
        <w:rPr>
          <w:rFonts w:ascii="宋体" w:hAnsi="宋体"/>
          <w:sz w:val="21"/>
          <w:szCs w:val="21"/>
        </w:rPr>
      </w:pPr>
      <w:r>
        <w:rPr>
          <w:rFonts w:hint="eastAsia" w:ascii="宋体" w:hAnsi="宋体"/>
          <w:sz w:val="21"/>
          <w:szCs w:val="21"/>
        </w:rPr>
        <w:t>附：省级以上监狱管理局、戒毒管理局（含新疆生产建设兵团）出具的监狱企业证明文件。</w:t>
      </w:r>
    </w:p>
    <w:p w14:paraId="5835FE71">
      <w:pPr>
        <w:spacing w:line="360" w:lineRule="auto"/>
        <w:ind w:firstLine="420" w:firstLineChars="200"/>
        <w:rPr>
          <w:rFonts w:ascii="宋体" w:hAnsi="宋体"/>
          <w:sz w:val="21"/>
          <w:szCs w:val="21"/>
        </w:rPr>
      </w:pPr>
    </w:p>
    <w:p w14:paraId="2A6F1BC7">
      <w:pPr>
        <w:wordWrap w:val="0"/>
        <w:spacing w:line="360" w:lineRule="auto"/>
        <w:ind w:firstLine="420" w:firstLineChars="200"/>
        <w:jc w:val="right"/>
        <w:rPr>
          <w:rFonts w:ascii="宋体" w:hAnsi="宋体"/>
          <w:b/>
          <w:bCs/>
          <w:sz w:val="21"/>
          <w:szCs w:val="21"/>
        </w:rPr>
      </w:pPr>
      <w:r>
        <w:rPr>
          <w:rFonts w:hint="eastAsia" w:ascii="宋体" w:hAnsi="宋体"/>
          <w:b/>
          <w:bCs/>
          <w:sz w:val="21"/>
          <w:szCs w:val="21"/>
        </w:rPr>
        <w:t xml:space="preserve">企业名称：            </w:t>
      </w:r>
    </w:p>
    <w:p w14:paraId="03897C43">
      <w:pPr>
        <w:wordWrap w:val="0"/>
        <w:spacing w:line="360" w:lineRule="auto"/>
        <w:ind w:firstLine="420" w:firstLineChars="200"/>
        <w:jc w:val="right"/>
        <w:rPr>
          <w:rFonts w:ascii="宋体" w:hAnsi="宋体"/>
          <w:szCs w:val="21"/>
        </w:rPr>
      </w:pPr>
      <w:r>
        <w:rPr>
          <w:rFonts w:hint="eastAsia" w:ascii="宋体" w:hAnsi="宋体"/>
          <w:b/>
          <w:bCs/>
          <w:sz w:val="21"/>
          <w:szCs w:val="21"/>
        </w:rPr>
        <w:t xml:space="preserve">日  期：    </w:t>
      </w:r>
      <w:r>
        <w:rPr>
          <w:rFonts w:hint="eastAsia" w:ascii="宋体" w:hAnsi="宋体"/>
          <w:sz w:val="21"/>
          <w:szCs w:val="21"/>
        </w:rPr>
        <w:t xml:space="preserve">      </w:t>
      </w:r>
      <w:r>
        <w:rPr>
          <w:rFonts w:hint="eastAsia" w:ascii="宋体" w:hAnsi="宋体"/>
          <w:szCs w:val="21"/>
        </w:rPr>
        <w:t xml:space="preserve">  </w:t>
      </w:r>
    </w:p>
    <w:p w14:paraId="4C70B715">
      <w:pPr>
        <w:jc w:val="center"/>
        <w:rPr>
          <w:rFonts w:hint="eastAsia" w:ascii="黑体" w:hAnsi="宋体" w:eastAsia="黑体"/>
          <w:bCs/>
          <w:szCs w:val="32"/>
        </w:rPr>
      </w:pPr>
    </w:p>
    <w:p w14:paraId="1B2C88EF">
      <w:pPr>
        <w:jc w:val="center"/>
        <w:outlineLvl w:val="4"/>
        <w:rPr>
          <w:rFonts w:hint="eastAsia" w:ascii="黑体" w:hAnsi="宋体" w:eastAsia="黑体"/>
          <w:bCs/>
          <w:szCs w:val="32"/>
        </w:rPr>
      </w:pPr>
      <w:r>
        <w:rPr>
          <w:rFonts w:hint="eastAsia" w:ascii="黑体" w:hAnsi="宋体" w:eastAsia="黑体"/>
          <w:bCs/>
          <w:szCs w:val="32"/>
        </w:rPr>
        <w:t>4.本国产品声明函</w:t>
      </w:r>
    </w:p>
    <w:p w14:paraId="168DE64F">
      <w:pPr>
        <w:ind w:firstLine="420" w:firstLineChars="200"/>
        <w:rPr>
          <w:rFonts w:hint="eastAsia" w:ascii="宋体" w:hAnsi="宋体" w:eastAsia="宋体" w:cs="宋体"/>
          <w:sz w:val="21"/>
          <w:szCs w:val="21"/>
        </w:rPr>
      </w:pPr>
      <w:r>
        <w:rPr>
          <w:rFonts w:hint="eastAsia" w:ascii="宋体" w:hAnsi="宋体" w:eastAsia="宋体" w:cs="宋体"/>
          <w:sz w:val="21"/>
          <w:szCs w:val="21"/>
        </w:rPr>
        <w:t>填写指引：</w:t>
      </w:r>
    </w:p>
    <w:p w14:paraId="5CC921FD">
      <w:pPr>
        <w:ind w:firstLine="420" w:firstLineChars="200"/>
        <w:rPr>
          <w:rFonts w:hint="eastAsia" w:ascii="宋体" w:hAnsi="宋体" w:eastAsia="宋体" w:cs="宋体"/>
          <w:sz w:val="21"/>
          <w:szCs w:val="21"/>
        </w:rPr>
      </w:pPr>
      <w:r>
        <w:rPr>
          <w:rFonts w:hint="eastAsia" w:ascii="宋体" w:hAnsi="宋体" w:eastAsia="宋体" w:cs="宋体"/>
          <w:sz w:val="21"/>
          <w:szCs w:val="21"/>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2B29D714">
      <w:pPr>
        <w:ind w:firstLine="420" w:firstLineChars="200"/>
        <w:rPr>
          <w:rFonts w:hint="eastAsia" w:ascii="宋体" w:hAnsi="宋体" w:eastAsia="宋体" w:cs="宋体"/>
          <w:sz w:val="21"/>
          <w:szCs w:val="21"/>
        </w:rPr>
      </w:pPr>
      <w:r>
        <w:rPr>
          <w:rFonts w:hint="eastAsia" w:ascii="宋体" w:hAnsi="宋体" w:eastAsia="宋体" w:cs="宋体"/>
          <w:sz w:val="21"/>
          <w:szCs w:val="21"/>
        </w:rPr>
        <w:t>2、该部分内容填写需要参考的相关文件：</w:t>
      </w:r>
    </w:p>
    <w:p w14:paraId="7F2CF0E1">
      <w:pPr>
        <w:ind w:firstLine="420" w:firstLineChars="200"/>
        <w:rPr>
          <w:rFonts w:hint="eastAsia" w:ascii="宋体" w:hAnsi="宋体" w:eastAsia="宋体" w:cs="宋体"/>
          <w:sz w:val="21"/>
          <w:szCs w:val="21"/>
        </w:rPr>
      </w:pPr>
      <w:r>
        <w:rPr>
          <w:rFonts w:hint="eastAsia" w:ascii="宋体" w:hAnsi="宋体" w:eastAsia="宋体" w:cs="宋体"/>
          <w:sz w:val="21"/>
          <w:szCs w:val="21"/>
        </w:rPr>
        <w:t>（1）《国务院办公厅关于在政府采购中实施本国产品标准及相关政策的通知》（国办发〔2025〕34号）</w:t>
      </w:r>
    </w:p>
    <w:p w14:paraId="7A21E70A">
      <w:pPr>
        <w:ind w:firstLine="420" w:firstLineChars="200"/>
        <w:rPr>
          <w:rFonts w:hint="eastAsia" w:ascii="宋体" w:hAnsi="宋体" w:eastAsia="宋体" w:cs="宋体"/>
          <w:sz w:val="21"/>
          <w:szCs w:val="21"/>
        </w:rPr>
      </w:pPr>
      <w:r>
        <w:rPr>
          <w:rFonts w:hint="eastAsia" w:ascii="宋体" w:hAnsi="宋体" w:eastAsia="宋体" w:cs="宋体"/>
          <w:sz w:val="21"/>
          <w:szCs w:val="21"/>
        </w:rPr>
        <w:t>（2）《关于贯彻落实&lt;国务院办公厅关于在政府采购中实施本国产品标准及相关政策的通知&gt;的意见》（财库〔2025〕30号）</w:t>
      </w:r>
    </w:p>
    <w:p w14:paraId="01A95BDB">
      <w:pPr>
        <w:ind w:firstLine="420" w:firstLineChars="200"/>
        <w:rPr>
          <w:rFonts w:hint="eastAsia" w:ascii="宋体" w:hAnsi="宋体" w:eastAsia="宋体" w:cs="宋体"/>
          <w:sz w:val="21"/>
          <w:szCs w:val="21"/>
        </w:rPr>
      </w:pPr>
      <w:r>
        <w:rPr>
          <w:rFonts w:hint="eastAsia" w:ascii="宋体" w:hAnsi="宋体" w:eastAsia="宋体" w:cs="宋体"/>
          <w:sz w:val="21"/>
          <w:szCs w:val="21"/>
        </w:rPr>
        <w:t>（3）《深圳市财政局关于贯彻落实政府采购本国产品标准及相关政策的通知》（深财购〔2025〕69号）</w:t>
      </w:r>
    </w:p>
    <w:p w14:paraId="59357F5A">
      <w:pPr>
        <w:ind w:firstLine="420" w:firstLineChars="200"/>
        <w:rPr>
          <w:rFonts w:hint="eastAsia" w:ascii="宋体" w:hAnsi="宋体" w:eastAsia="宋体" w:cs="宋体"/>
          <w:sz w:val="21"/>
          <w:szCs w:val="21"/>
        </w:rPr>
      </w:pPr>
      <w:r>
        <w:rPr>
          <w:rFonts w:hint="eastAsia" w:ascii="宋体" w:hAnsi="宋体" w:eastAsia="宋体" w:cs="宋体"/>
          <w:sz w:val="21"/>
          <w:szCs w:val="21"/>
        </w:rPr>
        <w:t>3、请依照提供的格式和内容填写声明函，不要随意变更格式；声明函可以不盖章或签字。</w:t>
      </w:r>
    </w:p>
    <w:p w14:paraId="746392A2">
      <w:pPr>
        <w:ind w:firstLine="420" w:firstLineChars="200"/>
        <w:rPr>
          <w:rFonts w:hint="eastAsia" w:ascii="宋体" w:hAnsi="宋体" w:eastAsia="宋体" w:cs="宋体"/>
          <w:sz w:val="21"/>
          <w:szCs w:val="21"/>
        </w:rPr>
      </w:pPr>
      <w:r>
        <w:rPr>
          <w:rFonts w:hint="eastAsia" w:ascii="宋体" w:hAnsi="宋体" w:eastAsia="宋体" w:cs="宋体"/>
          <w:sz w:val="21"/>
          <w:szCs w:val="21"/>
        </w:rPr>
        <w:t>4、声明函具体填写要求：</w:t>
      </w:r>
    </w:p>
    <w:p w14:paraId="2AFD4E95">
      <w:pPr>
        <w:ind w:firstLine="420" w:firstLineChars="200"/>
        <w:rPr>
          <w:rFonts w:hint="eastAsia" w:ascii="宋体" w:hAnsi="宋体" w:eastAsia="宋体" w:cs="宋体"/>
          <w:sz w:val="21"/>
          <w:szCs w:val="21"/>
        </w:rPr>
      </w:pPr>
      <w:r>
        <w:rPr>
          <w:rFonts w:hint="eastAsia" w:ascii="宋体" w:hAnsi="宋体" w:eastAsia="宋体" w:cs="宋体"/>
          <w:sz w:val="21"/>
          <w:szCs w:val="21"/>
        </w:rPr>
        <w:t>（1）产品如有型号，请在“产品名称”栏一并填写。</w:t>
      </w:r>
    </w:p>
    <w:p w14:paraId="52BC7C2D">
      <w:pPr>
        <w:ind w:firstLine="420" w:firstLineChars="200"/>
        <w:rPr>
          <w:rFonts w:hint="eastAsia" w:ascii="宋体" w:hAnsi="宋体" w:eastAsia="宋体" w:cs="宋体"/>
          <w:sz w:val="21"/>
          <w:szCs w:val="21"/>
        </w:rPr>
      </w:pPr>
      <w:r>
        <w:rPr>
          <w:rFonts w:hint="eastAsia" w:ascii="宋体" w:hAnsi="宋体" w:eastAsia="宋体" w:cs="宋体"/>
          <w:sz w:val="21"/>
          <w:szCs w:val="21"/>
        </w:rPr>
        <w:t>（2）生产厂名与厂址应与生产厂营业执照载明的相关信息保持一致。</w:t>
      </w:r>
    </w:p>
    <w:p w14:paraId="23F4A038">
      <w:pPr>
        <w:ind w:firstLine="420" w:firstLineChars="200"/>
        <w:rPr>
          <w:rFonts w:hint="eastAsia" w:ascii="宋体" w:hAnsi="宋体" w:eastAsia="宋体" w:cs="宋体"/>
          <w:sz w:val="21"/>
          <w:szCs w:val="21"/>
        </w:rPr>
      </w:pPr>
      <w:r>
        <w:rPr>
          <w:rFonts w:hint="eastAsia" w:ascii="宋体" w:hAnsi="宋体" w:eastAsia="宋体" w:cs="宋体"/>
          <w:sz w:val="21"/>
          <w:szCs w:val="21"/>
        </w:rPr>
        <w:t>（3）该产品的中国境内生产的组件成本占比相关要求实施前，“规定比例”栏可不填，下同。</w:t>
      </w:r>
    </w:p>
    <w:p w14:paraId="7AB33DF6">
      <w:pPr>
        <w:ind w:firstLine="420" w:firstLineChars="200"/>
        <w:rPr>
          <w:rFonts w:hint="eastAsia" w:ascii="宋体" w:hAnsi="宋体" w:eastAsia="宋体" w:cs="宋体"/>
          <w:sz w:val="21"/>
          <w:szCs w:val="21"/>
        </w:rPr>
      </w:pPr>
      <w:r>
        <w:rPr>
          <w:rFonts w:hint="eastAsia" w:ascii="宋体" w:hAnsi="宋体" w:eastAsia="宋体" w:cs="宋体"/>
          <w:sz w:val="21"/>
          <w:szCs w:val="21"/>
        </w:rPr>
        <w:t>（4）该产品的关键组件要求实施前，“关键组件”栏可不填，下同。</w:t>
      </w:r>
    </w:p>
    <w:p w14:paraId="495CFA5B">
      <w:pPr>
        <w:ind w:firstLine="420" w:firstLineChars="200"/>
        <w:rPr>
          <w:rFonts w:hint="eastAsia" w:ascii="宋体" w:hAnsi="宋体" w:eastAsia="宋体" w:cs="宋体"/>
          <w:sz w:val="21"/>
          <w:szCs w:val="21"/>
        </w:rPr>
      </w:pPr>
      <w:r>
        <w:rPr>
          <w:rFonts w:hint="eastAsia" w:ascii="宋体" w:hAnsi="宋体" w:eastAsia="宋体" w:cs="宋体"/>
          <w:sz w:val="21"/>
          <w:szCs w:val="21"/>
        </w:rPr>
        <w:t>（5）该产品的关键工序要求实施前，“关键工序”栏可不填，下同。</w:t>
      </w:r>
    </w:p>
    <w:p w14:paraId="0EFD55CB">
      <w:pPr>
        <w:ind w:firstLine="420" w:firstLineChars="200"/>
        <w:rPr>
          <w:rFonts w:hint="eastAsia" w:ascii="宋体" w:hAnsi="宋体" w:eastAsia="宋体" w:cs="宋体"/>
          <w:color w:val="FF0000"/>
          <w:sz w:val="21"/>
          <w:szCs w:val="21"/>
        </w:rPr>
      </w:pPr>
      <w:r>
        <w:rPr>
          <w:rFonts w:hint="eastAsia" w:ascii="宋体" w:hAnsi="宋体" w:eastAsia="宋体" w:cs="宋体"/>
          <w:sz w:val="21"/>
          <w:szCs w:val="21"/>
        </w:rPr>
        <w:t>（6）应如实在“具体比例”栏填写提供所有符合本国产品标准的产品成本之和占提供的全部产品成本之和的比例。根据《国务院办公厅关于在政府采购中实施本国产品标准及相关政策的通知》（国办发〔2025〕34号）的规定，</w:t>
      </w:r>
      <w:r>
        <w:rPr>
          <w:rFonts w:hint="eastAsia" w:ascii="宋体" w:hAnsi="宋体" w:eastAsia="宋体" w:cs="宋体"/>
          <w:bCs/>
          <w:color w:val="FF0000"/>
          <w:sz w:val="21"/>
          <w:szCs w:val="21"/>
          <w:u w:val="double"/>
        </w:rPr>
        <w:t>当采购项目或者采购包中含有多种产品，供应商为该采购项目或者采购包提供的符合本国产品标准的产品成本之和占该供应商提供的全部产品成本之和的比例达到80%以上时，依法对该供应商提供的全部产品给予20%价格评审优惠。</w:t>
      </w:r>
    </w:p>
    <w:p w14:paraId="27D11355">
      <w:pPr>
        <w:ind w:firstLine="420" w:firstLineChars="200"/>
        <w:rPr>
          <w:rFonts w:hint="eastAsia" w:ascii="宋体" w:hAnsi="宋体" w:eastAsia="宋体" w:cs="宋体"/>
          <w:sz w:val="21"/>
          <w:szCs w:val="21"/>
        </w:rPr>
      </w:pPr>
      <w:r>
        <w:rPr>
          <w:rFonts w:hint="eastAsia" w:ascii="宋体" w:hAnsi="宋体" w:eastAsia="宋体" w:cs="宋体"/>
          <w:sz w:val="21"/>
          <w:szCs w:val="21"/>
          <w:shd w:val="clear" w:color="auto" w:fill="FFFFFF"/>
        </w:rPr>
        <w:t>5、</w:t>
      </w:r>
      <w:r>
        <w:rPr>
          <w:rFonts w:hint="eastAsia" w:ascii="宋体" w:hAnsi="宋体" w:eastAsia="宋体" w:cs="宋体"/>
          <w:sz w:val="21"/>
          <w:szCs w:val="21"/>
        </w:rPr>
        <w:t>争议处理：</w:t>
      </w:r>
    </w:p>
    <w:p w14:paraId="1ADF5B67">
      <w:pPr>
        <w:ind w:firstLine="420" w:firstLineChars="200"/>
        <w:rPr>
          <w:rFonts w:hint="eastAsia" w:ascii="宋体" w:hAnsi="宋体" w:eastAsia="宋体" w:cs="宋体"/>
          <w:sz w:val="21"/>
          <w:szCs w:val="21"/>
        </w:rPr>
      </w:pPr>
      <w:r>
        <w:rPr>
          <w:rFonts w:hint="eastAsia" w:ascii="宋体" w:hAnsi="宋体" w:eastAsia="宋体" w:cs="宋体"/>
          <w:sz w:val="21"/>
          <w:szCs w:val="21"/>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05C248C0">
      <w:pPr>
        <w:ind w:firstLine="420" w:firstLineChars="200"/>
        <w:rPr>
          <w:rFonts w:hint="eastAsia" w:ascii="宋体" w:hAnsi="宋体" w:eastAsia="宋体" w:cs="宋体"/>
          <w:sz w:val="21"/>
          <w:szCs w:val="21"/>
        </w:rPr>
      </w:pPr>
      <w:r>
        <w:rPr>
          <w:rFonts w:hint="eastAsia" w:ascii="宋体" w:hAnsi="宋体" w:eastAsia="宋体" w:cs="宋体"/>
          <w:sz w:val="21"/>
          <w:szCs w:val="21"/>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096DA86C">
      <w:pPr>
        <w:ind w:firstLine="420" w:firstLineChars="200"/>
        <w:rPr>
          <w:rFonts w:hint="eastAsia" w:ascii="宋体" w:hAnsi="宋体" w:eastAsia="宋体" w:cs="宋体"/>
          <w:sz w:val="21"/>
          <w:szCs w:val="21"/>
        </w:rPr>
      </w:pPr>
      <w:r>
        <w:rPr>
          <w:rFonts w:hint="eastAsia" w:ascii="宋体" w:hAnsi="宋体" w:eastAsia="宋体" w:cs="宋体"/>
          <w:sz w:val="21"/>
          <w:szCs w:val="21"/>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4EE2F354">
      <w:pPr>
        <w:ind w:firstLine="420" w:firstLineChars="200"/>
        <w:rPr>
          <w:rFonts w:hint="eastAsia" w:ascii="宋体" w:hAnsi="宋体" w:eastAsia="宋体" w:cs="宋体"/>
          <w:sz w:val="21"/>
          <w:szCs w:val="21"/>
        </w:rPr>
      </w:pPr>
      <w:r>
        <w:rPr>
          <w:rFonts w:hint="eastAsia" w:ascii="宋体" w:hAnsi="宋体" w:eastAsia="宋体" w:cs="宋体"/>
          <w:sz w:val="21"/>
          <w:szCs w:val="21"/>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739DAAEA">
      <w:pPr>
        <w:ind w:firstLine="420" w:firstLineChars="200"/>
        <w:rPr>
          <w:rFonts w:hint="eastAsia" w:ascii="宋体" w:hAnsi="宋体" w:eastAsia="宋体" w:cs="宋体"/>
          <w:sz w:val="21"/>
          <w:szCs w:val="21"/>
        </w:rPr>
      </w:pPr>
      <w:r>
        <w:rPr>
          <w:rFonts w:hint="eastAsia" w:ascii="宋体" w:hAnsi="宋体" w:eastAsia="宋体" w:cs="宋体"/>
          <w:sz w:val="21"/>
          <w:szCs w:val="21"/>
          <w:shd w:val="clear" w:color="auto" w:fill="FFFFFF"/>
        </w:rPr>
        <w:t>6</w:t>
      </w:r>
      <w:r>
        <w:rPr>
          <w:rFonts w:hint="eastAsia" w:ascii="宋体" w:hAnsi="宋体" w:eastAsia="宋体" w:cs="宋体"/>
          <w:sz w:val="21"/>
          <w:szCs w:val="21"/>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02B2C534">
      <w:pPr>
        <w:rPr>
          <w:rFonts w:hint="eastAsia" w:ascii="宋体" w:hAnsi="宋体" w:eastAsia="宋体" w:cs="宋体"/>
          <w:sz w:val="21"/>
          <w:szCs w:val="21"/>
        </w:rPr>
      </w:pPr>
    </w:p>
    <w:p w14:paraId="1F44087A">
      <w:pPr>
        <w:spacing w:after="120" w:afterLines="50"/>
        <w:jc w:val="center"/>
        <w:outlineLvl w:val="5"/>
        <w:rPr>
          <w:rFonts w:hint="eastAsia" w:ascii="宋体" w:hAnsi="宋体" w:eastAsia="宋体" w:cs="宋体"/>
          <w:b/>
          <w:sz w:val="21"/>
          <w:szCs w:val="21"/>
        </w:rPr>
      </w:pPr>
      <w:r>
        <w:rPr>
          <w:rFonts w:hint="eastAsia" w:ascii="宋体" w:hAnsi="宋体" w:eastAsia="宋体" w:cs="宋体"/>
          <w:b/>
          <w:sz w:val="21"/>
          <w:szCs w:val="21"/>
        </w:rPr>
        <w:t>1.关于符合本国产品标准的声明函</w:t>
      </w:r>
    </w:p>
    <w:p w14:paraId="1005E6B9">
      <w:pPr>
        <w:shd w:val="clear" w:color="auto" w:fill="FFFFFF"/>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D710CBD">
      <w:pPr>
        <w:shd w:val="clear" w:color="auto" w:fill="FFFFFF"/>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shd w:val="clear" w:color="auto" w:fill="FFFFFF"/>
        </w:rPr>
        <w:t>1.</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（产品名称1）</w:t>
      </w:r>
      <w:r>
        <w:rPr>
          <w:rFonts w:hint="eastAsia" w:ascii="宋体" w:hAnsi="宋体" w:eastAsia="宋体" w:cs="宋体"/>
          <w:b/>
          <w:bCs/>
          <w:sz w:val="21"/>
          <w:szCs w:val="21"/>
          <w:shd w:val="clear" w:color="auto" w:fill="FFFFFF"/>
          <w:vertAlign w:val="superscript"/>
        </w:rPr>
        <w:t>1</w:t>
      </w:r>
      <w:r>
        <w:rPr>
          <w:rFonts w:hint="eastAsia" w:ascii="宋体" w:hAnsi="宋体" w:eastAsia="宋体" w:cs="宋体"/>
          <w:sz w:val="21"/>
          <w:szCs w:val="21"/>
          <w:shd w:val="clear" w:color="auto" w:fill="FFFFFF"/>
        </w:rPr>
        <w:t>，生产厂为</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（厂名）</w:t>
      </w:r>
      <w:r>
        <w:rPr>
          <w:rFonts w:hint="eastAsia" w:ascii="宋体" w:hAnsi="宋体" w:eastAsia="宋体" w:cs="宋体"/>
          <w:b/>
          <w:bCs/>
          <w:sz w:val="21"/>
          <w:szCs w:val="21"/>
          <w:shd w:val="clear" w:color="auto" w:fill="FFFFFF"/>
          <w:vertAlign w:val="superscript"/>
        </w:rPr>
        <w:t>2</w:t>
      </w:r>
      <w:r>
        <w:rPr>
          <w:rFonts w:hint="eastAsia" w:ascii="宋体" w:hAnsi="宋体" w:eastAsia="宋体" w:cs="宋体"/>
          <w:sz w:val="21"/>
          <w:szCs w:val="21"/>
          <w:shd w:val="clear" w:color="auto" w:fill="FFFFFF"/>
        </w:rPr>
        <w:t>，厂址为</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（产品名称1）</w:t>
      </w:r>
      <w:r>
        <w:rPr>
          <w:rFonts w:hint="eastAsia" w:ascii="宋体" w:hAnsi="宋体" w:eastAsia="宋体" w:cs="宋体"/>
          <w:sz w:val="21"/>
          <w:szCs w:val="21"/>
          <w:shd w:val="clear" w:color="auto" w:fill="FFFFFF"/>
        </w:rPr>
        <w:t>的中国境内生产的组件成本占比≥</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（规定比例）</w:t>
      </w:r>
      <w:r>
        <w:rPr>
          <w:rFonts w:hint="eastAsia" w:ascii="宋体" w:hAnsi="宋体" w:eastAsia="宋体" w:cs="宋体"/>
          <w:b/>
          <w:bCs/>
          <w:sz w:val="21"/>
          <w:szCs w:val="21"/>
          <w:shd w:val="clear" w:color="auto" w:fill="FFFFFF"/>
          <w:vertAlign w:val="superscript"/>
        </w:rPr>
        <w:t>3</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（产品名称1）</w:t>
      </w:r>
      <w:r>
        <w:rPr>
          <w:rFonts w:hint="eastAsia" w:ascii="宋体" w:hAnsi="宋体" w:eastAsia="宋体" w:cs="宋体"/>
          <w:sz w:val="21"/>
          <w:szCs w:val="21"/>
          <w:shd w:val="clear" w:color="auto" w:fill="FFFFFF"/>
        </w:rPr>
        <w:t>的</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（关键组件）</w:t>
      </w:r>
      <w:r>
        <w:rPr>
          <w:rFonts w:hint="eastAsia" w:ascii="宋体" w:hAnsi="宋体" w:eastAsia="宋体" w:cs="宋体"/>
          <w:b/>
          <w:bCs/>
          <w:sz w:val="21"/>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（产品名称1）</w:t>
      </w:r>
      <w:r>
        <w:rPr>
          <w:rFonts w:hint="eastAsia" w:ascii="宋体" w:hAnsi="宋体" w:eastAsia="宋体" w:cs="宋体"/>
          <w:sz w:val="21"/>
          <w:szCs w:val="21"/>
          <w:shd w:val="clear" w:color="auto" w:fill="FFFFFF"/>
        </w:rPr>
        <w:t>的</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（关键工序）</w:t>
      </w:r>
      <w:r>
        <w:rPr>
          <w:rFonts w:hint="eastAsia" w:ascii="宋体" w:hAnsi="宋体" w:eastAsia="宋体" w:cs="宋体"/>
          <w:b/>
          <w:bCs/>
          <w:sz w:val="21"/>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05029E15">
      <w:pPr>
        <w:shd w:val="clear" w:color="auto" w:fill="FFFFFF"/>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shd w:val="clear" w:color="auto" w:fill="FFFFFF"/>
        </w:rPr>
        <w:t>2.</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（产品名称2）</w:t>
      </w:r>
      <w:r>
        <w:rPr>
          <w:rFonts w:hint="eastAsia" w:ascii="宋体" w:hAnsi="宋体" w:eastAsia="宋体" w:cs="宋体"/>
          <w:sz w:val="21"/>
          <w:szCs w:val="21"/>
          <w:shd w:val="clear" w:color="auto" w:fill="FFFFFF"/>
        </w:rPr>
        <w:t>，生产厂为</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（厂名）</w:t>
      </w:r>
      <w:r>
        <w:rPr>
          <w:rFonts w:hint="eastAsia" w:ascii="宋体" w:hAnsi="宋体" w:eastAsia="宋体" w:cs="宋体"/>
          <w:sz w:val="21"/>
          <w:szCs w:val="21"/>
          <w:shd w:val="clear" w:color="auto" w:fill="FFFFFF"/>
        </w:rPr>
        <w:t>，厂址为</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（产品名称2）</w:t>
      </w:r>
      <w:r>
        <w:rPr>
          <w:rFonts w:hint="eastAsia" w:ascii="宋体" w:hAnsi="宋体" w:eastAsia="宋体" w:cs="宋体"/>
          <w:sz w:val="21"/>
          <w:szCs w:val="21"/>
          <w:shd w:val="clear" w:color="auto" w:fill="FFFFFF"/>
        </w:rPr>
        <w:t>的中国境内生产的组件成本占比≥</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（规定比例）</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（产品名称2）</w:t>
      </w:r>
      <w:r>
        <w:rPr>
          <w:rFonts w:hint="eastAsia" w:ascii="宋体" w:hAnsi="宋体" w:eastAsia="宋体" w:cs="宋体"/>
          <w:sz w:val="21"/>
          <w:szCs w:val="21"/>
          <w:shd w:val="clear" w:color="auto" w:fill="FFFFFF"/>
        </w:rPr>
        <w:t>的</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（关键组件）</w:t>
      </w:r>
      <w:r>
        <w:rPr>
          <w:rFonts w:hint="eastAsia" w:ascii="宋体" w:hAnsi="宋体" w:eastAsia="宋体" w:cs="宋体"/>
          <w:sz w:val="21"/>
          <w:szCs w:val="21"/>
          <w:shd w:val="clear" w:color="auto" w:fill="FFFFFF"/>
        </w:rPr>
        <w:t>在中国境内生产。</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（产品名称2）</w:t>
      </w:r>
      <w:r>
        <w:rPr>
          <w:rFonts w:hint="eastAsia" w:ascii="宋体" w:hAnsi="宋体" w:eastAsia="宋体" w:cs="宋体"/>
          <w:sz w:val="21"/>
          <w:szCs w:val="21"/>
          <w:shd w:val="clear" w:color="auto" w:fill="FFFFFF"/>
        </w:rPr>
        <w:t>的</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bCs/>
          <w:sz w:val="21"/>
          <w:szCs w:val="21"/>
          <w:u w:val="single"/>
        </w:rPr>
        <w:t>（关键工序）</w:t>
      </w:r>
      <w:r>
        <w:rPr>
          <w:rFonts w:hint="eastAsia" w:ascii="宋体" w:hAnsi="宋体" w:eastAsia="宋体" w:cs="宋体"/>
          <w:sz w:val="21"/>
          <w:szCs w:val="21"/>
          <w:shd w:val="clear" w:color="auto" w:fill="FFFFFF"/>
        </w:rPr>
        <w:t>在中国境内完成。</w:t>
      </w:r>
    </w:p>
    <w:p w14:paraId="507742ED">
      <w:pPr>
        <w:shd w:val="clear" w:color="auto" w:fill="FFFFFF"/>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w:t>
      </w:r>
    </w:p>
    <w:p w14:paraId="0A4F59E3">
      <w:pPr>
        <w:shd w:val="clear" w:color="auto" w:fill="FFFFFF"/>
        <w:spacing w:line="360" w:lineRule="auto"/>
        <w:ind w:firstLine="422" w:firstLineChars="200"/>
        <w:rPr>
          <w:rFonts w:hint="eastAsia" w:ascii="宋体" w:hAnsi="宋体" w:eastAsia="宋体" w:cs="宋体"/>
          <w:sz w:val="21"/>
          <w:szCs w:val="21"/>
          <w:shd w:val="clear" w:color="auto" w:fill="FFFFFF"/>
        </w:rPr>
      </w:pPr>
      <w:r>
        <w:rPr>
          <w:rFonts w:hint="eastAsia" w:ascii="宋体" w:hAnsi="宋体" w:eastAsia="宋体" w:cs="宋体"/>
          <w:b/>
          <w:bCs/>
          <w:sz w:val="21"/>
          <w:szCs w:val="21"/>
          <w:shd w:val="clear" w:color="auto" w:fill="FFFFFF"/>
        </w:rPr>
        <w:t>本公司（单位）提供上述符合本国产品标准的产品成本之和占本公司（单位）提供的全部产品成本之和的比例达到</w:t>
      </w:r>
      <w:r>
        <w:rPr>
          <w:rFonts w:hint="eastAsia" w:ascii="宋体" w:hAnsi="宋体" w:eastAsia="宋体" w:cs="宋体"/>
          <w:b/>
          <w:bCs/>
          <w:sz w:val="21"/>
          <w:szCs w:val="21"/>
          <w:u w:val="single"/>
          <w:shd w:val="clear" w:color="auto" w:fill="FFFFFF"/>
        </w:rPr>
        <w:t xml:space="preserve"> </w:t>
      </w:r>
      <w:r>
        <w:rPr>
          <w:rFonts w:hint="eastAsia" w:ascii="宋体" w:hAnsi="宋体" w:eastAsia="宋体" w:cs="宋体"/>
          <w:b/>
          <w:bCs/>
          <w:sz w:val="21"/>
          <w:szCs w:val="21"/>
          <w:u w:val="single"/>
        </w:rPr>
        <w:t xml:space="preserve">（具体比例） </w:t>
      </w:r>
      <w:r>
        <w:rPr>
          <w:rFonts w:hint="eastAsia" w:ascii="宋体" w:hAnsi="宋体" w:eastAsia="宋体" w:cs="宋体"/>
          <w:b/>
          <w:bCs/>
          <w:sz w:val="21"/>
          <w:szCs w:val="21"/>
          <w:shd w:val="clear" w:color="auto" w:fill="FFFFFF"/>
          <w:vertAlign w:val="superscript"/>
        </w:rPr>
        <w:t>6</w:t>
      </w:r>
      <w:r>
        <w:rPr>
          <w:rFonts w:hint="eastAsia" w:ascii="宋体" w:hAnsi="宋体" w:eastAsia="宋体" w:cs="宋体"/>
          <w:b/>
          <w:bCs/>
          <w:sz w:val="21"/>
          <w:szCs w:val="21"/>
          <w:shd w:val="clear" w:color="auto" w:fill="FFFFFF"/>
        </w:rPr>
        <w:t>。</w:t>
      </w:r>
    </w:p>
    <w:p w14:paraId="21382080">
      <w:pPr>
        <w:shd w:val="clear" w:color="auto" w:fill="FFFFFF"/>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01438979">
      <w:pPr>
        <w:shd w:val="clear" w:color="auto" w:fill="FFFFFF"/>
        <w:spacing w:line="360" w:lineRule="auto"/>
        <w:ind w:right="960" w:rightChars="400"/>
        <w:jc w:val="right"/>
        <w:rPr>
          <w:rFonts w:hint="eastAsia" w:ascii="宋体" w:hAnsi="宋体" w:eastAsia="宋体" w:cs="宋体"/>
          <w:sz w:val="21"/>
          <w:szCs w:val="21"/>
          <w:shd w:val="clear" w:color="auto" w:fill="FFFFFF"/>
        </w:rPr>
      </w:pPr>
    </w:p>
    <w:p w14:paraId="16FD9890">
      <w:pPr>
        <w:shd w:val="clear" w:color="auto" w:fill="FFFFFF"/>
        <w:spacing w:line="360" w:lineRule="auto"/>
        <w:ind w:right="960" w:rightChars="400"/>
        <w:jc w:val="right"/>
        <w:rPr>
          <w:rFonts w:hint="eastAsia" w:ascii="宋体" w:hAnsi="宋体" w:eastAsia="宋体" w:cs="宋体"/>
          <w:sz w:val="21"/>
          <w:szCs w:val="21"/>
        </w:rPr>
      </w:pPr>
      <w:r>
        <w:rPr>
          <w:rFonts w:hint="eastAsia" w:ascii="宋体" w:hAnsi="宋体" w:eastAsia="宋体" w:cs="宋体"/>
          <w:sz w:val="21"/>
          <w:szCs w:val="21"/>
          <w:shd w:val="clear" w:color="auto" w:fill="FFFFFF"/>
        </w:rPr>
        <w:t>公司（单位）名称：</w:t>
      </w:r>
    </w:p>
    <w:p w14:paraId="19D2893C">
      <w:pPr>
        <w:shd w:val="clear" w:color="auto" w:fill="FFFFFF"/>
        <w:spacing w:line="360" w:lineRule="auto"/>
        <w:ind w:right="960" w:rightChars="400"/>
        <w:jc w:val="right"/>
        <w:rPr>
          <w:rFonts w:hint="eastAsia" w:ascii="宋体" w:hAnsi="宋体" w:eastAsia="宋体" w:cs="宋体"/>
          <w:bCs/>
          <w:sz w:val="21"/>
          <w:szCs w:val="21"/>
        </w:rPr>
      </w:pPr>
      <w:r>
        <w:rPr>
          <w:rFonts w:hint="eastAsia" w:ascii="宋体" w:hAnsi="宋体" w:eastAsia="宋体" w:cs="宋体"/>
          <w:sz w:val="21"/>
          <w:szCs w:val="21"/>
          <w:shd w:val="clear" w:color="auto" w:fill="FFFFFF"/>
        </w:rPr>
        <w:t>日期：    年  月  日</w:t>
      </w:r>
    </w:p>
    <w:p w14:paraId="3CE77543">
      <w:pPr>
        <w:rPr>
          <w:rFonts w:hint="eastAsia" w:ascii="宋体" w:hAnsi="宋体" w:eastAsia="宋体" w:cs="宋体"/>
          <w:bCs/>
          <w:sz w:val="21"/>
          <w:szCs w:val="21"/>
        </w:rPr>
      </w:pPr>
      <w:r>
        <w:rPr>
          <w:rFonts w:hint="eastAsia" w:ascii="宋体" w:hAnsi="宋体" w:eastAsia="宋体" w:cs="宋体"/>
          <w:sz w:val="21"/>
          <w:szCs w:val="21"/>
        </w:rPr>
        <w:t>__________________</w:t>
      </w:r>
    </w:p>
    <w:p w14:paraId="168A5EDA">
      <w:pPr>
        <w:rPr>
          <w:rFonts w:hint="eastAsia" w:ascii="宋体" w:hAnsi="宋体" w:eastAsia="宋体" w:cs="宋体"/>
          <w:bCs/>
          <w:sz w:val="21"/>
          <w:szCs w:val="21"/>
        </w:rPr>
      </w:pPr>
      <w:r>
        <w:rPr>
          <w:rFonts w:hint="eastAsia" w:ascii="宋体" w:hAnsi="宋体" w:eastAsia="宋体" w:cs="宋体"/>
          <w:bCs/>
          <w:sz w:val="21"/>
          <w:szCs w:val="21"/>
        </w:rPr>
        <w:t>1.产品如有型号，请在“产品名称”栏一并填写。</w:t>
      </w:r>
    </w:p>
    <w:p w14:paraId="55658259">
      <w:pPr>
        <w:rPr>
          <w:rFonts w:hint="eastAsia" w:ascii="宋体" w:hAnsi="宋体" w:eastAsia="宋体" w:cs="宋体"/>
          <w:bCs/>
          <w:sz w:val="21"/>
          <w:szCs w:val="21"/>
        </w:rPr>
      </w:pPr>
      <w:r>
        <w:rPr>
          <w:rFonts w:hint="eastAsia" w:ascii="宋体" w:hAnsi="宋体" w:eastAsia="宋体" w:cs="宋体"/>
          <w:bCs/>
          <w:sz w:val="21"/>
          <w:szCs w:val="21"/>
        </w:rPr>
        <w:t>2.生产厂名与厂址应与生产厂营业执照载明的相关信息保持一致。</w:t>
      </w:r>
    </w:p>
    <w:p w14:paraId="3246702B">
      <w:pPr>
        <w:rPr>
          <w:rFonts w:hint="eastAsia" w:ascii="宋体" w:hAnsi="宋体" w:eastAsia="宋体" w:cs="宋体"/>
          <w:bCs/>
          <w:sz w:val="21"/>
          <w:szCs w:val="21"/>
        </w:rPr>
      </w:pPr>
      <w:r>
        <w:rPr>
          <w:rFonts w:hint="eastAsia" w:ascii="宋体" w:hAnsi="宋体" w:eastAsia="宋体" w:cs="宋体"/>
          <w:bCs/>
          <w:sz w:val="21"/>
          <w:szCs w:val="21"/>
        </w:rPr>
        <w:t>3.该产品的中国境内生产的组件成本占比相关要求实施前，“规定比例”栏可不填，下同。</w:t>
      </w:r>
    </w:p>
    <w:p w14:paraId="5349E14F">
      <w:pPr>
        <w:rPr>
          <w:rFonts w:hint="eastAsia" w:ascii="宋体" w:hAnsi="宋体" w:eastAsia="宋体" w:cs="宋体"/>
          <w:bCs/>
          <w:sz w:val="21"/>
          <w:szCs w:val="21"/>
        </w:rPr>
      </w:pPr>
      <w:r>
        <w:rPr>
          <w:rFonts w:hint="eastAsia" w:ascii="宋体" w:hAnsi="宋体" w:eastAsia="宋体" w:cs="宋体"/>
          <w:bCs/>
          <w:sz w:val="21"/>
          <w:szCs w:val="21"/>
        </w:rPr>
        <w:t>4.该产品的关键组件要求实施前，“关键组件”栏可不填，下同。</w:t>
      </w:r>
    </w:p>
    <w:p w14:paraId="54557CAC">
      <w:pPr>
        <w:rPr>
          <w:rFonts w:hint="eastAsia" w:ascii="宋体" w:hAnsi="宋体" w:eastAsia="宋体" w:cs="宋体"/>
          <w:bCs/>
          <w:sz w:val="21"/>
          <w:szCs w:val="21"/>
        </w:rPr>
      </w:pPr>
      <w:r>
        <w:rPr>
          <w:rFonts w:hint="eastAsia" w:ascii="宋体" w:hAnsi="宋体" w:eastAsia="宋体" w:cs="宋体"/>
          <w:bCs/>
          <w:sz w:val="21"/>
          <w:szCs w:val="21"/>
        </w:rPr>
        <w:t>5.该产品的关键工序要求实施前，“关键工序”栏可不填，下同。</w:t>
      </w:r>
    </w:p>
    <w:p w14:paraId="6E9CBEAE">
      <w:pPr>
        <w:rPr>
          <w:rFonts w:hint="eastAsia" w:ascii="宋体" w:hAnsi="宋体" w:eastAsia="宋体" w:cs="宋体"/>
          <w:bCs/>
          <w:sz w:val="21"/>
          <w:szCs w:val="21"/>
        </w:rPr>
      </w:pPr>
    </w:p>
    <w:p w14:paraId="0E4BFE25">
      <w:pPr>
        <w:rPr>
          <w:rFonts w:hint="eastAsia" w:ascii="宋体" w:hAnsi="宋体" w:eastAsia="宋体" w:cs="宋体"/>
          <w:bCs/>
          <w:sz w:val="21"/>
          <w:szCs w:val="21"/>
        </w:rPr>
      </w:pPr>
    </w:p>
    <w:p w14:paraId="14617855">
      <w:pPr>
        <w:pStyle w:val="23"/>
        <w:shd w:val="clear" w:color="auto" w:fill="FFFFFF"/>
        <w:spacing w:before="30" w:beforeAutospacing="0" w:after="30" w:afterAutospacing="0"/>
        <w:ind w:firstLine="420"/>
        <w:textAlignment w:val="baseline"/>
        <w:rPr>
          <w:rFonts w:hint="eastAsia" w:ascii="宋体" w:hAnsi="宋体" w:eastAsia="宋体" w:cs="宋体"/>
          <w:b/>
          <w:bCs/>
          <w:color w:val="000000"/>
          <w:sz w:val="21"/>
          <w:szCs w:val="21"/>
          <w:shd w:val="clear" w:color="auto" w:fill="FFFFFF"/>
        </w:rPr>
      </w:pPr>
      <w:r>
        <w:rPr>
          <w:rFonts w:hint="eastAsia" w:ascii="宋体" w:hAnsi="宋体" w:eastAsia="宋体" w:cs="宋体"/>
          <w:b/>
          <w:sz w:val="21"/>
          <w:szCs w:val="21"/>
        </w:rPr>
        <w:t>2.符合要求的财政部会同有关部门规定的有关证明文件（如有）</w:t>
      </w:r>
    </w:p>
    <w:p w14:paraId="7A5212C4">
      <w:pPr>
        <w:jc w:val="center"/>
        <w:rPr>
          <w:rFonts w:hint="eastAsia" w:ascii="黑体" w:hAnsi="宋体" w:eastAsia="黑体"/>
          <w:bCs/>
          <w:szCs w:val="32"/>
        </w:rPr>
      </w:pPr>
    </w:p>
    <w:p w14:paraId="39A6EAC1">
      <w:pPr>
        <w:jc w:val="center"/>
        <w:rPr>
          <w:rFonts w:hint="eastAsia" w:ascii="黑体" w:hAnsi="宋体" w:eastAsia="黑体"/>
          <w:bCs/>
          <w:szCs w:val="32"/>
        </w:rPr>
      </w:pPr>
    </w:p>
    <w:p w14:paraId="5388CA33">
      <w:pPr>
        <w:jc w:val="center"/>
        <w:rPr>
          <w:rFonts w:hint="eastAsia" w:ascii="黑体" w:hAnsi="宋体" w:eastAsia="黑体"/>
          <w:bCs/>
          <w:szCs w:val="32"/>
        </w:rPr>
      </w:pPr>
    </w:p>
    <w:p w14:paraId="41C1E96F">
      <w:pPr>
        <w:jc w:val="center"/>
        <w:rPr>
          <w:rFonts w:hint="eastAsia" w:ascii="黑体" w:hAnsi="宋体" w:eastAsia="黑体"/>
          <w:bCs/>
          <w:szCs w:val="32"/>
        </w:rPr>
      </w:pPr>
    </w:p>
    <w:p w14:paraId="4725182C">
      <w:pPr>
        <w:jc w:val="center"/>
        <w:rPr>
          <w:rFonts w:hint="eastAsia" w:ascii="黑体" w:hAnsi="宋体" w:eastAsia="黑体"/>
          <w:bCs/>
          <w:szCs w:val="32"/>
        </w:rPr>
      </w:pPr>
    </w:p>
    <w:p w14:paraId="751D2972">
      <w:pPr>
        <w:jc w:val="center"/>
        <w:outlineLvl w:val="4"/>
        <w:rPr>
          <w:rFonts w:hint="eastAsia" w:ascii="黑体" w:hAnsi="宋体" w:eastAsia="黑体"/>
          <w:bCs/>
          <w:szCs w:val="32"/>
        </w:rPr>
      </w:pPr>
      <w:r>
        <w:rPr>
          <w:rFonts w:hint="eastAsia" w:ascii="黑体" w:hAnsi="宋体" w:eastAsia="黑体"/>
          <w:bCs/>
          <w:szCs w:val="32"/>
        </w:rPr>
        <w:t>（四）联合体投标协议（不接受联合体投标的项目，本条不适用）</w:t>
      </w:r>
    </w:p>
    <w:p w14:paraId="7ACBF5F8">
      <w:pPr>
        <w:pStyle w:val="11"/>
        <w:jc w:val="center"/>
        <w:rPr>
          <w:sz w:val="21"/>
          <w:szCs w:val="21"/>
        </w:rPr>
      </w:pPr>
      <w:r>
        <w:rPr>
          <w:rFonts w:hint="eastAsia"/>
          <w:sz w:val="21"/>
          <w:szCs w:val="21"/>
        </w:rPr>
        <w:t>联合体投标协议（联合体投标的情况下填写；格式自定；要求提供加盖联合体所有成员公章的扫描件，以证明该协议的有效性及联合体所有成员对投标文件的认可）</w:t>
      </w:r>
    </w:p>
    <w:p w14:paraId="7DA81929">
      <w:pPr>
        <w:pStyle w:val="21"/>
      </w:pPr>
    </w:p>
    <w:p w14:paraId="34DA33A7">
      <w:pPr>
        <w:wordWrap w:val="0"/>
        <w:ind w:firstLine="480" w:firstLineChars="200"/>
        <w:jc w:val="right"/>
        <w:rPr>
          <w:rFonts w:ascii="宋体" w:hAnsi="宋体"/>
          <w:szCs w:val="21"/>
        </w:rPr>
      </w:pPr>
    </w:p>
    <w:p w14:paraId="31FC6DF4">
      <w:pPr>
        <w:pStyle w:val="7"/>
      </w:pPr>
    </w:p>
    <w:p w14:paraId="3C12ECC7">
      <w:pPr>
        <w:pStyle w:val="7"/>
        <w:ind w:firstLine="0"/>
      </w:pPr>
    </w:p>
    <w:p w14:paraId="3D125E8B">
      <w:pPr>
        <w:jc w:val="center"/>
        <w:outlineLvl w:val="3"/>
        <w:rPr>
          <w:bCs/>
        </w:rPr>
      </w:pPr>
      <w:r>
        <w:rPr>
          <w:rFonts w:hint="eastAsia" w:ascii="黑体" w:eastAsia="黑体"/>
        </w:rPr>
        <w:br w:type="page"/>
      </w:r>
      <w:r>
        <w:rPr>
          <w:rFonts w:hint="eastAsia" w:ascii="黑体" w:eastAsia="黑体"/>
        </w:rPr>
        <w:t>四、项目详细报价</w:t>
      </w:r>
    </w:p>
    <w:p w14:paraId="04C1C295">
      <w:pPr>
        <w:tabs>
          <w:tab w:val="left" w:pos="720"/>
        </w:tabs>
        <w:jc w:val="center"/>
        <w:outlineLvl w:val="4"/>
        <w:rPr>
          <w:b/>
        </w:rPr>
      </w:pPr>
      <w:r>
        <w:rPr>
          <w:rFonts w:hint="eastAsia"/>
          <w:b/>
        </w:rPr>
        <w:t>（一）分项报价表</w:t>
      </w:r>
    </w:p>
    <w:tbl>
      <w:tblPr>
        <w:tblStyle w:val="28"/>
        <w:tblW w:w="91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356"/>
        <w:gridCol w:w="904"/>
        <w:gridCol w:w="899"/>
        <w:gridCol w:w="853"/>
        <w:gridCol w:w="880"/>
        <w:gridCol w:w="598"/>
        <w:gridCol w:w="483"/>
        <w:gridCol w:w="739"/>
        <w:gridCol w:w="730"/>
      </w:tblGrid>
      <w:tr w14:paraId="671A75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674" w:type="dxa"/>
            <w:tcBorders>
              <w:tl2br w:val="nil"/>
              <w:tr2bl w:val="nil"/>
            </w:tcBorders>
            <w:vAlign w:val="center"/>
          </w:tcPr>
          <w:p w14:paraId="18527791">
            <w:pPr>
              <w:jc w:val="center"/>
              <w:rPr>
                <w:rFonts w:hint="eastAsia" w:ascii="宋体" w:hAnsi="宋体" w:eastAsia="宋体" w:cs="宋体"/>
                <w:b/>
                <w:szCs w:val="21"/>
              </w:rPr>
            </w:pPr>
            <w:r>
              <w:rPr>
                <w:rFonts w:hint="eastAsia" w:ascii="宋体" w:hAnsi="宋体" w:eastAsia="宋体" w:cs="宋体"/>
                <w:b/>
                <w:szCs w:val="21"/>
              </w:rPr>
              <w:t>序号</w:t>
            </w:r>
          </w:p>
        </w:tc>
        <w:tc>
          <w:tcPr>
            <w:tcW w:w="2356" w:type="dxa"/>
            <w:tcBorders>
              <w:tl2br w:val="nil"/>
              <w:tr2bl w:val="nil"/>
            </w:tcBorders>
            <w:vAlign w:val="center"/>
          </w:tcPr>
          <w:p w14:paraId="2EC1BA50">
            <w:pPr>
              <w:jc w:val="center"/>
              <w:rPr>
                <w:rFonts w:hint="eastAsia" w:ascii="宋体" w:hAnsi="宋体" w:eastAsia="宋体" w:cs="宋体"/>
                <w:b/>
                <w:szCs w:val="21"/>
              </w:rPr>
            </w:pPr>
            <w:r>
              <w:rPr>
                <w:rFonts w:hint="eastAsia" w:ascii="宋体" w:hAnsi="宋体" w:eastAsia="宋体" w:cs="宋体"/>
                <w:b/>
                <w:szCs w:val="21"/>
              </w:rPr>
              <w:t>货物名称</w:t>
            </w:r>
          </w:p>
        </w:tc>
        <w:tc>
          <w:tcPr>
            <w:tcW w:w="904" w:type="dxa"/>
            <w:tcBorders>
              <w:tl2br w:val="nil"/>
              <w:tr2bl w:val="nil"/>
            </w:tcBorders>
            <w:vAlign w:val="center"/>
          </w:tcPr>
          <w:p w14:paraId="59155139">
            <w:pPr>
              <w:jc w:val="center"/>
              <w:rPr>
                <w:rFonts w:hint="eastAsia" w:ascii="宋体" w:hAnsi="宋体" w:eastAsia="宋体" w:cs="宋体"/>
                <w:b/>
                <w:szCs w:val="21"/>
              </w:rPr>
            </w:pPr>
            <w:r>
              <w:rPr>
                <w:rFonts w:hint="eastAsia" w:ascii="宋体" w:hAnsi="宋体" w:eastAsia="宋体" w:cs="宋体"/>
                <w:b/>
                <w:szCs w:val="21"/>
              </w:rPr>
              <w:t>品牌</w:t>
            </w:r>
          </w:p>
        </w:tc>
        <w:tc>
          <w:tcPr>
            <w:tcW w:w="899" w:type="dxa"/>
            <w:tcBorders>
              <w:tl2br w:val="nil"/>
              <w:tr2bl w:val="nil"/>
            </w:tcBorders>
            <w:vAlign w:val="center"/>
          </w:tcPr>
          <w:p w14:paraId="21D9E075">
            <w:pPr>
              <w:jc w:val="center"/>
              <w:rPr>
                <w:rFonts w:hint="eastAsia" w:ascii="宋体" w:hAnsi="宋体" w:eastAsia="宋体" w:cs="宋体"/>
                <w:b/>
                <w:szCs w:val="21"/>
              </w:rPr>
            </w:pPr>
            <w:r>
              <w:rPr>
                <w:rFonts w:hint="eastAsia" w:ascii="宋体" w:hAnsi="宋体" w:eastAsia="宋体" w:cs="宋体"/>
                <w:b/>
                <w:szCs w:val="21"/>
              </w:rPr>
              <w:t>规格/型号</w:t>
            </w:r>
          </w:p>
        </w:tc>
        <w:tc>
          <w:tcPr>
            <w:tcW w:w="853" w:type="dxa"/>
            <w:tcBorders>
              <w:tl2br w:val="nil"/>
              <w:tr2bl w:val="nil"/>
            </w:tcBorders>
            <w:vAlign w:val="center"/>
          </w:tcPr>
          <w:p w14:paraId="3E84BFCC">
            <w:pPr>
              <w:jc w:val="center"/>
              <w:rPr>
                <w:rFonts w:hint="eastAsia" w:ascii="宋体" w:hAnsi="宋体" w:eastAsia="宋体" w:cs="宋体"/>
                <w:b/>
                <w:szCs w:val="21"/>
              </w:rPr>
            </w:pPr>
            <w:r>
              <w:rPr>
                <w:rFonts w:hint="eastAsia" w:ascii="宋体" w:hAnsi="宋体" w:eastAsia="宋体" w:cs="宋体"/>
                <w:b/>
                <w:szCs w:val="21"/>
              </w:rPr>
              <w:t>原产地</w:t>
            </w:r>
          </w:p>
        </w:tc>
        <w:tc>
          <w:tcPr>
            <w:tcW w:w="880" w:type="dxa"/>
            <w:tcBorders>
              <w:tl2br w:val="nil"/>
              <w:tr2bl w:val="nil"/>
            </w:tcBorders>
            <w:vAlign w:val="center"/>
          </w:tcPr>
          <w:p w14:paraId="05BEC00B">
            <w:pPr>
              <w:jc w:val="center"/>
              <w:rPr>
                <w:rFonts w:hint="eastAsia" w:ascii="宋体" w:hAnsi="宋体" w:eastAsia="宋体" w:cs="宋体"/>
                <w:b/>
                <w:szCs w:val="21"/>
              </w:rPr>
            </w:pPr>
            <w:r>
              <w:rPr>
                <w:rFonts w:hint="eastAsia" w:ascii="宋体" w:hAnsi="宋体" w:eastAsia="宋体" w:cs="宋体"/>
                <w:b/>
                <w:szCs w:val="21"/>
              </w:rPr>
              <w:t>制造商名称</w:t>
            </w:r>
          </w:p>
        </w:tc>
        <w:tc>
          <w:tcPr>
            <w:tcW w:w="598" w:type="dxa"/>
            <w:tcBorders>
              <w:tl2br w:val="nil"/>
              <w:tr2bl w:val="nil"/>
            </w:tcBorders>
            <w:vAlign w:val="center"/>
          </w:tcPr>
          <w:p w14:paraId="01DA0BB0">
            <w:pPr>
              <w:jc w:val="center"/>
              <w:rPr>
                <w:rFonts w:hint="eastAsia" w:ascii="宋体" w:hAnsi="宋体" w:eastAsia="宋体" w:cs="宋体"/>
                <w:b/>
                <w:szCs w:val="21"/>
              </w:rPr>
            </w:pPr>
            <w:r>
              <w:rPr>
                <w:rFonts w:hint="eastAsia" w:ascii="宋体" w:hAnsi="宋体" w:eastAsia="宋体" w:cs="宋体"/>
                <w:b/>
                <w:szCs w:val="21"/>
              </w:rPr>
              <w:t>数量</w:t>
            </w:r>
          </w:p>
        </w:tc>
        <w:tc>
          <w:tcPr>
            <w:tcW w:w="483" w:type="dxa"/>
            <w:tcBorders>
              <w:tl2br w:val="nil"/>
              <w:tr2bl w:val="nil"/>
            </w:tcBorders>
            <w:vAlign w:val="center"/>
          </w:tcPr>
          <w:p w14:paraId="24FF206D">
            <w:pPr>
              <w:jc w:val="center"/>
              <w:rPr>
                <w:rFonts w:hint="eastAsia" w:ascii="宋体" w:hAnsi="宋体" w:eastAsia="宋体" w:cs="宋体"/>
                <w:b/>
                <w:szCs w:val="21"/>
              </w:rPr>
            </w:pPr>
            <w:r>
              <w:rPr>
                <w:rFonts w:hint="eastAsia" w:ascii="宋体" w:hAnsi="宋体" w:eastAsia="宋体" w:cs="宋体"/>
                <w:b/>
                <w:szCs w:val="21"/>
              </w:rPr>
              <w:t>单位</w:t>
            </w:r>
          </w:p>
        </w:tc>
        <w:tc>
          <w:tcPr>
            <w:tcW w:w="739" w:type="dxa"/>
            <w:tcBorders>
              <w:tl2br w:val="nil"/>
              <w:tr2bl w:val="nil"/>
            </w:tcBorders>
            <w:vAlign w:val="center"/>
          </w:tcPr>
          <w:p w14:paraId="6A8BC5FF">
            <w:pPr>
              <w:jc w:val="center"/>
              <w:rPr>
                <w:rFonts w:hint="eastAsia" w:ascii="宋体" w:hAnsi="宋体" w:eastAsia="宋体" w:cs="宋体"/>
                <w:b/>
                <w:szCs w:val="21"/>
              </w:rPr>
            </w:pPr>
            <w:r>
              <w:rPr>
                <w:rFonts w:hint="eastAsia" w:ascii="宋体" w:hAnsi="宋体" w:eastAsia="宋体" w:cs="宋体"/>
                <w:b/>
                <w:szCs w:val="21"/>
              </w:rPr>
              <w:t>单价(元)</w:t>
            </w:r>
          </w:p>
        </w:tc>
        <w:tc>
          <w:tcPr>
            <w:tcW w:w="730" w:type="dxa"/>
            <w:tcBorders>
              <w:tl2br w:val="nil"/>
              <w:tr2bl w:val="nil"/>
            </w:tcBorders>
            <w:vAlign w:val="center"/>
          </w:tcPr>
          <w:p w14:paraId="0F37B4A9">
            <w:pPr>
              <w:jc w:val="center"/>
              <w:rPr>
                <w:rFonts w:hint="eastAsia" w:ascii="宋体" w:hAnsi="宋体" w:eastAsia="宋体" w:cs="宋体"/>
                <w:b/>
                <w:szCs w:val="21"/>
              </w:rPr>
            </w:pPr>
            <w:r>
              <w:rPr>
                <w:rFonts w:hint="eastAsia" w:ascii="宋体" w:hAnsi="宋体" w:eastAsia="宋体" w:cs="宋体"/>
                <w:b/>
                <w:szCs w:val="21"/>
              </w:rPr>
              <w:t>合价(元)</w:t>
            </w:r>
          </w:p>
        </w:tc>
      </w:tr>
      <w:tr w14:paraId="706517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74" w:type="dxa"/>
            <w:tcBorders>
              <w:tl2br w:val="nil"/>
              <w:tr2bl w:val="nil"/>
            </w:tcBorders>
          </w:tcPr>
          <w:p w14:paraId="7D294BAB">
            <w:pPr>
              <w:jc w:val="center"/>
              <w:rPr>
                <w:rFonts w:hint="eastAsia" w:ascii="宋体" w:hAnsi="宋体" w:eastAsia="宋体" w:cs="宋体"/>
                <w:bCs/>
                <w:szCs w:val="21"/>
              </w:rPr>
            </w:pPr>
            <w:r>
              <w:rPr>
                <w:rFonts w:hint="eastAsia" w:ascii="宋体" w:hAnsi="宋体" w:eastAsia="宋体" w:cs="宋体"/>
                <w:bCs/>
                <w:szCs w:val="21"/>
              </w:rPr>
              <w:t>1</w:t>
            </w:r>
          </w:p>
        </w:tc>
        <w:tc>
          <w:tcPr>
            <w:tcW w:w="2356" w:type="dxa"/>
            <w:tcBorders>
              <w:tl2br w:val="nil"/>
              <w:tr2bl w:val="nil"/>
            </w:tcBorders>
            <w:vAlign w:val="center"/>
          </w:tcPr>
          <w:p w14:paraId="3448E6E4">
            <w:pPr>
              <w:jc w:val="center"/>
              <w:rPr>
                <w:rFonts w:hint="eastAsia" w:ascii="宋体" w:hAnsi="宋体" w:eastAsia="宋体" w:cs="宋体"/>
                <w:bCs/>
                <w:szCs w:val="21"/>
              </w:rPr>
            </w:pPr>
            <w:r>
              <w:rPr>
                <w:rFonts w:hint="eastAsia" w:ascii="宋体" w:hAnsi="宋体" w:eastAsia="宋体" w:cs="宋体"/>
                <w:bCs/>
                <w:szCs w:val="21"/>
              </w:rPr>
              <w:t>***（填写相关内容）</w:t>
            </w:r>
          </w:p>
        </w:tc>
        <w:tc>
          <w:tcPr>
            <w:tcW w:w="904" w:type="dxa"/>
            <w:tcBorders>
              <w:tl2br w:val="nil"/>
              <w:tr2bl w:val="nil"/>
            </w:tcBorders>
            <w:vAlign w:val="center"/>
          </w:tcPr>
          <w:p w14:paraId="6BCE97C3">
            <w:pPr>
              <w:jc w:val="center"/>
              <w:rPr>
                <w:rFonts w:hint="eastAsia" w:ascii="宋体" w:hAnsi="宋体" w:eastAsia="宋体" w:cs="宋体"/>
                <w:bCs/>
                <w:szCs w:val="21"/>
              </w:rPr>
            </w:pPr>
          </w:p>
        </w:tc>
        <w:tc>
          <w:tcPr>
            <w:tcW w:w="899" w:type="dxa"/>
            <w:tcBorders>
              <w:tl2br w:val="nil"/>
              <w:tr2bl w:val="nil"/>
            </w:tcBorders>
            <w:vAlign w:val="center"/>
          </w:tcPr>
          <w:p w14:paraId="6FA0F2FF">
            <w:pPr>
              <w:jc w:val="center"/>
              <w:rPr>
                <w:rFonts w:hint="eastAsia" w:ascii="宋体" w:hAnsi="宋体" w:eastAsia="宋体" w:cs="宋体"/>
                <w:bCs/>
                <w:szCs w:val="21"/>
              </w:rPr>
            </w:pPr>
          </w:p>
        </w:tc>
        <w:tc>
          <w:tcPr>
            <w:tcW w:w="853" w:type="dxa"/>
            <w:tcBorders>
              <w:tl2br w:val="nil"/>
              <w:tr2bl w:val="nil"/>
            </w:tcBorders>
            <w:vAlign w:val="center"/>
          </w:tcPr>
          <w:p w14:paraId="0C9714DB">
            <w:pPr>
              <w:jc w:val="center"/>
              <w:rPr>
                <w:rFonts w:hint="eastAsia" w:ascii="宋体" w:hAnsi="宋体" w:eastAsia="宋体" w:cs="宋体"/>
                <w:bCs/>
                <w:szCs w:val="21"/>
              </w:rPr>
            </w:pPr>
          </w:p>
        </w:tc>
        <w:tc>
          <w:tcPr>
            <w:tcW w:w="880" w:type="dxa"/>
            <w:tcBorders>
              <w:tl2br w:val="nil"/>
              <w:tr2bl w:val="nil"/>
            </w:tcBorders>
            <w:vAlign w:val="center"/>
          </w:tcPr>
          <w:p w14:paraId="1B07BE8C">
            <w:pPr>
              <w:jc w:val="center"/>
              <w:rPr>
                <w:rFonts w:hint="eastAsia" w:ascii="宋体" w:hAnsi="宋体" w:eastAsia="宋体" w:cs="宋体"/>
                <w:bCs/>
                <w:szCs w:val="21"/>
              </w:rPr>
            </w:pPr>
          </w:p>
        </w:tc>
        <w:tc>
          <w:tcPr>
            <w:tcW w:w="598" w:type="dxa"/>
            <w:tcBorders>
              <w:tl2br w:val="nil"/>
              <w:tr2bl w:val="nil"/>
            </w:tcBorders>
            <w:vAlign w:val="center"/>
          </w:tcPr>
          <w:p w14:paraId="1325C20D">
            <w:pPr>
              <w:jc w:val="center"/>
              <w:rPr>
                <w:rFonts w:hint="eastAsia" w:ascii="宋体" w:hAnsi="宋体" w:eastAsia="宋体" w:cs="宋体"/>
                <w:bCs/>
                <w:szCs w:val="21"/>
              </w:rPr>
            </w:pPr>
            <w:r>
              <w:rPr>
                <w:rFonts w:hint="eastAsia" w:ascii="宋体" w:hAnsi="宋体" w:eastAsia="宋体" w:cs="宋体"/>
                <w:bCs/>
                <w:szCs w:val="21"/>
              </w:rPr>
              <w:t>*</w:t>
            </w:r>
          </w:p>
        </w:tc>
        <w:tc>
          <w:tcPr>
            <w:tcW w:w="483" w:type="dxa"/>
            <w:tcBorders>
              <w:tl2br w:val="nil"/>
              <w:tr2bl w:val="nil"/>
            </w:tcBorders>
            <w:vAlign w:val="center"/>
          </w:tcPr>
          <w:p w14:paraId="2A922140">
            <w:pPr>
              <w:jc w:val="center"/>
              <w:rPr>
                <w:rFonts w:hint="eastAsia" w:ascii="宋体" w:hAnsi="宋体" w:eastAsia="宋体" w:cs="宋体"/>
                <w:bCs/>
                <w:szCs w:val="21"/>
              </w:rPr>
            </w:pPr>
            <w:r>
              <w:rPr>
                <w:rFonts w:hint="eastAsia" w:ascii="宋体" w:hAnsi="宋体" w:eastAsia="宋体" w:cs="宋体"/>
                <w:bCs/>
                <w:szCs w:val="21"/>
              </w:rPr>
              <w:t>*</w:t>
            </w:r>
          </w:p>
        </w:tc>
        <w:tc>
          <w:tcPr>
            <w:tcW w:w="739" w:type="dxa"/>
            <w:tcBorders>
              <w:tl2br w:val="nil"/>
              <w:tr2bl w:val="nil"/>
            </w:tcBorders>
            <w:vAlign w:val="center"/>
          </w:tcPr>
          <w:p w14:paraId="43125464">
            <w:pPr>
              <w:jc w:val="center"/>
              <w:rPr>
                <w:rFonts w:hint="eastAsia" w:ascii="宋体" w:hAnsi="宋体" w:eastAsia="宋体" w:cs="宋体"/>
                <w:bCs/>
                <w:szCs w:val="21"/>
              </w:rPr>
            </w:pPr>
          </w:p>
        </w:tc>
        <w:tc>
          <w:tcPr>
            <w:tcW w:w="730" w:type="dxa"/>
            <w:tcBorders>
              <w:tl2br w:val="nil"/>
              <w:tr2bl w:val="nil"/>
            </w:tcBorders>
            <w:vAlign w:val="center"/>
          </w:tcPr>
          <w:p w14:paraId="313C4663">
            <w:pPr>
              <w:jc w:val="center"/>
              <w:rPr>
                <w:rFonts w:hint="eastAsia" w:ascii="宋体" w:hAnsi="宋体" w:eastAsia="宋体" w:cs="宋体"/>
                <w:bCs/>
                <w:szCs w:val="21"/>
              </w:rPr>
            </w:pPr>
          </w:p>
        </w:tc>
      </w:tr>
      <w:tr w14:paraId="2154FE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74" w:type="dxa"/>
            <w:tcBorders>
              <w:tl2br w:val="nil"/>
              <w:tr2bl w:val="nil"/>
            </w:tcBorders>
          </w:tcPr>
          <w:p w14:paraId="7140E47F">
            <w:pPr>
              <w:jc w:val="center"/>
              <w:rPr>
                <w:rFonts w:hint="eastAsia" w:ascii="宋体" w:hAnsi="宋体" w:eastAsia="宋体" w:cs="宋体"/>
                <w:bCs/>
                <w:szCs w:val="21"/>
              </w:rPr>
            </w:pPr>
            <w:r>
              <w:rPr>
                <w:rFonts w:hint="eastAsia" w:ascii="宋体" w:hAnsi="宋体" w:eastAsia="宋体" w:cs="宋体"/>
                <w:bCs/>
                <w:szCs w:val="21"/>
              </w:rPr>
              <w:t>2</w:t>
            </w:r>
          </w:p>
        </w:tc>
        <w:tc>
          <w:tcPr>
            <w:tcW w:w="2356" w:type="dxa"/>
            <w:tcBorders>
              <w:tl2br w:val="nil"/>
              <w:tr2bl w:val="nil"/>
            </w:tcBorders>
            <w:vAlign w:val="center"/>
          </w:tcPr>
          <w:p w14:paraId="618AE0FC">
            <w:pPr>
              <w:jc w:val="center"/>
              <w:rPr>
                <w:rFonts w:hint="eastAsia" w:ascii="宋体" w:hAnsi="宋体" w:eastAsia="宋体" w:cs="宋体"/>
                <w:bCs/>
                <w:szCs w:val="21"/>
              </w:rPr>
            </w:pPr>
            <w:r>
              <w:rPr>
                <w:rFonts w:hint="eastAsia" w:ascii="宋体" w:hAnsi="宋体" w:eastAsia="宋体" w:cs="宋体"/>
                <w:bCs/>
                <w:szCs w:val="21"/>
              </w:rPr>
              <w:t>***</w:t>
            </w:r>
          </w:p>
        </w:tc>
        <w:tc>
          <w:tcPr>
            <w:tcW w:w="904" w:type="dxa"/>
            <w:tcBorders>
              <w:tl2br w:val="nil"/>
              <w:tr2bl w:val="nil"/>
            </w:tcBorders>
            <w:vAlign w:val="center"/>
          </w:tcPr>
          <w:p w14:paraId="27E5FF56">
            <w:pPr>
              <w:jc w:val="center"/>
              <w:rPr>
                <w:rFonts w:hint="eastAsia" w:ascii="宋体" w:hAnsi="宋体" w:eastAsia="宋体" w:cs="宋体"/>
                <w:bCs/>
                <w:szCs w:val="21"/>
              </w:rPr>
            </w:pPr>
          </w:p>
        </w:tc>
        <w:tc>
          <w:tcPr>
            <w:tcW w:w="899" w:type="dxa"/>
            <w:tcBorders>
              <w:tl2br w:val="nil"/>
              <w:tr2bl w:val="nil"/>
            </w:tcBorders>
            <w:vAlign w:val="center"/>
          </w:tcPr>
          <w:p w14:paraId="3D814D46">
            <w:pPr>
              <w:jc w:val="center"/>
              <w:rPr>
                <w:rFonts w:hint="eastAsia" w:ascii="宋体" w:hAnsi="宋体" w:eastAsia="宋体" w:cs="宋体"/>
                <w:bCs/>
                <w:szCs w:val="21"/>
              </w:rPr>
            </w:pPr>
          </w:p>
        </w:tc>
        <w:tc>
          <w:tcPr>
            <w:tcW w:w="853" w:type="dxa"/>
            <w:tcBorders>
              <w:tl2br w:val="nil"/>
              <w:tr2bl w:val="nil"/>
            </w:tcBorders>
            <w:vAlign w:val="center"/>
          </w:tcPr>
          <w:p w14:paraId="247E57C3">
            <w:pPr>
              <w:jc w:val="center"/>
              <w:rPr>
                <w:rFonts w:hint="eastAsia" w:ascii="宋体" w:hAnsi="宋体" w:eastAsia="宋体" w:cs="宋体"/>
                <w:bCs/>
                <w:szCs w:val="21"/>
              </w:rPr>
            </w:pPr>
          </w:p>
        </w:tc>
        <w:tc>
          <w:tcPr>
            <w:tcW w:w="880" w:type="dxa"/>
            <w:tcBorders>
              <w:tl2br w:val="nil"/>
              <w:tr2bl w:val="nil"/>
            </w:tcBorders>
            <w:vAlign w:val="center"/>
          </w:tcPr>
          <w:p w14:paraId="1DF9ABCF">
            <w:pPr>
              <w:jc w:val="center"/>
              <w:rPr>
                <w:rFonts w:hint="eastAsia" w:ascii="宋体" w:hAnsi="宋体" w:eastAsia="宋体" w:cs="宋体"/>
                <w:bCs/>
                <w:szCs w:val="21"/>
              </w:rPr>
            </w:pPr>
          </w:p>
        </w:tc>
        <w:tc>
          <w:tcPr>
            <w:tcW w:w="598" w:type="dxa"/>
            <w:tcBorders>
              <w:tl2br w:val="nil"/>
              <w:tr2bl w:val="nil"/>
            </w:tcBorders>
            <w:vAlign w:val="center"/>
          </w:tcPr>
          <w:p w14:paraId="0E40E11F">
            <w:pPr>
              <w:jc w:val="center"/>
              <w:rPr>
                <w:rFonts w:hint="eastAsia" w:ascii="宋体" w:hAnsi="宋体" w:eastAsia="宋体" w:cs="宋体"/>
                <w:bCs/>
                <w:szCs w:val="21"/>
              </w:rPr>
            </w:pPr>
            <w:r>
              <w:rPr>
                <w:rFonts w:hint="eastAsia" w:ascii="宋体" w:hAnsi="宋体" w:eastAsia="宋体" w:cs="宋体"/>
                <w:bCs/>
                <w:szCs w:val="21"/>
              </w:rPr>
              <w:t>*</w:t>
            </w:r>
          </w:p>
        </w:tc>
        <w:tc>
          <w:tcPr>
            <w:tcW w:w="483" w:type="dxa"/>
            <w:tcBorders>
              <w:tl2br w:val="nil"/>
              <w:tr2bl w:val="nil"/>
            </w:tcBorders>
            <w:vAlign w:val="center"/>
          </w:tcPr>
          <w:p w14:paraId="6A090939">
            <w:pPr>
              <w:jc w:val="center"/>
              <w:rPr>
                <w:rFonts w:hint="eastAsia" w:ascii="宋体" w:hAnsi="宋体" w:eastAsia="宋体" w:cs="宋体"/>
                <w:bCs/>
                <w:szCs w:val="21"/>
              </w:rPr>
            </w:pPr>
            <w:r>
              <w:rPr>
                <w:rFonts w:hint="eastAsia" w:ascii="宋体" w:hAnsi="宋体" w:eastAsia="宋体" w:cs="宋体"/>
                <w:bCs/>
                <w:szCs w:val="21"/>
              </w:rPr>
              <w:t>*</w:t>
            </w:r>
          </w:p>
        </w:tc>
        <w:tc>
          <w:tcPr>
            <w:tcW w:w="739" w:type="dxa"/>
            <w:tcBorders>
              <w:tl2br w:val="nil"/>
              <w:tr2bl w:val="nil"/>
            </w:tcBorders>
            <w:vAlign w:val="center"/>
          </w:tcPr>
          <w:p w14:paraId="77B3BAED">
            <w:pPr>
              <w:jc w:val="center"/>
              <w:rPr>
                <w:rFonts w:hint="eastAsia" w:ascii="宋体" w:hAnsi="宋体" w:eastAsia="宋体" w:cs="宋体"/>
                <w:bCs/>
                <w:szCs w:val="21"/>
              </w:rPr>
            </w:pPr>
          </w:p>
        </w:tc>
        <w:tc>
          <w:tcPr>
            <w:tcW w:w="730" w:type="dxa"/>
            <w:tcBorders>
              <w:tl2br w:val="nil"/>
              <w:tr2bl w:val="nil"/>
            </w:tcBorders>
            <w:vAlign w:val="center"/>
          </w:tcPr>
          <w:p w14:paraId="45171387">
            <w:pPr>
              <w:jc w:val="center"/>
              <w:rPr>
                <w:rFonts w:hint="eastAsia" w:ascii="宋体" w:hAnsi="宋体" w:eastAsia="宋体" w:cs="宋体"/>
                <w:bCs/>
                <w:szCs w:val="21"/>
              </w:rPr>
            </w:pPr>
          </w:p>
        </w:tc>
      </w:tr>
      <w:tr w14:paraId="0FBDFC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74" w:type="dxa"/>
            <w:tcBorders>
              <w:tl2br w:val="nil"/>
              <w:tr2bl w:val="nil"/>
            </w:tcBorders>
          </w:tcPr>
          <w:p w14:paraId="54B75A1E">
            <w:pPr>
              <w:jc w:val="center"/>
              <w:rPr>
                <w:rFonts w:hint="eastAsia" w:ascii="宋体" w:hAnsi="宋体" w:eastAsia="宋体" w:cs="宋体"/>
                <w:bCs/>
                <w:szCs w:val="21"/>
              </w:rPr>
            </w:pPr>
            <w:r>
              <w:rPr>
                <w:rFonts w:hint="eastAsia" w:ascii="宋体" w:hAnsi="宋体" w:eastAsia="宋体" w:cs="宋体"/>
                <w:bCs/>
                <w:szCs w:val="21"/>
              </w:rPr>
              <w:t>3</w:t>
            </w:r>
          </w:p>
        </w:tc>
        <w:tc>
          <w:tcPr>
            <w:tcW w:w="2356" w:type="dxa"/>
            <w:tcBorders>
              <w:tl2br w:val="nil"/>
              <w:tr2bl w:val="nil"/>
            </w:tcBorders>
            <w:vAlign w:val="center"/>
          </w:tcPr>
          <w:p w14:paraId="19090F63">
            <w:pPr>
              <w:jc w:val="center"/>
              <w:rPr>
                <w:rFonts w:hint="eastAsia" w:ascii="宋体" w:hAnsi="宋体" w:eastAsia="宋体" w:cs="宋体"/>
                <w:bCs/>
                <w:szCs w:val="21"/>
              </w:rPr>
            </w:pPr>
            <w:r>
              <w:rPr>
                <w:rFonts w:hint="eastAsia" w:ascii="宋体" w:hAnsi="宋体" w:eastAsia="宋体" w:cs="宋体"/>
                <w:bCs/>
                <w:szCs w:val="21"/>
              </w:rPr>
              <w:t>***</w:t>
            </w:r>
          </w:p>
        </w:tc>
        <w:tc>
          <w:tcPr>
            <w:tcW w:w="904" w:type="dxa"/>
            <w:tcBorders>
              <w:tl2br w:val="nil"/>
              <w:tr2bl w:val="nil"/>
            </w:tcBorders>
            <w:vAlign w:val="center"/>
          </w:tcPr>
          <w:p w14:paraId="0B9FFE51">
            <w:pPr>
              <w:jc w:val="center"/>
              <w:rPr>
                <w:rFonts w:hint="eastAsia" w:ascii="宋体" w:hAnsi="宋体" w:eastAsia="宋体" w:cs="宋体"/>
                <w:bCs/>
                <w:szCs w:val="21"/>
              </w:rPr>
            </w:pPr>
          </w:p>
        </w:tc>
        <w:tc>
          <w:tcPr>
            <w:tcW w:w="899" w:type="dxa"/>
            <w:tcBorders>
              <w:tl2br w:val="nil"/>
              <w:tr2bl w:val="nil"/>
            </w:tcBorders>
            <w:vAlign w:val="center"/>
          </w:tcPr>
          <w:p w14:paraId="13EC297E">
            <w:pPr>
              <w:jc w:val="center"/>
              <w:rPr>
                <w:rFonts w:hint="eastAsia" w:ascii="宋体" w:hAnsi="宋体" w:eastAsia="宋体" w:cs="宋体"/>
                <w:bCs/>
                <w:szCs w:val="21"/>
              </w:rPr>
            </w:pPr>
          </w:p>
        </w:tc>
        <w:tc>
          <w:tcPr>
            <w:tcW w:w="853" w:type="dxa"/>
            <w:tcBorders>
              <w:tl2br w:val="nil"/>
              <w:tr2bl w:val="nil"/>
            </w:tcBorders>
            <w:vAlign w:val="center"/>
          </w:tcPr>
          <w:p w14:paraId="660085DC">
            <w:pPr>
              <w:jc w:val="center"/>
              <w:rPr>
                <w:rFonts w:hint="eastAsia" w:ascii="宋体" w:hAnsi="宋体" w:eastAsia="宋体" w:cs="宋体"/>
                <w:bCs/>
                <w:szCs w:val="21"/>
              </w:rPr>
            </w:pPr>
          </w:p>
        </w:tc>
        <w:tc>
          <w:tcPr>
            <w:tcW w:w="880" w:type="dxa"/>
            <w:tcBorders>
              <w:tl2br w:val="nil"/>
              <w:tr2bl w:val="nil"/>
            </w:tcBorders>
            <w:vAlign w:val="center"/>
          </w:tcPr>
          <w:p w14:paraId="3D1C46E0">
            <w:pPr>
              <w:jc w:val="center"/>
              <w:rPr>
                <w:rFonts w:hint="eastAsia" w:ascii="宋体" w:hAnsi="宋体" w:eastAsia="宋体" w:cs="宋体"/>
                <w:bCs/>
                <w:szCs w:val="21"/>
              </w:rPr>
            </w:pPr>
          </w:p>
        </w:tc>
        <w:tc>
          <w:tcPr>
            <w:tcW w:w="598" w:type="dxa"/>
            <w:tcBorders>
              <w:tl2br w:val="nil"/>
              <w:tr2bl w:val="nil"/>
            </w:tcBorders>
            <w:vAlign w:val="center"/>
          </w:tcPr>
          <w:p w14:paraId="00D7E62E">
            <w:pPr>
              <w:jc w:val="center"/>
              <w:rPr>
                <w:rFonts w:hint="eastAsia" w:ascii="宋体" w:hAnsi="宋体" w:eastAsia="宋体" w:cs="宋体"/>
                <w:bCs/>
                <w:szCs w:val="21"/>
              </w:rPr>
            </w:pPr>
            <w:r>
              <w:rPr>
                <w:rFonts w:hint="eastAsia" w:ascii="宋体" w:hAnsi="宋体" w:eastAsia="宋体" w:cs="宋体"/>
                <w:bCs/>
                <w:szCs w:val="21"/>
              </w:rPr>
              <w:t>*</w:t>
            </w:r>
          </w:p>
        </w:tc>
        <w:tc>
          <w:tcPr>
            <w:tcW w:w="483" w:type="dxa"/>
            <w:tcBorders>
              <w:tl2br w:val="nil"/>
              <w:tr2bl w:val="nil"/>
            </w:tcBorders>
            <w:vAlign w:val="center"/>
          </w:tcPr>
          <w:p w14:paraId="75A62E47">
            <w:pPr>
              <w:jc w:val="center"/>
              <w:rPr>
                <w:rFonts w:hint="eastAsia" w:ascii="宋体" w:hAnsi="宋体" w:eastAsia="宋体" w:cs="宋体"/>
                <w:bCs/>
                <w:szCs w:val="21"/>
              </w:rPr>
            </w:pPr>
            <w:r>
              <w:rPr>
                <w:rFonts w:hint="eastAsia" w:ascii="宋体" w:hAnsi="宋体" w:eastAsia="宋体" w:cs="宋体"/>
                <w:bCs/>
                <w:szCs w:val="21"/>
              </w:rPr>
              <w:t>*</w:t>
            </w:r>
          </w:p>
        </w:tc>
        <w:tc>
          <w:tcPr>
            <w:tcW w:w="739" w:type="dxa"/>
            <w:tcBorders>
              <w:tl2br w:val="nil"/>
              <w:tr2bl w:val="nil"/>
            </w:tcBorders>
            <w:vAlign w:val="center"/>
          </w:tcPr>
          <w:p w14:paraId="034A4326">
            <w:pPr>
              <w:jc w:val="center"/>
              <w:rPr>
                <w:rFonts w:hint="eastAsia" w:ascii="宋体" w:hAnsi="宋体" w:eastAsia="宋体" w:cs="宋体"/>
                <w:bCs/>
                <w:szCs w:val="21"/>
              </w:rPr>
            </w:pPr>
          </w:p>
        </w:tc>
        <w:tc>
          <w:tcPr>
            <w:tcW w:w="730" w:type="dxa"/>
            <w:tcBorders>
              <w:tl2br w:val="nil"/>
              <w:tr2bl w:val="nil"/>
            </w:tcBorders>
            <w:vAlign w:val="center"/>
          </w:tcPr>
          <w:p w14:paraId="52FEB04B">
            <w:pPr>
              <w:jc w:val="center"/>
              <w:rPr>
                <w:rFonts w:hint="eastAsia" w:ascii="宋体" w:hAnsi="宋体" w:eastAsia="宋体" w:cs="宋体"/>
                <w:bCs/>
                <w:szCs w:val="21"/>
              </w:rPr>
            </w:pPr>
          </w:p>
        </w:tc>
      </w:tr>
      <w:tr w14:paraId="2AA0DF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74" w:type="dxa"/>
            <w:tcBorders>
              <w:tl2br w:val="nil"/>
              <w:tr2bl w:val="nil"/>
            </w:tcBorders>
          </w:tcPr>
          <w:p w14:paraId="068D71E8">
            <w:pPr>
              <w:jc w:val="center"/>
              <w:rPr>
                <w:rFonts w:hint="eastAsia" w:ascii="宋体" w:hAnsi="宋体" w:eastAsia="宋体" w:cs="宋体"/>
                <w:bCs/>
                <w:szCs w:val="21"/>
              </w:rPr>
            </w:pPr>
            <w:r>
              <w:rPr>
                <w:rFonts w:hint="eastAsia" w:ascii="宋体" w:hAnsi="宋体" w:eastAsia="宋体" w:cs="宋体"/>
                <w:bCs/>
                <w:szCs w:val="21"/>
              </w:rPr>
              <w:t>4</w:t>
            </w:r>
          </w:p>
        </w:tc>
        <w:tc>
          <w:tcPr>
            <w:tcW w:w="2356" w:type="dxa"/>
            <w:tcBorders>
              <w:tl2br w:val="nil"/>
              <w:tr2bl w:val="nil"/>
            </w:tcBorders>
            <w:vAlign w:val="center"/>
          </w:tcPr>
          <w:p w14:paraId="7B5780DC">
            <w:pPr>
              <w:jc w:val="center"/>
              <w:rPr>
                <w:rFonts w:hint="eastAsia" w:ascii="宋体" w:hAnsi="宋体" w:eastAsia="宋体" w:cs="宋体"/>
                <w:bCs/>
                <w:szCs w:val="21"/>
              </w:rPr>
            </w:pPr>
            <w:r>
              <w:rPr>
                <w:rFonts w:hint="eastAsia" w:ascii="宋体" w:hAnsi="宋体" w:eastAsia="宋体" w:cs="宋体"/>
                <w:bCs/>
                <w:szCs w:val="21"/>
              </w:rPr>
              <w:t>……</w:t>
            </w:r>
          </w:p>
        </w:tc>
        <w:tc>
          <w:tcPr>
            <w:tcW w:w="904" w:type="dxa"/>
            <w:tcBorders>
              <w:tl2br w:val="nil"/>
              <w:tr2bl w:val="nil"/>
            </w:tcBorders>
            <w:vAlign w:val="center"/>
          </w:tcPr>
          <w:p w14:paraId="66F75EDF">
            <w:pPr>
              <w:jc w:val="center"/>
              <w:rPr>
                <w:rFonts w:hint="eastAsia" w:ascii="宋体" w:hAnsi="宋体" w:eastAsia="宋体" w:cs="宋体"/>
                <w:bCs/>
                <w:szCs w:val="21"/>
              </w:rPr>
            </w:pPr>
          </w:p>
        </w:tc>
        <w:tc>
          <w:tcPr>
            <w:tcW w:w="899" w:type="dxa"/>
            <w:tcBorders>
              <w:tl2br w:val="nil"/>
              <w:tr2bl w:val="nil"/>
            </w:tcBorders>
            <w:vAlign w:val="center"/>
          </w:tcPr>
          <w:p w14:paraId="3AFF8108">
            <w:pPr>
              <w:jc w:val="center"/>
              <w:rPr>
                <w:rFonts w:hint="eastAsia" w:ascii="宋体" w:hAnsi="宋体" w:eastAsia="宋体" w:cs="宋体"/>
                <w:bCs/>
                <w:szCs w:val="21"/>
              </w:rPr>
            </w:pPr>
          </w:p>
        </w:tc>
        <w:tc>
          <w:tcPr>
            <w:tcW w:w="853" w:type="dxa"/>
            <w:tcBorders>
              <w:tl2br w:val="nil"/>
              <w:tr2bl w:val="nil"/>
            </w:tcBorders>
            <w:vAlign w:val="center"/>
          </w:tcPr>
          <w:p w14:paraId="7705D895">
            <w:pPr>
              <w:jc w:val="center"/>
              <w:rPr>
                <w:rFonts w:hint="eastAsia" w:ascii="宋体" w:hAnsi="宋体" w:eastAsia="宋体" w:cs="宋体"/>
                <w:bCs/>
                <w:szCs w:val="21"/>
              </w:rPr>
            </w:pPr>
          </w:p>
        </w:tc>
        <w:tc>
          <w:tcPr>
            <w:tcW w:w="880" w:type="dxa"/>
            <w:tcBorders>
              <w:tl2br w:val="nil"/>
              <w:tr2bl w:val="nil"/>
            </w:tcBorders>
            <w:vAlign w:val="center"/>
          </w:tcPr>
          <w:p w14:paraId="3652D3AD">
            <w:pPr>
              <w:jc w:val="center"/>
              <w:rPr>
                <w:rFonts w:hint="eastAsia" w:ascii="宋体" w:hAnsi="宋体" w:eastAsia="宋体" w:cs="宋体"/>
                <w:bCs/>
                <w:szCs w:val="21"/>
              </w:rPr>
            </w:pPr>
          </w:p>
        </w:tc>
        <w:tc>
          <w:tcPr>
            <w:tcW w:w="598" w:type="dxa"/>
            <w:tcBorders>
              <w:tl2br w:val="nil"/>
              <w:tr2bl w:val="nil"/>
            </w:tcBorders>
            <w:vAlign w:val="center"/>
          </w:tcPr>
          <w:p w14:paraId="228F5DF4">
            <w:pPr>
              <w:jc w:val="center"/>
              <w:rPr>
                <w:rFonts w:hint="eastAsia" w:ascii="宋体" w:hAnsi="宋体" w:eastAsia="宋体" w:cs="宋体"/>
                <w:bCs/>
                <w:szCs w:val="21"/>
              </w:rPr>
            </w:pPr>
            <w:r>
              <w:rPr>
                <w:rFonts w:hint="eastAsia" w:ascii="宋体" w:hAnsi="宋体" w:eastAsia="宋体" w:cs="宋体"/>
                <w:bCs/>
                <w:szCs w:val="21"/>
              </w:rPr>
              <w:t>*</w:t>
            </w:r>
          </w:p>
        </w:tc>
        <w:tc>
          <w:tcPr>
            <w:tcW w:w="483" w:type="dxa"/>
            <w:tcBorders>
              <w:tl2br w:val="nil"/>
              <w:tr2bl w:val="nil"/>
            </w:tcBorders>
            <w:vAlign w:val="center"/>
          </w:tcPr>
          <w:p w14:paraId="711425C4">
            <w:pPr>
              <w:jc w:val="center"/>
              <w:rPr>
                <w:rFonts w:hint="eastAsia" w:ascii="宋体" w:hAnsi="宋体" w:eastAsia="宋体" w:cs="宋体"/>
                <w:bCs/>
                <w:szCs w:val="21"/>
              </w:rPr>
            </w:pPr>
            <w:r>
              <w:rPr>
                <w:rFonts w:hint="eastAsia" w:ascii="宋体" w:hAnsi="宋体" w:eastAsia="宋体" w:cs="宋体"/>
                <w:bCs/>
                <w:szCs w:val="21"/>
              </w:rPr>
              <w:t>*</w:t>
            </w:r>
          </w:p>
        </w:tc>
        <w:tc>
          <w:tcPr>
            <w:tcW w:w="739" w:type="dxa"/>
            <w:tcBorders>
              <w:tl2br w:val="nil"/>
              <w:tr2bl w:val="nil"/>
            </w:tcBorders>
            <w:vAlign w:val="center"/>
          </w:tcPr>
          <w:p w14:paraId="2CF9BF06">
            <w:pPr>
              <w:jc w:val="center"/>
              <w:rPr>
                <w:rFonts w:hint="eastAsia" w:ascii="宋体" w:hAnsi="宋体" w:eastAsia="宋体" w:cs="宋体"/>
                <w:bCs/>
                <w:szCs w:val="21"/>
              </w:rPr>
            </w:pPr>
          </w:p>
        </w:tc>
        <w:tc>
          <w:tcPr>
            <w:tcW w:w="730" w:type="dxa"/>
            <w:tcBorders>
              <w:tl2br w:val="nil"/>
              <w:tr2bl w:val="nil"/>
            </w:tcBorders>
            <w:vAlign w:val="center"/>
          </w:tcPr>
          <w:p w14:paraId="04221589">
            <w:pPr>
              <w:jc w:val="center"/>
              <w:rPr>
                <w:rFonts w:hint="eastAsia" w:ascii="宋体" w:hAnsi="宋体" w:eastAsia="宋体" w:cs="宋体"/>
                <w:bCs/>
                <w:szCs w:val="21"/>
              </w:rPr>
            </w:pPr>
          </w:p>
        </w:tc>
      </w:tr>
      <w:tr w14:paraId="6E527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934" w:type="dxa"/>
            <w:gridSpan w:val="3"/>
            <w:tcBorders>
              <w:tl2br w:val="nil"/>
              <w:tr2bl w:val="nil"/>
            </w:tcBorders>
          </w:tcPr>
          <w:p w14:paraId="78B5487A">
            <w:pPr>
              <w:jc w:val="both"/>
              <w:rPr>
                <w:rFonts w:hint="eastAsia" w:ascii="宋体" w:hAnsi="宋体" w:eastAsia="宋体" w:cs="宋体"/>
                <w:b/>
                <w:szCs w:val="21"/>
              </w:rPr>
            </w:pPr>
            <w:r>
              <w:rPr>
                <w:rFonts w:hint="eastAsia"/>
                <w:b/>
                <w:szCs w:val="21"/>
              </w:rPr>
              <w:t>合计（即投标总价；单位：元）</w:t>
            </w:r>
          </w:p>
        </w:tc>
        <w:tc>
          <w:tcPr>
            <w:tcW w:w="5182" w:type="dxa"/>
            <w:gridSpan w:val="7"/>
            <w:tcBorders>
              <w:tl2br w:val="nil"/>
              <w:tr2bl w:val="nil"/>
            </w:tcBorders>
          </w:tcPr>
          <w:p w14:paraId="5DAA6E33">
            <w:pPr>
              <w:jc w:val="both"/>
              <w:rPr>
                <w:b/>
                <w:szCs w:val="21"/>
              </w:rPr>
            </w:pPr>
            <w:r>
              <w:rPr>
                <w:rFonts w:hint="eastAsia"/>
                <w:b/>
                <w:szCs w:val="21"/>
              </w:rPr>
              <w:t xml:space="preserve"> 小写：         </w:t>
            </w:r>
            <w:r>
              <w:rPr>
                <w:rFonts w:hint="eastAsia" w:eastAsia="宋体"/>
                <w:b/>
                <w:szCs w:val="21"/>
              </w:rPr>
              <w:t xml:space="preserve"> </w:t>
            </w:r>
            <w:r>
              <w:rPr>
                <w:rFonts w:hint="eastAsia"/>
                <w:b/>
                <w:szCs w:val="21"/>
              </w:rPr>
              <w:t xml:space="preserve">   大写：</w:t>
            </w:r>
          </w:p>
        </w:tc>
      </w:tr>
    </w:tbl>
    <w:p w14:paraId="6D2D0179">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注：</w:t>
      </w:r>
    </w:p>
    <w:p w14:paraId="729E6814">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1.本表可按同样格式扩展。</w:t>
      </w:r>
    </w:p>
    <w:p w14:paraId="420BC179">
      <w:pPr>
        <w:ind w:firstLine="413" w:firstLineChars="196"/>
        <w:rPr>
          <w:rFonts w:hint="eastAsia" w:ascii="宋体" w:hAnsi="宋体" w:eastAsia="宋体" w:cs="宋体"/>
          <w:b/>
          <w:color w:val="FF0000"/>
          <w:sz w:val="21"/>
          <w:szCs w:val="21"/>
        </w:rPr>
      </w:pPr>
      <w:r>
        <w:rPr>
          <w:rFonts w:hint="eastAsia" w:ascii="宋体" w:hAnsi="宋体" w:eastAsia="宋体" w:cs="宋体"/>
          <w:b/>
          <w:color w:val="FF0000"/>
          <w:sz w:val="21"/>
          <w:szCs w:val="21"/>
        </w:rPr>
        <w:t>2.“品牌”可以与商标一致，也可以填写便于区分其他公司商品的制造商简称或者制造商认可的品牌名称。此类填写错误或缺漏的不利后果由供应商承担。经评审委员会认定，在使用综合评分法的项目中一项此类填写错误或缺漏将按照一项普通招标技术要求（一般参数/普通参数）负偏离扣分处理。</w:t>
      </w:r>
    </w:p>
    <w:p w14:paraId="580A22AF">
      <w:pPr>
        <w:ind w:firstLine="413" w:firstLineChars="196"/>
        <w:rPr>
          <w:rFonts w:hint="eastAsia" w:ascii="宋体" w:hAnsi="宋体" w:eastAsia="宋体" w:cs="宋体"/>
          <w:b/>
          <w:color w:val="FF0000"/>
          <w:sz w:val="21"/>
          <w:szCs w:val="21"/>
        </w:rPr>
      </w:pPr>
      <w:r>
        <w:rPr>
          <w:rFonts w:hint="eastAsia" w:ascii="宋体" w:hAnsi="宋体" w:eastAsia="宋体" w:cs="宋体"/>
          <w:b/>
          <w:color w:val="FF0000"/>
          <w:sz w:val="21"/>
          <w:szCs w:val="21"/>
        </w:rPr>
        <w:t>3.如所投货物属于定制类的非量产货物或无具体型号的货物，可以在“规格/型号”栏目仅填写规格信息而不填型号信息（型号信息用“定制”描述即可）；</w:t>
      </w:r>
      <w:bookmarkStart w:id="30" w:name="_Hlk73646428"/>
      <w:r>
        <w:rPr>
          <w:rFonts w:hint="eastAsia" w:ascii="宋体" w:hAnsi="宋体" w:eastAsia="宋体" w:cs="宋体"/>
          <w:b/>
          <w:color w:val="FF0000"/>
          <w:sz w:val="21"/>
          <w:szCs w:val="21"/>
        </w:rPr>
        <w:t>此类填写错误或缺漏（如所投货物为定制类的非量产货物，但供应商却错误填报了型号）的不利后果由供应商承担。经评审委员会认定，在使用综合评分法的项目中一项此类填写错误或缺漏将按照一项普通招标技术要求（一般参数/普通参数）负偏离扣分处理。</w:t>
      </w:r>
      <w:bookmarkEnd w:id="30"/>
    </w:p>
    <w:p w14:paraId="17E18AB7">
      <w:pPr>
        <w:ind w:firstLine="413" w:firstLineChars="196"/>
        <w:rPr>
          <w:rFonts w:hint="eastAsia" w:ascii="宋体" w:hAnsi="宋体" w:eastAsia="宋体" w:cs="宋体"/>
          <w:b/>
          <w:color w:val="FF0000"/>
          <w:sz w:val="21"/>
          <w:szCs w:val="21"/>
        </w:rPr>
      </w:pPr>
      <w:r>
        <w:rPr>
          <w:rFonts w:hint="eastAsia" w:ascii="宋体" w:hAnsi="宋体" w:eastAsia="宋体" w:cs="宋体"/>
          <w:b/>
          <w:color w:val="FF0000"/>
          <w:sz w:val="21"/>
          <w:szCs w:val="21"/>
        </w:rPr>
        <w:t>4.“原产地”是指货物的实际生产加工地，非品牌所在地。</w:t>
      </w:r>
    </w:p>
    <w:p w14:paraId="42933A9D">
      <w:pPr>
        <w:ind w:firstLine="413" w:firstLineChars="196"/>
        <w:rPr>
          <w:rFonts w:hint="eastAsia" w:ascii="宋体" w:hAnsi="宋体" w:eastAsia="宋体" w:cs="宋体"/>
          <w:b/>
          <w:color w:val="FF0000"/>
          <w:sz w:val="21"/>
          <w:szCs w:val="21"/>
        </w:rPr>
      </w:pPr>
      <w:r>
        <w:rPr>
          <w:rFonts w:hint="eastAsia" w:ascii="宋体" w:hAnsi="宋体" w:eastAsia="宋体" w:cs="宋体"/>
          <w:b/>
          <w:color w:val="FF0000"/>
          <w:sz w:val="21"/>
          <w:szCs w:val="21"/>
        </w:rPr>
        <w:t>5.“制造商”是指产品品牌厂商，同一品牌国内外均有制造商的，应填写国内制造商；产品代工制造的，应填写接受委托生产制造的制造商等。</w:t>
      </w:r>
    </w:p>
    <w:p w14:paraId="253C725A">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6.以上分项报价表的投标总价应当与开标一览表的投标总价一致。</w:t>
      </w:r>
    </w:p>
    <w:p w14:paraId="1AFBADF4">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7.单价、合价和投标总价为包干价，即三者均应包含货物的价款、包装、运输、装卸、安装、调试、技术指导、培训、咨询、服务、保险、税费、检测、验收合格交付使用之前以及技术和售后服务等其他各项有关费用。（若招标文件商务要求中对于报价有要求的以商务要求中的条款为准）。</w:t>
      </w:r>
    </w:p>
    <w:p w14:paraId="444D3984">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8.所有价格应按“招标文件”中规定的货币单位填写；投标总价应为以上各分项价格之和；投标总价和项目报价表中单个采购预算条目报价均不得超过对应的预算金额，否则将导致投标无效。</w:t>
      </w:r>
    </w:p>
    <w:p w14:paraId="61A4488E">
      <w:pPr>
        <w:tabs>
          <w:tab w:val="left" w:pos="720"/>
        </w:tabs>
        <w:jc w:val="center"/>
        <w:rPr>
          <w:b/>
        </w:rPr>
      </w:pPr>
    </w:p>
    <w:p w14:paraId="768053FD">
      <w:pPr>
        <w:tabs>
          <w:tab w:val="left" w:pos="720"/>
        </w:tabs>
        <w:jc w:val="center"/>
        <w:outlineLvl w:val="4"/>
        <w:rPr>
          <w:b/>
        </w:rPr>
      </w:pPr>
      <w:r>
        <w:rPr>
          <w:rFonts w:hint="eastAsia" w:ascii="宋体" w:hAnsi="宋体" w:eastAsia="宋体" w:cs="宋体"/>
          <w:b/>
        </w:rPr>
        <w:t>（</w:t>
      </w:r>
      <w:r>
        <w:rPr>
          <w:rFonts w:hint="eastAsia"/>
          <w:b/>
        </w:rPr>
        <w:t>二）核心产品品牌</w:t>
      </w:r>
    </w:p>
    <w:p w14:paraId="3422FA09">
      <w:pPr>
        <w:tabs>
          <w:tab w:val="left" w:pos="720"/>
        </w:tabs>
        <w:jc w:val="center"/>
        <w:rPr>
          <w:b/>
        </w:rPr>
      </w:pPr>
    </w:p>
    <w:p w14:paraId="3CDEFF1D">
      <w:pPr>
        <w:spacing w:line="360" w:lineRule="auto"/>
        <w:ind w:firstLine="482" w:firstLineChars="200"/>
        <w:rPr>
          <w:rFonts w:ascii="宋体" w:hAnsi="宋体"/>
          <w:b/>
        </w:rPr>
      </w:pPr>
      <w:r>
        <w:rPr>
          <w:rFonts w:hint="eastAsia" w:ascii="宋体" w:hAnsi="宋体" w:eastAsia="宋体" w:cs="宋体"/>
          <w:b/>
        </w:rPr>
        <w:t>我</w:t>
      </w:r>
      <w:r>
        <w:rPr>
          <w:rFonts w:hint="eastAsia"/>
          <w:b/>
        </w:rPr>
        <w:t>单位所投核心产品的品牌为：</w:t>
      </w:r>
      <w:r>
        <w:rPr>
          <w:rFonts w:hint="eastAsia"/>
          <w:b/>
          <w:bCs/>
          <w:szCs w:val="21"/>
          <w:u w:val="single"/>
        </w:rPr>
        <w:tab/>
      </w:r>
      <w:r>
        <w:rPr>
          <w:rFonts w:hint="eastAsia"/>
          <w:b/>
          <w:bCs/>
          <w:szCs w:val="21"/>
          <w:u w:val="single"/>
        </w:rPr>
        <w:tab/>
      </w:r>
      <w:r>
        <w:rPr>
          <w:rFonts w:hint="eastAsia"/>
          <w:b/>
          <w:bCs/>
          <w:szCs w:val="21"/>
          <w:u w:val="single"/>
        </w:rPr>
        <w:tab/>
      </w:r>
      <w:r>
        <w:rPr>
          <w:rFonts w:hint="eastAsia"/>
          <w:b/>
          <w:bCs/>
          <w:szCs w:val="21"/>
          <w:u w:val="single"/>
        </w:rPr>
        <w:tab/>
      </w:r>
      <w:r>
        <w:rPr>
          <w:rFonts w:hint="eastAsia"/>
          <w:b/>
        </w:rPr>
        <w:t>。</w:t>
      </w:r>
    </w:p>
    <w:p w14:paraId="51EDDF30">
      <w:pPr>
        <w:spacing w:line="360" w:lineRule="auto"/>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备注：招标文件未列明核心产品的，无需填写该项。</w:t>
      </w:r>
    </w:p>
    <w:p w14:paraId="2D98249B">
      <w:pPr>
        <w:ind w:firstLine="1201" w:firstLineChars="500"/>
        <w:rPr>
          <w:rFonts w:ascii="宋体" w:hAnsi="宋体"/>
          <w:b/>
          <w:bCs/>
        </w:rPr>
      </w:pPr>
    </w:p>
    <w:p w14:paraId="40C124ED">
      <w:pPr>
        <w:rPr>
          <w:b/>
        </w:rPr>
      </w:pPr>
    </w:p>
    <w:p w14:paraId="4CB27109">
      <w:pPr>
        <w:tabs>
          <w:tab w:val="left" w:pos="720"/>
        </w:tabs>
        <w:ind w:firstLine="1928" w:firstLineChars="800"/>
        <w:outlineLvl w:val="4"/>
        <w:rPr>
          <w:b/>
        </w:rPr>
      </w:pPr>
      <w:r>
        <w:rPr>
          <w:rFonts w:hint="eastAsia" w:ascii="宋体" w:hAnsi="宋体" w:eastAsia="宋体" w:cs="宋体"/>
          <w:b/>
        </w:rPr>
        <w:t>（</w:t>
      </w:r>
      <w:r>
        <w:rPr>
          <w:rFonts w:hint="eastAsia"/>
          <w:b/>
        </w:rPr>
        <w:t>三）可选配件报价清单（不包括在总报价内）</w:t>
      </w:r>
    </w:p>
    <w:p w14:paraId="74A75769">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注：格式可以参照《（一）分项报价表》表格，并提供相应的品牌/规格/型号、原产地、制造商信息（没有品牌、型号的，用“定制”描述即可）、单价等详细信息</w:t>
      </w:r>
    </w:p>
    <w:p w14:paraId="52D13B9F">
      <w:pPr>
        <w:ind w:firstLine="480" w:firstLineChars="200"/>
        <w:rPr>
          <w:rFonts w:hAnsi="宋体"/>
          <w:b/>
          <w:bCs/>
        </w:rPr>
      </w:pPr>
    </w:p>
    <w:p w14:paraId="3FE932EE">
      <w:pPr>
        <w:tabs>
          <w:tab w:val="left" w:pos="720"/>
        </w:tabs>
        <w:jc w:val="center"/>
        <w:outlineLvl w:val="4"/>
        <w:rPr>
          <w:b/>
        </w:rPr>
      </w:pPr>
      <w:r>
        <w:rPr>
          <w:rFonts w:hint="eastAsia" w:ascii="宋体" w:hAnsi="宋体" w:eastAsia="宋体" w:cs="宋体"/>
          <w:b/>
        </w:rPr>
        <w:t>（</w:t>
      </w:r>
      <w:r>
        <w:rPr>
          <w:rFonts w:hint="eastAsia"/>
          <w:b/>
        </w:rPr>
        <w:t>四）</w:t>
      </w:r>
      <w:bookmarkStart w:id="31" w:name="_Hlk72073235"/>
      <w:r>
        <w:rPr>
          <w:rFonts w:hint="eastAsia"/>
          <w:b/>
        </w:rPr>
        <w:t>投标人认为需要涉及的其他内容报价清单</w:t>
      </w:r>
      <w:bookmarkEnd w:id="31"/>
    </w:p>
    <w:p w14:paraId="7053AB13">
      <w:pPr>
        <w:rPr>
          <w:b/>
          <w:bCs/>
        </w:rPr>
      </w:pPr>
    </w:p>
    <w:p w14:paraId="54D6F734">
      <w:pPr>
        <w:rPr>
          <w:rFonts w:hint="eastAsia" w:ascii="黑体" w:hAnsi="宋体" w:eastAsia="宋体"/>
          <w:b/>
          <w:bCs/>
          <w:szCs w:val="20"/>
        </w:rPr>
      </w:pPr>
    </w:p>
    <w:p w14:paraId="0BDB73F0"/>
    <w:p w14:paraId="7CFB81B2">
      <w:pPr>
        <w:ind w:firstLine="723" w:firstLineChars="300"/>
        <w:rPr>
          <w:b/>
          <w:color w:val="FF0000"/>
        </w:rPr>
      </w:pPr>
      <w:r>
        <w:rPr>
          <w:rFonts w:hint="eastAsia" w:ascii="宋体" w:hAnsi="宋体" w:eastAsia="宋体" w:cs="宋体"/>
          <w:b/>
          <w:color w:val="FF0000"/>
        </w:rPr>
        <w:t>（</w:t>
      </w:r>
      <w:r>
        <w:rPr>
          <w:rFonts w:hint="eastAsia"/>
          <w:b/>
          <w:color w:val="FF0000"/>
        </w:rPr>
        <w:t>信息公开部分的内容到此为止！以下为信息不公开部分。）</w:t>
      </w:r>
    </w:p>
    <w:p w14:paraId="57AB7CC1">
      <w:pPr>
        <w:jc w:val="center"/>
        <w:rPr>
          <w:rFonts w:eastAsia="宋体"/>
          <w:b/>
        </w:rPr>
      </w:pPr>
    </w:p>
    <w:p w14:paraId="68DDD1F3">
      <w:pPr>
        <w:jc w:val="center"/>
        <w:rPr>
          <w:rFonts w:eastAsia="宋体"/>
          <w:b/>
        </w:rPr>
      </w:pPr>
    </w:p>
    <w:p w14:paraId="20CC4F51">
      <w:pPr>
        <w:rPr>
          <w:rFonts w:ascii="宋体" w:hAnsi="宋体" w:cs="宋体"/>
          <w:b/>
          <w:color w:val="FF0000"/>
        </w:rPr>
      </w:pPr>
      <w:r>
        <w:rPr>
          <w:rFonts w:hint="eastAsia" w:ascii="宋体" w:hAnsi="宋体" w:cs="宋体"/>
          <w:b/>
          <w:color w:val="FF0000"/>
        </w:rPr>
        <w:br w:type="page"/>
      </w:r>
    </w:p>
    <w:p w14:paraId="590B8973">
      <w:pPr>
        <w:outlineLvl w:val="2"/>
        <w:rPr>
          <w:rFonts w:hint="eastAsia" w:ascii="宋体" w:hAnsi="宋体" w:eastAsia="宋体" w:cs="宋体"/>
          <w:b/>
          <w:color w:val="FF0000"/>
        </w:rPr>
      </w:pPr>
      <w:r>
        <w:rPr>
          <w:rFonts w:hint="eastAsia" w:ascii="宋体" w:hAnsi="宋体" w:cs="宋体"/>
          <w:b/>
          <w:color w:val="FF0000"/>
        </w:rPr>
        <w:t>第二部分：</w:t>
      </w:r>
      <w:r>
        <w:rPr>
          <w:rFonts w:hint="eastAsia" w:ascii="宋体" w:hAnsi="宋体" w:eastAsia="宋体" w:cs="宋体"/>
          <w:b/>
          <w:color w:val="FF0000"/>
        </w:rPr>
        <w:t>投标文件附件（信息不公开部分）</w:t>
      </w:r>
    </w:p>
    <w:p w14:paraId="2AA4F55E">
      <w:pPr>
        <w:pStyle w:val="5"/>
        <w:jc w:val="center"/>
        <w:rPr>
          <w:rFonts w:ascii="黑体"/>
          <w:b w:val="0"/>
          <w:sz w:val="24"/>
        </w:rPr>
      </w:pPr>
      <w:r>
        <w:rPr>
          <w:rFonts w:hint="eastAsia" w:ascii="黑体"/>
          <w:b w:val="0"/>
          <w:sz w:val="24"/>
        </w:rPr>
        <w:t>一、法定代表人（负责人）证明书和投标文件签署授权委托书</w:t>
      </w:r>
    </w:p>
    <w:p w14:paraId="1565E2E7">
      <w:pPr>
        <w:spacing w:line="360" w:lineRule="auto"/>
        <w:ind w:firstLine="482" w:firstLineChars="200"/>
        <w:rPr>
          <w:b/>
          <w:color w:val="FF0000"/>
          <w:szCs w:val="21"/>
        </w:rPr>
      </w:pPr>
      <w:r>
        <w:rPr>
          <w:rFonts w:hint="eastAsia" w:ascii="宋体" w:hAnsi="宋体" w:eastAsia="宋体" w:cs="宋体"/>
          <w:b/>
          <w:color w:val="FF0000"/>
          <w:szCs w:val="21"/>
        </w:rPr>
        <w:t>温</w:t>
      </w:r>
      <w:r>
        <w:rPr>
          <w:rFonts w:hint="eastAsia"/>
          <w:b/>
          <w:color w:val="FF0000"/>
          <w:szCs w:val="21"/>
        </w:rPr>
        <w:t>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00BE83E6">
      <w:pPr>
        <w:pStyle w:val="5"/>
        <w:jc w:val="center"/>
        <w:rPr>
          <w:rFonts w:ascii="黑体"/>
          <w:b w:val="0"/>
          <w:sz w:val="24"/>
        </w:rPr>
      </w:pPr>
      <w:bookmarkStart w:id="32" w:name="_Hlk72092499"/>
      <w:r>
        <w:rPr>
          <w:rFonts w:hint="eastAsia" w:ascii="黑体"/>
          <w:b w:val="0"/>
          <w:sz w:val="24"/>
        </w:rPr>
        <w:t>（1）法定代表人（负责人）证明书</w:t>
      </w:r>
      <w:bookmarkEnd w:id="32"/>
    </w:p>
    <w:p w14:paraId="27D6C913">
      <w:pPr>
        <w:spacing w:line="360" w:lineRule="auto"/>
        <w:rPr>
          <w:szCs w:val="21"/>
        </w:rPr>
      </w:pPr>
      <w:r>
        <w:rPr>
          <w:rFonts w:hint="eastAsia"/>
          <w:szCs w:val="21"/>
        </w:rPr>
        <w:t xml:space="preserve">   </w:t>
      </w:r>
      <w:r>
        <w:rPr>
          <w:rFonts w:hint="eastAsia"/>
          <w:szCs w:val="21"/>
          <w:u w:val="single"/>
        </w:rPr>
        <w:t xml:space="preserve">         </w:t>
      </w:r>
      <w:r>
        <w:rPr>
          <w:rFonts w:hint="eastAsia"/>
          <w:szCs w:val="21"/>
        </w:rPr>
        <w:t>同志，身份证号码：</w:t>
      </w:r>
      <w:r>
        <w:rPr>
          <w:rFonts w:hint="eastAsia"/>
          <w:szCs w:val="21"/>
          <w:u w:val="single"/>
        </w:rPr>
        <w:t xml:space="preserve">               </w:t>
      </w:r>
      <w:r>
        <w:rPr>
          <w:rFonts w:hint="eastAsia"/>
          <w:szCs w:val="21"/>
        </w:rPr>
        <w:t>，现任我单位</w:t>
      </w:r>
      <w:r>
        <w:rPr>
          <w:rFonts w:hint="eastAsia"/>
          <w:szCs w:val="21"/>
          <w:u w:val="single"/>
        </w:rPr>
        <w:t xml:space="preserve">         </w:t>
      </w:r>
      <w:r>
        <w:rPr>
          <w:rFonts w:hint="eastAsia"/>
          <w:szCs w:val="21"/>
        </w:rPr>
        <w:t>职务，为法定代表人（负责人），特此证明。</w:t>
      </w:r>
    </w:p>
    <w:p w14:paraId="75ECB26B">
      <w:pPr>
        <w:spacing w:line="360" w:lineRule="auto"/>
        <w:rPr>
          <w:szCs w:val="21"/>
        </w:rPr>
      </w:pPr>
      <w:r>
        <w:rPr>
          <w:rFonts w:hint="eastAsia"/>
          <w:szCs w:val="21"/>
        </w:rPr>
        <w:t xml:space="preserve">         </w:t>
      </w:r>
    </w:p>
    <w:p w14:paraId="1485BA62">
      <w:pPr>
        <w:spacing w:line="360" w:lineRule="auto"/>
        <w:rPr>
          <w:szCs w:val="21"/>
        </w:rPr>
      </w:pPr>
      <w:r>
        <w:rPr>
          <w:rFonts w:hint="eastAsia" w:ascii="宋体" w:hAnsi="宋体" w:eastAsia="宋体" w:cs="宋体"/>
          <w:szCs w:val="21"/>
        </w:rPr>
        <w:t>说</w:t>
      </w:r>
      <w:r>
        <w:rPr>
          <w:rFonts w:hint="eastAsia"/>
          <w:szCs w:val="21"/>
        </w:rPr>
        <w:t>明：1、法定代表人为投标人（企业事业单位、国家机关、社会团体）的主要行政负责人。</w:t>
      </w:r>
    </w:p>
    <w:p w14:paraId="694BF513">
      <w:pPr>
        <w:rPr>
          <w:szCs w:val="21"/>
        </w:rPr>
      </w:pPr>
      <w:r>
        <w:rPr>
          <w:rFonts w:hint="eastAsia"/>
          <w:szCs w:val="21"/>
        </w:rPr>
        <w:t xml:space="preserve">     </w:t>
      </w:r>
      <w:r>
        <w:rPr>
          <w:szCs w:val="21"/>
        </w:rPr>
        <w:t xml:space="preserve"> </w:t>
      </w:r>
      <w:r>
        <w:rPr>
          <w:rFonts w:hint="eastAsia"/>
          <w:szCs w:val="21"/>
        </w:rPr>
        <w:t>2、内容必须填写真实、清楚，涂改无效，不得转让、买卖。</w:t>
      </w:r>
    </w:p>
    <w:p w14:paraId="2205D1F1"/>
    <w:p w14:paraId="5453BD93">
      <w:pPr>
        <w:pStyle w:val="14"/>
        <w:tabs>
          <w:tab w:val="left" w:pos="562"/>
          <w:tab w:val="left" w:pos="3372"/>
          <w:tab w:val="left" w:pos="3653"/>
        </w:tabs>
        <w:spacing w:line="360" w:lineRule="auto"/>
        <w:rPr>
          <w:rFonts w:hAnsi="宋体"/>
          <w:b/>
          <w:bCs/>
          <w:sz w:val="24"/>
        </w:rPr>
      </w:pPr>
      <w:r>
        <w:rPr>
          <w:rFonts w:hint="eastAsia" w:hAnsi="宋体"/>
          <w:b/>
          <w:bCs/>
          <w:color w:val="FF0000"/>
          <w:sz w:val="24"/>
        </w:rPr>
        <w:t>*附1</w:t>
      </w:r>
      <w:r>
        <w:rPr>
          <w:rFonts w:hint="eastAsia" w:hAnsi="宋体" w:eastAsia="宋体"/>
          <w:b/>
          <w:bCs/>
          <w:color w:val="FF0000"/>
          <w:kern w:val="2"/>
          <w:sz w:val="24"/>
          <w:szCs w:val="24"/>
        </w:rPr>
        <w:t>：法定代表人身份证</w:t>
      </w:r>
    </w:p>
    <w:tbl>
      <w:tblPr>
        <w:tblStyle w:val="28"/>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14:paraId="4840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8" w:hRule="atLeast"/>
          <w:jc w:val="center"/>
        </w:trPr>
        <w:tc>
          <w:tcPr>
            <w:tcW w:w="4677" w:type="dxa"/>
          </w:tcPr>
          <w:p w14:paraId="2B9CA4FE">
            <w:pPr>
              <w:pStyle w:val="14"/>
              <w:tabs>
                <w:tab w:val="left" w:pos="562"/>
                <w:tab w:val="left" w:pos="3372"/>
                <w:tab w:val="left" w:pos="3653"/>
              </w:tabs>
              <w:spacing w:line="360" w:lineRule="auto"/>
              <w:rPr>
                <w:rFonts w:hAnsi="宋体"/>
                <w:b/>
                <w:bCs/>
                <w:szCs w:val="21"/>
              </w:rPr>
            </w:pPr>
          </w:p>
        </w:tc>
        <w:tc>
          <w:tcPr>
            <w:tcW w:w="4677" w:type="dxa"/>
          </w:tcPr>
          <w:p w14:paraId="33727007">
            <w:pPr>
              <w:pStyle w:val="14"/>
              <w:tabs>
                <w:tab w:val="left" w:pos="562"/>
                <w:tab w:val="left" w:pos="3372"/>
                <w:tab w:val="left" w:pos="3653"/>
              </w:tabs>
              <w:spacing w:line="360" w:lineRule="auto"/>
              <w:rPr>
                <w:rFonts w:hAnsi="宋体"/>
                <w:b/>
                <w:bCs/>
                <w:szCs w:val="21"/>
              </w:rPr>
            </w:pPr>
          </w:p>
        </w:tc>
      </w:tr>
    </w:tbl>
    <w:p w14:paraId="6EC23732">
      <w:pPr>
        <w:pStyle w:val="11"/>
        <w:tabs>
          <w:tab w:val="left" w:pos="562"/>
          <w:tab w:val="left" w:pos="3372"/>
          <w:tab w:val="left" w:pos="3653"/>
        </w:tabs>
        <w:rPr>
          <w:rFonts w:ascii="宋体"/>
          <w:color w:val="FF0000"/>
          <w:sz w:val="28"/>
          <w:szCs w:val="28"/>
        </w:rPr>
      </w:pPr>
      <w:r>
        <w:rPr>
          <w:rFonts w:hint="eastAsia" w:ascii="宋体" w:hAnsi="宋体"/>
          <w:color w:val="FF0000"/>
        </w:rPr>
        <w:t>*附2：法定代表人近一个月的社保证明资料（如开标日上一个月的社保材料因社保部门原因暂时无法取得，则可以往前顺延一个月，如新成立公司或退休人员无法提供社保证明的，应提供说明函（格式自拟），说明相关情况。）</w:t>
      </w:r>
    </w:p>
    <w:tbl>
      <w:tblPr>
        <w:tblStyle w:val="28"/>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4"/>
      </w:tblGrid>
      <w:tr w14:paraId="5D8CC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jc w:val="center"/>
        </w:trPr>
        <w:tc>
          <w:tcPr>
            <w:tcW w:w="9354" w:type="dxa"/>
          </w:tcPr>
          <w:p w14:paraId="2BCC740C">
            <w:pPr>
              <w:pStyle w:val="14"/>
              <w:tabs>
                <w:tab w:val="left" w:pos="562"/>
                <w:tab w:val="left" w:pos="3372"/>
                <w:tab w:val="left" w:pos="3653"/>
              </w:tabs>
              <w:spacing w:line="360" w:lineRule="auto"/>
              <w:rPr>
                <w:rFonts w:hAnsi="宋体"/>
                <w:b/>
                <w:bCs/>
                <w:szCs w:val="21"/>
              </w:rPr>
            </w:pPr>
          </w:p>
        </w:tc>
      </w:tr>
    </w:tbl>
    <w:p w14:paraId="7C94DF70">
      <w:pPr>
        <w:rPr>
          <w:b/>
          <w:bCs/>
        </w:rPr>
      </w:pPr>
    </w:p>
    <w:p w14:paraId="764CCC09">
      <w:pPr>
        <w:rPr>
          <w:rFonts w:ascii="黑体" w:eastAsia="黑体"/>
        </w:rPr>
      </w:pPr>
    </w:p>
    <w:p w14:paraId="7B3C7B50">
      <w:pPr>
        <w:pStyle w:val="5"/>
        <w:spacing w:before="120" w:after="120"/>
        <w:jc w:val="center"/>
        <w:rPr>
          <w:rFonts w:ascii="黑体"/>
          <w:b w:val="0"/>
          <w:sz w:val="24"/>
        </w:rPr>
      </w:pPr>
      <w:r>
        <w:rPr>
          <w:rFonts w:hint="eastAsia" w:ascii="黑体"/>
          <w:b w:val="0"/>
          <w:sz w:val="24"/>
        </w:rPr>
        <w:t>（2）投标文件签署授权委托书</w:t>
      </w:r>
    </w:p>
    <w:p w14:paraId="5A53AA9D">
      <w:pPr>
        <w:spacing w:line="360" w:lineRule="auto"/>
        <w:ind w:firstLine="480" w:firstLineChars="200"/>
        <w:rPr>
          <w:szCs w:val="21"/>
        </w:rPr>
      </w:pPr>
      <w:r>
        <w:rPr>
          <w:rFonts w:hint="eastAsia" w:ascii="宋体" w:hAnsi="宋体" w:eastAsia="宋体" w:cs="宋体"/>
          <w:szCs w:val="21"/>
        </w:rPr>
        <w:t>本</w:t>
      </w:r>
      <w:r>
        <w:rPr>
          <w:rFonts w:hint="eastAsia"/>
          <w:szCs w:val="21"/>
        </w:rPr>
        <w:t>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56C5414B">
      <w:pPr>
        <w:pStyle w:val="7"/>
        <w:spacing w:line="360" w:lineRule="auto"/>
        <w:rPr>
          <w:szCs w:val="21"/>
        </w:rPr>
      </w:pPr>
      <w:r>
        <w:rPr>
          <w:rFonts w:hint="eastAsia" w:ascii="宋体" w:hAnsi="宋体" w:eastAsia="宋体" w:cs="宋体"/>
          <w:szCs w:val="21"/>
        </w:rPr>
        <w:t>代</w:t>
      </w:r>
      <w:r>
        <w:rPr>
          <w:rFonts w:hint="eastAsia"/>
          <w:szCs w:val="21"/>
        </w:rPr>
        <w:t>理人无转委托权，特此委托。</w:t>
      </w:r>
    </w:p>
    <w:p w14:paraId="6866C88A">
      <w:pPr>
        <w:pStyle w:val="7"/>
        <w:spacing w:line="360" w:lineRule="auto"/>
        <w:rPr>
          <w:szCs w:val="21"/>
        </w:rPr>
      </w:pPr>
    </w:p>
    <w:p w14:paraId="4A283E5C">
      <w:pPr>
        <w:spacing w:line="360" w:lineRule="auto"/>
        <w:ind w:left="617" w:leftChars="257"/>
        <w:rPr>
          <w:szCs w:val="21"/>
          <w:u w:val="single"/>
        </w:rPr>
      </w:pPr>
      <w:r>
        <w:rPr>
          <w:rFonts w:hint="eastAsia" w:ascii="宋体" w:hAnsi="宋体" w:eastAsia="宋体" w:cs="宋体"/>
          <w:szCs w:val="21"/>
        </w:rPr>
        <w:t>代</w:t>
      </w:r>
      <w:r>
        <w:rPr>
          <w:rFonts w:hint="eastAsia"/>
          <w:szCs w:val="21"/>
        </w:rPr>
        <w:t>理人：</w:t>
      </w:r>
      <w:r>
        <w:rPr>
          <w:rFonts w:hint="eastAsia"/>
          <w:szCs w:val="21"/>
          <w:u w:val="single"/>
        </w:rPr>
        <w:t xml:space="preserve">             </w:t>
      </w:r>
    </w:p>
    <w:p w14:paraId="04ED1C4D">
      <w:pPr>
        <w:spacing w:line="360" w:lineRule="auto"/>
        <w:ind w:left="617" w:leftChars="257"/>
        <w:rPr>
          <w:szCs w:val="21"/>
        </w:rPr>
      </w:pPr>
      <w:r>
        <w:rPr>
          <w:rFonts w:hint="eastAsia" w:ascii="宋体" w:hAnsi="宋体" w:eastAsia="宋体" w:cs="宋体"/>
          <w:szCs w:val="21"/>
        </w:rPr>
        <w:t>联</w:t>
      </w:r>
      <w:r>
        <w:rPr>
          <w:rFonts w:hint="eastAsia"/>
          <w:szCs w:val="21"/>
        </w:rPr>
        <w:t>系电话：</w:t>
      </w:r>
      <w:r>
        <w:rPr>
          <w:rFonts w:hint="eastAsia"/>
          <w:szCs w:val="21"/>
          <w:u w:val="single"/>
        </w:rPr>
        <w:t xml:space="preserve">            </w:t>
      </w:r>
      <w:r>
        <w:rPr>
          <w:rFonts w:hint="eastAsia"/>
          <w:szCs w:val="21"/>
        </w:rPr>
        <w:t xml:space="preserve">  手机：</w:t>
      </w:r>
      <w:r>
        <w:rPr>
          <w:rFonts w:hint="eastAsia"/>
          <w:szCs w:val="21"/>
          <w:u w:val="single"/>
        </w:rPr>
        <w:t xml:space="preserve">                   </w:t>
      </w:r>
    </w:p>
    <w:p w14:paraId="17637763">
      <w:pPr>
        <w:spacing w:line="360" w:lineRule="auto"/>
        <w:ind w:left="617" w:leftChars="257"/>
        <w:rPr>
          <w:szCs w:val="21"/>
          <w:u w:val="single"/>
        </w:rPr>
      </w:pPr>
      <w:r>
        <w:rPr>
          <w:rFonts w:hint="eastAsia" w:ascii="宋体" w:hAnsi="宋体" w:eastAsia="宋体" w:cs="宋体"/>
          <w:szCs w:val="21"/>
        </w:rPr>
        <w:t>身</w:t>
      </w:r>
      <w:r>
        <w:rPr>
          <w:rFonts w:hint="eastAsia"/>
          <w:szCs w:val="21"/>
        </w:rPr>
        <w:t>份证号码：</w:t>
      </w:r>
      <w:r>
        <w:rPr>
          <w:rFonts w:hint="eastAsia"/>
          <w:szCs w:val="21"/>
          <w:u w:val="single"/>
        </w:rPr>
        <w:t xml:space="preserve">                        </w:t>
      </w:r>
      <w:r>
        <w:rPr>
          <w:rFonts w:hint="eastAsia"/>
          <w:szCs w:val="21"/>
        </w:rPr>
        <w:t>职务：</w:t>
      </w:r>
      <w:r>
        <w:rPr>
          <w:rFonts w:hint="eastAsia"/>
          <w:szCs w:val="21"/>
          <w:u w:val="single"/>
        </w:rPr>
        <w:t xml:space="preserve">       </w:t>
      </w:r>
    </w:p>
    <w:p w14:paraId="5DE7DA65">
      <w:pPr>
        <w:spacing w:line="360" w:lineRule="auto"/>
        <w:ind w:left="617" w:leftChars="257"/>
        <w:rPr>
          <w:szCs w:val="21"/>
        </w:rPr>
      </w:pPr>
      <w:r>
        <w:rPr>
          <w:rFonts w:hint="eastAsia" w:ascii="宋体" w:hAnsi="宋体" w:eastAsia="宋体" w:cs="宋体"/>
          <w:szCs w:val="21"/>
        </w:rPr>
        <w:t>授</w:t>
      </w:r>
      <w:r>
        <w:rPr>
          <w:rFonts w:hint="eastAsia"/>
          <w:szCs w:val="21"/>
        </w:rPr>
        <w:t>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22B22ED5"/>
    <w:p w14:paraId="28BB6890">
      <w:pPr>
        <w:spacing w:line="288" w:lineRule="auto"/>
        <w:rPr>
          <w:rFonts w:ascii="宋体" w:hAnsi="宋体"/>
          <w:b/>
          <w:bCs/>
        </w:rPr>
      </w:pPr>
      <w:r>
        <w:rPr>
          <w:rFonts w:hint="eastAsia" w:ascii="宋体" w:hAnsi="宋体"/>
          <w:b/>
          <w:bCs/>
          <w:color w:val="FF0000"/>
        </w:rPr>
        <w:t>*附1：被授权人身份证复印件（正反面）</w:t>
      </w:r>
    </w:p>
    <w:tbl>
      <w:tblPr>
        <w:tblStyle w:val="28"/>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14:paraId="14086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14:paraId="38A72538">
            <w:pPr>
              <w:pStyle w:val="14"/>
              <w:tabs>
                <w:tab w:val="left" w:pos="562"/>
                <w:tab w:val="left" w:pos="3372"/>
                <w:tab w:val="left" w:pos="3653"/>
              </w:tabs>
              <w:spacing w:line="360" w:lineRule="auto"/>
              <w:rPr>
                <w:rFonts w:hAnsi="宋体"/>
                <w:b/>
                <w:bCs/>
                <w:szCs w:val="21"/>
              </w:rPr>
            </w:pPr>
          </w:p>
        </w:tc>
        <w:tc>
          <w:tcPr>
            <w:tcW w:w="4677" w:type="dxa"/>
          </w:tcPr>
          <w:p w14:paraId="7F4BA510">
            <w:pPr>
              <w:pStyle w:val="14"/>
              <w:tabs>
                <w:tab w:val="left" w:pos="562"/>
                <w:tab w:val="left" w:pos="3372"/>
                <w:tab w:val="left" w:pos="3653"/>
              </w:tabs>
              <w:spacing w:line="360" w:lineRule="auto"/>
              <w:rPr>
                <w:rFonts w:hAnsi="宋体"/>
                <w:b/>
                <w:bCs/>
                <w:szCs w:val="21"/>
              </w:rPr>
            </w:pPr>
          </w:p>
        </w:tc>
      </w:tr>
    </w:tbl>
    <w:p w14:paraId="2085F49D">
      <w:pPr>
        <w:pStyle w:val="11"/>
        <w:tabs>
          <w:tab w:val="left" w:pos="562"/>
          <w:tab w:val="left" w:pos="3372"/>
          <w:tab w:val="left" w:pos="3653"/>
        </w:tabs>
        <w:rPr>
          <w:rFonts w:ascii="宋体"/>
          <w:color w:val="FF0000"/>
          <w:sz w:val="28"/>
          <w:szCs w:val="28"/>
        </w:rPr>
      </w:pPr>
      <w:r>
        <w:rPr>
          <w:rFonts w:hint="eastAsia" w:ascii="宋体" w:hAnsi="宋体"/>
          <w:color w:val="FF0000"/>
        </w:rPr>
        <w:t>*附2：被授权人近一个月的社保证明资料（如开标日上一个月的社保材料因社保部门原因暂时无法取得，则可以往前顺延一个月，如新成立公司或退休人员无法提供社保证明的，应提供说明函（格式自拟），说明相关情况。）</w:t>
      </w:r>
    </w:p>
    <w:tbl>
      <w:tblPr>
        <w:tblStyle w:val="28"/>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4"/>
      </w:tblGrid>
      <w:tr w14:paraId="556F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5" w:hRule="atLeast"/>
          <w:jc w:val="center"/>
        </w:trPr>
        <w:tc>
          <w:tcPr>
            <w:tcW w:w="9354" w:type="dxa"/>
          </w:tcPr>
          <w:p w14:paraId="4E05F404">
            <w:pPr>
              <w:pStyle w:val="14"/>
              <w:tabs>
                <w:tab w:val="left" w:pos="562"/>
                <w:tab w:val="left" w:pos="3372"/>
                <w:tab w:val="left" w:pos="3653"/>
              </w:tabs>
              <w:spacing w:line="360" w:lineRule="auto"/>
              <w:rPr>
                <w:rFonts w:hAnsi="宋体"/>
                <w:b/>
                <w:bCs/>
                <w:szCs w:val="21"/>
              </w:rPr>
            </w:pPr>
          </w:p>
        </w:tc>
      </w:tr>
    </w:tbl>
    <w:p w14:paraId="2164AF5A">
      <w:pPr>
        <w:spacing w:line="360" w:lineRule="auto"/>
        <w:ind w:firstLine="480" w:firstLineChars="200"/>
        <w:rPr>
          <w:b/>
          <w:color w:val="FF0000"/>
          <w:szCs w:val="21"/>
        </w:rPr>
      </w:pPr>
    </w:p>
    <w:p w14:paraId="2EA7D65B">
      <w:pPr>
        <w:spacing w:line="360" w:lineRule="auto"/>
        <w:ind w:firstLine="480" w:firstLineChars="200"/>
        <w:rPr>
          <w:b/>
          <w:color w:val="FF0000"/>
          <w:szCs w:val="21"/>
        </w:rPr>
      </w:pPr>
    </w:p>
    <w:p w14:paraId="77D71F8C">
      <w:pPr>
        <w:spacing w:line="360" w:lineRule="auto"/>
        <w:ind w:firstLine="480" w:firstLineChars="200"/>
        <w:rPr>
          <w:rFonts w:ascii="黑体"/>
        </w:rPr>
      </w:pPr>
    </w:p>
    <w:p w14:paraId="12E22A6F">
      <w:pPr>
        <w:pStyle w:val="5"/>
        <w:spacing w:before="120" w:after="120"/>
        <w:jc w:val="center"/>
        <w:rPr>
          <w:rFonts w:ascii="黑体"/>
          <w:b w:val="0"/>
          <w:sz w:val="24"/>
        </w:rPr>
      </w:pPr>
      <w:r>
        <w:rPr>
          <w:rFonts w:hint="eastAsia" w:ascii="黑体"/>
          <w:b w:val="0"/>
          <w:sz w:val="24"/>
        </w:rPr>
        <w:t>二、供应商基本情况表</w:t>
      </w:r>
    </w:p>
    <w:tbl>
      <w:tblPr>
        <w:tblStyle w:val="29"/>
        <w:tblW w:w="89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676"/>
        <w:gridCol w:w="1606"/>
        <w:gridCol w:w="947"/>
        <w:gridCol w:w="791"/>
        <w:gridCol w:w="1200"/>
        <w:gridCol w:w="1500"/>
        <w:gridCol w:w="1485"/>
      </w:tblGrid>
      <w:tr w14:paraId="2B3E67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gridSpan w:val="2"/>
            <w:tcBorders>
              <w:tl2br w:val="nil"/>
              <w:tr2bl w:val="nil"/>
            </w:tcBorders>
            <w:vAlign w:val="center"/>
          </w:tcPr>
          <w:p w14:paraId="09829F72">
            <w:pPr>
              <w:widowControl w:val="0"/>
              <w:jc w:val="both"/>
              <w:rPr>
                <w:rFonts w:hint="eastAsia" w:ascii="宋体" w:hAnsi="宋体" w:eastAsia="宋体" w:cs="宋体"/>
                <w:sz w:val="21"/>
                <w:szCs w:val="21"/>
              </w:rPr>
            </w:pPr>
            <w:r>
              <w:rPr>
                <w:rFonts w:hint="eastAsia" w:ascii="宋体" w:hAnsi="宋体" w:eastAsia="宋体" w:cs="宋体"/>
                <w:sz w:val="21"/>
                <w:szCs w:val="21"/>
              </w:rPr>
              <w:br w:type="page"/>
            </w:r>
            <w:r>
              <w:rPr>
                <w:rFonts w:hint="eastAsia" w:ascii="宋体" w:hAnsi="宋体" w:eastAsia="宋体" w:cs="宋体"/>
                <w:sz w:val="21"/>
                <w:szCs w:val="21"/>
              </w:rPr>
              <w:t>投标（响应）供应商</w:t>
            </w:r>
          </w:p>
        </w:tc>
        <w:tc>
          <w:tcPr>
            <w:tcW w:w="2553" w:type="dxa"/>
            <w:gridSpan w:val="2"/>
            <w:tcBorders>
              <w:tl2br w:val="nil"/>
              <w:tr2bl w:val="nil"/>
            </w:tcBorders>
            <w:vAlign w:val="center"/>
          </w:tcPr>
          <w:p w14:paraId="732B97F3">
            <w:pPr>
              <w:widowControl w:val="0"/>
              <w:jc w:val="center"/>
              <w:rPr>
                <w:rFonts w:hint="eastAsia" w:ascii="宋体" w:hAnsi="宋体" w:eastAsia="宋体" w:cs="宋体"/>
                <w:sz w:val="21"/>
                <w:szCs w:val="21"/>
              </w:rPr>
            </w:pPr>
          </w:p>
        </w:tc>
        <w:tc>
          <w:tcPr>
            <w:tcW w:w="1991" w:type="dxa"/>
            <w:gridSpan w:val="2"/>
            <w:tcBorders>
              <w:tl2br w:val="nil"/>
              <w:tr2bl w:val="nil"/>
            </w:tcBorders>
            <w:vAlign w:val="center"/>
          </w:tcPr>
          <w:p w14:paraId="6A7146AD">
            <w:pPr>
              <w:widowControl w:val="0"/>
              <w:jc w:val="center"/>
              <w:rPr>
                <w:rFonts w:hint="eastAsia" w:ascii="宋体" w:hAnsi="宋体" w:eastAsia="宋体" w:cs="宋体"/>
                <w:sz w:val="21"/>
                <w:szCs w:val="21"/>
              </w:rPr>
            </w:pPr>
            <w:r>
              <w:rPr>
                <w:rFonts w:hint="eastAsia" w:ascii="宋体" w:hAnsi="宋体" w:eastAsia="宋体" w:cs="宋体"/>
                <w:sz w:val="21"/>
                <w:szCs w:val="21"/>
              </w:rPr>
              <w:t>项目名称及编号</w:t>
            </w:r>
          </w:p>
        </w:tc>
        <w:tc>
          <w:tcPr>
            <w:tcW w:w="2985" w:type="dxa"/>
            <w:gridSpan w:val="2"/>
            <w:tcBorders>
              <w:tl2br w:val="nil"/>
              <w:tr2bl w:val="nil"/>
            </w:tcBorders>
            <w:vAlign w:val="center"/>
          </w:tcPr>
          <w:p w14:paraId="16B14F5D">
            <w:pPr>
              <w:widowControl w:val="0"/>
              <w:jc w:val="center"/>
              <w:rPr>
                <w:rFonts w:hint="eastAsia" w:ascii="宋体" w:hAnsi="宋体" w:eastAsia="宋体" w:cs="宋体"/>
                <w:sz w:val="21"/>
                <w:szCs w:val="21"/>
              </w:rPr>
            </w:pPr>
          </w:p>
        </w:tc>
      </w:tr>
      <w:tr w14:paraId="7BFC4B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tcBorders>
              <w:tl2br w:val="nil"/>
              <w:tr2bl w:val="nil"/>
            </w:tcBorders>
            <w:vAlign w:val="center"/>
          </w:tcPr>
          <w:p w14:paraId="14181C24">
            <w:pPr>
              <w:widowControl w:val="0"/>
              <w:jc w:val="center"/>
              <w:rPr>
                <w:rFonts w:hint="eastAsia" w:ascii="宋体" w:hAnsi="宋体" w:eastAsia="宋体" w:cs="宋体"/>
                <w:sz w:val="21"/>
                <w:szCs w:val="21"/>
              </w:rPr>
            </w:pPr>
            <w:r>
              <w:rPr>
                <w:rFonts w:hint="eastAsia" w:ascii="宋体" w:hAnsi="宋体" w:eastAsia="宋体" w:cs="宋体"/>
                <w:b/>
                <w:bCs/>
                <w:sz w:val="21"/>
                <w:szCs w:val="21"/>
              </w:rPr>
              <w:t>投标（响应）供应商相关人员情况</w:t>
            </w:r>
          </w:p>
        </w:tc>
      </w:tr>
      <w:tr w14:paraId="3E13E1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18DEA1C0">
            <w:pPr>
              <w:widowControl w:val="0"/>
              <w:snapToGrid w:val="0"/>
              <w:jc w:val="center"/>
              <w:rPr>
                <w:rFonts w:hint="eastAsia" w:ascii="宋体" w:hAnsi="宋体" w:eastAsia="宋体" w:cs="宋体"/>
                <w:sz w:val="21"/>
                <w:szCs w:val="21"/>
              </w:rPr>
            </w:pPr>
            <w:r>
              <w:rPr>
                <w:rFonts w:hint="eastAsia" w:ascii="宋体" w:hAnsi="宋体" w:eastAsia="宋体" w:cs="宋体"/>
                <w:sz w:val="21"/>
                <w:szCs w:val="21"/>
              </w:rPr>
              <w:t>序号</w:t>
            </w:r>
          </w:p>
        </w:tc>
        <w:tc>
          <w:tcPr>
            <w:tcW w:w="2282" w:type="dxa"/>
            <w:gridSpan w:val="2"/>
            <w:tcBorders>
              <w:tl2br w:val="nil"/>
              <w:tr2bl w:val="nil"/>
            </w:tcBorders>
            <w:vAlign w:val="center"/>
          </w:tcPr>
          <w:p w14:paraId="2FF006B6">
            <w:pPr>
              <w:widowControl w:val="0"/>
              <w:jc w:val="center"/>
              <w:rPr>
                <w:rFonts w:hint="eastAsia" w:ascii="宋体" w:hAnsi="宋体" w:eastAsia="宋体" w:cs="宋体"/>
                <w:sz w:val="21"/>
                <w:szCs w:val="21"/>
              </w:rPr>
            </w:pPr>
            <w:r>
              <w:rPr>
                <w:rFonts w:hint="eastAsia" w:ascii="宋体" w:hAnsi="宋体" w:eastAsia="宋体" w:cs="宋体"/>
                <w:sz w:val="21"/>
                <w:szCs w:val="21"/>
              </w:rPr>
              <w:t>职务</w:t>
            </w:r>
          </w:p>
        </w:tc>
        <w:tc>
          <w:tcPr>
            <w:tcW w:w="947" w:type="dxa"/>
            <w:tcBorders>
              <w:tl2br w:val="nil"/>
              <w:tr2bl w:val="nil"/>
            </w:tcBorders>
            <w:vAlign w:val="center"/>
          </w:tcPr>
          <w:p w14:paraId="263E444B">
            <w:pPr>
              <w:widowControl w:val="0"/>
              <w:jc w:val="center"/>
              <w:rPr>
                <w:rFonts w:hint="eastAsia" w:ascii="宋体" w:hAnsi="宋体" w:eastAsia="宋体" w:cs="宋体"/>
                <w:sz w:val="21"/>
                <w:szCs w:val="21"/>
              </w:rPr>
            </w:pPr>
            <w:r>
              <w:rPr>
                <w:rFonts w:hint="eastAsia" w:ascii="宋体" w:hAnsi="宋体" w:eastAsia="宋体" w:cs="宋体"/>
                <w:sz w:val="21"/>
                <w:szCs w:val="21"/>
              </w:rPr>
              <w:t>姓名</w:t>
            </w:r>
          </w:p>
        </w:tc>
        <w:tc>
          <w:tcPr>
            <w:tcW w:w="1991" w:type="dxa"/>
            <w:gridSpan w:val="2"/>
            <w:tcBorders>
              <w:tl2br w:val="nil"/>
              <w:tr2bl w:val="nil"/>
            </w:tcBorders>
            <w:vAlign w:val="center"/>
          </w:tcPr>
          <w:p w14:paraId="3DCEB25C">
            <w:pPr>
              <w:widowControl w:val="0"/>
              <w:jc w:val="center"/>
              <w:rPr>
                <w:rFonts w:hint="eastAsia" w:ascii="宋体" w:hAnsi="宋体" w:eastAsia="宋体" w:cs="宋体"/>
                <w:sz w:val="21"/>
                <w:szCs w:val="21"/>
              </w:rPr>
            </w:pPr>
            <w:r>
              <w:rPr>
                <w:rFonts w:hint="eastAsia" w:ascii="宋体" w:hAnsi="宋体" w:eastAsia="宋体" w:cs="宋体"/>
                <w:sz w:val="21"/>
                <w:szCs w:val="21"/>
              </w:rPr>
              <w:t>身份证号码</w:t>
            </w:r>
          </w:p>
        </w:tc>
        <w:tc>
          <w:tcPr>
            <w:tcW w:w="1500" w:type="dxa"/>
            <w:tcBorders>
              <w:tl2br w:val="nil"/>
              <w:tr2bl w:val="nil"/>
            </w:tcBorders>
            <w:vAlign w:val="center"/>
          </w:tcPr>
          <w:p w14:paraId="3D9D4758">
            <w:pPr>
              <w:widowControl w:val="0"/>
              <w:snapToGrid w:val="0"/>
              <w:jc w:val="center"/>
              <w:rPr>
                <w:rFonts w:hint="eastAsia" w:ascii="宋体" w:hAnsi="宋体" w:eastAsia="宋体" w:cs="宋体"/>
                <w:sz w:val="21"/>
                <w:szCs w:val="21"/>
              </w:rPr>
            </w:pPr>
            <w:r>
              <w:rPr>
                <w:rFonts w:hint="eastAsia" w:ascii="宋体" w:hAnsi="宋体" w:eastAsia="宋体" w:cs="宋体"/>
                <w:sz w:val="21"/>
                <w:szCs w:val="21"/>
              </w:rPr>
              <w:t>劳动合同</w:t>
            </w:r>
          </w:p>
          <w:p w14:paraId="55C6BF3A">
            <w:pPr>
              <w:widowControl w:val="0"/>
              <w:snapToGrid w:val="0"/>
              <w:jc w:val="center"/>
              <w:rPr>
                <w:rFonts w:hint="eastAsia" w:ascii="宋体" w:hAnsi="宋体" w:eastAsia="宋体" w:cs="宋体"/>
                <w:sz w:val="21"/>
                <w:szCs w:val="21"/>
              </w:rPr>
            </w:pPr>
            <w:r>
              <w:rPr>
                <w:rFonts w:hint="eastAsia" w:ascii="宋体" w:hAnsi="宋体" w:eastAsia="宋体" w:cs="宋体"/>
                <w:sz w:val="21"/>
                <w:szCs w:val="21"/>
              </w:rPr>
              <w:t>关系单位</w:t>
            </w:r>
          </w:p>
        </w:tc>
        <w:tc>
          <w:tcPr>
            <w:tcW w:w="1485" w:type="dxa"/>
            <w:tcBorders>
              <w:tl2br w:val="nil"/>
              <w:tr2bl w:val="nil"/>
            </w:tcBorders>
            <w:vAlign w:val="center"/>
          </w:tcPr>
          <w:p w14:paraId="44A3001E">
            <w:pPr>
              <w:widowControl w:val="0"/>
              <w:snapToGrid w:val="0"/>
              <w:jc w:val="center"/>
              <w:rPr>
                <w:rFonts w:hint="eastAsia" w:ascii="宋体" w:hAnsi="宋体" w:eastAsia="宋体" w:cs="宋体"/>
                <w:sz w:val="21"/>
                <w:szCs w:val="21"/>
              </w:rPr>
            </w:pPr>
            <w:r>
              <w:rPr>
                <w:rFonts w:hint="eastAsia" w:ascii="宋体" w:hAnsi="宋体" w:eastAsia="宋体" w:cs="宋体"/>
                <w:sz w:val="21"/>
                <w:szCs w:val="21"/>
              </w:rPr>
              <w:t>缴纳社会</w:t>
            </w:r>
          </w:p>
          <w:p w14:paraId="3C4855E4">
            <w:pPr>
              <w:widowControl w:val="0"/>
              <w:snapToGrid w:val="0"/>
              <w:jc w:val="center"/>
              <w:rPr>
                <w:rFonts w:hint="eastAsia" w:ascii="宋体" w:hAnsi="宋体" w:eastAsia="宋体" w:cs="宋体"/>
                <w:sz w:val="21"/>
                <w:szCs w:val="21"/>
              </w:rPr>
            </w:pPr>
            <w:r>
              <w:rPr>
                <w:rFonts w:hint="eastAsia" w:ascii="宋体" w:hAnsi="宋体" w:eastAsia="宋体" w:cs="宋体"/>
                <w:sz w:val="21"/>
                <w:szCs w:val="21"/>
              </w:rPr>
              <w:t>保险单位</w:t>
            </w:r>
          </w:p>
        </w:tc>
      </w:tr>
      <w:tr w14:paraId="0154EE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1BB50A6D">
            <w:pPr>
              <w:widowControl w:val="0"/>
              <w:jc w:val="center"/>
              <w:rPr>
                <w:rFonts w:hint="eastAsia" w:ascii="宋体" w:hAnsi="宋体" w:eastAsia="宋体" w:cs="宋体"/>
                <w:sz w:val="21"/>
                <w:szCs w:val="21"/>
              </w:rPr>
            </w:pPr>
            <w:r>
              <w:rPr>
                <w:rFonts w:hint="eastAsia" w:ascii="宋体" w:hAnsi="宋体" w:eastAsia="宋体" w:cs="宋体"/>
                <w:sz w:val="21"/>
                <w:szCs w:val="21"/>
              </w:rPr>
              <w:t>1</w:t>
            </w:r>
          </w:p>
        </w:tc>
        <w:tc>
          <w:tcPr>
            <w:tcW w:w="2282" w:type="dxa"/>
            <w:gridSpan w:val="2"/>
            <w:tcBorders>
              <w:tl2br w:val="nil"/>
              <w:tr2bl w:val="nil"/>
            </w:tcBorders>
            <w:vAlign w:val="center"/>
          </w:tcPr>
          <w:p w14:paraId="0B5DB797">
            <w:pPr>
              <w:widowControl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法定代表人/单位负责人/主要经营负责人</w:t>
            </w:r>
          </w:p>
        </w:tc>
        <w:tc>
          <w:tcPr>
            <w:tcW w:w="947" w:type="dxa"/>
            <w:tcBorders>
              <w:tl2br w:val="nil"/>
              <w:tr2bl w:val="nil"/>
            </w:tcBorders>
            <w:vAlign w:val="center"/>
          </w:tcPr>
          <w:p w14:paraId="2558D3FB">
            <w:pPr>
              <w:widowControl w:val="0"/>
              <w:jc w:val="center"/>
              <w:rPr>
                <w:rFonts w:hint="eastAsia" w:ascii="宋体" w:hAnsi="宋体" w:eastAsia="宋体" w:cs="宋体"/>
                <w:sz w:val="21"/>
                <w:szCs w:val="21"/>
              </w:rPr>
            </w:pPr>
          </w:p>
        </w:tc>
        <w:tc>
          <w:tcPr>
            <w:tcW w:w="1991" w:type="dxa"/>
            <w:gridSpan w:val="2"/>
            <w:tcBorders>
              <w:tl2br w:val="nil"/>
              <w:tr2bl w:val="nil"/>
            </w:tcBorders>
            <w:vAlign w:val="center"/>
          </w:tcPr>
          <w:p w14:paraId="5BC8F988">
            <w:pPr>
              <w:widowControl w:val="0"/>
              <w:jc w:val="center"/>
              <w:rPr>
                <w:rFonts w:hint="eastAsia" w:ascii="宋体" w:hAnsi="宋体" w:eastAsia="宋体" w:cs="宋体"/>
                <w:sz w:val="21"/>
                <w:szCs w:val="21"/>
              </w:rPr>
            </w:pPr>
          </w:p>
        </w:tc>
        <w:tc>
          <w:tcPr>
            <w:tcW w:w="1500" w:type="dxa"/>
            <w:tcBorders>
              <w:tl2br w:val="nil"/>
              <w:tr2bl w:val="nil"/>
            </w:tcBorders>
            <w:vAlign w:val="center"/>
          </w:tcPr>
          <w:p w14:paraId="4819BCD5">
            <w:pPr>
              <w:widowControl w:val="0"/>
              <w:jc w:val="center"/>
              <w:rPr>
                <w:rFonts w:hint="eastAsia" w:ascii="宋体" w:hAnsi="宋体" w:eastAsia="宋体" w:cs="宋体"/>
                <w:sz w:val="21"/>
                <w:szCs w:val="21"/>
              </w:rPr>
            </w:pPr>
          </w:p>
        </w:tc>
        <w:tc>
          <w:tcPr>
            <w:tcW w:w="1485" w:type="dxa"/>
            <w:tcBorders>
              <w:tl2br w:val="nil"/>
              <w:tr2bl w:val="nil"/>
            </w:tcBorders>
            <w:vAlign w:val="center"/>
          </w:tcPr>
          <w:p w14:paraId="1E6E1CD6">
            <w:pPr>
              <w:widowControl w:val="0"/>
              <w:jc w:val="center"/>
              <w:rPr>
                <w:rFonts w:hint="eastAsia" w:ascii="宋体" w:hAnsi="宋体" w:eastAsia="宋体" w:cs="宋体"/>
                <w:sz w:val="21"/>
                <w:szCs w:val="21"/>
              </w:rPr>
            </w:pPr>
          </w:p>
        </w:tc>
      </w:tr>
      <w:tr w14:paraId="2C4CF6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326086E6">
            <w:pPr>
              <w:widowControl w:val="0"/>
              <w:jc w:val="center"/>
              <w:rPr>
                <w:rFonts w:hint="eastAsia" w:ascii="宋体" w:hAnsi="宋体" w:eastAsia="宋体" w:cs="宋体"/>
                <w:sz w:val="21"/>
                <w:szCs w:val="21"/>
              </w:rPr>
            </w:pPr>
            <w:r>
              <w:rPr>
                <w:rFonts w:hint="eastAsia" w:ascii="宋体" w:hAnsi="宋体" w:eastAsia="宋体" w:cs="宋体"/>
                <w:sz w:val="21"/>
                <w:szCs w:val="21"/>
              </w:rPr>
              <w:t>2</w:t>
            </w:r>
          </w:p>
        </w:tc>
        <w:tc>
          <w:tcPr>
            <w:tcW w:w="2282" w:type="dxa"/>
            <w:gridSpan w:val="2"/>
            <w:tcBorders>
              <w:tl2br w:val="nil"/>
              <w:tr2bl w:val="nil"/>
            </w:tcBorders>
            <w:vAlign w:val="center"/>
          </w:tcPr>
          <w:p w14:paraId="3C23E120">
            <w:pPr>
              <w:widowControl w:val="0"/>
              <w:jc w:val="center"/>
              <w:rPr>
                <w:rFonts w:hint="eastAsia" w:ascii="宋体" w:hAnsi="宋体" w:eastAsia="宋体" w:cs="宋体"/>
                <w:sz w:val="21"/>
                <w:szCs w:val="21"/>
              </w:rPr>
            </w:pPr>
            <w:r>
              <w:rPr>
                <w:rFonts w:hint="eastAsia" w:ascii="宋体" w:hAnsi="宋体" w:eastAsia="宋体" w:cs="宋体"/>
                <w:sz w:val="21"/>
                <w:szCs w:val="21"/>
              </w:rPr>
              <w:t>项目投标授权代表人</w:t>
            </w:r>
          </w:p>
        </w:tc>
        <w:tc>
          <w:tcPr>
            <w:tcW w:w="947" w:type="dxa"/>
            <w:tcBorders>
              <w:tl2br w:val="nil"/>
              <w:tr2bl w:val="nil"/>
            </w:tcBorders>
            <w:vAlign w:val="center"/>
          </w:tcPr>
          <w:p w14:paraId="4780571D">
            <w:pPr>
              <w:widowControl w:val="0"/>
              <w:jc w:val="center"/>
              <w:rPr>
                <w:rFonts w:hint="eastAsia" w:ascii="宋体" w:hAnsi="宋体" w:eastAsia="宋体" w:cs="宋体"/>
                <w:sz w:val="21"/>
                <w:szCs w:val="21"/>
              </w:rPr>
            </w:pPr>
          </w:p>
        </w:tc>
        <w:tc>
          <w:tcPr>
            <w:tcW w:w="1991" w:type="dxa"/>
            <w:gridSpan w:val="2"/>
            <w:tcBorders>
              <w:tl2br w:val="nil"/>
              <w:tr2bl w:val="nil"/>
            </w:tcBorders>
            <w:vAlign w:val="center"/>
          </w:tcPr>
          <w:p w14:paraId="219AC476">
            <w:pPr>
              <w:widowControl w:val="0"/>
              <w:jc w:val="center"/>
              <w:rPr>
                <w:rFonts w:hint="eastAsia" w:ascii="宋体" w:hAnsi="宋体" w:eastAsia="宋体" w:cs="宋体"/>
                <w:sz w:val="21"/>
                <w:szCs w:val="21"/>
              </w:rPr>
            </w:pPr>
          </w:p>
        </w:tc>
        <w:tc>
          <w:tcPr>
            <w:tcW w:w="1500" w:type="dxa"/>
            <w:tcBorders>
              <w:tl2br w:val="nil"/>
              <w:tr2bl w:val="nil"/>
            </w:tcBorders>
            <w:vAlign w:val="center"/>
          </w:tcPr>
          <w:p w14:paraId="496F9CF0">
            <w:pPr>
              <w:widowControl w:val="0"/>
              <w:jc w:val="center"/>
              <w:rPr>
                <w:rFonts w:hint="eastAsia" w:ascii="宋体" w:hAnsi="宋体" w:eastAsia="宋体" w:cs="宋体"/>
                <w:sz w:val="21"/>
                <w:szCs w:val="21"/>
              </w:rPr>
            </w:pPr>
          </w:p>
        </w:tc>
        <w:tc>
          <w:tcPr>
            <w:tcW w:w="1485" w:type="dxa"/>
            <w:tcBorders>
              <w:tl2br w:val="nil"/>
              <w:tr2bl w:val="nil"/>
            </w:tcBorders>
            <w:vAlign w:val="center"/>
          </w:tcPr>
          <w:p w14:paraId="59E47442">
            <w:pPr>
              <w:widowControl w:val="0"/>
              <w:jc w:val="center"/>
              <w:rPr>
                <w:rFonts w:hint="eastAsia" w:ascii="宋体" w:hAnsi="宋体" w:eastAsia="宋体" w:cs="宋体"/>
                <w:sz w:val="21"/>
                <w:szCs w:val="21"/>
              </w:rPr>
            </w:pPr>
          </w:p>
        </w:tc>
      </w:tr>
      <w:tr w14:paraId="74CDE7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1F937D2A">
            <w:pPr>
              <w:widowControl w:val="0"/>
              <w:jc w:val="center"/>
              <w:rPr>
                <w:rFonts w:hint="eastAsia" w:ascii="宋体" w:hAnsi="宋体" w:eastAsia="宋体" w:cs="宋体"/>
                <w:sz w:val="21"/>
                <w:szCs w:val="21"/>
              </w:rPr>
            </w:pPr>
            <w:r>
              <w:rPr>
                <w:rFonts w:hint="eastAsia" w:ascii="宋体" w:hAnsi="宋体" w:eastAsia="宋体" w:cs="宋体"/>
                <w:sz w:val="21"/>
                <w:szCs w:val="21"/>
                <w:lang w:bidi="ar"/>
              </w:rPr>
              <w:t>3</w:t>
            </w:r>
          </w:p>
        </w:tc>
        <w:tc>
          <w:tcPr>
            <w:tcW w:w="2282" w:type="dxa"/>
            <w:gridSpan w:val="2"/>
            <w:tcBorders>
              <w:tl2br w:val="nil"/>
              <w:tr2bl w:val="nil"/>
            </w:tcBorders>
            <w:vAlign w:val="center"/>
          </w:tcPr>
          <w:p w14:paraId="78357D03">
            <w:pPr>
              <w:widowControl w:val="0"/>
              <w:jc w:val="center"/>
              <w:rPr>
                <w:rFonts w:hint="eastAsia" w:ascii="宋体" w:hAnsi="宋体" w:eastAsia="宋体" w:cs="宋体"/>
                <w:sz w:val="21"/>
                <w:szCs w:val="21"/>
              </w:rPr>
            </w:pPr>
            <w:r>
              <w:rPr>
                <w:rFonts w:hint="eastAsia" w:ascii="宋体" w:hAnsi="宋体" w:eastAsia="宋体" w:cs="宋体"/>
                <w:sz w:val="21"/>
                <w:szCs w:val="21"/>
              </w:rPr>
              <w:t>项目负责人</w:t>
            </w:r>
          </w:p>
        </w:tc>
        <w:tc>
          <w:tcPr>
            <w:tcW w:w="947" w:type="dxa"/>
            <w:tcBorders>
              <w:tl2br w:val="nil"/>
              <w:tr2bl w:val="nil"/>
            </w:tcBorders>
            <w:vAlign w:val="center"/>
          </w:tcPr>
          <w:p w14:paraId="3709C43E">
            <w:pPr>
              <w:widowControl w:val="0"/>
              <w:jc w:val="center"/>
              <w:rPr>
                <w:rFonts w:hint="eastAsia" w:ascii="宋体" w:hAnsi="宋体" w:eastAsia="宋体" w:cs="宋体"/>
                <w:sz w:val="21"/>
                <w:szCs w:val="21"/>
              </w:rPr>
            </w:pPr>
          </w:p>
        </w:tc>
        <w:tc>
          <w:tcPr>
            <w:tcW w:w="1991" w:type="dxa"/>
            <w:gridSpan w:val="2"/>
            <w:tcBorders>
              <w:tl2br w:val="nil"/>
              <w:tr2bl w:val="nil"/>
            </w:tcBorders>
            <w:vAlign w:val="center"/>
          </w:tcPr>
          <w:p w14:paraId="0CBA4496">
            <w:pPr>
              <w:widowControl w:val="0"/>
              <w:jc w:val="center"/>
              <w:rPr>
                <w:rFonts w:hint="eastAsia" w:ascii="宋体" w:hAnsi="宋体" w:eastAsia="宋体" w:cs="宋体"/>
                <w:sz w:val="21"/>
                <w:szCs w:val="21"/>
              </w:rPr>
            </w:pPr>
          </w:p>
        </w:tc>
        <w:tc>
          <w:tcPr>
            <w:tcW w:w="1500" w:type="dxa"/>
            <w:tcBorders>
              <w:tl2br w:val="nil"/>
              <w:tr2bl w:val="nil"/>
            </w:tcBorders>
            <w:vAlign w:val="center"/>
          </w:tcPr>
          <w:p w14:paraId="60E5DB99">
            <w:pPr>
              <w:widowControl w:val="0"/>
              <w:jc w:val="center"/>
              <w:rPr>
                <w:rFonts w:hint="eastAsia" w:ascii="宋体" w:hAnsi="宋体" w:eastAsia="宋体" w:cs="宋体"/>
                <w:sz w:val="21"/>
                <w:szCs w:val="21"/>
              </w:rPr>
            </w:pPr>
          </w:p>
        </w:tc>
        <w:tc>
          <w:tcPr>
            <w:tcW w:w="1485" w:type="dxa"/>
            <w:tcBorders>
              <w:tl2br w:val="nil"/>
              <w:tr2bl w:val="nil"/>
            </w:tcBorders>
            <w:vAlign w:val="center"/>
          </w:tcPr>
          <w:p w14:paraId="6D2663C1">
            <w:pPr>
              <w:widowControl w:val="0"/>
              <w:jc w:val="center"/>
              <w:rPr>
                <w:rFonts w:hint="eastAsia" w:ascii="宋体" w:hAnsi="宋体" w:eastAsia="宋体" w:cs="宋体"/>
                <w:sz w:val="21"/>
                <w:szCs w:val="21"/>
              </w:rPr>
            </w:pPr>
          </w:p>
        </w:tc>
      </w:tr>
      <w:tr w14:paraId="2CB1A0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1A45C436">
            <w:pPr>
              <w:widowControl w:val="0"/>
              <w:jc w:val="center"/>
              <w:rPr>
                <w:rFonts w:hint="eastAsia" w:ascii="宋体" w:hAnsi="宋体" w:eastAsia="宋体" w:cs="宋体"/>
                <w:sz w:val="21"/>
                <w:szCs w:val="21"/>
              </w:rPr>
            </w:pPr>
            <w:r>
              <w:rPr>
                <w:rFonts w:hint="eastAsia" w:ascii="宋体" w:hAnsi="宋体" w:eastAsia="宋体" w:cs="宋体"/>
                <w:sz w:val="21"/>
                <w:szCs w:val="21"/>
                <w:lang w:bidi="ar"/>
              </w:rPr>
              <w:t>4</w:t>
            </w:r>
          </w:p>
        </w:tc>
        <w:tc>
          <w:tcPr>
            <w:tcW w:w="2282" w:type="dxa"/>
            <w:gridSpan w:val="2"/>
            <w:tcBorders>
              <w:tl2br w:val="nil"/>
              <w:tr2bl w:val="nil"/>
            </w:tcBorders>
            <w:vAlign w:val="center"/>
          </w:tcPr>
          <w:p w14:paraId="01850FE2">
            <w:pPr>
              <w:widowControl w:val="0"/>
              <w:jc w:val="center"/>
              <w:rPr>
                <w:rFonts w:hint="eastAsia" w:ascii="宋体" w:hAnsi="宋体" w:eastAsia="宋体" w:cs="宋体"/>
                <w:sz w:val="21"/>
                <w:szCs w:val="21"/>
              </w:rPr>
            </w:pPr>
            <w:r>
              <w:rPr>
                <w:rFonts w:hint="eastAsia" w:ascii="宋体" w:hAnsi="宋体" w:eastAsia="宋体" w:cs="宋体"/>
                <w:sz w:val="21"/>
                <w:szCs w:val="21"/>
              </w:rPr>
              <w:t>主要技术人员</w:t>
            </w:r>
          </w:p>
        </w:tc>
        <w:tc>
          <w:tcPr>
            <w:tcW w:w="947" w:type="dxa"/>
            <w:tcBorders>
              <w:tl2br w:val="nil"/>
              <w:tr2bl w:val="nil"/>
            </w:tcBorders>
            <w:vAlign w:val="center"/>
          </w:tcPr>
          <w:p w14:paraId="68BEF06B">
            <w:pPr>
              <w:widowControl w:val="0"/>
              <w:jc w:val="center"/>
              <w:rPr>
                <w:rFonts w:hint="eastAsia" w:ascii="宋体" w:hAnsi="宋体" w:eastAsia="宋体" w:cs="宋体"/>
                <w:sz w:val="21"/>
                <w:szCs w:val="21"/>
              </w:rPr>
            </w:pPr>
          </w:p>
        </w:tc>
        <w:tc>
          <w:tcPr>
            <w:tcW w:w="1991" w:type="dxa"/>
            <w:gridSpan w:val="2"/>
            <w:tcBorders>
              <w:tl2br w:val="nil"/>
              <w:tr2bl w:val="nil"/>
            </w:tcBorders>
            <w:vAlign w:val="center"/>
          </w:tcPr>
          <w:p w14:paraId="001A363B">
            <w:pPr>
              <w:widowControl w:val="0"/>
              <w:jc w:val="center"/>
              <w:rPr>
                <w:rFonts w:hint="eastAsia" w:ascii="宋体" w:hAnsi="宋体" w:eastAsia="宋体" w:cs="宋体"/>
                <w:sz w:val="21"/>
                <w:szCs w:val="21"/>
              </w:rPr>
            </w:pPr>
          </w:p>
        </w:tc>
        <w:tc>
          <w:tcPr>
            <w:tcW w:w="1500" w:type="dxa"/>
            <w:tcBorders>
              <w:tl2br w:val="nil"/>
              <w:tr2bl w:val="nil"/>
            </w:tcBorders>
            <w:vAlign w:val="center"/>
          </w:tcPr>
          <w:p w14:paraId="089F2FF5">
            <w:pPr>
              <w:widowControl w:val="0"/>
              <w:jc w:val="center"/>
              <w:rPr>
                <w:rFonts w:hint="eastAsia" w:ascii="宋体" w:hAnsi="宋体" w:eastAsia="宋体" w:cs="宋体"/>
                <w:sz w:val="21"/>
                <w:szCs w:val="21"/>
              </w:rPr>
            </w:pPr>
          </w:p>
        </w:tc>
        <w:tc>
          <w:tcPr>
            <w:tcW w:w="1485" w:type="dxa"/>
            <w:tcBorders>
              <w:tl2br w:val="nil"/>
              <w:tr2bl w:val="nil"/>
            </w:tcBorders>
            <w:vAlign w:val="center"/>
          </w:tcPr>
          <w:p w14:paraId="5DFF7829">
            <w:pPr>
              <w:widowControl w:val="0"/>
              <w:jc w:val="center"/>
              <w:rPr>
                <w:rFonts w:hint="eastAsia" w:ascii="宋体" w:hAnsi="宋体" w:eastAsia="宋体" w:cs="宋体"/>
                <w:sz w:val="21"/>
                <w:szCs w:val="21"/>
              </w:rPr>
            </w:pPr>
          </w:p>
        </w:tc>
      </w:tr>
      <w:tr w14:paraId="44CFAE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35770E5F">
            <w:pPr>
              <w:widowControl w:val="0"/>
              <w:jc w:val="center"/>
              <w:rPr>
                <w:rFonts w:hint="eastAsia" w:ascii="宋体" w:hAnsi="宋体" w:eastAsia="宋体" w:cs="宋体"/>
                <w:sz w:val="21"/>
                <w:szCs w:val="21"/>
              </w:rPr>
            </w:pPr>
            <w:r>
              <w:rPr>
                <w:rFonts w:hint="eastAsia" w:ascii="宋体" w:hAnsi="宋体" w:eastAsia="宋体" w:cs="宋体"/>
                <w:sz w:val="21"/>
                <w:szCs w:val="21"/>
                <w:lang w:bidi="ar"/>
              </w:rPr>
              <w:t>5</w:t>
            </w:r>
          </w:p>
        </w:tc>
        <w:tc>
          <w:tcPr>
            <w:tcW w:w="2282" w:type="dxa"/>
            <w:gridSpan w:val="2"/>
            <w:tcBorders>
              <w:tl2br w:val="nil"/>
              <w:tr2bl w:val="nil"/>
            </w:tcBorders>
            <w:vAlign w:val="center"/>
          </w:tcPr>
          <w:p w14:paraId="336F126D">
            <w:pPr>
              <w:pStyle w:val="7"/>
              <w:widowControl w:val="0"/>
              <w:snapToGrid w:val="0"/>
              <w:ind w:firstLine="0"/>
              <w:jc w:val="center"/>
              <w:rPr>
                <w:rFonts w:hint="eastAsia" w:ascii="宋体" w:hAnsi="宋体" w:eastAsia="宋体" w:cs="宋体"/>
                <w:sz w:val="21"/>
                <w:szCs w:val="21"/>
              </w:rPr>
            </w:pPr>
            <w:r>
              <w:rPr>
                <w:rFonts w:hint="eastAsia" w:ascii="宋体" w:hAnsi="宋体" w:eastAsia="宋体" w:cs="宋体"/>
                <w:sz w:val="21"/>
                <w:szCs w:val="21"/>
              </w:rPr>
              <w:t>投标文件编制人员</w:t>
            </w:r>
          </w:p>
        </w:tc>
        <w:tc>
          <w:tcPr>
            <w:tcW w:w="947" w:type="dxa"/>
            <w:tcBorders>
              <w:tl2br w:val="nil"/>
              <w:tr2bl w:val="nil"/>
            </w:tcBorders>
            <w:vAlign w:val="center"/>
          </w:tcPr>
          <w:p w14:paraId="4722B71D">
            <w:pPr>
              <w:widowControl w:val="0"/>
              <w:jc w:val="center"/>
              <w:rPr>
                <w:rFonts w:hint="eastAsia" w:ascii="宋体" w:hAnsi="宋体" w:eastAsia="宋体" w:cs="宋体"/>
                <w:sz w:val="21"/>
                <w:szCs w:val="21"/>
              </w:rPr>
            </w:pPr>
          </w:p>
        </w:tc>
        <w:tc>
          <w:tcPr>
            <w:tcW w:w="1991" w:type="dxa"/>
            <w:gridSpan w:val="2"/>
            <w:tcBorders>
              <w:tl2br w:val="nil"/>
              <w:tr2bl w:val="nil"/>
            </w:tcBorders>
            <w:vAlign w:val="center"/>
          </w:tcPr>
          <w:p w14:paraId="19D7B35F">
            <w:pPr>
              <w:widowControl w:val="0"/>
              <w:jc w:val="center"/>
              <w:rPr>
                <w:rFonts w:hint="eastAsia" w:ascii="宋体" w:hAnsi="宋体" w:eastAsia="宋体" w:cs="宋体"/>
                <w:sz w:val="21"/>
                <w:szCs w:val="21"/>
              </w:rPr>
            </w:pPr>
          </w:p>
        </w:tc>
        <w:tc>
          <w:tcPr>
            <w:tcW w:w="1500" w:type="dxa"/>
            <w:tcBorders>
              <w:tl2br w:val="nil"/>
              <w:tr2bl w:val="nil"/>
            </w:tcBorders>
            <w:vAlign w:val="center"/>
          </w:tcPr>
          <w:p w14:paraId="03090334">
            <w:pPr>
              <w:widowControl w:val="0"/>
              <w:jc w:val="center"/>
              <w:rPr>
                <w:rFonts w:hint="eastAsia" w:ascii="宋体" w:hAnsi="宋体" w:eastAsia="宋体" w:cs="宋体"/>
                <w:sz w:val="21"/>
                <w:szCs w:val="21"/>
              </w:rPr>
            </w:pPr>
          </w:p>
        </w:tc>
        <w:tc>
          <w:tcPr>
            <w:tcW w:w="1485" w:type="dxa"/>
            <w:tcBorders>
              <w:tl2br w:val="nil"/>
              <w:tr2bl w:val="nil"/>
            </w:tcBorders>
            <w:vAlign w:val="center"/>
          </w:tcPr>
          <w:p w14:paraId="0BCCA481">
            <w:pPr>
              <w:widowControl w:val="0"/>
              <w:jc w:val="center"/>
              <w:rPr>
                <w:rFonts w:hint="eastAsia" w:ascii="宋体" w:hAnsi="宋体" w:eastAsia="宋体" w:cs="宋体"/>
                <w:sz w:val="21"/>
                <w:szCs w:val="21"/>
              </w:rPr>
            </w:pPr>
          </w:p>
        </w:tc>
      </w:tr>
      <w:tr w14:paraId="0800FB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tcBorders>
              <w:tl2br w:val="nil"/>
              <w:tr2bl w:val="nil"/>
            </w:tcBorders>
            <w:vAlign w:val="center"/>
          </w:tcPr>
          <w:p w14:paraId="6E6DDE95">
            <w:pPr>
              <w:widowControl w:val="0"/>
              <w:jc w:val="left"/>
              <w:rPr>
                <w:rFonts w:hint="eastAsia" w:ascii="宋体" w:hAnsi="宋体" w:eastAsia="宋体" w:cs="宋体"/>
                <w:sz w:val="21"/>
                <w:szCs w:val="21"/>
              </w:rPr>
            </w:pPr>
            <w:r>
              <w:rPr>
                <w:rFonts w:hint="eastAsia" w:ascii="宋体" w:hAnsi="宋体" w:eastAsia="宋体" w:cs="宋体"/>
                <w:b/>
                <w:bCs/>
                <w:sz w:val="21"/>
                <w:szCs w:val="21"/>
              </w:rPr>
              <w:t>说明：同一职务有多人担任（如主要技术人员），应分行填写。</w:t>
            </w:r>
          </w:p>
        </w:tc>
      </w:tr>
      <w:tr w14:paraId="06CB2C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41" w:type="dxa"/>
            <w:gridSpan w:val="8"/>
            <w:tcBorders>
              <w:tl2br w:val="nil"/>
              <w:tr2bl w:val="nil"/>
            </w:tcBorders>
            <w:vAlign w:val="center"/>
          </w:tcPr>
          <w:p w14:paraId="28C41E4D">
            <w:pPr>
              <w:widowControl w:val="0"/>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58F6BA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3B7794CD">
            <w:pPr>
              <w:widowControl w:val="0"/>
              <w:jc w:val="center"/>
              <w:rPr>
                <w:rFonts w:hint="eastAsia" w:ascii="宋体" w:hAnsi="宋体" w:eastAsia="宋体" w:cs="宋体"/>
                <w:sz w:val="21"/>
                <w:szCs w:val="21"/>
                <w:lang w:bidi="ar"/>
              </w:rPr>
            </w:pPr>
            <w:r>
              <w:rPr>
                <w:rFonts w:hint="eastAsia" w:ascii="宋体" w:hAnsi="宋体" w:eastAsia="宋体" w:cs="宋体"/>
                <w:sz w:val="21"/>
                <w:szCs w:val="21"/>
                <w:lang w:bidi="ar"/>
              </w:rPr>
              <w:t>序号</w:t>
            </w:r>
          </w:p>
        </w:tc>
        <w:tc>
          <w:tcPr>
            <w:tcW w:w="2282" w:type="dxa"/>
            <w:gridSpan w:val="2"/>
            <w:tcBorders>
              <w:tl2br w:val="nil"/>
              <w:tr2bl w:val="nil"/>
            </w:tcBorders>
            <w:vAlign w:val="center"/>
          </w:tcPr>
          <w:p w14:paraId="759455EF">
            <w:pPr>
              <w:widowControl w:val="0"/>
              <w:jc w:val="center"/>
              <w:rPr>
                <w:rFonts w:hint="eastAsia" w:ascii="宋体" w:hAnsi="宋体" w:eastAsia="宋体" w:cs="宋体"/>
                <w:sz w:val="21"/>
                <w:szCs w:val="21"/>
              </w:rPr>
            </w:pPr>
            <w:r>
              <w:rPr>
                <w:rFonts w:hint="eastAsia" w:ascii="宋体" w:hAnsi="宋体" w:eastAsia="宋体" w:cs="宋体"/>
                <w:sz w:val="21"/>
                <w:szCs w:val="21"/>
              </w:rPr>
              <w:t>关联关系类型</w:t>
            </w:r>
          </w:p>
        </w:tc>
        <w:tc>
          <w:tcPr>
            <w:tcW w:w="1738" w:type="dxa"/>
            <w:gridSpan w:val="2"/>
            <w:tcBorders>
              <w:tl2br w:val="nil"/>
              <w:tr2bl w:val="nil"/>
            </w:tcBorders>
            <w:vAlign w:val="center"/>
          </w:tcPr>
          <w:p w14:paraId="56B1AD61">
            <w:pPr>
              <w:widowControl w:val="0"/>
              <w:jc w:val="center"/>
              <w:rPr>
                <w:rFonts w:hint="eastAsia" w:ascii="宋体" w:hAnsi="宋体" w:eastAsia="宋体" w:cs="宋体"/>
                <w:sz w:val="21"/>
                <w:szCs w:val="21"/>
              </w:rPr>
            </w:pPr>
            <w:r>
              <w:rPr>
                <w:rFonts w:hint="eastAsia" w:ascii="宋体" w:hAnsi="宋体" w:eastAsia="宋体" w:cs="宋体"/>
                <w:sz w:val="21"/>
                <w:szCs w:val="21"/>
              </w:rPr>
              <w:t>关联主体名称</w:t>
            </w:r>
          </w:p>
        </w:tc>
        <w:tc>
          <w:tcPr>
            <w:tcW w:w="4185" w:type="dxa"/>
            <w:gridSpan w:val="3"/>
            <w:tcBorders>
              <w:tl2br w:val="nil"/>
              <w:tr2bl w:val="nil"/>
            </w:tcBorders>
            <w:vAlign w:val="center"/>
          </w:tcPr>
          <w:p w14:paraId="7955504E">
            <w:pPr>
              <w:widowControl w:val="0"/>
              <w:jc w:val="center"/>
              <w:rPr>
                <w:rFonts w:hint="eastAsia" w:ascii="宋体" w:hAnsi="宋体" w:eastAsia="宋体" w:cs="宋体"/>
                <w:sz w:val="21"/>
                <w:szCs w:val="21"/>
              </w:rPr>
            </w:pPr>
            <w:r>
              <w:rPr>
                <w:rFonts w:hint="eastAsia" w:ascii="宋体" w:hAnsi="宋体" w:eastAsia="宋体" w:cs="宋体"/>
                <w:sz w:val="21"/>
                <w:szCs w:val="21"/>
              </w:rPr>
              <w:t>备注</w:t>
            </w:r>
          </w:p>
        </w:tc>
      </w:tr>
      <w:tr w14:paraId="3C3CCF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l2br w:val="nil"/>
              <w:tr2bl w:val="nil"/>
            </w:tcBorders>
            <w:vAlign w:val="center"/>
          </w:tcPr>
          <w:p w14:paraId="0C4B2B0F">
            <w:pPr>
              <w:widowControl w:val="0"/>
              <w:jc w:val="center"/>
              <w:rPr>
                <w:rFonts w:hint="eastAsia" w:ascii="宋体" w:hAnsi="宋体" w:eastAsia="宋体" w:cs="宋体"/>
                <w:sz w:val="21"/>
                <w:szCs w:val="21"/>
                <w:lang w:bidi="ar"/>
              </w:rPr>
            </w:pPr>
            <w:r>
              <w:rPr>
                <w:rFonts w:hint="eastAsia" w:ascii="宋体" w:hAnsi="宋体" w:eastAsia="宋体" w:cs="宋体"/>
                <w:sz w:val="21"/>
                <w:szCs w:val="21"/>
                <w:lang w:bidi="ar"/>
              </w:rPr>
              <w:t>1</w:t>
            </w:r>
          </w:p>
        </w:tc>
        <w:tc>
          <w:tcPr>
            <w:tcW w:w="2282" w:type="dxa"/>
            <w:gridSpan w:val="2"/>
            <w:tcBorders>
              <w:tl2br w:val="nil"/>
              <w:tr2bl w:val="nil"/>
            </w:tcBorders>
            <w:vAlign w:val="center"/>
          </w:tcPr>
          <w:p w14:paraId="3ABF9EBD">
            <w:pPr>
              <w:widowControl w:val="0"/>
              <w:jc w:val="center"/>
              <w:rPr>
                <w:rFonts w:hint="eastAsia" w:ascii="宋体" w:hAnsi="宋体" w:eastAsia="宋体" w:cs="宋体"/>
                <w:sz w:val="21"/>
                <w:szCs w:val="21"/>
              </w:rPr>
            </w:pPr>
            <w:r>
              <w:rPr>
                <w:rFonts w:hint="eastAsia" w:ascii="宋体" w:hAnsi="宋体" w:eastAsia="宋体" w:cs="宋体"/>
                <w:sz w:val="21"/>
                <w:szCs w:val="21"/>
              </w:rPr>
              <w:t>控股股东</w:t>
            </w:r>
          </w:p>
        </w:tc>
        <w:tc>
          <w:tcPr>
            <w:tcW w:w="1738" w:type="dxa"/>
            <w:gridSpan w:val="2"/>
            <w:tcBorders>
              <w:tl2br w:val="nil"/>
              <w:tr2bl w:val="nil"/>
            </w:tcBorders>
            <w:vAlign w:val="center"/>
          </w:tcPr>
          <w:p w14:paraId="64398CA7">
            <w:pPr>
              <w:widowControl w:val="0"/>
              <w:jc w:val="center"/>
              <w:rPr>
                <w:rFonts w:hint="eastAsia" w:ascii="宋体" w:hAnsi="宋体" w:eastAsia="宋体" w:cs="宋体"/>
                <w:sz w:val="21"/>
                <w:szCs w:val="21"/>
              </w:rPr>
            </w:pPr>
          </w:p>
        </w:tc>
        <w:tc>
          <w:tcPr>
            <w:tcW w:w="4185" w:type="dxa"/>
            <w:gridSpan w:val="3"/>
            <w:tcBorders>
              <w:tl2br w:val="nil"/>
              <w:tr2bl w:val="nil"/>
            </w:tcBorders>
            <w:vAlign w:val="center"/>
          </w:tcPr>
          <w:p w14:paraId="0ED5D443">
            <w:pPr>
              <w:widowControl w:val="0"/>
              <w:snapToGrid w:val="0"/>
              <w:jc w:val="left"/>
              <w:rPr>
                <w:rFonts w:hint="eastAsia" w:ascii="宋体" w:hAnsi="宋体" w:eastAsia="宋体" w:cs="宋体"/>
                <w:sz w:val="21"/>
                <w:szCs w:val="21"/>
              </w:rPr>
            </w:pPr>
            <w:r>
              <w:rPr>
                <w:rFonts w:hint="eastAsia" w:ascii="宋体" w:hAnsi="宋体" w:eastAsia="宋体" w:cs="宋体"/>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381801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36" w:type="dxa"/>
            <w:tcBorders>
              <w:tl2br w:val="nil"/>
              <w:tr2bl w:val="nil"/>
            </w:tcBorders>
            <w:vAlign w:val="center"/>
          </w:tcPr>
          <w:p w14:paraId="0400A84A">
            <w:pPr>
              <w:widowControl w:val="0"/>
              <w:jc w:val="center"/>
              <w:rPr>
                <w:rFonts w:hint="eastAsia" w:ascii="宋体" w:hAnsi="宋体" w:eastAsia="宋体" w:cs="宋体"/>
                <w:sz w:val="21"/>
                <w:szCs w:val="21"/>
                <w:lang w:bidi="ar"/>
              </w:rPr>
            </w:pPr>
            <w:r>
              <w:rPr>
                <w:rFonts w:hint="eastAsia" w:ascii="宋体" w:hAnsi="宋体" w:eastAsia="宋体" w:cs="宋体"/>
                <w:sz w:val="21"/>
                <w:szCs w:val="21"/>
                <w:lang w:bidi="ar"/>
              </w:rPr>
              <w:t>2</w:t>
            </w:r>
          </w:p>
        </w:tc>
        <w:tc>
          <w:tcPr>
            <w:tcW w:w="2282" w:type="dxa"/>
            <w:gridSpan w:val="2"/>
            <w:tcBorders>
              <w:tl2br w:val="nil"/>
              <w:tr2bl w:val="nil"/>
            </w:tcBorders>
            <w:vAlign w:val="center"/>
          </w:tcPr>
          <w:p w14:paraId="2844CA6B">
            <w:pPr>
              <w:widowControl w:val="0"/>
              <w:jc w:val="center"/>
              <w:rPr>
                <w:rFonts w:hint="eastAsia" w:ascii="宋体" w:hAnsi="宋体" w:eastAsia="宋体" w:cs="宋体"/>
                <w:sz w:val="21"/>
                <w:szCs w:val="21"/>
              </w:rPr>
            </w:pPr>
            <w:r>
              <w:rPr>
                <w:rFonts w:hint="eastAsia" w:ascii="宋体" w:hAnsi="宋体" w:eastAsia="宋体" w:cs="宋体"/>
                <w:sz w:val="21"/>
                <w:szCs w:val="21"/>
              </w:rPr>
              <w:t>管理关系</w:t>
            </w:r>
          </w:p>
        </w:tc>
        <w:tc>
          <w:tcPr>
            <w:tcW w:w="1738" w:type="dxa"/>
            <w:gridSpan w:val="2"/>
            <w:tcBorders>
              <w:tl2br w:val="nil"/>
              <w:tr2bl w:val="nil"/>
            </w:tcBorders>
            <w:vAlign w:val="center"/>
          </w:tcPr>
          <w:p w14:paraId="721632CD">
            <w:pPr>
              <w:widowControl w:val="0"/>
              <w:jc w:val="center"/>
              <w:rPr>
                <w:rFonts w:hint="eastAsia" w:ascii="宋体" w:hAnsi="宋体" w:eastAsia="宋体" w:cs="宋体"/>
                <w:sz w:val="21"/>
                <w:szCs w:val="21"/>
              </w:rPr>
            </w:pPr>
          </w:p>
        </w:tc>
        <w:tc>
          <w:tcPr>
            <w:tcW w:w="4185" w:type="dxa"/>
            <w:gridSpan w:val="3"/>
            <w:tcBorders>
              <w:tl2br w:val="nil"/>
              <w:tr2bl w:val="nil"/>
            </w:tcBorders>
            <w:vAlign w:val="center"/>
          </w:tcPr>
          <w:p w14:paraId="58A7CAB2">
            <w:pPr>
              <w:widowControl w:val="0"/>
              <w:snapToGrid w:val="0"/>
              <w:jc w:val="left"/>
              <w:rPr>
                <w:rFonts w:hint="eastAsia" w:ascii="宋体" w:hAnsi="宋体" w:eastAsia="宋体" w:cs="宋体"/>
                <w:sz w:val="21"/>
                <w:szCs w:val="21"/>
              </w:rPr>
            </w:pPr>
            <w:r>
              <w:rPr>
                <w:rFonts w:hint="eastAsia" w:ascii="宋体" w:hAnsi="宋体" w:eastAsia="宋体" w:cs="宋体"/>
                <w:sz w:val="21"/>
                <w:szCs w:val="21"/>
              </w:rPr>
              <w:t>指对投标（响应）供应商不具有出资持股关系，但对其存在管理关系的主体。</w:t>
            </w:r>
          </w:p>
        </w:tc>
      </w:tr>
      <w:tr w14:paraId="7A04F9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941" w:type="dxa"/>
            <w:gridSpan w:val="8"/>
            <w:tcBorders>
              <w:tl2br w:val="nil"/>
              <w:tr2bl w:val="nil"/>
            </w:tcBorders>
            <w:vAlign w:val="center"/>
          </w:tcPr>
          <w:p w14:paraId="0C10C291">
            <w:pPr>
              <w:widowControl w:val="0"/>
              <w:snapToGrid w:val="0"/>
              <w:jc w:val="left"/>
              <w:rPr>
                <w:rFonts w:hint="eastAsia" w:ascii="宋体" w:hAnsi="宋体" w:eastAsia="宋体" w:cs="宋体"/>
                <w:sz w:val="21"/>
                <w:szCs w:val="21"/>
              </w:rPr>
            </w:pPr>
            <w:r>
              <w:rPr>
                <w:rFonts w:hint="eastAsia" w:ascii="宋体" w:hAnsi="宋体" w:eastAsia="宋体" w:cs="宋体"/>
                <w:b/>
                <w:bCs/>
                <w:sz w:val="21"/>
                <w:szCs w:val="21"/>
              </w:rPr>
              <w:t>说明：同一关联关系类型有多个主体的，应分行填写。</w:t>
            </w:r>
          </w:p>
        </w:tc>
      </w:tr>
    </w:tbl>
    <w:p w14:paraId="2BF71310">
      <w:pPr>
        <w:rPr>
          <w:rFonts w:ascii="黑体"/>
        </w:rPr>
      </w:pPr>
    </w:p>
    <w:p w14:paraId="40A31079">
      <w:pPr>
        <w:rPr>
          <w:rFonts w:ascii="黑体"/>
        </w:rPr>
      </w:pPr>
      <w:r>
        <w:rPr>
          <w:rFonts w:hint="eastAsia" w:ascii="黑体"/>
        </w:rPr>
        <w:br w:type="page"/>
      </w:r>
    </w:p>
    <w:p w14:paraId="4ABBCC9F">
      <w:pPr>
        <w:jc w:val="center"/>
        <w:outlineLvl w:val="3"/>
        <w:rPr>
          <w:rFonts w:hint="eastAsia" w:ascii="黑体" w:hAnsi="宋体" w:eastAsia="黑体"/>
          <w:szCs w:val="20"/>
        </w:rPr>
      </w:pPr>
      <w:r>
        <w:rPr>
          <w:rFonts w:hint="eastAsia" w:ascii="黑体" w:hAnsi="宋体" w:eastAsia="黑体"/>
          <w:szCs w:val="20"/>
        </w:rPr>
        <w:t>三、政府采购违法行为风险知悉确认书</w:t>
      </w:r>
    </w:p>
    <w:p w14:paraId="21A5C15C">
      <w:pPr>
        <w:spacing w:line="360" w:lineRule="exact"/>
        <w:ind w:firstLine="422" w:firstLineChars="200"/>
        <w:rPr>
          <w:rFonts w:hint="eastAsia" w:ascii="宋体" w:hAnsi="宋体" w:eastAsia="宋体" w:cs="宋体"/>
          <w:b/>
          <w:bCs/>
          <w:sz w:val="21"/>
          <w:szCs w:val="21"/>
        </w:rPr>
      </w:pPr>
    </w:p>
    <w:p w14:paraId="6EF7B8D7">
      <w:pPr>
        <w:spacing w:line="36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7594"/>
      </w:tblGrid>
      <w:tr w14:paraId="63F1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711" w:type="dxa"/>
          </w:tcPr>
          <w:p w14:paraId="307B08D1">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序号</w:t>
            </w:r>
          </w:p>
        </w:tc>
        <w:tc>
          <w:tcPr>
            <w:tcW w:w="7811" w:type="dxa"/>
          </w:tcPr>
          <w:p w14:paraId="7B0E0560">
            <w:pPr>
              <w:widowControl w:val="0"/>
              <w:spacing w:line="400" w:lineRule="exact"/>
              <w:jc w:val="center"/>
              <w:rPr>
                <w:rFonts w:hint="eastAsia" w:ascii="宋体" w:hAnsi="宋体" w:eastAsia="宋体" w:cs="宋体"/>
                <w:sz w:val="21"/>
                <w:szCs w:val="21"/>
              </w:rPr>
            </w:pPr>
            <w:r>
              <w:rPr>
                <w:rFonts w:hint="eastAsia" w:ascii="宋体" w:hAnsi="宋体" w:eastAsia="宋体" w:cs="宋体"/>
                <w:b/>
                <w:bCs/>
                <w:sz w:val="21"/>
                <w:szCs w:val="21"/>
              </w:rPr>
              <w:t>供应商参与投标禁止情形</w:t>
            </w:r>
          </w:p>
        </w:tc>
      </w:tr>
      <w:tr w14:paraId="5F31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36E65AE8">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7811" w:type="dxa"/>
            <w:vAlign w:val="center"/>
          </w:tcPr>
          <w:p w14:paraId="3E3A573D">
            <w:pPr>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与其他投标供应商的法定代表人、主要经营负责人、投标授权代表人、项目负责人、主要技术人员为</w:t>
            </w:r>
            <w:r>
              <w:rPr>
                <w:rFonts w:hint="eastAsia" w:ascii="宋体" w:hAnsi="宋体" w:eastAsia="宋体" w:cs="宋体"/>
                <w:b/>
                <w:bCs/>
                <w:sz w:val="21"/>
                <w:szCs w:val="21"/>
              </w:rPr>
              <w:t>同一人、属同一单位或者在同一单位缴纳社会保险</w:t>
            </w:r>
            <w:r>
              <w:rPr>
                <w:rFonts w:hint="eastAsia" w:ascii="宋体" w:hAnsi="宋体" w:eastAsia="宋体" w:cs="宋体"/>
                <w:sz w:val="21"/>
                <w:szCs w:val="21"/>
              </w:rPr>
              <w:t>。</w:t>
            </w:r>
          </w:p>
        </w:tc>
      </w:tr>
      <w:tr w14:paraId="553C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tcPr>
          <w:p w14:paraId="0D06A3D5">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7811" w:type="dxa"/>
            <w:vAlign w:val="center"/>
          </w:tcPr>
          <w:p w14:paraId="52C7C778">
            <w:pPr>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参与本项目政府采购活动时，与其他投标供应商存在单位负责人为</w:t>
            </w:r>
            <w:r>
              <w:rPr>
                <w:rFonts w:hint="eastAsia" w:ascii="宋体" w:hAnsi="宋体" w:eastAsia="宋体" w:cs="宋体"/>
                <w:b/>
                <w:bCs/>
                <w:sz w:val="21"/>
                <w:szCs w:val="21"/>
              </w:rPr>
              <w:t>同一人或直接控股、管理关系</w:t>
            </w:r>
            <w:r>
              <w:rPr>
                <w:rFonts w:hint="eastAsia" w:ascii="宋体" w:hAnsi="宋体" w:eastAsia="宋体" w:cs="宋体"/>
                <w:sz w:val="21"/>
                <w:szCs w:val="21"/>
              </w:rPr>
              <w:t>。</w:t>
            </w:r>
          </w:p>
        </w:tc>
      </w:tr>
      <w:tr w14:paraId="54C3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7E33B9D0">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7811" w:type="dxa"/>
            <w:vAlign w:val="center"/>
          </w:tcPr>
          <w:p w14:paraId="216C59F3">
            <w:pPr>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与其他投标供应商的投标文件或部分投标文件</w:t>
            </w:r>
            <w:r>
              <w:rPr>
                <w:rFonts w:hint="eastAsia" w:ascii="宋体" w:hAnsi="宋体" w:eastAsia="宋体" w:cs="宋体"/>
                <w:b/>
                <w:bCs/>
                <w:sz w:val="21"/>
                <w:szCs w:val="21"/>
              </w:rPr>
              <w:t>相互混装或存在非正常一致</w:t>
            </w:r>
            <w:r>
              <w:rPr>
                <w:rFonts w:hint="eastAsia" w:ascii="宋体" w:hAnsi="宋体" w:eastAsia="宋体" w:cs="宋体"/>
                <w:sz w:val="21"/>
                <w:szCs w:val="21"/>
              </w:rPr>
              <w:t>。</w:t>
            </w:r>
          </w:p>
        </w:tc>
      </w:tr>
      <w:tr w14:paraId="0411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6A9196B6">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7811" w:type="dxa"/>
            <w:vAlign w:val="center"/>
          </w:tcPr>
          <w:p w14:paraId="6E4FBCF9">
            <w:pPr>
              <w:widowControl w:val="0"/>
              <w:spacing w:line="400" w:lineRule="exact"/>
              <w:jc w:val="left"/>
              <w:rPr>
                <w:rFonts w:hint="eastAsia" w:ascii="宋体" w:hAnsi="宋体" w:eastAsia="宋体" w:cs="宋体"/>
                <w:kern w:val="2"/>
                <w:sz w:val="21"/>
                <w:szCs w:val="21"/>
              </w:rPr>
            </w:pPr>
            <w:r>
              <w:rPr>
                <w:rFonts w:hint="eastAsia" w:ascii="宋体" w:hAnsi="宋体" w:eastAsia="宋体" w:cs="宋体"/>
                <w:sz w:val="21"/>
                <w:szCs w:val="21"/>
              </w:rPr>
              <w:t>与其他投标供应商的投标文件由</w:t>
            </w:r>
            <w:r>
              <w:rPr>
                <w:rFonts w:hint="eastAsia" w:ascii="宋体" w:hAnsi="宋体" w:eastAsia="宋体" w:cs="宋体"/>
                <w:b/>
                <w:bCs/>
                <w:sz w:val="21"/>
                <w:szCs w:val="21"/>
              </w:rPr>
              <w:t>同一单位或者同一人编制</w:t>
            </w:r>
            <w:r>
              <w:rPr>
                <w:rFonts w:hint="eastAsia" w:ascii="宋体" w:hAnsi="宋体" w:eastAsia="宋体" w:cs="宋体"/>
                <w:sz w:val="21"/>
                <w:szCs w:val="21"/>
              </w:rPr>
              <w:t>，或者使用</w:t>
            </w:r>
            <w:r>
              <w:rPr>
                <w:rFonts w:hint="eastAsia" w:ascii="宋体" w:hAnsi="宋体" w:eastAsia="宋体" w:cs="宋体"/>
                <w:b/>
                <w:bCs/>
                <w:sz w:val="21"/>
                <w:szCs w:val="21"/>
              </w:rPr>
              <w:t>同一设备编制</w:t>
            </w:r>
            <w:r>
              <w:rPr>
                <w:rFonts w:hint="eastAsia" w:ascii="宋体" w:hAnsi="宋体" w:eastAsia="宋体" w:cs="宋体"/>
                <w:sz w:val="21"/>
                <w:szCs w:val="21"/>
              </w:rPr>
              <w:t>（“文件制作机器码”“文件创建标识码”一致）。</w:t>
            </w:r>
          </w:p>
        </w:tc>
      </w:tr>
      <w:tr w14:paraId="211E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tcPr>
          <w:p w14:paraId="329FB1F9">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7811" w:type="dxa"/>
            <w:vAlign w:val="center"/>
          </w:tcPr>
          <w:p w14:paraId="337B6D55">
            <w:pPr>
              <w:widowControl w:val="0"/>
              <w:spacing w:line="400" w:lineRule="exact"/>
              <w:jc w:val="left"/>
              <w:rPr>
                <w:rFonts w:hint="eastAsia" w:ascii="宋体" w:hAnsi="宋体" w:eastAsia="宋体" w:cs="宋体"/>
                <w:sz w:val="21"/>
                <w:szCs w:val="21"/>
              </w:rPr>
            </w:pPr>
            <w:r>
              <w:rPr>
                <w:rFonts w:hint="eastAsia" w:ascii="宋体" w:hAnsi="宋体" w:eastAsia="宋体" w:cs="宋体"/>
                <w:sz w:val="21"/>
                <w:szCs w:val="21"/>
              </w:rPr>
              <w:t>提供</w:t>
            </w:r>
            <w:r>
              <w:rPr>
                <w:rFonts w:hint="eastAsia" w:ascii="宋体" w:hAnsi="宋体" w:eastAsia="宋体" w:cs="宋体"/>
                <w:b/>
                <w:bCs/>
                <w:sz w:val="21"/>
                <w:szCs w:val="21"/>
              </w:rPr>
              <w:t>未经出具机构核实</w:t>
            </w:r>
            <w:r>
              <w:rPr>
                <w:rFonts w:hint="eastAsia" w:ascii="宋体" w:hAnsi="宋体" w:eastAsia="宋体" w:cs="宋体"/>
                <w:sz w:val="21"/>
                <w:szCs w:val="21"/>
              </w:rPr>
              <w:t>的虚假的检验检测报告、业绩材料、社保缴纳证明、学历学位证书、职称认证证书等材料。</w:t>
            </w:r>
          </w:p>
        </w:tc>
      </w:tr>
      <w:tr w14:paraId="1310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tcPr>
          <w:p w14:paraId="1BF75017">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7811" w:type="dxa"/>
            <w:vAlign w:val="center"/>
          </w:tcPr>
          <w:p w14:paraId="79C8451D">
            <w:pPr>
              <w:widowControl w:val="0"/>
              <w:spacing w:line="400" w:lineRule="exact"/>
              <w:jc w:val="left"/>
              <w:rPr>
                <w:rFonts w:hint="eastAsia" w:ascii="宋体" w:hAnsi="宋体" w:eastAsia="宋体" w:cs="宋体"/>
                <w:kern w:val="2"/>
                <w:sz w:val="21"/>
                <w:szCs w:val="21"/>
              </w:rPr>
            </w:pPr>
            <w:r>
              <w:rPr>
                <w:rFonts w:hint="eastAsia" w:ascii="宋体" w:hAnsi="宋体" w:eastAsia="宋体" w:cs="宋体"/>
                <w:sz w:val="21"/>
                <w:szCs w:val="21"/>
              </w:rPr>
              <w:t>擅自将投标密钥或电子营业执照出借他人使用或未妥善保管。</w:t>
            </w:r>
          </w:p>
        </w:tc>
      </w:tr>
    </w:tbl>
    <w:p w14:paraId="76CC73F4">
      <w:pPr>
        <w:spacing w:line="380" w:lineRule="exact"/>
        <w:ind w:firstLine="422" w:firstLineChars="200"/>
        <w:rPr>
          <w:rFonts w:hint="eastAsia" w:ascii="宋体" w:hAnsi="宋体" w:eastAsia="宋体" w:cs="宋体"/>
          <w:b/>
          <w:sz w:val="21"/>
          <w:szCs w:val="21"/>
        </w:rPr>
      </w:pPr>
      <w:r>
        <w:rPr>
          <w:rFonts w:hint="eastAsia" w:ascii="宋体" w:hAnsi="宋体" w:eastAsia="宋体" w:cs="宋体"/>
          <w:b/>
          <w:sz w:val="21"/>
          <w:szCs w:val="21"/>
        </w:rPr>
        <w:t>一、我单位已充分知悉“隐瞒真实情况，提供虚假资料”的法定情形，包括但不限于：</w:t>
      </w:r>
    </w:p>
    <w:p w14:paraId="1C8959DE">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（一）通过转让或者租借等方式从其他单位获取资格或者资质证书投标的。</w:t>
      </w:r>
    </w:p>
    <w:p w14:paraId="5C4967CC">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（二）由其他单位或者其他单位负责人在投标供应商编制的投标文件上加盖印章或者签字的。</w:t>
      </w:r>
    </w:p>
    <w:p w14:paraId="071FE843">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（三）项目负责人或者主要技术人员不是本单位人员的。</w:t>
      </w:r>
    </w:p>
    <w:p w14:paraId="6E1DFC13">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（四）投标保证金不是从投标供应商基本账户转出的。</w:t>
      </w:r>
    </w:p>
    <w:p w14:paraId="0F5C456A">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（五）其他隐瞒真实情况、提供虚假资料的行为。</w:t>
      </w:r>
    </w:p>
    <w:p w14:paraId="61DFA52F">
      <w:pPr>
        <w:spacing w:line="380" w:lineRule="exact"/>
        <w:ind w:firstLine="422" w:firstLineChars="200"/>
        <w:rPr>
          <w:rFonts w:hint="eastAsia" w:ascii="宋体" w:hAnsi="宋体" w:eastAsia="宋体" w:cs="宋体"/>
          <w:b/>
          <w:sz w:val="21"/>
          <w:szCs w:val="21"/>
        </w:rPr>
      </w:pPr>
      <w:r>
        <w:rPr>
          <w:rFonts w:hint="eastAsia" w:ascii="宋体" w:hAnsi="宋体" w:eastAsia="宋体" w:cs="宋体"/>
          <w:b/>
          <w:sz w:val="21"/>
          <w:szCs w:val="21"/>
        </w:rPr>
        <w:t>二、我单位已充分知悉“与其他采购参加人串通投标”的法定情形，包括但不限于：</w:t>
      </w:r>
    </w:p>
    <w:p w14:paraId="5BD0E652">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（一）投标供应商之间相互约定给予未中标的供应商利益补偿。</w:t>
      </w:r>
    </w:p>
    <w:p w14:paraId="7820C75B">
      <w:pPr>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（二）不同投标供应商的法定代表人、主要经营负责人、项目投标授权代表人、项目负责人、主要技术人员为同一人、属同一单位或者在同一单位缴纳社会保险。</w:t>
      </w:r>
    </w:p>
    <w:p w14:paraId="1C8CD9A8">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（三）不同投标供应商的投标文件由同一单位或者同一人编制，或者由同一人分阶段参与编制的。</w:t>
      </w:r>
    </w:p>
    <w:p w14:paraId="6286D593">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（四）不同投标供应商的投标文件或部分投标文件相互混装。</w:t>
      </w:r>
    </w:p>
    <w:p w14:paraId="69BC568B">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（五）不同投标供应商的投标文件内容存在非正常一致。</w:t>
      </w:r>
    </w:p>
    <w:p w14:paraId="79511325">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（六）由同一单位工作人员为两家以上（含两家）供应商进行同一项投标活动的。</w:t>
      </w:r>
    </w:p>
    <w:p w14:paraId="36586DED">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（七）不同投标人的投标报价呈规律性差异。</w:t>
      </w:r>
    </w:p>
    <w:p w14:paraId="797DDDC2">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（八）不同投标人的投标保证金从同一单位或者个人的账户转出。</w:t>
      </w:r>
    </w:p>
    <w:p w14:paraId="6CB1524F">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（九）主管部门依照法律、法规认定的其他情形。</w:t>
      </w:r>
    </w:p>
    <w:p w14:paraId="69AFA432">
      <w:pPr>
        <w:spacing w:line="340" w:lineRule="exact"/>
        <w:ind w:firstLine="422" w:firstLineChars="200"/>
        <w:rPr>
          <w:rFonts w:hint="eastAsia" w:ascii="宋体" w:hAnsi="宋体" w:eastAsia="宋体" w:cs="宋体"/>
          <w:b/>
          <w:sz w:val="21"/>
          <w:szCs w:val="21"/>
        </w:rPr>
      </w:pPr>
      <w:r>
        <w:rPr>
          <w:rFonts w:hint="eastAsia" w:ascii="宋体" w:hAnsi="宋体" w:eastAsia="宋体" w:cs="宋体"/>
          <w:b/>
          <w:sz w:val="21"/>
          <w:szCs w:val="21"/>
        </w:rPr>
        <w:t>三、我单位已充分知悉下列情形存在法律风险，在投标前已对相关风险事项进行排查。</w:t>
      </w:r>
    </w:p>
    <w:p w14:paraId="123B09FA">
      <w:pPr>
        <w:spacing w:line="340" w:lineRule="exact"/>
        <w:ind w:firstLine="420" w:firstLineChars="200"/>
        <w:rPr>
          <w:rFonts w:hint="eastAsia" w:ascii="宋体" w:hAnsi="宋体" w:eastAsia="宋体" w:cs="宋体"/>
          <w:b/>
          <w:sz w:val="21"/>
          <w:szCs w:val="21"/>
        </w:rPr>
      </w:pPr>
      <w:r>
        <w:rPr>
          <w:rFonts w:hint="eastAsia" w:ascii="宋体" w:hAnsi="宋体" w:eastAsia="宋体" w:cs="宋体"/>
          <w:sz w:val="21"/>
          <w:szCs w:val="21"/>
        </w:rPr>
        <w:t>（一）对于从其他主体获取的投标资料，我单位应审慎核查，确保其真实性。</w:t>
      </w:r>
      <w:r>
        <w:rPr>
          <w:rFonts w:hint="eastAsia" w:ascii="宋体" w:hAnsi="宋体" w:eastAsia="宋体" w:cs="宋体"/>
          <w:b/>
          <w:sz w:val="21"/>
          <w:szCs w:val="21"/>
        </w:rPr>
        <w:t>如主管部门查实投标文件中存在虚假资料的，无论相关资料是否由第三方或本公司员工提供，均不影响主管部门对供应商存在“隐瞒真实情况，提供虚假资料”违法行为的认定。</w:t>
      </w:r>
    </w:p>
    <w:p w14:paraId="7DFA804D">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（二）对于涉及国家机关出具的公文、证件、证明材料等文件，一旦涉嫌虚假，经查实，主管部门将依法从严处理，并移送有关部门追究法律责任；涉嫌犯罪的，移送司法机关处理。</w:t>
      </w:r>
    </w:p>
    <w:p w14:paraId="0E190AED">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eastAsia="宋体" w:cs="宋体"/>
          <w:b/>
          <w:bCs/>
          <w:sz w:val="21"/>
          <w:szCs w:val="21"/>
        </w:rPr>
        <w:t>擅自将投标密钥或电子营业执照出借他人使用所造成的法律后果，由我单位自行承担</w:t>
      </w:r>
      <w:r>
        <w:rPr>
          <w:rFonts w:hint="eastAsia" w:ascii="宋体" w:hAnsi="宋体" w:eastAsia="宋体" w:cs="宋体"/>
          <w:sz w:val="21"/>
          <w:szCs w:val="21"/>
        </w:rPr>
        <w:t>。</w:t>
      </w:r>
    </w:p>
    <w:p w14:paraId="71C4F0CC">
      <w:pPr>
        <w:spacing w:line="340" w:lineRule="exact"/>
        <w:ind w:firstLine="422" w:firstLineChars="200"/>
        <w:rPr>
          <w:rFonts w:hint="eastAsia" w:ascii="宋体" w:hAnsi="宋体" w:eastAsia="宋体" w:cs="宋体"/>
          <w:b/>
          <w:sz w:val="21"/>
          <w:szCs w:val="21"/>
        </w:rPr>
      </w:pPr>
      <w:r>
        <w:rPr>
          <w:rFonts w:hint="eastAsia" w:ascii="宋体" w:hAnsi="宋体" w:eastAsia="宋体" w:cs="宋体"/>
          <w:b/>
          <w:sz w:val="21"/>
          <w:szCs w:val="21"/>
        </w:rPr>
        <w:t>四、我单位已充分知悉政府采购违法、违规行为的法律后果。</w:t>
      </w:r>
    </w:p>
    <w:p w14:paraId="2B56C5FC">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3AF62266">
      <w:pPr>
        <w:spacing w:line="3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以下文字请投标供应商抄写并确认：“我单位已仔细阅读《政府采购违法行为风险知悉确认书》，充分知悉违法行为的法律后果，并承诺将严谨、诚信、依法依规参与政府采购活动”。</w:t>
      </w:r>
    </w:p>
    <w:tbl>
      <w:tblPr>
        <w:tblStyle w:val="77"/>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038E11A">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F927255">
            <w:pPr>
              <w:widowControl w:val="0"/>
              <w:autoSpaceDE w:val="0"/>
              <w:autoSpaceDN w:val="0"/>
              <w:spacing w:line="340" w:lineRule="exact"/>
              <w:ind w:firstLine="1866"/>
              <w:jc w:val="both"/>
              <w:rPr>
                <w:rFonts w:hint="eastAsia" w:ascii="宋体" w:hAnsi="宋体" w:eastAsia="宋体" w:cs="宋体"/>
                <w:spacing w:val="-4"/>
                <w:sz w:val="21"/>
                <w:szCs w:val="21"/>
              </w:rPr>
            </w:pPr>
          </w:p>
        </w:tc>
      </w:tr>
      <w:tr w14:paraId="7153677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1205B18">
            <w:pPr>
              <w:widowControl w:val="0"/>
              <w:autoSpaceDE w:val="0"/>
              <w:autoSpaceDN w:val="0"/>
              <w:spacing w:line="340" w:lineRule="exact"/>
              <w:ind w:firstLine="1866"/>
              <w:jc w:val="both"/>
              <w:rPr>
                <w:rFonts w:hint="eastAsia" w:ascii="宋体" w:hAnsi="宋体" w:eastAsia="宋体" w:cs="宋体"/>
                <w:spacing w:val="-4"/>
                <w:sz w:val="21"/>
                <w:szCs w:val="21"/>
              </w:rPr>
            </w:pPr>
          </w:p>
        </w:tc>
      </w:tr>
      <w:tr w14:paraId="062CCE8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7B5D804">
            <w:pPr>
              <w:widowControl w:val="0"/>
              <w:autoSpaceDE w:val="0"/>
              <w:autoSpaceDN w:val="0"/>
              <w:spacing w:line="340" w:lineRule="exact"/>
              <w:ind w:firstLine="1866"/>
              <w:jc w:val="both"/>
              <w:rPr>
                <w:rFonts w:hint="eastAsia" w:ascii="宋体" w:hAnsi="宋体" w:eastAsia="宋体" w:cs="宋体"/>
                <w:spacing w:val="-4"/>
                <w:sz w:val="21"/>
                <w:szCs w:val="21"/>
              </w:rPr>
            </w:pPr>
          </w:p>
        </w:tc>
      </w:tr>
      <w:tr w14:paraId="7325D3B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7FFB9F93">
            <w:pPr>
              <w:widowControl w:val="0"/>
              <w:autoSpaceDE w:val="0"/>
              <w:autoSpaceDN w:val="0"/>
              <w:spacing w:line="340" w:lineRule="exact"/>
              <w:ind w:firstLine="1866"/>
              <w:jc w:val="both"/>
              <w:rPr>
                <w:rFonts w:hint="eastAsia" w:ascii="宋体" w:hAnsi="宋体" w:eastAsia="宋体" w:cs="宋体"/>
                <w:spacing w:val="-4"/>
                <w:sz w:val="21"/>
                <w:szCs w:val="21"/>
              </w:rPr>
            </w:pPr>
          </w:p>
        </w:tc>
      </w:tr>
    </w:tbl>
    <w:p w14:paraId="0D391E48">
      <w:pPr>
        <w:wordWrap w:val="0"/>
        <w:autoSpaceDE w:val="0"/>
        <w:autoSpaceDN w:val="0"/>
        <w:spacing w:line="340" w:lineRule="exact"/>
        <w:ind w:right="808" w:firstLine="404" w:firstLineChars="200"/>
        <w:jc w:val="right"/>
        <w:rPr>
          <w:rFonts w:hint="eastAsia" w:ascii="宋体" w:hAnsi="宋体" w:eastAsia="宋体" w:cs="宋体"/>
          <w:spacing w:val="-4"/>
          <w:sz w:val="21"/>
          <w:szCs w:val="21"/>
        </w:rPr>
      </w:pPr>
    </w:p>
    <w:p w14:paraId="634B662D">
      <w:pPr>
        <w:wordWrap w:val="0"/>
        <w:autoSpaceDE w:val="0"/>
        <w:autoSpaceDN w:val="0"/>
        <w:spacing w:line="340" w:lineRule="exact"/>
        <w:ind w:right="808" w:firstLine="404" w:firstLineChars="200"/>
        <w:jc w:val="right"/>
        <w:rPr>
          <w:rFonts w:hint="eastAsia" w:ascii="宋体" w:hAnsi="宋体" w:eastAsia="宋体" w:cs="宋体"/>
          <w:spacing w:val="-4"/>
          <w:sz w:val="21"/>
          <w:szCs w:val="21"/>
          <w:u w:val="single"/>
        </w:rPr>
      </w:pPr>
      <w:r>
        <w:rPr>
          <w:rFonts w:hint="eastAsia" w:ascii="宋体" w:hAnsi="宋体" w:eastAsia="宋体" w:cs="宋体"/>
          <w:spacing w:val="-4"/>
          <w:sz w:val="21"/>
          <w:szCs w:val="21"/>
        </w:rPr>
        <w:t>单位负责人签名：</w:t>
      </w:r>
      <w:r>
        <w:rPr>
          <w:rFonts w:hint="eastAsia" w:ascii="宋体" w:hAnsi="宋体" w:eastAsia="宋体" w:cs="宋体"/>
          <w:spacing w:val="-4"/>
          <w:sz w:val="21"/>
          <w:szCs w:val="21"/>
          <w:u w:val="single"/>
        </w:rPr>
        <w:t xml:space="preserve">              </w:t>
      </w:r>
    </w:p>
    <w:p w14:paraId="5E9BCB20">
      <w:pPr>
        <w:wordWrap w:val="0"/>
        <w:autoSpaceDE w:val="0"/>
        <w:autoSpaceDN w:val="0"/>
        <w:spacing w:line="340" w:lineRule="exact"/>
        <w:ind w:right="808" w:firstLine="404" w:firstLineChars="200"/>
        <w:jc w:val="center"/>
        <w:rPr>
          <w:rFonts w:hint="eastAsia" w:ascii="宋体" w:hAnsi="宋体" w:eastAsia="宋体" w:cs="宋体"/>
          <w:spacing w:val="-4"/>
          <w:sz w:val="21"/>
          <w:szCs w:val="21"/>
          <w:u w:val="single"/>
        </w:rPr>
      </w:pPr>
      <w:r>
        <w:rPr>
          <w:rFonts w:hint="eastAsia" w:ascii="宋体" w:hAnsi="宋体" w:eastAsia="宋体" w:cs="宋体"/>
          <w:spacing w:val="-4"/>
          <w:sz w:val="21"/>
          <w:szCs w:val="21"/>
        </w:rPr>
        <w:t xml:space="preserve">                                 （加盖公章）</w:t>
      </w:r>
    </w:p>
    <w:p w14:paraId="19CC715B">
      <w:pPr>
        <w:wordWrap w:val="0"/>
        <w:autoSpaceDE w:val="0"/>
        <w:autoSpaceDN w:val="0"/>
        <w:spacing w:line="340" w:lineRule="exact"/>
        <w:ind w:right="808" w:firstLine="404" w:firstLineChars="200"/>
        <w:jc w:val="right"/>
        <w:rPr>
          <w:rFonts w:hint="eastAsia" w:ascii="宋体" w:hAnsi="宋体" w:eastAsia="宋体" w:cs="宋体"/>
          <w:spacing w:val="-4"/>
          <w:sz w:val="21"/>
          <w:szCs w:val="21"/>
          <w:u w:val="single"/>
        </w:rPr>
      </w:pPr>
      <w:r>
        <w:rPr>
          <w:rFonts w:hint="eastAsia" w:ascii="宋体" w:hAnsi="宋体" w:eastAsia="宋体" w:cs="宋体"/>
          <w:spacing w:val="-4"/>
          <w:sz w:val="21"/>
          <w:szCs w:val="21"/>
        </w:rPr>
        <w:t xml:space="preserve">     日期：</w:t>
      </w:r>
      <w:r>
        <w:rPr>
          <w:rFonts w:hint="eastAsia" w:ascii="宋体" w:hAnsi="宋体" w:eastAsia="宋体" w:cs="宋体"/>
          <w:spacing w:val="-4"/>
          <w:sz w:val="21"/>
          <w:szCs w:val="21"/>
          <w:u w:val="single"/>
        </w:rPr>
        <w:t xml:space="preserve">              </w:t>
      </w:r>
    </w:p>
    <w:p w14:paraId="532564A8">
      <w:pPr>
        <w:autoSpaceDE w:val="0"/>
        <w:autoSpaceDN w:val="0"/>
        <w:spacing w:line="340" w:lineRule="exact"/>
        <w:ind w:firstLine="406" w:firstLineChars="200"/>
        <w:rPr>
          <w:rFonts w:hint="eastAsia" w:ascii="宋体" w:hAnsi="宋体" w:eastAsia="宋体" w:cs="宋体"/>
          <w:b/>
          <w:bCs/>
          <w:spacing w:val="-4"/>
          <w:sz w:val="21"/>
          <w:szCs w:val="21"/>
        </w:rPr>
      </w:pPr>
    </w:p>
    <w:p w14:paraId="5C936E80">
      <w:pPr>
        <w:spacing w:line="360" w:lineRule="auto"/>
        <w:ind w:firstLine="406" w:firstLineChars="200"/>
        <w:rPr>
          <w:b/>
          <w:color w:val="FF0000"/>
          <w:szCs w:val="21"/>
        </w:rPr>
      </w:pPr>
      <w:r>
        <w:rPr>
          <w:rFonts w:hint="eastAsia" w:ascii="宋体" w:hAnsi="宋体" w:eastAsia="宋体" w:cs="宋体"/>
          <w:b/>
          <w:bCs/>
          <w:spacing w:val="-4"/>
          <w:sz w:val="21"/>
          <w:szCs w:val="21"/>
        </w:rPr>
        <w:t>注：《政府采购违法行为风险知悉确认书》需由投标供应商负责人签字并加盖单位公章后，扫描上传至投标文件一并提交。</w:t>
      </w:r>
    </w:p>
    <w:p w14:paraId="1F030CCD">
      <w:pPr>
        <w:spacing w:line="360" w:lineRule="auto"/>
        <w:rPr>
          <w:b/>
          <w:szCs w:val="21"/>
        </w:rPr>
      </w:pPr>
    </w:p>
    <w:p w14:paraId="530EE851">
      <w:pPr>
        <w:rPr>
          <w:rFonts w:ascii="黑体"/>
        </w:rPr>
      </w:pPr>
      <w:r>
        <w:rPr>
          <w:rFonts w:hint="eastAsia" w:ascii="黑体"/>
        </w:rPr>
        <w:br w:type="page"/>
      </w:r>
    </w:p>
    <w:p w14:paraId="7DF34F14">
      <w:pPr>
        <w:pStyle w:val="5"/>
        <w:spacing w:before="120" w:after="120"/>
        <w:jc w:val="center"/>
        <w:rPr>
          <w:rFonts w:ascii="黑体"/>
          <w:b w:val="0"/>
          <w:sz w:val="24"/>
        </w:rPr>
      </w:pPr>
      <w:r>
        <w:rPr>
          <w:rFonts w:hint="eastAsia" w:ascii="黑体"/>
          <w:b w:val="0"/>
          <w:sz w:val="24"/>
        </w:rPr>
        <w:t>四、招标代理服务费承诺书</w:t>
      </w:r>
    </w:p>
    <w:p w14:paraId="7A2DA26E">
      <w:pPr>
        <w:widowControl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致：中国远东国际招标有限公司</w:t>
      </w:r>
    </w:p>
    <w:p w14:paraId="43BD5304">
      <w:pPr>
        <w:widowControl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我单位承诺：</w:t>
      </w:r>
    </w:p>
    <w:p w14:paraId="5126A06F">
      <w:pPr>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我单位在贵单位代理的</w:t>
      </w:r>
      <w:r>
        <w:rPr>
          <w:rFonts w:hint="eastAsia" w:ascii="宋体" w:hAnsi="宋体" w:eastAsia="宋体" w:cs="宋体"/>
          <w:sz w:val="21"/>
          <w:szCs w:val="21"/>
          <w:u w:val="single"/>
        </w:rPr>
        <w:t xml:space="preserve">                                      </w:t>
      </w:r>
      <w:r>
        <w:rPr>
          <w:rFonts w:hint="eastAsia" w:ascii="宋体" w:hAnsi="宋体" w:eastAsia="宋体" w:cs="宋体"/>
          <w:sz w:val="21"/>
          <w:szCs w:val="21"/>
        </w:rPr>
        <w:t>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招标采购中若获中标，我们承诺并保证在收到“领取《中标（成交）通知书》通知”的电子邮件后5日内按本项目《招标文件》的规定，以现金或电汇向贵公司指定的中国远东国际招标有限公司分公司的银行账号一次性支付全额招标采购代理服务费。如有违反，我们全责承担因我单位违反行为而可能引起的诚信记录、无法合规签订合同及顺利完成后续审计验收工作、经济损失赔偿等法律后果；</w:t>
      </w:r>
    </w:p>
    <w:p w14:paraId="51E5B650">
      <w:pPr>
        <w:widowControl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2.我单位知悉并自愿承担 如因我单位中标后放弃中标资格或因我单位提供虚假资料导致项目废标的而招标代理服务费不予退还的风险。</w:t>
      </w:r>
    </w:p>
    <w:p w14:paraId="748FFBCB">
      <w:pPr>
        <w:widowControl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特此承诺。</w:t>
      </w:r>
    </w:p>
    <w:p w14:paraId="52BB87B1">
      <w:pPr>
        <w:spacing w:line="360" w:lineRule="auto"/>
        <w:rPr>
          <w:rFonts w:hint="eastAsia" w:ascii="宋体" w:hAnsi="宋体" w:eastAsia="宋体" w:cs="宋体"/>
          <w:sz w:val="21"/>
          <w:szCs w:val="21"/>
        </w:rPr>
      </w:pPr>
    </w:p>
    <w:p w14:paraId="7F516F55">
      <w:pPr>
        <w:spacing w:line="360" w:lineRule="auto"/>
        <w:rPr>
          <w:rFonts w:hint="eastAsia" w:ascii="宋体" w:hAnsi="宋体" w:eastAsia="宋体" w:cs="宋体"/>
          <w:sz w:val="21"/>
          <w:szCs w:val="21"/>
        </w:rPr>
      </w:pPr>
    </w:p>
    <w:p w14:paraId="72290E81">
      <w:pPr>
        <w:widowControl w:val="0"/>
        <w:spacing w:line="360" w:lineRule="auto"/>
        <w:ind w:firstLine="4216" w:firstLineChars="2000"/>
        <w:rPr>
          <w:rFonts w:hint="eastAsia" w:ascii="宋体" w:hAnsi="宋体" w:eastAsia="宋体" w:cs="宋体"/>
          <w:b/>
          <w:bCs/>
          <w:color w:val="000000"/>
          <w:sz w:val="21"/>
          <w:szCs w:val="21"/>
          <w:u w:val="single"/>
        </w:rPr>
      </w:pPr>
      <w:r>
        <w:rPr>
          <w:rFonts w:hint="eastAsia" w:ascii="宋体" w:hAnsi="宋体" w:eastAsia="宋体" w:cs="宋体"/>
          <w:b/>
          <w:bCs/>
          <w:color w:val="000000"/>
          <w:sz w:val="21"/>
          <w:szCs w:val="21"/>
        </w:rPr>
        <w:t>投标人：</w:t>
      </w:r>
      <w:r>
        <w:rPr>
          <w:rFonts w:hint="eastAsia" w:ascii="宋体" w:hAnsi="宋体" w:eastAsia="宋体" w:cs="宋体"/>
          <w:b/>
          <w:bCs/>
          <w:color w:val="000000"/>
          <w:sz w:val="21"/>
          <w:szCs w:val="21"/>
          <w:u w:val="single"/>
        </w:rPr>
        <w:t xml:space="preserve">                      </w:t>
      </w:r>
    </w:p>
    <w:p w14:paraId="2C1E6A2B">
      <w:pPr>
        <w:widowControl w:val="0"/>
        <w:spacing w:line="360" w:lineRule="auto"/>
        <w:ind w:firstLine="4216" w:firstLineChars="2000"/>
        <w:rPr>
          <w:rFonts w:hint="eastAsia" w:ascii="宋体" w:hAnsi="宋体" w:eastAsia="宋体" w:cs="宋体"/>
          <w:b/>
          <w:bCs/>
          <w:sz w:val="21"/>
          <w:szCs w:val="21"/>
        </w:rPr>
      </w:pPr>
      <w:r>
        <w:rPr>
          <w:rFonts w:hint="eastAsia" w:ascii="宋体" w:hAnsi="宋体" w:eastAsia="宋体" w:cs="宋体"/>
          <w:b/>
          <w:bCs/>
          <w:color w:val="000000"/>
          <w:sz w:val="21"/>
          <w:szCs w:val="21"/>
        </w:rPr>
        <w:t>日  期：</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年</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月</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t>日</w:t>
      </w:r>
    </w:p>
    <w:p w14:paraId="25DBBE7A">
      <w:pPr>
        <w:rPr>
          <w:szCs w:val="21"/>
        </w:rPr>
      </w:pPr>
      <w:r>
        <w:rPr>
          <w:szCs w:val="21"/>
        </w:rPr>
        <w:br w:type="page"/>
      </w:r>
    </w:p>
    <w:p w14:paraId="51886E26">
      <w:pPr>
        <w:autoSpaceDE w:val="0"/>
        <w:autoSpaceDN w:val="0"/>
        <w:ind w:left="357" w:right="28" w:hanging="357"/>
        <w:jc w:val="right"/>
        <w:textAlignment w:val="bottom"/>
        <w:rPr>
          <w:szCs w:val="21"/>
        </w:rPr>
      </w:pPr>
    </w:p>
    <w:p w14:paraId="7A271367">
      <w:pPr>
        <w:pStyle w:val="5"/>
        <w:jc w:val="center"/>
        <w:rPr>
          <w:rFonts w:ascii="黑体"/>
          <w:b w:val="0"/>
          <w:sz w:val="24"/>
          <w:szCs w:val="24"/>
        </w:rPr>
      </w:pPr>
      <w:r>
        <w:rPr>
          <w:rFonts w:hint="eastAsia" w:ascii="黑体"/>
          <w:b w:val="0"/>
          <w:sz w:val="24"/>
          <w:szCs w:val="24"/>
        </w:rPr>
        <w:t>五、技术要求偏离表</w:t>
      </w:r>
    </w:p>
    <w:p w14:paraId="48204264">
      <w:pPr>
        <w:rPr>
          <w:rFonts w:hint="eastAsia" w:ascii="宋体" w:hAnsi="宋体" w:eastAsia="宋体" w:cs="宋体"/>
          <w:b/>
          <w:bCs/>
          <w:color w:val="FF0000"/>
          <w:sz w:val="21"/>
          <w:szCs w:val="21"/>
        </w:rPr>
      </w:pPr>
      <w:r>
        <w:rPr>
          <w:rFonts w:hint="eastAsia" w:ascii="宋体" w:hAnsi="宋体" w:eastAsia="宋体" w:cs="宋体"/>
          <w:b/>
          <w:bCs/>
          <w:color w:val="FF0000"/>
          <w:sz w:val="21"/>
          <w:szCs w:val="21"/>
        </w:rPr>
        <w:t>特别提醒：投标人的“技术规格响应情况”“技术规格偏离情况”等必须与客观实际保持一致，响应不实且情节严重的，经查实，将依法记入供应商诚信档案或受到行政处罚。</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800"/>
        <w:gridCol w:w="4818"/>
        <w:gridCol w:w="1832"/>
        <w:gridCol w:w="736"/>
        <w:gridCol w:w="404"/>
      </w:tblGrid>
      <w:tr w14:paraId="0A2A4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81" w:type="dxa"/>
            <w:vAlign w:val="center"/>
          </w:tcPr>
          <w:p w14:paraId="22C6E1CD">
            <w:pPr>
              <w:jc w:val="center"/>
              <w:rPr>
                <w:b/>
                <w:bCs/>
                <w:color w:val="000000"/>
                <w:szCs w:val="21"/>
              </w:rPr>
            </w:pPr>
            <w:r>
              <w:rPr>
                <w:rFonts w:hint="eastAsia" w:ascii="宋体" w:hAnsi="宋体" w:eastAsia="宋体" w:cs="宋体"/>
                <w:b/>
                <w:bCs/>
              </w:rPr>
              <w:t>序</w:t>
            </w:r>
            <w:r>
              <w:rPr>
                <w:rFonts w:hint="eastAsia"/>
                <w:b/>
                <w:bCs/>
              </w:rPr>
              <w:t>号</w:t>
            </w:r>
          </w:p>
        </w:tc>
        <w:tc>
          <w:tcPr>
            <w:tcW w:w="800" w:type="dxa"/>
            <w:vAlign w:val="center"/>
          </w:tcPr>
          <w:p w14:paraId="42D13E14">
            <w:pPr>
              <w:jc w:val="center"/>
              <w:rPr>
                <w:b/>
                <w:bCs/>
                <w:color w:val="000000"/>
                <w:szCs w:val="21"/>
              </w:rPr>
            </w:pPr>
            <w:r>
              <w:rPr>
                <w:rFonts w:hint="eastAsia" w:ascii="宋体" w:hAnsi="宋体" w:eastAsia="宋体" w:cs="宋体"/>
                <w:b/>
                <w:bCs/>
              </w:rPr>
              <w:t>货</w:t>
            </w:r>
            <w:r>
              <w:rPr>
                <w:rFonts w:hint="eastAsia"/>
                <w:b/>
                <w:bCs/>
              </w:rPr>
              <w:t>物名称</w:t>
            </w:r>
          </w:p>
        </w:tc>
        <w:tc>
          <w:tcPr>
            <w:tcW w:w="4818" w:type="dxa"/>
            <w:vAlign w:val="center"/>
          </w:tcPr>
          <w:p w14:paraId="70475F7A">
            <w:pPr>
              <w:jc w:val="center"/>
              <w:rPr>
                <w:b/>
                <w:bCs/>
                <w:color w:val="000000"/>
                <w:szCs w:val="21"/>
              </w:rPr>
            </w:pPr>
            <w:r>
              <w:rPr>
                <w:rFonts w:hint="eastAsia" w:ascii="宋体" w:hAnsi="宋体" w:eastAsia="宋体" w:cs="宋体"/>
                <w:b/>
                <w:bCs/>
              </w:rPr>
              <w:t>招</w:t>
            </w:r>
            <w:r>
              <w:rPr>
                <w:rFonts w:hint="eastAsia"/>
                <w:b/>
                <w:bCs/>
              </w:rPr>
              <w:t>标技术要求</w:t>
            </w:r>
          </w:p>
        </w:tc>
        <w:tc>
          <w:tcPr>
            <w:tcW w:w="1832" w:type="dxa"/>
            <w:vAlign w:val="center"/>
          </w:tcPr>
          <w:p w14:paraId="7D26BFD5">
            <w:pPr>
              <w:jc w:val="center"/>
              <w:rPr>
                <w:b/>
                <w:bCs/>
                <w:color w:val="000000"/>
                <w:szCs w:val="21"/>
              </w:rPr>
            </w:pPr>
            <w:r>
              <w:rPr>
                <w:rFonts w:hint="eastAsia" w:ascii="宋体" w:hAnsi="宋体" w:eastAsia="宋体" w:cs="宋体"/>
                <w:b/>
                <w:bCs/>
              </w:rPr>
              <w:t>投</w:t>
            </w:r>
            <w:r>
              <w:rPr>
                <w:rFonts w:hint="eastAsia"/>
                <w:b/>
                <w:bCs/>
              </w:rPr>
              <w:t>标技术响应</w:t>
            </w:r>
          </w:p>
        </w:tc>
        <w:tc>
          <w:tcPr>
            <w:tcW w:w="736" w:type="dxa"/>
            <w:vAlign w:val="center"/>
          </w:tcPr>
          <w:p w14:paraId="529A399A">
            <w:pPr>
              <w:jc w:val="center"/>
              <w:rPr>
                <w:b/>
                <w:bCs/>
                <w:color w:val="000000"/>
                <w:szCs w:val="21"/>
              </w:rPr>
            </w:pPr>
            <w:r>
              <w:rPr>
                <w:rFonts w:hint="eastAsia" w:ascii="宋体" w:hAnsi="宋体" w:eastAsia="宋体" w:cs="宋体"/>
                <w:b/>
                <w:bCs/>
              </w:rPr>
              <w:t>偏</w:t>
            </w:r>
            <w:r>
              <w:rPr>
                <w:rFonts w:hint="eastAsia"/>
                <w:b/>
                <w:bCs/>
              </w:rPr>
              <w:t>离情况</w:t>
            </w:r>
          </w:p>
        </w:tc>
        <w:tc>
          <w:tcPr>
            <w:tcW w:w="404" w:type="dxa"/>
            <w:vAlign w:val="center"/>
          </w:tcPr>
          <w:p w14:paraId="01A0A017">
            <w:pPr>
              <w:jc w:val="center"/>
              <w:rPr>
                <w:b/>
                <w:bCs/>
                <w:color w:val="000000"/>
                <w:szCs w:val="21"/>
              </w:rPr>
            </w:pPr>
            <w:r>
              <w:rPr>
                <w:rFonts w:hint="eastAsia" w:ascii="宋体" w:hAnsi="宋体" w:eastAsia="宋体" w:cs="宋体"/>
                <w:b/>
                <w:bCs/>
              </w:rPr>
              <w:t>说</w:t>
            </w:r>
            <w:r>
              <w:rPr>
                <w:rFonts w:hint="eastAsia"/>
                <w:b/>
                <w:bCs/>
              </w:rPr>
              <w:t>明</w:t>
            </w:r>
          </w:p>
        </w:tc>
      </w:tr>
      <w:tr w14:paraId="2D7F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restart"/>
            <w:vAlign w:val="center"/>
          </w:tcPr>
          <w:p w14:paraId="1432DDA1">
            <w:pPr>
              <w:jc w:val="center"/>
              <w:rPr>
                <w:color w:val="000000"/>
                <w:szCs w:val="21"/>
              </w:rPr>
            </w:pPr>
            <w:r>
              <w:rPr>
                <w:color w:val="000000"/>
                <w:szCs w:val="21"/>
              </w:rPr>
              <w:t>1</w:t>
            </w:r>
          </w:p>
        </w:tc>
        <w:tc>
          <w:tcPr>
            <w:tcW w:w="800" w:type="dxa"/>
            <w:vMerge w:val="restart"/>
            <w:vAlign w:val="center"/>
          </w:tcPr>
          <w:p w14:paraId="7E6D35B9">
            <w:pPr>
              <w:jc w:val="center"/>
              <w:rPr>
                <w:color w:val="000000"/>
                <w:szCs w:val="21"/>
              </w:rPr>
            </w:pPr>
            <w:r>
              <w:rPr>
                <w:rFonts w:hint="eastAsia"/>
                <w:color w:val="000000"/>
                <w:szCs w:val="21"/>
              </w:rPr>
              <w:t>*</w:t>
            </w:r>
            <w:r>
              <w:rPr>
                <w:color w:val="000000"/>
                <w:szCs w:val="21"/>
              </w:rPr>
              <w:t>**</w:t>
            </w:r>
          </w:p>
        </w:tc>
        <w:tc>
          <w:tcPr>
            <w:tcW w:w="4818" w:type="dxa"/>
          </w:tcPr>
          <w:p w14:paraId="3EB306A9">
            <w:pPr>
              <w:jc w:val="center"/>
              <w:rPr>
                <w:color w:val="000000"/>
                <w:szCs w:val="21"/>
              </w:rPr>
            </w:pPr>
            <w:r>
              <w:rPr>
                <w:rFonts w:hint="eastAsia" w:ascii="宋体" w:hAnsi="宋体" w:eastAsia="宋体" w:cs="宋体"/>
              </w:rPr>
              <w:t>（</w:t>
            </w:r>
            <w:r>
              <w:rPr>
                <w:rFonts w:hint="eastAsia"/>
              </w:rPr>
              <w:t>填写相关内容）</w:t>
            </w:r>
          </w:p>
        </w:tc>
        <w:tc>
          <w:tcPr>
            <w:tcW w:w="1832" w:type="dxa"/>
          </w:tcPr>
          <w:p w14:paraId="75135AC8">
            <w:pPr>
              <w:rPr>
                <w:color w:val="000000"/>
                <w:szCs w:val="21"/>
              </w:rPr>
            </w:pPr>
          </w:p>
        </w:tc>
        <w:tc>
          <w:tcPr>
            <w:tcW w:w="736" w:type="dxa"/>
          </w:tcPr>
          <w:p w14:paraId="028E9F40">
            <w:pPr>
              <w:rPr>
                <w:color w:val="000000"/>
                <w:szCs w:val="21"/>
              </w:rPr>
            </w:pPr>
          </w:p>
        </w:tc>
        <w:tc>
          <w:tcPr>
            <w:tcW w:w="404" w:type="dxa"/>
          </w:tcPr>
          <w:p w14:paraId="347FFFA4">
            <w:pPr>
              <w:rPr>
                <w:color w:val="000000"/>
                <w:szCs w:val="21"/>
              </w:rPr>
            </w:pPr>
          </w:p>
        </w:tc>
      </w:tr>
      <w:tr w14:paraId="061C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7C91F978">
            <w:pPr>
              <w:jc w:val="center"/>
              <w:rPr>
                <w:color w:val="000000"/>
                <w:szCs w:val="21"/>
              </w:rPr>
            </w:pPr>
          </w:p>
        </w:tc>
        <w:tc>
          <w:tcPr>
            <w:tcW w:w="800" w:type="dxa"/>
            <w:vMerge w:val="continue"/>
            <w:vAlign w:val="center"/>
          </w:tcPr>
          <w:p w14:paraId="071C626A">
            <w:pPr>
              <w:jc w:val="center"/>
              <w:rPr>
                <w:color w:val="000000"/>
                <w:szCs w:val="21"/>
              </w:rPr>
            </w:pPr>
          </w:p>
        </w:tc>
        <w:tc>
          <w:tcPr>
            <w:tcW w:w="4818" w:type="dxa"/>
          </w:tcPr>
          <w:p w14:paraId="66F82CAF">
            <w:pPr>
              <w:jc w:val="center"/>
              <w:rPr>
                <w:color w:val="000000"/>
                <w:szCs w:val="21"/>
              </w:rPr>
            </w:pPr>
            <w:r>
              <w:rPr>
                <w:rFonts w:hint="eastAsia" w:ascii="宋体" w:hAnsi="宋体" w:eastAsia="宋体" w:cs="宋体"/>
              </w:rPr>
              <w:t>（</w:t>
            </w:r>
            <w:r>
              <w:rPr>
                <w:rFonts w:hint="eastAsia"/>
              </w:rPr>
              <w:t>填写相关内容）</w:t>
            </w:r>
          </w:p>
        </w:tc>
        <w:tc>
          <w:tcPr>
            <w:tcW w:w="1832" w:type="dxa"/>
          </w:tcPr>
          <w:p w14:paraId="59D72DE8">
            <w:pPr>
              <w:rPr>
                <w:color w:val="000000"/>
                <w:szCs w:val="21"/>
              </w:rPr>
            </w:pPr>
          </w:p>
        </w:tc>
        <w:tc>
          <w:tcPr>
            <w:tcW w:w="736" w:type="dxa"/>
          </w:tcPr>
          <w:p w14:paraId="2F09128C">
            <w:pPr>
              <w:rPr>
                <w:color w:val="000000"/>
                <w:szCs w:val="21"/>
              </w:rPr>
            </w:pPr>
          </w:p>
        </w:tc>
        <w:tc>
          <w:tcPr>
            <w:tcW w:w="404" w:type="dxa"/>
          </w:tcPr>
          <w:p w14:paraId="0A19429B">
            <w:pPr>
              <w:rPr>
                <w:color w:val="000000"/>
                <w:szCs w:val="21"/>
              </w:rPr>
            </w:pPr>
          </w:p>
        </w:tc>
      </w:tr>
      <w:tr w14:paraId="190CB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1C11F16C">
            <w:pPr>
              <w:jc w:val="center"/>
              <w:rPr>
                <w:color w:val="000000"/>
                <w:szCs w:val="21"/>
              </w:rPr>
            </w:pPr>
          </w:p>
        </w:tc>
        <w:tc>
          <w:tcPr>
            <w:tcW w:w="800" w:type="dxa"/>
            <w:vMerge w:val="continue"/>
            <w:vAlign w:val="center"/>
          </w:tcPr>
          <w:p w14:paraId="7767710E">
            <w:pPr>
              <w:jc w:val="center"/>
              <w:rPr>
                <w:color w:val="000000"/>
                <w:szCs w:val="21"/>
              </w:rPr>
            </w:pPr>
          </w:p>
        </w:tc>
        <w:tc>
          <w:tcPr>
            <w:tcW w:w="4818" w:type="dxa"/>
          </w:tcPr>
          <w:p w14:paraId="56692876">
            <w:pPr>
              <w:jc w:val="center"/>
              <w:rPr>
                <w:color w:val="000000"/>
                <w:szCs w:val="21"/>
              </w:rPr>
            </w:pPr>
            <w:r>
              <w:rPr>
                <w:rFonts w:hint="eastAsia" w:ascii="宋体" w:hAnsi="宋体" w:eastAsia="宋体" w:cs="宋体"/>
              </w:rPr>
              <w:t>（</w:t>
            </w:r>
            <w:r>
              <w:rPr>
                <w:rFonts w:hint="eastAsia"/>
              </w:rPr>
              <w:t>填写相关内容）</w:t>
            </w:r>
          </w:p>
        </w:tc>
        <w:tc>
          <w:tcPr>
            <w:tcW w:w="1832" w:type="dxa"/>
          </w:tcPr>
          <w:p w14:paraId="1B4212CF">
            <w:pPr>
              <w:rPr>
                <w:color w:val="000000"/>
                <w:szCs w:val="21"/>
              </w:rPr>
            </w:pPr>
          </w:p>
        </w:tc>
        <w:tc>
          <w:tcPr>
            <w:tcW w:w="736" w:type="dxa"/>
          </w:tcPr>
          <w:p w14:paraId="50D83DCE">
            <w:pPr>
              <w:rPr>
                <w:color w:val="000000"/>
                <w:szCs w:val="21"/>
              </w:rPr>
            </w:pPr>
          </w:p>
        </w:tc>
        <w:tc>
          <w:tcPr>
            <w:tcW w:w="404" w:type="dxa"/>
          </w:tcPr>
          <w:p w14:paraId="12C7E0EE">
            <w:pPr>
              <w:rPr>
                <w:color w:val="000000"/>
                <w:szCs w:val="21"/>
              </w:rPr>
            </w:pPr>
          </w:p>
        </w:tc>
      </w:tr>
      <w:tr w14:paraId="58ADB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18B453CD">
            <w:pPr>
              <w:jc w:val="center"/>
              <w:rPr>
                <w:color w:val="000000"/>
                <w:szCs w:val="21"/>
              </w:rPr>
            </w:pPr>
          </w:p>
        </w:tc>
        <w:tc>
          <w:tcPr>
            <w:tcW w:w="800" w:type="dxa"/>
            <w:vMerge w:val="continue"/>
            <w:vAlign w:val="center"/>
          </w:tcPr>
          <w:p w14:paraId="58FFA9F3">
            <w:pPr>
              <w:jc w:val="center"/>
              <w:rPr>
                <w:color w:val="000000"/>
                <w:szCs w:val="21"/>
              </w:rPr>
            </w:pPr>
          </w:p>
        </w:tc>
        <w:tc>
          <w:tcPr>
            <w:tcW w:w="4818" w:type="dxa"/>
          </w:tcPr>
          <w:p w14:paraId="6327BE3F">
            <w:pPr>
              <w:jc w:val="center"/>
              <w:rPr>
                <w:color w:val="000000"/>
                <w:szCs w:val="21"/>
              </w:rPr>
            </w:pPr>
            <w:r>
              <w:rPr>
                <w:rFonts w:hint="eastAsia" w:ascii="宋体" w:hAnsi="宋体" w:eastAsia="宋体" w:cs="宋体"/>
              </w:rPr>
              <w:t>（</w:t>
            </w:r>
            <w:r>
              <w:rPr>
                <w:rFonts w:hint="eastAsia"/>
              </w:rPr>
              <w:t>填写相关内容）</w:t>
            </w:r>
          </w:p>
        </w:tc>
        <w:tc>
          <w:tcPr>
            <w:tcW w:w="1832" w:type="dxa"/>
          </w:tcPr>
          <w:p w14:paraId="06BA511B">
            <w:pPr>
              <w:rPr>
                <w:color w:val="000000"/>
                <w:szCs w:val="21"/>
              </w:rPr>
            </w:pPr>
          </w:p>
        </w:tc>
        <w:tc>
          <w:tcPr>
            <w:tcW w:w="736" w:type="dxa"/>
          </w:tcPr>
          <w:p w14:paraId="34C62099">
            <w:pPr>
              <w:rPr>
                <w:color w:val="000000"/>
                <w:szCs w:val="21"/>
              </w:rPr>
            </w:pPr>
          </w:p>
        </w:tc>
        <w:tc>
          <w:tcPr>
            <w:tcW w:w="404" w:type="dxa"/>
          </w:tcPr>
          <w:p w14:paraId="2FDD525E">
            <w:pPr>
              <w:rPr>
                <w:color w:val="000000"/>
                <w:szCs w:val="21"/>
              </w:rPr>
            </w:pPr>
          </w:p>
        </w:tc>
      </w:tr>
      <w:tr w14:paraId="28B8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1A4F4166">
            <w:pPr>
              <w:jc w:val="center"/>
              <w:rPr>
                <w:color w:val="000000"/>
                <w:szCs w:val="21"/>
              </w:rPr>
            </w:pPr>
          </w:p>
        </w:tc>
        <w:tc>
          <w:tcPr>
            <w:tcW w:w="800" w:type="dxa"/>
            <w:vMerge w:val="continue"/>
            <w:vAlign w:val="center"/>
          </w:tcPr>
          <w:p w14:paraId="6D8C97BB">
            <w:pPr>
              <w:jc w:val="center"/>
              <w:rPr>
                <w:color w:val="000000"/>
                <w:szCs w:val="21"/>
              </w:rPr>
            </w:pPr>
          </w:p>
        </w:tc>
        <w:tc>
          <w:tcPr>
            <w:tcW w:w="4818" w:type="dxa"/>
          </w:tcPr>
          <w:p w14:paraId="45A5CB2F">
            <w:pPr>
              <w:jc w:val="center"/>
              <w:rPr>
                <w:color w:val="000000"/>
                <w:szCs w:val="21"/>
              </w:rPr>
            </w:pPr>
            <w:r>
              <w:rPr>
                <w:rFonts w:hint="eastAsia" w:ascii="宋体" w:hAnsi="宋体" w:eastAsia="宋体" w:cs="宋体"/>
              </w:rPr>
              <w:t>（</w:t>
            </w:r>
            <w:r>
              <w:rPr>
                <w:rFonts w:hint="eastAsia"/>
              </w:rPr>
              <w:t>填写相关内容）</w:t>
            </w:r>
          </w:p>
        </w:tc>
        <w:tc>
          <w:tcPr>
            <w:tcW w:w="1832" w:type="dxa"/>
          </w:tcPr>
          <w:p w14:paraId="0470936F">
            <w:pPr>
              <w:rPr>
                <w:color w:val="000000"/>
                <w:szCs w:val="21"/>
              </w:rPr>
            </w:pPr>
          </w:p>
        </w:tc>
        <w:tc>
          <w:tcPr>
            <w:tcW w:w="736" w:type="dxa"/>
          </w:tcPr>
          <w:p w14:paraId="6DD4B621">
            <w:pPr>
              <w:rPr>
                <w:color w:val="000000"/>
                <w:szCs w:val="21"/>
              </w:rPr>
            </w:pPr>
          </w:p>
        </w:tc>
        <w:tc>
          <w:tcPr>
            <w:tcW w:w="404" w:type="dxa"/>
          </w:tcPr>
          <w:p w14:paraId="145C01A8">
            <w:pPr>
              <w:rPr>
                <w:color w:val="000000"/>
                <w:szCs w:val="21"/>
              </w:rPr>
            </w:pPr>
          </w:p>
        </w:tc>
      </w:tr>
      <w:tr w14:paraId="3C96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4247116E">
            <w:pPr>
              <w:jc w:val="center"/>
              <w:rPr>
                <w:color w:val="000000"/>
                <w:szCs w:val="21"/>
              </w:rPr>
            </w:pPr>
          </w:p>
        </w:tc>
        <w:tc>
          <w:tcPr>
            <w:tcW w:w="800" w:type="dxa"/>
            <w:vMerge w:val="continue"/>
            <w:vAlign w:val="center"/>
          </w:tcPr>
          <w:p w14:paraId="3B74771D">
            <w:pPr>
              <w:jc w:val="center"/>
              <w:rPr>
                <w:color w:val="000000"/>
                <w:szCs w:val="21"/>
              </w:rPr>
            </w:pPr>
          </w:p>
        </w:tc>
        <w:tc>
          <w:tcPr>
            <w:tcW w:w="4818" w:type="dxa"/>
          </w:tcPr>
          <w:p w14:paraId="7E0A5851">
            <w:pPr>
              <w:jc w:val="center"/>
              <w:rPr>
                <w:color w:val="000000"/>
                <w:szCs w:val="21"/>
              </w:rPr>
            </w:pPr>
            <w:r>
              <w:rPr>
                <w:rFonts w:hint="eastAsia" w:ascii="宋体" w:hAnsi="宋体"/>
                <w:color w:val="000000"/>
                <w:szCs w:val="21"/>
              </w:rPr>
              <w:t>……</w:t>
            </w:r>
          </w:p>
        </w:tc>
        <w:tc>
          <w:tcPr>
            <w:tcW w:w="1832" w:type="dxa"/>
          </w:tcPr>
          <w:p w14:paraId="6DEB11E3">
            <w:pPr>
              <w:rPr>
                <w:color w:val="000000"/>
                <w:szCs w:val="21"/>
              </w:rPr>
            </w:pPr>
          </w:p>
        </w:tc>
        <w:tc>
          <w:tcPr>
            <w:tcW w:w="736" w:type="dxa"/>
          </w:tcPr>
          <w:p w14:paraId="6E1A120C">
            <w:pPr>
              <w:rPr>
                <w:color w:val="000000"/>
                <w:szCs w:val="21"/>
              </w:rPr>
            </w:pPr>
          </w:p>
        </w:tc>
        <w:tc>
          <w:tcPr>
            <w:tcW w:w="404" w:type="dxa"/>
          </w:tcPr>
          <w:p w14:paraId="79333571">
            <w:pPr>
              <w:rPr>
                <w:color w:val="000000"/>
                <w:szCs w:val="21"/>
              </w:rPr>
            </w:pPr>
          </w:p>
        </w:tc>
      </w:tr>
      <w:tr w14:paraId="362D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65EBE035">
            <w:pPr>
              <w:jc w:val="center"/>
              <w:rPr>
                <w:color w:val="000000"/>
                <w:szCs w:val="21"/>
              </w:rPr>
            </w:pPr>
          </w:p>
        </w:tc>
        <w:tc>
          <w:tcPr>
            <w:tcW w:w="800" w:type="dxa"/>
            <w:vMerge w:val="continue"/>
            <w:vAlign w:val="center"/>
          </w:tcPr>
          <w:p w14:paraId="25053C8E">
            <w:pPr>
              <w:jc w:val="center"/>
              <w:rPr>
                <w:color w:val="000000"/>
                <w:szCs w:val="21"/>
              </w:rPr>
            </w:pPr>
          </w:p>
        </w:tc>
        <w:tc>
          <w:tcPr>
            <w:tcW w:w="4818" w:type="dxa"/>
          </w:tcPr>
          <w:p w14:paraId="54F0CB42">
            <w:pPr>
              <w:jc w:val="center"/>
              <w:rPr>
                <w:b/>
                <w:bCs/>
                <w:color w:val="000000"/>
                <w:szCs w:val="21"/>
              </w:rPr>
            </w:pPr>
            <w:r>
              <w:rPr>
                <w:rFonts w:hint="eastAsia" w:ascii="宋体" w:hAnsi="宋体"/>
                <w:color w:val="000000"/>
                <w:szCs w:val="21"/>
              </w:rPr>
              <w:t>……</w:t>
            </w:r>
          </w:p>
        </w:tc>
        <w:tc>
          <w:tcPr>
            <w:tcW w:w="1832" w:type="dxa"/>
          </w:tcPr>
          <w:p w14:paraId="34B27B3E">
            <w:pPr>
              <w:rPr>
                <w:b/>
                <w:bCs/>
                <w:color w:val="FF0000"/>
                <w:szCs w:val="21"/>
              </w:rPr>
            </w:pPr>
          </w:p>
        </w:tc>
        <w:tc>
          <w:tcPr>
            <w:tcW w:w="736" w:type="dxa"/>
          </w:tcPr>
          <w:p w14:paraId="3E2ED250">
            <w:pPr>
              <w:rPr>
                <w:b/>
                <w:bCs/>
                <w:color w:val="FF0000"/>
                <w:szCs w:val="21"/>
              </w:rPr>
            </w:pPr>
          </w:p>
        </w:tc>
        <w:tc>
          <w:tcPr>
            <w:tcW w:w="404" w:type="dxa"/>
          </w:tcPr>
          <w:p w14:paraId="25472A45">
            <w:pPr>
              <w:rPr>
                <w:b/>
                <w:bCs/>
                <w:color w:val="FF0000"/>
                <w:szCs w:val="21"/>
              </w:rPr>
            </w:pPr>
          </w:p>
        </w:tc>
      </w:tr>
      <w:tr w14:paraId="323A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vAlign w:val="center"/>
          </w:tcPr>
          <w:p w14:paraId="05B2A195">
            <w:pPr>
              <w:jc w:val="center"/>
              <w:rPr>
                <w:color w:val="000000"/>
                <w:szCs w:val="21"/>
              </w:rPr>
            </w:pPr>
          </w:p>
        </w:tc>
        <w:tc>
          <w:tcPr>
            <w:tcW w:w="800" w:type="dxa"/>
            <w:vMerge w:val="continue"/>
            <w:vAlign w:val="center"/>
          </w:tcPr>
          <w:p w14:paraId="30ED8175">
            <w:pPr>
              <w:jc w:val="center"/>
              <w:rPr>
                <w:color w:val="000000"/>
                <w:szCs w:val="21"/>
              </w:rPr>
            </w:pPr>
          </w:p>
        </w:tc>
        <w:tc>
          <w:tcPr>
            <w:tcW w:w="4818" w:type="dxa"/>
          </w:tcPr>
          <w:p w14:paraId="228C456A">
            <w:pPr>
              <w:jc w:val="center"/>
              <w:rPr>
                <w:color w:val="000000"/>
                <w:szCs w:val="21"/>
              </w:rPr>
            </w:pPr>
            <w:r>
              <w:rPr>
                <w:rFonts w:hint="eastAsia" w:ascii="宋体" w:hAnsi="宋体"/>
                <w:color w:val="000000"/>
                <w:szCs w:val="21"/>
              </w:rPr>
              <w:t>……</w:t>
            </w:r>
          </w:p>
        </w:tc>
        <w:tc>
          <w:tcPr>
            <w:tcW w:w="1832" w:type="dxa"/>
          </w:tcPr>
          <w:p w14:paraId="7A4FBA29">
            <w:pPr>
              <w:rPr>
                <w:color w:val="000000"/>
                <w:szCs w:val="21"/>
              </w:rPr>
            </w:pPr>
          </w:p>
        </w:tc>
        <w:tc>
          <w:tcPr>
            <w:tcW w:w="736" w:type="dxa"/>
          </w:tcPr>
          <w:p w14:paraId="5FA5C21C">
            <w:pPr>
              <w:rPr>
                <w:color w:val="000000"/>
                <w:szCs w:val="21"/>
              </w:rPr>
            </w:pPr>
          </w:p>
        </w:tc>
        <w:tc>
          <w:tcPr>
            <w:tcW w:w="404" w:type="dxa"/>
          </w:tcPr>
          <w:p w14:paraId="751498E4">
            <w:pPr>
              <w:rPr>
                <w:color w:val="000000"/>
                <w:szCs w:val="21"/>
              </w:rPr>
            </w:pPr>
          </w:p>
        </w:tc>
      </w:tr>
      <w:tr w14:paraId="3B36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481" w:type="dxa"/>
            <w:vMerge w:val="restart"/>
            <w:vAlign w:val="center"/>
          </w:tcPr>
          <w:p w14:paraId="026F38D5">
            <w:pPr>
              <w:jc w:val="center"/>
              <w:rPr>
                <w:color w:val="000000"/>
                <w:szCs w:val="21"/>
              </w:rPr>
            </w:pPr>
            <w:r>
              <w:rPr>
                <w:rFonts w:hint="eastAsia"/>
                <w:color w:val="000000"/>
                <w:szCs w:val="21"/>
              </w:rPr>
              <w:t>2</w:t>
            </w:r>
          </w:p>
        </w:tc>
        <w:tc>
          <w:tcPr>
            <w:tcW w:w="800" w:type="dxa"/>
            <w:vMerge w:val="restart"/>
            <w:vAlign w:val="center"/>
          </w:tcPr>
          <w:p w14:paraId="7FE3E47E">
            <w:pPr>
              <w:jc w:val="center"/>
              <w:rPr>
                <w:color w:val="000000"/>
                <w:szCs w:val="21"/>
              </w:rPr>
            </w:pPr>
            <w:r>
              <w:rPr>
                <w:rFonts w:hint="eastAsia"/>
                <w:color w:val="000000"/>
                <w:szCs w:val="21"/>
              </w:rPr>
              <w:t>*</w:t>
            </w:r>
            <w:r>
              <w:rPr>
                <w:color w:val="000000"/>
                <w:szCs w:val="21"/>
              </w:rPr>
              <w:t>**</w:t>
            </w:r>
          </w:p>
        </w:tc>
        <w:tc>
          <w:tcPr>
            <w:tcW w:w="4818" w:type="dxa"/>
          </w:tcPr>
          <w:p w14:paraId="64C1C0EA">
            <w:pPr>
              <w:jc w:val="center"/>
              <w:rPr>
                <w:b/>
                <w:bCs/>
                <w:color w:val="000000"/>
                <w:szCs w:val="21"/>
              </w:rPr>
            </w:pPr>
            <w:r>
              <w:rPr>
                <w:rFonts w:hint="eastAsia" w:ascii="宋体" w:hAnsi="宋体" w:eastAsia="宋体" w:cs="宋体"/>
              </w:rPr>
              <w:t>（</w:t>
            </w:r>
            <w:r>
              <w:rPr>
                <w:rFonts w:hint="eastAsia"/>
              </w:rPr>
              <w:t>填写相关内容）</w:t>
            </w:r>
          </w:p>
        </w:tc>
        <w:tc>
          <w:tcPr>
            <w:tcW w:w="1832" w:type="dxa"/>
          </w:tcPr>
          <w:p w14:paraId="7812CD9C">
            <w:pPr>
              <w:rPr>
                <w:b/>
                <w:bCs/>
                <w:color w:val="FF0000"/>
                <w:szCs w:val="21"/>
              </w:rPr>
            </w:pPr>
          </w:p>
        </w:tc>
        <w:tc>
          <w:tcPr>
            <w:tcW w:w="736" w:type="dxa"/>
          </w:tcPr>
          <w:p w14:paraId="0466DC80">
            <w:pPr>
              <w:rPr>
                <w:b/>
                <w:bCs/>
                <w:color w:val="FF0000"/>
                <w:szCs w:val="21"/>
              </w:rPr>
            </w:pPr>
          </w:p>
        </w:tc>
        <w:tc>
          <w:tcPr>
            <w:tcW w:w="404" w:type="dxa"/>
          </w:tcPr>
          <w:p w14:paraId="7925D3AB">
            <w:pPr>
              <w:rPr>
                <w:b/>
                <w:bCs/>
                <w:color w:val="FF0000"/>
                <w:szCs w:val="21"/>
              </w:rPr>
            </w:pPr>
          </w:p>
        </w:tc>
      </w:tr>
      <w:tr w14:paraId="1843F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81" w:type="dxa"/>
            <w:vMerge w:val="continue"/>
          </w:tcPr>
          <w:p w14:paraId="2A024801">
            <w:pPr>
              <w:jc w:val="center"/>
              <w:rPr>
                <w:color w:val="000000"/>
                <w:szCs w:val="21"/>
              </w:rPr>
            </w:pPr>
          </w:p>
        </w:tc>
        <w:tc>
          <w:tcPr>
            <w:tcW w:w="800" w:type="dxa"/>
            <w:vMerge w:val="continue"/>
          </w:tcPr>
          <w:p w14:paraId="349120A3">
            <w:pPr>
              <w:rPr>
                <w:color w:val="000000"/>
                <w:szCs w:val="21"/>
              </w:rPr>
            </w:pPr>
          </w:p>
        </w:tc>
        <w:tc>
          <w:tcPr>
            <w:tcW w:w="4818" w:type="dxa"/>
          </w:tcPr>
          <w:p w14:paraId="3E9DD1A0">
            <w:pPr>
              <w:jc w:val="center"/>
              <w:rPr>
                <w:color w:val="000000"/>
                <w:szCs w:val="21"/>
              </w:rPr>
            </w:pPr>
            <w:r>
              <w:rPr>
                <w:rFonts w:hint="eastAsia" w:ascii="宋体" w:hAnsi="宋体" w:eastAsia="宋体" w:cs="宋体"/>
              </w:rPr>
              <w:t>（</w:t>
            </w:r>
            <w:r>
              <w:rPr>
                <w:rFonts w:hint="eastAsia"/>
              </w:rPr>
              <w:t>填写相关内容）</w:t>
            </w:r>
          </w:p>
        </w:tc>
        <w:tc>
          <w:tcPr>
            <w:tcW w:w="1832" w:type="dxa"/>
          </w:tcPr>
          <w:p w14:paraId="477FBABF">
            <w:pPr>
              <w:rPr>
                <w:color w:val="000000"/>
                <w:szCs w:val="21"/>
              </w:rPr>
            </w:pPr>
          </w:p>
        </w:tc>
        <w:tc>
          <w:tcPr>
            <w:tcW w:w="736" w:type="dxa"/>
          </w:tcPr>
          <w:p w14:paraId="0A2C0024">
            <w:pPr>
              <w:rPr>
                <w:color w:val="000000"/>
                <w:szCs w:val="21"/>
              </w:rPr>
            </w:pPr>
          </w:p>
        </w:tc>
        <w:tc>
          <w:tcPr>
            <w:tcW w:w="404" w:type="dxa"/>
          </w:tcPr>
          <w:p w14:paraId="550E14E2">
            <w:pPr>
              <w:rPr>
                <w:color w:val="000000"/>
                <w:szCs w:val="21"/>
              </w:rPr>
            </w:pPr>
          </w:p>
        </w:tc>
      </w:tr>
      <w:tr w14:paraId="56BA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 w:hRule="atLeast"/>
          <w:jc w:val="center"/>
        </w:trPr>
        <w:tc>
          <w:tcPr>
            <w:tcW w:w="481" w:type="dxa"/>
            <w:vMerge w:val="continue"/>
          </w:tcPr>
          <w:p w14:paraId="027E65BA">
            <w:pPr>
              <w:jc w:val="center"/>
              <w:rPr>
                <w:color w:val="000000"/>
                <w:szCs w:val="21"/>
              </w:rPr>
            </w:pPr>
          </w:p>
        </w:tc>
        <w:tc>
          <w:tcPr>
            <w:tcW w:w="800" w:type="dxa"/>
            <w:vMerge w:val="continue"/>
          </w:tcPr>
          <w:p w14:paraId="46114C70">
            <w:pPr>
              <w:rPr>
                <w:color w:val="000000"/>
                <w:szCs w:val="21"/>
              </w:rPr>
            </w:pPr>
          </w:p>
        </w:tc>
        <w:tc>
          <w:tcPr>
            <w:tcW w:w="4818" w:type="dxa"/>
          </w:tcPr>
          <w:p w14:paraId="20AE438D">
            <w:pPr>
              <w:jc w:val="center"/>
              <w:rPr>
                <w:color w:val="000000"/>
                <w:szCs w:val="21"/>
              </w:rPr>
            </w:pPr>
            <w:r>
              <w:rPr>
                <w:rFonts w:hint="eastAsia" w:ascii="宋体" w:hAnsi="宋体" w:eastAsia="宋体" w:cs="宋体"/>
              </w:rPr>
              <w:t>（</w:t>
            </w:r>
            <w:r>
              <w:rPr>
                <w:rFonts w:hint="eastAsia"/>
              </w:rPr>
              <w:t>填写相关内容）</w:t>
            </w:r>
          </w:p>
        </w:tc>
        <w:tc>
          <w:tcPr>
            <w:tcW w:w="1832" w:type="dxa"/>
          </w:tcPr>
          <w:p w14:paraId="5862410D">
            <w:pPr>
              <w:rPr>
                <w:color w:val="000000"/>
                <w:szCs w:val="21"/>
              </w:rPr>
            </w:pPr>
          </w:p>
        </w:tc>
        <w:tc>
          <w:tcPr>
            <w:tcW w:w="736" w:type="dxa"/>
          </w:tcPr>
          <w:p w14:paraId="4C667ED7">
            <w:pPr>
              <w:rPr>
                <w:color w:val="000000"/>
                <w:szCs w:val="21"/>
              </w:rPr>
            </w:pPr>
          </w:p>
        </w:tc>
        <w:tc>
          <w:tcPr>
            <w:tcW w:w="404" w:type="dxa"/>
          </w:tcPr>
          <w:p w14:paraId="131CE642">
            <w:pPr>
              <w:rPr>
                <w:color w:val="000000"/>
                <w:szCs w:val="21"/>
              </w:rPr>
            </w:pPr>
          </w:p>
        </w:tc>
      </w:tr>
      <w:tr w14:paraId="461D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1" w:type="dxa"/>
            <w:vMerge w:val="continue"/>
          </w:tcPr>
          <w:p w14:paraId="40FEC500">
            <w:pPr>
              <w:jc w:val="center"/>
              <w:rPr>
                <w:color w:val="000000"/>
                <w:szCs w:val="21"/>
              </w:rPr>
            </w:pPr>
          </w:p>
        </w:tc>
        <w:tc>
          <w:tcPr>
            <w:tcW w:w="800" w:type="dxa"/>
            <w:vMerge w:val="continue"/>
          </w:tcPr>
          <w:p w14:paraId="08D85A0F">
            <w:pPr>
              <w:rPr>
                <w:color w:val="000000"/>
                <w:szCs w:val="21"/>
              </w:rPr>
            </w:pPr>
          </w:p>
        </w:tc>
        <w:tc>
          <w:tcPr>
            <w:tcW w:w="4818" w:type="dxa"/>
          </w:tcPr>
          <w:p w14:paraId="6F03A8BE">
            <w:pPr>
              <w:jc w:val="center"/>
              <w:rPr>
                <w:color w:val="000000"/>
                <w:szCs w:val="21"/>
              </w:rPr>
            </w:pPr>
            <w:r>
              <w:rPr>
                <w:rFonts w:hint="eastAsia" w:ascii="宋体" w:hAnsi="宋体"/>
                <w:color w:val="000000"/>
                <w:szCs w:val="21"/>
              </w:rPr>
              <w:t>……</w:t>
            </w:r>
          </w:p>
        </w:tc>
        <w:tc>
          <w:tcPr>
            <w:tcW w:w="1832" w:type="dxa"/>
          </w:tcPr>
          <w:p w14:paraId="7A6D832C">
            <w:pPr>
              <w:rPr>
                <w:color w:val="000000"/>
                <w:szCs w:val="21"/>
              </w:rPr>
            </w:pPr>
          </w:p>
        </w:tc>
        <w:tc>
          <w:tcPr>
            <w:tcW w:w="736" w:type="dxa"/>
          </w:tcPr>
          <w:p w14:paraId="564E1C74">
            <w:pPr>
              <w:rPr>
                <w:color w:val="000000"/>
                <w:szCs w:val="21"/>
              </w:rPr>
            </w:pPr>
          </w:p>
        </w:tc>
        <w:tc>
          <w:tcPr>
            <w:tcW w:w="404" w:type="dxa"/>
          </w:tcPr>
          <w:p w14:paraId="0DA67685">
            <w:pPr>
              <w:rPr>
                <w:color w:val="000000"/>
                <w:szCs w:val="21"/>
              </w:rPr>
            </w:pPr>
          </w:p>
        </w:tc>
      </w:tr>
    </w:tbl>
    <w:p w14:paraId="00816A98"/>
    <w:p w14:paraId="22138F68">
      <w:pPr>
        <w:rPr>
          <w:rFonts w:hint="eastAsia" w:ascii="宋体" w:hAnsi="宋体" w:eastAsia="宋体" w:cs="宋体"/>
          <w:b/>
          <w:bCs/>
          <w:color w:val="FF0000"/>
          <w:sz w:val="21"/>
          <w:szCs w:val="21"/>
        </w:rPr>
      </w:pPr>
      <w:bookmarkStart w:id="33" w:name="_Hlk72095977"/>
      <w:r>
        <w:rPr>
          <w:rFonts w:hint="eastAsia" w:ascii="宋体" w:hAnsi="宋体" w:eastAsia="宋体" w:cs="宋体"/>
          <w:b/>
          <w:bCs/>
          <w:color w:val="FF0000"/>
          <w:sz w:val="21"/>
          <w:szCs w:val="21"/>
        </w:rPr>
        <w:t>证明资料【如有的话，供应商提供的证明资料应统一编号（排序），格式自定】</w:t>
      </w:r>
      <w:bookmarkEnd w:id="33"/>
      <w:r>
        <w:rPr>
          <w:rFonts w:hint="eastAsia" w:ascii="宋体" w:hAnsi="宋体" w:eastAsia="宋体" w:cs="宋体"/>
          <w:b/>
          <w:bCs/>
          <w:color w:val="FF0000"/>
          <w:sz w:val="21"/>
          <w:szCs w:val="21"/>
        </w:rPr>
        <w:t>：</w:t>
      </w:r>
    </w:p>
    <w:p w14:paraId="63715B80">
      <w:pPr>
        <w:rPr>
          <w:rFonts w:hint="eastAsia" w:ascii="宋体" w:hAnsi="宋体" w:eastAsia="宋体" w:cs="宋体"/>
          <w:b/>
          <w:color w:val="FF0000"/>
          <w:sz w:val="21"/>
          <w:szCs w:val="21"/>
        </w:rPr>
      </w:pPr>
      <w:r>
        <w:rPr>
          <w:rFonts w:hint="eastAsia" w:ascii="宋体" w:hAnsi="宋体" w:eastAsia="宋体" w:cs="宋体"/>
          <w:b/>
          <w:color w:val="FF0000"/>
          <w:sz w:val="21"/>
          <w:szCs w:val="21"/>
        </w:rPr>
        <w:t>《技术要求偏离表》编制指引：</w:t>
      </w:r>
    </w:p>
    <w:p w14:paraId="0ED02BB9">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1.技术要求偏离表的序号、货物名称、招标技术要求等栏目</w:t>
      </w:r>
      <w:bookmarkStart w:id="34" w:name="_Hlk72094407"/>
      <w:r>
        <w:rPr>
          <w:rFonts w:hint="eastAsia" w:ascii="宋体" w:hAnsi="宋体" w:eastAsia="宋体" w:cs="宋体"/>
          <w:b/>
          <w:color w:val="FF0000"/>
          <w:sz w:val="21"/>
          <w:szCs w:val="21"/>
        </w:rPr>
        <w:t>对应“用户需求书”中的“技术要求”章节</w:t>
      </w:r>
      <w:bookmarkEnd w:id="34"/>
      <w:r>
        <w:rPr>
          <w:rFonts w:hint="eastAsia" w:ascii="宋体" w:hAnsi="宋体" w:eastAsia="宋体" w:cs="宋体"/>
          <w:b/>
          <w:color w:val="FF0000"/>
          <w:sz w:val="21"/>
          <w:szCs w:val="21"/>
        </w:rPr>
        <w:t>相关内容。</w:t>
      </w:r>
    </w:p>
    <w:p w14:paraId="632A1319">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2.“投标技术响应”一栏必须一一对照“招标技术要求”，详细填写投标人自身投标货物的具体参数，以体现具体响应情况。</w:t>
      </w:r>
    </w:p>
    <w:p w14:paraId="602B9D71">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3</w:t>
      </w:r>
      <w:bookmarkStart w:id="35" w:name="_Hlk72158270"/>
      <w:r>
        <w:rPr>
          <w:rFonts w:hint="eastAsia" w:ascii="宋体" w:hAnsi="宋体" w:eastAsia="宋体" w:cs="宋体"/>
          <w:b/>
          <w:color w:val="FF0000"/>
          <w:sz w:val="21"/>
          <w:szCs w:val="21"/>
        </w:rPr>
        <w:t>.“偏离情况”</w:t>
      </w:r>
      <w:bookmarkEnd w:id="35"/>
      <w:r>
        <w:rPr>
          <w:rFonts w:hint="eastAsia" w:ascii="宋体" w:hAnsi="宋体" w:eastAsia="宋体" w:cs="宋体"/>
          <w:b/>
          <w:color w:val="FF0000"/>
          <w:sz w:val="21"/>
          <w:szCs w:val="21"/>
        </w:rPr>
        <w:t>一栏填写如实填写“正偏离”、“负偏离”或“无偏离”，其中：</w:t>
      </w:r>
      <w:bookmarkStart w:id="36" w:name="_Hlk72093866"/>
      <w:r>
        <w:rPr>
          <w:rFonts w:hint="eastAsia" w:ascii="宋体" w:hAnsi="宋体" w:eastAsia="宋体" w:cs="宋体"/>
          <w:b/>
          <w:color w:val="FF0000"/>
          <w:sz w:val="21"/>
          <w:szCs w:val="21"/>
        </w:rPr>
        <w:t>“正偏离”表示“投标响应优于招标技术要求”，“负偏离”表示“投标响应不满足招标技术要求”，“无偏离”表示“投标响应与招标技术要求一致”</w:t>
      </w:r>
      <w:bookmarkEnd w:id="36"/>
      <w:r>
        <w:rPr>
          <w:rFonts w:hint="eastAsia" w:ascii="宋体" w:hAnsi="宋体" w:eastAsia="宋体" w:cs="宋体"/>
          <w:b/>
          <w:color w:val="FF0000"/>
          <w:sz w:val="21"/>
          <w:szCs w:val="21"/>
        </w:rPr>
        <w:t>。“投标技术响应”对比“招标技术要求”存在响应不全（包括未响应整项招标技术要求或者未响应一项招标技术要求的部分内容），均视为“负偏离”。</w:t>
      </w:r>
    </w:p>
    <w:p w14:paraId="0443DF75">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4.未要求提供证明资料的招标技术要求，可以不提供证明资料（如实响应即可）。</w:t>
      </w:r>
    </w:p>
    <w:p w14:paraId="3AE03218">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5.证明资料条款响应要求：要求提供证明资料（且已对证明资料的形式、内容作出明确要求）进行响应的条款，可在“说明”一栏中列明是否提供了符合要求的证明资料；此类条款应严格依照要求的形式、内容提供证明资料，如未提供证明资料（或：证明资料的形式、内容等不符合要求；证明资料显示不符合招标技术要求；证明资料模糊不清无法判断或未显示是否满足招标技术要求），且投标人在“偏离情况”一栏响应为“正偏离”或“无偏离”的，经评审委员会认定，将判定为负偏离。</w:t>
      </w:r>
    </w:p>
    <w:p w14:paraId="45EE8B19">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6</w:t>
      </w:r>
      <w:bookmarkStart w:id="37" w:name="_Hlk72096176"/>
      <w:r>
        <w:rPr>
          <w:rFonts w:hint="eastAsia" w:ascii="宋体" w:hAnsi="宋体" w:eastAsia="宋体" w:cs="宋体"/>
          <w:b/>
          <w:color w:val="FF0000"/>
          <w:sz w:val="21"/>
          <w:szCs w:val="21"/>
        </w:rPr>
        <w:t>.证明资料的形式及其它具体要求</w:t>
      </w:r>
      <w:bookmarkEnd w:id="37"/>
      <w:r>
        <w:rPr>
          <w:rFonts w:hint="eastAsia" w:ascii="宋体" w:hAnsi="宋体" w:eastAsia="宋体" w:cs="宋体"/>
          <w:b/>
          <w:color w:val="FF0000"/>
          <w:sz w:val="21"/>
          <w:szCs w:val="21"/>
        </w:rPr>
        <w:t>：</w:t>
      </w:r>
    </w:p>
    <w:p w14:paraId="6B5B29C0">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（1）除照片、图片（截图）及不需加盖公章的文字说明（技术说明）外，其它证明资料均要求为原件扫描件；</w:t>
      </w:r>
    </w:p>
    <w:p w14:paraId="235DABA1">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要求的形式、内容提供证明资料；</w:t>
      </w:r>
    </w:p>
    <w:p w14:paraId="5B8E0326">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721BA377">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我国政府机构出具的产品检验和核准证件应为证件正面、背面和附件标注的全部具体内容；产品检验和核准证件的尺寸和清晰度应该能够在电脑上被阅读、识别和判断；</w:t>
      </w:r>
    </w:p>
    <w:p w14:paraId="295B0431">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23BC9E4D">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其它证明资料的形式要求参照以上要求执行；</w:t>
      </w:r>
    </w:p>
    <w:p w14:paraId="1611A2ED">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（4）证明资料均要求原件备查。</w:t>
      </w:r>
    </w:p>
    <w:p w14:paraId="3DA4255B">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7.其它注意事项：评审委员会有权对投标人的响应情况作出判断（评审结论）；</w:t>
      </w:r>
    </w:p>
    <w:p w14:paraId="5D39E3EE">
      <w:pPr>
        <w:rPr>
          <w:rFonts w:ascii="宋体" w:hAnsi="宋体" w:cs="宋体"/>
          <w:b/>
          <w:bCs/>
        </w:rPr>
      </w:pPr>
    </w:p>
    <w:p w14:paraId="10EA136E">
      <w:pPr>
        <w:jc w:val="center"/>
        <w:rPr>
          <w:rFonts w:cs="宋体"/>
        </w:rPr>
      </w:pPr>
    </w:p>
    <w:p w14:paraId="08B96C6F">
      <w:pPr>
        <w:rPr>
          <w:rFonts w:ascii="黑体"/>
          <w:szCs w:val="20"/>
        </w:rPr>
      </w:pPr>
      <w:r>
        <w:rPr>
          <w:rFonts w:hint="eastAsia" w:ascii="黑体"/>
          <w:szCs w:val="20"/>
        </w:rPr>
        <w:br w:type="page"/>
      </w:r>
    </w:p>
    <w:p w14:paraId="7EF82100">
      <w:pPr>
        <w:pStyle w:val="5"/>
        <w:jc w:val="center"/>
        <w:rPr>
          <w:sz w:val="24"/>
        </w:rPr>
      </w:pPr>
      <w:r>
        <w:rPr>
          <w:rFonts w:hint="eastAsia" w:ascii="黑体"/>
          <w:b w:val="0"/>
          <w:bCs w:val="0"/>
          <w:sz w:val="24"/>
          <w:szCs w:val="20"/>
        </w:rPr>
        <w:t>六、商务要求偏离表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1488"/>
        <w:gridCol w:w="4818"/>
        <w:gridCol w:w="969"/>
        <w:gridCol w:w="639"/>
        <w:gridCol w:w="550"/>
      </w:tblGrid>
      <w:tr w14:paraId="1B3F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6" w:type="dxa"/>
            <w:vAlign w:val="center"/>
          </w:tcPr>
          <w:p w14:paraId="1016E621">
            <w:pPr>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488" w:type="dxa"/>
            <w:vAlign w:val="center"/>
          </w:tcPr>
          <w:p w14:paraId="59872D78">
            <w:pPr>
              <w:jc w:val="center"/>
              <w:rPr>
                <w:rFonts w:hint="eastAsia" w:ascii="宋体" w:hAnsi="宋体" w:eastAsia="宋体" w:cs="宋体"/>
                <w:b/>
                <w:bCs/>
                <w:sz w:val="21"/>
                <w:szCs w:val="21"/>
              </w:rPr>
            </w:pPr>
            <w:r>
              <w:rPr>
                <w:rFonts w:hint="eastAsia" w:ascii="宋体" w:hAnsi="宋体" w:eastAsia="宋体" w:cs="宋体"/>
                <w:b/>
                <w:bCs/>
                <w:sz w:val="21"/>
                <w:szCs w:val="21"/>
              </w:rPr>
              <w:t>目录</w:t>
            </w:r>
          </w:p>
        </w:tc>
        <w:tc>
          <w:tcPr>
            <w:tcW w:w="4818" w:type="dxa"/>
            <w:vAlign w:val="center"/>
          </w:tcPr>
          <w:p w14:paraId="31E83840">
            <w:pPr>
              <w:jc w:val="center"/>
              <w:rPr>
                <w:rFonts w:hint="eastAsia" w:ascii="宋体" w:hAnsi="宋体" w:eastAsia="宋体" w:cs="宋体"/>
                <w:b/>
                <w:bCs/>
                <w:sz w:val="21"/>
                <w:szCs w:val="21"/>
              </w:rPr>
            </w:pPr>
            <w:r>
              <w:rPr>
                <w:rFonts w:hint="eastAsia" w:ascii="宋体" w:hAnsi="宋体" w:eastAsia="宋体" w:cs="宋体"/>
                <w:b/>
                <w:bCs/>
                <w:sz w:val="21"/>
                <w:szCs w:val="21"/>
              </w:rPr>
              <w:t>招标商务要求</w:t>
            </w:r>
          </w:p>
        </w:tc>
        <w:tc>
          <w:tcPr>
            <w:tcW w:w="969" w:type="dxa"/>
            <w:vAlign w:val="center"/>
          </w:tcPr>
          <w:p w14:paraId="34C2B90E">
            <w:pPr>
              <w:jc w:val="center"/>
              <w:rPr>
                <w:rFonts w:hint="eastAsia" w:ascii="宋体" w:hAnsi="宋体" w:eastAsia="宋体" w:cs="宋体"/>
                <w:b/>
                <w:bCs/>
                <w:sz w:val="21"/>
                <w:szCs w:val="21"/>
              </w:rPr>
            </w:pPr>
            <w:r>
              <w:rPr>
                <w:rFonts w:hint="eastAsia" w:ascii="宋体" w:hAnsi="宋体" w:eastAsia="宋体" w:cs="宋体"/>
                <w:b/>
                <w:bCs/>
                <w:sz w:val="21"/>
                <w:szCs w:val="21"/>
              </w:rPr>
              <w:t>投标商务响应</w:t>
            </w:r>
          </w:p>
        </w:tc>
        <w:tc>
          <w:tcPr>
            <w:tcW w:w="639" w:type="dxa"/>
            <w:vAlign w:val="center"/>
          </w:tcPr>
          <w:p w14:paraId="2D4224B4">
            <w:pPr>
              <w:jc w:val="center"/>
              <w:rPr>
                <w:rFonts w:hint="eastAsia" w:ascii="宋体" w:hAnsi="宋体" w:eastAsia="宋体" w:cs="宋体"/>
                <w:b/>
                <w:bCs/>
                <w:sz w:val="21"/>
                <w:szCs w:val="21"/>
              </w:rPr>
            </w:pPr>
            <w:r>
              <w:rPr>
                <w:rFonts w:hint="eastAsia" w:ascii="宋体" w:hAnsi="宋体" w:eastAsia="宋体" w:cs="宋体"/>
                <w:b/>
                <w:bCs/>
                <w:sz w:val="21"/>
                <w:szCs w:val="21"/>
              </w:rPr>
              <w:t>偏离情况</w:t>
            </w:r>
          </w:p>
        </w:tc>
        <w:tc>
          <w:tcPr>
            <w:tcW w:w="550" w:type="dxa"/>
            <w:vAlign w:val="center"/>
          </w:tcPr>
          <w:p w14:paraId="5D86E654">
            <w:pPr>
              <w:jc w:val="center"/>
              <w:rPr>
                <w:rFonts w:hint="eastAsia" w:ascii="宋体" w:hAnsi="宋体" w:eastAsia="宋体" w:cs="宋体"/>
                <w:b/>
                <w:bCs/>
                <w:sz w:val="21"/>
                <w:szCs w:val="21"/>
              </w:rPr>
            </w:pPr>
            <w:r>
              <w:rPr>
                <w:rFonts w:hint="eastAsia" w:ascii="宋体" w:hAnsi="宋体" w:eastAsia="宋体" w:cs="宋体"/>
                <w:b/>
                <w:bCs/>
                <w:sz w:val="21"/>
                <w:szCs w:val="21"/>
              </w:rPr>
              <w:t>说明</w:t>
            </w:r>
          </w:p>
        </w:tc>
      </w:tr>
      <w:tr w14:paraId="53B1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06" w:type="dxa"/>
            <w:vAlign w:val="center"/>
          </w:tcPr>
          <w:p w14:paraId="5E2EB282">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88" w:type="dxa"/>
          </w:tcPr>
          <w:p w14:paraId="40831552">
            <w:pPr>
              <w:jc w:val="center"/>
              <w:rPr>
                <w:rFonts w:hint="eastAsia" w:ascii="宋体" w:hAnsi="宋体" w:eastAsia="宋体" w:cs="宋体"/>
                <w:sz w:val="21"/>
                <w:szCs w:val="21"/>
              </w:rPr>
            </w:pPr>
            <w:r>
              <w:rPr>
                <w:rFonts w:hint="eastAsia" w:ascii="宋体" w:hAnsi="宋体" w:eastAsia="宋体" w:cs="宋体"/>
                <w:sz w:val="21"/>
                <w:szCs w:val="21"/>
              </w:rPr>
              <w:t>****</w:t>
            </w:r>
          </w:p>
        </w:tc>
        <w:tc>
          <w:tcPr>
            <w:tcW w:w="4818" w:type="dxa"/>
          </w:tcPr>
          <w:p w14:paraId="7FD5BA6F">
            <w:pPr>
              <w:jc w:val="center"/>
              <w:rPr>
                <w:rFonts w:hint="eastAsia" w:ascii="宋体" w:hAnsi="宋体" w:eastAsia="宋体" w:cs="宋体"/>
                <w:b/>
                <w:sz w:val="21"/>
                <w:szCs w:val="21"/>
              </w:rPr>
            </w:pPr>
            <w:r>
              <w:rPr>
                <w:rFonts w:hint="eastAsia" w:ascii="宋体" w:hAnsi="宋体" w:eastAsia="宋体" w:cs="宋体"/>
                <w:bCs/>
                <w:sz w:val="21"/>
                <w:szCs w:val="21"/>
              </w:rPr>
              <w:t>（填写相关内容）</w:t>
            </w:r>
          </w:p>
        </w:tc>
        <w:tc>
          <w:tcPr>
            <w:tcW w:w="969" w:type="dxa"/>
          </w:tcPr>
          <w:p w14:paraId="455E37C0">
            <w:pPr>
              <w:rPr>
                <w:rFonts w:hint="eastAsia" w:ascii="宋体" w:hAnsi="宋体" w:eastAsia="宋体" w:cs="宋体"/>
                <w:bCs/>
                <w:sz w:val="21"/>
                <w:szCs w:val="21"/>
              </w:rPr>
            </w:pPr>
          </w:p>
        </w:tc>
        <w:tc>
          <w:tcPr>
            <w:tcW w:w="639" w:type="dxa"/>
          </w:tcPr>
          <w:p w14:paraId="4A8D8B4E">
            <w:pPr>
              <w:rPr>
                <w:rFonts w:hint="eastAsia" w:ascii="宋体" w:hAnsi="宋体" w:eastAsia="宋体" w:cs="宋体"/>
                <w:bCs/>
                <w:sz w:val="21"/>
                <w:szCs w:val="21"/>
              </w:rPr>
            </w:pPr>
          </w:p>
        </w:tc>
        <w:tc>
          <w:tcPr>
            <w:tcW w:w="550" w:type="dxa"/>
          </w:tcPr>
          <w:p w14:paraId="3325FEE9">
            <w:pPr>
              <w:rPr>
                <w:rFonts w:hint="eastAsia" w:ascii="宋体" w:hAnsi="宋体" w:eastAsia="宋体" w:cs="宋体"/>
                <w:bCs/>
                <w:sz w:val="21"/>
                <w:szCs w:val="21"/>
              </w:rPr>
            </w:pPr>
          </w:p>
        </w:tc>
      </w:tr>
      <w:tr w14:paraId="513B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06" w:type="dxa"/>
            <w:vAlign w:val="center"/>
          </w:tcPr>
          <w:p w14:paraId="495C4F2F">
            <w:pPr>
              <w:jc w:val="center"/>
              <w:rPr>
                <w:rFonts w:hint="eastAsia" w:ascii="宋体" w:hAnsi="宋体" w:eastAsia="宋体" w:cs="宋体"/>
                <w:bCs/>
                <w:sz w:val="21"/>
                <w:szCs w:val="21"/>
              </w:rPr>
            </w:pPr>
            <w:r>
              <w:rPr>
                <w:rFonts w:hint="eastAsia" w:ascii="宋体" w:hAnsi="宋体" w:eastAsia="宋体" w:cs="宋体"/>
                <w:bCs/>
                <w:sz w:val="21"/>
                <w:szCs w:val="21"/>
              </w:rPr>
              <w:t>2</w:t>
            </w:r>
          </w:p>
        </w:tc>
        <w:tc>
          <w:tcPr>
            <w:tcW w:w="1488" w:type="dxa"/>
          </w:tcPr>
          <w:p w14:paraId="7556A5B2">
            <w:pPr>
              <w:jc w:val="center"/>
              <w:rPr>
                <w:rFonts w:hint="eastAsia" w:ascii="宋体" w:hAnsi="宋体" w:eastAsia="宋体" w:cs="宋体"/>
                <w:sz w:val="21"/>
                <w:szCs w:val="21"/>
              </w:rPr>
            </w:pPr>
            <w:r>
              <w:rPr>
                <w:rFonts w:hint="eastAsia" w:ascii="宋体" w:hAnsi="宋体" w:eastAsia="宋体" w:cs="宋体"/>
                <w:sz w:val="21"/>
                <w:szCs w:val="21"/>
              </w:rPr>
              <w:t>****</w:t>
            </w:r>
          </w:p>
        </w:tc>
        <w:tc>
          <w:tcPr>
            <w:tcW w:w="4818" w:type="dxa"/>
          </w:tcPr>
          <w:p w14:paraId="181FA5E3">
            <w:pPr>
              <w:jc w:val="center"/>
              <w:rPr>
                <w:rFonts w:hint="eastAsia" w:ascii="宋体" w:hAnsi="宋体" w:eastAsia="宋体" w:cs="宋体"/>
                <w:bCs/>
                <w:sz w:val="21"/>
                <w:szCs w:val="21"/>
              </w:rPr>
            </w:pPr>
            <w:r>
              <w:rPr>
                <w:rFonts w:hint="eastAsia" w:ascii="宋体" w:hAnsi="宋体" w:eastAsia="宋体" w:cs="宋体"/>
                <w:sz w:val="21"/>
                <w:szCs w:val="21"/>
              </w:rPr>
              <w:t>（填写相关内容）</w:t>
            </w:r>
          </w:p>
        </w:tc>
        <w:tc>
          <w:tcPr>
            <w:tcW w:w="969" w:type="dxa"/>
          </w:tcPr>
          <w:p w14:paraId="112BB1A3">
            <w:pPr>
              <w:rPr>
                <w:rFonts w:hint="eastAsia" w:ascii="宋体" w:hAnsi="宋体" w:eastAsia="宋体" w:cs="宋体"/>
                <w:bCs/>
                <w:sz w:val="21"/>
                <w:szCs w:val="21"/>
              </w:rPr>
            </w:pPr>
          </w:p>
        </w:tc>
        <w:tc>
          <w:tcPr>
            <w:tcW w:w="639" w:type="dxa"/>
          </w:tcPr>
          <w:p w14:paraId="544A6838">
            <w:pPr>
              <w:rPr>
                <w:rFonts w:hint="eastAsia" w:ascii="宋体" w:hAnsi="宋体" w:eastAsia="宋体" w:cs="宋体"/>
                <w:bCs/>
                <w:sz w:val="21"/>
                <w:szCs w:val="21"/>
              </w:rPr>
            </w:pPr>
          </w:p>
        </w:tc>
        <w:tc>
          <w:tcPr>
            <w:tcW w:w="550" w:type="dxa"/>
          </w:tcPr>
          <w:p w14:paraId="458D1A6A">
            <w:pPr>
              <w:rPr>
                <w:rFonts w:hint="eastAsia" w:ascii="宋体" w:hAnsi="宋体" w:eastAsia="宋体" w:cs="宋体"/>
                <w:bCs/>
                <w:sz w:val="21"/>
                <w:szCs w:val="21"/>
              </w:rPr>
            </w:pPr>
          </w:p>
        </w:tc>
      </w:tr>
      <w:tr w14:paraId="3244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06" w:type="dxa"/>
          </w:tcPr>
          <w:p w14:paraId="6573C941">
            <w:pPr>
              <w:jc w:val="center"/>
              <w:rPr>
                <w:rFonts w:hint="eastAsia" w:ascii="宋体" w:hAnsi="宋体" w:eastAsia="宋体" w:cs="宋体"/>
                <w:bCs/>
                <w:sz w:val="21"/>
                <w:szCs w:val="21"/>
              </w:rPr>
            </w:pPr>
            <w:r>
              <w:rPr>
                <w:rFonts w:hint="eastAsia" w:ascii="宋体" w:hAnsi="宋体" w:eastAsia="宋体" w:cs="宋体"/>
                <w:sz w:val="21"/>
                <w:szCs w:val="21"/>
              </w:rPr>
              <w:t>1</w:t>
            </w:r>
          </w:p>
        </w:tc>
        <w:tc>
          <w:tcPr>
            <w:tcW w:w="1488" w:type="dxa"/>
          </w:tcPr>
          <w:p w14:paraId="25FCA944">
            <w:pPr>
              <w:jc w:val="center"/>
              <w:rPr>
                <w:rFonts w:hint="eastAsia" w:ascii="宋体" w:hAnsi="宋体" w:eastAsia="宋体" w:cs="宋体"/>
                <w:sz w:val="21"/>
                <w:szCs w:val="21"/>
              </w:rPr>
            </w:pPr>
            <w:r>
              <w:rPr>
                <w:rFonts w:hint="eastAsia" w:ascii="宋体" w:hAnsi="宋体" w:eastAsia="宋体" w:cs="宋体"/>
                <w:sz w:val="21"/>
                <w:szCs w:val="21"/>
              </w:rPr>
              <w:t>****</w:t>
            </w:r>
          </w:p>
        </w:tc>
        <w:tc>
          <w:tcPr>
            <w:tcW w:w="4818" w:type="dxa"/>
          </w:tcPr>
          <w:p w14:paraId="68F669B2">
            <w:pPr>
              <w:jc w:val="center"/>
              <w:rPr>
                <w:rFonts w:hint="eastAsia" w:ascii="宋体" w:hAnsi="宋体" w:eastAsia="宋体" w:cs="宋体"/>
                <w:sz w:val="21"/>
                <w:szCs w:val="21"/>
              </w:rPr>
            </w:pPr>
            <w:r>
              <w:rPr>
                <w:rFonts w:hint="eastAsia" w:ascii="宋体" w:hAnsi="宋体" w:eastAsia="宋体" w:cs="宋体"/>
                <w:sz w:val="21"/>
                <w:szCs w:val="21"/>
              </w:rPr>
              <w:t>（填写相关内容）</w:t>
            </w:r>
          </w:p>
        </w:tc>
        <w:tc>
          <w:tcPr>
            <w:tcW w:w="969" w:type="dxa"/>
          </w:tcPr>
          <w:p w14:paraId="5041C341">
            <w:pPr>
              <w:rPr>
                <w:rFonts w:hint="eastAsia" w:ascii="宋体" w:hAnsi="宋体" w:eastAsia="宋体" w:cs="宋体"/>
                <w:bCs/>
                <w:sz w:val="21"/>
                <w:szCs w:val="21"/>
              </w:rPr>
            </w:pPr>
          </w:p>
        </w:tc>
        <w:tc>
          <w:tcPr>
            <w:tcW w:w="639" w:type="dxa"/>
          </w:tcPr>
          <w:p w14:paraId="05EC7C8B">
            <w:pPr>
              <w:rPr>
                <w:rFonts w:hint="eastAsia" w:ascii="宋体" w:hAnsi="宋体" w:eastAsia="宋体" w:cs="宋体"/>
                <w:bCs/>
                <w:sz w:val="21"/>
                <w:szCs w:val="21"/>
              </w:rPr>
            </w:pPr>
          </w:p>
        </w:tc>
        <w:tc>
          <w:tcPr>
            <w:tcW w:w="550" w:type="dxa"/>
          </w:tcPr>
          <w:p w14:paraId="5C72917F">
            <w:pPr>
              <w:rPr>
                <w:rFonts w:hint="eastAsia" w:ascii="宋体" w:hAnsi="宋体" w:eastAsia="宋体" w:cs="宋体"/>
                <w:bCs/>
                <w:sz w:val="21"/>
                <w:szCs w:val="21"/>
              </w:rPr>
            </w:pPr>
          </w:p>
        </w:tc>
      </w:tr>
    </w:tbl>
    <w:p w14:paraId="0FBCE9FD">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《商务要求偏离表》编制指引：</w:t>
      </w:r>
    </w:p>
    <w:p w14:paraId="5D6950C5">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1.商务要求偏离表的序号、目录、招标商务要求等栏目对应“用户需求书”中的“商务要求”章节相关内容。</w:t>
      </w:r>
    </w:p>
    <w:p w14:paraId="2C4C88CF">
      <w:pPr>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2.“投标商务响应”一栏必须一一对照“招标商务要求”，详细填写自身响应情况，以体现具体响应情况。</w:t>
      </w:r>
    </w:p>
    <w:p w14:paraId="0F292E9D">
      <w:pPr>
        <w:ind w:firstLine="422" w:firstLineChars="200"/>
        <w:rPr>
          <w:rFonts w:hint="eastAsia" w:ascii="宋体" w:hAnsi="宋体" w:eastAsia="宋体" w:cs="宋体"/>
          <w:color w:val="FF0000"/>
          <w:sz w:val="21"/>
          <w:szCs w:val="21"/>
        </w:rPr>
      </w:pPr>
      <w:r>
        <w:rPr>
          <w:rFonts w:hint="eastAsia" w:ascii="宋体" w:hAnsi="宋体" w:eastAsia="宋体" w:cs="宋体"/>
          <w:b/>
          <w:color w:val="FF0000"/>
          <w:sz w:val="21"/>
          <w:szCs w:val="21"/>
        </w:rPr>
        <w:t>3.“偏离情况”一栏填写如实填写“正偏离”、“负偏离”或“无偏离”，其中：“正偏离”表示“投标响应优于招标商务要求”，“负偏离”表示“投标响应不满足招标商务要求”，“无偏离”表示“投标响应与招标商务要求一致”。</w:t>
      </w:r>
    </w:p>
    <w:p w14:paraId="39EE0677">
      <w:pPr>
        <w:rPr>
          <w:rFonts w:hint="eastAsia" w:ascii="宋体" w:hAnsi="宋体" w:eastAsia="宋体" w:cs="宋体"/>
          <w:b/>
          <w:color w:val="FF0000"/>
          <w:sz w:val="21"/>
          <w:szCs w:val="21"/>
        </w:rPr>
      </w:pPr>
      <w:r>
        <w:rPr>
          <w:rFonts w:hint="eastAsia" w:ascii="宋体" w:hAnsi="宋体" w:eastAsia="宋体" w:cs="宋体"/>
          <w:b/>
          <w:color w:val="FF0000"/>
          <w:sz w:val="21"/>
          <w:szCs w:val="21"/>
        </w:rPr>
        <w:t>“投标商务响应”对比“招标商务要求”存在响应不全（包括未响应整项招标商务要求或者未响应一项招标商务要求的部分内容），均视为“负偏离”。</w:t>
      </w:r>
    </w:p>
    <w:p w14:paraId="7B7ADD5E">
      <w:pPr>
        <w:rPr>
          <w:rFonts w:ascii="黑体" w:hAnsi="宋体"/>
          <w:b/>
          <w:bCs/>
          <w:szCs w:val="20"/>
        </w:rPr>
      </w:pPr>
    </w:p>
    <w:p w14:paraId="338B4CB2">
      <w:pPr>
        <w:rPr>
          <w:rFonts w:ascii="黑体" w:hAnsi="宋体"/>
          <w:b/>
          <w:bCs/>
          <w:szCs w:val="20"/>
        </w:rPr>
      </w:pPr>
    </w:p>
    <w:p w14:paraId="020A11B9">
      <w:pPr>
        <w:rPr>
          <w:rFonts w:ascii="黑体" w:hAnsi="宋体"/>
          <w:b/>
          <w:bCs/>
          <w:szCs w:val="20"/>
        </w:rPr>
      </w:pPr>
    </w:p>
    <w:p w14:paraId="57569D81">
      <w:pPr>
        <w:outlineLvl w:val="3"/>
        <w:rPr>
          <w:rFonts w:hint="eastAsia" w:ascii="黑体" w:hAnsi="宋体" w:eastAsia="宋体"/>
          <w:b/>
          <w:bCs/>
          <w:szCs w:val="20"/>
        </w:rPr>
      </w:pPr>
      <w:r>
        <w:rPr>
          <w:rFonts w:hint="eastAsia" w:ascii="黑体" w:hAnsi="宋体" w:eastAsia="宋体"/>
          <w:b/>
          <w:bCs/>
          <w:szCs w:val="20"/>
        </w:rPr>
        <w:t>七</w:t>
      </w:r>
      <w:r>
        <w:rPr>
          <w:rFonts w:hint="eastAsia" w:ascii="黑体" w:hAnsi="宋体"/>
          <w:b/>
          <w:bCs/>
          <w:szCs w:val="20"/>
        </w:rPr>
        <w:t>、有效业绩</w:t>
      </w:r>
      <w:r>
        <w:rPr>
          <w:rFonts w:hint="eastAsia" w:ascii="黑体" w:hAnsi="宋体" w:eastAsia="宋体"/>
          <w:b/>
          <w:bCs/>
          <w:szCs w:val="20"/>
        </w:rPr>
        <w:t>（格式自定）</w:t>
      </w:r>
    </w:p>
    <w:p w14:paraId="30E539A7">
      <w:pPr>
        <w:pStyle w:val="11"/>
        <w:rPr>
          <w:rFonts w:hint="eastAsia" w:ascii="黑体" w:hAnsi="宋体" w:eastAsia="黑体"/>
          <w:szCs w:val="20"/>
        </w:rPr>
      </w:pPr>
      <w:r>
        <w:rPr>
          <w:rFonts w:hint="eastAsia" w:ascii="宋体" w:hAnsi="宋体" w:eastAsia="宋体" w:cs="宋体"/>
          <w:b w:val="0"/>
          <w:bCs w:val="0"/>
        </w:rPr>
        <w:t>（</w:t>
      </w:r>
      <w:r>
        <w:rPr>
          <w:rFonts w:hint="eastAsia"/>
          <w:b w:val="0"/>
          <w:bCs w:val="0"/>
        </w:rPr>
        <w:t>特别提示：投标人须按本招标文件评标信息中“有效业绩”这一评审因素要求，提供证明资料）</w:t>
      </w:r>
    </w:p>
    <w:p w14:paraId="64E199B3">
      <w:pPr>
        <w:rPr>
          <w:rFonts w:hint="eastAsia" w:ascii="黑体" w:hAnsi="宋体" w:eastAsia="黑体"/>
          <w:szCs w:val="20"/>
        </w:rPr>
      </w:pPr>
    </w:p>
    <w:p w14:paraId="3DD266A8">
      <w:pPr>
        <w:outlineLvl w:val="3"/>
        <w:rPr>
          <w:rFonts w:ascii="黑体" w:hAnsi="宋体"/>
          <w:b/>
          <w:bCs/>
          <w:szCs w:val="20"/>
        </w:rPr>
      </w:pPr>
      <w:r>
        <w:rPr>
          <w:rFonts w:hint="eastAsia" w:ascii="黑体" w:hAnsi="宋体" w:eastAsia="宋体"/>
          <w:b/>
          <w:bCs/>
          <w:szCs w:val="20"/>
        </w:rPr>
        <w:t>八</w:t>
      </w:r>
      <w:r>
        <w:rPr>
          <w:rFonts w:hint="eastAsia" w:ascii="黑体" w:hAnsi="宋体"/>
          <w:b/>
          <w:bCs/>
          <w:szCs w:val="20"/>
        </w:rPr>
        <w:t>、售后服务方案</w:t>
      </w:r>
      <w:r>
        <w:rPr>
          <w:rFonts w:hint="eastAsia" w:ascii="黑体" w:hAnsi="宋体" w:eastAsia="宋体"/>
          <w:b/>
          <w:bCs/>
          <w:szCs w:val="20"/>
        </w:rPr>
        <w:t>（格式自定）</w:t>
      </w:r>
    </w:p>
    <w:p w14:paraId="4BB913D2">
      <w:pPr>
        <w:pStyle w:val="11"/>
        <w:rPr>
          <w:rFonts w:hint="eastAsia" w:ascii="黑体" w:hAnsi="宋体" w:eastAsia="黑体"/>
          <w:szCs w:val="20"/>
        </w:rPr>
      </w:pPr>
      <w:r>
        <w:rPr>
          <w:rFonts w:hint="eastAsia" w:ascii="宋体" w:hAnsi="宋体" w:eastAsia="宋体" w:cs="宋体"/>
          <w:b w:val="0"/>
          <w:bCs w:val="0"/>
        </w:rPr>
        <w:t>（</w:t>
      </w:r>
      <w:r>
        <w:rPr>
          <w:rFonts w:hint="eastAsia"/>
          <w:b w:val="0"/>
          <w:bCs w:val="0"/>
        </w:rPr>
        <w:t>特别提示：投标人须按本招标文件评标信息中“售后服务方案”这一评审因素要求，提供证明资料）</w:t>
      </w:r>
    </w:p>
    <w:p w14:paraId="163A427F">
      <w:pPr>
        <w:rPr>
          <w:rFonts w:ascii="黑体" w:hAnsi="宋体"/>
          <w:b/>
          <w:bCs/>
          <w:szCs w:val="20"/>
        </w:rPr>
      </w:pPr>
    </w:p>
    <w:p w14:paraId="5415C87E">
      <w:pPr>
        <w:rPr>
          <w:rFonts w:ascii="黑体" w:hAnsi="宋体"/>
          <w:b/>
          <w:bCs/>
          <w:szCs w:val="20"/>
        </w:rPr>
      </w:pPr>
    </w:p>
    <w:p w14:paraId="62B9791D">
      <w:pPr>
        <w:outlineLvl w:val="3"/>
        <w:rPr>
          <w:rFonts w:ascii="黑体" w:hAnsi="宋体"/>
          <w:b/>
          <w:bCs/>
          <w:szCs w:val="20"/>
        </w:rPr>
      </w:pPr>
      <w:r>
        <w:rPr>
          <w:rFonts w:hint="eastAsia" w:ascii="黑体" w:hAnsi="宋体"/>
          <w:b/>
          <w:bCs/>
          <w:szCs w:val="20"/>
        </w:rPr>
        <w:t>九、投标人认为需要加以说明的其他内容（格式自定）</w:t>
      </w:r>
    </w:p>
    <w:p w14:paraId="00684A98"/>
    <w:p w14:paraId="3C0262C4">
      <w:pPr>
        <w:pStyle w:val="3"/>
      </w:pPr>
      <w:r>
        <w:br w:type="page"/>
      </w:r>
      <w:r>
        <w:t>第四章  合同及履约情况反馈格式</w:t>
      </w:r>
    </w:p>
    <w:p w14:paraId="4293BFDD">
      <w:pPr>
        <w:jc w:val="center"/>
        <w:rPr>
          <w:b/>
        </w:rPr>
      </w:pPr>
      <w:r>
        <w:rPr>
          <w:rFonts w:hint="eastAsia" w:ascii="宋体" w:hAnsi="宋体" w:eastAsia="宋体" w:cs="宋体"/>
          <w:b/>
        </w:rPr>
        <w:t>合</w:t>
      </w:r>
      <w:r>
        <w:rPr>
          <w:rFonts w:hint="eastAsia"/>
          <w:b/>
        </w:rPr>
        <w:t>同条款</w:t>
      </w:r>
    </w:p>
    <w:p w14:paraId="39344E2A">
      <w:pPr>
        <w:jc w:val="center"/>
      </w:pPr>
      <w:r>
        <w:rPr>
          <w:rFonts w:hint="eastAsia" w:ascii="宋体" w:hAnsi="宋体" w:eastAsia="宋体" w:cs="宋体"/>
          <w:b/>
        </w:rPr>
        <w:t>（</w:t>
      </w:r>
      <w:r>
        <w:rPr>
          <w:rFonts w:hint="eastAsia"/>
          <w:b/>
        </w:rPr>
        <w:t>仅供参考，项目具体要求以招标（采购）项目需求为准）</w:t>
      </w:r>
    </w:p>
    <w:p w14:paraId="27ED0B1D">
      <w:pPr>
        <w:spacing w:line="360" w:lineRule="auto"/>
        <w:ind w:firstLine="4760" w:firstLineChars="1700"/>
        <w:textAlignment w:val="top"/>
        <w:outlineLvl w:val="0"/>
        <w:rPr>
          <w:rFonts w:hint="default" w:ascii="宋体" w:hAnsi="宋体" w:eastAsia="宋体" w:cs="宋体"/>
          <w:bCs/>
          <w:color w:val="auto"/>
          <w:kern w:val="24"/>
          <w:szCs w:val="48"/>
          <w:highlight w:val="none"/>
          <w:lang w:val="en-US" w:eastAsia="zh-CN"/>
        </w:rPr>
      </w:pPr>
      <w:r>
        <w:rPr>
          <w:rFonts w:hint="eastAsia" w:ascii="宋体" w:hAnsi="宋体" w:eastAsia="宋体" w:cs="宋体"/>
          <w:color w:val="auto"/>
          <w:sz w:val="28"/>
          <w:szCs w:val="28"/>
          <w:highlight w:val="none"/>
        </w:rPr>
        <w:t>合同编号：</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p w14:paraId="56480336">
      <w:pPr>
        <w:spacing w:line="360" w:lineRule="auto"/>
        <w:textAlignment w:val="top"/>
        <w:rPr>
          <w:rFonts w:ascii="宋体" w:hAnsi="宋体" w:eastAsia="宋体" w:cs="宋体"/>
          <w:bCs/>
          <w:color w:val="auto"/>
          <w:kern w:val="24"/>
          <w:szCs w:val="48"/>
          <w:highlight w:val="none"/>
        </w:rPr>
      </w:pPr>
    </w:p>
    <w:p w14:paraId="63C69117">
      <w:pPr>
        <w:spacing w:line="360" w:lineRule="auto"/>
        <w:textAlignment w:val="top"/>
        <w:rPr>
          <w:rFonts w:ascii="宋体" w:hAnsi="宋体" w:eastAsia="宋体" w:cs="宋体"/>
          <w:bCs/>
          <w:color w:val="auto"/>
          <w:kern w:val="24"/>
          <w:szCs w:val="48"/>
          <w:highlight w:val="none"/>
        </w:rPr>
      </w:pPr>
    </w:p>
    <w:p w14:paraId="1FB10F09">
      <w:pPr>
        <w:spacing w:line="360" w:lineRule="auto"/>
        <w:textAlignment w:val="top"/>
        <w:rPr>
          <w:rFonts w:ascii="宋体" w:hAnsi="宋体" w:eastAsia="宋体" w:cs="宋体"/>
          <w:bCs/>
          <w:color w:val="auto"/>
          <w:kern w:val="24"/>
          <w:szCs w:val="48"/>
          <w:highlight w:val="none"/>
        </w:rPr>
      </w:pPr>
    </w:p>
    <w:p w14:paraId="7DF334EC">
      <w:pPr>
        <w:spacing w:line="360" w:lineRule="auto"/>
        <w:jc w:val="center"/>
        <w:textAlignment w:val="top"/>
        <w:outlineLvl w:val="9"/>
        <w:rPr>
          <w:rFonts w:hint="eastAsia" w:ascii="宋体" w:hAnsi="宋体" w:eastAsia="宋体" w:cs="宋体"/>
          <w:b/>
          <w:bCs/>
          <w:color w:val="auto"/>
          <w:kern w:val="24"/>
          <w:sz w:val="44"/>
          <w:szCs w:val="44"/>
          <w:highlight w:val="none"/>
          <w:lang w:eastAsia="zh-CN"/>
        </w:rPr>
      </w:pPr>
      <w:bookmarkStart w:id="38" w:name="_Hlk56639973"/>
    </w:p>
    <w:p w14:paraId="7619131A">
      <w:pPr>
        <w:spacing w:line="360" w:lineRule="auto"/>
        <w:jc w:val="center"/>
        <w:textAlignment w:val="top"/>
        <w:outlineLvl w:val="0"/>
        <w:rPr>
          <w:rFonts w:ascii="宋体" w:hAnsi="宋体" w:eastAsia="宋体" w:cs="宋体"/>
          <w:b/>
          <w:bCs/>
          <w:color w:val="auto"/>
          <w:kern w:val="24"/>
          <w:sz w:val="44"/>
          <w:szCs w:val="44"/>
          <w:highlight w:val="none"/>
        </w:rPr>
      </w:pPr>
      <w:r>
        <w:rPr>
          <w:rFonts w:hint="eastAsia" w:ascii="宋体" w:hAnsi="宋体" w:eastAsia="宋体" w:cs="宋体"/>
          <w:b/>
          <w:bCs/>
          <w:color w:val="auto"/>
          <w:kern w:val="24"/>
          <w:sz w:val="44"/>
          <w:szCs w:val="44"/>
          <w:highlight w:val="none"/>
        </w:rPr>
        <w:t>设备采购项目合同</w:t>
      </w:r>
      <w:bookmarkEnd w:id="38"/>
    </w:p>
    <w:p w14:paraId="00BB75E9">
      <w:pPr>
        <w:spacing w:line="360" w:lineRule="auto"/>
        <w:textAlignment w:val="top"/>
        <w:rPr>
          <w:rFonts w:ascii="宋体" w:hAnsi="宋体" w:eastAsia="宋体" w:cs="宋体"/>
          <w:bCs/>
          <w:color w:val="auto"/>
          <w:kern w:val="24"/>
          <w:szCs w:val="21"/>
          <w:highlight w:val="none"/>
        </w:rPr>
      </w:pPr>
    </w:p>
    <w:p w14:paraId="3BF03383">
      <w:pPr>
        <w:spacing w:line="360" w:lineRule="auto"/>
        <w:textAlignment w:val="top"/>
        <w:rPr>
          <w:rFonts w:ascii="宋体" w:hAnsi="宋体" w:eastAsia="宋体" w:cs="宋体"/>
          <w:bCs/>
          <w:color w:val="auto"/>
          <w:kern w:val="24"/>
          <w:szCs w:val="21"/>
          <w:highlight w:val="none"/>
        </w:rPr>
      </w:pPr>
    </w:p>
    <w:p w14:paraId="4EB321CF">
      <w:pPr>
        <w:spacing w:line="360" w:lineRule="auto"/>
        <w:textAlignment w:val="top"/>
        <w:rPr>
          <w:rFonts w:ascii="宋体" w:hAnsi="宋体" w:eastAsia="宋体" w:cs="宋体"/>
          <w:bCs/>
          <w:color w:val="auto"/>
          <w:kern w:val="24"/>
          <w:szCs w:val="21"/>
          <w:highlight w:val="none"/>
        </w:rPr>
      </w:pPr>
    </w:p>
    <w:p w14:paraId="00906B32">
      <w:pPr>
        <w:spacing w:line="360" w:lineRule="auto"/>
        <w:textAlignment w:val="top"/>
        <w:rPr>
          <w:rFonts w:ascii="宋体" w:hAnsi="宋体" w:eastAsia="宋体" w:cs="宋体"/>
          <w:bCs/>
          <w:color w:val="auto"/>
          <w:kern w:val="24"/>
          <w:szCs w:val="21"/>
          <w:highlight w:val="none"/>
        </w:rPr>
      </w:pPr>
    </w:p>
    <w:p w14:paraId="520DAEE1">
      <w:pPr>
        <w:spacing w:line="360" w:lineRule="auto"/>
        <w:textAlignment w:val="top"/>
        <w:rPr>
          <w:rFonts w:ascii="宋体" w:hAnsi="宋体" w:eastAsia="宋体" w:cs="宋体"/>
          <w:bCs/>
          <w:color w:val="auto"/>
          <w:kern w:val="24"/>
          <w:szCs w:val="21"/>
          <w:highlight w:val="none"/>
        </w:rPr>
      </w:pPr>
    </w:p>
    <w:tbl>
      <w:tblPr>
        <w:tblStyle w:val="28"/>
        <w:tblW w:w="8800" w:type="dxa"/>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30"/>
        <w:gridCol w:w="6070"/>
      </w:tblGrid>
      <w:tr w14:paraId="26D64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2730" w:type="dxa"/>
            <w:vAlign w:val="center"/>
          </w:tcPr>
          <w:p w14:paraId="75B53432">
            <w:pPr>
              <w:widowControl/>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项目名称：</w:t>
            </w:r>
          </w:p>
        </w:tc>
        <w:tc>
          <w:tcPr>
            <w:tcW w:w="6070" w:type="dxa"/>
            <w:vAlign w:val="center"/>
          </w:tcPr>
          <w:p w14:paraId="04DD31DE">
            <w:pPr>
              <w:widowControl/>
              <w:spacing w:line="360" w:lineRule="auto"/>
              <w:rPr>
                <w:rFonts w:hint="eastAsia" w:ascii="宋体" w:hAnsi="宋体" w:eastAsia="宋体" w:cs="宋体"/>
                <w:b/>
                <w:color w:val="auto"/>
                <w:sz w:val="32"/>
                <w:highlight w:val="none"/>
                <w:u w:val="single"/>
                <w:lang w:val="en-US" w:eastAsia="zh-CN"/>
              </w:rPr>
            </w:pP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tc>
      </w:tr>
      <w:tr w14:paraId="26278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2730" w:type="dxa"/>
            <w:vAlign w:val="center"/>
          </w:tcPr>
          <w:p w14:paraId="627E927B">
            <w:pPr>
              <w:widowControl/>
              <w:spacing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项目编号：</w:t>
            </w:r>
          </w:p>
        </w:tc>
        <w:tc>
          <w:tcPr>
            <w:tcW w:w="6070" w:type="dxa"/>
            <w:vAlign w:val="center"/>
          </w:tcPr>
          <w:p w14:paraId="4E27A84F">
            <w:pPr>
              <w:widowControl/>
              <w:spacing w:line="360" w:lineRule="auto"/>
              <w:rPr>
                <w:rFonts w:ascii="宋体" w:hAnsi="宋体"/>
                <w:snapToGrid w:val="0"/>
                <w:color w:val="000000"/>
                <w:kern w:val="0"/>
                <w:sz w:val="24"/>
                <w:highlight w:val="none"/>
                <w:u w:val="single"/>
              </w:rPr>
            </w:pP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tc>
      </w:tr>
      <w:tr w14:paraId="27B93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trPr>
        <w:tc>
          <w:tcPr>
            <w:tcW w:w="2730" w:type="dxa"/>
            <w:vAlign w:val="center"/>
          </w:tcPr>
          <w:p w14:paraId="7901187B">
            <w:pPr>
              <w:widowControl/>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甲方</w:t>
            </w:r>
            <w:r>
              <w:rPr>
                <w:rFonts w:hint="eastAsia" w:ascii="宋体" w:hAnsi="宋体" w:eastAsia="宋体" w:cs="宋体"/>
                <w:b/>
                <w:color w:val="auto"/>
                <w:sz w:val="32"/>
                <w:szCs w:val="32"/>
                <w:highlight w:val="none"/>
              </w:rPr>
              <w:t>：</w:t>
            </w:r>
          </w:p>
        </w:tc>
        <w:tc>
          <w:tcPr>
            <w:tcW w:w="6070" w:type="dxa"/>
            <w:vAlign w:val="center"/>
          </w:tcPr>
          <w:p w14:paraId="767B3D6D">
            <w:pPr>
              <w:widowControl/>
              <w:spacing w:line="360" w:lineRule="auto"/>
              <w:rPr>
                <w:rFonts w:ascii="宋体" w:hAnsi="宋体" w:eastAsia="宋体" w:cs="宋体"/>
                <w:b/>
                <w:color w:val="auto"/>
                <w:highlight w:val="none"/>
                <w:u w:val="single"/>
              </w:rPr>
            </w:pPr>
            <w:r>
              <w:rPr>
                <w:rFonts w:hint="eastAsia" w:ascii="宋体" w:hAnsi="宋体" w:eastAsia="宋体" w:cs="宋体"/>
                <w:b/>
                <w:color w:val="auto"/>
                <w:sz w:val="32"/>
                <w:highlight w:val="none"/>
                <w:u w:val="single"/>
              </w:rPr>
              <w:t>河套深港科技创新合作区健康医药公共服务中心（深圳福田）（中山大学附属第八医院(深圳福田）生物实验室）</w:t>
            </w:r>
          </w:p>
        </w:tc>
      </w:tr>
      <w:tr w14:paraId="0E961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2730" w:type="dxa"/>
            <w:vAlign w:val="center"/>
          </w:tcPr>
          <w:p w14:paraId="087220A1">
            <w:pPr>
              <w:widowControl/>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乙方</w:t>
            </w:r>
            <w:r>
              <w:rPr>
                <w:rFonts w:hint="eastAsia" w:ascii="宋体" w:hAnsi="宋体" w:eastAsia="宋体" w:cs="宋体"/>
                <w:b/>
                <w:color w:val="auto"/>
                <w:sz w:val="32"/>
                <w:szCs w:val="32"/>
                <w:highlight w:val="none"/>
              </w:rPr>
              <w:t>：</w:t>
            </w:r>
          </w:p>
        </w:tc>
        <w:tc>
          <w:tcPr>
            <w:tcW w:w="6070" w:type="dxa"/>
            <w:vAlign w:val="center"/>
          </w:tcPr>
          <w:p w14:paraId="0E6A0420">
            <w:pPr>
              <w:widowControl/>
              <w:spacing w:line="360" w:lineRule="auto"/>
              <w:rPr>
                <w:rFonts w:ascii="宋体" w:hAnsi="宋体" w:eastAsia="宋体" w:cs="宋体"/>
                <w:b/>
                <w:color w:val="auto"/>
                <w:highlight w:val="none"/>
                <w:u w:val="single"/>
              </w:rPr>
            </w:pP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tc>
      </w:tr>
      <w:tr w14:paraId="3800C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2730" w:type="dxa"/>
            <w:vAlign w:val="center"/>
          </w:tcPr>
          <w:p w14:paraId="62BE528A">
            <w:pPr>
              <w:widowControl/>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丙方</w:t>
            </w:r>
            <w:r>
              <w:rPr>
                <w:rFonts w:hint="eastAsia" w:ascii="宋体" w:hAnsi="宋体" w:eastAsia="宋体" w:cs="宋体"/>
                <w:b/>
                <w:color w:val="auto"/>
                <w:sz w:val="32"/>
                <w:szCs w:val="32"/>
                <w:highlight w:val="none"/>
              </w:rPr>
              <w:t>：</w:t>
            </w:r>
          </w:p>
        </w:tc>
        <w:tc>
          <w:tcPr>
            <w:tcW w:w="6070" w:type="dxa"/>
            <w:vAlign w:val="center"/>
          </w:tcPr>
          <w:p w14:paraId="2125ED1A">
            <w:pPr>
              <w:widowControl/>
              <w:spacing w:line="360" w:lineRule="auto"/>
              <w:rPr>
                <w:rFonts w:ascii="宋体" w:hAnsi="宋体" w:eastAsia="宋体" w:cs="宋体"/>
                <w:b/>
                <w:color w:val="auto"/>
                <w:highlight w:val="none"/>
              </w:rPr>
            </w:pPr>
            <w:r>
              <w:rPr>
                <w:rFonts w:hint="eastAsia" w:ascii="宋体" w:hAnsi="宋体" w:eastAsia="宋体" w:cs="宋体"/>
                <w:b/>
                <w:color w:val="auto"/>
                <w:sz w:val="32"/>
                <w:highlight w:val="none"/>
                <w:u w:val="single"/>
              </w:rPr>
              <w:t xml:space="preserve">深圳市福田区建筑工务署 </w:t>
            </w:r>
          </w:p>
        </w:tc>
      </w:tr>
      <w:tr w14:paraId="01289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2730" w:type="dxa"/>
            <w:vAlign w:val="center"/>
          </w:tcPr>
          <w:p w14:paraId="0C62DEA6">
            <w:pP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合同订立地点：</w:t>
            </w:r>
          </w:p>
        </w:tc>
        <w:tc>
          <w:tcPr>
            <w:tcW w:w="6070" w:type="dxa"/>
            <w:vAlign w:val="center"/>
          </w:tcPr>
          <w:p w14:paraId="6F3F400B">
            <w:pPr>
              <w:spacing w:line="360" w:lineRule="auto"/>
              <w:rPr>
                <w:rFonts w:ascii="宋体" w:hAnsi="宋体" w:eastAsia="宋体" w:cs="宋体"/>
                <w:b/>
                <w:color w:val="auto"/>
                <w:highlight w:val="none"/>
              </w:rPr>
            </w:pPr>
            <w:r>
              <w:rPr>
                <w:rFonts w:hint="eastAsia" w:ascii="宋体" w:hAnsi="宋体" w:eastAsia="宋体" w:cs="宋体"/>
                <w:b/>
                <w:color w:val="auto"/>
                <w:sz w:val="32"/>
                <w:highlight w:val="none"/>
                <w:u w:val="single"/>
              </w:rPr>
              <w:t>深圳市福田区</w:t>
            </w:r>
            <w:r>
              <w:rPr>
                <w:rFonts w:hint="eastAsia" w:ascii="宋体" w:hAnsi="宋体" w:eastAsia="宋体" w:cs="宋体"/>
                <w:b/>
                <w:color w:val="auto"/>
                <w:highlight w:val="none"/>
                <w:u w:val="single"/>
              </w:rPr>
              <w:t xml:space="preserve">                    </w:t>
            </w:r>
          </w:p>
        </w:tc>
      </w:tr>
    </w:tbl>
    <w:p w14:paraId="1075F775">
      <w:pPr>
        <w:spacing w:line="360" w:lineRule="auto"/>
        <w:jc w:val="both"/>
        <w:textAlignment w:val="top"/>
        <w:rPr>
          <w:rFonts w:ascii="宋体" w:hAnsi="宋体" w:eastAsia="宋体" w:cs="宋体"/>
          <w:color w:val="auto"/>
          <w:kern w:val="24"/>
          <w:highlight w:val="none"/>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0"/>
          <w:cols w:space="720" w:num="1"/>
          <w:docGrid w:type="lines" w:linePitch="312" w:charSpace="0"/>
        </w:sectPr>
      </w:pPr>
    </w:p>
    <w:p w14:paraId="23FE644A">
      <w:pPr>
        <w:spacing w:line="360" w:lineRule="auto"/>
        <w:jc w:val="center"/>
        <w:textAlignment w:val="top"/>
        <w:outlineLvl w:val="0"/>
        <w:rPr>
          <w:rFonts w:ascii="宋体" w:hAnsi="宋体" w:eastAsia="宋体" w:cs="宋体"/>
          <w:b/>
          <w:color w:val="auto"/>
          <w:kern w:val="24"/>
          <w:sz w:val="28"/>
          <w:szCs w:val="28"/>
          <w:highlight w:val="none"/>
        </w:rPr>
      </w:pPr>
      <w:r>
        <w:rPr>
          <w:rFonts w:hint="eastAsia" w:ascii="宋体" w:hAnsi="宋体" w:eastAsia="宋体" w:cs="宋体"/>
          <w:b/>
          <w:color w:val="auto"/>
          <w:kern w:val="24"/>
          <w:sz w:val="28"/>
          <w:szCs w:val="28"/>
          <w:highlight w:val="none"/>
        </w:rPr>
        <w:t>第一部分 采购协议书(专用条款)</w:t>
      </w:r>
    </w:p>
    <w:p w14:paraId="3AAD392A">
      <w:pPr>
        <w:spacing w:line="360" w:lineRule="auto"/>
        <w:textAlignment w:val="top"/>
        <w:rPr>
          <w:rFonts w:ascii="宋体" w:hAnsi="宋体" w:eastAsia="宋体" w:cs="宋体"/>
          <w:color w:val="auto"/>
          <w:kern w:val="24"/>
          <w:highlight w:val="none"/>
        </w:rPr>
      </w:pPr>
    </w:p>
    <w:p w14:paraId="34C2E1E8">
      <w:pPr>
        <w:spacing w:line="360" w:lineRule="auto"/>
        <w:textAlignment w:val="top"/>
        <w:rPr>
          <w:rFonts w:ascii="宋体" w:hAnsi="宋体"/>
          <w:snapToGrid w:val="0"/>
          <w:color w:val="000000"/>
          <w:kern w:val="0"/>
          <w:sz w:val="24"/>
          <w:highlight w:val="none"/>
          <w:u w:val="single"/>
        </w:rPr>
      </w:pPr>
      <w:r>
        <w:rPr>
          <w:rFonts w:hint="eastAsia" w:ascii="宋体" w:hAnsi="宋体" w:eastAsia="宋体" w:cs="宋体"/>
          <w:color w:val="auto"/>
          <w:kern w:val="24"/>
          <w:highlight w:val="none"/>
          <w:lang w:eastAsia="zh-CN"/>
        </w:rPr>
        <w:t>甲方</w:t>
      </w:r>
      <w:r>
        <w:rPr>
          <w:rFonts w:hint="eastAsia" w:ascii="宋体" w:hAnsi="宋体" w:eastAsia="宋体" w:cs="宋体"/>
          <w:color w:val="auto"/>
          <w:kern w:val="24"/>
          <w:highlight w:val="none"/>
        </w:rPr>
        <w:t>(全称)：</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rPr>
        <w:t>河套深港科技创新合作区健康医药公共服务中心（深圳福田）（中山大学附属第八医院(深圳福田）生物实验室）</w:t>
      </w:r>
    </w:p>
    <w:p w14:paraId="27E5A46C">
      <w:pPr>
        <w:pStyle w:val="14"/>
        <w:spacing w:line="360" w:lineRule="auto"/>
        <w:ind w:firstLine="0"/>
        <w:rPr>
          <w:rFonts w:hAnsi="宋体"/>
          <w:sz w:val="24"/>
          <w:highlight w:val="none"/>
        </w:rPr>
      </w:pPr>
      <w:r>
        <w:rPr>
          <w:rFonts w:hint="eastAsia" w:hAnsi="宋体"/>
          <w:sz w:val="24"/>
          <w:highlight w:val="none"/>
        </w:rPr>
        <w:t>法定代表人：</w:t>
      </w:r>
    </w:p>
    <w:p w14:paraId="02788B3D">
      <w:pPr>
        <w:pStyle w:val="96"/>
        <w:spacing w:line="360" w:lineRule="auto"/>
        <w:ind w:firstLine="0" w:firstLineChars="0"/>
        <w:rPr>
          <w:rFonts w:ascii="宋体" w:hAnsi="宋体"/>
          <w:highlight w:val="none"/>
        </w:rPr>
      </w:pPr>
      <w:r>
        <w:rPr>
          <w:rFonts w:hint="eastAsia" w:ascii="宋体" w:hAnsi="宋体"/>
          <w:highlight w:val="none"/>
        </w:rPr>
        <w:t>地址：</w:t>
      </w:r>
    </w:p>
    <w:p w14:paraId="33C6BB26">
      <w:pPr>
        <w:pStyle w:val="11"/>
        <w:spacing w:line="360" w:lineRule="auto"/>
        <w:rPr>
          <w:rFonts w:hint="eastAsia" w:ascii="宋体" w:hAnsi="宋体"/>
          <w:snapToGrid w:val="0"/>
          <w:color w:val="000000"/>
          <w:kern w:val="0"/>
          <w:sz w:val="24"/>
          <w:highlight w:val="none"/>
          <w:u w:val="none"/>
          <w:lang w:val="en-US" w:eastAsia="zh-CN"/>
        </w:rPr>
      </w:pPr>
      <w:r>
        <w:rPr>
          <w:rFonts w:hint="eastAsia" w:ascii="宋体" w:hAnsi="宋体"/>
          <w:snapToGrid w:val="0"/>
          <w:color w:val="000000"/>
          <w:kern w:val="0"/>
          <w:sz w:val="24"/>
          <w:highlight w:val="none"/>
          <w:u w:val="none"/>
          <w:lang w:val="en-US" w:eastAsia="zh-CN"/>
        </w:rPr>
        <w:t>统一社会信用代码：</w:t>
      </w:r>
    </w:p>
    <w:p w14:paraId="01E52CEA">
      <w:pPr>
        <w:spacing w:line="360" w:lineRule="auto"/>
        <w:rPr>
          <w:rFonts w:hint="default"/>
          <w:highlight w:val="none"/>
          <w:u w:val="none"/>
          <w:lang w:val="en-US" w:eastAsia="zh-CN"/>
        </w:rPr>
      </w:pPr>
      <w:r>
        <w:rPr>
          <w:rFonts w:hint="eastAsia" w:ascii="宋体" w:hAnsi="宋体"/>
          <w:snapToGrid w:val="0"/>
          <w:color w:val="000000"/>
          <w:kern w:val="0"/>
          <w:sz w:val="24"/>
          <w:highlight w:val="none"/>
          <w:u w:val="none"/>
          <w:lang w:val="en-US" w:eastAsia="zh-CN"/>
        </w:rPr>
        <w:t>联系人及其联系方式：</w:t>
      </w:r>
    </w:p>
    <w:p w14:paraId="2BC39C4C">
      <w:pPr>
        <w:spacing w:line="360" w:lineRule="auto"/>
        <w:textAlignment w:val="top"/>
        <w:rPr>
          <w:rFonts w:hint="eastAsia" w:ascii="宋体" w:hAnsi="宋体" w:eastAsia="宋体" w:cs="宋体"/>
          <w:color w:val="auto"/>
          <w:kern w:val="24"/>
          <w:highlight w:val="none"/>
          <w:lang w:eastAsia="zh-CN"/>
        </w:rPr>
      </w:pPr>
    </w:p>
    <w:p w14:paraId="544EE8C9">
      <w:pPr>
        <w:spacing w:line="360" w:lineRule="auto"/>
        <w:textAlignment w:val="top"/>
        <w:rPr>
          <w:rFonts w:ascii="宋体" w:hAnsi="宋体"/>
          <w:snapToGrid w:val="0"/>
          <w:color w:val="000000"/>
          <w:kern w:val="0"/>
          <w:sz w:val="24"/>
          <w:highlight w:val="none"/>
          <w:u w:val="single"/>
        </w:rPr>
      </w:pPr>
      <w:r>
        <w:rPr>
          <w:rFonts w:hint="eastAsia" w:ascii="宋体" w:hAnsi="宋体" w:eastAsia="宋体" w:cs="宋体"/>
          <w:color w:val="auto"/>
          <w:kern w:val="24"/>
          <w:highlight w:val="none"/>
          <w:lang w:eastAsia="zh-CN"/>
        </w:rPr>
        <w:t>乙方</w:t>
      </w:r>
      <w:r>
        <w:rPr>
          <w:rFonts w:hint="eastAsia" w:ascii="宋体" w:hAnsi="宋体" w:eastAsia="宋体" w:cs="宋体"/>
          <w:color w:val="auto"/>
          <w:kern w:val="24"/>
          <w:highlight w:val="none"/>
        </w:rPr>
        <w:t>(全称)：</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p w14:paraId="4A0864BC">
      <w:pPr>
        <w:pStyle w:val="14"/>
        <w:spacing w:line="360" w:lineRule="auto"/>
        <w:ind w:firstLine="0"/>
        <w:rPr>
          <w:rFonts w:hAnsi="宋体"/>
          <w:sz w:val="24"/>
          <w:highlight w:val="none"/>
        </w:rPr>
      </w:pPr>
      <w:r>
        <w:rPr>
          <w:rFonts w:hint="eastAsia" w:hAnsi="宋体"/>
          <w:sz w:val="24"/>
          <w:highlight w:val="none"/>
        </w:rPr>
        <w:t>法定代表人：</w:t>
      </w:r>
    </w:p>
    <w:p w14:paraId="6CDAF33F">
      <w:pPr>
        <w:pStyle w:val="96"/>
        <w:spacing w:line="360" w:lineRule="auto"/>
        <w:ind w:firstLine="0" w:firstLineChars="0"/>
        <w:rPr>
          <w:rFonts w:ascii="宋体" w:hAnsi="宋体"/>
          <w:highlight w:val="none"/>
        </w:rPr>
      </w:pPr>
      <w:r>
        <w:rPr>
          <w:rFonts w:hint="eastAsia" w:ascii="宋体" w:hAnsi="宋体"/>
          <w:highlight w:val="none"/>
        </w:rPr>
        <w:t>地址：</w:t>
      </w:r>
    </w:p>
    <w:p w14:paraId="6E93718B">
      <w:pPr>
        <w:pStyle w:val="11"/>
        <w:spacing w:line="360" w:lineRule="auto"/>
        <w:rPr>
          <w:rFonts w:hint="eastAsia" w:ascii="宋体" w:hAnsi="宋体"/>
          <w:snapToGrid w:val="0"/>
          <w:color w:val="000000"/>
          <w:kern w:val="0"/>
          <w:sz w:val="24"/>
          <w:highlight w:val="none"/>
          <w:u w:val="none"/>
          <w:lang w:val="en-US" w:eastAsia="zh-CN"/>
        </w:rPr>
      </w:pPr>
      <w:r>
        <w:rPr>
          <w:rFonts w:hint="eastAsia" w:ascii="宋体" w:hAnsi="宋体"/>
          <w:snapToGrid w:val="0"/>
          <w:color w:val="000000"/>
          <w:kern w:val="0"/>
          <w:sz w:val="24"/>
          <w:highlight w:val="none"/>
          <w:u w:val="none"/>
          <w:lang w:val="en-US" w:eastAsia="zh-CN"/>
        </w:rPr>
        <w:t>统一社会信用代码：</w:t>
      </w:r>
    </w:p>
    <w:p w14:paraId="73B22E04">
      <w:pPr>
        <w:spacing w:line="360" w:lineRule="auto"/>
        <w:rPr>
          <w:rFonts w:hint="default"/>
          <w:highlight w:val="none"/>
          <w:u w:val="none"/>
          <w:lang w:val="en-US" w:eastAsia="zh-CN"/>
        </w:rPr>
      </w:pPr>
      <w:r>
        <w:rPr>
          <w:rFonts w:hint="eastAsia" w:ascii="宋体" w:hAnsi="宋体"/>
          <w:snapToGrid w:val="0"/>
          <w:color w:val="000000"/>
          <w:kern w:val="0"/>
          <w:sz w:val="24"/>
          <w:highlight w:val="none"/>
          <w:u w:val="none"/>
          <w:lang w:val="en-US" w:eastAsia="zh-CN"/>
        </w:rPr>
        <w:t>联系人及其联系方式：</w:t>
      </w:r>
    </w:p>
    <w:p w14:paraId="19D602F0">
      <w:pPr>
        <w:spacing w:line="360" w:lineRule="auto"/>
        <w:rPr>
          <w:rFonts w:hint="default"/>
          <w:highlight w:val="none"/>
          <w:lang w:val="en-US" w:eastAsia="zh-CN"/>
        </w:rPr>
      </w:pPr>
    </w:p>
    <w:p w14:paraId="6FE28A8B">
      <w:pPr>
        <w:spacing w:line="360" w:lineRule="auto"/>
        <w:textAlignment w:val="top"/>
        <w:rPr>
          <w:highlight w:val="none"/>
        </w:rPr>
      </w:pPr>
      <w:r>
        <w:rPr>
          <w:rFonts w:hint="eastAsia" w:ascii="宋体" w:hAnsi="宋体" w:eastAsia="宋体" w:cs="宋体"/>
          <w:color w:val="auto"/>
          <w:kern w:val="24"/>
          <w:highlight w:val="none"/>
          <w:lang w:eastAsia="zh-CN"/>
        </w:rPr>
        <w:t>丙方</w:t>
      </w:r>
      <w:r>
        <w:rPr>
          <w:rFonts w:hint="eastAsia" w:ascii="宋体" w:hAnsi="宋体" w:eastAsia="宋体" w:cs="宋体"/>
          <w:color w:val="auto"/>
          <w:kern w:val="24"/>
          <w:highlight w:val="none"/>
        </w:rPr>
        <w:t>(全称)：</w:t>
      </w:r>
      <w:r>
        <w:rPr>
          <w:rFonts w:hint="eastAsia" w:ascii="宋体" w:hAnsi="宋体" w:eastAsia="宋体" w:cs="宋体"/>
          <w:color w:val="auto"/>
          <w:kern w:val="24"/>
          <w:highlight w:val="none"/>
          <w:u w:val="single"/>
        </w:rPr>
        <w:t>深圳市福田区建筑工务署</w:t>
      </w:r>
    </w:p>
    <w:p w14:paraId="0EEF4B4E">
      <w:pPr>
        <w:pStyle w:val="14"/>
        <w:spacing w:line="360" w:lineRule="auto"/>
        <w:ind w:firstLine="0"/>
        <w:rPr>
          <w:rFonts w:hAnsi="宋体"/>
          <w:sz w:val="24"/>
          <w:highlight w:val="none"/>
        </w:rPr>
      </w:pPr>
      <w:r>
        <w:rPr>
          <w:rFonts w:hint="eastAsia" w:hAnsi="宋体"/>
          <w:sz w:val="24"/>
          <w:highlight w:val="none"/>
        </w:rPr>
        <w:t>法定代表人：</w:t>
      </w:r>
    </w:p>
    <w:p w14:paraId="326D0FEB">
      <w:pPr>
        <w:pStyle w:val="96"/>
        <w:spacing w:line="360" w:lineRule="auto"/>
        <w:ind w:firstLine="0" w:firstLineChars="0"/>
        <w:rPr>
          <w:rFonts w:ascii="宋体" w:hAnsi="宋体"/>
          <w:highlight w:val="none"/>
        </w:rPr>
      </w:pPr>
      <w:r>
        <w:rPr>
          <w:rFonts w:hint="eastAsia" w:ascii="宋体" w:hAnsi="宋体"/>
          <w:highlight w:val="none"/>
        </w:rPr>
        <w:t>地址：</w:t>
      </w:r>
    </w:p>
    <w:p w14:paraId="415F4E8F">
      <w:pPr>
        <w:pStyle w:val="11"/>
        <w:spacing w:line="360" w:lineRule="auto"/>
        <w:rPr>
          <w:rFonts w:hint="eastAsia" w:ascii="宋体" w:hAnsi="宋体"/>
          <w:snapToGrid w:val="0"/>
          <w:color w:val="000000"/>
          <w:kern w:val="0"/>
          <w:sz w:val="24"/>
          <w:highlight w:val="none"/>
          <w:u w:val="none"/>
          <w:lang w:val="en-US" w:eastAsia="zh-CN"/>
        </w:rPr>
      </w:pPr>
      <w:r>
        <w:rPr>
          <w:rFonts w:hint="eastAsia" w:ascii="宋体" w:hAnsi="宋体"/>
          <w:snapToGrid w:val="0"/>
          <w:color w:val="000000"/>
          <w:kern w:val="0"/>
          <w:sz w:val="24"/>
          <w:highlight w:val="none"/>
          <w:u w:val="none"/>
          <w:lang w:val="en-US" w:eastAsia="zh-CN"/>
        </w:rPr>
        <w:t>统一社会信用代码：</w:t>
      </w:r>
    </w:p>
    <w:p w14:paraId="1B12894A">
      <w:pPr>
        <w:spacing w:line="360" w:lineRule="auto"/>
        <w:rPr>
          <w:rFonts w:hint="default"/>
          <w:highlight w:val="none"/>
          <w:u w:val="none"/>
          <w:lang w:val="en-US" w:eastAsia="zh-CN"/>
        </w:rPr>
      </w:pPr>
      <w:r>
        <w:rPr>
          <w:rFonts w:hint="eastAsia" w:ascii="宋体" w:hAnsi="宋体"/>
          <w:snapToGrid w:val="0"/>
          <w:color w:val="000000"/>
          <w:kern w:val="0"/>
          <w:sz w:val="24"/>
          <w:highlight w:val="none"/>
          <w:u w:val="none"/>
          <w:lang w:val="en-US" w:eastAsia="zh-CN"/>
        </w:rPr>
        <w:t>联系人及其联系方式：</w:t>
      </w:r>
    </w:p>
    <w:p w14:paraId="251D6B4B">
      <w:pPr>
        <w:pStyle w:val="11"/>
        <w:spacing w:line="360" w:lineRule="auto"/>
        <w:rPr>
          <w:highlight w:val="none"/>
        </w:rPr>
      </w:pPr>
    </w:p>
    <w:p w14:paraId="2D883F3A">
      <w:pPr>
        <w:spacing w:line="360" w:lineRule="auto"/>
        <w:textAlignment w:val="top"/>
        <w:rPr>
          <w:rFonts w:ascii="宋体" w:hAnsi="宋体" w:eastAsia="宋体" w:cs="宋体"/>
          <w:color w:val="auto"/>
          <w:kern w:val="24"/>
          <w:highlight w:val="none"/>
        </w:rPr>
      </w:pPr>
    </w:p>
    <w:p w14:paraId="6DA938FA">
      <w:pPr>
        <w:spacing w:line="360" w:lineRule="auto"/>
        <w:ind w:firstLine="470" w:firstLineChars="196"/>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依照《中华人民共和国民法典》及其他相关法律、法规的规定，遵循平等、自愿和诚实信用的原则，</w:t>
      </w:r>
      <w:r>
        <w:rPr>
          <w:rFonts w:hint="eastAsia" w:ascii="宋体" w:hAnsi="宋体" w:eastAsia="宋体" w:cs="宋体"/>
          <w:color w:val="auto"/>
          <w:kern w:val="24"/>
          <w:szCs w:val="21"/>
          <w:highlight w:val="none"/>
          <w:lang w:val="en-US" w:eastAsia="zh-CN"/>
        </w:rPr>
        <w:t>甲乙丙</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w:t>
      </w:r>
      <w:r>
        <w:rPr>
          <w:rFonts w:hint="eastAsia" w:ascii="宋体" w:hAnsi="宋体" w:eastAsia="宋体" w:cs="宋体"/>
          <w:color w:val="auto"/>
          <w:kern w:val="24"/>
          <w:szCs w:val="24"/>
          <w:highlight w:val="none"/>
        </w:rPr>
        <w:t>就</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u w:val="single"/>
        </w:rPr>
        <w:t>项目（项目</w:t>
      </w:r>
      <w:r>
        <w:rPr>
          <w:rFonts w:hint="eastAsia" w:ascii="宋体" w:hAnsi="宋体" w:eastAsia="宋体" w:cs="宋体"/>
          <w:color w:val="auto"/>
          <w:szCs w:val="24"/>
          <w:highlight w:val="none"/>
          <w:u w:val="single"/>
          <w:lang w:val="en-US" w:eastAsia="zh-CN"/>
        </w:rPr>
        <w:t>编</w:t>
      </w:r>
      <w:r>
        <w:rPr>
          <w:rFonts w:hint="eastAsia" w:ascii="宋体" w:hAnsi="宋体" w:eastAsia="宋体" w:cs="宋体"/>
          <w:color w:val="auto"/>
          <w:szCs w:val="24"/>
          <w:highlight w:val="none"/>
          <w:u w:val="single"/>
        </w:rPr>
        <w:t>号：</w:t>
      </w:r>
      <w:r>
        <w:rPr>
          <w:rFonts w:hint="eastAsia" w:ascii="宋体" w:hAnsi="宋体" w:eastAsia="宋体" w:cs="宋体"/>
          <w:color w:val="auto"/>
          <w:szCs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u w:val="single"/>
        </w:rPr>
        <w:t>）</w:t>
      </w:r>
      <w:r>
        <w:rPr>
          <w:rFonts w:hint="eastAsia" w:ascii="宋体" w:hAnsi="宋体" w:eastAsia="宋体" w:cs="宋体"/>
          <w:color w:val="auto"/>
          <w:kern w:val="24"/>
          <w:szCs w:val="21"/>
          <w:highlight w:val="none"/>
        </w:rPr>
        <w:t>供货采购事项协商一致，订立本合同。</w:t>
      </w:r>
    </w:p>
    <w:p w14:paraId="31B925D6">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设备清单</w:t>
      </w:r>
    </w:p>
    <w:p w14:paraId="46832EC4">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详见</w:t>
      </w:r>
      <w:r>
        <w:rPr>
          <w:rFonts w:hint="eastAsia" w:ascii="宋体" w:hAnsi="宋体" w:eastAsia="宋体" w:cs="宋体"/>
          <w:color w:val="auto"/>
          <w:kern w:val="24"/>
          <w:szCs w:val="21"/>
          <w:highlight w:val="none"/>
          <w:lang w:eastAsia="zh-CN"/>
        </w:rPr>
        <w:t>：</w:t>
      </w:r>
      <w:r>
        <w:rPr>
          <w:rFonts w:hint="eastAsia" w:ascii="宋体" w:hAnsi="宋体" w:eastAsia="宋体" w:cs="宋体"/>
          <w:color w:val="auto"/>
          <w:kern w:val="24"/>
          <w:szCs w:val="21"/>
          <w:highlight w:val="none"/>
        </w:rPr>
        <w:t>附件一《</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u w:val="none"/>
        </w:rPr>
        <w:t>设备</w:t>
      </w:r>
      <w:r>
        <w:rPr>
          <w:rFonts w:hint="eastAsia" w:ascii="宋体" w:hAnsi="宋体" w:eastAsia="宋体" w:cs="宋体"/>
          <w:color w:val="auto"/>
          <w:kern w:val="24"/>
          <w:szCs w:val="21"/>
          <w:highlight w:val="none"/>
        </w:rPr>
        <w:t>清单》</w:t>
      </w:r>
    </w:p>
    <w:p w14:paraId="2834ED6E">
      <w:pPr>
        <w:spacing w:line="360" w:lineRule="auto"/>
        <w:ind w:firstLine="1200" w:firstLineChars="500"/>
        <w:jc w:val="both"/>
        <w:textAlignment w:val="top"/>
        <w:rPr>
          <w:rFonts w:ascii="宋体" w:hAnsi="宋体" w:eastAsia="宋体" w:cs="宋体"/>
          <w:b/>
          <w:color w:val="auto"/>
          <w:kern w:val="24"/>
          <w:szCs w:val="21"/>
          <w:highlight w:val="none"/>
        </w:rPr>
      </w:pPr>
      <w:r>
        <w:rPr>
          <w:rFonts w:hint="eastAsia"/>
          <w:color w:val="auto"/>
          <w:highlight w:val="none"/>
        </w:rPr>
        <w:t>附件二《</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color w:val="auto"/>
          <w:highlight w:val="none"/>
        </w:rPr>
        <w:t>设备规格、型号、参数一览表》</w:t>
      </w:r>
    </w:p>
    <w:p w14:paraId="175EDA95">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交货地点</w:t>
      </w:r>
    </w:p>
    <w:p w14:paraId="32E0BE6D">
      <w:pPr>
        <w:numPr>
          <w:ilvl w:val="0"/>
          <w:numId w:val="0"/>
        </w:numPr>
        <w:spacing w:line="360" w:lineRule="auto"/>
        <w:ind w:left="600" w:leftChars="0" w:hanging="600" w:firstLineChars="0"/>
        <w:jc w:val="both"/>
        <w:textAlignment w:val="top"/>
        <w:rPr>
          <w:rFonts w:ascii="宋体" w:hAnsi="宋体" w:eastAsia="宋体" w:cs="宋体"/>
          <w:color w:val="auto"/>
          <w:kern w:val="24"/>
          <w:szCs w:val="21"/>
          <w:highlight w:val="none"/>
        </w:rPr>
      </w:pPr>
      <w:r>
        <w:rPr>
          <w:rFonts w:hint="eastAsia" w:ascii="宋体" w:hAnsi="宋体" w:eastAsia="宋体" w:cs="宋体"/>
          <w:b w:val="0"/>
          <w:color w:val="auto"/>
          <w:kern w:val="24"/>
          <w:sz w:val="24"/>
          <w:szCs w:val="21"/>
          <w:highlight w:val="none"/>
          <w:lang w:val="en-US" w:eastAsia="zh-CN" w:bidi="ar-SA"/>
        </w:rPr>
        <w:t>2.1运输及卸车搬至甲方指定地点。运输费用及风险由乙方承担，设备的毁损灭失风险自乙方送至指定地点并交付给甲方且双方签署确认书之日起发生转移，在此之前由乙方承担。 但需安装调试的设备，其毁损、灭失风险以甲方最终验收合格时转移；到货签收、开箱记录或中间验收不视为最终验收。</w:t>
      </w:r>
      <w:r>
        <w:rPr>
          <w:rFonts w:hint="eastAsia" w:ascii="宋体" w:hAnsi="宋体" w:eastAsia="宋体" w:cs="宋体"/>
          <w:color w:val="auto"/>
          <w:kern w:val="24"/>
          <w:szCs w:val="21"/>
          <w:highlight w:val="none"/>
          <w:u w:val="none"/>
        </w:rPr>
        <w:t xml:space="preserve">    </w:t>
      </w:r>
      <w:r>
        <w:rPr>
          <w:rFonts w:hint="eastAsia" w:ascii="宋体" w:hAnsi="宋体" w:eastAsia="宋体" w:cs="宋体"/>
          <w:color w:val="auto"/>
          <w:kern w:val="24"/>
          <w:szCs w:val="21"/>
          <w:highlight w:val="none"/>
          <w:u w:val="none"/>
          <w:lang w:val="en-US" w:eastAsia="zh-CN"/>
        </w:rPr>
        <w:t xml:space="preserve">                            </w:t>
      </w:r>
    </w:p>
    <w:p w14:paraId="058558F8">
      <w:pPr>
        <w:numPr>
          <w:ilvl w:val="0"/>
          <w:numId w:val="0"/>
        </w:numPr>
        <w:spacing w:line="360" w:lineRule="auto"/>
        <w:ind w:left="600" w:leftChars="0" w:hanging="600" w:firstLineChars="0"/>
        <w:jc w:val="both"/>
        <w:textAlignment w:val="top"/>
        <w:rPr>
          <w:rFonts w:ascii="宋体" w:hAnsi="宋体" w:eastAsia="宋体" w:cs="宋体"/>
          <w:color w:val="auto"/>
          <w:kern w:val="24"/>
          <w:szCs w:val="21"/>
          <w:highlight w:val="none"/>
        </w:rPr>
      </w:pPr>
      <w:r>
        <w:rPr>
          <w:rFonts w:hint="eastAsia" w:ascii="宋体" w:hAnsi="宋体" w:eastAsia="宋体" w:cs="宋体"/>
          <w:b w:val="0"/>
          <w:color w:val="auto"/>
          <w:kern w:val="24"/>
          <w:sz w:val="24"/>
          <w:szCs w:val="21"/>
          <w:highlight w:val="none"/>
          <w:lang w:val="en-US" w:eastAsia="zh-CN" w:bidi="ar-SA"/>
        </w:rPr>
        <w:t>2.2设备的包装均应有良好的防湿、防锈、防潮、防雨、防腐及防碰撞的措施，符合国家标准及产品标准关于包装的要求。凡由于包装问题造成的损失和由此产生的费用均由乙方承担。</w:t>
      </w:r>
    </w:p>
    <w:p w14:paraId="3ED27F71">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交货方式及时间</w:t>
      </w:r>
    </w:p>
    <w:p w14:paraId="6CD58BC3">
      <w:pPr>
        <w:numPr>
          <w:ilvl w:val="0"/>
          <w:numId w:val="0"/>
        </w:numPr>
        <w:spacing w:line="360" w:lineRule="auto"/>
        <w:ind w:left="600" w:leftChars="0" w:hanging="600" w:firstLineChars="0"/>
        <w:jc w:val="both"/>
        <w:textAlignment w:val="top"/>
        <w:rPr>
          <w:rFonts w:ascii="宋体" w:hAnsi="宋体" w:eastAsia="宋体" w:cs="宋体"/>
          <w:color w:val="auto"/>
          <w:kern w:val="24"/>
          <w:szCs w:val="21"/>
          <w:highlight w:val="none"/>
        </w:rPr>
      </w:pPr>
      <w:r>
        <w:rPr>
          <w:rFonts w:hint="eastAsia" w:ascii="宋体" w:hAnsi="宋体" w:eastAsia="宋体" w:cs="宋体"/>
          <w:b w:val="0"/>
          <w:color w:val="auto"/>
          <w:kern w:val="24"/>
          <w:sz w:val="24"/>
          <w:szCs w:val="21"/>
          <w:highlight w:val="none"/>
          <w:lang w:val="en-US" w:eastAsia="zh-CN" w:bidi="ar-SA"/>
        </w:rPr>
        <w:t>3.3</w:t>
      </w:r>
      <w:r>
        <w:rPr>
          <w:rFonts w:hint="eastAsia"/>
          <w:highlight w:val="none"/>
        </w:rPr>
        <w:t>交货时间:</w:t>
      </w:r>
      <w:r>
        <w:rPr>
          <w:rFonts w:hint="eastAsia"/>
          <w:highlight w:val="none"/>
          <w:lang w:val="en-US" w:eastAsia="zh-CN"/>
        </w:rPr>
        <w:t xml:space="preserve"> </w:t>
      </w:r>
      <w:r>
        <w:rPr>
          <w:rFonts w:hint="eastAsia" w:ascii="宋体" w:hAnsi="宋体" w:eastAsia="宋体" w:cs="宋体"/>
          <w:color w:val="auto"/>
          <w:kern w:val="24"/>
          <w:szCs w:val="21"/>
          <w:highlight w:val="none"/>
          <w:u w:val="none"/>
        </w:rPr>
        <w:t xml:space="preserve"> </w:t>
      </w:r>
      <w:r>
        <w:rPr>
          <w:rFonts w:hint="eastAsia"/>
          <w:highlight w:val="none"/>
        </w:rPr>
        <w:t>合同签订并接</w:t>
      </w:r>
      <w:r>
        <w:rPr>
          <w:rFonts w:hint="eastAsia"/>
          <w:highlight w:val="none"/>
          <w:lang w:val="en-US" w:eastAsia="zh-CN"/>
        </w:rPr>
        <w:t>甲</w:t>
      </w:r>
      <w:r>
        <w:rPr>
          <w:rFonts w:hint="eastAsia"/>
          <w:highlight w:val="none"/>
        </w:rPr>
        <w:t>方通知后</w:t>
      </w:r>
      <w:r>
        <w:rPr>
          <w:rFonts w:hint="eastAsia"/>
          <w:highlight w:val="none"/>
          <w:u w:val="single"/>
        </w:rPr>
        <w:t xml:space="preserve"> </w:t>
      </w:r>
      <w:r>
        <w:rPr>
          <w:rFonts w:hint="eastAsia"/>
          <w:highlight w:val="none"/>
          <w:u w:val="single"/>
          <w:lang w:val="en-US" w:eastAsia="zh-CN"/>
        </w:rPr>
        <w:t xml:space="preserve">  </w:t>
      </w:r>
      <w:r>
        <w:rPr>
          <w:rFonts w:hint="eastAsia"/>
          <w:highlight w:val="none"/>
        </w:rPr>
        <w:t>个日历日内</w:t>
      </w:r>
      <w:r>
        <w:rPr>
          <w:rFonts w:hint="eastAsia"/>
          <w:highlight w:val="none"/>
          <w:lang w:val="en-US" w:eastAsia="zh-CN"/>
        </w:rPr>
        <w:t>交货</w:t>
      </w:r>
      <w:r>
        <w:rPr>
          <w:rFonts w:hint="eastAsia"/>
          <w:highlight w:val="none"/>
        </w:rPr>
        <w:t>，货到</w:t>
      </w:r>
      <w:r>
        <w:rPr>
          <w:rFonts w:hint="eastAsia"/>
          <w:highlight w:val="none"/>
          <w:lang w:val="en-US" w:eastAsia="zh-CN"/>
        </w:rPr>
        <w:t>30</w:t>
      </w:r>
      <w:r>
        <w:rPr>
          <w:rFonts w:hint="eastAsia"/>
          <w:highlight w:val="none"/>
        </w:rPr>
        <w:t>个日历日内完成安装调试。</w:t>
      </w:r>
      <w:r>
        <w:rPr>
          <w:rFonts w:hint="eastAsia" w:ascii="宋体" w:hAnsi="宋体" w:eastAsia="宋体" w:cs="宋体"/>
          <w:color w:val="auto"/>
          <w:kern w:val="24"/>
          <w:szCs w:val="21"/>
          <w:highlight w:val="none"/>
          <w:u w:val="none"/>
        </w:rPr>
        <w:t xml:space="preserve">     </w:t>
      </w:r>
      <w:r>
        <w:rPr>
          <w:rFonts w:hint="eastAsia" w:ascii="宋体" w:hAnsi="宋体" w:eastAsia="宋体" w:cs="宋体"/>
          <w:color w:val="auto"/>
          <w:kern w:val="24"/>
          <w:szCs w:val="21"/>
          <w:highlight w:val="none"/>
          <w:u w:val="none"/>
          <w:lang w:val="en-US" w:eastAsia="zh-CN"/>
        </w:rPr>
        <w:t xml:space="preserve">                            </w:t>
      </w:r>
    </w:p>
    <w:p w14:paraId="513A75CF">
      <w:pPr>
        <w:numPr>
          <w:ilvl w:val="0"/>
          <w:numId w:val="0"/>
        </w:numPr>
        <w:spacing w:line="360" w:lineRule="auto"/>
        <w:ind w:left="600" w:leftChars="0" w:hanging="600" w:firstLineChars="0"/>
        <w:jc w:val="both"/>
        <w:textAlignment w:val="top"/>
        <w:rPr>
          <w:rFonts w:ascii="宋体" w:hAnsi="宋体" w:eastAsia="宋体" w:cs="宋体"/>
          <w:color w:val="auto"/>
          <w:kern w:val="24"/>
          <w:szCs w:val="21"/>
          <w:highlight w:val="none"/>
        </w:rPr>
      </w:pPr>
      <w:r>
        <w:rPr>
          <w:rFonts w:hint="eastAsia" w:ascii="宋体" w:hAnsi="宋体" w:eastAsia="宋体" w:cs="宋体"/>
          <w:b w:val="0"/>
          <w:color w:val="auto"/>
          <w:kern w:val="24"/>
          <w:sz w:val="24"/>
          <w:szCs w:val="21"/>
          <w:highlight w:val="none"/>
          <w:lang w:val="en-US" w:eastAsia="zh-CN" w:bidi="ar-SA"/>
        </w:rPr>
        <w:t>3.4</w:t>
      </w:r>
      <w:r>
        <w:rPr>
          <w:rFonts w:hint="eastAsia"/>
          <w:highlight w:val="none"/>
        </w:rPr>
        <w:t>交货方式：</w:t>
      </w:r>
      <w:r>
        <w:rPr>
          <w:rFonts w:hint="eastAsia"/>
          <w:highlight w:val="none"/>
          <w:lang w:eastAsia="zh-CN"/>
        </w:rPr>
        <w:t>乙方</w:t>
      </w:r>
      <w:r>
        <w:rPr>
          <w:rFonts w:hint="eastAsia"/>
          <w:highlight w:val="none"/>
        </w:rPr>
        <w:t>送货上门并负责安装，</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u w:val="single"/>
          <w:lang w:val="en-US" w:eastAsia="zh-CN"/>
        </w:rPr>
        <w:t>设备运送、安装调试以及计量检测所等产生的费用</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highlight w:val="none"/>
        </w:rPr>
        <w:t>由</w:t>
      </w:r>
      <w:r>
        <w:rPr>
          <w:rFonts w:hint="eastAsia"/>
          <w:highlight w:val="none"/>
          <w:lang w:eastAsia="zh-CN"/>
        </w:rPr>
        <w:t>乙方</w:t>
      </w:r>
      <w:r>
        <w:rPr>
          <w:rFonts w:hint="eastAsia" w:ascii="宋体" w:hAnsi="宋体" w:eastAsia="宋体" w:cs="宋体"/>
          <w:color w:val="auto"/>
          <w:kern w:val="24"/>
          <w:szCs w:val="21"/>
          <w:highlight w:val="none"/>
          <w:u w:val="single"/>
          <w:lang w:val="en-US" w:eastAsia="zh-CN"/>
        </w:rPr>
        <w:t>负责</w:t>
      </w:r>
      <w:r>
        <w:rPr>
          <w:rFonts w:hint="eastAsia"/>
          <w:highlight w:val="none"/>
        </w:rPr>
        <w:t>。</w:t>
      </w:r>
    </w:p>
    <w:p w14:paraId="742CF446">
      <w:pPr>
        <w:numPr>
          <w:ilvl w:val="0"/>
          <w:numId w:val="0"/>
        </w:numPr>
        <w:spacing w:line="360" w:lineRule="auto"/>
        <w:ind w:left="0" w:leftChars="0" w:firstLine="0" w:firstLineChars="0"/>
        <w:jc w:val="both"/>
        <w:textAlignment w:val="top"/>
        <w:rPr>
          <w:rFonts w:ascii="宋体" w:hAnsi="宋体" w:eastAsia="宋体" w:cs="宋体"/>
          <w:color w:val="auto"/>
          <w:kern w:val="24"/>
          <w:szCs w:val="21"/>
          <w:highlight w:val="none"/>
        </w:rPr>
      </w:pPr>
      <w:r>
        <w:rPr>
          <w:rFonts w:hint="eastAsia" w:ascii="宋体" w:hAnsi="宋体" w:eastAsia="宋体" w:cs="宋体"/>
          <w:b w:val="0"/>
          <w:color w:val="auto"/>
          <w:kern w:val="24"/>
          <w:sz w:val="24"/>
          <w:szCs w:val="21"/>
          <w:highlight w:val="none"/>
          <w:lang w:val="en-US" w:eastAsia="zh-CN" w:bidi="ar-SA"/>
        </w:rPr>
        <w:t>3.5</w:t>
      </w:r>
      <w:r>
        <w:rPr>
          <w:rFonts w:hint="eastAsia" w:ascii="宋体" w:hAnsi="宋体" w:eastAsia="宋体" w:cs="宋体"/>
          <w:color w:val="auto"/>
          <w:kern w:val="24"/>
          <w:szCs w:val="21"/>
          <w:highlight w:val="none"/>
        </w:rPr>
        <w:t>有分批进场时间要求的请另作说明：</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w:t>
      </w:r>
    </w:p>
    <w:p w14:paraId="5452268E">
      <w:pPr>
        <w:numPr>
          <w:ilvl w:val="0"/>
          <w:numId w:val="0"/>
        </w:numPr>
        <w:spacing w:line="360" w:lineRule="auto"/>
        <w:ind w:left="0" w:leftChars="0" w:firstLine="0" w:firstLineChars="0"/>
        <w:jc w:val="both"/>
        <w:textAlignment w:val="top"/>
        <w:rPr>
          <w:rFonts w:ascii="宋体" w:hAnsi="宋体" w:eastAsia="宋体" w:cs="宋体"/>
          <w:color w:val="auto"/>
          <w:kern w:val="24"/>
          <w:szCs w:val="21"/>
          <w:highlight w:val="none"/>
        </w:rPr>
      </w:pPr>
      <w:r>
        <w:rPr>
          <w:rFonts w:hint="eastAsia" w:ascii="宋体" w:hAnsi="宋体" w:eastAsia="宋体" w:cs="宋体"/>
          <w:b w:val="0"/>
          <w:color w:val="auto"/>
          <w:kern w:val="24"/>
          <w:sz w:val="24"/>
          <w:szCs w:val="21"/>
          <w:highlight w:val="none"/>
          <w:lang w:val="en-US" w:eastAsia="zh-CN" w:bidi="ar-SA"/>
        </w:rPr>
        <w:t>3.6</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方约定的其它事项：</w:t>
      </w:r>
    </w:p>
    <w:p w14:paraId="580DBBA8">
      <w:pPr>
        <w:numPr>
          <w:ilvl w:val="0"/>
          <w:numId w:val="0"/>
        </w:numPr>
        <w:spacing w:line="360" w:lineRule="auto"/>
        <w:ind w:leftChars="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3.4.1</w:t>
      </w:r>
      <w:r>
        <w:rPr>
          <w:rFonts w:hint="eastAsia" w:ascii="宋体" w:hAnsi="宋体" w:eastAsia="宋体" w:cs="宋体"/>
          <w:color w:val="auto"/>
          <w:kern w:val="24"/>
          <w:szCs w:val="21"/>
          <w:highlight w:val="none"/>
        </w:rPr>
        <w:t>货物安装需施工的，</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应在合同签订前提供设备安装施工图纸，</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rPr>
        <w:t>与</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共同签字确定安装场地施工方案，确保安装场地（包括消防、环保等）适合设备安装，如因</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延迟提供材料或未及时签字确认方案等致设备无法如期安装所造成的损失由供货方承担。安装前</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通知</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rPr>
        <w:t>共同到场开箱，并填写开箱记录。</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应提供与货物相符且完整的资料，提供包括但不限于如下资料：①产品安装、操作和维修手册②中文版使用说明书③出厂合格证（进口产品提供进口报关单及检疫证明）④到货清单。</w:t>
      </w:r>
    </w:p>
    <w:p w14:paraId="23415DBD">
      <w:pPr>
        <w:numPr>
          <w:ilvl w:val="0"/>
          <w:numId w:val="0"/>
        </w:numPr>
        <w:spacing w:line="360" w:lineRule="auto"/>
        <w:ind w:leftChars="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3.4.2乙方</w:t>
      </w:r>
      <w:r>
        <w:rPr>
          <w:rFonts w:hint="eastAsia" w:ascii="宋体" w:hAnsi="宋体" w:eastAsia="宋体" w:cs="宋体"/>
          <w:color w:val="auto"/>
          <w:kern w:val="24"/>
          <w:szCs w:val="21"/>
          <w:highlight w:val="none"/>
        </w:rPr>
        <w:t>安装时须对安装场地及场地内的其他设备、设施有良好保护措施。如因</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原因造成使用方场地或场地内其他设备、设施损坏，由</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承担赔偿责任。如安装地点不适合应当书面通知使用方调换合适的地点，设备运送、安装调试以及计量检测所产生的费用由</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负责。</w:t>
      </w:r>
    </w:p>
    <w:p w14:paraId="062EBD97">
      <w:pPr>
        <w:numPr>
          <w:ilvl w:val="0"/>
          <w:numId w:val="0"/>
        </w:numPr>
        <w:spacing w:line="360" w:lineRule="auto"/>
        <w:ind w:leftChars="0"/>
        <w:jc w:val="both"/>
        <w:textAlignment w:val="top"/>
        <w:rPr>
          <w:rFonts w:ascii="宋体" w:hAnsi="宋体" w:eastAsia="宋体" w:cs="宋体"/>
          <w:color w:val="auto"/>
          <w:kern w:val="24"/>
          <w:szCs w:val="21"/>
          <w:highlight w:val="none"/>
        </w:rPr>
      </w:pP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w:t>
      </w:r>
    </w:p>
    <w:p w14:paraId="06E679B8">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质量标准</w:t>
      </w:r>
    </w:p>
    <w:p w14:paraId="769D713C">
      <w:pPr>
        <w:numPr>
          <w:ilvl w:val="0"/>
          <w:numId w:val="3"/>
        </w:numPr>
        <w:spacing w:line="360" w:lineRule="auto"/>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设备质量标准：</w:t>
      </w:r>
      <w:r>
        <w:rPr>
          <w:rFonts w:hint="eastAsia" w:ascii="宋体" w:hAnsi="宋体" w:eastAsia="宋体" w:cs="宋体"/>
          <w:color w:val="auto"/>
          <w:kern w:val="24"/>
          <w:szCs w:val="21"/>
          <w:highlight w:val="none"/>
          <w:u w:val="single"/>
        </w:rPr>
        <w:t xml:space="preserve"> </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企业标准</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hint="eastAsia" w:ascii="宋体" w:hAnsi="宋体" w:eastAsia="宋体" w:cs="宋体"/>
          <w:color w:val="auto"/>
          <w:kern w:val="24"/>
          <w:szCs w:val="21"/>
          <w:highlight w:val="none"/>
        </w:rPr>
        <w:t>及国家、地方、行业其它有关标准。</w:t>
      </w:r>
    </w:p>
    <w:p w14:paraId="239D1909">
      <w:pPr>
        <w:numPr>
          <w:ilvl w:val="0"/>
          <w:numId w:val="3"/>
        </w:numPr>
        <w:spacing w:line="360" w:lineRule="auto"/>
        <w:ind w:left="0" w:firstLine="0"/>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设备质量要求：</w:t>
      </w:r>
    </w:p>
    <w:p w14:paraId="24E99941">
      <w:pPr>
        <w:tabs>
          <w:tab w:val="left" w:pos="600"/>
        </w:tabs>
        <w:spacing w:line="360" w:lineRule="auto"/>
        <w:jc w:val="both"/>
        <w:textAlignment w:val="top"/>
        <w:rPr>
          <w:rFonts w:ascii="宋体" w:hAnsi="宋体"/>
          <w:szCs w:val="21"/>
          <w:highlight w:val="none"/>
        </w:rPr>
      </w:pPr>
      <w:r>
        <w:rPr>
          <w:rFonts w:hint="eastAsia" w:ascii="宋体" w:hAnsi="宋体"/>
          <w:szCs w:val="21"/>
          <w:highlight w:val="none"/>
        </w:rPr>
        <w:t>4.2.1设备注册证/备案证名、产地品牌、规格型号应与在行政部门登记的证件描述一致并在有效期内。消毒设备在注册证号栏中分别填入备案证号、卫生备案证号等。合同设备如属《中华人民共和国进口计量器具型式审查目录》或《中华人民共和国强制检定的工作计量器具目录》内的，</w:t>
      </w:r>
      <w:r>
        <w:rPr>
          <w:rFonts w:hint="eastAsia" w:ascii="宋体" w:hAnsi="宋体"/>
          <w:szCs w:val="21"/>
          <w:highlight w:val="none"/>
          <w:lang w:val="en-US" w:eastAsia="zh-CN"/>
        </w:rPr>
        <w:t>乙方</w:t>
      </w:r>
      <w:r>
        <w:rPr>
          <w:rFonts w:hint="eastAsia" w:ascii="宋体" w:hAnsi="宋体"/>
          <w:szCs w:val="21"/>
          <w:highlight w:val="none"/>
        </w:rPr>
        <w:t>需提供计量合格证，所有上述证照办理的费用均包含在合同总价内。如国家规定的强检设备，由</w:t>
      </w:r>
      <w:r>
        <w:rPr>
          <w:rFonts w:hint="eastAsia" w:ascii="宋体" w:hAnsi="宋体"/>
          <w:szCs w:val="21"/>
          <w:highlight w:val="none"/>
          <w:lang w:val="en-US" w:eastAsia="zh-CN"/>
        </w:rPr>
        <w:t>乙方</w:t>
      </w:r>
      <w:r>
        <w:rPr>
          <w:rFonts w:hint="eastAsia" w:ascii="宋体" w:hAnsi="宋体"/>
          <w:szCs w:val="21"/>
          <w:highlight w:val="none"/>
        </w:rPr>
        <w:t>负责完成首次计量强制检定，验收前</w:t>
      </w:r>
      <w:r>
        <w:rPr>
          <w:rFonts w:hint="eastAsia" w:ascii="宋体" w:hAnsi="宋体"/>
          <w:szCs w:val="21"/>
          <w:highlight w:val="none"/>
          <w:lang w:val="en-US" w:eastAsia="zh-CN"/>
        </w:rPr>
        <w:t>乙方</w:t>
      </w:r>
      <w:r>
        <w:rPr>
          <w:rFonts w:hint="eastAsia" w:ascii="宋体" w:hAnsi="宋体"/>
          <w:szCs w:val="21"/>
          <w:highlight w:val="none"/>
        </w:rPr>
        <w:t>必须附上计量检定合格报告。</w:t>
      </w:r>
    </w:p>
    <w:p w14:paraId="065A103B">
      <w:pPr>
        <w:pStyle w:val="96"/>
        <w:tabs>
          <w:tab w:val="left" w:pos="600"/>
        </w:tabs>
        <w:spacing w:line="360" w:lineRule="auto"/>
        <w:ind w:firstLine="0" w:firstLineChars="0"/>
        <w:jc w:val="both"/>
        <w:rPr>
          <w:rFonts w:hint="eastAsia" w:ascii="宋体" w:hAnsi="宋体" w:eastAsia="宋体-PUA" w:cs="Webdings"/>
          <w:kern w:val="0"/>
          <w:sz w:val="24"/>
          <w:szCs w:val="21"/>
          <w:highlight w:val="none"/>
          <w:lang w:val="en-US" w:eastAsia="zh-CN" w:bidi="ar-SA"/>
        </w:rPr>
      </w:pPr>
      <w:r>
        <w:rPr>
          <w:rFonts w:hint="eastAsia" w:ascii="宋体" w:hAnsi="宋体" w:eastAsia="宋体-PUA" w:cs="Webdings"/>
          <w:kern w:val="0"/>
          <w:sz w:val="24"/>
          <w:szCs w:val="21"/>
          <w:highlight w:val="none"/>
          <w:lang w:val="en-US" w:eastAsia="zh-CN" w:bidi="ar-SA"/>
        </w:rPr>
        <w:t>4.2.2进口设备手续（进口设备才使用该条款）。</w:t>
      </w:r>
    </w:p>
    <w:p w14:paraId="35D66483">
      <w:pPr>
        <w:pStyle w:val="96"/>
        <w:tabs>
          <w:tab w:val="left" w:pos="600"/>
        </w:tabs>
        <w:spacing w:line="360" w:lineRule="auto"/>
        <w:ind w:firstLineChars="0"/>
        <w:jc w:val="both"/>
        <w:rPr>
          <w:rFonts w:hint="eastAsia" w:ascii="宋体" w:hAnsi="宋体" w:eastAsia="宋体-PUA" w:cs="Webdings"/>
          <w:kern w:val="0"/>
          <w:sz w:val="24"/>
          <w:szCs w:val="21"/>
          <w:highlight w:val="none"/>
          <w:lang w:val="en-US" w:eastAsia="zh-CN" w:bidi="ar-SA"/>
        </w:rPr>
      </w:pPr>
      <w:r>
        <w:rPr>
          <w:rFonts w:hint="eastAsia" w:ascii="宋体" w:hAnsi="宋体" w:eastAsia="宋体-PUA" w:cs="Webdings"/>
          <w:kern w:val="0"/>
          <w:sz w:val="24"/>
          <w:szCs w:val="21"/>
          <w:highlight w:val="none"/>
          <w:lang w:val="en-US" w:eastAsia="zh-CN" w:bidi="ar-SA"/>
        </w:rPr>
        <w:t>乙方提供的进口设备必须具有合法的进口手续，进口注册/备案证书、《入境货物检验检疫证明》等中国海关商检合格证明，并负责办理设备进口报关等手续。向甲方提供原产地证明、商检部门的检验证明及其他合法证明，进口医疗设备还须取得国家进口医疗设备注册证。</w:t>
      </w:r>
    </w:p>
    <w:p w14:paraId="4ABBD292">
      <w:pPr>
        <w:numPr>
          <w:ilvl w:val="0"/>
          <w:numId w:val="3"/>
        </w:numPr>
        <w:spacing w:line="360" w:lineRule="auto"/>
        <w:ind w:left="0" w:firstLine="0"/>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所购设备进场前必须提供符合本协议书中第4.2条款要求的证明材料(产品等级证书或权威部门鉴定报告的原件)，与已确定的“封样”特征、性能相符。</w:t>
      </w:r>
    </w:p>
    <w:p w14:paraId="11AD56B0">
      <w:pPr>
        <w:numPr>
          <w:ilvl w:val="0"/>
          <w:numId w:val="3"/>
        </w:numPr>
        <w:spacing w:line="360" w:lineRule="auto"/>
        <w:ind w:left="0" w:firstLine="0"/>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乙方所交的设备品种、型号、规格、质量不符合合同规定标准的，甲方有权拒绝收货，如因供货不符合要求对项目工期、质量等造成影响或损失</w:t>
      </w:r>
      <w:r>
        <w:rPr>
          <w:rFonts w:hint="eastAsia"/>
          <w:highlight w:val="none"/>
          <w:lang w:val="en-US" w:eastAsia="zh-CN"/>
        </w:rPr>
        <w:t>或给甲方造成不良影响、损害、损失的</w:t>
      </w:r>
      <w:r>
        <w:rPr>
          <w:rFonts w:hint="eastAsia" w:ascii="宋体" w:hAnsi="宋体" w:eastAsia="宋体" w:cs="宋体"/>
          <w:color w:val="auto"/>
          <w:kern w:val="24"/>
          <w:szCs w:val="21"/>
          <w:highlight w:val="none"/>
          <w:lang w:val="en-US" w:eastAsia="zh-CN"/>
        </w:rPr>
        <w:t>，则乙方应向丙方偿付相应设备合同价【10%-30%】的违约金。如因设备质量不合格导致甲方使用科室无法正常开展诊疗或科研工作，乙方应赔偿甲方因此产生的直接损失(包括但不限于设备闲置期间的场地占用费、另行租赁替代设备的费用)。</w:t>
      </w:r>
    </w:p>
    <w:p w14:paraId="7CE40402">
      <w:pPr>
        <w:autoSpaceDE w:val="0"/>
        <w:autoSpaceDN w:val="0"/>
        <w:snapToGrid w:val="0"/>
        <w:spacing w:line="360" w:lineRule="auto"/>
        <w:jc w:val="both"/>
        <w:rPr>
          <w:rFonts w:ascii="宋体" w:hAnsi="宋体" w:eastAsia="宋体" w:cs="宋体"/>
          <w:b w:val="0"/>
          <w:bCs w:val="0"/>
          <w:color w:val="auto"/>
          <w:kern w:val="24"/>
          <w:szCs w:val="21"/>
          <w:highlight w:val="none"/>
        </w:rPr>
      </w:pPr>
      <w:r>
        <w:rPr>
          <w:rFonts w:hint="eastAsia" w:ascii="宋体" w:hAnsi="宋体" w:eastAsia="宋体" w:cs="宋体"/>
          <w:color w:val="auto"/>
          <w:kern w:val="24"/>
          <w:szCs w:val="21"/>
          <w:highlight w:val="none"/>
        </w:rPr>
        <w:t>4.</w:t>
      </w:r>
      <w:r>
        <w:rPr>
          <w:rFonts w:hint="eastAsia" w:ascii="宋体" w:hAnsi="宋体" w:eastAsia="宋体" w:cs="宋体"/>
          <w:color w:val="auto"/>
          <w:kern w:val="24"/>
          <w:szCs w:val="21"/>
          <w:highlight w:val="none"/>
          <w:lang w:val="en-US" w:eastAsia="zh-CN"/>
        </w:rPr>
        <w:t>5</w:t>
      </w:r>
      <w:r>
        <w:rPr>
          <w:rFonts w:hint="eastAsia" w:ascii="宋体" w:hAnsi="宋体" w:eastAsia="宋体" w:cs="宋体"/>
          <w:color w:val="auto"/>
          <w:kern w:val="24"/>
          <w:szCs w:val="21"/>
          <w:highlight w:val="none"/>
        </w:rPr>
        <w:t xml:space="preserve"> </w:t>
      </w:r>
      <w:r>
        <w:rPr>
          <w:rFonts w:hint="eastAsia" w:ascii="宋体" w:hAnsi="宋体" w:eastAsia="宋体" w:cs="宋体"/>
          <w:b w:val="0"/>
          <w:bCs w:val="0"/>
          <w:color w:val="auto"/>
          <w:kern w:val="24"/>
          <w:szCs w:val="21"/>
          <w:highlight w:val="none"/>
        </w:rPr>
        <w:t xml:space="preserve"> 质保期及免费保修期：</w:t>
      </w:r>
    </w:p>
    <w:p w14:paraId="3A976D0A">
      <w:pPr>
        <w:spacing w:line="360" w:lineRule="auto"/>
        <w:ind w:firstLine="480" w:firstLineChars="200"/>
        <w:jc w:val="both"/>
        <w:rPr>
          <w:rFonts w:ascii="宋体" w:hAnsi="宋体" w:cs="Arial"/>
          <w:szCs w:val="21"/>
          <w:highlight w:val="none"/>
        </w:rPr>
      </w:pPr>
      <w:r>
        <w:rPr>
          <w:rFonts w:hint="eastAsia" w:ascii="宋体" w:hAnsi="宋体" w:eastAsia="宋体" w:cs="宋体"/>
          <w:color w:val="auto"/>
          <w:kern w:val="24"/>
          <w:szCs w:val="21"/>
          <w:highlight w:val="none"/>
          <w:lang w:val="en-US" w:eastAsia="zh-CN"/>
        </w:rPr>
        <w:t xml:space="preserve">4.5.1 </w:t>
      </w:r>
      <w:r>
        <w:rPr>
          <w:rFonts w:hint="eastAsia" w:ascii="宋体" w:hAnsi="宋体" w:cs="宋体"/>
          <w:color w:val="auto"/>
          <w:highlight w:val="none"/>
        </w:rPr>
        <w:t>本合同的质量保证期（简称“质保期”）为</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cs="宋体"/>
          <w:color w:val="auto"/>
          <w:highlight w:val="none"/>
        </w:rPr>
        <w:t>年，质保期自</w:t>
      </w:r>
      <w:r>
        <w:rPr>
          <w:rFonts w:hint="eastAsia" w:ascii="宋体" w:hAnsi="宋体" w:cs="宋体"/>
          <w:color w:val="auto"/>
          <w:highlight w:val="none"/>
          <w:lang w:eastAsia="zh-CN"/>
        </w:rPr>
        <w:t>设备</w:t>
      </w:r>
      <w:r>
        <w:rPr>
          <w:rFonts w:hint="eastAsia" w:ascii="宋体" w:hAnsi="宋体" w:cs="宋体"/>
          <w:color w:val="auto"/>
          <w:highlight w:val="none"/>
        </w:rPr>
        <w:t>最终验收合格之日起算，质保期内</w:t>
      </w:r>
      <w:r>
        <w:rPr>
          <w:rFonts w:hint="eastAsia" w:ascii="宋体" w:hAnsi="宋体" w:cs="宋体"/>
          <w:color w:val="auto"/>
          <w:highlight w:val="none"/>
          <w:lang w:eastAsia="zh-CN"/>
        </w:rPr>
        <w:t>乙方</w:t>
      </w:r>
      <w:r>
        <w:rPr>
          <w:rFonts w:hint="eastAsia" w:ascii="宋体" w:hAnsi="宋体" w:cs="宋体"/>
          <w:color w:val="auto"/>
          <w:highlight w:val="none"/>
        </w:rPr>
        <w:t>对所供</w:t>
      </w:r>
      <w:r>
        <w:rPr>
          <w:rFonts w:hint="eastAsia" w:ascii="宋体" w:hAnsi="宋体" w:cs="宋体"/>
          <w:color w:val="auto"/>
          <w:highlight w:val="none"/>
          <w:lang w:eastAsia="zh-CN"/>
        </w:rPr>
        <w:t>设备</w:t>
      </w:r>
      <w:r>
        <w:rPr>
          <w:rFonts w:hint="eastAsia" w:ascii="宋体" w:hAnsi="宋体" w:cs="宋体"/>
          <w:color w:val="auto"/>
          <w:highlight w:val="none"/>
        </w:rPr>
        <w:t>实行包修、包换、包退、包维护保养，期满后可同时提供终身</w:t>
      </w:r>
      <w:r>
        <w:rPr>
          <w:rFonts w:hint="eastAsia" w:ascii="宋体" w:hAnsi="宋体" w:cs="宋体"/>
          <w:color w:val="auto"/>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hint="eastAsia" w:ascii="宋体" w:hAnsi="宋体" w:cs="宋体"/>
          <w:color w:val="auto"/>
          <w:highlight w:val="none"/>
          <w:u w:val="single"/>
        </w:rPr>
        <w:t>有偿</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维修保养服务。</w:t>
      </w:r>
      <w:r>
        <w:rPr>
          <w:rFonts w:hint="eastAsia" w:ascii="宋体" w:hAnsi="宋体"/>
          <w:szCs w:val="21"/>
          <w:highlight w:val="none"/>
          <w:lang w:val="en-US" w:eastAsia="zh-CN"/>
        </w:rPr>
        <w:t>质</w:t>
      </w:r>
      <w:r>
        <w:rPr>
          <w:rFonts w:hint="eastAsia" w:ascii="宋体" w:hAnsi="宋体"/>
          <w:szCs w:val="21"/>
          <w:highlight w:val="none"/>
        </w:rPr>
        <w:t>保期内【设备故障率】≤【 5 】%。【设备故障率】未达要求的，每升高【1】%，</w:t>
      </w:r>
      <w:r>
        <w:rPr>
          <w:rFonts w:hint="eastAsia" w:ascii="宋体" w:hAnsi="宋体"/>
          <w:szCs w:val="21"/>
          <w:highlight w:val="none"/>
          <w:lang w:val="en-US" w:eastAsia="zh-CN"/>
        </w:rPr>
        <w:t>质</w:t>
      </w:r>
      <w:r>
        <w:rPr>
          <w:rFonts w:hint="eastAsia" w:ascii="宋体" w:hAnsi="宋体"/>
          <w:szCs w:val="21"/>
          <w:highlight w:val="none"/>
        </w:rPr>
        <w:t>保期顺延【30 】天。当【设备故障率】≥【 10 】%时，</w:t>
      </w:r>
      <w:r>
        <w:rPr>
          <w:rFonts w:hint="eastAsia" w:ascii="宋体" w:hAnsi="宋体"/>
          <w:szCs w:val="21"/>
          <w:highlight w:val="none"/>
          <w:lang w:val="en-US" w:eastAsia="zh-CN"/>
        </w:rPr>
        <w:t>乙方</w:t>
      </w:r>
      <w:r>
        <w:rPr>
          <w:rFonts w:hint="eastAsia" w:ascii="宋体" w:hAnsi="宋体"/>
          <w:szCs w:val="21"/>
          <w:highlight w:val="none"/>
        </w:rPr>
        <w:t>必须在使用方提出要求之日起【 30 】日内无条件更换新机，并按该设备总价的【5】%向使用方支付违约金，由此造成使用方其他损失的，供货方应另行赔偿。供货方维修的指定邮箱为</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w:t>
      </w:r>
      <w:r>
        <w:rPr>
          <w:rFonts w:hint="eastAsia" w:ascii="宋体" w:hAnsi="宋体"/>
          <w:szCs w:val="21"/>
          <w:highlight w:val="none"/>
        </w:rPr>
        <w:t>维修电话为</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zCs w:val="21"/>
          <w:highlight w:val="none"/>
          <w:lang w:val="en-US" w:eastAsia="zh-CN"/>
        </w:rPr>
        <w:t>甲方</w:t>
      </w:r>
      <w:r>
        <w:rPr>
          <w:rFonts w:hint="eastAsia" w:ascii="宋体" w:hAnsi="宋体"/>
          <w:szCs w:val="21"/>
          <w:highlight w:val="none"/>
        </w:rPr>
        <w:t>维修通知的邮件发出后，视为</w:t>
      </w:r>
      <w:r>
        <w:rPr>
          <w:rFonts w:hint="eastAsia" w:ascii="宋体" w:hAnsi="宋体"/>
          <w:szCs w:val="21"/>
          <w:highlight w:val="none"/>
          <w:lang w:val="en-US" w:eastAsia="zh-CN"/>
        </w:rPr>
        <w:t>甲方</w:t>
      </w:r>
      <w:r>
        <w:rPr>
          <w:rFonts w:hint="eastAsia" w:ascii="宋体" w:hAnsi="宋体"/>
          <w:szCs w:val="21"/>
          <w:highlight w:val="none"/>
        </w:rPr>
        <w:t>的维修通知送达供货方。</w:t>
      </w:r>
    </w:p>
    <w:p w14:paraId="18FA3F35">
      <w:pPr>
        <w:autoSpaceDE w:val="0"/>
        <w:autoSpaceDN w:val="0"/>
        <w:snapToGrid w:val="0"/>
        <w:spacing w:beforeLines="0" w:afterLines="0" w:line="360" w:lineRule="auto"/>
        <w:ind w:firstLine="480" w:firstLineChars="200"/>
        <w:jc w:val="both"/>
        <w:rPr>
          <w:rFonts w:hint="eastAsia" w:ascii="宋体" w:hAnsi="宋体" w:cs="宋体"/>
          <w:color w:val="auto"/>
          <w:highlight w:val="none"/>
        </w:rPr>
      </w:pPr>
      <w:r>
        <w:rPr>
          <w:rFonts w:hint="eastAsia" w:ascii="宋体" w:hAnsi="宋体" w:cs="宋体"/>
          <w:color w:val="auto"/>
          <w:highlight w:val="none"/>
          <w:lang w:val="en-US" w:eastAsia="zh-CN"/>
        </w:rPr>
        <w:t xml:space="preserve">4.5.2 </w:t>
      </w:r>
      <w:r>
        <w:rPr>
          <w:rFonts w:hint="eastAsia" w:ascii="宋体" w:hAnsi="宋体" w:cs="宋体"/>
          <w:color w:val="auto"/>
          <w:highlight w:val="none"/>
        </w:rPr>
        <w:t>一旦发生产品质量及安装问题，供应商保证在接到通知24小时内赶到现场，进行免费维修或更换有缺陷的设备或部件；响应时间：</w:t>
      </w:r>
      <w:r>
        <w:rPr>
          <w:rFonts w:hint="eastAsia" w:ascii="宋体" w:hAnsi="宋体" w:cs="宋体"/>
          <w:color w:val="auto"/>
          <w:highlight w:val="none"/>
          <w:lang w:val="en-US" w:eastAsia="zh-CN"/>
        </w:rPr>
        <w:t>4</w:t>
      </w:r>
      <w:r>
        <w:rPr>
          <w:rFonts w:hint="eastAsia" w:ascii="宋体" w:hAnsi="宋体" w:cs="宋体"/>
          <w:color w:val="auto"/>
          <w:highlight w:val="none"/>
        </w:rPr>
        <w:t>小时响应；修复时间：</w:t>
      </w:r>
      <w:r>
        <w:rPr>
          <w:rFonts w:hint="eastAsia" w:ascii="宋体" w:hAnsi="宋体" w:cs="宋体"/>
          <w:color w:val="auto"/>
          <w:highlight w:val="none"/>
          <w:lang w:val="en-US" w:eastAsia="zh-CN"/>
        </w:rPr>
        <w:t>24</w:t>
      </w:r>
      <w:r>
        <w:rPr>
          <w:rFonts w:hint="eastAsia" w:ascii="宋体" w:hAnsi="宋体" w:cs="宋体"/>
          <w:color w:val="auto"/>
          <w:highlight w:val="none"/>
        </w:rPr>
        <w:t>小时内；冗余服务：在24小时内或紧急情况下，未能修复，提供具有同样功能的设备供使用单位使用。</w:t>
      </w:r>
    </w:p>
    <w:p w14:paraId="7D66BDAE">
      <w:pPr>
        <w:spacing w:line="360" w:lineRule="auto"/>
        <w:ind w:firstLine="480" w:firstLineChars="200"/>
        <w:jc w:val="both"/>
        <w:rPr>
          <w:rFonts w:ascii="宋体" w:hAnsi="宋体" w:cs="Arial"/>
          <w:szCs w:val="21"/>
          <w:highlight w:val="none"/>
        </w:rPr>
      </w:pPr>
      <w:r>
        <w:rPr>
          <w:rFonts w:hint="eastAsia" w:ascii="宋体" w:hAnsi="宋体"/>
          <w:szCs w:val="21"/>
          <w:highlight w:val="none"/>
          <w:lang w:val="en-US" w:eastAsia="zh-CN"/>
        </w:rPr>
        <w:t>4.5.3</w:t>
      </w:r>
      <w:r>
        <w:rPr>
          <w:rFonts w:hint="eastAsia" w:ascii="宋体" w:hAnsi="宋体"/>
          <w:szCs w:val="21"/>
          <w:highlight w:val="none"/>
        </w:rPr>
        <w:t>设备使用期间</w:t>
      </w:r>
      <w:r>
        <w:rPr>
          <w:rFonts w:hint="eastAsia" w:ascii="宋体" w:hAnsi="宋体"/>
          <w:szCs w:val="21"/>
          <w:highlight w:val="none"/>
          <w:lang w:val="en-US" w:eastAsia="zh-CN"/>
        </w:rPr>
        <w:t>乙方</w:t>
      </w:r>
      <w:r>
        <w:rPr>
          <w:rFonts w:hint="eastAsia" w:ascii="宋体" w:hAnsi="宋体"/>
          <w:szCs w:val="21"/>
          <w:highlight w:val="none"/>
        </w:rPr>
        <w:t>每季度至少回访使用方使用科室一次并对设备进行维护</w:t>
      </w:r>
      <w:r>
        <w:rPr>
          <w:rFonts w:hint="eastAsia" w:ascii="宋体" w:hAnsi="宋体" w:cs="Arial"/>
          <w:szCs w:val="21"/>
          <w:highlight w:val="none"/>
        </w:rPr>
        <w:t>并留存维护记录。</w:t>
      </w:r>
    </w:p>
    <w:p w14:paraId="0E8138F9">
      <w:pPr>
        <w:spacing w:line="360" w:lineRule="auto"/>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4.</w:t>
      </w:r>
      <w:r>
        <w:rPr>
          <w:rFonts w:hint="eastAsia" w:ascii="宋体" w:hAnsi="宋体" w:eastAsia="宋体" w:cs="宋体"/>
          <w:color w:val="auto"/>
          <w:kern w:val="24"/>
          <w:szCs w:val="21"/>
          <w:highlight w:val="none"/>
          <w:lang w:val="en-US" w:eastAsia="zh-CN"/>
        </w:rPr>
        <w:t>6</w:t>
      </w:r>
      <w:r>
        <w:rPr>
          <w:rFonts w:hint="eastAsia" w:ascii="宋体" w:hAnsi="宋体" w:eastAsia="宋体" w:cs="宋体"/>
          <w:color w:val="auto"/>
          <w:kern w:val="24"/>
          <w:szCs w:val="21"/>
          <w:highlight w:val="none"/>
        </w:rPr>
        <w:t xml:space="preserve">  其它约定：</w:t>
      </w:r>
    </w:p>
    <w:p w14:paraId="3C79D093">
      <w:pPr>
        <w:spacing w:line="360" w:lineRule="auto"/>
        <w:ind w:firstLine="480" w:firstLineChars="200"/>
        <w:jc w:val="both"/>
        <w:rPr>
          <w:rFonts w:ascii="宋体" w:hAnsi="宋体"/>
          <w:szCs w:val="21"/>
          <w:highlight w:val="none"/>
        </w:rPr>
      </w:pPr>
      <w:r>
        <w:rPr>
          <w:rFonts w:hint="eastAsia" w:ascii="宋体" w:hAnsi="宋体"/>
          <w:szCs w:val="21"/>
          <w:highlight w:val="none"/>
        </w:rPr>
        <w:t>4.6.1因设备的质量问题而发生争议，难以界定设备质量是否符合合同要求的，双方均有权请求广东省或深圳市质检部门进行质量鉴定，鉴定费用由</w:t>
      </w:r>
      <w:r>
        <w:rPr>
          <w:rFonts w:hint="eastAsia" w:ascii="宋体" w:hAnsi="宋体"/>
          <w:szCs w:val="21"/>
          <w:highlight w:val="none"/>
          <w:lang w:val="en-US" w:eastAsia="zh-CN"/>
        </w:rPr>
        <w:t>乙方</w:t>
      </w:r>
      <w:r>
        <w:rPr>
          <w:rFonts w:hint="eastAsia" w:ascii="宋体" w:hAnsi="宋体"/>
          <w:szCs w:val="21"/>
          <w:highlight w:val="none"/>
        </w:rPr>
        <w:t>预付，经鉴定设备符合合同要求的，鉴定费用由</w:t>
      </w:r>
      <w:r>
        <w:rPr>
          <w:rFonts w:hint="eastAsia" w:ascii="宋体" w:hAnsi="宋体"/>
          <w:szCs w:val="21"/>
          <w:highlight w:val="none"/>
          <w:lang w:val="en-US" w:eastAsia="zh-CN"/>
        </w:rPr>
        <w:t>甲方</w:t>
      </w:r>
      <w:r>
        <w:rPr>
          <w:rFonts w:hint="eastAsia" w:ascii="宋体" w:hAnsi="宋体"/>
          <w:szCs w:val="21"/>
          <w:highlight w:val="none"/>
        </w:rPr>
        <w:t>承担；不符合要求的，鉴定费用由</w:t>
      </w:r>
      <w:r>
        <w:rPr>
          <w:rFonts w:hint="eastAsia" w:ascii="宋体" w:hAnsi="宋体"/>
          <w:szCs w:val="21"/>
          <w:highlight w:val="none"/>
          <w:lang w:val="en-US" w:eastAsia="zh-CN"/>
        </w:rPr>
        <w:t>乙方</w:t>
      </w:r>
      <w:r>
        <w:rPr>
          <w:rFonts w:hint="eastAsia" w:ascii="宋体" w:hAnsi="宋体"/>
          <w:szCs w:val="21"/>
          <w:highlight w:val="none"/>
        </w:rPr>
        <w:t>承担。</w:t>
      </w:r>
    </w:p>
    <w:p w14:paraId="78075BB2">
      <w:pPr>
        <w:spacing w:line="360" w:lineRule="auto"/>
        <w:ind w:firstLine="480" w:firstLineChars="200"/>
        <w:jc w:val="both"/>
        <w:rPr>
          <w:rFonts w:ascii="宋体" w:hAnsi="宋体"/>
          <w:szCs w:val="21"/>
          <w:highlight w:val="none"/>
        </w:rPr>
      </w:pPr>
      <w:r>
        <w:rPr>
          <w:rFonts w:hint="eastAsia" w:ascii="宋体" w:hAnsi="宋体"/>
          <w:szCs w:val="21"/>
          <w:highlight w:val="none"/>
        </w:rPr>
        <w:t>4.6.2临床使用人员及工程人员培训：</w:t>
      </w:r>
      <w:r>
        <w:rPr>
          <w:rFonts w:hint="eastAsia" w:ascii="宋体" w:hAnsi="宋体"/>
          <w:szCs w:val="21"/>
          <w:highlight w:val="none"/>
          <w:lang w:val="en-US" w:eastAsia="zh-CN"/>
        </w:rPr>
        <w:t>乙方</w:t>
      </w:r>
      <w:r>
        <w:rPr>
          <w:rFonts w:hint="eastAsia" w:ascii="宋体" w:hAnsi="宋体"/>
          <w:szCs w:val="21"/>
          <w:highlight w:val="none"/>
        </w:rPr>
        <w:t>或设备所属生产厂商需针对临床使用人员及工程人员设计培训方案，主要内容包括但不限于：</w:t>
      </w:r>
    </w:p>
    <w:p w14:paraId="3281D2E4">
      <w:pPr>
        <w:spacing w:line="360" w:lineRule="auto"/>
        <w:ind w:firstLine="480" w:firstLineChars="200"/>
        <w:jc w:val="both"/>
        <w:rPr>
          <w:rFonts w:ascii="宋体" w:hAnsi="宋体"/>
          <w:szCs w:val="21"/>
          <w:highlight w:val="none"/>
        </w:rPr>
      </w:pPr>
      <w:r>
        <w:rPr>
          <w:rFonts w:hint="eastAsia" w:ascii="宋体" w:hAnsi="宋体"/>
          <w:szCs w:val="21"/>
          <w:highlight w:val="none"/>
        </w:rPr>
        <w:t>（1）临床使用及维护保养培训：设备的基本结构、性能、主要部件的构造及修理，日常使用保养与管理，常见故障的排除，紧急情况的处理等培训。本合同已包含培训的所有费用，供货方不得再以任何方式另行收取。</w:t>
      </w:r>
    </w:p>
    <w:p w14:paraId="10B7EE17">
      <w:pPr>
        <w:spacing w:line="360" w:lineRule="auto"/>
        <w:ind w:firstLine="480" w:firstLineChars="200"/>
        <w:jc w:val="both"/>
        <w:rPr>
          <w:rFonts w:hint="eastAsia" w:eastAsia="宋体-PUA"/>
          <w:highlight w:val="none"/>
          <w:lang w:val="en-US" w:eastAsia="zh-CN"/>
        </w:rPr>
      </w:pPr>
      <w:r>
        <w:rPr>
          <w:rFonts w:hint="eastAsia" w:ascii="宋体" w:hAnsi="宋体"/>
          <w:szCs w:val="21"/>
          <w:highlight w:val="none"/>
        </w:rPr>
        <w:t>4.6.3</w:t>
      </w:r>
      <w:r>
        <w:rPr>
          <w:rFonts w:hint="eastAsia" w:ascii="宋体" w:hAnsi="宋体"/>
          <w:szCs w:val="21"/>
          <w:highlight w:val="none"/>
          <w:lang w:val="en-US" w:eastAsia="zh-CN"/>
        </w:rPr>
        <w:t>乙方</w:t>
      </w:r>
      <w:r>
        <w:rPr>
          <w:rFonts w:hint="eastAsia" w:ascii="宋体" w:hAnsi="宋体"/>
          <w:szCs w:val="21"/>
          <w:highlight w:val="none"/>
        </w:rPr>
        <w:t>保证合同设备如需专用消耗材料均已在合同附件中列出，合同附件未列的消耗材料视为</w:t>
      </w:r>
      <w:r>
        <w:rPr>
          <w:rFonts w:hint="eastAsia" w:ascii="宋体" w:hAnsi="宋体"/>
          <w:szCs w:val="21"/>
          <w:highlight w:val="none"/>
          <w:lang w:val="en-US" w:eastAsia="zh-CN"/>
        </w:rPr>
        <w:t>乙方</w:t>
      </w:r>
      <w:r>
        <w:rPr>
          <w:rFonts w:hint="eastAsia" w:ascii="宋体" w:hAnsi="宋体"/>
          <w:szCs w:val="21"/>
          <w:highlight w:val="none"/>
        </w:rPr>
        <w:t>永久无偿向使用方提供。</w:t>
      </w:r>
    </w:p>
    <w:p w14:paraId="0F6DDF4A">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合同价款</w:t>
      </w:r>
    </w:p>
    <w:p w14:paraId="0D5615CB">
      <w:pPr>
        <w:widowControl/>
        <w:snapToGrid w:val="0"/>
        <w:spacing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合同</w:t>
      </w:r>
      <w:r>
        <w:rPr>
          <w:rFonts w:hint="eastAsia" w:ascii="宋体" w:hAnsi="宋体" w:eastAsia="宋体" w:cs="宋体"/>
          <w:color w:val="auto"/>
          <w:highlight w:val="none"/>
          <w:lang w:val="en-US" w:eastAsia="zh-CN"/>
        </w:rPr>
        <w:t>总</w:t>
      </w:r>
      <w:r>
        <w:rPr>
          <w:rFonts w:hint="eastAsia" w:ascii="宋体" w:hAnsi="宋体" w:eastAsia="宋体" w:cs="宋体"/>
          <w:color w:val="auto"/>
          <w:highlight w:val="none"/>
        </w:rPr>
        <w:t>价为：</w:t>
      </w:r>
      <w:r>
        <w:rPr>
          <w:rFonts w:ascii="宋体" w:hAnsi="宋体"/>
          <w:snapToGrid w:val="0"/>
          <w:color w:val="000000"/>
          <w:kern w:val="0"/>
          <w:sz w:val="24"/>
          <w:highlight w:val="none"/>
          <w:u w:val="single"/>
        </w:rPr>
        <w:t xml:space="preserve">  </w:t>
      </w:r>
      <w:r>
        <w:rPr>
          <w:rFonts w:hint="eastAsia" w:ascii="宋体" w:hAnsi="宋体" w:eastAsia="宋体" w:cs="宋体"/>
          <w:b/>
          <w:color w:val="auto"/>
          <w:highlight w:val="none"/>
        </w:rPr>
        <w:t>□</w:t>
      </w:r>
      <w:r>
        <w:rPr>
          <w:rFonts w:ascii="宋体" w:hAnsi="宋体"/>
          <w:snapToGrid w:val="0"/>
          <w:color w:val="000000"/>
          <w:kern w:val="0"/>
          <w:sz w:val="24"/>
          <w:highlight w:val="none"/>
          <w:u w:val="single"/>
        </w:rPr>
        <w:t xml:space="preserve"> </w:t>
      </w:r>
      <w:r>
        <w:rPr>
          <w:rFonts w:hint="eastAsia" w:ascii="宋体" w:hAnsi="宋体" w:eastAsia="宋体" w:cs="宋体"/>
          <w:color w:val="auto"/>
          <w:highlight w:val="none"/>
        </w:rPr>
        <w:t xml:space="preserve">暂定总价     </w:t>
      </w:r>
      <w:r>
        <w:rPr>
          <w:rFonts w:ascii="宋体" w:hAnsi="宋体"/>
          <w:snapToGrid w:val="0"/>
          <w:color w:val="000000"/>
          <w:kern w:val="0"/>
          <w:sz w:val="24"/>
          <w:highlight w:val="none"/>
          <w:u w:val="single"/>
        </w:rPr>
        <w:t xml:space="preserve">  </w:t>
      </w:r>
      <w:r>
        <w:rPr>
          <w:rFonts w:hint="eastAsia" w:ascii="宋体" w:hAnsi="宋体" w:eastAsia="宋体" w:cs="宋体"/>
          <w:b/>
          <w:color w:val="auto"/>
          <w:highlight w:val="none"/>
          <w:lang w:eastAsia="zh-CN"/>
        </w:rPr>
        <w:t>☑</w:t>
      </w:r>
      <w:r>
        <w:rPr>
          <w:rFonts w:hint="eastAsia" w:ascii="宋体" w:hAnsi="宋体" w:eastAsia="宋体" w:cs="宋体"/>
          <w:color w:val="auto"/>
          <w:highlight w:val="non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highlight w:val="none"/>
        </w:rPr>
        <w:t>固定总价</w:t>
      </w:r>
    </w:p>
    <w:p w14:paraId="36BFE293">
      <w:pPr>
        <w:widowControl/>
        <w:snapToGrid w:val="0"/>
        <w:spacing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highlight w:val="none"/>
        </w:rPr>
        <w:t>合同总价：</w:t>
      </w:r>
      <w:r>
        <w:rPr>
          <w:rFonts w:hint="eastAsia" w:ascii="宋体" w:hAnsi="宋体" w:eastAsia="宋体" w:cs="宋体"/>
          <w:color w:val="auto"/>
          <w:szCs w:val="24"/>
          <w:highlight w:val="none"/>
          <w:lang w:val="en-US" w:eastAsia="zh-CN"/>
        </w:rPr>
        <w:t>¥</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.00</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rPr>
        <w:t>；大写：</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人民币</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rPr>
        <w:t>；</w:t>
      </w:r>
    </w:p>
    <w:p w14:paraId="0EE9FEE7">
      <w:pPr>
        <w:widowControl/>
        <w:snapToGrid w:val="0"/>
        <w:spacing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kern w:val="24"/>
          <w:szCs w:val="21"/>
          <w:highlight w:val="none"/>
        </w:rPr>
        <w:t>本合同总价款已包括</w:t>
      </w:r>
      <w:r>
        <w:rPr>
          <w:rFonts w:hint="eastAsia" w:ascii="宋体" w:hAnsi="宋体" w:eastAsia="宋体" w:cs="宋体"/>
          <w:kern w:val="24"/>
          <w:szCs w:val="21"/>
          <w:highlight w:val="none"/>
          <w:lang w:val="en-US" w:eastAsia="zh-CN"/>
        </w:rPr>
        <w:t>乙方</w:t>
      </w:r>
      <w:r>
        <w:rPr>
          <w:rFonts w:hint="eastAsia" w:ascii="宋体" w:hAnsi="宋体" w:eastAsia="宋体" w:cs="宋体"/>
          <w:kern w:val="24"/>
          <w:szCs w:val="21"/>
          <w:highlight w:val="none"/>
        </w:rPr>
        <w:t>为履行本合同义务所发生的一切费用，</w:t>
      </w:r>
      <w:r>
        <w:rPr>
          <w:rFonts w:hint="eastAsia" w:ascii="宋体" w:hAnsi="宋体"/>
          <w:szCs w:val="21"/>
          <w:highlight w:val="none"/>
        </w:rPr>
        <w:t>包含但不限于包装、设计、设备制造、包装、仓储、运输、安装调试、验收</w:t>
      </w:r>
      <w:r>
        <w:rPr>
          <w:rFonts w:hint="eastAsia" w:ascii="宋体" w:hAnsi="宋体"/>
          <w:color w:val="auto"/>
          <w:szCs w:val="21"/>
          <w:highlight w:val="none"/>
        </w:rPr>
        <w:t>和</w:t>
      </w:r>
      <w:r>
        <w:rPr>
          <w:rFonts w:hint="eastAsia" w:ascii="宋体" w:hAnsi="宋体" w:cs="宋体"/>
          <w:color w:val="auto"/>
          <w:highlight w:val="none"/>
          <w:lang w:val="en-US" w:eastAsia="zh-CN"/>
        </w:rPr>
        <w:t>质</w:t>
      </w:r>
      <w:r>
        <w:rPr>
          <w:rFonts w:hint="eastAsia" w:ascii="宋体" w:hAnsi="宋体"/>
          <w:color w:val="auto"/>
          <w:szCs w:val="21"/>
          <w:highlight w:val="none"/>
        </w:rPr>
        <w:t>保期届满前</w:t>
      </w:r>
      <w:r>
        <w:rPr>
          <w:rFonts w:hint="eastAsia" w:ascii="宋体" w:hAnsi="宋体"/>
          <w:szCs w:val="21"/>
          <w:highlight w:val="none"/>
        </w:rPr>
        <w:t>备品备件费用以及与本合同设备及服务相关的税等。</w:t>
      </w:r>
    </w:p>
    <w:p w14:paraId="3842A656">
      <w:pPr>
        <w:spacing w:line="360" w:lineRule="auto"/>
        <w:ind w:firstLine="420" w:firstLineChars="175"/>
        <w:jc w:val="both"/>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本项目最终结算费用按以下流程确定：</w:t>
      </w:r>
    </w:p>
    <w:p w14:paraId="2D099CCE">
      <w:pPr>
        <w:spacing w:line="360" w:lineRule="auto"/>
        <w:ind w:firstLine="420" w:firstLineChars="175"/>
        <w:jc w:val="both"/>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(1)以</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rPr>
        <w:t>指定的具有相应资质的第三方造价咨询公司出具的审核结果为准;</w:t>
      </w:r>
    </w:p>
    <w:p w14:paraId="4476D401">
      <w:pPr>
        <w:spacing w:line="360" w:lineRule="auto"/>
        <w:ind w:firstLine="420" w:firstLineChars="175"/>
        <w:jc w:val="both"/>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(2)若本项目后续由区财政投资评审中心进行审核，最终以财政部门出具的审批结果为准。本项目财政评审的具体程序和送审材料要求应遵循福田区财政局颁布的《深圳市福田区政府投资项目财政评审工作指引(试行)》执行。若《深圳市福田区政府投资项目财政评审工作指引(试行)》后续有修订或调整，以最新有效版本为准。如本项目被政府审计部门抽查审核的，最终结算金额以政府审计部门核查意见调整后的审批结果为准。如按本项最终确认的的结算价款较前项审核单位核定结算价款少的，乙方应无条件</w:t>
      </w:r>
      <w:r>
        <w:rPr>
          <w:rFonts w:hint="eastAsia" w:ascii="宋体" w:hAnsi="宋体" w:eastAsia="宋体" w:cs="宋体"/>
          <w:color w:val="auto"/>
          <w:kern w:val="24"/>
          <w:szCs w:val="21"/>
          <w:highlight w:val="none"/>
          <w:lang w:val="en-US" w:eastAsia="zh-CN"/>
        </w:rPr>
        <w:t>向丙方</w:t>
      </w:r>
      <w:r>
        <w:rPr>
          <w:rFonts w:hint="eastAsia" w:ascii="宋体" w:hAnsi="宋体" w:eastAsia="宋体" w:cs="宋体"/>
          <w:color w:val="auto"/>
          <w:kern w:val="24"/>
          <w:szCs w:val="21"/>
          <w:highlight w:val="none"/>
        </w:rPr>
        <w:t>全额退回超付款项。</w:t>
      </w:r>
    </w:p>
    <w:p w14:paraId="79F51CDD">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lang w:eastAsia="zh-CN"/>
        </w:rPr>
        <w:t>乙方</w:t>
      </w:r>
      <w:r>
        <w:rPr>
          <w:rFonts w:hint="eastAsia" w:ascii="宋体" w:hAnsi="宋体" w:eastAsia="宋体" w:cs="宋体"/>
          <w:b/>
          <w:color w:val="auto"/>
          <w:kern w:val="24"/>
          <w:szCs w:val="21"/>
          <w:highlight w:val="none"/>
        </w:rPr>
        <w:t>税务资质：</w:t>
      </w:r>
    </w:p>
    <w:p w14:paraId="2B729416">
      <w:pPr>
        <w:widowControl w:val="0"/>
        <w:snapToGrid/>
        <w:spacing w:line="360" w:lineRule="auto"/>
        <w:ind w:left="0" w:firstLine="420" w:firstLineChars="175"/>
        <w:jc w:val="both"/>
        <w:rPr>
          <w:rFonts w:hint="eastAsia" w:ascii="宋体" w:hAnsi="宋体" w:eastAsia="宋体" w:cs="宋体"/>
          <w:b w:val="0"/>
          <w:color w:val="auto"/>
          <w:kern w:val="24"/>
          <w:szCs w:val="21"/>
          <w:highlight w:val="none"/>
        </w:rPr>
      </w:pPr>
      <w:r>
        <w:rPr>
          <w:rFonts w:hint="eastAsia" w:ascii="宋体" w:hAnsi="宋体" w:eastAsia="宋体" w:cs="宋体"/>
          <w:b w:val="0"/>
          <w:color w:val="auto"/>
          <w:kern w:val="24"/>
          <w:szCs w:val="21"/>
          <w:highlight w:val="none"/>
        </w:rPr>
        <w:t>1.</w:t>
      </w:r>
      <w:r>
        <w:rPr>
          <w:rFonts w:hint="eastAsia" w:ascii="宋体" w:hAnsi="宋体" w:eastAsia="宋体" w:cs="宋体"/>
          <w:b w:val="0"/>
          <w:color w:val="auto"/>
          <w:kern w:val="24"/>
          <w:szCs w:val="21"/>
          <w:highlight w:val="none"/>
          <w:lang w:eastAsia="zh-CN"/>
        </w:rPr>
        <w:t>乙方</w:t>
      </w:r>
      <w:r>
        <w:rPr>
          <w:rFonts w:hint="eastAsia" w:ascii="宋体" w:hAnsi="宋体" w:eastAsia="宋体" w:cs="宋体"/>
          <w:b w:val="0"/>
          <w:color w:val="auto"/>
          <w:kern w:val="24"/>
          <w:szCs w:val="21"/>
          <w:highlight w:val="none"/>
        </w:rPr>
        <w:t>作为增值税纳税人的类型：</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 xml:space="preserve">一般纳税人   </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小规模纳税人；</w:t>
      </w:r>
    </w:p>
    <w:p w14:paraId="5F3CDD8B">
      <w:pPr>
        <w:widowControl w:val="0"/>
        <w:snapToGrid/>
        <w:spacing w:line="360" w:lineRule="auto"/>
        <w:ind w:left="0" w:firstLine="420" w:firstLineChars="175"/>
        <w:jc w:val="both"/>
        <w:rPr>
          <w:rFonts w:hint="eastAsia" w:ascii="宋体" w:hAnsi="宋体" w:eastAsia="宋体" w:cs="宋体"/>
          <w:b w:val="0"/>
          <w:color w:val="auto"/>
          <w:kern w:val="24"/>
          <w:szCs w:val="21"/>
          <w:highlight w:val="none"/>
        </w:rPr>
      </w:pPr>
      <w:r>
        <w:rPr>
          <w:rFonts w:hint="eastAsia" w:ascii="宋体" w:hAnsi="宋体" w:eastAsia="宋体" w:cs="宋体"/>
          <w:b w:val="0"/>
          <w:color w:val="auto"/>
          <w:kern w:val="24"/>
          <w:szCs w:val="21"/>
          <w:highlight w:val="none"/>
        </w:rPr>
        <w:t>2.本合同增值税缴纳方式：</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 xml:space="preserve">一般计税方法    </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 xml:space="preserve"> 简易计税方法；</w:t>
      </w:r>
    </w:p>
    <w:p w14:paraId="27D20170">
      <w:pPr>
        <w:widowControl w:val="0"/>
        <w:snapToGrid/>
        <w:spacing w:line="360" w:lineRule="auto"/>
        <w:ind w:left="0" w:firstLine="420" w:firstLineChars="175"/>
        <w:jc w:val="both"/>
        <w:rPr>
          <w:rFonts w:hint="eastAsia" w:ascii="宋体" w:hAnsi="宋体" w:eastAsia="宋体" w:cs="宋体"/>
          <w:b w:val="0"/>
          <w:color w:val="auto"/>
          <w:kern w:val="24"/>
          <w:szCs w:val="21"/>
          <w:highlight w:val="none"/>
        </w:rPr>
      </w:pPr>
      <w:r>
        <w:rPr>
          <w:rFonts w:hint="eastAsia" w:ascii="宋体" w:hAnsi="宋体" w:eastAsia="宋体" w:cs="宋体"/>
          <w:b w:val="0"/>
          <w:color w:val="auto"/>
          <w:kern w:val="24"/>
          <w:szCs w:val="21"/>
          <w:highlight w:val="none"/>
        </w:rPr>
        <w:t>3.本合同付款需开具增值税发票类型及适用税率：</w:t>
      </w:r>
    </w:p>
    <w:p w14:paraId="6DD332FA">
      <w:pPr>
        <w:spacing w:line="360" w:lineRule="auto"/>
        <w:ind w:firstLine="420" w:firstLineChars="175"/>
        <w:jc w:val="both"/>
        <w:rPr>
          <w:rFonts w:hint="eastAsia" w:ascii="宋体" w:hAnsi="宋体" w:eastAsia="宋体" w:cs="宋体"/>
          <w:b w:val="0"/>
          <w:color w:val="auto"/>
          <w:kern w:val="24"/>
          <w:szCs w:val="21"/>
          <w:highlight w:val="none"/>
        </w:rPr>
      </w:pP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 xml:space="preserve"> 增值税专用发票 （</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lang w:val="en-US" w:eastAsia="zh-CN"/>
        </w:rPr>
        <w:t>13</w:t>
      </w:r>
      <w:r>
        <w:rPr>
          <w:rFonts w:hint="eastAsia" w:ascii="宋体" w:hAnsi="宋体" w:eastAsia="宋体" w:cs="宋体"/>
          <w:b w:val="0"/>
          <w:color w:val="auto"/>
          <w:kern w:val="24"/>
          <w:szCs w:val="21"/>
          <w:highlight w:val="none"/>
        </w:rPr>
        <w:t>%/</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9%/</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6%/</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3%/</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1%）</w:t>
      </w:r>
    </w:p>
    <w:p w14:paraId="4F5CA973">
      <w:pPr>
        <w:spacing w:line="360" w:lineRule="auto"/>
        <w:ind w:firstLine="420" w:firstLineChars="175"/>
        <w:jc w:val="both"/>
        <w:rPr>
          <w:rFonts w:hint="eastAsia" w:ascii="宋体" w:hAnsi="宋体" w:eastAsia="宋体" w:cs="宋体"/>
          <w:b w:val="0"/>
          <w:color w:val="auto"/>
          <w:kern w:val="24"/>
          <w:szCs w:val="21"/>
          <w:highlight w:val="none"/>
        </w:rPr>
      </w:pP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增值税普通发票 （</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13%/</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9%/</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6%/</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3%/</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1%）</w:t>
      </w:r>
    </w:p>
    <w:p w14:paraId="623A98CD">
      <w:pPr>
        <w:spacing w:line="360" w:lineRule="auto"/>
        <w:ind w:firstLine="420" w:firstLineChars="175"/>
        <w:jc w:val="both"/>
        <w:rPr>
          <w:rFonts w:hint="eastAsia" w:ascii="宋体" w:hAnsi="宋体" w:eastAsia="宋体" w:cs="宋体"/>
          <w:b w:val="0"/>
          <w:color w:val="auto"/>
          <w:kern w:val="24"/>
          <w:szCs w:val="21"/>
          <w:highlight w:val="none"/>
        </w:rPr>
      </w:pP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除增值税专用发票以外的其他增税扣税凭证 （</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13%/</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5%/</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3%</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rPr>
        <w:t>0%）</w:t>
      </w:r>
    </w:p>
    <w:p w14:paraId="7191D167">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lang w:eastAsia="zh-CN"/>
        </w:rPr>
        <w:t>履约</w:t>
      </w:r>
      <w:r>
        <w:rPr>
          <w:rFonts w:hint="eastAsia" w:ascii="宋体" w:hAnsi="宋体" w:eastAsia="宋体" w:cs="宋体"/>
          <w:b/>
          <w:color w:val="auto"/>
          <w:kern w:val="24"/>
          <w:szCs w:val="21"/>
          <w:highlight w:val="none"/>
          <w:lang w:val="en-US" w:eastAsia="zh-CN"/>
        </w:rPr>
        <w:t>保函</w:t>
      </w:r>
      <w:r>
        <w:rPr>
          <w:rFonts w:hint="eastAsia" w:ascii="宋体" w:hAnsi="宋体" w:eastAsia="宋体" w:cs="宋体"/>
          <w:b/>
          <w:color w:val="auto"/>
          <w:kern w:val="24"/>
          <w:szCs w:val="21"/>
          <w:highlight w:val="none"/>
        </w:rPr>
        <w:t>：</w:t>
      </w:r>
    </w:p>
    <w:p w14:paraId="44AA14B1">
      <w:pPr>
        <w:numPr>
          <w:ilvl w:val="0"/>
          <w:numId w:val="0"/>
        </w:numPr>
        <w:spacing w:beforeLines="0" w:afterLines="0" w:line="360" w:lineRule="auto"/>
        <w:ind w:left="0" w:firstLine="420" w:firstLineChars="175"/>
        <w:jc w:val="both"/>
        <w:textAlignment w:val="auto"/>
        <w:rPr>
          <w:rFonts w:hint="eastAsia" w:ascii="宋体" w:hAnsi="宋体" w:eastAsia="宋体" w:cs="宋体"/>
          <w:b w:val="0"/>
          <w:color w:val="auto"/>
          <w:kern w:val="24"/>
          <w:szCs w:val="21"/>
          <w:highlight w:val="none"/>
          <w:lang w:eastAsia="zh-CN"/>
        </w:rPr>
      </w:pPr>
      <w:r>
        <w:rPr>
          <w:rFonts w:hint="eastAsia" w:ascii="宋体" w:hAnsi="宋体" w:eastAsia="宋体" w:cs="宋体"/>
          <w:b w:val="0"/>
          <w:color w:val="auto"/>
          <w:kern w:val="24"/>
          <w:szCs w:val="21"/>
          <w:highlight w:val="none"/>
          <w:lang w:eastAsia="zh-CN"/>
        </w:rPr>
        <w:t>需要履约</w:t>
      </w:r>
      <w:r>
        <w:rPr>
          <w:rFonts w:hint="eastAsia" w:ascii="宋体" w:hAnsi="宋体" w:eastAsia="宋体" w:cs="宋体"/>
          <w:b w:val="0"/>
          <w:color w:val="auto"/>
          <w:kern w:val="24"/>
          <w:szCs w:val="21"/>
          <w:highlight w:val="none"/>
          <w:lang w:val="en-US" w:eastAsia="zh-CN"/>
        </w:rPr>
        <w:t>保函</w:t>
      </w:r>
      <w:r>
        <w:rPr>
          <w:rFonts w:hint="eastAsia" w:ascii="宋体" w:hAnsi="宋体" w:eastAsia="宋体" w:cs="宋体"/>
          <w:b w:val="0"/>
          <w:color w:val="auto"/>
          <w:kern w:val="24"/>
          <w:szCs w:val="21"/>
          <w:highlight w:val="none"/>
          <w:lang w:eastAsia="zh-CN"/>
        </w:rPr>
        <w:t>：</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lang w:eastAsia="zh-CN"/>
        </w:rPr>
        <w:t>是</w:t>
      </w:r>
      <w:r>
        <w:rPr>
          <w:rFonts w:hint="eastAsia" w:ascii="宋体" w:hAnsi="宋体" w:eastAsia="宋体" w:cs="宋体"/>
          <w:b w:val="0"/>
          <w:color w:val="auto"/>
          <w:kern w:val="24"/>
          <w:szCs w:val="21"/>
          <w:highlight w:val="non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color w:val="000000"/>
          <w:sz w:val="24"/>
          <w:szCs w:val="24"/>
          <w:highlight w:val="none"/>
          <w:lang w:eastAsia="zh-CN"/>
        </w:rPr>
        <w:t>□</w:t>
      </w:r>
      <w:r>
        <w:rPr>
          <w:rFonts w:ascii="宋体" w:hAnsi="宋体"/>
          <w:snapToGrid w:val="0"/>
          <w:color w:val="000000"/>
          <w:kern w:val="0"/>
          <w:sz w:val="24"/>
          <w:highlight w:val="none"/>
          <w:u w:val="single"/>
        </w:rPr>
        <w:t xml:space="preserve"> </w:t>
      </w:r>
      <w:r>
        <w:rPr>
          <w:rFonts w:hint="eastAsia" w:ascii="宋体" w:hAnsi="宋体" w:eastAsia="宋体" w:cs="宋体"/>
          <w:b w:val="0"/>
          <w:color w:val="auto"/>
          <w:kern w:val="24"/>
          <w:szCs w:val="21"/>
          <w:highlight w:val="none"/>
          <w:lang w:eastAsia="zh-CN"/>
        </w:rPr>
        <w:t>否</w:t>
      </w:r>
    </w:p>
    <w:p w14:paraId="4322AFAE">
      <w:pPr>
        <w:numPr>
          <w:ilvl w:val="0"/>
          <w:numId w:val="0"/>
        </w:numPr>
        <w:spacing w:beforeLines="0" w:afterLines="0" w:line="360" w:lineRule="auto"/>
        <w:ind w:left="0" w:firstLine="480" w:firstLineChars="200"/>
        <w:jc w:val="both"/>
        <w:textAlignment w:val="top"/>
        <w:rPr>
          <w:rFonts w:hint="eastAsia" w:ascii="宋体" w:hAnsi="宋体" w:eastAsia="宋体" w:cs="宋体"/>
          <w:b w:val="0"/>
          <w:bCs/>
          <w:color w:val="auto"/>
          <w:kern w:val="24"/>
          <w:szCs w:val="21"/>
          <w:highlight w:val="none"/>
        </w:rPr>
      </w:pPr>
      <w:r>
        <w:rPr>
          <w:rFonts w:hint="eastAsia" w:ascii="宋体" w:hAnsi="宋体" w:eastAsia="宋体" w:cs="宋体"/>
          <w:b w:val="0"/>
          <w:bCs/>
          <w:color w:val="auto"/>
          <w:kern w:val="24"/>
          <w:szCs w:val="21"/>
          <w:highlight w:val="none"/>
        </w:rPr>
        <w:t>1</w:t>
      </w:r>
      <w:r>
        <w:rPr>
          <w:rFonts w:hint="eastAsia" w:ascii="宋体" w:hAnsi="宋体" w:eastAsia="宋体" w:cs="宋体"/>
          <w:b w:val="0"/>
          <w:bCs/>
          <w:color w:val="auto"/>
          <w:kern w:val="24"/>
          <w:szCs w:val="21"/>
          <w:highlight w:val="none"/>
          <w:lang w:val="en-US" w:eastAsia="zh-CN"/>
        </w:rPr>
        <w:t>.</w:t>
      </w:r>
      <w:r>
        <w:rPr>
          <w:rFonts w:hint="eastAsia" w:ascii="宋体" w:hAnsi="宋体" w:eastAsia="宋体" w:cs="宋体"/>
          <w:color w:val="auto"/>
          <w:szCs w:val="22"/>
          <w:highlight w:val="none"/>
        </w:rPr>
        <w:t>合同签订之日起</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2"/>
          <w:highlight w:val="none"/>
        </w:rPr>
        <w:t>10</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2"/>
          <w:highlight w:val="none"/>
        </w:rPr>
        <w:t>个工作日内，</w:t>
      </w:r>
      <w:r>
        <w:rPr>
          <w:rFonts w:hint="eastAsia" w:ascii="宋体" w:hAnsi="宋体" w:eastAsia="宋体" w:cs="宋体"/>
          <w:color w:val="auto"/>
          <w:szCs w:val="22"/>
          <w:highlight w:val="none"/>
          <w:lang w:eastAsia="zh-CN"/>
        </w:rPr>
        <w:t>乙方</w:t>
      </w:r>
      <w:r>
        <w:rPr>
          <w:rFonts w:hint="eastAsia" w:ascii="宋体" w:hAnsi="宋体" w:eastAsia="宋体" w:cs="宋体"/>
          <w:color w:val="auto"/>
          <w:szCs w:val="22"/>
          <w:highlight w:val="none"/>
        </w:rPr>
        <w:t>须向</w:t>
      </w:r>
      <w:r>
        <w:rPr>
          <w:rFonts w:hint="eastAsia" w:ascii="宋体" w:hAnsi="宋体" w:eastAsia="宋体" w:cs="宋体"/>
          <w:color w:val="auto"/>
          <w:szCs w:val="22"/>
          <w:highlight w:val="none"/>
          <w:lang w:eastAsia="zh-CN"/>
        </w:rPr>
        <w:t>丙方开具</w:t>
      </w:r>
      <w:r>
        <w:rPr>
          <w:rFonts w:hint="eastAsia" w:ascii="宋体" w:hAnsi="宋体" w:eastAsia="宋体" w:cs="宋体"/>
          <w:color w:val="auto"/>
          <w:szCs w:val="22"/>
          <w:highlight w:val="none"/>
        </w:rPr>
        <w:t>的￥</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2"/>
          <w:highlight w:val="none"/>
        </w:rPr>
        <w:t>元</w:t>
      </w:r>
      <w:r>
        <w:rPr>
          <w:rFonts w:hint="eastAsia" w:ascii="宋体" w:hAnsi="宋体" w:eastAsia="宋体" w:cs="宋体"/>
          <w:color w:val="auto"/>
          <w:szCs w:val="22"/>
          <w:highlight w:val="none"/>
          <w:lang w:val="en-US" w:eastAsia="zh-CN"/>
        </w:rPr>
        <w:t xml:space="preserve">  </w:t>
      </w:r>
      <w:r>
        <w:rPr>
          <w:rFonts w:hint="eastAsia" w:ascii="宋体" w:hAnsi="宋体" w:eastAsia="宋体" w:cs="宋体"/>
          <w:color w:val="auto"/>
          <w:szCs w:val="22"/>
          <w:highlight w:val="none"/>
        </w:rPr>
        <w:t>（大写：</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2"/>
          <w:highlight w:val="none"/>
        </w:rPr>
        <w:t xml:space="preserve"> ）</w:t>
      </w:r>
      <w:r>
        <w:rPr>
          <w:rFonts w:hint="eastAsia" w:ascii="宋体" w:hAnsi="宋体" w:eastAsia="宋体" w:cs="宋体"/>
          <w:color w:val="auto"/>
          <w:szCs w:val="22"/>
          <w:highlight w:val="none"/>
          <w:lang w:eastAsia="zh-CN"/>
        </w:rPr>
        <w:t>的履约保函</w:t>
      </w:r>
      <w:r>
        <w:rPr>
          <w:rFonts w:hint="eastAsia" w:ascii="宋体" w:hAnsi="宋体"/>
          <w:color w:val="000000"/>
          <w:sz w:val="24"/>
          <w:szCs w:val="24"/>
          <w:highlight w:val="none"/>
          <w:lang w:eastAsia="zh-CN"/>
        </w:rPr>
        <w:t>，</w:t>
      </w:r>
      <w:r>
        <w:rPr>
          <w:rFonts w:hint="eastAsia" w:ascii="宋体" w:hAnsi="宋体" w:eastAsia="宋体" w:cs="Times New Roman"/>
          <w:i w:val="0"/>
          <w:iCs w:val="0"/>
          <w:caps w:val="0"/>
          <w:color w:val="000000"/>
          <w:spacing w:val="0"/>
          <w:sz w:val="24"/>
          <w:szCs w:val="24"/>
          <w:highlight w:val="none"/>
          <w:shd w:val="clear"/>
        </w:rPr>
        <w:t>该保函的有效期至项目竣工验收合格、最终结算价按本合同</w:t>
      </w:r>
      <w:r>
        <w:rPr>
          <w:rFonts w:hint="eastAsia" w:ascii="宋体" w:hAnsi="宋体" w:eastAsia="宋体" w:cs="Times New Roman"/>
          <w:i w:val="0"/>
          <w:iCs w:val="0"/>
          <w:caps w:val="0"/>
          <w:color w:val="000000"/>
          <w:spacing w:val="0"/>
          <w:sz w:val="24"/>
          <w:szCs w:val="24"/>
          <w:highlight w:val="none"/>
          <w:shd w:val="clear"/>
          <w:lang w:val="en-US" w:eastAsia="zh-CN"/>
        </w:rPr>
        <w:t>约定的结算规则完成</w:t>
      </w:r>
      <w:r>
        <w:rPr>
          <w:rFonts w:hint="eastAsia" w:ascii="宋体" w:hAnsi="宋体" w:eastAsia="宋体" w:cs="Times New Roman"/>
          <w:i w:val="0"/>
          <w:iCs w:val="0"/>
          <w:caps w:val="0"/>
          <w:color w:val="000000"/>
          <w:spacing w:val="0"/>
          <w:sz w:val="24"/>
          <w:szCs w:val="24"/>
          <w:highlight w:val="none"/>
          <w:shd w:val="clear"/>
        </w:rPr>
        <w:t>审定，且质量保修期结束后为止</w:t>
      </w:r>
      <w:r>
        <w:rPr>
          <w:rFonts w:hint="eastAsia" w:ascii="宋体" w:hAnsi="宋体"/>
          <w:color w:val="000000"/>
          <w:sz w:val="24"/>
          <w:szCs w:val="24"/>
          <w:highlight w:val="none"/>
        </w:rPr>
        <w:t>。</w:t>
      </w:r>
    </w:p>
    <w:p w14:paraId="27A98A5F">
      <w:pPr>
        <w:numPr>
          <w:ilvl w:val="0"/>
          <w:numId w:val="0"/>
        </w:numPr>
        <w:spacing w:beforeLines="0" w:afterLines="0" w:line="360" w:lineRule="auto"/>
        <w:ind w:left="0" w:firstLine="480" w:firstLineChars="200"/>
        <w:jc w:val="both"/>
        <w:textAlignment w:val="top"/>
        <w:rPr>
          <w:rFonts w:hint="eastAsia" w:ascii="宋体" w:hAnsi="宋体" w:eastAsia="宋体" w:cs="宋体"/>
          <w:b w:val="0"/>
          <w:bCs/>
          <w:color w:val="auto"/>
          <w:kern w:val="24"/>
          <w:szCs w:val="21"/>
          <w:highlight w:val="none"/>
        </w:rPr>
      </w:pPr>
      <w:r>
        <w:rPr>
          <w:rFonts w:hint="eastAsia" w:ascii="宋体" w:hAnsi="宋体" w:eastAsia="宋体" w:cs="宋体"/>
          <w:b w:val="0"/>
          <w:bCs/>
          <w:color w:val="auto"/>
          <w:kern w:val="24"/>
          <w:szCs w:val="21"/>
          <w:highlight w:val="none"/>
        </w:rPr>
        <w:t>2</w:t>
      </w:r>
      <w:r>
        <w:rPr>
          <w:rFonts w:hint="eastAsia" w:ascii="宋体" w:hAnsi="宋体" w:eastAsia="宋体" w:cs="宋体"/>
          <w:b w:val="0"/>
          <w:bCs/>
          <w:color w:val="auto"/>
          <w:kern w:val="24"/>
          <w:szCs w:val="21"/>
          <w:highlight w:val="none"/>
          <w:lang w:val="en-US" w:eastAsia="zh-CN"/>
        </w:rPr>
        <w:t>.</w:t>
      </w:r>
      <w:r>
        <w:rPr>
          <w:rFonts w:hint="eastAsia" w:ascii="宋体" w:hAnsi="宋体" w:eastAsia="宋体" w:cs="宋体"/>
          <w:b w:val="0"/>
          <w:bCs/>
          <w:color w:val="auto"/>
          <w:kern w:val="24"/>
          <w:szCs w:val="21"/>
          <w:highlight w:val="none"/>
        </w:rPr>
        <w:t>如</w:t>
      </w:r>
      <w:r>
        <w:rPr>
          <w:rFonts w:hint="eastAsia" w:ascii="宋体" w:hAnsi="宋体" w:eastAsia="宋体" w:cs="宋体"/>
          <w:b w:val="0"/>
          <w:bCs/>
          <w:color w:val="auto"/>
          <w:kern w:val="24"/>
          <w:szCs w:val="21"/>
          <w:highlight w:val="none"/>
          <w:lang w:eastAsia="zh-CN"/>
        </w:rPr>
        <w:t>乙方</w:t>
      </w:r>
      <w:r>
        <w:rPr>
          <w:rFonts w:hint="eastAsia" w:ascii="宋体" w:hAnsi="宋体" w:eastAsia="宋体" w:cs="宋体"/>
          <w:b w:val="0"/>
          <w:bCs/>
          <w:color w:val="auto"/>
          <w:kern w:val="24"/>
          <w:szCs w:val="21"/>
          <w:highlight w:val="none"/>
        </w:rPr>
        <w:t>未能履行合同规定的义务，</w:t>
      </w:r>
      <w:r>
        <w:rPr>
          <w:rFonts w:hint="eastAsia" w:ascii="宋体" w:hAnsi="宋体" w:eastAsia="宋体" w:cs="宋体"/>
          <w:b w:val="0"/>
          <w:bCs/>
          <w:color w:val="auto"/>
          <w:kern w:val="24"/>
          <w:szCs w:val="21"/>
          <w:highlight w:val="none"/>
          <w:lang w:eastAsia="zh-CN"/>
        </w:rPr>
        <w:t>甲方、丙方</w:t>
      </w:r>
      <w:r>
        <w:rPr>
          <w:rFonts w:hint="eastAsia" w:ascii="宋体" w:hAnsi="宋体" w:eastAsia="宋体" w:cs="宋体"/>
          <w:b w:val="0"/>
          <w:bCs/>
          <w:color w:val="auto"/>
          <w:kern w:val="24"/>
          <w:szCs w:val="21"/>
          <w:highlight w:val="none"/>
        </w:rPr>
        <w:t>有权从</w:t>
      </w:r>
      <w:r>
        <w:rPr>
          <w:rFonts w:hint="eastAsia" w:ascii="宋体" w:hAnsi="宋体" w:eastAsia="宋体" w:cs="宋体"/>
          <w:b w:val="0"/>
          <w:bCs/>
          <w:color w:val="auto"/>
          <w:kern w:val="24"/>
          <w:szCs w:val="21"/>
          <w:highlight w:val="none"/>
          <w:lang w:eastAsia="zh-CN"/>
        </w:rPr>
        <w:t>履约</w:t>
      </w:r>
      <w:r>
        <w:rPr>
          <w:rFonts w:hint="eastAsia" w:ascii="宋体" w:hAnsi="宋体"/>
          <w:color w:val="000000"/>
          <w:sz w:val="24"/>
          <w:szCs w:val="24"/>
          <w:highlight w:val="none"/>
          <w:lang w:val="en-US" w:eastAsia="zh-CN"/>
        </w:rPr>
        <w:t>保函</w:t>
      </w:r>
      <w:r>
        <w:rPr>
          <w:rFonts w:hint="eastAsia" w:ascii="宋体" w:hAnsi="宋体" w:eastAsia="宋体" w:cs="宋体"/>
          <w:b w:val="0"/>
          <w:bCs/>
          <w:color w:val="auto"/>
          <w:kern w:val="24"/>
          <w:szCs w:val="21"/>
          <w:highlight w:val="none"/>
        </w:rPr>
        <w:t>中取得补偿。</w:t>
      </w:r>
    </w:p>
    <w:p w14:paraId="66F8C524">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付款方式</w:t>
      </w:r>
    </w:p>
    <w:p w14:paraId="0416D5FA">
      <w:pPr>
        <w:numPr>
          <w:ilvl w:val="0"/>
          <w:numId w:val="0"/>
        </w:numPr>
        <w:spacing w:line="360" w:lineRule="auto"/>
        <w:ind w:left="0" w:firstLine="0"/>
        <w:jc w:val="both"/>
        <w:textAlignment w:val="top"/>
        <w:rPr>
          <w:highlight w:val="none"/>
        </w:rPr>
      </w:pPr>
      <w:r>
        <w:rPr>
          <w:rFonts w:hint="eastAsia" w:ascii="宋体" w:hAnsi="宋体" w:eastAsia="宋体" w:cs="宋体"/>
          <w:color w:val="auto"/>
          <w:kern w:val="24"/>
          <w:szCs w:val="21"/>
          <w:highlight w:val="none"/>
          <w:lang w:val="en-US" w:eastAsia="zh-CN"/>
        </w:rPr>
        <w:t xml:space="preserve">8.1 </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付款方式</w:t>
      </w:r>
      <w:r>
        <w:rPr>
          <w:rFonts w:hint="eastAsia" w:ascii="宋体" w:hAnsi="宋体" w:eastAsia="宋体" w:cs="宋体"/>
          <w:color w:val="auto"/>
          <w:kern w:val="24"/>
          <w:szCs w:val="21"/>
          <w:highlight w:val="none"/>
        </w:rPr>
        <w:t>：</w:t>
      </w:r>
    </w:p>
    <w:p w14:paraId="5EB68906">
      <w:pPr>
        <w:pStyle w:val="9"/>
        <w:spacing w:line="360" w:lineRule="auto"/>
        <w:ind w:firstLine="480" w:firstLineChars="20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8.1.1 预付款</w:t>
      </w:r>
    </w:p>
    <w:p w14:paraId="1F85F2B3">
      <w:pPr>
        <w:pStyle w:val="9"/>
        <w:spacing w:line="360" w:lineRule="auto"/>
        <w:ind w:firstLine="480" w:firstLineChars="20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合同签订后7个工作日内，且政府投资项目资金计划下达后，丙方向乙方支付合同总金额的[30%]（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元；大写：</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）预付款；</w:t>
      </w:r>
    </w:p>
    <w:p w14:paraId="6691ACA4">
      <w:pPr>
        <w:pStyle w:val="9"/>
        <w:spacing w:line="360" w:lineRule="auto"/>
        <w:ind w:firstLine="480" w:firstLineChars="20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8.1.2 进度款</w:t>
      </w:r>
    </w:p>
    <w:p w14:paraId="183C9328">
      <w:pPr>
        <w:pStyle w:val="9"/>
        <w:spacing w:line="360" w:lineRule="auto"/>
        <w:ind w:firstLine="480" w:firstLineChars="20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项目所有设备安装完成，试运行完成并验收合格，甲方出具证明文件后7个工作日内，且政府投资项目资金计划下达后，付款文件齐全后，丙方向乙方支付合同总金额的 [50%]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元；大写：</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 xml:space="preserve"> ）</w:t>
      </w:r>
    </w:p>
    <w:p w14:paraId="0BB0746D">
      <w:pPr>
        <w:pStyle w:val="9"/>
        <w:spacing w:line="360" w:lineRule="auto"/>
        <w:ind w:firstLine="480" w:firstLineChars="20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8.1.3 结算款</w:t>
      </w:r>
    </w:p>
    <w:p w14:paraId="02F09099">
      <w:pPr>
        <w:pStyle w:val="9"/>
        <w:spacing w:line="360" w:lineRule="auto"/>
        <w:ind w:firstLine="480" w:firstLineChars="200"/>
        <w:jc w:val="both"/>
        <w:rPr>
          <w:rFonts w:hint="eastAsia" w:eastAsia="宋体-PUA"/>
          <w:highlight w:val="none"/>
          <w:lang w:eastAsia="zh-CN"/>
        </w:rPr>
      </w:pPr>
      <w:r>
        <w:rPr>
          <w:rFonts w:hint="eastAsia" w:ascii="宋体" w:hAnsi="宋体" w:eastAsia="宋体" w:cs="宋体"/>
          <w:color w:val="auto"/>
          <w:szCs w:val="24"/>
          <w:highlight w:val="none"/>
          <w:lang w:val="en-US" w:eastAsia="zh-CN"/>
        </w:rPr>
        <w:t>设备投入使用、报送工程结算资料后7个工作日，且政府投资项目资金计划下达后，丙方向乙方支付合同总金额的 [20%]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元；大写：</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val="en-US" w:eastAsia="zh-CN"/>
        </w:rPr>
        <w:t>）；</w:t>
      </w:r>
    </w:p>
    <w:p w14:paraId="67C24717">
      <w:pPr>
        <w:spacing w:line="360" w:lineRule="auto"/>
        <w:ind w:firstLine="480" w:firstLineChars="200"/>
        <w:jc w:val="both"/>
        <w:textAlignment w:val="baseline"/>
        <w:outlineLvl w:val="9"/>
        <w:rPr>
          <w:color w:val="auto"/>
          <w:highlight w:val="none"/>
        </w:rPr>
      </w:pPr>
      <w:r>
        <w:rPr>
          <w:rFonts w:hint="eastAsia" w:ascii="宋体" w:hAnsi="宋体" w:eastAsia="宋体" w:cs="宋体"/>
          <w:color w:val="auto"/>
          <w:szCs w:val="24"/>
          <w:highlight w:val="none"/>
          <w:lang w:val="en-US" w:eastAsia="zh-CN"/>
        </w:rPr>
        <w:t xml:space="preserve">8.2 </w:t>
      </w:r>
      <w:r>
        <w:rPr>
          <w:rFonts w:hint="eastAsia" w:ascii="宋体" w:hAnsi="宋体" w:eastAsia="宋体" w:cs="宋体"/>
          <w:color w:val="auto"/>
          <w:szCs w:val="24"/>
          <w:highlight w:val="none"/>
        </w:rPr>
        <w:t>上述付款均需由</w:t>
      </w:r>
      <w:r>
        <w:rPr>
          <w:rFonts w:hint="eastAsia" w:ascii="宋体" w:hAnsi="宋体" w:eastAsia="宋体" w:cs="宋体"/>
          <w:color w:val="auto"/>
          <w:szCs w:val="24"/>
          <w:highlight w:val="none"/>
          <w:lang w:eastAsia="zh-CN"/>
        </w:rPr>
        <w:t>乙方</w:t>
      </w:r>
      <w:r>
        <w:rPr>
          <w:rFonts w:hint="eastAsia" w:ascii="宋体" w:hAnsi="宋体" w:eastAsia="宋体" w:cs="宋体"/>
          <w:color w:val="auto"/>
          <w:szCs w:val="24"/>
          <w:highlight w:val="none"/>
        </w:rPr>
        <w:t>提出付款申请并同时提供等额的增值税发票给</w:t>
      </w:r>
      <w:r>
        <w:rPr>
          <w:rFonts w:hint="eastAsia" w:ascii="宋体" w:hAnsi="宋体" w:eastAsia="宋体" w:cs="宋体"/>
          <w:color w:val="auto"/>
          <w:szCs w:val="24"/>
          <w:highlight w:val="none"/>
          <w:lang w:eastAsia="zh-CN"/>
        </w:rPr>
        <w:t>甲方</w:t>
      </w:r>
      <w:r>
        <w:rPr>
          <w:rFonts w:hint="eastAsia" w:ascii="宋体" w:hAnsi="宋体" w:eastAsia="宋体" w:cs="宋体"/>
          <w:color w:val="auto"/>
          <w:szCs w:val="24"/>
          <w:highlight w:val="none"/>
        </w:rPr>
        <w:t>，付款程序经</w:t>
      </w:r>
      <w:r>
        <w:rPr>
          <w:rFonts w:hint="eastAsia" w:ascii="宋体" w:hAnsi="宋体" w:eastAsia="宋体" w:cs="宋体"/>
          <w:color w:val="auto"/>
          <w:szCs w:val="24"/>
          <w:highlight w:val="none"/>
          <w:lang w:eastAsia="zh-CN"/>
        </w:rPr>
        <w:t>甲方</w:t>
      </w:r>
      <w:r>
        <w:rPr>
          <w:rFonts w:hint="eastAsia" w:ascii="宋体" w:hAnsi="宋体" w:eastAsia="宋体" w:cs="宋体"/>
          <w:color w:val="auto"/>
          <w:szCs w:val="24"/>
          <w:highlight w:val="none"/>
        </w:rPr>
        <w:t>审批确认后，由</w:t>
      </w:r>
      <w:r>
        <w:rPr>
          <w:rFonts w:hint="eastAsia" w:ascii="宋体" w:hAnsi="宋体" w:eastAsia="宋体" w:cs="宋体"/>
          <w:color w:val="auto"/>
          <w:szCs w:val="24"/>
          <w:highlight w:val="none"/>
          <w:lang w:eastAsia="zh-CN"/>
        </w:rPr>
        <w:t>丙方</w:t>
      </w:r>
      <w:r>
        <w:rPr>
          <w:rFonts w:hint="eastAsia" w:ascii="宋体" w:hAnsi="宋体" w:eastAsia="宋体" w:cs="宋体"/>
          <w:color w:val="auto"/>
          <w:szCs w:val="24"/>
          <w:highlight w:val="none"/>
        </w:rPr>
        <w:t>按照</w:t>
      </w:r>
      <w:r>
        <w:rPr>
          <w:rFonts w:hint="eastAsia" w:ascii="宋体" w:hAnsi="宋体" w:eastAsia="宋体" w:cs="宋体"/>
          <w:color w:val="auto"/>
          <w:szCs w:val="24"/>
          <w:highlight w:val="none"/>
          <w:lang w:eastAsia="zh-CN"/>
        </w:rPr>
        <w:t>甲方</w:t>
      </w:r>
      <w:r>
        <w:rPr>
          <w:rFonts w:hint="eastAsia" w:ascii="宋体" w:hAnsi="宋体" w:eastAsia="宋体" w:cs="宋体"/>
          <w:color w:val="auto"/>
          <w:szCs w:val="24"/>
          <w:highlight w:val="none"/>
        </w:rPr>
        <w:t>的书面通知及本协议约定付款。</w:t>
      </w:r>
    </w:p>
    <w:p w14:paraId="4E0B4DE1">
      <w:pPr>
        <w:spacing w:beforeLines="0" w:afterLines="0" w:line="360" w:lineRule="auto"/>
        <w:ind w:firstLine="480" w:firstLineChars="200"/>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8.3 </w:t>
      </w:r>
      <w:r>
        <w:rPr>
          <w:rFonts w:hint="eastAsia" w:ascii="宋体" w:hAnsi="宋体" w:eastAsia="宋体" w:cs="宋体"/>
          <w:color w:val="auto"/>
          <w:kern w:val="24"/>
          <w:szCs w:val="21"/>
          <w:highlight w:val="none"/>
        </w:rPr>
        <w:t>付款周期为付款资料齐全后的7个工作日内。</w:t>
      </w:r>
    </w:p>
    <w:p w14:paraId="0D0B83B1">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8.4 </w:t>
      </w:r>
      <w:r>
        <w:rPr>
          <w:rFonts w:hint="eastAsia" w:ascii="宋体" w:hAnsi="宋体" w:eastAsia="宋体" w:cs="宋体"/>
          <w:color w:val="auto"/>
          <w:kern w:val="24"/>
          <w:szCs w:val="21"/>
          <w:highlight w:val="none"/>
        </w:rPr>
        <w:t>各方知道并同意：</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并非项目的所有权人或项目权益人。本合同约定的</w:t>
      </w:r>
      <w:r>
        <w:rPr>
          <w:rFonts w:hint="eastAsia" w:ascii="宋体" w:hAnsi="宋体" w:eastAsia="宋体" w:cs="宋体"/>
          <w:color w:val="auto"/>
          <w:kern w:val="24"/>
          <w:szCs w:val="21"/>
          <w:highlight w:val="none"/>
          <w:lang w:eastAsia="zh-CN"/>
        </w:rPr>
        <w:t>款项</w:t>
      </w:r>
      <w:r>
        <w:rPr>
          <w:rFonts w:hint="eastAsia" w:ascii="宋体" w:hAnsi="宋体" w:eastAsia="宋体" w:cs="宋体"/>
          <w:color w:val="auto"/>
          <w:kern w:val="24"/>
          <w:szCs w:val="21"/>
          <w:highlight w:val="none"/>
        </w:rPr>
        <w:t>由财政支付，因政府支付流程原因导致的支付迟延不属于</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的违约行为，</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不承担违约责任或赔偿责任。</w:t>
      </w:r>
    </w:p>
    <w:p w14:paraId="3256EFCD">
      <w:pPr>
        <w:spacing w:line="360" w:lineRule="auto"/>
        <w:ind w:firstLine="480" w:firstLineChars="200"/>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8.5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确认，</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付款时，无论是否备注款项性质等事项、</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开具的发票及收据等文件备注的款项性质与合同约定是否一致，一经支付，均视为</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已收到</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支付的相关款项，均视为</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已履行相关付款义务。如</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对付款及款项有异议的，应在收款后5个自然日内向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提出且送达书面异议，否则视为无异议。</w:t>
      </w:r>
    </w:p>
    <w:p w14:paraId="7013DB2C">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8.6 </w:t>
      </w:r>
      <w:r>
        <w:rPr>
          <w:rFonts w:hint="eastAsia" w:ascii="宋体" w:hAnsi="宋体" w:eastAsia="宋体" w:cs="Times New Roman"/>
          <w:color w:val="000000"/>
          <w:kern w:val="2"/>
          <w:sz w:val="24"/>
          <w:szCs w:val="24"/>
          <w:highlight w:val="none"/>
          <w:lang w:val="en-US" w:eastAsia="zh-CN"/>
        </w:rPr>
        <w:t>乙方</w:t>
      </w:r>
      <w:r>
        <w:rPr>
          <w:rFonts w:hint="eastAsia" w:ascii="宋体" w:hAnsi="宋体" w:eastAsia="宋体" w:cs="Times New Roman"/>
          <w:color w:val="000000"/>
          <w:kern w:val="2"/>
          <w:sz w:val="24"/>
          <w:szCs w:val="24"/>
          <w:highlight w:val="none"/>
        </w:rPr>
        <w:t>充分理解本合同费用由财政支付，如因政府流程原因导致合同价款未按照合同约定的期限支付的，</w:t>
      </w:r>
      <w:r>
        <w:rPr>
          <w:rFonts w:hint="eastAsia" w:ascii="宋体" w:hAnsi="宋体" w:eastAsia="宋体" w:cs="Times New Roman"/>
          <w:color w:val="000000"/>
          <w:kern w:val="2"/>
          <w:sz w:val="24"/>
          <w:szCs w:val="24"/>
          <w:highlight w:val="none"/>
          <w:lang w:val="en-US" w:eastAsia="zh-CN"/>
        </w:rPr>
        <w:t>乙方</w:t>
      </w:r>
      <w:r>
        <w:rPr>
          <w:rFonts w:hint="eastAsia" w:ascii="宋体" w:hAnsi="宋体" w:eastAsia="宋体" w:cs="Times New Roman"/>
          <w:color w:val="000000"/>
          <w:kern w:val="2"/>
          <w:sz w:val="24"/>
          <w:szCs w:val="24"/>
          <w:highlight w:val="none"/>
        </w:rPr>
        <w:t>同意</w:t>
      </w:r>
      <w:r>
        <w:rPr>
          <w:rFonts w:hint="eastAsia" w:ascii="宋体" w:hAnsi="宋体" w:eastAsia="宋体" w:cs="Times New Roman"/>
          <w:color w:val="000000"/>
          <w:kern w:val="2"/>
          <w:sz w:val="24"/>
          <w:szCs w:val="24"/>
          <w:highlight w:val="none"/>
          <w:lang w:val="en-US" w:eastAsia="zh-CN"/>
        </w:rPr>
        <w:t>丙方</w:t>
      </w:r>
      <w:r>
        <w:rPr>
          <w:rFonts w:hint="eastAsia" w:ascii="宋体" w:hAnsi="宋体" w:eastAsia="宋体" w:cs="Times New Roman"/>
          <w:color w:val="000000"/>
          <w:kern w:val="2"/>
          <w:sz w:val="24"/>
          <w:szCs w:val="24"/>
          <w:highlight w:val="none"/>
        </w:rPr>
        <w:t>在力所能及的范围内争取尽快完成支付，本合同约定中小企业支付利息计算标准应为当月全国银行间同业拆借中心公布的1年期贷款市场报价利率。自应付款之日起，</w:t>
      </w:r>
      <w:r>
        <w:rPr>
          <w:rFonts w:hint="eastAsia" w:ascii="宋体" w:hAnsi="宋体" w:eastAsia="宋体" w:cs="Times New Roman"/>
          <w:color w:val="000000"/>
          <w:kern w:val="2"/>
          <w:sz w:val="24"/>
          <w:szCs w:val="24"/>
          <w:highlight w:val="none"/>
          <w:lang w:val="en-US" w:eastAsia="zh-CN"/>
        </w:rPr>
        <w:t>若丙方</w:t>
      </w:r>
      <w:r>
        <w:rPr>
          <w:rFonts w:hint="eastAsia" w:ascii="宋体" w:hAnsi="宋体" w:eastAsia="宋体" w:cs="Times New Roman"/>
          <w:color w:val="000000"/>
          <w:kern w:val="2"/>
          <w:sz w:val="24"/>
          <w:szCs w:val="24"/>
          <w:highlight w:val="none"/>
        </w:rPr>
        <w:t>在一年期限内完成款项支付，则不构成违约行为，且无需支付逾期利息</w:t>
      </w:r>
      <w:r>
        <w:rPr>
          <w:rFonts w:hint="eastAsia" w:ascii="宋体" w:hAnsi="宋体" w:eastAsia="宋体" w:cs="Times New Roman"/>
          <w:color w:val="000000"/>
          <w:kern w:val="2"/>
          <w:sz w:val="24"/>
          <w:szCs w:val="24"/>
          <w:highlight w:val="none"/>
          <w:lang w:eastAsia="zh-CN"/>
        </w:rPr>
        <w:t>，</w:t>
      </w:r>
      <w:r>
        <w:rPr>
          <w:rFonts w:hint="eastAsia" w:ascii="宋体" w:hAnsi="宋体" w:eastAsia="宋体" w:cs="宋体"/>
          <w:color w:val="auto"/>
          <w:kern w:val="24"/>
          <w:szCs w:val="21"/>
          <w:highlight w:val="none"/>
        </w:rPr>
        <w:t>在合同价款无法按本合同约定时间支付时，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应继续履行各项合同义务。</w:t>
      </w:r>
    </w:p>
    <w:p w14:paraId="42C3B99C">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8.7三</w:t>
      </w:r>
      <w:r>
        <w:rPr>
          <w:rFonts w:hint="eastAsia" w:ascii="宋体" w:hAnsi="宋体" w:eastAsia="宋体" w:cs="宋体"/>
          <w:color w:val="auto"/>
          <w:kern w:val="24"/>
          <w:szCs w:val="21"/>
          <w:highlight w:val="none"/>
        </w:rPr>
        <w:t>方确认，如因政府资金计划、政府财政拨款、国库支付程序、第三方审查以及超概重新调整报批等不可归责于</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的原因，导致</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未能按约定支付合同价款的，</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不承担赔偿责任，无需就延迟付款支付任何利息或补偿;</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自愿放弃因此可能产生的所有索赔或要求(包括但不限于利息、资金占用损失、差旅费、诉讼费、保全费、律师费等)，并承诺自行承担由此造成的全部损失。</w:t>
      </w:r>
      <w:r>
        <w:rPr>
          <w:highlight w:val="none"/>
        </w:rPr>
        <w:t>本条不应解释为甲方对丙方的付款义务承担连带责任；法律、行政法规对中小企业款项支付另有强制性规定的，从其规定。</w:t>
      </w:r>
    </w:p>
    <w:p w14:paraId="17C699B5">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在申请付款时应同时提供合法有效的等额发票及相应的付款资料，所有款项申请发票抬头必须为</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u w:val="single"/>
          <w:lang w:val="en-US" w:eastAsia="zh-CN"/>
        </w:rPr>
        <w:t>深圳市福田区建筑工务署</w:t>
      </w:r>
      <w:r>
        <w:rPr>
          <w:rFonts w:hint="eastAsia" w:ascii="宋体" w:hAnsi="宋体" w:eastAsia="宋体" w:cs="宋体"/>
          <w:color w:val="auto"/>
          <w:kern w:val="24"/>
          <w:szCs w:val="21"/>
          <w:highlight w:val="none"/>
        </w:rPr>
        <w:t>），否则</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有权拒绝付款且不承担任何违约责任。</w:t>
      </w:r>
    </w:p>
    <w:p w14:paraId="76FA09B4">
      <w:pPr>
        <w:spacing w:line="360" w:lineRule="auto"/>
        <w:ind w:firstLine="480" w:firstLineChars="200"/>
        <w:jc w:val="both"/>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8.8 乙方指定收款信息如下：</w:t>
      </w:r>
    </w:p>
    <w:p w14:paraId="3F01A402">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账号名称：</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 xml:space="preserve"> </w:t>
      </w:r>
    </w:p>
    <w:p w14:paraId="09BC5D32">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账    号：</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p w14:paraId="0BD10B51">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开 户 行：</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p w14:paraId="490DA711">
      <w:pPr>
        <w:spacing w:line="360" w:lineRule="auto"/>
        <w:ind w:firstLine="480" w:firstLineChars="200"/>
        <w:jc w:val="both"/>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8.9最终的结算费用以甲方指定的具有相应资质的第三方造价咨询公司出具的审核结果为准。如本项目被政府相关部门抽查审核的，最终结算金额以政府相关部门核查确定的结算价或按照政府相关部门核查意见调整后的结算价款为准。如政府相关部门核查后确定的结算价或按照政府相关部门核查意见调整后的结算价款较前述专业审核单位核定结算价款少的，乙方应无条件全额退回超付款项。</w:t>
      </w:r>
    </w:p>
    <w:p w14:paraId="4AE51470">
      <w:pPr>
        <w:numPr>
          <w:ilvl w:val="0"/>
          <w:numId w:val="2"/>
        </w:numPr>
        <w:spacing w:line="360" w:lineRule="auto"/>
        <w:ind w:left="0" w:firstLine="0" w:firstLineChars="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智慧工务系统约定：</w:t>
      </w:r>
    </w:p>
    <w:p w14:paraId="6E932EB1">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default" w:ascii="宋体" w:hAnsi="宋体" w:eastAsia="宋体" w:cs="宋体"/>
          <w:color w:val="auto"/>
          <w:kern w:val="24"/>
          <w:szCs w:val="21"/>
          <w:highlight w:val="none"/>
          <w:lang w:val="en-US" w:eastAsia="zh-CN"/>
        </w:rPr>
        <w:t>乙方应按照丙方通知将项目进度及相关数据文件等信息上传至福田区建筑工务署智慧工务管理系统，并根据丙方的要求随时补充相关信息。</w:t>
      </w:r>
    </w:p>
    <w:p w14:paraId="21113CD2">
      <w:pPr>
        <w:numPr>
          <w:ilvl w:val="0"/>
          <w:numId w:val="4"/>
        </w:num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default" w:ascii="宋体" w:hAnsi="宋体" w:eastAsia="宋体" w:cs="宋体"/>
          <w:color w:val="auto"/>
          <w:kern w:val="24"/>
          <w:szCs w:val="21"/>
          <w:highlight w:val="none"/>
          <w:lang w:val="en-US" w:eastAsia="zh-CN"/>
        </w:rPr>
        <w:t>丙方为乙方提供福田区建筑工务署智慧工务管理系统登录账号及初始密码如下：</w:t>
      </w:r>
    </w:p>
    <w:p w14:paraId="608DCF5C">
      <w:pPr>
        <w:numPr>
          <w:ilvl w:val="-1"/>
          <w:numId w:val="0"/>
        </w:numPr>
        <w:spacing w:line="360" w:lineRule="auto"/>
        <w:ind w:firstLine="480" w:firstLineChars="200"/>
        <w:jc w:val="both"/>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账号：</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p w14:paraId="0A786FB9">
      <w:pPr>
        <w:numPr>
          <w:ilvl w:val="-1"/>
          <w:numId w:val="0"/>
        </w:num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密码：</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p>
    <w:p w14:paraId="0071A66F">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default" w:ascii="宋体" w:hAnsi="宋体" w:eastAsia="宋体" w:cs="宋体"/>
          <w:color w:val="auto"/>
          <w:kern w:val="24"/>
          <w:szCs w:val="21"/>
          <w:highlight w:val="none"/>
          <w:lang w:val="en-US" w:eastAsia="zh-CN"/>
        </w:rPr>
        <w:t>2、乙方应在本协议签订后三日内，指定项目经理以上级别的工作人员按照上列账号密码登陆福田区建筑工务署智慧工务管理系统,完善乙方实名认证信息并上传相关原件资料扫描件。实名认证信息包括但不限于填报企业社会统一信用代码、银行账户信息、法定代表人的真实姓名和身份证号码、指定联系人的真实姓名和身份证号码以及联系方式等。乙方完成实名认证后应立即修改密码。</w:t>
      </w:r>
    </w:p>
    <w:p w14:paraId="78764B5E">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default" w:ascii="宋体" w:hAnsi="宋体" w:eastAsia="宋体" w:cs="宋体"/>
          <w:color w:val="auto"/>
          <w:kern w:val="24"/>
          <w:szCs w:val="21"/>
          <w:highlight w:val="none"/>
          <w:lang w:val="en-US" w:eastAsia="zh-CN"/>
        </w:rPr>
        <w:t>3、乙方应按照本项目工程进度，登陆该系统录入和更新合同款支付、工程联系单、工程变更、签证等数据信息，并上传相应的扫描件。</w:t>
      </w:r>
    </w:p>
    <w:p w14:paraId="4792D60D">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default" w:ascii="宋体" w:hAnsi="宋体" w:eastAsia="宋体" w:cs="宋体"/>
          <w:color w:val="auto"/>
          <w:kern w:val="24"/>
          <w:szCs w:val="21"/>
          <w:highlight w:val="none"/>
          <w:lang w:val="en-US" w:eastAsia="zh-CN"/>
        </w:rPr>
        <w:t>4、本协议签订后，一切以上述账号实施的操作行为均视为乙方的公司行为。乙方应对其录入的工程数据信息的真实、合法、有效和准确性负完全责任，承担因其工作人员录入数据错误或失真所引起的一切法律及经济责任。乙方实名认证信息或操作人员发生变化时，应立即在该系统中更正信息并采取有效措施收回账号操作权限。任何情况下，乙方均不得以其对账号操作情况不知情为由拒绝承担相关责任。</w:t>
      </w:r>
    </w:p>
    <w:p w14:paraId="7E05C3A3">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default" w:ascii="宋体" w:hAnsi="宋体" w:eastAsia="宋体" w:cs="宋体"/>
          <w:color w:val="auto"/>
          <w:kern w:val="24"/>
          <w:szCs w:val="21"/>
          <w:highlight w:val="none"/>
          <w:lang w:val="en-US" w:eastAsia="zh-CN"/>
        </w:rPr>
        <w:t>5、合同履行过程中，丙方可通过福田区建筑工务署智慧工务管理系统发送函件、通知等文件给乙方，函件或通知等文件在福田区建筑工务署智慧工务管理系统内发送至乙方的时间为送达时间。丙方按照此方式送达的函件、通知等文件有效，乙方不能以未收到或未注意为抗辩理由。</w:t>
      </w:r>
    </w:p>
    <w:p w14:paraId="5DF8FC24">
      <w:pPr>
        <w:numPr>
          <w:ilvl w:val="0"/>
          <w:numId w:val="0"/>
        </w:numPr>
        <w:wordWrap/>
        <w:snapToGrid/>
        <w:spacing w:before="0" w:beforeLines="-2147483648" w:afterLines="-2147483648" w:line="360" w:lineRule="auto"/>
        <w:ind w:firstLine="480" w:firstLineChars="200"/>
        <w:jc w:val="both"/>
        <w:outlineLvl w:val="9"/>
        <w:rPr>
          <w:rFonts w:hint="default" w:ascii="宋体" w:hAnsi="宋体" w:eastAsia="宋体" w:cs="Times New Roman"/>
          <w:color w:val="000000"/>
          <w:kern w:val="2"/>
          <w:sz w:val="24"/>
          <w:szCs w:val="24"/>
          <w:highlight w:val="none"/>
          <w:lang w:val="en-US" w:eastAsia="zh-CN"/>
        </w:rPr>
      </w:pPr>
      <w:r>
        <w:rPr>
          <w:rFonts w:hint="default" w:ascii="宋体" w:hAnsi="宋体" w:eastAsia="宋体" w:cs="Times New Roman"/>
          <w:color w:val="000000"/>
          <w:kern w:val="2"/>
          <w:sz w:val="24"/>
          <w:szCs w:val="24"/>
          <w:highlight w:val="none"/>
          <w:lang w:val="en-US" w:eastAsia="zh-CN"/>
        </w:rPr>
        <w:t>6、</w:t>
      </w:r>
      <w:r>
        <w:rPr>
          <w:rFonts w:hint="eastAsia" w:ascii="宋体" w:hAnsi="宋体" w:eastAsia="宋体" w:cs="Times New Roman"/>
          <w:color w:val="000000"/>
          <w:kern w:val="2"/>
          <w:sz w:val="24"/>
          <w:szCs w:val="24"/>
          <w:highlight w:val="none"/>
          <w:lang w:val="en-US" w:eastAsia="zh-CN"/>
        </w:rPr>
        <w:t>甲方和乙方</w:t>
      </w:r>
      <w:r>
        <w:rPr>
          <w:rFonts w:hint="default" w:ascii="宋体" w:hAnsi="宋体" w:eastAsia="宋体" w:cs="Times New Roman"/>
          <w:color w:val="000000"/>
          <w:kern w:val="2"/>
          <w:sz w:val="24"/>
          <w:szCs w:val="24"/>
          <w:highlight w:val="none"/>
          <w:lang w:val="en-US" w:eastAsia="zh-CN"/>
        </w:rPr>
        <w:t>承诺，对于经智慧工务系统完成全部审批流程的合同（以下简称 “智慧工务最终审核版本合同”），未经</w:t>
      </w:r>
      <w:r>
        <w:rPr>
          <w:rFonts w:hint="eastAsia" w:ascii="宋体" w:hAnsi="宋体" w:eastAsia="宋体" w:cs="Times New Roman"/>
          <w:color w:val="000000"/>
          <w:kern w:val="2"/>
          <w:sz w:val="24"/>
          <w:szCs w:val="24"/>
          <w:highlight w:val="none"/>
          <w:lang w:val="en-US" w:eastAsia="zh-CN"/>
        </w:rPr>
        <w:t>丙方</w:t>
      </w:r>
      <w:r>
        <w:rPr>
          <w:rFonts w:hint="default" w:ascii="宋体" w:hAnsi="宋体" w:eastAsia="宋体" w:cs="Times New Roman"/>
          <w:color w:val="000000"/>
          <w:kern w:val="2"/>
          <w:sz w:val="24"/>
          <w:szCs w:val="24"/>
          <w:highlight w:val="none"/>
          <w:lang w:val="en-US" w:eastAsia="zh-CN"/>
        </w:rPr>
        <w:t>及智慧工务审批相关有权主体书面同意，不得擅自对合同内容进行任何修改、删减、补充或变更，包括但不限于合同标的、价款、履行期限、权利义务、违约责任等核心条款及其他任何附属条款。</w:t>
      </w:r>
    </w:p>
    <w:p w14:paraId="5F7381FB">
      <w:pPr>
        <w:widowControl/>
        <w:numPr>
          <w:ilvl w:val="0"/>
          <w:numId w:val="0"/>
        </w:numPr>
        <w:spacing w:line="360" w:lineRule="auto"/>
        <w:ind w:firstLine="480" w:firstLineChars="200"/>
        <w:jc w:val="both"/>
        <w:textAlignment w:val="auto"/>
        <w:rPr>
          <w:rFonts w:hint="default" w:ascii="宋体" w:hAnsi="宋体" w:eastAsia="宋体" w:cs="宋体"/>
          <w:color w:val="auto"/>
          <w:kern w:val="24"/>
          <w:szCs w:val="21"/>
          <w:highlight w:val="none"/>
          <w:lang w:val="en-US" w:eastAsia="zh-CN"/>
        </w:rPr>
      </w:pPr>
      <w:r>
        <w:rPr>
          <w:rFonts w:hint="default" w:ascii="宋体" w:hAnsi="宋体" w:eastAsia="宋体" w:cs="Times New Roman"/>
          <w:color w:val="000000"/>
          <w:kern w:val="2"/>
          <w:sz w:val="24"/>
          <w:szCs w:val="24"/>
          <w:highlight w:val="none"/>
          <w:lang w:val="en-US" w:eastAsia="zh-CN"/>
        </w:rPr>
        <w:t>7、若本合同最终实际用印版本（包括双方签字盖章的纸质版本、电子签章版本及其他具有法律效力的版本）与智慧工务最终审核版本合同内容存在任何不一致（包括文字表述、条款内容、附件材料等方面的差异），</w:t>
      </w:r>
      <w:r>
        <w:rPr>
          <w:rFonts w:hint="eastAsia" w:ascii="宋体" w:hAnsi="宋体" w:eastAsia="宋体" w:cs="Times New Roman"/>
          <w:color w:val="000000"/>
          <w:kern w:val="2"/>
          <w:sz w:val="24"/>
          <w:szCs w:val="24"/>
          <w:highlight w:val="none"/>
          <w:lang w:val="en-US" w:eastAsia="zh-CN"/>
        </w:rPr>
        <w:t>甲方和乙方</w:t>
      </w:r>
      <w:r>
        <w:rPr>
          <w:rFonts w:hint="default" w:ascii="宋体" w:hAnsi="宋体" w:eastAsia="宋体" w:cs="Times New Roman"/>
          <w:color w:val="000000"/>
          <w:kern w:val="2"/>
          <w:sz w:val="24"/>
          <w:szCs w:val="24"/>
          <w:highlight w:val="none"/>
          <w:lang w:val="en-US" w:eastAsia="zh-CN"/>
        </w:rPr>
        <w:t>需按照智慧工务审核版本合同内容实际履行，并书面说明合同差异产生原因。</w:t>
      </w:r>
    </w:p>
    <w:p w14:paraId="5B47F23B">
      <w:pPr>
        <w:numPr>
          <w:ilvl w:val="0"/>
          <w:numId w:val="2"/>
        </w:numPr>
        <w:spacing w:line="360" w:lineRule="auto"/>
        <w:ind w:left="0" w:firstLine="0" w:firstLineChars="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lang w:val="en-US" w:eastAsia="zh-CN"/>
        </w:rPr>
        <w:t>其他约定</w:t>
      </w:r>
      <w:r>
        <w:rPr>
          <w:rFonts w:hint="eastAsia" w:ascii="宋体" w:hAnsi="宋体" w:eastAsia="宋体" w:cs="宋体"/>
          <w:b/>
          <w:color w:val="auto"/>
          <w:kern w:val="24"/>
          <w:szCs w:val="21"/>
          <w:highlight w:val="none"/>
        </w:rPr>
        <w:t>：</w:t>
      </w:r>
    </w:p>
    <w:p w14:paraId="43935816">
      <w:pPr>
        <w:spacing w:line="360" w:lineRule="auto"/>
        <w:ind w:firstLine="480" w:firstLineChars="200"/>
        <w:jc w:val="both"/>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10.1 乙方</w:t>
      </w:r>
      <w:r>
        <w:rPr>
          <w:rFonts w:hint="eastAsia" w:ascii="宋体" w:hAnsi="宋体" w:eastAsia="宋体" w:cs="宋体"/>
          <w:color w:val="auto"/>
          <w:kern w:val="24"/>
          <w:szCs w:val="21"/>
          <w:highlight w:val="none"/>
        </w:rPr>
        <w:t>应保障其与第三方纠纷不涉及</w:t>
      </w:r>
      <w:r>
        <w:rPr>
          <w:rFonts w:hint="eastAsia" w:ascii="宋体" w:hAnsi="宋体" w:eastAsia="宋体" w:cs="宋体"/>
          <w:color w:val="auto"/>
          <w:kern w:val="24"/>
          <w:szCs w:val="21"/>
          <w:highlight w:val="none"/>
          <w:lang w:val="en-US" w:eastAsia="zh-CN"/>
        </w:rPr>
        <w:t>甲方与丙方</w:t>
      </w:r>
      <w:r>
        <w:rPr>
          <w:rFonts w:hint="eastAsia" w:ascii="宋体" w:hAnsi="宋体" w:eastAsia="宋体" w:cs="宋体"/>
          <w:color w:val="auto"/>
          <w:kern w:val="24"/>
          <w:szCs w:val="21"/>
          <w:highlight w:val="none"/>
        </w:rPr>
        <w:t>，若因此导致</w:t>
      </w:r>
      <w:r>
        <w:rPr>
          <w:rFonts w:hint="eastAsia" w:ascii="宋体" w:hAnsi="宋体" w:eastAsia="宋体" w:cs="宋体"/>
          <w:color w:val="auto"/>
          <w:kern w:val="24"/>
          <w:szCs w:val="21"/>
          <w:highlight w:val="none"/>
          <w:lang w:val="en-US" w:eastAsia="zh-CN"/>
        </w:rPr>
        <w:t>甲方或丙方</w:t>
      </w:r>
      <w:r>
        <w:rPr>
          <w:rFonts w:hint="eastAsia" w:ascii="宋体" w:hAnsi="宋体" w:eastAsia="宋体" w:cs="宋体"/>
          <w:color w:val="auto"/>
          <w:kern w:val="24"/>
          <w:szCs w:val="21"/>
          <w:highlight w:val="none"/>
        </w:rPr>
        <w:t>涉诉或</w:t>
      </w:r>
      <w:r>
        <w:rPr>
          <w:rFonts w:hint="eastAsia" w:ascii="宋体" w:hAnsi="宋体" w:eastAsia="宋体" w:cs="宋体"/>
          <w:color w:val="auto"/>
          <w:kern w:val="24"/>
          <w:szCs w:val="21"/>
          <w:highlight w:val="none"/>
          <w:lang w:val="en-US" w:eastAsia="zh-CN"/>
        </w:rPr>
        <w:t>甲方、丙方</w:t>
      </w:r>
      <w:r>
        <w:rPr>
          <w:rFonts w:hint="eastAsia" w:ascii="宋体" w:hAnsi="宋体" w:eastAsia="宋体" w:cs="宋体"/>
          <w:color w:val="auto"/>
          <w:kern w:val="24"/>
          <w:szCs w:val="21"/>
          <w:highlight w:val="none"/>
        </w:rPr>
        <w:t>账户被查封冻结划扣或其他影响</w:t>
      </w:r>
      <w:r>
        <w:rPr>
          <w:rFonts w:hint="eastAsia" w:ascii="宋体" w:hAnsi="宋体" w:eastAsia="宋体" w:cs="宋体"/>
          <w:color w:val="auto"/>
          <w:kern w:val="24"/>
          <w:szCs w:val="21"/>
          <w:highlight w:val="none"/>
          <w:lang w:val="en-US" w:eastAsia="zh-CN"/>
        </w:rPr>
        <w:t>甲方、丙方</w:t>
      </w:r>
      <w:r>
        <w:rPr>
          <w:rFonts w:hint="eastAsia" w:ascii="宋体" w:hAnsi="宋体" w:eastAsia="宋体" w:cs="宋体"/>
          <w:color w:val="auto"/>
          <w:kern w:val="24"/>
          <w:szCs w:val="21"/>
          <w:highlight w:val="none"/>
        </w:rPr>
        <w:t>正常工作开展等情况的，</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应积极负责一切协调工作并承担与此有关的一切赔偿或费用（包括但不限于损害赔偿金、违约金、诉讼费、仲裁费、律师费、差旅费等），若上述费用由</w:t>
      </w:r>
      <w:r>
        <w:rPr>
          <w:rFonts w:hint="eastAsia" w:ascii="宋体" w:hAnsi="宋体" w:eastAsia="宋体" w:cs="宋体"/>
          <w:color w:val="auto"/>
          <w:kern w:val="24"/>
          <w:szCs w:val="21"/>
          <w:highlight w:val="none"/>
          <w:lang w:val="en-US" w:eastAsia="zh-CN"/>
        </w:rPr>
        <w:t>甲方或丙方</w:t>
      </w:r>
      <w:r>
        <w:rPr>
          <w:rFonts w:hint="eastAsia" w:ascii="宋体" w:hAnsi="宋体" w:eastAsia="宋体" w:cs="宋体"/>
          <w:color w:val="auto"/>
          <w:kern w:val="24"/>
          <w:szCs w:val="21"/>
          <w:highlight w:val="none"/>
        </w:rPr>
        <w:t>先行支付</w:t>
      </w:r>
      <w:r>
        <w:rPr>
          <w:rFonts w:hint="eastAsia" w:ascii="宋体" w:hAnsi="宋体" w:eastAsia="宋体" w:cs="宋体"/>
          <w:color w:val="auto"/>
          <w:kern w:val="24"/>
          <w:szCs w:val="21"/>
          <w:highlight w:val="none"/>
          <w:lang w:val="en-US" w:eastAsia="zh-CN"/>
        </w:rPr>
        <w:t>的</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甲方或丙方</w:t>
      </w:r>
      <w:r>
        <w:rPr>
          <w:rFonts w:hint="eastAsia" w:ascii="宋体" w:hAnsi="宋体" w:eastAsia="宋体" w:cs="宋体"/>
          <w:color w:val="auto"/>
          <w:kern w:val="24"/>
          <w:szCs w:val="21"/>
          <w:highlight w:val="none"/>
        </w:rPr>
        <w:t>有权在</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rPr>
        <w:t>后续应付款项内直接予以扣除。</w:t>
      </w:r>
    </w:p>
    <w:p w14:paraId="5E31514B">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lang w:eastAsia="zh-CN"/>
        </w:rPr>
        <w:t>各</w:t>
      </w:r>
      <w:r>
        <w:rPr>
          <w:rFonts w:hint="eastAsia" w:ascii="宋体" w:hAnsi="宋体" w:eastAsia="宋体" w:cs="宋体"/>
          <w:b/>
          <w:color w:val="auto"/>
          <w:kern w:val="24"/>
          <w:szCs w:val="21"/>
          <w:highlight w:val="none"/>
        </w:rPr>
        <w:t>方代表</w:t>
      </w:r>
    </w:p>
    <w:p w14:paraId="0318F894">
      <w:pPr>
        <w:spacing w:line="360" w:lineRule="auto"/>
        <w:ind w:firstLine="470" w:firstLineChars="196"/>
        <w:jc w:val="both"/>
        <w:textAlignment w:val="top"/>
        <w:rPr>
          <w:rFonts w:hint="eastAsia" w:ascii="宋体" w:hAnsi="宋体" w:eastAsia="宋体" w:cs="宋体"/>
          <w:color w:val="auto"/>
          <w:kern w:val="24"/>
          <w:szCs w:val="21"/>
          <w:highlight w:val="none"/>
          <w:lang w:eastAsia="zh-CN"/>
        </w:rPr>
      </w:pP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代表：</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w:t>
      </w:r>
    </w:p>
    <w:p w14:paraId="7656D709">
      <w:pPr>
        <w:spacing w:line="360" w:lineRule="auto"/>
        <w:ind w:firstLine="470" w:firstLineChars="196"/>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代表：</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w:t>
      </w:r>
    </w:p>
    <w:p w14:paraId="2AB73B28">
      <w:pPr>
        <w:spacing w:line="360" w:lineRule="auto"/>
        <w:ind w:firstLine="470" w:firstLineChars="196"/>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代表：</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w:t>
      </w:r>
    </w:p>
    <w:p w14:paraId="48084972">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本合同约定的自然灾害类的不可抗力是指：</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u w:val="single"/>
        </w:rPr>
        <w:t>。</w:t>
      </w:r>
    </w:p>
    <w:p w14:paraId="17B3F959">
      <w:pPr>
        <w:numPr>
          <w:ilvl w:val="0"/>
          <w:numId w:val="2"/>
        </w:numPr>
        <w:tabs>
          <w:tab w:val="left" w:pos="420"/>
          <w:tab w:val="clear" w:pos="480"/>
        </w:tabs>
        <w:spacing w:line="360" w:lineRule="auto"/>
        <w:ind w:left="390" w:hanging="390" w:hangingChars="162"/>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本协议书中有关词语的含义与本合同第二部分《通用条款》中分别赋予它们的定义相同。</w:t>
      </w:r>
    </w:p>
    <w:p w14:paraId="3559FCD3">
      <w:pPr>
        <w:numPr>
          <w:ilvl w:val="0"/>
          <w:numId w:val="2"/>
        </w:numPr>
        <w:tabs>
          <w:tab w:val="left" w:pos="420"/>
          <w:tab w:val="clear" w:pos="480"/>
        </w:tabs>
        <w:spacing w:line="360" w:lineRule="auto"/>
        <w:ind w:left="390" w:hanging="390" w:hangingChars="162"/>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本合同及其附件是</w:t>
      </w:r>
      <w:r>
        <w:rPr>
          <w:rFonts w:hint="eastAsia" w:ascii="宋体" w:hAnsi="宋体" w:eastAsia="宋体" w:cs="宋体"/>
          <w:b/>
          <w:color w:val="auto"/>
          <w:kern w:val="24"/>
          <w:szCs w:val="21"/>
          <w:highlight w:val="none"/>
          <w:lang w:eastAsia="zh-CN"/>
        </w:rPr>
        <w:t>甲方、乙方</w:t>
      </w:r>
      <w:r>
        <w:rPr>
          <w:rFonts w:hint="eastAsia" w:ascii="宋体" w:hAnsi="宋体" w:eastAsia="宋体" w:cs="宋体"/>
          <w:b/>
          <w:color w:val="auto"/>
          <w:kern w:val="24"/>
          <w:szCs w:val="21"/>
          <w:highlight w:val="none"/>
        </w:rPr>
        <w:t>、</w:t>
      </w:r>
      <w:r>
        <w:rPr>
          <w:rFonts w:hint="eastAsia" w:ascii="宋体" w:hAnsi="宋体" w:eastAsia="宋体" w:cs="宋体"/>
          <w:b/>
          <w:color w:val="auto"/>
          <w:kern w:val="24"/>
          <w:szCs w:val="21"/>
          <w:highlight w:val="none"/>
          <w:lang w:eastAsia="zh-CN"/>
        </w:rPr>
        <w:t>丙方三</w:t>
      </w:r>
      <w:r>
        <w:rPr>
          <w:rFonts w:hint="eastAsia" w:ascii="宋体" w:hAnsi="宋体" w:eastAsia="宋体" w:cs="宋体"/>
          <w:b/>
          <w:color w:val="auto"/>
          <w:kern w:val="24"/>
          <w:szCs w:val="21"/>
          <w:highlight w:val="none"/>
        </w:rPr>
        <w:t>方经过平等协商拟定，</w:t>
      </w:r>
      <w:r>
        <w:rPr>
          <w:rFonts w:hint="eastAsia" w:ascii="宋体" w:hAnsi="宋体" w:eastAsia="宋体" w:cs="宋体"/>
          <w:b/>
          <w:color w:val="auto"/>
          <w:kern w:val="24"/>
          <w:szCs w:val="21"/>
          <w:highlight w:val="none"/>
          <w:lang w:eastAsia="zh-CN"/>
        </w:rPr>
        <w:t>甲方</w:t>
      </w:r>
      <w:r>
        <w:rPr>
          <w:rFonts w:hint="eastAsia" w:ascii="宋体" w:hAnsi="宋体" w:eastAsia="宋体" w:cs="宋体"/>
          <w:b/>
          <w:color w:val="auto"/>
          <w:kern w:val="24"/>
          <w:szCs w:val="21"/>
          <w:highlight w:val="none"/>
        </w:rPr>
        <w:t>、</w:t>
      </w:r>
      <w:r>
        <w:rPr>
          <w:rFonts w:hint="eastAsia" w:ascii="宋体" w:hAnsi="宋体" w:eastAsia="宋体" w:cs="宋体"/>
          <w:b/>
          <w:color w:val="auto"/>
          <w:kern w:val="24"/>
          <w:szCs w:val="21"/>
          <w:highlight w:val="none"/>
          <w:lang w:eastAsia="zh-CN"/>
        </w:rPr>
        <w:t>乙方</w:t>
      </w:r>
      <w:r>
        <w:rPr>
          <w:rFonts w:hint="eastAsia" w:ascii="宋体" w:hAnsi="宋体" w:eastAsia="宋体" w:cs="宋体"/>
          <w:b/>
          <w:color w:val="auto"/>
          <w:kern w:val="24"/>
          <w:szCs w:val="21"/>
          <w:highlight w:val="none"/>
        </w:rPr>
        <w:t>、</w:t>
      </w:r>
      <w:r>
        <w:rPr>
          <w:rFonts w:hint="eastAsia" w:ascii="宋体" w:hAnsi="宋体" w:eastAsia="宋体" w:cs="宋体"/>
          <w:b/>
          <w:color w:val="auto"/>
          <w:kern w:val="24"/>
          <w:szCs w:val="21"/>
          <w:highlight w:val="none"/>
          <w:lang w:eastAsia="zh-CN"/>
        </w:rPr>
        <w:t>丙方三</w:t>
      </w:r>
      <w:r>
        <w:rPr>
          <w:rFonts w:hint="eastAsia" w:ascii="宋体" w:hAnsi="宋体" w:eastAsia="宋体" w:cs="宋体"/>
          <w:b/>
          <w:color w:val="auto"/>
          <w:kern w:val="24"/>
          <w:szCs w:val="21"/>
          <w:highlight w:val="none"/>
        </w:rPr>
        <w:t>方对有疑义之条款已进行了充分的沟通和说明，</w:t>
      </w:r>
      <w:r>
        <w:rPr>
          <w:rFonts w:hint="eastAsia" w:ascii="宋体" w:hAnsi="宋体" w:eastAsia="宋体" w:cs="宋体"/>
          <w:b/>
          <w:color w:val="auto"/>
          <w:kern w:val="24"/>
          <w:szCs w:val="21"/>
          <w:highlight w:val="none"/>
          <w:lang w:eastAsia="zh-CN"/>
        </w:rPr>
        <w:t>乙方</w:t>
      </w:r>
      <w:r>
        <w:rPr>
          <w:rFonts w:hint="eastAsia" w:ascii="宋体" w:hAnsi="宋体" w:eastAsia="宋体" w:cs="宋体"/>
          <w:b/>
          <w:color w:val="auto"/>
          <w:kern w:val="24"/>
          <w:szCs w:val="21"/>
          <w:highlight w:val="none"/>
        </w:rPr>
        <w:t>已充分约定和理解其全部条款的内容，并对其无异议。</w:t>
      </w:r>
    </w:p>
    <w:p w14:paraId="0C2C2B1A">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合同生效</w:t>
      </w:r>
    </w:p>
    <w:p w14:paraId="5D23AE8B">
      <w:pPr>
        <w:spacing w:line="360" w:lineRule="auto"/>
        <w:ind w:firstLine="470" w:firstLineChars="196"/>
        <w:jc w:val="both"/>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rPr>
        <w:t>本合同</w:t>
      </w:r>
      <w:r>
        <w:rPr>
          <w:rFonts w:hint="eastAsia" w:ascii="宋体" w:hAnsi="宋体" w:eastAsia="宋体" w:cs="宋体"/>
          <w:color w:val="auto"/>
          <w:kern w:val="24"/>
          <w:szCs w:val="21"/>
          <w:highlight w:val="none"/>
          <w:lang w:val="en-US" w:eastAsia="zh-CN"/>
        </w:rPr>
        <w:t>生效日期</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甲乙丙三方最后一方签字盖章之日为合同生效之日。</w:t>
      </w:r>
    </w:p>
    <w:p w14:paraId="29271E25">
      <w:pPr>
        <w:spacing w:line="360" w:lineRule="auto"/>
        <w:ind w:firstLine="470" w:firstLineChars="196"/>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本合同订立地点：</w:t>
      </w:r>
      <w:r>
        <w:rPr>
          <w:rFonts w:hint="eastAsia" w:ascii="宋体" w:hAnsi="宋体" w:eastAsia="宋体" w:cs="宋体"/>
          <w:color w:val="auto"/>
          <w:kern w:val="24"/>
          <w:szCs w:val="21"/>
          <w:highlight w:val="none"/>
          <w:u w:val="single"/>
        </w:rPr>
        <w:t>深圳市福田区</w:t>
      </w:r>
      <w:r>
        <w:rPr>
          <w:rFonts w:hint="eastAsia" w:ascii="宋体" w:hAnsi="宋体" w:eastAsia="宋体" w:cs="宋体"/>
          <w:color w:val="auto"/>
          <w:kern w:val="24"/>
          <w:szCs w:val="21"/>
          <w:highlight w:val="none"/>
        </w:rPr>
        <w:t>；</w:t>
      </w:r>
    </w:p>
    <w:p w14:paraId="4D0FC6E1">
      <w:pPr>
        <w:spacing w:line="360" w:lineRule="auto"/>
        <w:ind w:firstLine="470" w:firstLineChars="196"/>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本合同自</w:t>
      </w:r>
      <w:r>
        <w:rPr>
          <w:rFonts w:hint="eastAsia" w:ascii="宋体" w:hAnsi="宋体" w:eastAsia="宋体" w:cs="宋体"/>
          <w:color w:val="auto"/>
          <w:kern w:val="24"/>
          <w:szCs w:val="21"/>
          <w:highlight w:val="none"/>
          <w:lang w:eastAsia="zh-CN"/>
        </w:rPr>
        <w:t>甲方、乙方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丙方三</w:t>
      </w:r>
      <w:r>
        <w:rPr>
          <w:rFonts w:hint="eastAsia" w:ascii="宋体" w:hAnsi="宋体" w:eastAsia="宋体" w:cs="宋体"/>
          <w:color w:val="auto"/>
          <w:kern w:val="24"/>
          <w:szCs w:val="21"/>
          <w:highlight w:val="none"/>
        </w:rPr>
        <w:t>方法</w:t>
      </w:r>
      <w:r>
        <w:rPr>
          <w:rFonts w:hint="eastAsia" w:ascii="宋体" w:hAnsi="宋体" w:eastAsia="宋体" w:cs="宋体"/>
          <w:color w:val="auto"/>
          <w:kern w:val="24"/>
          <w:szCs w:val="21"/>
          <w:highlight w:val="none"/>
          <w:lang w:val="en-US" w:eastAsia="zh-CN"/>
        </w:rPr>
        <w:t>定</w:t>
      </w:r>
      <w:r>
        <w:rPr>
          <w:rFonts w:hint="eastAsia" w:ascii="宋体" w:hAnsi="宋体" w:eastAsia="宋体" w:cs="宋体"/>
          <w:color w:val="auto"/>
          <w:kern w:val="24"/>
          <w:szCs w:val="21"/>
          <w:highlight w:val="none"/>
        </w:rPr>
        <w:t>代表人</w:t>
      </w:r>
      <w:r>
        <w:rPr>
          <w:rFonts w:hint="eastAsia" w:ascii="宋体" w:hAnsi="宋体" w:eastAsia="宋体" w:cs="宋体"/>
          <w:color w:val="auto"/>
          <w:kern w:val="24"/>
          <w:szCs w:val="21"/>
          <w:highlight w:val="none"/>
          <w:lang w:val="en-US" w:eastAsia="zh-CN"/>
        </w:rPr>
        <w:t>或</w:t>
      </w:r>
      <w:r>
        <w:rPr>
          <w:rFonts w:hint="eastAsia" w:ascii="宋体" w:hAnsi="宋体" w:eastAsia="宋体" w:cs="宋体"/>
          <w:color w:val="auto"/>
          <w:kern w:val="24"/>
          <w:szCs w:val="21"/>
          <w:highlight w:val="none"/>
        </w:rPr>
        <w:t>其</w:t>
      </w:r>
      <w:r>
        <w:rPr>
          <w:rFonts w:hint="eastAsia" w:ascii="宋体" w:hAnsi="宋体" w:eastAsia="宋体" w:cs="宋体"/>
          <w:color w:val="auto"/>
          <w:kern w:val="24"/>
          <w:szCs w:val="21"/>
          <w:highlight w:val="none"/>
          <w:lang w:val="en-US" w:eastAsia="zh-CN"/>
        </w:rPr>
        <w:t>授权代表</w:t>
      </w:r>
      <w:r>
        <w:rPr>
          <w:rFonts w:hint="eastAsia" w:ascii="宋体" w:hAnsi="宋体" w:eastAsia="宋体" w:cs="宋体"/>
          <w:color w:val="auto"/>
          <w:kern w:val="24"/>
          <w:szCs w:val="21"/>
          <w:highlight w:val="none"/>
        </w:rPr>
        <w:t>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并加盖</w:t>
      </w:r>
      <w:r>
        <w:rPr>
          <w:rFonts w:hint="eastAsia" w:ascii="宋体" w:hAnsi="宋体" w:eastAsia="宋体" w:cs="宋体"/>
          <w:color w:val="auto"/>
          <w:kern w:val="24"/>
          <w:szCs w:val="21"/>
          <w:highlight w:val="none"/>
          <w:lang w:val="en-US" w:eastAsia="zh-CN"/>
        </w:rPr>
        <w:t>单位</w:t>
      </w:r>
      <w:r>
        <w:rPr>
          <w:rFonts w:hint="eastAsia" w:ascii="宋体" w:hAnsi="宋体" w:eastAsia="宋体" w:cs="宋体"/>
          <w:color w:val="auto"/>
          <w:kern w:val="24"/>
          <w:szCs w:val="21"/>
          <w:highlight w:val="none"/>
        </w:rPr>
        <w:t>公章或合同专用章后生效。</w:t>
      </w:r>
    </w:p>
    <w:p w14:paraId="478D1F6C">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合同份数</w:t>
      </w:r>
    </w:p>
    <w:p w14:paraId="0EC69B97">
      <w:pPr>
        <w:spacing w:line="360" w:lineRule="auto"/>
        <w:ind w:firstLine="470" w:firstLineChars="196"/>
        <w:jc w:val="both"/>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本合同一式</w:t>
      </w:r>
      <w:r>
        <w:rPr>
          <w:rFonts w:hint="eastAsia" w:ascii="宋体" w:hAnsi="宋体" w:eastAsia="宋体" w:cs="宋体"/>
          <w:color w:val="auto"/>
          <w:kern w:val="24"/>
          <w:szCs w:val="21"/>
          <w:highlight w:val="none"/>
          <w:u w:val="single"/>
        </w:rPr>
        <w:t xml:space="preserve"> </w:t>
      </w:r>
      <w:r>
        <w:rPr>
          <w:rFonts w:hint="eastAsia" w:ascii="宋体" w:hAnsi="宋体" w:eastAsia="宋体" w:cs="宋体"/>
          <w:color w:val="auto"/>
          <w:kern w:val="24"/>
          <w:szCs w:val="21"/>
          <w:highlight w:val="none"/>
          <w:u w:val="single"/>
          <w:lang w:eastAsia="zh-CN"/>
        </w:rPr>
        <w:t>九</w:t>
      </w:r>
      <w:r>
        <w:rPr>
          <w:rFonts w:hint="eastAsia" w:ascii="宋体" w:hAnsi="宋体" w:eastAsia="宋体" w:cs="宋体"/>
          <w:color w:val="auto"/>
          <w:kern w:val="24"/>
          <w:szCs w:val="21"/>
          <w:highlight w:val="none"/>
          <w:u w:val="single"/>
        </w:rPr>
        <w:t xml:space="preserve"> </w:t>
      </w:r>
      <w:r>
        <w:rPr>
          <w:rFonts w:hint="eastAsia" w:ascii="宋体" w:hAnsi="宋体" w:eastAsia="宋体" w:cs="宋体"/>
          <w:color w:val="auto"/>
          <w:kern w:val="24"/>
          <w:szCs w:val="21"/>
          <w:highlight w:val="none"/>
        </w:rPr>
        <w:t>份，</w:t>
      </w:r>
      <w:r>
        <w:rPr>
          <w:rFonts w:hint="eastAsia" w:ascii="宋体" w:hAnsi="宋体" w:eastAsia="宋体" w:cs="宋体"/>
          <w:b/>
          <w:color w:val="auto"/>
          <w:kern w:val="24"/>
          <w:szCs w:val="21"/>
          <w:highlight w:val="none"/>
          <w:lang w:eastAsia="zh-CN"/>
        </w:rPr>
        <w:t>甲方、乙方</w:t>
      </w:r>
      <w:r>
        <w:rPr>
          <w:rFonts w:hint="eastAsia" w:ascii="宋体" w:hAnsi="宋体" w:eastAsia="宋体" w:cs="宋体"/>
          <w:b/>
          <w:color w:val="auto"/>
          <w:kern w:val="24"/>
          <w:szCs w:val="21"/>
          <w:highlight w:val="none"/>
        </w:rPr>
        <w:t>、</w:t>
      </w:r>
      <w:r>
        <w:rPr>
          <w:rFonts w:hint="eastAsia" w:ascii="宋体" w:hAnsi="宋体" w:eastAsia="宋体" w:cs="宋体"/>
          <w:b/>
          <w:color w:val="auto"/>
          <w:kern w:val="24"/>
          <w:szCs w:val="21"/>
          <w:highlight w:val="none"/>
          <w:lang w:eastAsia="zh-CN"/>
        </w:rPr>
        <w:t>丙方</w:t>
      </w:r>
      <w:r>
        <w:rPr>
          <w:rFonts w:hint="eastAsia" w:ascii="宋体" w:hAnsi="宋体" w:eastAsia="宋体" w:cs="宋体"/>
          <w:color w:val="auto"/>
          <w:kern w:val="24"/>
          <w:szCs w:val="21"/>
          <w:highlight w:val="none"/>
        </w:rPr>
        <w:t>各执</w:t>
      </w:r>
      <w:r>
        <w:rPr>
          <w:rFonts w:hint="eastAsia" w:ascii="宋体" w:hAnsi="宋体" w:eastAsia="宋体" w:cs="宋体"/>
          <w:color w:val="auto"/>
          <w:kern w:val="24"/>
          <w:szCs w:val="21"/>
          <w:highlight w:val="none"/>
          <w:u w:val="single"/>
        </w:rPr>
        <w:t xml:space="preserve"> </w:t>
      </w:r>
      <w:r>
        <w:rPr>
          <w:rFonts w:hint="eastAsia" w:ascii="宋体" w:hAnsi="宋体" w:eastAsia="宋体" w:cs="宋体"/>
          <w:color w:val="auto"/>
          <w:kern w:val="24"/>
          <w:szCs w:val="21"/>
          <w:highlight w:val="none"/>
          <w:u w:val="single"/>
          <w:lang w:eastAsia="zh-CN"/>
        </w:rPr>
        <w:t>三</w:t>
      </w:r>
      <w:r>
        <w:rPr>
          <w:rFonts w:hint="eastAsia" w:ascii="宋体" w:hAnsi="宋体" w:eastAsia="宋体" w:cs="宋体"/>
          <w:color w:val="auto"/>
          <w:kern w:val="24"/>
          <w:szCs w:val="21"/>
          <w:highlight w:val="none"/>
          <w:u w:val="single"/>
        </w:rPr>
        <w:t xml:space="preserve"> </w:t>
      </w:r>
      <w:r>
        <w:rPr>
          <w:rFonts w:hint="eastAsia" w:ascii="宋体" w:hAnsi="宋体" w:eastAsia="宋体" w:cs="宋体"/>
          <w:color w:val="auto"/>
          <w:kern w:val="24"/>
          <w:szCs w:val="21"/>
          <w:highlight w:val="none"/>
        </w:rPr>
        <w:t>份，</w:t>
      </w:r>
      <w:r>
        <w:rPr>
          <w:rFonts w:hint="eastAsia" w:ascii="宋体" w:hAnsi="宋体" w:eastAsia="宋体" w:cs="宋体"/>
          <w:color w:val="auto"/>
          <w:kern w:val="24"/>
          <w:szCs w:val="21"/>
          <w:highlight w:val="none"/>
          <w:lang w:val="en-US" w:eastAsia="zh-CN"/>
        </w:rPr>
        <w:t>均</w:t>
      </w:r>
      <w:r>
        <w:rPr>
          <w:rFonts w:hint="eastAsia" w:ascii="宋体" w:hAnsi="宋体" w:eastAsia="宋体" w:cs="宋体"/>
          <w:color w:val="auto"/>
          <w:kern w:val="24"/>
          <w:szCs w:val="21"/>
          <w:highlight w:val="none"/>
        </w:rPr>
        <w:t>具有同等效力。</w:t>
      </w:r>
    </w:p>
    <w:p w14:paraId="1EBF8410">
      <w:pPr>
        <w:numPr>
          <w:ilvl w:val="0"/>
          <w:numId w:val="2"/>
        </w:numPr>
        <w:spacing w:line="360" w:lineRule="auto"/>
        <w:ind w:left="0" w:firstLine="0"/>
        <w:jc w:val="both"/>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合同附件</w:t>
      </w:r>
    </w:p>
    <w:p w14:paraId="5602E2AE">
      <w:pPr>
        <w:spacing w:line="360" w:lineRule="auto"/>
        <w:ind w:firstLine="480" w:firstLineChars="200"/>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附件一《</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u w:val="none"/>
        </w:rPr>
        <w:t>设备</w:t>
      </w:r>
      <w:r>
        <w:rPr>
          <w:rFonts w:hint="eastAsia" w:ascii="宋体" w:hAnsi="宋体" w:eastAsia="宋体" w:cs="宋体"/>
          <w:color w:val="auto"/>
          <w:kern w:val="24"/>
          <w:szCs w:val="21"/>
          <w:highlight w:val="none"/>
        </w:rPr>
        <w:t>清单》</w:t>
      </w:r>
    </w:p>
    <w:p w14:paraId="0E81DD95">
      <w:pPr>
        <w:spacing w:line="360" w:lineRule="auto"/>
        <w:ind w:firstLine="480" w:firstLineChars="200"/>
        <w:jc w:val="both"/>
        <w:textAlignment w:val="top"/>
        <w:rPr>
          <w:rFonts w:ascii="宋体" w:hAnsi="宋体" w:eastAsia="宋体" w:cs="宋体"/>
          <w:b/>
          <w:color w:val="auto"/>
          <w:kern w:val="24"/>
          <w:szCs w:val="21"/>
          <w:highlight w:val="none"/>
        </w:rPr>
      </w:pPr>
      <w:r>
        <w:rPr>
          <w:rFonts w:hint="eastAsia"/>
          <w:color w:val="auto"/>
          <w:highlight w:val="none"/>
        </w:rPr>
        <w:t>附件二《</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color w:val="auto"/>
          <w:highlight w:val="none"/>
        </w:rPr>
        <w:t>设备规格、型号、参数一览表》</w:t>
      </w:r>
    </w:p>
    <w:p w14:paraId="1CBA5588">
      <w:pPr>
        <w:spacing w:line="360" w:lineRule="auto"/>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（以下无正文）</w:t>
      </w:r>
    </w:p>
    <w:p w14:paraId="6529366D">
      <w:pPr>
        <w:pStyle w:val="11"/>
        <w:rPr>
          <w:highlight w:val="none"/>
        </w:rPr>
      </w:pPr>
    </w:p>
    <w:p w14:paraId="7BD40E7F">
      <w:pPr>
        <w:spacing w:line="360" w:lineRule="auto"/>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名称(公章</w:t>
      </w:r>
      <w:r>
        <w:rPr>
          <w:rFonts w:hint="eastAsia" w:ascii="宋体" w:hAnsi="宋体" w:eastAsia="宋体" w:cs="宋体"/>
          <w:color w:val="auto"/>
          <w:kern w:val="24"/>
          <w:szCs w:val="21"/>
          <w:highlight w:val="none"/>
          <w:lang w:val="en-US" w:eastAsia="zh-CN"/>
        </w:rPr>
        <w:t>/合同专用章</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名称(公章</w:t>
      </w:r>
      <w:r>
        <w:rPr>
          <w:rFonts w:hint="eastAsia" w:ascii="宋体" w:hAnsi="宋体" w:eastAsia="宋体" w:cs="宋体"/>
          <w:color w:val="auto"/>
          <w:kern w:val="24"/>
          <w:szCs w:val="21"/>
          <w:highlight w:val="none"/>
          <w:lang w:val="en-US" w:eastAsia="zh-CN"/>
        </w:rPr>
        <w:t>/合同专用章</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w:t>
      </w:r>
    </w:p>
    <w:p w14:paraId="13C96604">
      <w:pPr>
        <w:spacing w:line="360" w:lineRule="auto"/>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rPr>
        <w:t>法定代表人(签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                   法定代表人(签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w:t>
      </w:r>
    </w:p>
    <w:p w14:paraId="249740E7">
      <w:pPr>
        <w:spacing w:line="360" w:lineRule="auto"/>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rPr>
        <w:t>授权代表(签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                     授权代表(签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w:t>
      </w:r>
    </w:p>
    <w:p w14:paraId="18836ECD">
      <w:pPr>
        <w:spacing w:line="360" w:lineRule="auto"/>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签订日期</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年   月   日</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val="en-US" w:eastAsia="zh-CN"/>
        </w:rPr>
        <w:t>签订日期</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年   月   日         </w:t>
      </w:r>
    </w:p>
    <w:p w14:paraId="2118B317">
      <w:pPr>
        <w:spacing w:line="360" w:lineRule="auto"/>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rPr>
        <w:t>联系人：                             联系人：</w:t>
      </w:r>
      <w:r>
        <w:rPr>
          <w:rFonts w:hint="eastAsia" w:ascii="宋体" w:hAnsi="宋体" w:eastAsia="宋体" w:cs="宋体"/>
          <w:color w:val="auto"/>
          <w:kern w:val="24"/>
          <w:szCs w:val="21"/>
          <w:highlight w:val="none"/>
          <w:lang w:val="en-US" w:eastAsia="zh-CN"/>
        </w:rPr>
        <w:t xml:space="preserve">           </w:t>
      </w:r>
    </w:p>
    <w:p w14:paraId="1713E025">
      <w:pPr>
        <w:spacing w:line="360" w:lineRule="auto"/>
        <w:textAlignment w:val="top"/>
        <w:rPr>
          <w:rFonts w:hint="default"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rPr>
        <w:t>电话：                               电话：</w:t>
      </w:r>
      <w:r>
        <w:rPr>
          <w:rFonts w:hint="eastAsia" w:ascii="宋体" w:hAnsi="宋体" w:eastAsia="宋体" w:cs="宋体"/>
          <w:color w:val="auto"/>
          <w:kern w:val="24"/>
          <w:szCs w:val="21"/>
          <w:highlight w:val="none"/>
          <w:lang w:val="en-US" w:eastAsia="zh-CN"/>
        </w:rPr>
        <w:t xml:space="preserve">                </w:t>
      </w:r>
    </w:p>
    <w:p w14:paraId="600B1897">
      <w:pPr>
        <w:spacing w:line="360" w:lineRule="auto"/>
        <w:textAlignment w:val="top"/>
        <w:rPr>
          <w:rFonts w:ascii="宋体" w:hAnsi="宋体" w:eastAsia="宋体" w:cs="宋体"/>
          <w:color w:val="auto"/>
          <w:kern w:val="24"/>
          <w:szCs w:val="21"/>
          <w:highlight w:val="none"/>
        </w:rPr>
      </w:pPr>
    </w:p>
    <w:p w14:paraId="555BA9F4">
      <w:pPr>
        <w:spacing w:line="360" w:lineRule="auto"/>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名称(公章</w:t>
      </w:r>
      <w:r>
        <w:rPr>
          <w:rFonts w:hint="eastAsia" w:ascii="宋体" w:hAnsi="宋体" w:eastAsia="宋体" w:cs="宋体"/>
          <w:color w:val="auto"/>
          <w:kern w:val="24"/>
          <w:szCs w:val="21"/>
          <w:highlight w:val="none"/>
          <w:lang w:val="en-US" w:eastAsia="zh-CN"/>
        </w:rPr>
        <w:t>/合同专用章</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w:t>
      </w:r>
      <w:r>
        <w:rPr>
          <w:rFonts w:hint="eastAsia" w:ascii="宋体" w:hAnsi="宋体" w:eastAsia="宋体" w:cs="宋体"/>
          <w:color w:val="auto"/>
          <w:kern w:val="24"/>
          <w:szCs w:val="21"/>
          <w:highlight w:val="none"/>
        </w:rPr>
        <w:t xml:space="preserve">                 </w:t>
      </w:r>
    </w:p>
    <w:p w14:paraId="3FDFD38C">
      <w:pPr>
        <w:spacing w:line="360" w:lineRule="auto"/>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法定代表人(签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val="en-US" w:eastAsia="zh-CN"/>
        </w:rPr>
        <w:t xml:space="preserve">                </w:t>
      </w:r>
      <w:r>
        <w:rPr>
          <w:rFonts w:hint="eastAsia" w:ascii="宋体" w:hAnsi="宋体" w:eastAsia="宋体" w:cs="宋体"/>
          <w:color w:val="auto"/>
          <w:kern w:val="24"/>
          <w:szCs w:val="21"/>
          <w:highlight w:val="none"/>
        </w:rPr>
        <w:t xml:space="preserve">                 </w:t>
      </w:r>
    </w:p>
    <w:p w14:paraId="44AD1065">
      <w:pPr>
        <w:spacing w:line="360" w:lineRule="auto"/>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授权代表(签</w:t>
      </w:r>
      <w:r>
        <w:rPr>
          <w:rFonts w:hint="eastAsia" w:ascii="宋体" w:hAnsi="宋体" w:eastAsia="宋体" w:cs="宋体"/>
          <w:color w:val="auto"/>
          <w:kern w:val="24"/>
          <w:szCs w:val="21"/>
          <w:highlight w:val="none"/>
          <w:lang w:val="en-US" w:eastAsia="zh-CN"/>
        </w:rPr>
        <w:t>字</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val="en-US" w:eastAsia="zh-CN"/>
        </w:rPr>
        <w:t xml:space="preserve">                   </w:t>
      </w:r>
      <w:r>
        <w:rPr>
          <w:rFonts w:hint="eastAsia" w:ascii="宋体" w:hAnsi="宋体" w:eastAsia="宋体" w:cs="宋体"/>
          <w:color w:val="auto"/>
          <w:kern w:val="24"/>
          <w:szCs w:val="21"/>
          <w:highlight w:val="none"/>
        </w:rPr>
        <w:t xml:space="preserve">                    </w:t>
      </w:r>
    </w:p>
    <w:p w14:paraId="5A7B4D28">
      <w:pPr>
        <w:spacing w:line="360" w:lineRule="auto"/>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签订日期</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 xml:space="preserve">    年   月   日</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val="en-US" w:eastAsia="zh-CN"/>
        </w:rPr>
        <w:t xml:space="preserve">               </w:t>
      </w:r>
      <w:r>
        <w:rPr>
          <w:rFonts w:hint="eastAsia" w:ascii="宋体" w:hAnsi="宋体" w:eastAsia="宋体" w:cs="宋体"/>
          <w:color w:val="auto"/>
          <w:kern w:val="24"/>
          <w:szCs w:val="21"/>
          <w:highlight w:val="none"/>
        </w:rPr>
        <w:t xml:space="preserve">                           </w:t>
      </w:r>
    </w:p>
    <w:p w14:paraId="57739A93">
      <w:pPr>
        <w:spacing w:line="360" w:lineRule="auto"/>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联系人：</w:t>
      </w:r>
      <w:r>
        <w:rPr>
          <w:rFonts w:hint="eastAsia" w:ascii="宋体" w:hAnsi="宋体" w:eastAsia="宋体" w:cs="宋体"/>
          <w:color w:val="auto"/>
          <w:kern w:val="24"/>
          <w:szCs w:val="21"/>
          <w:highlight w:val="none"/>
          <w:lang w:val="en-US" w:eastAsia="zh-CN"/>
        </w:rPr>
        <w:t xml:space="preserve">              </w:t>
      </w:r>
      <w:r>
        <w:rPr>
          <w:rFonts w:hint="eastAsia" w:ascii="宋体" w:hAnsi="宋体" w:eastAsia="宋体" w:cs="宋体"/>
          <w:color w:val="auto"/>
          <w:kern w:val="24"/>
          <w:szCs w:val="21"/>
          <w:highlight w:val="none"/>
        </w:rPr>
        <w:t xml:space="preserve">                             </w:t>
      </w:r>
    </w:p>
    <w:p w14:paraId="13546C7C">
      <w:pPr>
        <w:spacing w:line="360" w:lineRule="auto"/>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 xml:space="preserve">电话：   </w:t>
      </w:r>
      <w:r>
        <w:rPr>
          <w:rFonts w:hint="eastAsia" w:ascii="宋体" w:hAnsi="宋体" w:eastAsia="宋体" w:cs="宋体"/>
          <w:color w:val="auto"/>
          <w:kern w:val="24"/>
          <w:szCs w:val="21"/>
          <w:highlight w:val="none"/>
          <w:lang w:val="en-US" w:eastAsia="zh-CN"/>
        </w:rPr>
        <w:t xml:space="preserve">                </w:t>
      </w:r>
      <w:r>
        <w:rPr>
          <w:rFonts w:hint="eastAsia" w:ascii="宋体" w:hAnsi="宋体" w:eastAsia="宋体" w:cs="宋体"/>
          <w:color w:val="auto"/>
          <w:kern w:val="24"/>
          <w:szCs w:val="21"/>
          <w:highlight w:val="none"/>
        </w:rPr>
        <w:t xml:space="preserve">                            </w:t>
      </w:r>
    </w:p>
    <w:p w14:paraId="0B898A64">
      <w:pPr>
        <w:spacing w:line="360" w:lineRule="auto"/>
        <w:rPr>
          <w:color w:val="auto"/>
          <w:highlight w:val="none"/>
        </w:rPr>
      </w:pPr>
      <w:r>
        <w:rPr>
          <w:color w:val="auto"/>
          <w:highlight w:val="none"/>
        </w:rPr>
        <w:br w:type="page"/>
      </w:r>
    </w:p>
    <w:p w14:paraId="6CD3B94C">
      <w:pPr>
        <w:spacing w:line="360" w:lineRule="auto"/>
        <w:jc w:val="center"/>
        <w:textAlignment w:val="top"/>
        <w:outlineLvl w:val="0"/>
        <w:rPr>
          <w:rFonts w:ascii="宋体" w:hAnsi="宋体" w:eastAsia="宋体" w:cs="宋体"/>
          <w:b/>
          <w:color w:val="auto"/>
          <w:kern w:val="24"/>
          <w:sz w:val="28"/>
          <w:szCs w:val="28"/>
          <w:highlight w:val="none"/>
        </w:rPr>
      </w:pPr>
      <w:r>
        <w:rPr>
          <w:rFonts w:hint="eastAsia" w:ascii="宋体" w:hAnsi="宋体" w:eastAsia="宋体" w:cs="宋体"/>
          <w:b/>
          <w:color w:val="auto"/>
          <w:kern w:val="24"/>
          <w:sz w:val="28"/>
          <w:szCs w:val="28"/>
          <w:highlight w:val="none"/>
        </w:rPr>
        <w:t>第二部分  通用条款</w:t>
      </w:r>
    </w:p>
    <w:p w14:paraId="73F1B413">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词语定义及合同文件</w:t>
      </w:r>
    </w:p>
    <w:p w14:paraId="136DC6EF">
      <w:pPr>
        <w:numPr>
          <w:ilvl w:val="0"/>
          <w:numId w:val="6"/>
        </w:numPr>
        <w:tabs>
          <w:tab w:val="left" w:pos="420"/>
        </w:tabs>
        <w:spacing w:line="360" w:lineRule="auto"/>
        <w:ind w:left="420" w:hanging="42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词语定义</w:t>
      </w:r>
    </w:p>
    <w:p w14:paraId="5A492C8B">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highlight w:val="none"/>
        </w:rPr>
      </w:pPr>
      <w:r>
        <w:rPr>
          <w:rFonts w:hint="default" w:ascii="宋体" w:hAnsi="宋体" w:eastAsia="宋体" w:cs="宋体"/>
          <w:color w:val="auto"/>
          <w:kern w:val="24"/>
          <w:sz w:val="24"/>
          <w:highlight w:val="none"/>
          <w:lang w:val="en-US" w:eastAsia="zh-CN" w:bidi="ar-SA"/>
        </w:rPr>
        <w:t>1.1</w:t>
      </w:r>
      <w:r>
        <w:rPr>
          <w:rFonts w:hint="eastAsia" w:ascii="宋体" w:hAnsi="宋体" w:eastAsia="宋体" w:cs="宋体"/>
          <w:color w:val="auto"/>
          <w:kern w:val="24"/>
          <w:highlight w:val="none"/>
        </w:rPr>
        <w:t>费用：指不包含在合同价款之内的应当由</w:t>
      </w:r>
      <w:r>
        <w:rPr>
          <w:rFonts w:hint="eastAsia" w:ascii="宋体" w:hAnsi="宋体" w:eastAsia="宋体" w:cs="宋体"/>
          <w:color w:val="auto"/>
          <w:kern w:val="24"/>
          <w:highlight w:val="none"/>
          <w:lang w:eastAsia="zh-CN"/>
        </w:rPr>
        <w:t>丙方</w:t>
      </w:r>
      <w:r>
        <w:rPr>
          <w:rFonts w:hint="eastAsia" w:ascii="宋体" w:hAnsi="宋体" w:eastAsia="宋体" w:cs="宋体"/>
          <w:color w:val="auto"/>
          <w:kern w:val="24"/>
          <w:highlight w:val="none"/>
        </w:rPr>
        <w:t>或</w:t>
      </w:r>
      <w:r>
        <w:rPr>
          <w:rFonts w:hint="eastAsia" w:ascii="宋体" w:hAnsi="宋体" w:eastAsia="宋体" w:cs="宋体"/>
          <w:color w:val="auto"/>
          <w:kern w:val="24"/>
          <w:highlight w:val="none"/>
          <w:lang w:eastAsia="zh-CN"/>
        </w:rPr>
        <w:t>乙方</w:t>
      </w:r>
      <w:r>
        <w:rPr>
          <w:rFonts w:hint="eastAsia" w:ascii="宋体" w:hAnsi="宋体" w:eastAsia="宋体" w:cs="宋体"/>
          <w:color w:val="auto"/>
          <w:kern w:val="24"/>
          <w:highlight w:val="none"/>
        </w:rPr>
        <w:t>承担的经济支出。</w:t>
      </w:r>
    </w:p>
    <w:p w14:paraId="0B1B72A3">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1.2</w:t>
      </w:r>
      <w:r>
        <w:rPr>
          <w:rFonts w:hint="eastAsia" w:ascii="宋体" w:hAnsi="宋体" w:eastAsia="宋体" w:cs="宋体"/>
          <w:color w:val="auto"/>
          <w:kern w:val="24"/>
          <w:highlight w:val="none"/>
        </w:rPr>
        <w:t>工期：指在协议书中约定，按照日历天数（包括法定节假日）计算的承包/供货天数，已充分考虑可能出现的各种规模的下雨、台风、高温天气、停水、停电、节假日、交通瘫痪、工地及周边环境等所有影响因素，本通用条款第33条定义的“不可抗力”除外。</w:t>
      </w:r>
    </w:p>
    <w:p w14:paraId="6AF071A3">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1.3</w:t>
      </w:r>
      <w:r>
        <w:rPr>
          <w:rFonts w:hint="eastAsia" w:ascii="宋体" w:hAnsi="宋体" w:eastAsia="宋体" w:cs="宋体"/>
          <w:color w:val="auto"/>
          <w:kern w:val="24"/>
          <w:highlight w:val="none"/>
        </w:rPr>
        <w:t>书面形式：指合同、信件和数据文件（包括电报、电传、传真、电子数据交换和电子邮件）等可以有形地表现所载内容的形式。</w:t>
      </w:r>
    </w:p>
    <w:p w14:paraId="06B8770C">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1.4</w:t>
      </w:r>
      <w:r>
        <w:rPr>
          <w:rFonts w:hint="eastAsia" w:ascii="宋体" w:hAnsi="宋体" w:eastAsia="宋体" w:cs="宋体"/>
          <w:color w:val="auto"/>
          <w:kern w:val="24"/>
          <w:highlight w:val="none"/>
        </w:rPr>
        <w:t>违约责任：指合同一方不履行合同义务或履行合同义务不符合约定所应承担的责任。</w:t>
      </w:r>
    </w:p>
    <w:p w14:paraId="2292AD6D">
      <w:pPr>
        <w:numPr>
          <w:ilvl w:val="0"/>
          <w:numId w:val="0"/>
        </w:numPr>
        <w:tabs>
          <w:tab w:val="left" w:pos="576"/>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1.5</w:t>
      </w:r>
      <w:r>
        <w:rPr>
          <w:rFonts w:hint="eastAsia" w:ascii="宋体" w:hAnsi="宋体" w:eastAsia="宋体" w:cs="宋体"/>
          <w:color w:val="auto"/>
          <w:kern w:val="24"/>
          <w:highlight w:val="none"/>
        </w:rPr>
        <w:t>索赔：</w:t>
      </w:r>
      <w:r>
        <w:rPr>
          <w:rFonts w:hint="eastAsia" w:ascii="宋体" w:hAnsi="宋体" w:eastAsia="宋体" w:cs="宋体"/>
          <w:color w:val="auto"/>
          <w:highlight w:val="none"/>
        </w:rPr>
        <w:t>指在合同履行过程中，对于并非己方过错，而是应由对方承担责任的情况造成的实际损失或工期延误，向对方提出经济补偿或工期顺延的要求。</w:t>
      </w:r>
    </w:p>
    <w:p w14:paraId="6ED136DF">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1.6</w:t>
      </w:r>
      <w:r>
        <w:rPr>
          <w:rFonts w:hint="eastAsia" w:ascii="宋体" w:hAnsi="宋体" w:eastAsia="宋体" w:cs="宋体"/>
          <w:color w:val="auto"/>
          <w:kern w:val="24"/>
          <w:highlight w:val="none"/>
        </w:rPr>
        <w:t>小时或天：本合同规定按小时计算时间的，从事件有效开始时计算（不扣除休息时间）；规定按天计算时间的，开始当天不计入，从次日开始计算。时限的最后一天的截止时间为当日24时。</w:t>
      </w:r>
    </w:p>
    <w:p w14:paraId="316B5754">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highlight w:val="none"/>
        </w:rPr>
      </w:pPr>
      <w:r>
        <w:rPr>
          <w:rFonts w:hint="default" w:ascii="宋体" w:hAnsi="宋体" w:eastAsia="宋体" w:cs="宋体"/>
          <w:color w:val="auto"/>
          <w:kern w:val="24"/>
          <w:sz w:val="24"/>
          <w:highlight w:val="none"/>
          <w:lang w:val="en-US" w:eastAsia="zh-CN" w:bidi="ar-SA"/>
        </w:rPr>
        <w:t>1.7</w:t>
      </w:r>
      <w:r>
        <w:rPr>
          <w:rFonts w:hint="eastAsia" w:ascii="宋体" w:hAnsi="宋体" w:eastAsia="宋体" w:cs="宋体"/>
          <w:color w:val="auto"/>
          <w:kern w:val="24"/>
          <w:highlight w:val="none"/>
        </w:rPr>
        <w:t>合同文件：指组成合同的全部文件(详见本通用条款第2条)。</w:t>
      </w:r>
    </w:p>
    <w:p w14:paraId="41EF7337">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1.8</w:t>
      </w:r>
      <w:r>
        <w:rPr>
          <w:rFonts w:hint="eastAsia" w:ascii="宋体" w:hAnsi="宋体" w:eastAsia="宋体" w:cs="宋体"/>
          <w:color w:val="auto"/>
          <w:kern w:val="24"/>
          <w:szCs w:val="21"/>
          <w:highlight w:val="none"/>
        </w:rPr>
        <w:t>工程指令/设计变更：是</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安排</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完成指定工作所下达的书面文件，工程指令/设计变更内容完成后，需办理工程签证。工程指令/设计变更单是工程签证结算的依据。</w:t>
      </w:r>
    </w:p>
    <w:p w14:paraId="3B03181B">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1.9</w:t>
      </w:r>
      <w:r>
        <w:rPr>
          <w:rFonts w:hint="eastAsia" w:ascii="宋体" w:hAnsi="宋体" w:eastAsia="宋体" w:cs="宋体"/>
          <w:color w:val="auto"/>
          <w:kern w:val="24"/>
          <w:szCs w:val="21"/>
          <w:highlight w:val="none"/>
        </w:rPr>
        <w:t>签证：是指</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监理单位、</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对承建商申报的设计变更和工程指令工作完成情况或隐蔽工程量进行确认的书面资料，是工程结算的依据之一；按来源分为设计变更类签证、工程指令类签证。</w:t>
      </w:r>
    </w:p>
    <w:p w14:paraId="2BA54E05">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1.10</w:t>
      </w:r>
      <w:r>
        <w:rPr>
          <w:rFonts w:hint="eastAsia" w:ascii="宋体" w:hAnsi="宋体" w:eastAsia="宋体" w:cs="宋体"/>
          <w:color w:val="auto"/>
          <w:kern w:val="24"/>
          <w:szCs w:val="21"/>
          <w:highlight w:val="none"/>
        </w:rPr>
        <w:t>工程联系单：是指</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负责设备部分</w:t>
      </w:r>
      <w:r>
        <w:rPr>
          <w:rFonts w:hint="eastAsia" w:ascii="宋体" w:hAnsi="宋体" w:eastAsia="宋体" w:cs="宋体"/>
          <w:color w:val="auto"/>
          <w:kern w:val="24"/>
          <w:szCs w:val="21"/>
          <w:highlight w:val="none"/>
        </w:rPr>
        <w:t>监理指出</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在进度、质量、安全文明施工等方面缺陷的文件，不作为结算依据。</w:t>
      </w:r>
    </w:p>
    <w:p w14:paraId="56094CEF">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default" w:ascii="宋体" w:hAnsi="宋体" w:eastAsia="宋体" w:cs="宋体"/>
          <w:color w:val="auto"/>
          <w:kern w:val="24"/>
          <w:sz w:val="24"/>
          <w:szCs w:val="21"/>
          <w:highlight w:val="none"/>
          <w:lang w:val="en-US" w:eastAsia="zh-CN" w:bidi="ar-SA"/>
        </w:rPr>
        <w:t>1.11</w:t>
      </w:r>
      <w:r>
        <w:rPr>
          <w:rFonts w:hint="eastAsia" w:ascii="宋体" w:hAnsi="宋体" w:eastAsia="宋体" w:cs="宋体"/>
          <w:color w:val="auto"/>
          <w:kern w:val="24"/>
          <w:szCs w:val="21"/>
          <w:highlight w:val="none"/>
        </w:rPr>
        <w:t>图纸：由</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提供或</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提供并经</w:t>
      </w:r>
      <w:r>
        <w:rPr>
          <w:rFonts w:hint="eastAsia" w:ascii="宋体" w:hAnsi="宋体" w:eastAsia="宋体" w:cs="宋体"/>
          <w:color w:val="auto"/>
          <w:kern w:val="24"/>
          <w:szCs w:val="21"/>
          <w:highlight w:val="none"/>
          <w:lang w:val="en-US" w:eastAsia="zh-CN"/>
        </w:rPr>
        <w:t>丙方</w:t>
      </w:r>
      <w:r>
        <w:rPr>
          <w:rFonts w:hint="eastAsia" w:ascii="宋体" w:hAnsi="宋体" w:eastAsia="宋体" w:cs="宋体"/>
          <w:color w:val="auto"/>
          <w:kern w:val="24"/>
          <w:szCs w:val="21"/>
          <w:highlight w:val="none"/>
        </w:rPr>
        <w:t>书面确认，满足</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供货或安装所需要的所有纸质资料（包括配套说明、相关资料设计及</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设计部门的变更）。</w:t>
      </w:r>
    </w:p>
    <w:p w14:paraId="70750B5F">
      <w:pPr>
        <w:numPr>
          <w:ilvl w:val="0"/>
          <w:numId w:val="6"/>
        </w:numPr>
        <w:tabs>
          <w:tab w:val="left" w:pos="420"/>
        </w:tabs>
        <w:spacing w:line="360" w:lineRule="auto"/>
        <w:ind w:left="391" w:hanging="391" w:hangingChars="163"/>
        <w:textAlignment w:val="top"/>
        <w:rPr>
          <w:rFonts w:ascii="宋体" w:hAnsi="宋体" w:eastAsia="宋体" w:cs="宋体"/>
          <w:color w:val="auto"/>
          <w:kern w:val="24"/>
          <w:highlight w:val="none"/>
        </w:rPr>
      </w:pPr>
      <w:r>
        <w:rPr>
          <w:rFonts w:hint="eastAsia" w:ascii="宋体" w:hAnsi="宋体" w:eastAsia="宋体" w:cs="宋体"/>
          <w:color w:val="auto"/>
          <w:kern w:val="24"/>
          <w:szCs w:val="21"/>
          <w:highlight w:val="none"/>
        </w:rPr>
        <w:t>合同文件及解释顺序</w:t>
      </w:r>
    </w:p>
    <w:p w14:paraId="26CD1E34">
      <w:pPr>
        <w:snapToGrid w:val="0"/>
        <w:spacing w:line="360" w:lineRule="auto"/>
        <w:ind w:left="547" w:leftChars="228"/>
        <w:rPr>
          <w:rFonts w:ascii="宋体" w:hAnsi="宋体" w:eastAsia="宋体" w:cs="宋体"/>
          <w:color w:val="auto"/>
          <w:highlight w:val="none"/>
        </w:rPr>
      </w:pPr>
      <w:r>
        <w:rPr>
          <w:rFonts w:hint="eastAsia" w:ascii="宋体" w:hAnsi="宋体" w:eastAsia="宋体" w:cs="宋体"/>
          <w:color w:val="auto"/>
          <w:highlight w:val="none"/>
        </w:rPr>
        <w:t>构成本合同的文件应能相互解释，互为说明。除本合同条款另有约定外，本合同文件组成及优先解释次序如下：</w:t>
      </w:r>
    </w:p>
    <w:p w14:paraId="69D8E968">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本合同签订后</w:t>
      </w:r>
      <w:r>
        <w:rPr>
          <w:rFonts w:hint="eastAsia" w:ascii="宋体" w:hAnsi="宋体" w:eastAsia="宋体" w:cs="宋体"/>
          <w:color w:val="auto"/>
          <w:highlight w:val="none"/>
          <w:lang w:eastAsia="zh-CN"/>
        </w:rPr>
        <w:t>三</w:t>
      </w:r>
      <w:r>
        <w:rPr>
          <w:rFonts w:hint="eastAsia" w:ascii="宋体" w:hAnsi="宋体" w:eastAsia="宋体" w:cs="宋体"/>
          <w:color w:val="auto"/>
          <w:highlight w:val="none"/>
        </w:rPr>
        <w:t>方约定并共同签署</w:t>
      </w:r>
      <w:r>
        <w:rPr>
          <w:rFonts w:hint="eastAsia" w:ascii="宋体" w:hAnsi="宋体" w:eastAsia="宋体" w:cs="宋体"/>
          <w:color w:val="auto"/>
          <w:highlight w:val="none"/>
          <w:lang w:eastAsia="zh-CN"/>
        </w:rPr>
        <w:t>的补充协议</w:t>
      </w:r>
      <w:r>
        <w:rPr>
          <w:rFonts w:hint="eastAsia" w:ascii="宋体" w:hAnsi="宋体" w:eastAsia="宋体" w:cs="宋体"/>
          <w:color w:val="auto"/>
          <w:highlight w:val="none"/>
        </w:rPr>
        <w:t xml:space="preserve">； </w:t>
      </w:r>
    </w:p>
    <w:p w14:paraId="5E899F09">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本合同的协议书</w:t>
      </w:r>
      <w:r>
        <w:rPr>
          <w:rFonts w:hint="eastAsia" w:ascii="宋体" w:hAnsi="宋体" w:eastAsia="宋体" w:cs="宋体"/>
          <w:color w:val="auto"/>
          <w:highlight w:val="none"/>
          <w:lang w:eastAsia="zh-CN"/>
        </w:rPr>
        <w:t>；</w:t>
      </w:r>
    </w:p>
    <w:p w14:paraId="1FEF61BA">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招标文件及招标文件</w:t>
      </w:r>
      <w:r>
        <w:rPr>
          <w:rFonts w:hint="eastAsia" w:ascii="宋体" w:hAnsi="宋体" w:eastAsia="宋体" w:cs="宋体"/>
          <w:color w:val="auto"/>
          <w:highlight w:val="none"/>
          <w:lang w:eastAsia="zh-CN"/>
        </w:rPr>
        <w:t>；</w:t>
      </w:r>
    </w:p>
    <w:p w14:paraId="33B5482B">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本合同</w:t>
      </w:r>
      <w:r>
        <w:rPr>
          <w:rFonts w:hint="eastAsia" w:ascii="宋体" w:hAnsi="宋体" w:eastAsia="宋体" w:cs="宋体"/>
          <w:color w:val="auto"/>
          <w:highlight w:val="none"/>
        </w:rPr>
        <w:t xml:space="preserve">专用条款； </w:t>
      </w:r>
    </w:p>
    <w:p w14:paraId="3930B9C6">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本合同的附件；</w:t>
      </w:r>
    </w:p>
    <w:p w14:paraId="2E7ADE39">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本合同的通用条款；</w:t>
      </w:r>
    </w:p>
    <w:p w14:paraId="2B5F5B29">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本合同的</w:t>
      </w:r>
      <w:r>
        <w:rPr>
          <w:rFonts w:hint="eastAsia" w:ascii="宋体" w:hAnsi="宋体" w:eastAsia="宋体" w:cs="宋体"/>
          <w:color w:val="auto"/>
          <w:kern w:val="24"/>
          <w:szCs w:val="21"/>
          <w:highlight w:val="none"/>
        </w:rPr>
        <w:t>《设备采购清单》</w:t>
      </w:r>
      <w:r>
        <w:rPr>
          <w:rFonts w:hint="eastAsia" w:ascii="宋体" w:hAnsi="宋体" w:eastAsia="宋体" w:cs="宋体"/>
          <w:color w:val="auto"/>
          <w:highlight w:val="none"/>
        </w:rPr>
        <w:t>；</w:t>
      </w:r>
    </w:p>
    <w:p w14:paraId="21D71F35">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经</w:t>
      </w:r>
      <w:r>
        <w:rPr>
          <w:rFonts w:hint="eastAsia" w:ascii="宋体" w:hAnsi="宋体" w:eastAsia="宋体" w:cs="宋体"/>
          <w:color w:val="auto"/>
          <w:highlight w:val="none"/>
          <w:lang w:eastAsia="zh-CN"/>
        </w:rPr>
        <w:t>三</w:t>
      </w:r>
      <w:r>
        <w:rPr>
          <w:rFonts w:hint="eastAsia" w:ascii="宋体" w:hAnsi="宋体" w:eastAsia="宋体" w:cs="宋体"/>
          <w:color w:val="auto"/>
          <w:highlight w:val="none"/>
        </w:rPr>
        <w:t>方认可的投标书；</w:t>
      </w:r>
    </w:p>
    <w:p w14:paraId="73C17B2E">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图纸或样板；</w:t>
      </w:r>
    </w:p>
    <w:p w14:paraId="35B46A3B">
      <w:pPr>
        <w:numPr>
          <w:ilvl w:val="2"/>
          <w:numId w:val="7"/>
        </w:numPr>
        <w:tabs>
          <w:tab w:val="left" w:pos="284"/>
        </w:tabs>
        <w:spacing w:line="360" w:lineRule="auto"/>
        <w:rPr>
          <w:rFonts w:ascii="宋体" w:hAnsi="宋体" w:eastAsia="宋体" w:cs="宋体"/>
          <w:color w:val="auto"/>
          <w:highlight w:val="none"/>
        </w:rPr>
      </w:pPr>
      <w:r>
        <w:rPr>
          <w:rFonts w:hint="eastAsia" w:ascii="宋体" w:hAnsi="宋体" w:eastAsia="宋体" w:cs="宋体"/>
          <w:color w:val="auto"/>
          <w:highlight w:val="none"/>
        </w:rPr>
        <w:t>现行标准、规范、技术要求和有关技术资料</w:t>
      </w:r>
      <w:r>
        <w:rPr>
          <w:rFonts w:hint="eastAsia" w:ascii="宋体" w:hAnsi="宋体" w:eastAsia="宋体" w:cs="宋体"/>
          <w:color w:val="auto"/>
          <w:highlight w:val="none"/>
          <w:lang w:eastAsia="zh-CN"/>
        </w:rPr>
        <w:t>。</w:t>
      </w:r>
    </w:p>
    <w:p w14:paraId="1BC110DE">
      <w:pPr>
        <w:numPr>
          <w:ilvl w:val="0"/>
          <w:numId w:val="6"/>
        </w:numPr>
        <w:tabs>
          <w:tab w:val="left" w:pos="420"/>
        </w:tabs>
        <w:spacing w:line="360" w:lineRule="auto"/>
        <w:ind w:left="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样板</w:t>
      </w:r>
    </w:p>
    <w:p w14:paraId="7099004D">
      <w:pPr>
        <w:numPr>
          <w:ilvl w:val="1"/>
          <w:numId w:val="8"/>
        </w:numPr>
        <w:tabs>
          <w:tab w:val="left" w:pos="480"/>
          <w:tab w:val="left" w:pos="630"/>
          <w:tab w:val="left" w:pos="960"/>
          <w:tab w:val="clear" w:pos="567"/>
        </w:tabs>
        <w:spacing w:line="360" w:lineRule="auto"/>
        <w:ind w:hanging="87"/>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在签订合同的同时，</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方应将确定的设备样板放置于</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或</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监理单位办公室或专用地点，</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及</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监理单位将按照此样品检查</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供货时实际供应的设备是否符合</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的要求，样品的费用已包含在合同价款中。</w:t>
      </w:r>
    </w:p>
    <w:p w14:paraId="62C20C0E">
      <w:pPr>
        <w:numPr>
          <w:ilvl w:val="1"/>
          <w:numId w:val="8"/>
        </w:numPr>
        <w:tabs>
          <w:tab w:val="left" w:pos="480"/>
          <w:tab w:val="left" w:pos="630"/>
          <w:tab w:val="left" w:pos="960"/>
          <w:tab w:val="clear" w:pos="567"/>
        </w:tabs>
        <w:spacing w:line="360" w:lineRule="auto"/>
        <w:ind w:left="567" w:hanging="87"/>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按</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提供样板加工生产的，</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未经过</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同意，不得将本设备样板转给第三人，且应在交货时退还样板。</w:t>
      </w:r>
    </w:p>
    <w:p w14:paraId="23C6D033">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lang w:eastAsia="zh-CN"/>
        </w:rPr>
        <w:t>各</w:t>
      </w:r>
      <w:r>
        <w:rPr>
          <w:rFonts w:hint="eastAsia" w:ascii="宋体" w:hAnsi="宋体" w:eastAsia="宋体" w:cs="宋体"/>
          <w:b/>
          <w:color w:val="auto"/>
          <w:kern w:val="24"/>
          <w:szCs w:val="21"/>
          <w:highlight w:val="none"/>
        </w:rPr>
        <w:t>方工作</w:t>
      </w:r>
    </w:p>
    <w:p w14:paraId="32D5ADE2">
      <w:pPr>
        <w:numPr>
          <w:ilvl w:val="0"/>
          <w:numId w:val="6"/>
        </w:numPr>
        <w:tabs>
          <w:tab w:val="left" w:pos="420"/>
          <w:tab w:val="left" w:pos="567"/>
          <w:tab w:val="clear" w:pos="1802"/>
        </w:tabs>
        <w:spacing w:line="360" w:lineRule="auto"/>
        <w:ind w:left="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工作</w:t>
      </w:r>
    </w:p>
    <w:p w14:paraId="7658F0EA">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4.1 按协议书约定的时间向乙方提供样板、图纸或使用技术要求。</w:t>
      </w:r>
    </w:p>
    <w:p w14:paraId="2F5C9BA9">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4.2 根据工程协调实际需要，向乙方、丙方发出参加工程例会之通知。</w:t>
      </w:r>
    </w:p>
    <w:p w14:paraId="23FE7353">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4.3 组织或委托设备监理单位交货验收, 但并不能免除乙方责任。</w:t>
      </w:r>
    </w:p>
    <w:p w14:paraId="4B943A6D">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4.4 根据合同约定方式向乙方发出增加供货、供货期调整、取消订货等指令。</w:t>
      </w:r>
    </w:p>
    <w:p w14:paraId="350775AC">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4.5 审批合同支付申请及相关材料，书面通知丙方进行支付。</w:t>
      </w:r>
    </w:p>
    <w:p w14:paraId="2C7EE2BB">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4.6 负责本合同范围内的设备的接受和验收，确认设备是否符合使用要求。</w:t>
      </w:r>
    </w:p>
    <w:p w14:paraId="64717976">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4.7 明确招标采购时间、设备的供货、到货时间及安装周期，及时告知丙方，以确保设备工期满足项目总工期要求。</w:t>
      </w:r>
    </w:p>
    <w:p w14:paraId="38522CB1">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4.8 针对不符合合同要求的设备，进行退货并及时书面告知丙方。</w:t>
      </w:r>
    </w:p>
    <w:p w14:paraId="79AD1356">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4.9 审核设备变更、签证等资料并下达书面文件，及时告知丙方。</w:t>
      </w:r>
    </w:p>
    <w:p w14:paraId="3C06CDA5">
      <w:pPr>
        <w:numPr>
          <w:ilvl w:val="0"/>
          <w:numId w:val="0"/>
        </w:numPr>
        <w:tabs>
          <w:tab w:val="left" w:pos="993"/>
        </w:tabs>
        <w:spacing w:line="360" w:lineRule="auto"/>
        <w:ind w:left="426"/>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4.10 委托专业造价咨询机构对项目进行结算审核，出具结算审核报告，并将结算审核报告提交给丙方，作为计算价款的支付依据。</w:t>
      </w:r>
    </w:p>
    <w:p w14:paraId="115233AF">
      <w:pPr>
        <w:numPr>
          <w:ilvl w:val="0"/>
          <w:numId w:val="0"/>
        </w:numPr>
        <w:tabs>
          <w:tab w:val="left" w:pos="993"/>
        </w:tabs>
        <w:spacing w:line="360" w:lineRule="auto"/>
        <w:ind w:left="42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4.11 </w:t>
      </w:r>
      <w:r>
        <w:rPr>
          <w:rFonts w:hint="eastAsia" w:ascii="宋体" w:hAnsi="宋体" w:eastAsia="宋体" w:cs="宋体"/>
          <w:color w:val="auto"/>
          <w:kern w:val="24"/>
          <w:szCs w:val="21"/>
          <w:highlight w:val="none"/>
          <w:lang w:eastAsia="zh-CN"/>
        </w:rPr>
        <w:t>负责设备安装后的日常合理使用和保管工作（设备质保、维修及合同约定的维护保养仍由乙方承担），并配合丙方完成资产移交手续。</w:t>
      </w:r>
    </w:p>
    <w:p w14:paraId="288647CA">
      <w:pPr>
        <w:numPr>
          <w:ilvl w:val="0"/>
          <w:numId w:val="6"/>
        </w:numPr>
        <w:tabs>
          <w:tab w:val="left" w:pos="420"/>
        </w:tabs>
        <w:spacing w:line="360" w:lineRule="auto"/>
        <w:ind w:left="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工作</w:t>
      </w:r>
    </w:p>
    <w:p w14:paraId="0EE93E92">
      <w:pPr>
        <w:numPr>
          <w:ilvl w:val="0"/>
          <w:numId w:val="0"/>
        </w:numPr>
        <w:tabs>
          <w:tab w:val="left" w:pos="630"/>
        </w:tabs>
        <w:spacing w:line="360" w:lineRule="auto"/>
        <w:ind w:left="425" w:leftChars="0" w:hanging="425"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 w:val="24"/>
          <w:szCs w:val="21"/>
          <w:highlight w:val="none"/>
          <w:lang w:val="en-US" w:eastAsia="zh-CN" w:bidi="ar-SA"/>
        </w:rPr>
        <w:t>5.1</w:t>
      </w:r>
      <w:r>
        <w:rPr>
          <w:rFonts w:hint="eastAsia" w:ascii="宋体" w:hAnsi="宋体" w:eastAsia="宋体" w:cs="宋体"/>
          <w:color w:val="auto"/>
          <w:kern w:val="24"/>
          <w:szCs w:val="21"/>
          <w:highlight w:val="none"/>
        </w:rPr>
        <w:t>按照协议约定的设备清单、合同价款、交货地点、交货方式和时间等向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供应满足协议技术标准及质量要求的</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承担从</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生产到运输至现场交付</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使用前过程中的全部风险和法律法规责任。</w:t>
      </w:r>
    </w:p>
    <w:p w14:paraId="64F68CF3">
      <w:pPr>
        <w:numPr>
          <w:ilvl w:val="0"/>
          <w:numId w:val="0"/>
        </w:numPr>
        <w:tabs>
          <w:tab w:val="left" w:pos="630"/>
        </w:tabs>
        <w:spacing w:line="360" w:lineRule="auto"/>
        <w:ind w:left="425" w:leftChars="0" w:hanging="425"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 w:val="24"/>
          <w:szCs w:val="21"/>
          <w:highlight w:val="none"/>
          <w:lang w:val="en-US" w:eastAsia="zh-CN" w:bidi="ar-SA"/>
        </w:rPr>
        <w:t>5.2</w:t>
      </w:r>
      <w:r>
        <w:rPr>
          <w:rFonts w:hint="eastAsia" w:ascii="宋体" w:hAnsi="宋体" w:eastAsia="宋体" w:cs="宋体"/>
          <w:color w:val="auto"/>
          <w:kern w:val="24"/>
          <w:szCs w:val="21"/>
          <w:highlight w:val="none"/>
        </w:rPr>
        <w:t>根据</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要求，</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代表按时参与项目工程会议。因故不能参加的应提前12小时向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提出申请并在获得</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批准后方可缺席，但对会议纪要确定的指令应无条件执行。</w:t>
      </w:r>
    </w:p>
    <w:p w14:paraId="7C18AA0B">
      <w:pPr>
        <w:numPr>
          <w:ilvl w:val="0"/>
          <w:numId w:val="0"/>
        </w:numPr>
        <w:tabs>
          <w:tab w:val="left" w:pos="630"/>
        </w:tabs>
        <w:spacing w:line="360" w:lineRule="auto"/>
        <w:ind w:left="425" w:leftChars="0" w:hanging="425"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 w:val="24"/>
          <w:szCs w:val="21"/>
          <w:highlight w:val="none"/>
          <w:lang w:val="en-US" w:eastAsia="zh-CN" w:bidi="ar-SA"/>
        </w:rPr>
        <w:t>5.3</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工作人员及设备进场时，应遵守交货现场环境卫生管理、安全管理的有关规定，配备相应的环境保护及安全措施。承担因自身原因违反有关规定而导致的所有责任。</w:t>
      </w:r>
    </w:p>
    <w:p w14:paraId="42CDA63E">
      <w:pPr>
        <w:numPr>
          <w:ilvl w:val="0"/>
          <w:numId w:val="0"/>
        </w:numPr>
        <w:tabs>
          <w:tab w:val="left" w:pos="630"/>
        </w:tabs>
        <w:spacing w:line="360" w:lineRule="auto"/>
        <w:ind w:left="425" w:leftChars="0" w:hanging="425"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 w:val="24"/>
          <w:szCs w:val="21"/>
          <w:highlight w:val="none"/>
          <w:lang w:val="en-US" w:eastAsia="zh-CN" w:bidi="ar-SA"/>
        </w:rPr>
        <w:t>5.4</w:t>
      </w:r>
      <w:r>
        <w:rPr>
          <w:rFonts w:hint="eastAsia" w:ascii="宋体" w:hAnsi="宋体" w:eastAsia="宋体" w:cs="宋体"/>
          <w:color w:val="auto"/>
          <w:kern w:val="24"/>
          <w:szCs w:val="21"/>
          <w:highlight w:val="none"/>
        </w:rPr>
        <w:t>必须配合</w:t>
      </w:r>
      <w:r>
        <w:rPr>
          <w:rFonts w:hint="eastAsia" w:ascii="宋体" w:hAnsi="宋体" w:eastAsia="宋体" w:cs="宋体"/>
          <w:color w:val="auto"/>
          <w:kern w:val="24"/>
          <w:szCs w:val="21"/>
          <w:highlight w:val="none"/>
          <w:lang w:eastAsia="zh-CN"/>
        </w:rPr>
        <w:t>甲方投入使用的时间要求</w:t>
      </w:r>
      <w:r>
        <w:rPr>
          <w:rFonts w:hint="eastAsia" w:ascii="宋体" w:hAnsi="宋体" w:eastAsia="宋体" w:cs="宋体"/>
          <w:color w:val="auto"/>
          <w:kern w:val="24"/>
          <w:szCs w:val="21"/>
          <w:highlight w:val="none"/>
        </w:rPr>
        <w:t>，优先进行样板房需要设备的交货，此费用已包含在本合同价款中不得另行计费。</w:t>
      </w:r>
    </w:p>
    <w:p w14:paraId="47F2A409">
      <w:pPr>
        <w:numPr>
          <w:ilvl w:val="0"/>
          <w:numId w:val="0"/>
        </w:numPr>
        <w:tabs>
          <w:tab w:val="left" w:pos="630"/>
        </w:tabs>
        <w:spacing w:line="360" w:lineRule="auto"/>
        <w:ind w:left="425" w:leftChars="0" w:hanging="42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 w:val="24"/>
          <w:szCs w:val="21"/>
          <w:highlight w:val="none"/>
          <w:lang w:val="en-US" w:eastAsia="zh-CN" w:bidi="ar-SA"/>
        </w:rPr>
        <w:t>5.5</w:t>
      </w:r>
      <w:r>
        <w:rPr>
          <w:rFonts w:hint="eastAsia" w:ascii="宋体" w:hAnsi="宋体" w:eastAsia="宋体" w:cs="宋体"/>
          <w:color w:val="auto"/>
          <w:kern w:val="24"/>
          <w:szCs w:val="21"/>
          <w:highlight w:val="none"/>
        </w:rPr>
        <w:t>在</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或</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监理单位提出要求时，配合</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或</w:t>
      </w:r>
      <w:r>
        <w:rPr>
          <w:rFonts w:hint="eastAsia" w:ascii="宋体" w:hAnsi="宋体" w:eastAsia="宋体" w:cs="宋体"/>
          <w:color w:val="auto"/>
          <w:kern w:val="24"/>
          <w:szCs w:val="21"/>
          <w:highlight w:val="none"/>
          <w:lang w:eastAsia="zh-CN"/>
        </w:rPr>
        <w:t>设别</w:t>
      </w:r>
      <w:r>
        <w:rPr>
          <w:rFonts w:hint="eastAsia" w:ascii="宋体" w:hAnsi="宋体" w:eastAsia="宋体" w:cs="宋体"/>
          <w:color w:val="auto"/>
          <w:kern w:val="24"/>
          <w:szCs w:val="21"/>
          <w:highlight w:val="none"/>
        </w:rPr>
        <w:t>监理单位在生产过程中对原材料、半成品、成品及加工过程进行抽查，此费用已包含在本合同价款中。</w:t>
      </w:r>
    </w:p>
    <w:p w14:paraId="211395A8">
      <w:pPr>
        <w:numPr>
          <w:ilvl w:val="0"/>
          <w:numId w:val="6"/>
        </w:numPr>
        <w:tabs>
          <w:tab w:val="left" w:pos="420"/>
          <w:tab w:val="left" w:pos="567"/>
          <w:tab w:val="clear" w:pos="1802"/>
        </w:tabs>
        <w:spacing w:line="360" w:lineRule="auto"/>
        <w:ind w:left="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工作</w:t>
      </w:r>
    </w:p>
    <w:p w14:paraId="5C6EB2D9">
      <w:pPr>
        <w:numPr>
          <w:ilvl w:val="-1"/>
          <w:numId w:val="0"/>
        </w:numPr>
        <w:tabs>
          <w:tab w:val="left" w:pos="993"/>
        </w:tabs>
        <w:spacing w:line="360" w:lineRule="auto"/>
        <w:ind w:left="426"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负责支付本合同价款至</w:t>
      </w:r>
      <w:r>
        <w:rPr>
          <w:rFonts w:hint="eastAsia" w:ascii="宋体" w:hAnsi="宋体" w:eastAsia="宋体" w:cs="宋体"/>
          <w:color w:val="auto"/>
          <w:kern w:val="24"/>
          <w:szCs w:val="21"/>
          <w:highlight w:val="none"/>
          <w:lang w:val="en-US" w:eastAsia="zh-CN"/>
        </w:rPr>
        <w:t>乙方</w:t>
      </w:r>
      <w:r>
        <w:rPr>
          <w:rFonts w:hint="eastAsia" w:ascii="宋体" w:hAnsi="宋体" w:eastAsia="宋体" w:cs="宋体"/>
          <w:color w:val="auto"/>
          <w:kern w:val="24"/>
          <w:szCs w:val="21"/>
          <w:highlight w:val="none"/>
          <w:lang w:eastAsia="zh-CN"/>
        </w:rPr>
        <w:t>账户</w:t>
      </w:r>
      <w:r>
        <w:rPr>
          <w:rFonts w:hint="eastAsia" w:ascii="宋体" w:hAnsi="宋体" w:eastAsia="宋体" w:cs="宋体"/>
          <w:color w:val="auto"/>
          <w:kern w:val="24"/>
          <w:szCs w:val="21"/>
          <w:highlight w:val="none"/>
        </w:rPr>
        <w:t>，与设备采购合同的其他任何权利、义务无关。</w:t>
      </w:r>
    </w:p>
    <w:p w14:paraId="0EF69B3D">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合同价款的调整及支付</w:t>
      </w:r>
    </w:p>
    <w:p w14:paraId="716F2090">
      <w:pPr>
        <w:numPr>
          <w:ilvl w:val="0"/>
          <w:numId w:val="6"/>
        </w:numPr>
        <w:tabs>
          <w:tab w:val="left" w:pos="420"/>
          <w:tab w:val="left" w:pos="960"/>
          <w:tab w:val="clear" w:pos="1802"/>
        </w:tabs>
        <w:spacing w:line="360" w:lineRule="auto"/>
        <w:ind w:left="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如因设计变更或其他原因导致采购需求发生变化，变更后的设备价款按下列原则确定和处理：</w:t>
      </w:r>
    </w:p>
    <w:p w14:paraId="35ECC8DE">
      <w:pPr>
        <w:numPr>
          <w:ilvl w:val="0"/>
          <w:numId w:val="0"/>
        </w:numPr>
        <w:tabs>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7.1</w:t>
      </w:r>
      <w:r>
        <w:rPr>
          <w:rFonts w:hint="eastAsia" w:ascii="宋体" w:hAnsi="宋体" w:eastAsia="宋体" w:cs="宋体"/>
          <w:color w:val="auto"/>
          <w:kern w:val="24"/>
          <w:szCs w:val="21"/>
          <w:highlight w:val="none"/>
        </w:rPr>
        <w:t xml:space="preserve"> 增加部分价款未超过依法应当另行招标的限额，且系型号参数等变化的，参照附件一中相似设备的价格确定；</w:t>
      </w:r>
    </w:p>
    <w:p w14:paraId="37629B91">
      <w:pPr>
        <w:numPr>
          <w:ilvl w:val="0"/>
          <w:numId w:val="0"/>
        </w:numPr>
        <w:tabs>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7.2</w:t>
      </w:r>
      <w:r>
        <w:rPr>
          <w:rFonts w:hint="eastAsia" w:ascii="宋体" w:hAnsi="宋体" w:eastAsia="宋体" w:cs="宋体"/>
          <w:color w:val="auto"/>
          <w:kern w:val="24"/>
          <w:szCs w:val="21"/>
          <w:highlight w:val="none"/>
        </w:rPr>
        <w:t xml:space="preserve"> 增加部分价款未超过依法应当另行招标的限额，且附件一中没有可参考的相似设备的，由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提交报价，经甲方、丙方审核并依照适用的采购及投资管理规定确定；</w:t>
      </w:r>
    </w:p>
    <w:p w14:paraId="4EAC39D6">
      <w:pPr>
        <w:numPr>
          <w:ilvl w:val="0"/>
          <w:numId w:val="0"/>
        </w:numPr>
        <w:tabs>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7.3</w:t>
      </w:r>
      <w:r>
        <w:rPr>
          <w:rFonts w:hint="eastAsia" w:ascii="宋体" w:hAnsi="宋体" w:eastAsia="宋体" w:cs="宋体"/>
          <w:color w:val="auto"/>
          <w:kern w:val="24"/>
          <w:szCs w:val="21"/>
          <w:highlight w:val="none"/>
        </w:rPr>
        <w:t xml:space="preserve"> 增加部分价款超过依法应当另行招标的限额的，</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有权另行招标。</w:t>
      </w:r>
    </w:p>
    <w:p w14:paraId="41AE264A">
      <w:pPr>
        <w:numPr>
          <w:ilvl w:val="0"/>
          <w:numId w:val="6"/>
        </w:numPr>
        <w:tabs>
          <w:tab w:val="left" w:pos="420"/>
          <w:tab w:val="left" w:pos="960"/>
          <w:tab w:val="clear" w:pos="1802"/>
        </w:tabs>
        <w:spacing w:line="360" w:lineRule="auto"/>
        <w:ind w:left="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合同价款支付</w:t>
      </w:r>
    </w:p>
    <w:p w14:paraId="4DF8F544">
      <w:pPr>
        <w:numPr>
          <w:ilvl w:val="0"/>
          <w:numId w:val="0"/>
        </w:numPr>
        <w:tabs>
          <w:tab w:val="left" w:pos="960"/>
        </w:tabs>
        <w:spacing w:line="360" w:lineRule="auto"/>
        <w:ind w:left="451" w:leftChars="188"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8.1</w:t>
      </w:r>
      <w:r>
        <w:rPr>
          <w:rFonts w:hint="eastAsia" w:ascii="宋体" w:hAnsi="宋体" w:eastAsia="宋体" w:cs="宋体"/>
          <w:color w:val="auto"/>
          <w:kern w:val="24"/>
          <w:szCs w:val="21"/>
          <w:highlight w:val="none"/>
        </w:rPr>
        <w:t xml:space="preserve"> 进度款：</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的付款申请单、收款账号资料证明、相应金额的合法税务发票、设备验收单。</w:t>
      </w:r>
    </w:p>
    <w:p w14:paraId="151F87C8">
      <w:pPr>
        <w:numPr>
          <w:ilvl w:val="0"/>
          <w:numId w:val="0"/>
        </w:numPr>
        <w:tabs>
          <w:tab w:val="left" w:pos="960"/>
        </w:tabs>
        <w:spacing w:line="360" w:lineRule="auto"/>
        <w:ind w:left="451" w:leftChars="188"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8.2</w:t>
      </w:r>
      <w:r>
        <w:rPr>
          <w:rFonts w:hint="eastAsia" w:ascii="宋体" w:hAnsi="宋体" w:eastAsia="宋体" w:cs="宋体"/>
          <w:color w:val="auto"/>
          <w:kern w:val="24"/>
          <w:szCs w:val="21"/>
          <w:highlight w:val="none"/>
        </w:rPr>
        <w:t xml:space="preserve"> 结算款：</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的付款申请单、收款账号资料证明、合法税务发票、竣工结算造价协议、合同经济条款复印件。</w:t>
      </w:r>
    </w:p>
    <w:p w14:paraId="47847F76">
      <w:pPr>
        <w:numPr>
          <w:ilvl w:val="0"/>
          <w:numId w:val="0"/>
        </w:numPr>
        <w:tabs>
          <w:tab w:val="left" w:pos="960"/>
        </w:tabs>
        <w:spacing w:line="360" w:lineRule="auto"/>
        <w:ind w:left="451" w:leftChars="188"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8.4</w:t>
      </w:r>
      <w:r>
        <w:rPr>
          <w:rFonts w:hint="eastAsia" w:ascii="宋体" w:hAnsi="宋体" w:eastAsia="宋体" w:cs="宋体"/>
          <w:color w:val="auto"/>
          <w:kern w:val="24"/>
          <w:szCs w:val="21"/>
          <w:highlight w:val="none"/>
        </w:rPr>
        <w:t xml:space="preserve"> 因</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无法及时提供正确有效的付款证明文件而导致的付款延误，由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负责。质量、交货期达不到合同要求的，在处理完成之前，</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无权要求支付任何款项。</w:t>
      </w:r>
    </w:p>
    <w:p w14:paraId="6D0B223D">
      <w:pPr>
        <w:numPr>
          <w:ilvl w:val="0"/>
          <w:numId w:val="0"/>
        </w:numPr>
        <w:tabs>
          <w:tab w:val="left" w:pos="960"/>
        </w:tabs>
        <w:spacing w:line="360" w:lineRule="auto"/>
        <w:ind w:left="451" w:leftChars="188"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8.5</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根据</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申请，在以上文件齐备后，审核当期进度款，经</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审定后书面通知</w:t>
      </w:r>
      <w:r>
        <w:rPr>
          <w:rFonts w:hint="eastAsia" w:ascii="宋体" w:hAnsi="宋体" w:eastAsia="宋体" w:cs="宋体"/>
          <w:color w:val="auto"/>
          <w:kern w:val="24"/>
          <w:szCs w:val="21"/>
          <w:highlight w:val="none"/>
          <w:lang w:val="en-US" w:eastAsia="zh-CN"/>
        </w:rPr>
        <w:t>丙方</w:t>
      </w:r>
      <w:r>
        <w:rPr>
          <w:rFonts w:hint="eastAsia" w:ascii="宋体" w:hAnsi="宋体" w:eastAsia="宋体" w:cs="宋体"/>
          <w:color w:val="auto"/>
          <w:kern w:val="24"/>
          <w:szCs w:val="21"/>
          <w:highlight w:val="none"/>
        </w:rPr>
        <w:t>支付进度款，</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自收到</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书面通知之日起</w:t>
      </w:r>
      <w:r>
        <w:rPr>
          <w:rFonts w:hint="eastAsia" w:ascii="宋体" w:hAnsi="宋体" w:eastAsia="宋体" w:cs="宋体"/>
          <w:color w:val="auto"/>
          <w:kern w:val="24"/>
          <w:szCs w:val="21"/>
          <w:highlight w:val="none"/>
          <w:lang w:val="en-US" w:eastAsia="zh-CN"/>
        </w:rPr>
        <w:t>7</w:t>
      </w:r>
      <w:r>
        <w:rPr>
          <w:rFonts w:hint="eastAsia" w:ascii="宋体" w:hAnsi="宋体" w:eastAsia="宋体" w:cs="宋体"/>
          <w:color w:val="auto"/>
          <w:kern w:val="24"/>
          <w:szCs w:val="21"/>
          <w:highlight w:val="none"/>
        </w:rPr>
        <w:t>个工作日内向</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支付当期工程进度款，因付款文件不全不正确不及时引起的付款延误，由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承担责任，并不得影响任何工程进展及</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质量。</w:t>
      </w:r>
    </w:p>
    <w:p w14:paraId="4AAEA03F">
      <w:pPr>
        <w:numPr>
          <w:ilvl w:val="0"/>
          <w:numId w:val="5"/>
        </w:numPr>
        <w:tabs>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技术标准和质量要求</w:t>
      </w:r>
    </w:p>
    <w:p w14:paraId="175E66F1">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方在协议书中约定本合同设备所执行的技术标准名称及质量要求，必要的技术方案、设计图纸、样板等共同成为生产及交货、安装验收</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的依据。</w:t>
      </w:r>
    </w:p>
    <w:p w14:paraId="4FF6B846">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所提供的</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的技术规格必须满足招标文件的要求并与投标书提供的情况相符，</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符合中华人民共和国的设计和制造生产标准或行业标准。</w:t>
      </w:r>
    </w:p>
    <w:p w14:paraId="0D27BA00">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应保证</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是全新、未使用过的原装合格正品（包括零部件），并完全符合</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要求的质量、规格和性能的要求。如</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安装或配置了软件的，</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保证相关软件均为正版软件。</w:t>
      </w:r>
    </w:p>
    <w:p w14:paraId="3D7A1BCF">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进一步保证，合同项下提供的全部</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没有设计、材料或工艺上的缺陷，也没有因</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的行为或疏忽而产生的缺陷，上述缺陷是指所供</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在最终使用场所现行条件下正常使用可能产生的。</w:t>
      </w:r>
    </w:p>
    <w:p w14:paraId="487376E0">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保证交货时一并提供</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的质量合格凭证或文件。</w:t>
      </w:r>
    </w:p>
    <w:p w14:paraId="28E1773B">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在供货中提出的合理化建议涉及到对设备要求的更改及对设备的换用，须经</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同意。</w:t>
      </w:r>
    </w:p>
    <w:p w14:paraId="1A8D3808">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供货、安装与验收</w:t>
      </w:r>
    </w:p>
    <w:p w14:paraId="1A57ED17">
      <w:pPr>
        <w:numPr>
          <w:ilvl w:val="0"/>
          <w:numId w:val="6"/>
        </w:numPr>
        <w:tabs>
          <w:tab w:val="left" w:pos="480"/>
          <w:tab w:val="clear" w:pos="1802"/>
        </w:tabs>
        <w:spacing w:line="360" w:lineRule="auto"/>
        <w:ind w:left="976" w:leftChars="0" w:hanging="976" w:hangingChars="407"/>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供货、安装</w:t>
      </w:r>
    </w:p>
    <w:p w14:paraId="39DC40FC">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15.1</w:t>
      </w:r>
      <w:r>
        <w:rPr>
          <w:rFonts w:hint="eastAsia" w:ascii="宋体" w:hAnsi="宋体" w:eastAsia="宋体" w:cs="宋体"/>
          <w:color w:val="auto"/>
          <w:kern w:val="24"/>
          <w:szCs w:val="21"/>
          <w:highlight w:val="none"/>
        </w:rPr>
        <w:t>本合同约定的</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式为</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送货并负责安装，除不可抗力因素外，</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必须按合同规定的地点、时间安排供货、卸货及搬运。</w:t>
      </w:r>
    </w:p>
    <w:p w14:paraId="0EB0D8FA">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15.1</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不能按时开始供货的，应当于不迟于协议书约定的开始供货日期前15天，以书面形式向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提出延期开始供货的理由和要求。</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同意后供货工期相应顺延并告知</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不同意延期要求或</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未在规定时间内提出延期开始供货要求的，供货工期不予顺延。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未经</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同意而未按时供货的，</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有权解除合同，</w:t>
      </w:r>
      <w:r>
        <w:rPr>
          <w:rFonts w:hint="eastAsia" w:ascii="宋体" w:hAnsi="宋体" w:eastAsia="宋体" w:cs="宋体"/>
          <w:color w:val="auto"/>
          <w:kern w:val="24"/>
          <w:szCs w:val="21"/>
          <w:highlight w:val="none"/>
          <w:lang w:eastAsia="zh-CN"/>
        </w:rPr>
        <w:t>同时告知丙方，</w:t>
      </w:r>
      <w:r>
        <w:rPr>
          <w:rFonts w:hint="eastAsia" w:ascii="宋体" w:hAnsi="宋体" w:eastAsia="宋体" w:cs="宋体"/>
          <w:color w:val="auto"/>
          <w:kern w:val="24"/>
          <w:szCs w:val="21"/>
          <w:highlight w:val="none"/>
        </w:rPr>
        <w:t>并向</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索赔因此造成的所有损失，</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亦可不解除合同，而要求</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根据协议书约定支付违约金。</w:t>
      </w:r>
    </w:p>
    <w:p w14:paraId="0418A83A">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15.2</w:t>
      </w:r>
      <w:r>
        <w:rPr>
          <w:rFonts w:hint="eastAsia" w:ascii="宋体" w:hAnsi="宋体" w:eastAsia="宋体" w:cs="宋体"/>
          <w:color w:val="auto"/>
          <w:kern w:val="24"/>
          <w:szCs w:val="21"/>
          <w:highlight w:val="none"/>
        </w:rPr>
        <w:t>交货前48小时，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应书面知会</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到货的准确时间并得到</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确认，到货时间延迟的，每延迟1日，</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向</w:t>
      </w:r>
      <w:r>
        <w:rPr>
          <w:rFonts w:hint="eastAsia" w:ascii="宋体" w:hAnsi="宋体" w:eastAsia="宋体" w:cs="宋体"/>
          <w:color w:val="auto"/>
          <w:kern w:val="24"/>
          <w:szCs w:val="21"/>
          <w:highlight w:val="none"/>
          <w:lang w:eastAsia="zh-CN"/>
        </w:rPr>
        <w:t>丙方赔付</w:t>
      </w:r>
      <w:r>
        <w:rPr>
          <w:rFonts w:hint="eastAsia" w:ascii="宋体" w:hAnsi="宋体" w:eastAsia="宋体" w:cs="宋体"/>
          <w:color w:val="auto"/>
          <w:kern w:val="24"/>
          <w:szCs w:val="21"/>
          <w:highlight w:val="none"/>
        </w:rPr>
        <w:t>延迟交货部分货款总额的【3】</w:t>
      </w:r>
      <w:r>
        <w:rPr>
          <w:rFonts w:hint="eastAsia" w:ascii="宋体" w:hAnsi="宋体" w:eastAsia="宋体" w:cs="宋体"/>
          <w:color w:val="auto"/>
          <w:kern w:val="24"/>
          <w:szCs w:val="21"/>
          <w:highlight w:val="none"/>
          <w:lang w:val="en-US" w:eastAsia="zh-CN"/>
        </w:rPr>
        <w:t>‰</w:t>
      </w:r>
      <w:r>
        <w:rPr>
          <w:rFonts w:hint="eastAsia" w:ascii="宋体" w:hAnsi="宋体" w:eastAsia="宋体" w:cs="宋体"/>
          <w:color w:val="auto"/>
          <w:kern w:val="24"/>
          <w:szCs w:val="21"/>
          <w:highlight w:val="none"/>
        </w:rPr>
        <w:t>的违约金</w:t>
      </w:r>
      <w:r>
        <w:rPr>
          <w:rFonts w:hint="eastAsia" w:ascii="宋体" w:hAnsi="宋体" w:eastAsia="宋体" w:cs="宋体"/>
          <w:color w:val="auto"/>
          <w:kern w:val="24"/>
          <w:szCs w:val="21"/>
          <w:highlight w:val="none"/>
          <w:lang w:eastAsia="zh-CN"/>
        </w:rPr>
        <w:t>，违约金从应支付的进度款中抵扣</w:t>
      </w:r>
      <w:r>
        <w:rPr>
          <w:rFonts w:hint="eastAsia" w:ascii="宋体" w:hAnsi="宋体" w:eastAsia="宋体" w:cs="宋体"/>
          <w:color w:val="auto"/>
          <w:kern w:val="24"/>
          <w:szCs w:val="21"/>
          <w:highlight w:val="none"/>
        </w:rPr>
        <w:t>。</w:t>
      </w:r>
    </w:p>
    <w:p w14:paraId="772766D2">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15.3</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延迟交货达30日，</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有权解除合同</w:t>
      </w:r>
      <w:r>
        <w:rPr>
          <w:rFonts w:hint="eastAsia" w:ascii="宋体" w:hAnsi="宋体" w:eastAsia="宋体" w:cs="宋体"/>
          <w:color w:val="auto"/>
          <w:kern w:val="24"/>
          <w:szCs w:val="21"/>
          <w:highlight w:val="none"/>
          <w:lang w:eastAsia="zh-CN"/>
        </w:rPr>
        <w:t>并告知丙方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应向</w:t>
      </w:r>
      <w:r>
        <w:rPr>
          <w:rFonts w:hint="eastAsia" w:ascii="宋体" w:hAnsi="宋体" w:eastAsia="宋体" w:cs="宋体"/>
          <w:color w:val="auto"/>
          <w:kern w:val="24"/>
          <w:szCs w:val="21"/>
          <w:highlight w:val="none"/>
          <w:lang w:eastAsia="zh-CN"/>
        </w:rPr>
        <w:t>丙方赔付</w:t>
      </w:r>
      <w:r>
        <w:rPr>
          <w:rFonts w:hint="eastAsia" w:ascii="宋体" w:hAnsi="宋体" w:eastAsia="宋体" w:cs="宋体"/>
          <w:color w:val="auto"/>
          <w:kern w:val="24"/>
          <w:szCs w:val="21"/>
          <w:highlight w:val="none"/>
        </w:rPr>
        <w:t>合同总价【30】％的违约金。</w:t>
      </w:r>
    </w:p>
    <w:p w14:paraId="43125996">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15.4</w:t>
      </w:r>
      <w:r>
        <w:rPr>
          <w:rFonts w:hint="eastAsia" w:ascii="宋体" w:hAnsi="宋体" w:eastAsia="宋体" w:cs="宋体"/>
          <w:color w:val="auto"/>
          <w:kern w:val="24"/>
          <w:szCs w:val="21"/>
          <w:highlight w:val="none"/>
        </w:rPr>
        <w:t>送货前24小时通知</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接受单位（如使用单位、总包单位、装修单位、监理单位等）项目部。</w:t>
      </w:r>
    </w:p>
    <w:p w14:paraId="6DDEC7F9">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15.5</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应无条件接受</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对供货期调整、暂停供货、恢复供货的要求，具体方式为：</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提前15天发出有</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代表签发的书面通知，</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代表进行书面确认后即可执行。</w:t>
      </w:r>
    </w:p>
    <w:p w14:paraId="50FA8C53">
      <w:pPr>
        <w:numPr>
          <w:ilvl w:val="0"/>
          <w:numId w:val="0"/>
        </w:numPr>
        <w:tabs>
          <w:tab w:val="left" w:pos="48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15.6乙方提供的进口设备必须具有合法的进口手续，并负责办理设备进口报关等手续并承担相应费用，否则，由此给甲方造成的损失，均由乙方承担。</w:t>
      </w:r>
    </w:p>
    <w:p w14:paraId="384C544D">
      <w:pPr>
        <w:numPr>
          <w:ilvl w:val="0"/>
          <w:numId w:val="0"/>
        </w:numPr>
        <w:tabs>
          <w:tab w:val="left" w:pos="480"/>
        </w:tabs>
        <w:spacing w:line="360" w:lineRule="auto"/>
        <w:ind w:left="480" w:firstLine="0"/>
        <w:textAlignment w:val="top"/>
        <w:rPr>
          <w:rFonts w:ascii="宋体" w:hAnsi="宋体"/>
          <w:szCs w:val="21"/>
          <w:highlight w:val="none"/>
        </w:rPr>
      </w:pPr>
      <w:r>
        <w:rPr>
          <w:rFonts w:hint="eastAsia" w:ascii="宋体" w:hAnsi="宋体" w:eastAsia="宋体" w:cs="宋体"/>
          <w:color w:val="auto"/>
          <w:kern w:val="24"/>
          <w:szCs w:val="21"/>
          <w:highlight w:val="none"/>
          <w:lang w:val="en-US" w:eastAsia="zh-CN"/>
        </w:rPr>
        <w:t>15.7</w:t>
      </w:r>
      <w:r>
        <w:rPr>
          <w:rFonts w:hint="eastAsia" w:ascii="宋体" w:hAnsi="宋体"/>
          <w:szCs w:val="21"/>
          <w:highlight w:val="none"/>
          <w:lang w:val="en-US" w:eastAsia="zh-CN"/>
        </w:rPr>
        <w:t>乙方</w:t>
      </w:r>
      <w:r>
        <w:rPr>
          <w:rFonts w:hint="eastAsia" w:ascii="宋体" w:hAnsi="宋体"/>
          <w:szCs w:val="21"/>
          <w:highlight w:val="none"/>
        </w:rPr>
        <w:t>保证其提供的设备不侵犯任何第三方的所有权、知识产权等合法权益。如第三方对设备提出权利请求的，使用方不涉入任何此等纠纷，由</w:t>
      </w:r>
      <w:r>
        <w:rPr>
          <w:rFonts w:hint="eastAsia" w:ascii="宋体" w:hAnsi="宋体"/>
          <w:szCs w:val="21"/>
          <w:highlight w:val="none"/>
          <w:lang w:val="en-US" w:eastAsia="zh-CN"/>
        </w:rPr>
        <w:t>乙方</w:t>
      </w:r>
      <w:r>
        <w:rPr>
          <w:rFonts w:hint="eastAsia" w:ascii="宋体" w:hAnsi="宋体"/>
          <w:szCs w:val="21"/>
          <w:highlight w:val="none"/>
        </w:rPr>
        <w:t>负责解决并承担责任；如使用方涉入纠纷，则</w:t>
      </w:r>
      <w:r>
        <w:rPr>
          <w:rFonts w:hint="eastAsia" w:ascii="宋体" w:hAnsi="宋体"/>
          <w:szCs w:val="21"/>
          <w:highlight w:val="none"/>
          <w:lang w:val="en-US" w:eastAsia="zh-CN"/>
        </w:rPr>
        <w:t>乙方</w:t>
      </w:r>
      <w:r>
        <w:rPr>
          <w:rFonts w:hint="eastAsia" w:ascii="宋体" w:hAnsi="宋体"/>
          <w:szCs w:val="21"/>
          <w:highlight w:val="none"/>
        </w:rPr>
        <w:t>同意赔偿使用方因涉入纠纷所承担的所有费用，包括但不限于上述纠纷中所产生的一切诉讼/仲裁费用、律师费用、和解金额或终审判决中规定的赔偿金额等。</w:t>
      </w:r>
    </w:p>
    <w:p w14:paraId="4DA632D8">
      <w:pPr>
        <w:numPr>
          <w:ilvl w:val="0"/>
          <w:numId w:val="0"/>
        </w:numPr>
        <w:tabs>
          <w:tab w:val="left" w:pos="480"/>
        </w:tabs>
        <w:spacing w:line="360" w:lineRule="auto"/>
        <w:ind w:left="480" w:firstLine="0"/>
        <w:textAlignment w:val="top"/>
        <w:rPr>
          <w:rFonts w:hint="eastAsia" w:ascii="宋体" w:hAnsi="宋体" w:eastAsia="宋体" w:cs="宋体"/>
          <w:color w:val="auto"/>
          <w:kern w:val="24"/>
          <w:szCs w:val="21"/>
          <w:highlight w:val="none"/>
          <w:lang w:val="en-US" w:eastAsia="zh-CN"/>
        </w:rPr>
      </w:pPr>
    </w:p>
    <w:p w14:paraId="58D9EBED">
      <w:pPr>
        <w:numPr>
          <w:ilvl w:val="0"/>
          <w:numId w:val="6"/>
        </w:numPr>
        <w:tabs>
          <w:tab w:val="left" w:pos="420"/>
          <w:tab w:val="left" w:pos="960"/>
          <w:tab w:val="clear" w:pos="1802"/>
        </w:tabs>
        <w:spacing w:line="360" w:lineRule="auto"/>
        <w:ind w:left="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 xml:space="preserve"> 验收</w:t>
      </w:r>
    </w:p>
    <w:p w14:paraId="03C3C108">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16.1</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val="en-US" w:eastAsia="zh-CN"/>
        </w:rPr>
        <w:t>验收时间：</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安装调试完毕</w:t>
      </w:r>
      <w:r>
        <w:rPr>
          <w:rFonts w:hint="eastAsia" w:ascii="宋体" w:hAnsi="宋体" w:eastAsia="宋体" w:cs="宋体"/>
          <w:color w:val="auto"/>
          <w:kern w:val="24"/>
          <w:szCs w:val="21"/>
          <w:highlight w:val="none"/>
          <w:lang w:eastAsia="zh-CN"/>
        </w:rPr>
        <w:t>，</w:t>
      </w:r>
      <w:r>
        <w:rPr>
          <w:rFonts w:hint="eastAsia" w:ascii="宋体" w:hAnsi="宋体" w:eastAsia="宋体" w:cs="宋体"/>
          <w:color w:val="auto"/>
          <w:kern w:val="24"/>
          <w:szCs w:val="21"/>
          <w:highlight w:val="none"/>
          <w:lang w:val="en-US" w:eastAsia="zh-CN"/>
        </w:rPr>
        <w:t>并正常运行后</w:t>
      </w:r>
      <w:r>
        <w:rPr>
          <w:rFonts w:hint="eastAsia" w:ascii="宋体" w:hAnsi="宋体" w:eastAsia="宋体" w:cs="宋体"/>
          <w:color w:val="auto"/>
          <w:kern w:val="24"/>
          <w:szCs w:val="21"/>
          <w:highlight w:val="none"/>
        </w:rPr>
        <w:t>的</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30 </w:t>
      </w:r>
      <w:r>
        <w:rPr>
          <w:rFonts w:hint="eastAsia" w:ascii="宋体" w:hAnsi="宋体" w:eastAsia="宋体" w:cs="宋体"/>
          <w:color w:val="auto"/>
          <w:kern w:val="24"/>
          <w:szCs w:val="21"/>
          <w:highlight w:val="none"/>
        </w:rPr>
        <w:t>个工作日内进行质量验收，但并不免除任何</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对交货产品存在质量、制造、设计、性能方面的缺陷和不合格的责任、违约责任和对</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造成损失的赔偿。</w:t>
      </w:r>
    </w:p>
    <w:p w14:paraId="76D91969">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16.2</w:t>
      </w:r>
      <w:r>
        <w:rPr>
          <w:rFonts w:hint="eastAsia" w:ascii="宋体" w:hAnsi="宋体" w:eastAsia="宋体" w:cs="宋体"/>
          <w:color w:val="auto"/>
          <w:kern w:val="24"/>
          <w:szCs w:val="21"/>
          <w:highlight w:val="none"/>
        </w:rPr>
        <w:t xml:space="preserve">  不符合招投标文件和合同规定以及验收标准的，</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有权拒收、部分拒收、退货、部分退货、解除合同，并向</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索赔因此造成的其他诸如工期、返工等损失。</w:t>
      </w:r>
    </w:p>
    <w:p w14:paraId="166027D9">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16.3</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应将所提供</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的使用说明书、原厂保修卡等附随资料和附随配件、工具等交付给</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不能完整交付</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及本款规定的单证和工具的，视为未按合同约定交货，</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负责补齐，因此导致逾期交付的，由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承担相关的违约责任。</w:t>
      </w:r>
    </w:p>
    <w:p w14:paraId="34E55520">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16.4</w:t>
      </w:r>
      <w:r>
        <w:rPr>
          <w:rFonts w:hint="eastAsia" w:ascii="宋体" w:hAnsi="宋体" w:eastAsia="宋体" w:cs="宋体"/>
          <w:color w:val="auto"/>
          <w:kern w:val="24"/>
          <w:szCs w:val="21"/>
          <w:highlight w:val="none"/>
        </w:rPr>
        <w:t xml:space="preserve">  交货之后三天内，</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应与</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约定时间共同取样送检。</w:t>
      </w:r>
    </w:p>
    <w:p w14:paraId="2E28A938">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16.5</w:t>
      </w:r>
      <w:r>
        <w:rPr>
          <w:rFonts w:hint="eastAsia" w:ascii="宋体" w:hAnsi="宋体" w:eastAsia="宋体" w:cs="宋体"/>
          <w:color w:val="auto"/>
          <w:kern w:val="24"/>
          <w:szCs w:val="21"/>
          <w:highlight w:val="none"/>
        </w:rPr>
        <w:t xml:space="preserve">  存在安装的，</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应在完成约定的工序后，需向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申请进行中间验收；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在完成全部供货、安装工作后，需向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申请进行竣工验收和移交。</w:t>
      </w:r>
    </w:p>
    <w:p w14:paraId="2E6BDA97">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16.6</w:t>
      </w:r>
      <w:r>
        <w:rPr>
          <w:rFonts w:hint="eastAsia" w:ascii="宋体" w:hAnsi="宋体" w:eastAsia="宋体" w:cs="宋体"/>
          <w:color w:val="auto"/>
          <w:kern w:val="24"/>
          <w:szCs w:val="21"/>
          <w:highlight w:val="none"/>
        </w:rPr>
        <w:t xml:space="preserve">  现场无法从表观判断质量的</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，进场验收时</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可进行破坏性抽检。</w:t>
      </w:r>
    </w:p>
    <w:p w14:paraId="47F50B35">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16.7</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提供的各种文件载明的内容必须真实，</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对产品的技术数据置疑时有权要求</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按照双方认可的第三方的检验方法进行检测(检测费用由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承担)，检测结果必须证明</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提供的技术数据是真实的，否则视为不合格。</w:t>
      </w:r>
    </w:p>
    <w:p w14:paraId="444D5AB2">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16.8 </w:t>
      </w:r>
      <w:r>
        <w:rPr>
          <w:rFonts w:hint="eastAsia"/>
          <w:highlight w:val="none"/>
        </w:rPr>
        <w:t>验收标准：</w:t>
      </w:r>
    </w:p>
    <w:p w14:paraId="63AAF31D">
      <w:pPr>
        <w:widowControl w:val="0"/>
        <w:wordWrap/>
        <w:adjustRightInd w:val="0"/>
        <w:snapToGrid/>
        <w:spacing w:line="360" w:lineRule="auto"/>
        <w:ind w:firstLine="480" w:firstLineChars="200"/>
        <w:jc w:val="left"/>
        <w:textAlignment w:val="baseline"/>
        <w:outlineLvl w:val="9"/>
        <w:rPr>
          <w:highlight w:val="none"/>
        </w:rPr>
      </w:pPr>
      <w:r>
        <w:rPr>
          <w:rFonts w:hint="eastAsia"/>
          <w:highlight w:val="none"/>
        </w:rPr>
        <w:t>（1）</w:t>
      </w:r>
      <w:r>
        <w:rPr>
          <w:rFonts w:hint="eastAsia"/>
          <w:highlight w:val="none"/>
          <w:lang w:eastAsia="zh-CN"/>
        </w:rPr>
        <w:t>设备</w:t>
      </w:r>
      <w:r>
        <w:rPr>
          <w:rFonts w:hint="eastAsia"/>
          <w:highlight w:val="none"/>
        </w:rPr>
        <w:t>经过</w:t>
      </w:r>
      <w:r>
        <w:rPr>
          <w:rFonts w:hint="eastAsia"/>
          <w:highlight w:val="none"/>
          <w:lang w:eastAsia="zh-CN"/>
        </w:rPr>
        <w:t>甲方、乙方</w:t>
      </w:r>
      <w:r>
        <w:rPr>
          <w:rFonts w:hint="eastAsia"/>
          <w:highlight w:val="none"/>
        </w:rPr>
        <w:t>检验认可后，签署验收报告，产品保修期自验收合格之日起算。（2）当满足以下条件时，</w:t>
      </w:r>
      <w:r>
        <w:rPr>
          <w:rFonts w:hint="eastAsia"/>
          <w:highlight w:val="none"/>
          <w:lang w:eastAsia="zh-CN"/>
        </w:rPr>
        <w:t>甲方</w:t>
      </w:r>
      <w:r>
        <w:rPr>
          <w:rFonts w:hint="eastAsia"/>
          <w:highlight w:val="none"/>
        </w:rPr>
        <w:t>才向</w:t>
      </w:r>
      <w:r>
        <w:rPr>
          <w:rFonts w:hint="eastAsia"/>
          <w:highlight w:val="none"/>
          <w:lang w:eastAsia="zh-CN"/>
        </w:rPr>
        <w:t>乙方</w:t>
      </w:r>
      <w:r>
        <w:rPr>
          <w:rFonts w:hint="eastAsia"/>
          <w:highlight w:val="none"/>
        </w:rPr>
        <w:t>签发验收报告：</w:t>
      </w:r>
    </w:p>
    <w:p w14:paraId="2F6D418D">
      <w:pPr>
        <w:widowControl w:val="0"/>
        <w:wordWrap/>
        <w:adjustRightInd w:val="0"/>
        <w:snapToGrid/>
        <w:spacing w:line="360" w:lineRule="auto"/>
        <w:ind w:firstLine="480" w:firstLineChars="200"/>
        <w:jc w:val="left"/>
        <w:textAlignment w:val="baseline"/>
        <w:outlineLvl w:val="9"/>
        <w:rPr>
          <w:highlight w:val="none"/>
        </w:rPr>
      </w:pPr>
      <w:r>
        <w:rPr>
          <w:rFonts w:hint="eastAsia"/>
          <w:highlight w:val="none"/>
        </w:rPr>
        <w:t>a、</w:t>
      </w:r>
      <w:r>
        <w:rPr>
          <w:rFonts w:hint="eastAsia"/>
          <w:bCs/>
          <w:szCs w:val="21"/>
          <w:highlight w:val="none"/>
        </w:rPr>
        <w:t>已按照合同规定提供了全部产品及完整的技术资料。</w:t>
      </w:r>
    </w:p>
    <w:p w14:paraId="312D9498">
      <w:pPr>
        <w:widowControl w:val="0"/>
        <w:wordWrap/>
        <w:adjustRightInd w:val="0"/>
        <w:snapToGrid/>
        <w:spacing w:line="360" w:lineRule="auto"/>
        <w:ind w:firstLine="480" w:firstLineChars="200"/>
        <w:jc w:val="left"/>
        <w:textAlignment w:val="baseline"/>
        <w:outlineLvl w:val="9"/>
        <w:rPr>
          <w:rFonts w:hint="eastAsia"/>
          <w:bCs/>
          <w:szCs w:val="21"/>
          <w:highlight w:val="none"/>
        </w:rPr>
      </w:pPr>
      <w:r>
        <w:rPr>
          <w:rFonts w:hint="eastAsia"/>
          <w:highlight w:val="none"/>
        </w:rPr>
        <w:t>b、</w:t>
      </w:r>
      <w:r>
        <w:rPr>
          <w:rFonts w:hint="eastAsia"/>
          <w:highlight w:val="none"/>
          <w:lang w:eastAsia="zh-CN"/>
        </w:rPr>
        <w:t>设备</w:t>
      </w:r>
      <w:r>
        <w:rPr>
          <w:rFonts w:hint="eastAsia"/>
          <w:bCs/>
          <w:szCs w:val="21"/>
          <w:highlight w:val="none"/>
        </w:rPr>
        <w:t>符合招标文件技术规格书的要求，性能满足要求。</w:t>
      </w:r>
    </w:p>
    <w:p w14:paraId="15BE0622">
      <w:pPr>
        <w:widowControl w:val="0"/>
        <w:wordWrap/>
        <w:adjustRightInd w:val="0"/>
        <w:snapToGrid/>
        <w:spacing w:line="360" w:lineRule="auto"/>
        <w:ind w:firstLine="480" w:firstLineChars="200"/>
        <w:jc w:val="left"/>
        <w:textAlignment w:val="baseline"/>
        <w:outlineLvl w:val="9"/>
        <w:rPr>
          <w:rFonts w:hint="eastAsia"/>
          <w:bCs/>
          <w:szCs w:val="21"/>
          <w:highlight w:val="none"/>
        </w:rPr>
      </w:pPr>
      <w:r>
        <w:rPr>
          <w:rFonts w:hint="eastAsia"/>
          <w:highlight w:val="none"/>
        </w:rPr>
        <w:t>c、</w:t>
      </w:r>
      <w:r>
        <w:rPr>
          <w:rFonts w:hint="eastAsia"/>
          <w:highlight w:val="none"/>
          <w:lang w:eastAsia="zh-CN"/>
        </w:rPr>
        <w:t>设备</w:t>
      </w:r>
      <w:r>
        <w:rPr>
          <w:rFonts w:hint="eastAsia"/>
          <w:bCs/>
          <w:szCs w:val="21"/>
          <w:highlight w:val="none"/>
        </w:rPr>
        <w:t>具备产品合格证。</w:t>
      </w:r>
    </w:p>
    <w:p w14:paraId="23CC081C">
      <w:pPr>
        <w:widowControl w:val="0"/>
        <w:wordWrap/>
        <w:adjustRightInd w:val="0"/>
        <w:snapToGrid/>
        <w:spacing w:line="360" w:lineRule="auto"/>
        <w:ind w:firstLine="480" w:firstLineChars="200"/>
        <w:jc w:val="left"/>
        <w:textAlignment w:val="baseline"/>
        <w:outlineLvl w:val="9"/>
        <w:rPr>
          <w:highlight w:val="none"/>
        </w:rPr>
      </w:pPr>
      <w:r>
        <w:rPr>
          <w:rFonts w:hint="eastAsia"/>
          <w:highlight w:val="none"/>
          <w:lang w:val="en-US" w:eastAsia="zh-CN"/>
        </w:rPr>
        <w:t>d</w:t>
      </w:r>
      <w:r>
        <w:rPr>
          <w:rFonts w:hint="eastAsia"/>
          <w:highlight w:val="none"/>
        </w:rPr>
        <w:t>、在进行测试和验收运行过程中发生的故障已被消除并得到</w:t>
      </w:r>
      <w:r>
        <w:rPr>
          <w:rFonts w:hint="eastAsia"/>
          <w:highlight w:val="none"/>
          <w:lang w:eastAsia="zh-CN"/>
        </w:rPr>
        <w:t>甲方</w:t>
      </w:r>
      <w:r>
        <w:rPr>
          <w:rFonts w:hint="eastAsia"/>
          <w:highlight w:val="none"/>
        </w:rPr>
        <w:t>的认可。</w:t>
      </w:r>
    </w:p>
    <w:p w14:paraId="5D908A8A">
      <w:pPr>
        <w:widowControl w:val="0"/>
        <w:wordWrap/>
        <w:adjustRightInd w:val="0"/>
        <w:snapToGrid/>
        <w:spacing w:line="360" w:lineRule="auto"/>
        <w:ind w:firstLine="480" w:firstLineChars="200"/>
        <w:jc w:val="left"/>
        <w:textAlignment w:val="baseline"/>
        <w:outlineLvl w:val="9"/>
        <w:rPr>
          <w:highlight w:val="none"/>
        </w:rPr>
      </w:pPr>
      <w:r>
        <w:rPr>
          <w:rFonts w:hint="eastAsia"/>
          <w:highlight w:val="none"/>
        </w:rPr>
        <w:t>e、设备在交由</w:t>
      </w:r>
      <w:r>
        <w:rPr>
          <w:rFonts w:hint="eastAsia"/>
          <w:highlight w:val="none"/>
          <w:lang w:eastAsia="zh-CN"/>
        </w:rPr>
        <w:t>甲方</w:t>
      </w:r>
      <w:r>
        <w:rPr>
          <w:rFonts w:hint="eastAsia"/>
          <w:highlight w:val="none"/>
        </w:rPr>
        <w:t>使用之前已通过质量管理部门的验收，并得到使用证书。</w:t>
      </w:r>
    </w:p>
    <w:p w14:paraId="77722631">
      <w:pPr>
        <w:numPr>
          <w:ilvl w:val="0"/>
          <w:numId w:val="0"/>
        </w:numPr>
        <w:tabs>
          <w:tab w:val="left" w:pos="480"/>
          <w:tab w:val="left" w:pos="960"/>
        </w:tabs>
        <w:spacing w:line="360" w:lineRule="auto"/>
        <w:ind w:left="480" w:firstLine="0"/>
        <w:textAlignment w:val="top"/>
        <w:rPr>
          <w:rFonts w:hint="eastAsia" w:ascii="宋体" w:hAnsi="宋体" w:eastAsia="宋体" w:cs="宋体"/>
          <w:color w:val="auto"/>
          <w:kern w:val="24"/>
          <w:szCs w:val="21"/>
          <w:highlight w:val="none"/>
          <w:lang w:eastAsia="zh-CN"/>
        </w:rPr>
      </w:pPr>
      <w:r>
        <w:rPr>
          <w:rFonts w:hint="eastAsia" w:ascii="宋体" w:hAnsi="宋体" w:eastAsia="宋体" w:cs="宋体"/>
          <w:color w:val="auto"/>
          <w:kern w:val="24"/>
          <w:szCs w:val="21"/>
          <w:highlight w:val="none"/>
          <w:lang w:val="en-US" w:eastAsia="zh-CN"/>
        </w:rPr>
        <w:t xml:space="preserve">16.9 </w:t>
      </w:r>
      <w:r>
        <w:rPr>
          <w:rFonts w:hint="eastAsia" w:ascii="宋体" w:hAnsi="宋体" w:eastAsia="宋体" w:cs="宋体"/>
          <w:color w:val="auto"/>
          <w:kern w:val="24"/>
          <w:szCs w:val="21"/>
          <w:highlight w:val="none"/>
          <w:lang w:eastAsia="zh-CN"/>
        </w:rPr>
        <w:t>甲方对所有设备验收确认后进行签收并完成移交工作，后续不再办理实物移交手续。</w:t>
      </w:r>
    </w:p>
    <w:p w14:paraId="5772191B">
      <w:pPr>
        <w:spacing w:line="360" w:lineRule="auto"/>
        <w:rPr>
          <w:rFonts w:ascii="宋体" w:hAnsi="宋体"/>
          <w:szCs w:val="21"/>
          <w:highlight w:val="none"/>
        </w:rPr>
      </w:pPr>
      <w:r>
        <w:rPr>
          <w:rFonts w:hint="eastAsia" w:ascii="宋体" w:hAnsi="宋体"/>
          <w:szCs w:val="21"/>
          <w:highlight w:val="none"/>
          <w:lang w:val="en-US" w:eastAsia="zh-CN"/>
        </w:rPr>
        <w:t>16.10</w:t>
      </w:r>
      <w:r>
        <w:rPr>
          <w:rFonts w:hint="eastAsia" w:ascii="宋体" w:hAnsi="宋体"/>
          <w:szCs w:val="21"/>
          <w:highlight w:val="none"/>
        </w:rPr>
        <w:t>验收日期前</w:t>
      </w:r>
      <w:r>
        <w:rPr>
          <w:rFonts w:hint="eastAsia" w:ascii="宋体" w:hAnsi="宋体"/>
          <w:szCs w:val="21"/>
          <w:highlight w:val="none"/>
          <w:lang w:val="en-US" w:eastAsia="zh-CN"/>
        </w:rPr>
        <w:t>乙方</w:t>
      </w:r>
      <w:r>
        <w:rPr>
          <w:rFonts w:hint="eastAsia" w:ascii="宋体" w:hAnsi="宋体"/>
          <w:szCs w:val="21"/>
          <w:highlight w:val="none"/>
        </w:rPr>
        <w:t>必须完成合同约定的各项培训，包括对</w:t>
      </w:r>
      <w:r>
        <w:rPr>
          <w:rFonts w:hint="eastAsia" w:ascii="宋体" w:hAnsi="宋体"/>
          <w:szCs w:val="21"/>
          <w:highlight w:val="none"/>
          <w:lang w:val="en-US" w:eastAsia="zh-CN"/>
        </w:rPr>
        <w:t>甲</w:t>
      </w:r>
      <w:r>
        <w:rPr>
          <w:rFonts w:hint="eastAsia" w:ascii="宋体" w:hAnsi="宋体"/>
          <w:szCs w:val="21"/>
          <w:highlight w:val="none"/>
        </w:rPr>
        <w:t>方相关人员进行货物使用培训及日常保养培训并提供培训记录。现场验收时供货方提供必要的技术支持并协助使用方完成各项指标和功能的测试，否则因验收延误所产生的后果由供货方负责。</w:t>
      </w:r>
    </w:p>
    <w:p w14:paraId="3C765310">
      <w:pPr>
        <w:spacing w:line="360" w:lineRule="auto"/>
        <w:rPr>
          <w:rFonts w:ascii="宋体" w:hAnsi="宋体"/>
          <w:szCs w:val="21"/>
          <w:highlight w:val="none"/>
        </w:rPr>
      </w:pPr>
      <w:r>
        <w:rPr>
          <w:rFonts w:hint="eastAsia" w:ascii="宋体" w:hAnsi="宋体"/>
          <w:szCs w:val="21"/>
          <w:highlight w:val="none"/>
          <w:lang w:val="en-US" w:eastAsia="zh-CN"/>
        </w:rPr>
        <w:t>16.11</w:t>
      </w:r>
      <w:r>
        <w:rPr>
          <w:rFonts w:hint="eastAsia" w:ascii="宋体" w:hAnsi="宋体"/>
          <w:szCs w:val="21"/>
          <w:highlight w:val="none"/>
        </w:rPr>
        <w:t>验收按本合同要求及国家有关的规定、规范进行。验收时如发现所交付的设备有短装、次品、损坏或其它不符合本合同规定之情形者，使用方可作现场记录，或由</w:t>
      </w:r>
      <w:r>
        <w:rPr>
          <w:rFonts w:hint="eastAsia" w:ascii="宋体" w:hAnsi="宋体"/>
          <w:color w:val="auto"/>
          <w:szCs w:val="21"/>
          <w:highlight w:val="none"/>
          <w:lang w:val="en-US" w:eastAsia="zh-CN"/>
        </w:rPr>
        <w:t>甲乙</w:t>
      </w:r>
      <w:r>
        <w:rPr>
          <w:rFonts w:hint="eastAsia" w:ascii="宋体" w:hAnsi="宋体"/>
          <w:color w:val="auto"/>
          <w:szCs w:val="21"/>
          <w:highlight w:val="none"/>
        </w:rPr>
        <w:t>双方签</w:t>
      </w:r>
      <w:r>
        <w:rPr>
          <w:rFonts w:hint="eastAsia" w:ascii="宋体" w:hAnsi="宋体"/>
          <w:szCs w:val="21"/>
          <w:highlight w:val="none"/>
        </w:rPr>
        <w:t>署备忘录。此现场记录或备忘录可用作换货、补充缺失、更换损坏部件和追责的有效证据。由此产生的有关费用由供货方承担。</w:t>
      </w:r>
      <w:r>
        <w:rPr>
          <w:rFonts w:hint="eastAsia" w:ascii="宋体" w:hAnsi="宋体"/>
          <w:bCs/>
          <w:szCs w:val="21"/>
          <w:highlight w:val="none"/>
          <w:lang w:val="en-US" w:eastAsia="zh-CN"/>
        </w:rPr>
        <w:t>乙方</w:t>
      </w:r>
      <w:r>
        <w:rPr>
          <w:rFonts w:hint="eastAsia" w:ascii="宋体" w:hAnsi="宋体"/>
          <w:bCs/>
          <w:szCs w:val="21"/>
          <w:highlight w:val="none"/>
        </w:rPr>
        <w:t>提供的各种文件载明的内容必须真实，使用方对产品的技术数据置疑时，有权要求</w:t>
      </w:r>
      <w:r>
        <w:rPr>
          <w:rFonts w:hint="eastAsia" w:ascii="宋体" w:hAnsi="宋体"/>
          <w:bCs/>
          <w:szCs w:val="21"/>
          <w:highlight w:val="none"/>
          <w:lang w:val="en-US" w:eastAsia="zh-CN"/>
        </w:rPr>
        <w:t>乙方</w:t>
      </w:r>
      <w:r>
        <w:rPr>
          <w:rFonts w:hint="eastAsia" w:ascii="宋体" w:hAnsi="宋体"/>
          <w:bCs/>
          <w:szCs w:val="21"/>
          <w:highlight w:val="none"/>
        </w:rPr>
        <w:t>按照双方认可的第三方检测机构出具的检验方法进行检测(检测费用由供货方承担)，检测结果必须证明</w:t>
      </w:r>
      <w:r>
        <w:rPr>
          <w:rFonts w:hint="eastAsia" w:ascii="宋体" w:hAnsi="宋体"/>
          <w:bCs/>
          <w:szCs w:val="21"/>
          <w:highlight w:val="none"/>
          <w:lang w:val="en-US" w:eastAsia="zh-CN"/>
        </w:rPr>
        <w:t>乙</w:t>
      </w:r>
      <w:r>
        <w:rPr>
          <w:rFonts w:hint="eastAsia" w:ascii="宋体" w:hAnsi="宋体"/>
          <w:bCs/>
          <w:szCs w:val="21"/>
          <w:highlight w:val="none"/>
        </w:rPr>
        <w:t>方提供的技术数据是真实的，否则视为不合格。</w:t>
      </w:r>
    </w:p>
    <w:p w14:paraId="58851DCC">
      <w:pPr>
        <w:tabs>
          <w:tab w:val="left" w:pos="780"/>
        </w:tabs>
        <w:spacing w:line="360" w:lineRule="auto"/>
        <w:rPr>
          <w:highlight w:val="none"/>
        </w:rPr>
      </w:pPr>
      <w:r>
        <w:rPr>
          <w:rFonts w:hint="eastAsia" w:ascii="宋体" w:hAnsi="宋体"/>
          <w:szCs w:val="21"/>
          <w:highlight w:val="none"/>
        </w:rPr>
        <w:t>15.11验收发现货物短装、损坏或质量不符合本合同之规定，不论何种原因导致，在</w:t>
      </w:r>
      <w:r>
        <w:rPr>
          <w:rFonts w:hint="eastAsia" w:ascii="宋体" w:hAnsi="宋体"/>
          <w:szCs w:val="21"/>
          <w:highlight w:val="none"/>
          <w:lang w:val="en-US" w:eastAsia="zh-CN"/>
        </w:rPr>
        <w:t>甲</w:t>
      </w:r>
      <w:r>
        <w:rPr>
          <w:rFonts w:hint="eastAsia" w:ascii="宋体" w:hAnsi="宋体"/>
          <w:szCs w:val="21"/>
          <w:highlight w:val="none"/>
        </w:rPr>
        <w:t>方提出换货要求的情况下，</w:t>
      </w:r>
      <w:r>
        <w:rPr>
          <w:rFonts w:hint="eastAsia" w:ascii="宋体" w:hAnsi="宋体"/>
          <w:szCs w:val="21"/>
          <w:highlight w:val="none"/>
          <w:lang w:val="en-US" w:eastAsia="zh-CN"/>
        </w:rPr>
        <w:t>乙方</w:t>
      </w:r>
      <w:r>
        <w:rPr>
          <w:rFonts w:hint="eastAsia" w:ascii="宋体" w:hAnsi="宋体"/>
          <w:szCs w:val="21"/>
          <w:highlight w:val="none"/>
        </w:rPr>
        <w:t>应及时安排换货，以保证合同设备如期安装、通过验收。换货的相关费用和相应后果由</w:t>
      </w:r>
      <w:r>
        <w:rPr>
          <w:rFonts w:hint="eastAsia" w:ascii="宋体" w:hAnsi="宋体"/>
          <w:szCs w:val="21"/>
          <w:highlight w:val="none"/>
          <w:lang w:val="en-US" w:eastAsia="zh-CN"/>
        </w:rPr>
        <w:t>乙方</w:t>
      </w:r>
      <w:r>
        <w:rPr>
          <w:rFonts w:hint="eastAsia" w:ascii="宋体" w:hAnsi="宋体"/>
          <w:szCs w:val="21"/>
          <w:highlight w:val="none"/>
        </w:rPr>
        <w:t>承担，验收时间不予顺延。</w:t>
      </w:r>
    </w:p>
    <w:p w14:paraId="6F4A99F8">
      <w:pPr>
        <w:numPr>
          <w:ilvl w:val="0"/>
          <w:numId w:val="5"/>
        </w:numPr>
        <w:tabs>
          <w:tab w:val="left" w:pos="480"/>
          <w:tab w:val="left" w:pos="120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b/>
          <w:color w:val="auto"/>
          <w:szCs w:val="28"/>
          <w:highlight w:val="none"/>
        </w:rPr>
        <w:t>包装运输装卸及保险条款</w:t>
      </w:r>
    </w:p>
    <w:p w14:paraId="592EB67D">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应提供</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运至合同规定的最终目的地所需的包装，以防止</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在装运过程中损坏或变质。这类包装应采取防潮、防晒、防锈蚀、防震动及防其它损坏的必要保护措施。</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应承担由于其包装或防护措施不妥而引起</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锈蚀、损坏或丢失等的一切损失，并承担因此而发生的违约责任。</w:t>
      </w:r>
    </w:p>
    <w:p w14:paraId="42691037">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如采用包装箱包装，</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应在每一个包装箱相邻的四面用不可擦除的油漆以明显的中文字样做出以下标记：</w:t>
      </w:r>
    </w:p>
    <w:p w14:paraId="487A9A86">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（1）收货人</w:t>
      </w:r>
    </w:p>
    <w:p w14:paraId="0C8BCE54">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（2）合同号</w:t>
      </w:r>
    </w:p>
    <w:p w14:paraId="5A3C01B7">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（3）发货标记</w:t>
      </w:r>
    </w:p>
    <w:p w14:paraId="57D2D45D">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（4）目的地</w:t>
      </w:r>
    </w:p>
    <w:p w14:paraId="736195B9">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（5）</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名称、品目号和箱号</w:t>
      </w:r>
    </w:p>
    <w:p w14:paraId="573890C1">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（6）毛重／净重(用kg表示)</w:t>
      </w:r>
    </w:p>
    <w:p w14:paraId="1B4E3FBF">
      <w:pPr>
        <w:tabs>
          <w:tab w:val="left" w:pos="420"/>
          <w:tab w:val="left" w:pos="960"/>
          <w:tab w:val="left" w:pos="1802"/>
        </w:tabs>
        <w:spacing w:line="360" w:lineRule="auto"/>
        <w:ind w:left="480" w:leftChars="200" w:firstLine="240" w:firstLineChars="1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（7）尺寸(长×宽×高用cm表示)</w:t>
      </w:r>
    </w:p>
    <w:p w14:paraId="35A466E8">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如果单件包装箱的重量在两吨或两吨以上，</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应在包装箱两侧用中文和国际贸易通用的运输标记标注“重心”和“起吊点”以便装卸和搬运。</w:t>
      </w:r>
    </w:p>
    <w:p w14:paraId="010402CD">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发运前，</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应至少提前一周向</w:t>
      </w:r>
      <w:r>
        <w:rPr>
          <w:rFonts w:hint="eastAsia" w:ascii="宋体" w:hAnsi="宋体" w:eastAsia="宋体" w:cs="宋体"/>
          <w:color w:val="auto"/>
          <w:kern w:val="24"/>
          <w:szCs w:val="21"/>
          <w:highlight w:val="none"/>
          <w:lang w:eastAsia="zh-CN"/>
        </w:rPr>
        <w:t>甲方及丙方</w:t>
      </w:r>
      <w:r>
        <w:rPr>
          <w:rFonts w:hint="eastAsia" w:ascii="宋体" w:hAnsi="宋体" w:eastAsia="宋体" w:cs="宋体"/>
          <w:color w:val="auto"/>
          <w:kern w:val="24"/>
          <w:szCs w:val="21"/>
          <w:highlight w:val="none"/>
        </w:rPr>
        <w:t>交付书面发货清单告知</w:t>
      </w:r>
      <w:r>
        <w:rPr>
          <w:rFonts w:hint="eastAsia" w:ascii="宋体" w:hAnsi="宋体" w:eastAsia="宋体" w:cs="宋体"/>
          <w:color w:val="auto"/>
          <w:kern w:val="24"/>
          <w:szCs w:val="21"/>
          <w:highlight w:val="none"/>
          <w:lang w:eastAsia="zh-CN"/>
        </w:rPr>
        <w:t>甲方及丙方</w:t>
      </w:r>
      <w:r>
        <w:rPr>
          <w:rFonts w:hint="eastAsia" w:ascii="宋体" w:hAnsi="宋体" w:eastAsia="宋体" w:cs="宋体"/>
          <w:color w:val="auto"/>
          <w:kern w:val="24"/>
          <w:szCs w:val="21"/>
          <w:highlight w:val="none"/>
        </w:rPr>
        <w:t>有关合同号、设备名称、数量、发运及到货日期等。</w:t>
      </w:r>
    </w:p>
    <w:p w14:paraId="26CA45ED">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可根椐实际情况自行决定合适的运输方式，因运输方式不当而产生的一切损失由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w:t>
      </w:r>
    </w:p>
    <w:p w14:paraId="587BE40B">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负责将合同</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运至交货目的地</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kern w:val="24"/>
          <w:szCs w:val="21"/>
          <w:highlight w:val="none"/>
        </w:rPr>
        <w:t>工地，并负责卸货至指定地面。</w:t>
      </w:r>
    </w:p>
    <w:p w14:paraId="5BF3A19A">
      <w:pPr>
        <w:numPr>
          <w:ilvl w:val="0"/>
          <w:numId w:val="6"/>
        </w:numPr>
        <w:tabs>
          <w:tab w:val="left" w:pos="0"/>
          <w:tab w:val="clear" w:pos="1802"/>
        </w:tabs>
        <w:spacing w:line="360" w:lineRule="auto"/>
        <w:ind w:left="14" w:leftChars="0" w:hanging="14" w:hangingChars="6"/>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合同</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自制造、包装运输直至货到工地安装完毕移交使用单位期间，一切包装费、运费、装卸费、保险费用，均包含在合同总价内，</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不再另行支付：</w:t>
      </w:r>
    </w:p>
    <w:p w14:paraId="5C43ACD4">
      <w:pPr>
        <w:tabs>
          <w:tab w:val="left" w:pos="420"/>
          <w:tab w:val="left" w:pos="960"/>
          <w:tab w:val="left" w:pos="1802"/>
        </w:tabs>
        <w:spacing w:line="360" w:lineRule="auto"/>
        <w:textAlignment w:val="top"/>
        <w:rPr>
          <w:rFonts w:ascii="宋体" w:hAnsi="宋体" w:eastAsia="宋体" w:cs="宋体"/>
          <w:color w:val="auto"/>
          <w:kern w:val="24"/>
          <w:szCs w:val="21"/>
          <w:highlight w:val="none"/>
        </w:rPr>
      </w:pPr>
    </w:p>
    <w:p w14:paraId="796FC15B">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安全事故及质量评估排名的</w:t>
      </w:r>
      <w:bookmarkStart w:id="39" w:name="OLE_LINK6"/>
      <w:bookmarkStart w:id="40" w:name="OLE_LINK7"/>
      <w:r>
        <w:rPr>
          <w:rFonts w:hint="eastAsia" w:ascii="宋体" w:hAnsi="宋体" w:eastAsia="宋体" w:cs="宋体"/>
          <w:b/>
          <w:color w:val="auto"/>
          <w:kern w:val="24"/>
          <w:szCs w:val="21"/>
          <w:highlight w:val="none"/>
        </w:rPr>
        <w:t>奖励、违约及索赔</w:t>
      </w:r>
      <w:bookmarkEnd w:id="39"/>
      <w:bookmarkEnd w:id="40"/>
    </w:p>
    <w:p w14:paraId="7276758B">
      <w:pPr>
        <w:numPr>
          <w:ilvl w:val="0"/>
          <w:numId w:val="6"/>
        </w:numPr>
        <w:tabs>
          <w:tab w:val="left" w:pos="420"/>
          <w:tab w:val="left" w:pos="960"/>
        </w:tabs>
        <w:spacing w:line="360" w:lineRule="auto"/>
        <w:ind w:left="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安全事故零容忍：</w:t>
      </w:r>
    </w:p>
    <w:p w14:paraId="7323B2B8">
      <w:pPr>
        <w:tabs>
          <w:tab w:val="left" w:pos="1920"/>
        </w:tabs>
        <w:spacing w:line="360" w:lineRule="auto"/>
        <w:ind w:firstLine="480" w:firstLineChars="2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w:t>
      </w:r>
      <w:r>
        <w:rPr>
          <w:rFonts w:hint="eastAsia" w:ascii="宋体" w:hAnsi="宋体" w:eastAsia="宋体" w:cs="宋体"/>
          <w:color w:val="auto"/>
          <w:kern w:val="24"/>
          <w:szCs w:val="21"/>
          <w:highlight w:val="none"/>
          <w:lang w:val="en-US" w:eastAsia="zh-CN"/>
        </w:rPr>
        <w:t>4.1</w:t>
      </w:r>
      <w:r>
        <w:rPr>
          <w:rFonts w:hint="eastAsia" w:ascii="宋体" w:hAnsi="宋体" w:eastAsia="宋体" w:cs="宋体"/>
          <w:color w:val="auto"/>
          <w:kern w:val="24"/>
          <w:szCs w:val="21"/>
          <w:highlight w:val="none"/>
        </w:rPr>
        <w:t xml:space="preserve"> 安全事故零容忍：</w:t>
      </w:r>
    </w:p>
    <w:tbl>
      <w:tblPr>
        <w:tblStyle w:val="28"/>
        <w:tblW w:w="8448" w:type="dxa"/>
        <w:tblInd w:w="-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09"/>
        <w:gridCol w:w="2441"/>
        <w:gridCol w:w="5198"/>
      </w:tblGrid>
      <w:tr w14:paraId="1BFB6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9" w:hRule="atLeast"/>
        </w:trPr>
        <w:tc>
          <w:tcPr>
            <w:tcW w:w="8448" w:type="dxa"/>
            <w:gridSpan w:val="3"/>
            <w:tcBorders>
              <w:top w:val="single" w:color="auto" w:sz="8" w:space="0"/>
              <w:left w:val="single" w:color="auto" w:sz="8" w:space="0"/>
              <w:bottom w:val="single" w:color="auto" w:sz="8" w:space="0"/>
              <w:right w:val="single" w:color="auto" w:sz="8" w:space="0"/>
            </w:tcBorders>
            <w:shd w:val="clear" w:color="auto" w:fill="F2DCDB"/>
            <w:tcMar>
              <w:top w:w="0" w:type="dxa"/>
              <w:left w:w="108" w:type="dxa"/>
              <w:bottom w:w="0" w:type="dxa"/>
              <w:right w:w="108" w:type="dxa"/>
            </w:tcMar>
            <w:vAlign w:val="center"/>
          </w:tcPr>
          <w:p w14:paraId="19A3B077">
            <w:pPr>
              <w:spacing w:line="360" w:lineRule="auto"/>
              <w:jc w:val="center"/>
              <w:rPr>
                <w:rFonts w:ascii="宋体" w:hAnsi="宋体" w:eastAsia="宋体" w:cs="宋体"/>
                <w:b/>
                <w:bCs/>
                <w:color w:val="auto"/>
                <w:highlight w:val="none"/>
              </w:rPr>
            </w:pPr>
            <w:r>
              <w:rPr>
                <w:rFonts w:hint="eastAsia" w:ascii="宋体" w:hAnsi="宋体" w:eastAsia="宋体" w:cs="宋体"/>
                <w:b/>
                <w:bCs/>
                <w:color w:val="auto"/>
                <w:highlight w:val="none"/>
              </w:rPr>
              <w:t>安全生产考核安全生产考核</w:t>
            </w:r>
          </w:p>
        </w:tc>
      </w:tr>
      <w:tr w14:paraId="17CDE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9" w:hRule="atLeast"/>
        </w:trPr>
        <w:tc>
          <w:tcPr>
            <w:tcW w:w="809" w:type="dxa"/>
            <w:tcBorders>
              <w:top w:val="single" w:color="auto" w:sz="8" w:space="0"/>
              <w:left w:val="single" w:color="auto" w:sz="8" w:space="0"/>
              <w:bottom w:val="single" w:color="auto" w:sz="8" w:space="0"/>
              <w:right w:val="single" w:color="auto" w:sz="8" w:space="0"/>
            </w:tcBorders>
            <w:shd w:val="clear" w:color="auto" w:fill="F2DCDB"/>
            <w:tcMar>
              <w:top w:w="0" w:type="dxa"/>
              <w:left w:w="108" w:type="dxa"/>
              <w:bottom w:w="0" w:type="dxa"/>
              <w:right w:w="108" w:type="dxa"/>
            </w:tcMar>
            <w:vAlign w:val="center"/>
          </w:tcPr>
          <w:p w14:paraId="2CF7BC56">
            <w:pPr>
              <w:tabs>
                <w:tab w:val="center" w:pos="0"/>
                <w:tab w:val="left" w:pos="372"/>
              </w:tabs>
              <w:spacing w:line="360" w:lineRule="auto"/>
              <w:jc w:val="center"/>
              <w:rPr>
                <w:rFonts w:ascii="宋体" w:hAnsi="宋体" w:eastAsia="宋体" w:cs="宋体"/>
                <w:b/>
                <w:bCs/>
                <w:color w:val="auto"/>
                <w:highlight w:val="none"/>
              </w:rPr>
            </w:pPr>
            <w:r>
              <w:rPr>
                <w:rFonts w:hint="eastAsia" w:ascii="宋体" w:hAnsi="宋体" w:eastAsia="宋体" w:cs="宋体"/>
                <w:b/>
                <w:bCs/>
                <w:color w:val="auto"/>
                <w:highlight w:val="none"/>
              </w:rPr>
              <w:t>序号</w:t>
            </w:r>
          </w:p>
        </w:tc>
        <w:tc>
          <w:tcPr>
            <w:tcW w:w="2441" w:type="dxa"/>
            <w:tcBorders>
              <w:top w:val="single" w:color="auto" w:sz="8" w:space="0"/>
              <w:left w:val="nil"/>
              <w:bottom w:val="single" w:color="auto" w:sz="8" w:space="0"/>
              <w:right w:val="single" w:color="auto" w:sz="8" w:space="0"/>
            </w:tcBorders>
            <w:shd w:val="clear" w:color="auto" w:fill="F2DCDB"/>
            <w:tcMar>
              <w:top w:w="0" w:type="dxa"/>
              <w:left w:w="108" w:type="dxa"/>
              <w:bottom w:w="0" w:type="dxa"/>
              <w:right w:w="108" w:type="dxa"/>
            </w:tcMar>
            <w:vAlign w:val="center"/>
          </w:tcPr>
          <w:p w14:paraId="7F3D3E57">
            <w:pPr>
              <w:tabs>
                <w:tab w:val="center" w:pos="948"/>
              </w:tabs>
              <w:spacing w:line="360" w:lineRule="auto"/>
              <w:jc w:val="center"/>
              <w:rPr>
                <w:rFonts w:ascii="宋体" w:hAnsi="宋体" w:eastAsia="宋体" w:cs="宋体"/>
                <w:b/>
                <w:bCs/>
                <w:color w:val="auto"/>
                <w:highlight w:val="none"/>
              </w:rPr>
            </w:pPr>
            <w:r>
              <w:rPr>
                <w:rFonts w:hint="eastAsia" w:ascii="宋体" w:hAnsi="宋体" w:eastAsia="宋体" w:cs="宋体"/>
                <w:b/>
                <w:bCs/>
                <w:color w:val="auto"/>
                <w:highlight w:val="none"/>
              </w:rPr>
              <w:t>安全考核分类</w:t>
            </w:r>
          </w:p>
        </w:tc>
        <w:tc>
          <w:tcPr>
            <w:tcW w:w="5198" w:type="dxa"/>
            <w:tcBorders>
              <w:top w:val="single" w:color="auto" w:sz="8" w:space="0"/>
              <w:left w:val="nil"/>
              <w:bottom w:val="single" w:color="auto" w:sz="8" w:space="0"/>
              <w:right w:val="single" w:color="auto" w:sz="8" w:space="0"/>
            </w:tcBorders>
            <w:shd w:val="clear" w:color="auto" w:fill="F2DCDB"/>
            <w:tcMar>
              <w:top w:w="0" w:type="dxa"/>
              <w:left w:w="108" w:type="dxa"/>
              <w:bottom w:w="0" w:type="dxa"/>
              <w:right w:w="108" w:type="dxa"/>
            </w:tcMar>
            <w:vAlign w:val="center"/>
          </w:tcPr>
          <w:p w14:paraId="2F2F776C">
            <w:pPr>
              <w:spacing w:line="360" w:lineRule="auto"/>
              <w:jc w:val="center"/>
              <w:rPr>
                <w:rFonts w:ascii="宋体" w:hAnsi="宋体" w:eastAsia="宋体" w:cs="宋体"/>
                <w:b/>
                <w:bCs/>
                <w:color w:val="auto"/>
                <w:highlight w:val="none"/>
              </w:rPr>
            </w:pPr>
            <w:r>
              <w:rPr>
                <w:rFonts w:hint="eastAsia" w:ascii="宋体" w:hAnsi="宋体" w:eastAsia="宋体" w:cs="宋体"/>
                <w:b/>
                <w:bCs/>
                <w:color w:val="auto"/>
                <w:highlight w:val="none"/>
              </w:rPr>
              <w:t>对设备安装单位设备安装单位</w:t>
            </w:r>
          </w:p>
        </w:tc>
      </w:tr>
      <w:tr w14:paraId="748F0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5" w:hRule="atLeast"/>
        </w:trPr>
        <w:tc>
          <w:tcPr>
            <w:tcW w:w="80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BE56168">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244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D93E05">
            <w:pPr>
              <w:tabs>
                <w:tab w:val="left" w:pos="425"/>
              </w:tabs>
              <w:spacing w:line="360" w:lineRule="auto"/>
              <w:rPr>
                <w:rFonts w:ascii="宋体" w:hAnsi="宋体" w:eastAsia="宋体" w:cs="宋体"/>
                <w:color w:val="auto"/>
                <w:sz w:val="20"/>
                <w:highlight w:val="none"/>
              </w:rPr>
            </w:pPr>
            <w:r>
              <w:rPr>
                <w:rFonts w:hint="eastAsia" w:ascii="宋体" w:hAnsi="宋体" w:eastAsia="宋体" w:cs="宋体"/>
                <w:color w:val="auto"/>
                <w:sz w:val="20"/>
                <w:highlight w:val="none"/>
              </w:rPr>
              <w:t>发生施工安全轻伤事故</w:t>
            </w:r>
          </w:p>
        </w:tc>
        <w:tc>
          <w:tcPr>
            <w:tcW w:w="519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6492CDF">
            <w:pPr>
              <w:spacing w:line="360" w:lineRule="auto"/>
              <w:jc w:val="center"/>
              <w:rPr>
                <w:rFonts w:ascii="宋体" w:hAnsi="宋体" w:eastAsia="宋体" w:cs="宋体"/>
                <w:color w:val="auto"/>
                <w:sz w:val="20"/>
                <w:highlight w:val="none"/>
              </w:rPr>
            </w:pPr>
            <w:r>
              <w:rPr>
                <w:rFonts w:hint="eastAsia" w:ascii="宋体" w:hAnsi="宋体" w:eastAsia="宋体" w:cs="宋体"/>
                <w:b/>
                <w:bCs/>
                <w:color w:val="auto"/>
                <w:sz w:val="20"/>
                <w:highlight w:val="none"/>
              </w:rPr>
              <w:t>处罚</w:t>
            </w:r>
            <w:r>
              <w:rPr>
                <w:rFonts w:hint="eastAsia" w:ascii="宋体" w:hAnsi="宋体" w:eastAsia="宋体" w:cs="宋体"/>
                <w:color w:val="auto"/>
                <w:sz w:val="20"/>
                <w:highlight w:val="none"/>
              </w:rPr>
              <w:t>：第一次警告,并处罚1万；</w:t>
            </w:r>
          </w:p>
          <w:p w14:paraId="168BEE24">
            <w:pPr>
              <w:spacing w:line="360" w:lineRule="auto"/>
              <w:jc w:val="center"/>
              <w:rPr>
                <w:rFonts w:ascii="宋体" w:hAnsi="宋体" w:eastAsia="宋体" w:cs="宋体"/>
                <w:color w:val="auto"/>
                <w:highlight w:val="none"/>
              </w:rPr>
            </w:pPr>
            <w:r>
              <w:rPr>
                <w:rFonts w:hint="eastAsia" w:ascii="宋体" w:hAnsi="宋体" w:eastAsia="宋体" w:cs="宋体"/>
                <w:color w:val="auto"/>
                <w:sz w:val="20"/>
                <w:highlight w:val="none"/>
              </w:rPr>
              <w:t>第二次停标6个月，并处罚5万</w:t>
            </w:r>
          </w:p>
        </w:tc>
      </w:tr>
      <w:tr w14:paraId="48C1F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33" w:hRule="atLeast"/>
        </w:trPr>
        <w:tc>
          <w:tcPr>
            <w:tcW w:w="80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8E54D47">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244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FD03A1A">
            <w:pPr>
              <w:spacing w:line="360" w:lineRule="auto"/>
              <w:rPr>
                <w:rFonts w:ascii="宋体" w:hAnsi="宋体" w:eastAsia="宋体" w:cs="宋体"/>
                <w:color w:val="auto"/>
                <w:sz w:val="20"/>
                <w:highlight w:val="none"/>
              </w:rPr>
            </w:pPr>
            <w:r>
              <w:rPr>
                <w:rFonts w:hint="eastAsia" w:ascii="宋体" w:hAnsi="宋体" w:eastAsia="宋体" w:cs="宋体"/>
                <w:color w:val="auto"/>
                <w:sz w:val="20"/>
                <w:highlight w:val="none"/>
              </w:rPr>
              <w:t>发生较大安全事故</w:t>
            </w:r>
          </w:p>
        </w:tc>
        <w:tc>
          <w:tcPr>
            <w:tcW w:w="519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D1AEF42">
            <w:pPr>
              <w:spacing w:line="360" w:lineRule="auto"/>
              <w:jc w:val="center"/>
              <w:rPr>
                <w:rFonts w:ascii="宋体" w:hAnsi="宋体" w:eastAsia="宋体" w:cs="宋体"/>
                <w:color w:val="auto"/>
                <w:sz w:val="20"/>
                <w:highlight w:val="none"/>
              </w:rPr>
            </w:pPr>
            <w:r>
              <w:rPr>
                <w:rFonts w:hint="eastAsia" w:ascii="宋体" w:hAnsi="宋体" w:eastAsia="宋体" w:cs="宋体"/>
                <w:b/>
                <w:bCs/>
                <w:color w:val="auto"/>
                <w:sz w:val="20"/>
                <w:highlight w:val="none"/>
              </w:rPr>
              <w:t>处罚</w:t>
            </w:r>
            <w:r>
              <w:rPr>
                <w:rFonts w:hint="eastAsia" w:ascii="宋体" w:hAnsi="宋体" w:eastAsia="宋体" w:cs="宋体"/>
                <w:color w:val="auto"/>
                <w:sz w:val="20"/>
                <w:highlight w:val="none"/>
              </w:rPr>
              <w:t>：30万元/次，停标6个月</w:t>
            </w:r>
          </w:p>
        </w:tc>
      </w:tr>
      <w:tr w14:paraId="64483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2" w:hRule="atLeast"/>
        </w:trPr>
        <w:tc>
          <w:tcPr>
            <w:tcW w:w="80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F1C565F">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244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FB6048F">
            <w:pPr>
              <w:spacing w:line="360" w:lineRule="auto"/>
              <w:rPr>
                <w:rFonts w:ascii="宋体" w:hAnsi="宋体" w:eastAsia="宋体" w:cs="宋体"/>
                <w:color w:val="auto"/>
                <w:sz w:val="20"/>
                <w:highlight w:val="none"/>
              </w:rPr>
            </w:pPr>
            <w:r>
              <w:rPr>
                <w:rFonts w:hint="eastAsia" w:ascii="宋体" w:hAnsi="宋体" w:eastAsia="宋体" w:cs="宋体"/>
                <w:color w:val="auto"/>
                <w:sz w:val="20"/>
                <w:highlight w:val="none"/>
              </w:rPr>
              <w:t>发生重大安全事故</w:t>
            </w:r>
          </w:p>
        </w:tc>
        <w:tc>
          <w:tcPr>
            <w:tcW w:w="519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C9855D">
            <w:pPr>
              <w:spacing w:line="360" w:lineRule="auto"/>
              <w:jc w:val="center"/>
              <w:rPr>
                <w:rFonts w:ascii="宋体" w:hAnsi="宋体" w:eastAsia="宋体" w:cs="宋体"/>
                <w:color w:val="auto"/>
                <w:sz w:val="20"/>
                <w:highlight w:val="none"/>
              </w:rPr>
            </w:pPr>
            <w:r>
              <w:rPr>
                <w:rFonts w:hint="eastAsia" w:ascii="宋体" w:hAnsi="宋体" w:eastAsia="宋体" w:cs="宋体"/>
                <w:b/>
                <w:bCs/>
                <w:color w:val="auto"/>
                <w:sz w:val="20"/>
                <w:highlight w:val="none"/>
              </w:rPr>
              <w:t>处罚</w:t>
            </w:r>
            <w:r>
              <w:rPr>
                <w:rFonts w:hint="eastAsia" w:ascii="宋体" w:hAnsi="宋体" w:eastAsia="宋体" w:cs="宋体"/>
                <w:color w:val="auto"/>
                <w:sz w:val="20"/>
                <w:highlight w:val="none"/>
              </w:rPr>
              <w:t>：50万元/次，停标1年</w:t>
            </w:r>
          </w:p>
        </w:tc>
      </w:tr>
      <w:tr w14:paraId="2B29E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0" w:hRule="atLeast"/>
        </w:trPr>
        <w:tc>
          <w:tcPr>
            <w:tcW w:w="80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2F308F7">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4</w:t>
            </w:r>
          </w:p>
        </w:tc>
        <w:tc>
          <w:tcPr>
            <w:tcW w:w="244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49E66FA">
            <w:pPr>
              <w:spacing w:line="360" w:lineRule="auto"/>
              <w:rPr>
                <w:rFonts w:ascii="宋体" w:hAnsi="宋体" w:eastAsia="宋体" w:cs="宋体"/>
                <w:color w:val="auto"/>
                <w:sz w:val="20"/>
                <w:highlight w:val="none"/>
              </w:rPr>
            </w:pPr>
            <w:r>
              <w:rPr>
                <w:rFonts w:hint="eastAsia" w:ascii="宋体" w:hAnsi="宋体" w:eastAsia="宋体" w:cs="宋体"/>
                <w:color w:val="auto"/>
                <w:sz w:val="20"/>
                <w:highlight w:val="none"/>
              </w:rPr>
              <w:t>发生特大安全事故</w:t>
            </w:r>
          </w:p>
        </w:tc>
        <w:tc>
          <w:tcPr>
            <w:tcW w:w="519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D80D852">
            <w:pPr>
              <w:spacing w:line="360" w:lineRule="auto"/>
              <w:jc w:val="center"/>
              <w:rPr>
                <w:rFonts w:ascii="宋体" w:hAnsi="宋体" w:eastAsia="宋体" w:cs="宋体"/>
                <w:color w:val="auto"/>
                <w:sz w:val="20"/>
                <w:highlight w:val="none"/>
              </w:rPr>
            </w:pPr>
            <w:r>
              <w:rPr>
                <w:rFonts w:hint="eastAsia" w:ascii="宋体" w:hAnsi="宋体" w:eastAsia="宋体" w:cs="宋体"/>
                <w:b/>
                <w:bCs/>
                <w:color w:val="auto"/>
                <w:sz w:val="20"/>
                <w:highlight w:val="none"/>
              </w:rPr>
              <w:t>处罚</w:t>
            </w:r>
            <w:r>
              <w:rPr>
                <w:rFonts w:hint="eastAsia" w:ascii="宋体" w:hAnsi="宋体" w:eastAsia="宋体" w:cs="宋体"/>
                <w:color w:val="auto"/>
                <w:sz w:val="20"/>
                <w:highlight w:val="none"/>
              </w:rPr>
              <w:t>：100万元/次，停标3年</w:t>
            </w:r>
          </w:p>
        </w:tc>
      </w:tr>
      <w:tr w14:paraId="332D8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trPr>
        <w:tc>
          <w:tcPr>
            <w:tcW w:w="8448" w:type="dxa"/>
            <w:gridSpan w:val="3"/>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5D25665">
            <w:pPr>
              <w:spacing w:line="360" w:lineRule="auto"/>
              <w:rPr>
                <w:rFonts w:ascii="宋体" w:hAnsi="宋体" w:eastAsia="宋体" w:cs="宋体"/>
                <w:b/>
                <w:bCs/>
                <w:color w:val="auto"/>
                <w:sz w:val="20"/>
                <w:highlight w:val="none"/>
              </w:rPr>
            </w:pPr>
            <w:r>
              <w:rPr>
                <w:rFonts w:hint="eastAsia" w:ascii="宋体" w:hAnsi="宋体" w:eastAsia="宋体" w:cs="宋体"/>
                <w:b/>
                <w:bCs/>
                <w:color w:val="auto"/>
                <w:sz w:val="20"/>
                <w:highlight w:val="none"/>
              </w:rPr>
              <w:t>安全事故等级定义：</w:t>
            </w:r>
          </w:p>
        </w:tc>
      </w:tr>
      <w:tr w14:paraId="785B7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2" w:hRule="atLeast"/>
        </w:trPr>
        <w:tc>
          <w:tcPr>
            <w:tcW w:w="8448" w:type="dxa"/>
            <w:gridSpan w:val="3"/>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C6CE727">
            <w:pPr>
              <w:spacing w:line="360" w:lineRule="auto"/>
              <w:rPr>
                <w:rFonts w:ascii="宋体" w:hAnsi="宋体" w:eastAsia="宋体" w:cs="宋体"/>
                <w:color w:val="auto"/>
                <w:sz w:val="20"/>
                <w:highlight w:val="none"/>
              </w:rPr>
            </w:pPr>
            <w:r>
              <w:rPr>
                <w:rFonts w:hint="eastAsia" w:ascii="宋体" w:hAnsi="宋体" w:eastAsia="宋体" w:cs="宋体"/>
                <w:color w:val="auto"/>
                <w:sz w:val="20"/>
                <w:highlight w:val="none"/>
              </w:rPr>
              <w:t>1.</w:t>
            </w:r>
            <w:r>
              <w:rPr>
                <w:rFonts w:hint="eastAsia" w:ascii="宋体" w:hAnsi="宋体" w:eastAsia="宋体" w:cs="宋体"/>
                <w:b/>
                <w:bCs/>
                <w:color w:val="auto"/>
                <w:sz w:val="20"/>
                <w:highlight w:val="none"/>
              </w:rPr>
              <w:t>较大安全事故</w:t>
            </w:r>
            <w:r>
              <w:rPr>
                <w:rFonts w:hint="eastAsia" w:ascii="宋体" w:hAnsi="宋体" w:eastAsia="宋体" w:cs="宋体"/>
                <w:color w:val="auto"/>
                <w:sz w:val="20"/>
                <w:highlight w:val="none"/>
              </w:rPr>
              <w:t>：是指一次事故造成重伤1至2人；或施工现场发生火灾，对公司造成负面影响。重伤是指以下情形之一：使人肢体残废或毁容的；使人丧失视觉、听觉或其它器官机能的；其它对于人身健康有重大伤害。</w:t>
            </w:r>
          </w:p>
        </w:tc>
      </w:tr>
      <w:tr w14:paraId="35124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2" w:hRule="atLeast"/>
        </w:trPr>
        <w:tc>
          <w:tcPr>
            <w:tcW w:w="8448" w:type="dxa"/>
            <w:gridSpan w:val="3"/>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9A7D794">
            <w:pPr>
              <w:spacing w:line="360" w:lineRule="auto"/>
              <w:rPr>
                <w:rFonts w:ascii="宋体" w:hAnsi="宋体" w:eastAsia="宋体" w:cs="宋体"/>
                <w:color w:val="auto"/>
                <w:sz w:val="20"/>
                <w:highlight w:val="none"/>
              </w:rPr>
            </w:pPr>
            <w:r>
              <w:rPr>
                <w:rFonts w:hint="eastAsia" w:ascii="宋体" w:hAnsi="宋体" w:eastAsia="宋体" w:cs="宋体"/>
                <w:color w:val="auto"/>
                <w:sz w:val="20"/>
                <w:highlight w:val="none"/>
              </w:rPr>
              <w:t>2.</w:t>
            </w:r>
            <w:r>
              <w:rPr>
                <w:rFonts w:hint="eastAsia" w:ascii="宋体" w:hAnsi="宋体" w:eastAsia="宋体" w:cs="宋体"/>
                <w:b/>
                <w:bCs/>
                <w:color w:val="auto"/>
                <w:sz w:val="20"/>
                <w:highlight w:val="none"/>
              </w:rPr>
              <w:t>重大安全事故</w:t>
            </w:r>
            <w:r>
              <w:rPr>
                <w:rFonts w:hint="eastAsia" w:ascii="宋体" w:hAnsi="宋体" w:eastAsia="宋体" w:cs="宋体"/>
                <w:color w:val="auto"/>
                <w:sz w:val="20"/>
                <w:highlight w:val="none"/>
              </w:rPr>
              <w:t>：指一次事故造成重伤3至10人，或者死亡1至2人。 </w:t>
            </w:r>
            <w:r>
              <w:rPr>
                <w:rFonts w:hint="eastAsia" w:ascii="宋体" w:hAnsi="宋体" w:eastAsia="宋体" w:cs="宋体"/>
                <w:color w:val="auto"/>
                <w:sz w:val="20"/>
                <w:highlight w:val="none"/>
              </w:rPr>
              <w:br w:type="textWrapping"/>
            </w:r>
            <w:r>
              <w:rPr>
                <w:rFonts w:hint="eastAsia" w:ascii="宋体" w:hAnsi="宋体" w:eastAsia="宋体" w:cs="宋体"/>
                <w:color w:val="auto"/>
                <w:sz w:val="20"/>
                <w:highlight w:val="none"/>
              </w:rPr>
              <w:t>3.</w:t>
            </w:r>
            <w:r>
              <w:rPr>
                <w:rFonts w:hint="eastAsia" w:ascii="宋体" w:hAnsi="宋体" w:eastAsia="宋体" w:cs="宋体"/>
                <w:b/>
                <w:bCs/>
                <w:color w:val="auto"/>
                <w:sz w:val="20"/>
                <w:highlight w:val="none"/>
              </w:rPr>
              <w:t>特大安全事故</w:t>
            </w:r>
            <w:r>
              <w:rPr>
                <w:rFonts w:hint="eastAsia" w:ascii="宋体" w:hAnsi="宋体" w:eastAsia="宋体" w:cs="宋体"/>
                <w:color w:val="auto"/>
                <w:sz w:val="20"/>
                <w:highlight w:val="none"/>
              </w:rPr>
              <w:t>：指一次事故造成重伤10人以上；或死亡3人及以上；或死亡2人并同时造成重伤5人及以上</w:t>
            </w:r>
          </w:p>
        </w:tc>
      </w:tr>
    </w:tbl>
    <w:p w14:paraId="73614B44">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结算</w:t>
      </w:r>
    </w:p>
    <w:p w14:paraId="57E8195C">
      <w:pPr>
        <w:numPr>
          <w:ilvl w:val="0"/>
          <w:numId w:val="6"/>
        </w:numPr>
        <w:tabs>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全部验收合格，</w:t>
      </w:r>
      <w:r>
        <w:rPr>
          <w:rFonts w:hint="eastAsia" w:ascii="宋体" w:hAnsi="宋体" w:eastAsia="宋体" w:cs="宋体"/>
          <w:color w:val="auto"/>
          <w:kern w:val="24"/>
          <w:szCs w:val="21"/>
          <w:highlight w:val="none"/>
          <w:lang w:eastAsia="zh-CN"/>
        </w:rPr>
        <w:t>经甲方签字盖章确认后，乙方</w:t>
      </w:r>
      <w:r>
        <w:rPr>
          <w:rFonts w:hint="eastAsia" w:ascii="宋体" w:hAnsi="宋体" w:eastAsia="宋体" w:cs="宋体"/>
          <w:color w:val="auto"/>
          <w:kern w:val="24"/>
          <w:szCs w:val="21"/>
          <w:highlight w:val="none"/>
        </w:rPr>
        <w:t>应在15日内向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申报完整的结算资料两份，无特殊情况，</w:t>
      </w:r>
      <w:r>
        <w:rPr>
          <w:rFonts w:hint="eastAsia" w:ascii="宋体" w:hAnsi="宋体" w:eastAsia="宋体" w:cs="宋体"/>
          <w:color w:val="auto"/>
          <w:kern w:val="24"/>
          <w:szCs w:val="21"/>
          <w:highlight w:val="none"/>
          <w:lang w:eastAsia="zh-CN"/>
        </w:rPr>
        <w:t>甲方、乙方</w:t>
      </w:r>
      <w:r>
        <w:rPr>
          <w:rFonts w:hint="eastAsia" w:ascii="宋体" w:hAnsi="宋体" w:eastAsia="宋体" w:cs="宋体"/>
          <w:color w:val="auto"/>
          <w:kern w:val="24"/>
          <w:szCs w:val="21"/>
          <w:highlight w:val="none"/>
        </w:rPr>
        <w:t>双方应在</w:t>
      </w:r>
      <w:r>
        <w:rPr>
          <w:rFonts w:hint="eastAsia" w:ascii="宋体" w:hAnsi="宋体" w:eastAsia="宋体" w:cs="宋体"/>
          <w:color w:val="auto"/>
          <w:kern w:val="24"/>
          <w:szCs w:val="21"/>
          <w:highlight w:val="none"/>
          <w:lang w:val="en-US" w:eastAsia="zh-CN"/>
        </w:rPr>
        <w:t>60</w:t>
      </w:r>
      <w:r>
        <w:rPr>
          <w:rFonts w:hint="eastAsia" w:ascii="宋体" w:hAnsi="宋体" w:eastAsia="宋体" w:cs="宋体"/>
          <w:color w:val="auto"/>
          <w:kern w:val="24"/>
          <w:szCs w:val="21"/>
          <w:highlight w:val="none"/>
        </w:rPr>
        <w:t>日内完成竣工结算的审核工作；因</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原因影响结算款的支付由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负责。如</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未在约定期限内报送结算并配合</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进行结算审核，</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有权要求</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停止支付合同后续</w:t>
      </w:r>
      <w:r>
        <w:rPr>
          <w:rFonts w:hint="eastAsia" w:ascii="宋体" w:hAnsi="宋体" w:eastAsia="宋体" w:cs="宋体"/>
          <w:color w:val="auto"/>
          <w:kern w:val="24"/>
          <w:szCs w:val="21"/>
          <w:highlight w:val="none"/>
          <w:lang w:val="en-US" w:eastAsia="zh-CN"/>
        </w:rPr>
        <w:t>结算</w:t>
      </w:r>
      <w:r>
        <w:rPr>
          <w:rFonts w:hint="eastAsia" w:ascii="宋体" w:hAnsi="宋体" w:eastAsia="宋体" w:cs="宋体"/>
          <w:color w:val="auto"/>
          <w:kern w:val="24"/>
          <w:szCs w:val="21"/>
          <w:highlight w:val="none"/>
        </w:rPr>
        <w:t>款。</w:t>
      </w:r>
    </w:p>
    <w:p w14:paraId="4FB3A0D4">
      <w:pPr>
        <w:numPr>
          <w:ilvl w:val="0"/>
          <w:numId w:val="6"/>
        </w:numPr>
        <w:tabs>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应安排足够数量的工程造价人员，保证签证与合同结算核对所需的时间。</w:t>
      </w:r>
    </w:p>
    <w:p w14:paraId="5EF83C2B">
      <w:pPr>
        <w:numPr>
          <w:ilvl w:val="0"/>
          <w:numId w:val="6"/>
        </w:numPr>
        <w:tabs>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收到</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递交的</w:t>
      </w:r>
      <w:r>
        <w:rPr>
          <w:rFonts w:hint="eastAsia" w:ascii="宋体" w:hAnsi="宋体" w:eastAsia="宋体" w:cs="宋体"/>
          <w:color w:val="auto"/>
          <w:kern w:val="24"/>
          <w:szCs w:val="21"/>
          <w:highlight w:val="none"/>
          <w:lang w:val="en-US" w:eastAsia="zh-CN"/>
        </w:rPr>
        <w:t>完整</w:t>
      </w:r>
      <w:r>
        <w:rPr>
          <w:rFonts w:hint="eastAsia" w:ascii="宋体" w:hAnsi="宋体" w:eastAsia="宋体" w:cs="宋体"/>
          <w:color w:val="auto"/>
          <w:kern w:val="24"/>
          <w:szCs w:val="21"/>
          <w:highlight w:val="none"/>
        </w:rPr>
        <w:t>结算报告及结算资料</w:t>
      </w:r>
      <w:r>
        <w:rPr>
          <w:rFonts w:hint="eastAsia" w:ascii="宋体" w:hAnsi="宋体" w:eastAsia="宋体" w:cs="宋体"/>
          <w:color w:val="auto"/>
          <w:kern w:val="24"/>
          <w:szCs w:val="21"/>
          <w:highlight w:val="none"/>
          <w:lang w:val="en-US" w:eastAsia="zh-CN"/>
        </w:rPr>
        <w:t>60</w:t>
      </w:r>
      <w:r>
        <w:rPr>
          <w:rFonts w:hint="eastAsia" w:ascii="宋体" w:hAnsi="宋体" w:eastAsia="宋体" w:cs="宋体"/>
          <w:color w:val="auto"/>
          <w:kern w:val="24"/>
          <w:szCs w:val="21"/>
          <w:highlight w:val="none"/>
        </w:rPr>
        <w:t>天内进行审核，审核完成后，将审定结算报告书面通知</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，由</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支付结算价款。</w:t>
      </w:r>
    </w:p>
    <w:p w14:paraId="06D1CB72">
      <w:pPr>
        <w:numPr>
          <w:ilvl w:val="0"/>
          <w:numId w:val="5"/>
        </w:numPr>
        <w:tabs>
          <w:tab w:val="left" w:pos="48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争议、违约和索赔</w:t>
      </w:r>
    </w:p>
    <w:p w14:paraId="3F8926B4">
      <w:pPr>
        <w:numPr>
          <w:ilvl w:val="0"/>
          <w:numId w:val="6"/>
        </w:numPr>
        <w:tabs>
          <w:tab w:val="left" w:pos="0"/>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争议</w:t>
      </w:r>
    </w:p>
    <w:p w14:paraId="659F92AD">
      <w:pPr>
        <w:tabs>
          <w:tab w:val="left" w:pos="480"/>
        </w:tabs>
        <w:spacing w:line="360" w:lineRule="auto"/>
        <w:ind w:left="483" w:leftChars="200" w:hanging="3"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w:t>
      </w:r>
      <w:r>
        <w:rPr>
          <w:rFonts w:hint="eastAsia" w:ascii="宋体" w:hAnsi="宋体" w:eastAsia="宋体" w:cs="宋体"/>
          <w:color w:val="auto"/>
          <w:kern w:val="24"/>
          <w:szCs w:val="21"/>
          <w:highlight w:val="none"/>
          <w:lang w:val="en-US" w:eastAsia="zh-CN"/>
        </w:rPr>
        <w:t>8</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val="en-US" w:eastAsia="zh-CN"/>
        </w:rPr>
        <w:t>1</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方在履行合同时发生争议，可以协商解决、或者请第三方调解。当事人不愿协商、调解或者协商、调解不成的，</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方向</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rPr>
        <w:t>所在地的当地法院提起诉讼。</w:t>
      </w:r>
    </w:p>
    <w:p w14:paraId="16E4CC32">
      <w:pPr>
        <w:tabs>
          <w:tab w:val="left" w:pos="480"/>
        </w:tabs>
        <w:spacing w:line="360" w:lineRule="auto"/>
        <w:ind w:left="483" w:leftChars="200" w:hanging="3"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w:t>
      </w:r>
      <w:r>
        <w:rPr>
          <w:rFonts w:hint="eastAsia" w:ascii="宋体" w:hAnsi="宋体" w:eastAsia="宋体" w:cs="宋体"/>
          <w:color w:val="auto"/>
          <w:kern w:val="24"/>
          <w:szCs w:val="21"/>
          <w:highlight w:val="none"/>
          <w:lang w:val="en-US" w:eastAsia="zh-CN"/>
        </w:rPr>
        <w:t>8</w:t>
      </w:r>
      <w:r>
        <w:rPr>
          <w:rFonts w:hint="eastAsia" w:ascii="宋体" w:hAnsi="宋体" w:eastAsia="宋体" w:cs="宋体"/>
          <w:color w:val="auto"/>
          <w:kern w:val="24"/>
          <w:szCs w:val="21"/>
          <w:highlight w:val="none"/>
        </w:rPr>
        <w:t>.2  发生争议后，除非出现下列情况的，</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方应继续履行合同，保持供货连续：</w:t>
      </w:r>
    </w:p>
    <w:p w14:paraId="481EC852">
      <w:pPr>
        <w:tabs>
          <w:tab w:val="left" w:pos="480"/>
        </w:tabs>
        <w:spacing w:line="360" w:lineRule="auto"/>
        <w:ind w:left="482" w:leftChars="201" w:firstLine="477"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w:t>
      </w:r>
      <w:r>
        <w:rPr>
          <w:rFonts w:hint="eastAsia" w:ascii="宋体" w:hAnsi="宋体" w:eastAsia="宋体" w:cs="宋体"/>
          <w:color w:val="auto"/>
          <w:kern w:val="24"/>
          <w:szCs w:val="21"/>
          <w:highlight w:val="none"/>
          <w:lang w:val="en-US" w:eastAsia="zh-CN"/>
        </w:rPr>
        <w:t>8</w:t>
      </w:r>
      <w:r>
        <w:rPr>
          <w:rFonts w:hint="eastAsia" w:ascii="宋体" w:hAnsi="宋体" w:eastAsia="宋体" w:cs="宋体"/>
          <w:color w:val="auto"/>
          <w:kern w:val="24"/>
          <w:szCs w:val="21"/>
          <w:highlight w:val="none"/>
        </w:rPr>
        <w:t>.2.1单方违约导致合同确已无法履行，</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方协议停止供货；</w:t>
      </w:r>
    </w:p>
    <w:p w14:paraId="5640308E">
      <w:pPr>
        <w:tabs>
          <w:tab w:val="left" w:pos="480"/>
        </w:tabs>
        <w:spacing w:line="360" w:lineRule="auto"/>
        <w:ind w:left="482" w:leftChars="201" w:firstLine="477"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w:t>
      </w:r>
      <w:r>
        <w:rPr>
          <w:rFonts w:hint="eastAsia" w:ascii="宋体" w:hAnsi="宋体" w:eastAsia="宋体" w:cs="宋体"/>
          <w:color w:val="auto"/>
          <w:kern w:val="24"/>
          <w:szCs w:val="21"/>
          <w:highlight w:val="none"/>
          <w:lang w:val="en-US" w:eastAsia="zh-CN"/>
        </w:rPr>
        <w:t>8</w:t>
      </w:r>
      <w:r>
        <w:rPr>
          <w:rFonts w:hint="eastAsia" w:ascii="宋体" w:hAnsi="宋体" w:eastAsia="宋体" w:cs="宋体"/>
          <w:color w:val="auto"/>
          <w:kern w:val="24"/>
          <w:szCs w:val="21"/>
          <w:highlight w:val="none"/>
        </w:rPr>
        <w:t>.2.2 调解要求停止供货，且为</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方接受；</w:t>
      </w:r>
    </w:p>
    <w:p w14:paraId="68D7EF52">
      <w:pPr>
        <w:tabs>
          <w:tab w:val="left" w:pos="480"/>
        </w:tabs>
        <w:spacing w:line="360" w:lineRule="auto"/>
        <w:ind w:left="482" w:leftChars="201" w:firstLine="477"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2</w:t>
      </w:r>
      <w:r>
        <w:rPr>
          <w:rFonts w:hint="eastAsia" w:ascii="宋体" w:hAnsi="宋体" w:eastAsia="宋体" w:cs="宋体"/>
          <w:color w:val="auto"/>
          <w:kern w:val="24"/>
          <w:szCs w:val="21"/>
          <w:highlight w:val="none"/>
          <w:lang w:val="en-US" w:eastAsia="zh-CN"/>
        </w:rPr>
        <w:t>8</w:t>
      </w:r>
      <w:r>
        <w:rPr>
          <w:rFonts w:hint="eastAsia" w:ascii="宋体" w:hAnsi="宋体" w:eastAsia="宋体" w:cs="宋体"/>
          <w:color w:val="auto"/>
          <w:kern w:val="24"/>
          <w:szCs w:val="21"/>
          <w:highlight w:val="none"/>
        </w:rPr>
        <w:t>.2.3 法院要求停止供货。</w:t>
      </w:r>
    </w:p>
    <w:p w14:paraId="25D3511A">
      <w:pPr>
        <w:numPr>
          <w:ilvl w:val="0"/>
          <w:numId w:val="6"/>
        </w:numPr>
        <w:tabs>
          <w:tab w:val="left" w:pos="480"/>
          <w:tab w:val="clear" w:pos="1802"/>
        </w:tabs>
        <w:spacing w:line="360" w:lineRule="auto"/>
        <w:ind w:left="1125" w:leftChars="0" w:hanging="1125" w:hangingChars="469"/>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违约</w:t>
      </w:r>
    </w:p>
    <w:p w14:paraId="3F079C9D">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29.1</w:t>
      </w:r>
      <w:r>
        <w:rPr>
          <w:rFonts w:hint="eastAsia" w:ascii="宋体" w:hAnsi="宋体" w:eastAsia="宋体" w:cs="宋体"/>
          <w:color w:val="auto"/>
          <w:kern w:val="24"/>
          <w:szCs w:val="21"/>
          <w:highlight w:val="none"/>
        </w:rPr>
        <w:t xml:space="preserve">  除非</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方协商终止本合同，守约方要求违约方继续履行合同的，违约方承担违约责任后仍必须履行合同。</w:t>
      </w:r>
    </w:p>
    <w:p w14:paraId="5E2A12DF">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29.2 </w:t>
      </w:r>
      <w:r>
        <w:rPr>
          <w:rFonts w:hint="eastAsia" w:ascii="宋体" w:hAnsi="宋体" w:eastAsia="宋体" w:cs="宋体"/>
          <w:color w:val="auto"/>
          <w:kern w:val="24"/>
          <w:szCs w:val="21"/>
          <w:highlight w:val="none"/>
        </w:rPr>
        <w:t xml:space="preserve"> 因</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原因终止合同时，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须承担因合同终止给</w:t>
      </w:r>
      <w:r>
        <w:rPr>
          <w:rFonts w:hint="eastAsia" w:ascii="宋体" w:hAnsi="宋体" w:eastAsia="宋体" w:cs="宋体"/>
          <w:color w:val="auto"/>
          <w:kern w:val="24"/>
          <w:szCs w:val="21"/>
          <w:highlight w:val="none"/>
          <w:lang w:eastAsia="zh-CN"/>
        </w:rPr>
        <w:t>丙方、甲方</w:t>
      </w:r>
      <w:r>
        <w:rPr>
          <w:rFonts w:hint="eastAsia" w:ascii="宋体" w:hAnsi="宋体" w:eastAsia="宋体" w:cs="宋体"/>
          <w:color w:val="auto"/>
          <w:kern w:val="24"/>
          <w:szCs w:val="21"/>
          <w:highlight w:val="none"/>
        </w:rPr>
        <w:t>造成的所有经济损失，同时应向</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lang w:eastAsia="zh-CN"/>
        </w:rPr>
        <w:t>丙方赔付</w:t>
      </w:r>
      <w:r>
        <w:rPr>
          <w:rFonts w:hint="eastAsia" w:ascii="宋体" w:hAnsi="宋体" w:eastAsia="宋体" w:cs="宋体"/>
          <w:color w:val="auto"/>
          <w:kern w:val="24"/>
          <w:szCs w:val="21"/>
          <w:highlight w:val="none"/>
        </w:rPr>
        <w:t>合同价款</w:t>
      </w:r>
      <w:r>
        <w:rPr>
          <w:rFonts w:hint="eastAsia" w:ascii="宋体" w:hAnsi="宋体" w:eastAsia="宋体" w:cs="宋体"/>
          <w:color w:val="auto"/>
          <w:kern w:val="24"/>
          <w:szCs w:val="21"/>
          <w:highlight w:val="none"/>
          <w:lang w:val="en-US" w:eastAsia="zh-CN"/>
        </w:rPr>
        <w:t>3</w:t>
      </w:r>
      <w:r>
        <w:rPr>
          <w:rFonts w:hint="eastAsia" w:ascii="宋体" w:hAnsi="宋体" w:eastAsia="宋体" w:cs="宋体"/>
          <w:color w:val="auto"/>
          <w:kern w:val="24"/>
          <w:szCs w:val="21"/>
          <w:highlight w:val="none"/>
        </w:rPr>
        <w:t>0%的违约金。</w:t>
      </w:r>
    </w:p>
    <w:p w14:paraId="4666BD5F">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29.3  </w:t>
      </w:r>
      <w:r>
        <w:rPr>
          <w:rFonts w:hint="eastAsia" w:ascii="宋体" w:hAnsi="宋体" w:eastAsia="宋体" w:cs="宋体"/>
          <w:color w:val="auto"/>
          <w:kern w:val="24"/>
          <w:szCs w:val="21"/>
          <w:highlight w:val="none"/>
        </w:rPr>
        <w:t>在</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承诺的或国家规定的质量保证期内（取两者中最长的期限），如经</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两次维修或更换，</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仍不能达到合同约定的质量标准，</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有权退货，</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应退回全部货款并赔偿</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因此遭受的损失，损失无法计算的，</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应向</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lang w:eastAsia="zh-CN"/>
        </w:rPr>
        <w:t>丙方赔付</w:t>
      </w:r>
      <w:r>
        <w:rPr>
          <w:rFonts w:hint="eastAsia" w:ascii="宋体" w:hAnsi="宋体" w:eastAsia="宋体" w:cs="宋体"/>
          <w:color w:val="auto"/>
          <w:kern w:val="24"/>
          <w:szCs w:val="21"/>
          <w:highlight w:val="none"/>
        </w:rPr>
        <w:t>货款总额【30】%的违约金。</w:t>
      </w:r>
    </w:p>
    <w:p w14:paraId="6B189C02">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29.4 </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未履行本合同项下的其他义务或违反其在投标文件中的相关承诺的，应按合同总价款的【</w:t>
      </w:r>
      <w:r>
        <w:rPr>
          <w:rFonts w:ascii="宋体" w:hAnsi="宋体" w:eastAsia="宋体" w:cs="宋体"/>
          <w:color w:val="auto"/>
          <w:kern w:val="24"/>
          <w:szCs w:val="21"/>
          <w:highlight w:val="none"/>
        </w:rPr>
        <w:t>30】%向</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lang w:eastAsia="zh-CN"/>
        </w:rPr>
        <w:t>丙方</w:t>
      </w:r>
      <w:r>
        <w:rPr>
          <w:rFonts w:ascii="宋体" w:hAnsi="宋体" w:eastAsia="宋体" w:cs="宋体"/>
          <w:color w:val="auto"/>
          <w:kern w:val="24"/>
          <w:szCs w:val="21"/>
          <w:highlight w:val="none"/>
        </w:rPr>
        <w:t>承担违约责任。</w:t>
      </w:r>
      <w:r>
        <w:rPr>
          <w:rFonts w:hint="eastAsia" w:ascii="宋体" w:hAnsi="宋体" w:eastAsia="宋体" w:cs="宋体"/>
          <w:color w:val="auto"/>
          <w:kern w:val="24"/>
          <w:szCs w:val="21"/>
          <w:highlight w:val="none"/>
        </w:rPr>
        <w:t>如给</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造成的损失超过违约金的，还应当赔偿损失。</w:t>
      </w:r>
    </w:p>
    <w:p w14:paraId="6DE73E8B">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29.5</w:t>
      </w:r>
      <w:r>
        <w:rPr>
          <w:rFonts w:hint="eastAsia" w:ascii="宋体" w:hAnsi="宋体" w:eastAsia="宋体" w:cs="宋体"/>
          <w:color w:val="auto"/>
          <w:kern w:val="24"/>
          <w:szCs w:val="21"/>
          <w:highlight w:val="none"/>
        </w:rPr>
        <w:t xml:space="preserve">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在承担一项或多项违约责任后，仍应继续履行合同规定的义务（</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解除合同的除外）。</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未能及时追究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的任何一项违约责任并不表明</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放弃追究</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该项或其他违约责任。</w:t>
      </w:r>
    </w:p>
    <w:p w14:paraId="0D06155F">
      <w:pPr>
        <w:numPr>
          <w:ilvl w:val="0"/>
          <w:numId w:val="0"/>
        </w:numPr>
        <w:tabs>
          <w:tab w:val="left" w:pos="480"/>
          <w:tab w:val="left" w:pos="960"/>
        </w:tabs>
        <w:spacing w:line="360" w:lineRule="auto"/>
        <w:ind w:left="480" w:firstLine="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29.6 </w:t>
      </w:r>
      <w:r>
        <w:rPr>
          <w:rFonts w:hint="eastAsia" w:ascii="宋体" w:hAnsi="宋体" w:eastAsia="宋体" w:cs="宋体"/>
          <w:color w:val="auto"/>
          <w:kern w:val="24"/>
          <w:szCs w:val="21"/>
          <w:highlight w:val="none"/>
        </w:rPr>
        <w:t xml:space="preserve"> 本合同中所有</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应支付的违约金，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有权要求</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在给</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的任何款项中扣除且无须得到</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的同意。本合同项下</w:t>
      </w:r>
      <w:r>
        <w:rPr>
          <w:rFonts w:hint="eastAsia" w:ascii="宋体" w:hAnsi="宋体" w:eastAsia="宋体" w:cs="宋体"/>
          <w:color w:val="auto"/>
          <w:kern w:val="24"/>
          <w:szCs w:val="21"/>
          <w:highlight w:val="none"/>
          <w:lang w:eastAsia="zh-CN"/>
        </w:rPr>
        <w:t>乙方赔付</w:t>
      </w:r>
      <w:r>
        <w:rPr>
          <w:rFonts w:hint="eastAsia" w:ascii="宋体" w:hAnsi="宋体" w:eastAsia="宋体" w:cs="宋体"/>
          <w:color w:val="auto"/>
          <w:kern w:val="24"/>
          <w:szCs w:val="21"/>
          <w:highlight w:val="none"/>
        </w:rPr>
        <w:t>给</w:t>
      </w:r>
      <w:r>
        <w:rPr>
          <w:rFonts w:hint="eastAsia" w:ascii="宋体" w:hAnsi="宋体" w:eastAsia="宋体" w:cs="宋体"/>
          <w:color w:val="auto"/>
          <w:kern w:val="24"/>
          <w:szCs w:val="21"/>
          <w:highlight w:val="none"/>
          <w:lang w:val="en-US" w:eastAsia="zh-CN"/>
        </w:rPr>
        <w:t>甲方、</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的违约金不足以弥补</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lang w:val="en-US" w:eastAsia="zh-CN"/>
        </w:rPr>
        <w:t>丙方</w:t>
      </w:r>
      <w:r>
        <w:rPr>
          <w:rFonts w:hint="eastAsia" w:ascii="宋体" w:hAnsi="宋体" w:eastAsia="宋体" w:cs="宋体"/>
          <w:color w:val="auto"/>
          <w:kern w:val="24"/>
          <w:szCs w:val="21"/>
          <w:highlight w:val="none"/>
        </w:rPr>
        <w:t>所遭受的损失的，则</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lang w:val="en-US" w:eastAsia="zh-CN"/>
        </w:rPr>
        <w:t>丙方</w:t>
      </w:r>
      <w:r>
        <w:rPr>
          <w:rFonts w:hint="eastAsia" w:ascii="宋体" w:hAnsi="宋体" w:eastAsia="宋体" w:cs="宋体"/>
          <w:color w:val="auto"/>
          <w:kern w:val="24"/>
          <w:szCs w:val="21"/>
          <w:highlight w:val="none"/>
        </w:rPr>
        <w:t>有权继续要求</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赔偿。</w:t>
      </w:r>
    </w:p>
    <w:p w14:paraId="38FEC1FD">
      <w:pPr>
        <w:numPr>
          <w:ilvl w:val="0"/>
          <w:numId w:val="0"/>
        </w:numPr>
        <w:tabs>
          <w:tab w:val="left" w:pos="480"/>
          <w:tab w:val="left" w:pos="960"/>
          <w:tab w:val="left" w:pos="1920"/>
        </w:tabs>
        <w:spacing w:line="360" w:lineRule="auto"/>
        <w:ind w:left="480" w:firstLine="0"/>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29.7</w:t>
      </w:r>
      <w:r>
        <w:rPr>
          <w:rFonts w:hint="eastAsia" w:ascii="宋体" w:hAnsi="宋体" w:eastAsia="宋体" w:cs="宋体"/>
          <w:color w:val="auto"/>
          <w:kern w:val="24"/>
          <w:szCs w:val="21"/>
          <w:highlight w:val="none"/>
        </w:rPr>
        <w:t xml:space="preserve">  本项目为</w:t>
      </w:r>
      <w:r>
        <w:rPr>
          <w:rFonts w:hint="eastAsia" w:ascii="宋体" w:hAnsi="宋体" w:eastAsia="宋体" w:cs="宋体"/>
          <w:color w:val="auto"/>
          <w:kern w:val="24"/>
          <w:szCs w:val="21"/>
          <w:highlight w:val="none"/>
          <w:lang w:eastAsia="zh-CN"/>
        </w:rPr>
        <w:t>自建</w:t>
      </w:r>
      <w:r>
        <w:rPr>
          <w:rFonts w:hint="eastAsia" w:ascii="宋体" w:hAnsi="宋体" w:eastAsia="宋体" w:cs="宋体"/>
          <w:color w:val="auto"/>
          <w:kern w:val="24"/>
          <w:szCs w:val="21"/>
          <w:highlight w:val="none"/>
        </w:rPr>
        <w:t>项目，如因</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原因导致</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被政府处罚、或</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被第三人索赔的，因此产生的一切损失（包括但不限于行政罚款、支付给业主方或其他第三方的赔偿金、违约金，为解决相关争议和纠纷发生的诉讼费用、律师费等）均由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承担，除此之外，</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还应向</w:t>
      </w:r>
      <w:r>
        <w:rPr>
          <w:rFonts w:hint="eastAsia" w:ascii="宋体" w:hAnsi="宋体" w:eastAsia="宋体" w:cs="宋体"/>
          <w:color w:val="auto"/>
          <w:kern w:val="24"/>
          <w:szCs w:val="21"/>
          <w:highlight w:val="none"/>
          <w:lang w:eastAsia="zh-CN"/>
        </w:rPr>
        <w:t>丙方赔付</w:t>
      </w:r>
      <w:r>
        <w:rPr>
          <w:rFonts w:hint="eastAsia" w:ascii="宋体" w:hAnsi="宋体" w:eastAsia="宋体" w:cs="宋体"/>
          <w:color w:val="auto"/>
          <w:kern w:val="24"/>
          <w:szCs w:val="21"/>
          <w:highlight w:val="none"/>
        </w:rPr>
        <w:t>暂定合同总价10%的违约金，违约金不足以弥补</w:t>
      </w:r>
      <w:r>
        <w:rPr>
          <w:rFonts w:hint="eastAsia" w:ascii="宋体" w:hAnsi="宋体" w:eastAsia="宋体" w:cs="宋体"/>
          <w:color w:val="auto"/>
          <w:kern w:val="24"/>
          <w:szCs w:val="21"/>
          <w:highlight w:val="none"/>
          <w:lang w:eastAsia="zh-CN"/>
        </w:rPr>
        <w:t>丙方</w:t>
      </w:r>
      <w:r>
        <w:rPr>
          <w:rFonts w:hint="eastAsia" w:ascii="宋体" w:hAnsi="宋体" w:eastAsia="宋体" w:cs="宋体"/>
          <w:color w:val="auto"/>
          <w:kern w:val="24"/>
          <w:szCs w:val="21"/>
          <w:highlight w:val="none"/>
        </w:rPr>
        <w:t>损失的，</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应进一步补足。</w:t>
      </w:r>
    </w:p>
    <w:p w14:paraId="22216203">
      <w:pPr>
        <w:numPr>
          <w:ilvl w:val="0"/>
          <w:numId w:val="5"/>
        </w:numPr>
        <w:tabs>
          <w:tab w:val="left" w:pos="480"/>
          <w:tab w:val="clear" w:pos="900"/>
        </w:tabs>
        <w:spacing w:line="360" w:lineRule="auto"/>
        <w:ind w:left="0" w:firstLine="0"/>
        <w:textAlignment w:val="top"/>
        <w:rPr>
          <w:rFonts w:ascii="宋体" w:hAnsi="宋体" w:eastAsia="宋体" w:cs="宋体"/>
          <w:b/>
          <w:color w:val="auto"/>
          <w:kern w:val="24"/>
          <w:szCs w:val="21"/>
          <w:highlight w:val="none"/>
        </w:rPr>
      </w:pPr>
      <w:r>
        <w:rPr>
          <w:rFonts w:hint="eastAsia" w:ascii="宋体" w:hAnsi="宋体" w:eastAsia="宋体" w:cs="宋体"/>
          <w:b/>
          <w:color w:val="auto"/>
          <w:kern w:val="24"/>
          <w:szCs w:val="21"/>
          <w:highlight w:val="none"/>
        </w:rPr>
        <w:t>其他</w:t>
      </w:r>
    </w:p>
    <w:p w14:paraId="7A7B4CAA">
      <w:pPr>
        <w:numPr>
          <w:ilvl w:val="0"/>
          <w:numId w:val="6"/>
        </w:numPr>
        <w:tabs>
          <w:tab w:val="left" w:pos="0"/>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质量保修</w:t>
      </w:r>
    </w:p>
    <w:p w14:paraId="71E58C41">
      <w:pPr>
        <w:tabs>
          <w:tab w:val="left" w:pos="1276"/>
        </w:tabs>
        <w:spacing w:line="360" w:lineRule="auto"/>
        <w:ind w:left="483" w:leftChars="200" w:hanging="3"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0</w:t>
      </w:r>
      <w:r>
        <w:rPr>
          <w:rFonts w:hint="eastAsia" w:ascii="宋体" w:hAnsi="宋体" w:eastAsia="宋体" w:cs="宋体"/>
          <w:color w:val="auto"/>
          <w:kern w:val="24"/>
          <w:szCs w:val="21"/>
          <w:highlight w:val="none"/>
        </w:rPr>
        <w:t>.1</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应按法律、行政法规或国家关于设备材料质量保修的有关规定，对交付</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使用的设备材料在质量保修期内承担质量保修责任。</w:t>
      </w:r>
    </w:p>
    <w:p w14:paraId="545D356E">
      <w:pPr>
        <w:numPr>
          <w:ilvl w:val="0"/>
          <w:numId w:val="6"/>
        </w:numPr>
        <w:tabs>
          <w:tab w:val="left" w:pos="0"/>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现场安全</w:t>
      </w:r>
    </w:p>
    <w:p w14:paraId="709E0443">
      <w:pPr>
        <w:tabs>
          <w:tab w:val="left" w:pos="480"/>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 xml:space="preserve">32.1 </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进场后应遵守施工现场安全有关管理规定。由于</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安全措施不力造成事故的责任和因此发生的费用，由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w:t>
      </w:r>
    </w:p>
    <w:p w14:paraId="4468F96B">
      <w:pPr>
        <w:tabs>
          <w:tab w:val="left" w:pos="480"/>
        </w:tabs>
        <w:spacing w:line="360" w:lineRule="auto"/>
        <w:ind w:left="480" w:leftChars="200" w:firstLine="0"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32.2 发生安全事故的，由事故责任方承担发生的费用。</w:t>
      </w:r>
    </w:p>
    <w:p w14:paraId="22E0EC54">
      <w:pPr>
        <w:numPr>
          <w:ilvl w:val="0"/>
          <w:numId w:val="6"/>
        </w:numPr>
        <w:tabs>
          <w:tab w:val="left" w:pos="0"/>
          <w:tab w:val="clear" w:pos="1802"/>
        </w:tabs>
        <w:spacing w:line="360" w:lineRule="auto"/>
        <w:ind w:left="0" w:leftChars="0" w:hanging="5"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不可抗力</w:t>
      </w:r>
    </w:p>
    <w:p w14:paraId="308D9C0D">
      <w:pPr>
        <w:tabs>
          <w:tab w:val="left" w:pos="480"/>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3</w:t>
      </w:r>
      <w:r>
        <w:rPr>
          <w:rFonts w:hint="eastAsia" w:ascii="宋体" w:hAnsi="宋体" w:eastAsia="宋体" w:cs="宋体"/>
          <w:color w:val="auto"/>
          <w:kern w:val="24"/>
          <w:szCs w:val="21"/>
          <w:highlight w:val="none"/>
        </w:rPr>
        <w:t>.1不可抗力包括因战争、动乱、空中飞行物体坠落或其他非</w:t>
      </w:r>
      <w:r>
        <w:rPr>
          <w:rFonts w:hint="eastAsia" w:ascii="宋体" w:hAnsi="宋体" w:eastAsia="宋体" w:cs="宋体"/>
          <w:color w:val="auto"/>
          <w:kern w:val="24"/>
          <w:szCs w:val="21"/>
          <w:highlight w:val="none"/>
          <w:lang w:eastAsia="zh-CN"/>
        </w:rPr>
        <w:t>丙方乙方</w:t>
      </w:r>
      <w:r>
        <w:rPr>
          <w:rFonts w:hint="eastAsia" w:ascii="宋体" w:hAnsi="宋体" w:eastAsia="宋体" w:cs="宋体"/>
          <w:color w:val="auto"/>
          <w:kern w:val="24"/>
          <w:szCs w:val="21"/>
          <w:highlight w:val="none"/>
        </w:rPr>
        <w:t>责任造成的爆炸、火灾，以及专用条款约定的风雨、雪、洪、震等自然灾害。</w:t>
      </w:r>
    </w:p>
    <w:p w14:paraId="08280A99">
      <w:pPr>
        <w:tabs>
          <w:tab w:val="left" w:pos="480"/>
        </w:tabs>
        <w:spacing w:line="360" w:lineRule="auto"/>
        <w:ind w:left="480" w:leftChars="200" w:firstLine="0"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3</w:t>
      </w:r>
      <w:r>
        <w:rPr>
          <w:rFonts w:hint="eastAsia" w:ascii="宋体" w:hAnsi="宋体" w:eastAsia="宋体" w:cs="宋体"/>
          <w:color w:val="auto"/>
          <w:kern w:val="24"/>
          <w:szCs w:val="21"/>
          <w:highlight w:val="none"/>
        </w:rPr>
        <w:t>.2上述不可抗力因素出现，</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应立即采取措施并向</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通报影响供货的情况，双方协商处理已供货和未供货的部分</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。若不可抗力致使协议一方无法继续履行本合同或继续履行已无意义的，则</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应协商终止合同。</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已交付给</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并经</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验收合格的，风险由</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承担，未交付或虽交付但未经</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验收合格的</w:t>
      </w:r>
      <w:r>
        <w:rPr>
          <w:rFonts w:hint="eastAsia" w:ascii="宋体" w:hAnsi="宋体" w:eastAsia="宋体" w:cs="宋体"/>
          <w:color w:val="auto"/>
          <w:kern w:val="24"/>
          <w:szCs w:val="21"/>
          <w:highlight w:val="none"/>
          <w:lang w:eastAsia="zh-CN"/>
        </w:rPr>
        <w:t>设备</w:t>
      </w:r>
      <w:r>
        <w:rPr>
          <w:rFonts w:hint="eastAsia" w:ascii="宋体" w:hAnsi="宋体" w:eastAsia="宋体" w:cs="宋体"/>
          <w:color w:val="auto"/>
          <w:kern w:val="24"/>
          <w:szCs w:val="21"/>
          <w:highlight w:val="none"/>
        </w:rPr>
        <w:t>风险由</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承担</w:t>
      </w:r>
    </w:p>
    <w:p w14:paraId="01D25AC7">
      <w:pPr>
        <w:tabs>
          <w:tab w:val="left" w:pos="480"/>
        </w:tabs>
        <w:spacing w:line="360" w:lineRule="auto"/>
        <w:ind w:left="0" w:leftChars="0" w:firstLine="0" w:firstLineChars="0"/>
        <w:textAlignment w:val="top"/>
        <w:rPr>
          <w:rFonts w:hint="eastAsia" w:ascii="宋体" w:hAnsi="宋体" w:eastAsia="宋体" w:cs="宋体"/>
          <w:color w:val="auto"/>
          <w:kern w:val="24"/>
          <w:szCs w:val="21"/>
          <w:highlight w:val="none"/>
          <w:lang w:val="en-US" w:eastAsia="zh-CN"/>
        </w:rPr>
      </w:pPr>
      <w:r>
        <w:rPr>
          <w:rFonts w:hint="eastAsia" w:ascii="宋体" w:hAnsi="宋体" w:eastAsia="宋体" w:cs="宋体"/>
          <w:color w:val="auto"/>
          <w:kern w:val="24"/>
          <w:szCs w:val="21"/>
          <w:highlight w:val="none"/>
          <w:lang w:val="en-US" w:eastAsia="zh-CN"/>
        </w:rPr>
        <w:t>34. 合同解除</w:t>
      </w:r>
    </w:p>
    <w:p w14:paraId="3B8DC1C8">
      <w:pPr>
        <w:tabs>
          <w:tab w:val="left" w:pos="1276"/>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4</w:t>
      </w:r>
      <w:r>
        <w:rPr>
          <w:rFonts w:hint="eastAsia" w:ascii="宋体" w:hAnsi="宋体" w:eastAsia="宋体" w:cs="宋体"/>
          <w:color w:val="auto"/>
          <w:kern w:val="24"/>
          <w:szCs w:val="21"/>
          <w:highlight w:val="none"/>
        </w:rPr>
        <w:t>.1</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方协商一致，可以解除合同。</w:t>
      </w:r>
    </w:p>
    <w:p w14:paraId="5C361835">
      <w:pPr>
        <w:tabs>
          <w:tab w:val="left" w:pos="1276"/>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4</w:t>
      </w:r>
      <w:r>
        <w:rPr>
          <w:rFonts w:hint="eastAsia" w:ascii="宋体" w:hAnsi="宋体" w:eastAsia="宋体" w:cs="宋体"/>
          <w:color w:val="auto"/>
          <w:kern w:val="24"/>
          <w:szCs w:val="21"/>
          <w:highlight w:val="none"/>
        </w:rPr>
        <w:t>.2有下列情形之一的，</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方应协商解除合同：</w:t>
      </w:r>
    </w:p>
    <w:p w14:paraId="3F6A7839">
      <w:pPr>
        <w:tabs>
          <w:tab w:val="left" w:pos="420"/>
          <w:tab w:val="left" w:pos="840"/>
        </w:tabs>
        <w:spacing w:line="360" w:lineRule="auto"/>
        <w:ind w:left="480" w:leftChars="200" w:firstLine="480" w:firstLineChars="2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34.2.1因不可抗力致使合同无法履行；</w:t>
      </w:r>
    </w:p>
    <w:p w14:paraId="13C02AF2">
      <w:pPr>
        <w:tabs>
          <w:tab w:val="left" w:pos="420"/>
          <w:tab w:val="left" w:pos="840"/>
        </w:tabs>
        <w:spacing w:line="360" w:lineRule="auto"/>
        <w:ind w:left="480" w:leftChars="200" w:firstLine="480" w:firstLineChars="20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34.2.2 因其他原因造成工程停建或缓建，致使合同无法履行。</w:t>
      </w:r>
    </w:p>
    <w:p w14:paraId="74275B8A">
      <w:pPr>
        <w:tabs>
          <w:tab w:val="left" w:pos="1276"/>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4</w:t>
      </w: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eastAsia="zh-CN"/>
        </w:rPr>
        <w:t>甲方</w:t>
      </w:r>
      <w:r>
        <w:rPr>
          <w:rFonts w:hint="eastAsia" w:ascii="宋体" w:hAnsi="宋体" w:eastAsia="宋体" w:cs="宋体"/>
          <w:color w:val="auto"/>
          <w:kern w:val="24"/>
          <w:szCs w:val="21"/>
          <w:highlight w:val="none"/>
        </w:rPr>
        <w:t>根据合同要求解除合同的，以书面形式向</w:t>
      </w:r>
      <w:r>
        <w:rPr>
          <w:rFonts w:hint="eastAsia" w:ascii="宋体" w:hAnsi="宋体" w:eastAsia="宋体" w:cs="宋体"/>
          <w:color w:val="auto"/>
          <w:kern w:val="24"/>
          <w:szCs w:val="21"/>
          <w:highlight w:val="none"/>
          <w:lang w:eastAsia="zh-CN"/>
        </w:rPr>
        <w:t>乙方</w:t>
      </w:r>
      <w:r>
        <w:rPr>
          <w:rFonts w:hint="eastAsia" w:ascii="宋体" w:hAnsi="宋体" w:eastAsia="宋体" w:cs="宋体"/>
          <w:color w:val="auto"/>
          <w:kern w:val="24"/>
          <w:szCs w:val="21"/>
          <w:highlight w:val="none"/>
        </w:rPr>
        <w:t>发解除合同的通知，并在发出通知前告知对方，</w:t>
      </w:r>
      <w:r>
        <w:rPr>
          <w:rFonts w:hint="eastAsia" w:ascii="宋体" w:hAnsi="宋体" w:eastAsia="宋体" w:cs="宋体"/>
          <w:color w:val="auto"/>
          <w:kern w:val="24"/>
          <w:szCs w:val="21"/>
          <w:highlight w:val="none"/>
          <w:lang w:val="en-US" w:eastAsia="zh-CN"/>
        </w:rPr>
        <w:t>邮件发出视为通知送达，送达后</w:t>
      </w:r>
      <w:r>
        <w:rPr>
          <w:rFonts w:hint="eastAsia" w:ascii="宋体" w:hAnsi="宋体" w:eastAsia="宋体" w:cs="宋体"/>
          <w:color w:val="auto"/>
          <w:kern w:val="24"/>
          <w:szCs w:val="21"/>
          <w:highlight w:val="none"/>
        </w:rPr>
        <w:t>合同解除。</w:t>
      </w:r>
    </w:p>
    <w:p w14:paraId="60C269C7">
      <w:pPr>
        <w:tabs>
          <w:tab w:val="left" w:pos="1276"/>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4</w:t>
      </w:r>
      <w:r>
        <w:rPr>
          <w:rFonts w:hint="eastAsia" w:ascii="宋体" w:hAnsi="宋体" w:eastAsia="宋体" w:cs="宋体"/>
          <w:color w:val="auto"/>
          <w:kern w:val="24"/>
          <w:szCs w:val="21"/>
          <w:highlight w:val="none"/>
        </w:rPr>
        <w:t>.4合同解除后，不影响</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方在合同中约定的结算和清理条款的效力。</w:t>
      </w:r>
    </w:p>
    <w:p w14:paraId="09370985">
      <w:pPr>
        <w:numPr>
          <w:ilvl w:val="0"/>
          <w:numId w:val="0"/>
        </w:numPr>
        <w:tabs>
          <w:tab w:val="left" w:pos="0"/>
        </w:tabs>
        <w:spacing w:line="360" w:lineRule="auto"/>
        <w:ind w:left="-5" w:leftChars="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lang w:val="en-US" w:eastAsia="zh-CN"/>
        </w:rPr>
        <w:t xml:space="preserve">35. </w:t>
      </w:r>
      <w:r>
        <w:rPr>
          <w:rFonts w:hint="eastAsia" w:ascii="宋体" w:hAnsi="宋体" w:eastAsia="宋体" w:cs="宋体"/>
          <w:color w:val="auto"/>
          <w:kern w:val="24"/>
          <w:szCs w:val="21"/>
          <w:highlight w:val="none"/>
        </w:rPr>
        <w:t>合同生效与终止</w:t>
      </w:r>
    </w:p>
    <w:p w14:paraId="4DFCF98A">
      <w:pPr>
        <w:tabs>
          <w:tab w:val="left" w:pos="480"/>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5</w:t>
      </w:r>
      <w:r>
        <w:rPr>
          <w:rFonts w:hint="eastAsia" w:ascii="宋体" w:hAnsi="宋体" w:eastAsia="宋体" w:cs="宋体"/>
          <w:color w:val="auto"/>
          <w:kern w:val="24"/>
          <w:szCs w:val="21"/>
          <w:highlight w:val="none"/>
        </w:rPr>
        <w:t>.1</w:t>
      </w:r>
      <w:r>
        <w:rPr>
          <w:rFonts w:hint="eastAsia" w:ascii="宋体" w:hAnsi="宋体" w:eastAsia="宋体" w:cs="宋体"/>
          <w:color w:val="auto"/>
          <w:kern w:val="24"/>
          <w:szCs w:val="21"/>
          <w:highlight w:val="none"/>
          <w:lang w:eastAsia="zh-CN"/>
        </w:rPr>
        <w:t>三</w:t>
      </w:r>
      <w:r>
        <w:rPr>
          <w:rFonts w:hint="eastAsia" w:ascii="宋体" w:hAnsi="宋体" w:eastAsia="宋体" w:cs="宋体"/>
          <w:color w:val="auto"/>
          <w:kern w:val="24"/>
          <w:szCs w:val="21"/>
          <w:highlight w:val="none"/>
        </w:rPr>
        <w:t>方在协议书中约定合同生效方式。</w:t>
      </w:r>
    </w:p>
    <w:p w14:paraId="61C69BE5">
      <w:pPr>
        <w:tabs>
          <w:tab w:val="left" w:pos="480"/>
        </w:tabs>
        <w:spacing w:line="360" w:lineRule="auto"/>
        <w:ind w:left="480" w:leftChars="200" w:firstLine="0" w:firstLineChars="0"/>
        <w:textAlignment w:val="top"/>
        <w:rPr>
          <w:rFonts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5</w:t>
      </w:r>
      <w:r>
        <w:rPr>
          <w:rFonts w:hint="eastAsia" w:ascii="宋体" w:hAnsi="宋体" w:eastAsia="宋体" w:cs="宋体"/>
          <w:color w:val="auto"/>
          <w:kern w:val="24"/>
          <w:szCs w:val="21"/>
          <w:highlight w:val="none"/>
        </w:rPr>
        <w:t>.2除履行正常质量保修外，</w:t>
      </w:r>
      <w:r>
        <w:rPr>
          <w:rFonts w:hint="eastAsia" w:ascii="宋体" w:hAnsi="宋体" w:eastAsia="宋体" w:cs="宋体"/>
          <w:color w:val="auto"/>
          <w:kern w:val="24"/>
          <w:szCs w:val="21"/>
          <w:highlight w:val="none"/>
          <w:lang w:eastAsia="zh-CN"/>
        </w:rPr>
        <w:t>甲方乙方</w:t>
      </w:r>
      <w:r>
        <w:rPr>
          <w:rFonts w:hint="eastAsia" w:ascii="宋体" w:hAnsi="宋体" w:eastAsia="宋体" w:cs="宋体"/>
          <w:color w:val="auto"/>
          <w:kern w:val="24"/>
          <w:szCs w:val="21"/>
          <w:highlight w:val="none"/>
        </w:rPr>
        <w:t>履行合同全部义务后，本合同即告终止。</w:t>
      </w:r>
    </w:p>
    <w:p w14:paraId="509F7A27">
      <w:pPr>
        <w:tabs>
          <w:tab w:val="left" w:pos="480"/>
        </w:tabs>
        <w:spacing w:line="360" w:lineRule="auto"/>
        <w:ind w:left="480" w:leftChars="200" w:firstLine="0" w:firstLineChars="0"/>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3</w:t>
      </w:r>
      <w:r>
        <w:rPr>
          <w:rFonts w:hint="eastAsia" w:ascii="宋体" w:hAnsi="宋体" w:eastAsia="宋体" w:cs="宋体"/>
          <w:color w:val="auto"/>
          <w:kern w:val="24"/>
          <w:szCs w:val="21"/>
          <w:highlight w:val="none"/>
          <w:lang w:val="en-US" w:eastAsia="zh-CN"/>
        </w:rPr>
        <w:t>5</w:t>
      </w:r>
      <w:r>
        <w:rPr>
          <w:rFonts w:hint="eastAsia" w:ascii="宋体" w:hAnsi="宋体" w:eastAsia="宋体" w:cs="宋体"/>
          <w:color w:val="auto"/>
          <w:kern w:val="24"/>
          <w:szCs w:val="21"/>
          <w:highlight w:val="none"/>
        </w:rPr>
        <w:t>.3合同的权利义务终止后，</w:t>
      </w:r>
      <w:r>
        <w:rPr>
          <w:rFonts w:hint="eastAsia" w:ascii="宋体" w:hAnsi="宋体" w:eastAsia="宋体" w:cs="宋体"/>
          <w:color w:val="auto"/>
          <w:kern w:val="24"/>
          <w:szCs w:val="21"/>
          <w:highlight w:val="none"/>
          <w:lang w:eastAsia="zh-CN"/>
        </w:rPr>
        <w:t>甲方乙方</w:t>
      </w:r>
      <w:r>
        <w:rPr>
          <w:rFonts w:hint="eastAsia" w:ascii="宋体" w:hAnsi="宋体" w:eastAsia="宋体" w:cs="宋体"/>
          <w:color w:val="auto"/>
          <w:kern w:val="24"/>
          <w:szCs w:val="21"/>
          <w:highlight w:val="none"/>
        </w:rPr>
        <w:t>应当遵循诚实信用原则，履行通知、协助、保密等义务。</w:t>
      </w:r>
    </w:p>
    <w:p w14:paraId="37063B58">
      <w:pPr>
        <w:spacing w:line="360" w:lineRule="auto"/>
        <w:jc w:val="both"/>
        <w:textAlignment w:val="top"/>
        <w:outlineLvl w:val="9"/>
        <w:rPr>
          <w:rFonts w:hint="eastAsia" w:ascii="宋体" w:hAnsi="宋体" w:eastAsia="宋体" w:cs="宋体"/>
          <w:b/>
          <w:color w:val="auto"/>
          <w:kern w:val="24"/>
          <w:sz w:val="28"/>
          <w:szCs w:val="28"/>
          <w:highlight w:val="none"/>
        </w:rPr>
      </w:pPr>
      <w:r>
        <w:rPr>
          <w:rFonts w:hint="eastAsia" w:ascii="宋体" w:hAnsi="宋体" w:eastAsia="宋体" w:cs="宋体"/>
          <w:b/>
          <w:color w:val="auto"/>
          <w:kern w:val="24"/>
          <w:sz w:val="28"/>
          <w:szCs w:val="28"/>
          <w:highlight w:val="none"/>
        </w:rPr>
        <w:br w:type="page"/>
      </w:r>
    </w:p>
    <w:p w14:paraId="1C8B91D5">
      <w:pPr>
        <w:spacing w:line="360" w:lineRule="auto"/>
        <w:jc w:val="center"/>
        <w:textAlignment w:val="top"/>
        <w:outlineLvl w:val="0"/>
        <w:rPr>
          <w:rFonts w:ascii="宋体" w:hAnsi="宋体" w:eastAsia="宋体" w:cs="宋体"/>
          <w:b/>
          <w:color w:val="auto"/>
          <w:kern w:val="24"/>
          <w:sz w:val="28"/>
          <w:szCs w:val="28"/>
          <w:highlight w:val="none"/>
        </w:rPr>
      </w:pPr>
      <w:r>
        <w:rPr>
          <w:rFonts w:hint="eastAsia" w:ascii="宋体" w:hAnsi="宋体" w:eastAsia="宋体" w:cs="宋体"/>
          <w:b/>
          <w:color w:val="auto"/>
          <w:kern w:val="24"/>
          <w:sz w:val="28"/>
          <w:szCs w:val="28"/>
          <w:highlight w:val="none"/>
        </w:rPr>
        <w:t>第三部分  合同附件</w:t>
      </w:r>
    </w:p>
    <w:p w14:paraId="5661ADE0">
      <w:pPr>
        <w:spacing w:line="360" w:lineRule="auto"/>
        <w:jc w:val="both"/>
        <w:textAlignment w:val="top"/>
        <w:rPr>
          <w:rFonts w:hint="eastAsia" w:ascii="宋体" w:hAnsi="宋体" w:eastAsia="宋体" w:cs="宋体"/>
          <w:color w:val="auto"/>
          <w:kern w:val="24"/>
          <w:szCs w:val="21"/>
          <w:highlight w:val="none"/>
        </w:rPr>
      </w:pPr>
      <w:r>
        <w:rPr>
          <w:rFonts w:hint="eastAsia" w:ascii="宋体" w:hAnsi="宋体" w:eastAsia="宋体" w:cs="宋体"/>
          <w:color w:val="auto"/>
          <w:kern w:val="24"/>
          <w:szCs w:val="21"/>
          <w:highlight w:val="none"/>
        </w:rPr>
        <w:t>附件一《</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ascii="宋体" w:hAnsi="宋体" w:eastAsia="宋体" w:cs="宋体"/>
          <w:color w:val="auto"/>
          <w:szCs w:val="24"/>
          <w:highlight w:val="none"/>
          <w:u w:val="none"/>
        </w:rPr>
        <w:t>设备</w:t>
      </w:r>
      <w:r>
        <w:rPr>
          <w:rFonts w:hint="eastAsia" w:ascii="宋体" w:hAnsi="宋体" w:eastAsia="宋体" w:cs="宋体"/>
          <w:color w:val="auto"/>
          <w:kern w:val="24"/>
          <w:szCs w:val="21"/>
          <w:highlight w:val="none"/>
        </w:rPr>
        <w:t>清单》</w:t>
      </w:r>
    </w:p>
    <w:p w14:paraId="564BAD8F">
      <w:pPr>
        <w:spacing w:line="360" w:lineRule="auto"/>
        <w:textAlignment w:val="top"/>
        <w:rPr>
          <w:rFonts w:ascii="宋体" w:hAnsi="宋体"/>
          <w:snapToGrid w:val="0"/>
          <w:color w:val="000000"/>
          <w:kern w:val="0"/>
          <w:sz w:val="24"/>
          <w:highlight w:val="none"/>
          <w:u w:val="single"/>
        </w:rPr>
      </w:pPr>
      <w:r>
        <w:rPr>
          <w:rFonts w:hint="eastAsia" w:ascii="宋体" w:hAnsi="宋体" w:eastAsia="宋体" w:cs="宋体"/>
          <w:color w:val="auto"/>
          <w:kern w:val="24"/>
          <w:szCs w:val="21"/>
          <w:highlight w:val="none"/>
        </w:rPr>
        <w:t>说明：以上数量为暂定量，总价按照实际供货数量结算</w:t>
      </w:r>
      <w:r>
        <w:rPr>
          <w:rFonts w:hint="eastAsia" w:ascii="宋体" w:hAnsi="宋体" w:eastAsia="宋体" w:cs="宋体"/>
          <w:color w:val="auto"/>
          <w:kern w:val="24"/>
          <w:szCs w:val="21"/>
          <w:highlight w:val="none"/>
          <w:lang w:eastAsia="zh-CN"/>
        </w:rPr>
        <w:t>。</w:t>
      </w:r>
    </w:p>
    <w:p w14:paraId="371CCFD4">
      <w:pPr>
        <w:spacing w:line="360" w:lineRule="auto"/>
        <w:jc w:val="both"/>
        <w:textAlignment w:val="top"/>
        <w:rPr>
          <w:rFonts w:ascii="宋体" w:hAnsi="宋体" w:eastAsia="宋体" w:cs="宋体"/>
          <w:color w:val="auto"/>
          <w:kern w:val="24"/>
          <w:szCs w:val="21"/>
          <w:highlight w:val="none"/>
        </w:rPr>
      </w:pPr>
      <w:r>
        <w:rPr>
          <w:rFonts w:hint="eastAsia"/>
          <w:color w:val="auto"/>
          <w:highlight w:val="none"/>
        </w:rPr>
        <w:t>附件二《</w:t>
      </w:r>
      <w:r>
        <w:rPr>
          <w:rFonts w:ascii="宋体" w:hAnsi="宋体"/>
          <w:snapToGrid w:val="0"/>
          <w:color w:val="000000"/>
          <w:kern w:val="0"/>
          <w:sz w:val="24"/>
          <w:highlight w:val="none"/>
          <w:u w:val="single"/>
        </w:rPr>
        <w:t xml:space="preserve">   </w:t>
      </w:r>
      <w:r>
        <w:rPr>
          <w:rFonts w:hint="eastAsia" w:ascii="宋体" w:hAnsi="宋体"/>
          <w:snapToGrid w:val="0"/>
          <w:color w:val="000000"/>
          <w:kern w:val="0"/>
          <w:sz w:val="24"/>
          <w:highlight w:val="none"/>
          <w:u w:val="single"/>
          <w:lang w:val="en-US" w:eastAsia="zh-CN"/>
        </w:rPr>
        <w:t xml:space="preserve">            </w:t>
      </w:r>
      <w:r>
        <w:rPr>
          <w:rFonts w:ascii="宋体" w:hAnsi="宋体"/>
          <w:snapToGrid w:val="0"/>
          <w:color w:val="000000"/>
          <w:kern w:val="0"/>
          <w:sz w:val="24"/>
          <w:highlight w:val="none"/>
          <w:u w:val="single"/>
        </w:rPr>
        <w:t xml:space="preserve"> </w:t>
      </w:r>
      <w:r>
        <w:rPr>
          <w:rFonts w:hint="eastAsia"/>
          <w:color w:val="auto"/>
          <w:highlight w:val="none"/>
        </w:rPr>
        <w:t>设备规格、型号、参数一览表》</w:t>
      </w:r>
    </w:p>
    <w:p w14:paraId="11D9B717">
      <w:pPr>
        <w:spacing w:line="360" w:lineRule="auto"/>
        <w:textAlignment w:val="top"/>
        <w:rPr>
          <w:rFonts w:ascii="宋体" w:hAnsi="宋体" w:eastAsia="宋体" w:cs="宋体"/>
          <w:color w:val="auto"/>
          <w:kern w:val="24"/>
          <w:szCs w:val="21"/>
          <w:highlight w:val="none"/>
        </w:rPr>
      </w:pPr>
    </w:p>
    <w:p w14:paraId="5020EF40">
      <w:pPr>
        <w:spacing w:line="360" w:lineRule="auto"/>
        <w:textAlignment w:val="top"/>
        <w:rPr>
          <w:rFonts w:ascii="宋体" w:hAnsi="宋体" w:eastAsia="宋体" w:cs="宋体"/>
          <w:color w:val="auto"/>
          <w:kern w:val="24"/>
          <w:szCs w:val="21"/>
          <w:highlight w:val="none"/>
        </w:rPr>
      </w:pPr>
    </w:p>
    <w:p w14:paraId="4A7896A8">
      <w:pPr>
        <w:spacing w:line="360" w:lineRule="auto"/>
        <w:textAlignment w:val="top"/>
        <w:rPr>
          <w:rFonts w:ascii="宋体" w:hAnsi="宋体" w:eastAsia="宋体" w:cs="宋体"/>
          <w:color w:val="auto"/>
          <w:kern w:val="24"/>
          <w:szCs w:val="21"/>
          <w:highlight w:val="none"/>
        </w:rPr>
      </w:pPr>
    </w:p>
    <w:p w14:paraId="77FD4C17">
      <w:pPr>
        <w:spacing w:line="360" w:lineRule="auto"/>
        <w:textAlignment w:val="top"/>
        <w:rPr>
          <w:rFonts w:ascii="宋体" w:hAnsi="宋体" w:eastAsia="宋体" w:cs="宋体"/>
          <w:color w:val="auto"/>
          <w:kern w:val="24"/>
          <w:szCs w:val="21"/>
          <w:highlight w:val="none"/>
        </w:rPr>
      </w:pPr>
    </w:p>
    <w:p w14:paraId="4EAD7225">
      <w:pPr>
        <w:spacing w:line="360" w:lineRule="auto"/>
        <w:textAlignment w:val="top"/>
        <w:rPr>
          <w:rFonts w:ascii="宋体" w:hAnsi="宋体" w:eastAsia="宋体" w:cs="宋体"/>
          <w:color w:val="auto"/>
          <w:kern w:val="24"/>
          <w:szCs w:val="21"/>
          <w:highlight w:val="none"/>
        </w:rPr>
      </w:pPr>
    </w:p>
    <w:p w14:paraId="6A69553D">
      <w:pPr>
        <w:spacing w:line="360" w:lineRule="auto"/>
        <w:textAlignment w:val="top"/>
        <w:rPr>
          <w:rFonts w:ascii="宋体" w:hAnsi="宋体" w:eastAsia="宋体" w:cs="宋体"/>
          <w:color w:val="auto"/>
          <w:kern w:val="24"/>
          <w:szCs w:val="21"/>
          <w:highlight w:val="none"/>
        </w:rPr>
      </w:pPr>
    </w:p>
    <w:p w14:paraId="59A02ABF">
      <w:pPr>
        <w:spacing w:line="360" w:lineRule="auto"/>
        <w:textAlignment w:val="top"/>
        <w:rPr>
          <w:rFonts w:ascii="宋体" w:hAnsi="宋体" w:eastAsia="宋体" w:cs="宋体"/>
          <w:color w:val="auto"/>
          <w:kern w:val="24"/>
          <w:szCs w:val="21"/>
          <w:highlight w:val="none"/>
        </w:rPr>
      </w:pPr>
    </w:p>
    <w:p w14:paraId="1473E26D">
      <w:pPr>
        <w:spacing w:line="360" w:lineRule="auto"/>
        <w:textAlignment w:val="top"/>
        <w:rPr>
          <w:rFonts w:ascii="宋体" w:hAnsi="宋体" w:eastAsia="宋体" w:cs="宋体"/>
          <w:color w:val="auto"/>
          <w:kern w:val="24"/>
          <w:szCs w:val="21"/>
          <w:highlight w:val="none"/>
        </w:rPr>
      </w:pPr>
    </w:p>
    <w:p w14:paraId="5A415B6F">
      <w:pPr>
        <w:spacing w:line="360" w:lineRule="auto"/>
        <w:rPr>
          <w:highlight w:val="none"/>
        </w:rPr>
      </w:pPr>
    </w:p>
    <w:p w14:paraId="047C71CF">
      <w:pPr>
        <w:spacing w:line="360" w:lineRule="auto"/>
        <w:ind w:firstLine="480" w:firstLineChars="200"/>
        <w:jc w:val="both"/>
        <w:rPr>
          <w:rFonts w:hint="eastAsia" w:ascii="仿宋" w:hAnsi="仿宋" w:eastAsia="仿宋" w:cs="仿宋"/>
        </w:rPr>
      </w:pPr>
    </w:p>
    <w:p w14:paraId="3526C022">
      <w:pPr>
        <w:pStyle w:val="23"/>
        <w:widowControl w:val="0"/>
        <w:spacing w:before="0" w:beforeAutospacing="0" w:after="0" w:afterAutospacing="0"/>
        <w:jc w:val="center"/>
        <w:outlineLvl w:val="0"/>
        <w:rPr>
          <w:b/>
          <w:bCs/>
          <w:color w:val="000000"/>
          <w:sz w:val="44"/>
          <w:szCs w:val="44"/>
        </w:rPr>
      </w:pPr>
      <w:r>
        <w:rPr>
          <w:rFonts w:ascii="仿宋" w:hAnsi="仿宋" w:eastAsia="仿宋"/>
        </w:rPr>
        <w:br w:type="page"/>
      </w:r>
      <w:r>
        <w:rPr>
          <w:rFonts w:hint="eastAsia"/>
          <w:b/>
          <w:bCs/>
          <w:color w:val="000000"/>
          <w:sz w:val="44"/>
          <w:szCs w:val="44"/>
        </w:rPr>
        <w:t>第二册  通用条款</w:t>
      </w:r>
    </w:p>
    <w:p w14:paraId="2AA59917">
      <w:pPr>
        <w:widowControl w:val="0"/>
        <w:jc w:val="center"/>
        <w:rPr>
          <w:b/>
          <w:bCs/>
          <w:sz w:val="28"/>
          <w:szCs w:val="28"/>
        </w:rPr>
      </w:pPr>
    </w:p>
    <w:p w14:paraId="2DEEDECC">
      <w:pPr>
        <w:pStyle w:val="3"/>
        <w:rPr>
          <w:szCs w:val="28"/>
        </w:rPr>
      </w:pPr>
      <w:r>
        <w:rPr>
          <w:rFonts w:hint="eastAsia" w:ascii="宋体" w:hAnsi="宋体" w:eastAsia="宋体" w:cs="宋体"/>
          <w:szCs w:val="28"/>
        </w:rPr>
        <w:t>第</w:t>
      </w:r>
      <w:r>
        <w:rPr>
          <w:rFonts w:hint="eastAsia"/>
          <w:szCs w:val="28"/>
        </w:rPr>
        <w:t>一章  总则</w:t>
      </w:r>
    </w:p>
    <w:p w14:paraId="3FE610FA">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 通用条款说明</w:t>
      </w:r>
    </w:p>
    <w:p w14:paraId="78260AA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1.1政府采购代理机构发出招标文件通用条款版本，列出深圳市政府采购项目进行招标采购所适用的通用条款内容。如有需要，政府采购代理机构可以对通用条款增加附录或补充内容。</w:t>
      </w:r>
    </w:p>
    <w:p w14:paraId="6672AB1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1.2招标文件分为第一册“专用条款”和第二册“通用条款”。</w:t>
      </w:r>
    </w:p>
    <w:p w14:paraId="581A5AB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1.3“专用条款”是对本次采购项目的具体要求，包含招标公告、对通用条款的补充内容及其他关键信息、用户需求书、投标文件组成要求及格式、合同条款及参考格式等内容。</w:t>
      </w:r>
    </w:p>
    <w:p w14:paraId="0616CB4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1.4“通用条款”是适用于政府采购项目的基础性条款，具有普遍性和通用性。</w:t>
      </w:r>
    </w:p>
    <w:p w14:paraId="3381A130">
      <w:pPr>
        <w:ind w:firstLine="411" w:firstLineChars="196"/>
        <w:rPr>
          <w:rFonts w:hint="eastAsia" w:ascii="宋体" w:hAnsi="宋体" w:eastAsia="宋体" w:cs="宋体"/>
          <w:sz w:val="21"/>
          <w:szCs w:val="21"/>
        </w:rPr>
      </w:pPr>
      <w:r>
        <w:rPr>
          <w:rFonts w:hint="eastAsia" w:ascii="宋体" w:hAnsi="宋体" w:eastAsia="宋体" w:cs="宋体"/>
          <w:sz w:val="21"/>
          <w:szCs w:val="21"/>
        </w:rPr>
        <w:t>1.5“专用条款”和“通用条款”表述不一致或有冲突时，以“专用条款”为准。</w:t>
      </w:r>
    </w:p>
    <w:p w14:paraId="0F1176F9">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2．招标说明</w:t>
      </w:r>
    </w:p>
    <w:p w14:paraId="2C0DDB5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本项目按照《深圳经济特区政府采购条例》 《深圳经济特区政府采购条例实施细则》等规定，并参考有关法规，通过招标方式确定中标供应商。</w:t>
      </w:r>
    </w:p>
    <w:p w14:paraId="2AA46AE1">
      <w:pPr>
        <w:widowControl w:val="0"/>
        <w:spacing w:line="288" w:lineRule="auto"/>
        <w:rPr>
          <w:rFonts w:hint="eastAsia" w:ascii="宋体" w:hAnsi="宋体" w:eastAsia="宋体" w:cs="宋体"/>
          <w:b/>
          <w:bCs/>
          <w:sz w:val="21"/>
          <w:szCs w:val="21"/>
        </w:rPr>
      </w:pPr>
      <w:r>
        <w:rPr>
          <w:rFonts w:hint="eastAsia" w:ascii="宋体" w:hAnsi="宋体" w:eastAsia="宋体" w:cs="宋体"/>
          <w:b/>
          <w:bCs/>
          <w:sz w:val="21"/>
          <w:szCs w:val="21"/>
        </w:rPr>
        <w:t>3．定义</w:t>
      </w:r>
    </w:p>
    <w:p w14:paraId="00A4FE27">
      <w:pPr>
        <w:widowControl w:val="0"/>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招标文件中下列术语应解释为：</w:t>
      </w:r>
    </w:p>
    <w:p w14:paraId="54B6CB6C">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3.1“采购人”或“招标人”：指利用财政性资金依法进行政府采购的国家机关、事业单位、团体组织； </w:t>
      </w:r>
    </w:p>
    <w:p w14:paraId="03A6E35A">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3.2“政府采购代理机构”是依照国家法规设立的，从事对政府采购活动提供服务的专门机构；本文件所述的“政府采购代理机构”指中国远东国际招标有限公司（深圳分公司）；</w:t>
      </w:r>
    </w:p>
    <w:p w14:paraId="346CAEF7">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3.3“投标人”或“投标方”，即供应商，指参加投标竞争并愿意按照招标文件要求向采购人提供货物、工程或者服务的依法成立的法人、其他组织或者自然人；</w:t>
      </w:r>
    </w:p>
    <w:p w14:paraId="48810735">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3.4“评审委员会”是依据《深圳经济特区政府采购条例》《深圳经济特区政府采购条例实施细则》等有关规定组建的专门负责本次招标其评标工作的临时性机构；</w:t>
      </w:r>
    </w:p>
    <w:p w14:paraId="18FE4F0D">
      <w:pPr>
        <w:widowControl w:val="0"/>
        <w:spacing w:line="288" w:lineRule="auto"/>
        <w:ind w:firstLine="411" w:firstLineChars="196"/>
        <w:rPr>
          <w:rFonts w:hint="eastAsia" w:ascii="宋体" w:hAnsi="宋体" w:eastAsia="宋体" w:cs="宋体"/>
          <w:bCs/>
          <w:kern w:val="2"/>
          <w:sz w:val="21"/>
          <w:szCs w:val="21"/>
        </w:rPr>
      </w:pPr>
      <w:r>
        <w:rPr>
          <w:rFonts w:hint="eastAsia" w:ascii="宋体" w:hAnsi="宋体" w:eastAsia="宋体" w:cs="宋体"/>
          <w:sz w:val="21"/>
          <w:szCs w:val="21"/>
        </w:rPr>
        <w:t>3.5</w:t>
      </w:r>
      <w:r>
        <w:rPr>
          <w:rFonts w:hint="eastAsia" w:ascii="宋体" w:hAnsi="宋体" w:eastAsia="宋体" w:cs="宋体"/>
          <w:bCs/>
          <w:kern w:val="2"/>
          <w:sz w:val="21"/>
          <w:szCs w:val="21"/>
        </w:rPr>
        <w:t>“中标候选人”即“候选中标供应商”；</w:t>
      </w:r>
    </w:p>
    <w:p w14:paraId="6F2B748B">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3.6“日期”指公历日；</w:t>
      </w:r>
    </w:p>
    <w:p w14:paraId="7122FBFE">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3.7“合同”指由本次招标所产生的合同或合约文件；</w:t>
      </w:r>
    </w:p>
    <w:p w14:paraId="662A3715">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电子投标文件”指在深圳政府采购智慧平台网站上传并加密后的电子投标文件,适用于网上投标；深圳政府采购智慧平台-投标文件制作专用软件操作手册下载地址：http://zfcg.szggzy.com:8081/cgxy/013001/20211208/5fd5d5c2-bcf4-42d4-aabc-56ad0607f856.html；投标文件制作软件下载地址：http://zfcg.szggzy.com:8081/cgxy/013002/20210923/173e0b2c-7a4c-4246-a0c7-e0ea75d84dd6.html；</w:t>
      </w:r>
    </w:p>
    <w:p w14:paraId="7C900B8C">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3.9“网上投标”指通过深圳政府采购智慧平台网站上传电子投标文件；</w:t>
      </w:r>
    </w:p>
    <w:p w14:paraId="3D1801C8">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3.10招标文件中的标题或题名仅起引导作用，而不应视为对招标文件内容的理解和解释。</w:t>
      </w:r>
    </w:p>
    <w:p w14:paraId="5D091C50">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 政府采购供应商责任</w:t>
      </w:r>
    </w:p>
    <w:p w14:paraId="41900DE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4.1欢迎诚信、有实力和有社会责任心的供应商参与政府采购事业。</w:t>
      </w:r>
    </w:p>
    <w:p w14:paraId="4E72B69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4.2投标人应当遵循公平竞争的原则，不得恶意串通，不得妨碍其他投标人的竞争行为，不得损害采购人或者其他投标人的合法权益。如违反上述要求，经核实后，供应商的投标无效。</w:t>
      </w:r>
    </w:p>
    <w:p w14:paraId="21D32D2D">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5．投标人参加政府采购的条件</w:t>
      </w:r>
    </w:p>
    <w:p w14:paraId="3D78CFE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5.1投标人应在投标前联系深圳政府采购智慧平台工作人员进行注册并办理电子密钥。《</w:t>
      </w:r>
      <w:r>
        <w:fldChar w:fldCharType="begin"/>
      </w:r>
      <w:r>
        <w:instrText xml:space="preserve"> HYPERLINK "http://www.szzfcg.cn/viewer.do?id=2455258" \t "documentViewer2455258" </w:instrText>
      </w:r>
      <w:r>
        <w:fldChar w:fldCharType="separate"/>
      </w:r>
      <w:r>
        <w:rPr>
          <w:rFonts w:hint="eastAsia" w:ascii="宋体" w:hAnsi="宋体" w:eastAsia="宋体" w:cs="宋体"/>
          <w:sz w:val="21"/>
          <w:szCs w:val="21"/>
        </w:rPr>
        <w:t>供应商注册及电子密钥新申请指引</w:t>
      </w:r>
      <w:r>
        <w:rPr>
          <w:rFonts w:hint="eastAsia" w:ascii="宋体" w:hAnsi="宋体" w:eastAsia="宋体" w:cs="宋体"/>
          <w:sz w:val="21"/>
          <w:szCs w:val="21"/>
        </w:rPr>
        <w:fldChar w:fldCharType="end"/>
      </w:r>
      <w:r>
        <w:rPr>
          <w:rFonts w:hint="eastAsia" w:ascii="宋体" w:hAnsi="宋体" w:eastAsia="宋体" w:cs="宋体"/>
          <w:sz w:val="21"/>
          <w:szCs w:val="21"/>
        </w:rPr>
        <w:t>》详见http://zfcg.szggzy.com:8081/。</w:t>
      </w:r>
    </w:p>
    <w:p w14:paraId="5ECD498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5.2投标人的资格要求</w:t>
      </w:r>
    </w:p>
    <w:p w14:paraId="048AB41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参加本项目的投标人应具备的资格条件详见本项目招标公告中 “投标人资格要求（即申请人的资格要求）”的内容。</w:t>
      </w:r>
    </w:p>
    <w:p w14:paraId="582C5782">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5.3联合体投标</w:t>
      </w:r>
    </w:p>
    <w:p w14:paraId="3825FF0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5.3.1　以下有关联合体投标的条款仅适用于允许投标人组成联合体投标的项目。</w:t>
      </w:r>
    </w:p>
    <w:p w14:paraId="24B673F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5.3.2  由两个或两个以上的自然人、法人或者其他组织可以组成一个联合体，以一个供应商的身份共同投标时，应符合以下原则：</w:t>
      </w:r>
    </w:p>
    <w:p w14:paraId="068C515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（1）投标联合体各方参加政府采购活动应当具备下列条件：</w:t>
      </w:r>
    </w:p>
    <w:p w14:paraId="5019DC7C">
      <w:pPr>
        <w:spacing w:line="288" w:lineRule="auto"/>
        <w:ind w:left="480" w:leftChars="200" w:firstLine="411" w:firstLineChars="196"/>
        <w:rPr>
          <w:rFonts w:hint="eastAsia" w:ascii="宋体" w:hAnsi="宋体" w:eastAsia="宋体" w:cs="宋体"/>
          <w:sz w:val="21"/>
          <w:szCs w:val="21"/>
        </w:rPr>
      </w:pPr>
      <w:r>
        <w:rPr>
          <w:rFonts w:hint="eastAsia" w:ascii="宋体" w:hAnsi="宋体" w:eastAsia="宋体" w:cs="宋体"/>
          <w:sz w:val="21"/>
          <w:szCs w:val="21"/>
        </w:rPr>
        <w:t>1、具有独立承担民事责任的能力；</w:t>
      </w:r>
    </w:p>
    <w:p w14:paraId="0B2C6561">
      <w:pPr>
        <w:spacing w:line="288" w:lineRule="auto"/>
        <w:ind w:left="420" w:firstLine="411" w:firstLineChars="196"/>
        <w:rPr>
          <w:rFonts w:hint="eastAsia" w:ascii="宋体" w:hAnsi="宋体" w:eastAsia="宋体" w:cs="宋体"/>
          <w:sz w:val="21"/>
          <w:szCs w:val="21"/>
        </w:rPr>
      </w:pPr>
      <w:r>
        <w:rPr>
          <w:rFonts w:hint="eastAsia" w:ascii="宋体" w:hAnsi="宋体" w:eastAsia="宋体" w:cs="宋体"/>
          <w:sz w:val="21"/>
          <w:szCs w:val="21"/>
        </w:rPr>
        <w:t>2、有良好的商业信誉和健全的财务会计制度；</w:t>
      </w:r>
    </w:p>
    <w:p w14:paraId="4139F608">
      <w:pPr>
        <w:spacing w:line="288" w:lineRule="auto"/>
        <w:ind w:left="480" w:leftChars="200" w:firstLine="411" w:firstLineChars="196"/>
        <w:rPr>
          <w:rFonts w:hint="eastAsia" w:ascii="宋体" w:hAnsi="宋体" w:eastAsia="宋体" w:cs="宋体"/>
          <w:sz w:val="21"/>
          <w:szCs w:val="21"/>
        </w:rPr>
      </w:pPr>
      <w:r>
        <w:rPr>
          <w:rFonts w:hint="eastAsia" w:ascii="宋体" w:hAnsi="宋体" w:eastAsia="宋体" w:cs="宋体"/>
          <w:sz w:val="21"/>
          <w:szCs w:val="21"/>
        </w:rPr>
        <w:t>3、具有履行合同所必需的设备和专业技术能力；</w:t>
      </w:r>
    </w:p>
    <w:p w14:paraId="67A068CC">
      <w:pPr>
        <w:spacing w:line="288" w:lineRule="auto"/>
        <w:ind w:left="480" w:leftChars="200" w:firstLine="411" w:firstLineChars="196"/>
        <w:rPr>
          <w:rFonts w:hint="eastAsia" w:ascii="宋体" w:hAnsi="宋体" w:eastAsia="宋体" w:cs="宋体"/>
          <w:sz w:val="21"/>
          <w:szCs w:val="21"/>
        </w:rPr>
      </w:pPr>
      <w:r>
        <w:rPr>
          <w:rFonts w:hint="eastAsia" w:ascii="宋体" w:hAnsi="宋体" w:eastAsia="宋体" w:cs="宋体"/>
          <w:sz w:val="21"/>
          <w:szCs w:val="21"/>
        </w:rPr>
        <w:t>4、有依法缴纳税收和社会保障资金的良好记录；</w:t>
      </w:r>
    </w:p>
    <w:p w14:paraId="0FE1366D">
      <w:pPr>
        <w:spacing w:line="288" w:lineRule="auto"/>
        <w:ind w:left="480" w:leftChars="200" w:firstLine="411" w:firstLineChars="196"/>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w:t>
      </w:r>
    </w:p>
    <w:p w14:paraId="4DF19EAE">
      <w:pPr>
        <w:spacing w:line="288" w:lineRule="auto"/>
        <w:ind w:left="480" w:leftChars="200" w:firstLine="411" w:firstLineChars="196"/>
        <w:rPr>
          <w:rFonts w:hint="eastAsia" w:ascii="宋体" w:hAnsi="宋体" w:eastAsia="宋体" w:cs="宋体"/>
          <w:sz w:val="21"/>
          <w:szCs w:val="21"/>
        </w:rPr>
      </w:pPr>
      <w:r>
        <w:rPr>
          <w:rFonts w:hint="eastAsia" w:ascii="宋体" w:hAnsi="宋体" w:eastAsia="宋体" w:cs="宋体"/>
          <w:sz w:val="21"/>
          <w:szCs w:val="21"/>
        </w:rPr>
        <w:t>6、法律、行政法规规定的其他条件。</w:t>
      </w:r>
    </w:p>
    <w:p w14:paraId="4961640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（2）投标联合体各方必须先行注册成政府采购供应商。在投标响应前，投标联合体各方均应注册成政府采购供应商；</w:t>
      </w:r>
    </w:p>
    <w:p w14:paraId="38486E0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（3）联合体中有同类资质的供应商按照联合体分工承担相同工作的，应当按照资质等级较低的供应商确定资质等级；</w:t>
      </w:r>
    </w:p>
    <w:p w14:paraId="4DB2404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（4）是否允许联合体参加投标，应当由采购人和政府采购代理机构根据项目的实际情况和潜在供应商的数量自主决定，如果决定接受联合体投标则应当在采购公告中明示；</w:t>
      </w:r>
    </w:p>
    <w:p w14:paraId="4A5820E2">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（5）投标人的投标文件及中标后签署的合同协议对联合体各方均具法律约束力；</w:t>
      </w:r>
    </w:p>
    <w:p w14:paraId="31F2501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（6）联合体各方应当签订共同投标协议，明确约定各方拟承担的工作和责任，并将该共同投标协议随投标文件一并递交给政府采购代理机构；</w:t>
      </w:r>
    </w:p>
    <w:p w14:paraId="37F6B7C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（7）联合体中标后，联合体各方应当共同与采购人签订合同，就中标项目向采购人承担连带责任；</w:t>
      </w:r>
    </w:p>
    <w:p w14:paraId="0EF6179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11F3560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（9）本通用条款中“投标人”一词亦指联合体各方，专用条款另有规定或说明的除外。</w:t>
      </w:r>
    </w:p>
    <w:p w14:paraId="3F37BBB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5.3.3  不符合上述要求的投标，将被视为无效投标被拒绝。</w:t>
      </w:r>
    </w:p>
    <w:p w14:paraId="5828E9F1">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6．政策导向</w:t>
      </w:r>
    </w:p>
    <w:p w14:paraId="34A39E9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6.1政府采购扶持贫困地区、中小企业、监狱企业和残疾人福利性单位发展，支持节能减排、环境保护。</w:t>
      </w:r>
    </w:p>
    <w:p w14:paraId="0406D641">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6.2本项目落实深圳市政府采购供应商诚信管理政策要求。</w:t>
      </w:r>
    </w:p>
    <w:p w14:paraId="15562A39">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7. 本项目若涉及采购货物，则合格的货物及相应服务应满足以下要求：</w:t>
      </w:r>
    </w:p>
    <w:p w14:paraId="259E7F6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7.1  必须是全新、未使用过的原装合格正品（包括零部件），如安装或配置了软件的，须为正版软件。</w:t>
      </w:r>
    </w:p>
    <w:p w14:paraId="4C8B9E0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7.2  国产的货物及其有关服务必须符合中华人民共和国的设计、制造生产标准及行业标准。招标公告有其他要求的，亦应符合其要求。</w:t>
      </w:r>
    </w:p>
    <w:p w14:paraId="233AC1D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7.3进口货物及其有关服务必须符合原产地和中华人民共和国的设计、制造生产标准及行业标准。进口的货物必须具有合法的进口手续和途径，并通过中华人民共和国商检部门检验。采购公告有其他要求的，亦应符合其要求。</w:t>
      </w:r>
    </w:p>
    <w:p w14:paraId="202C527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7.4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F65746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522E877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7.6  对工期的要求：投标人在投标时对其所投项目应提交交货进度、交货计划等，在合同规定的时间完成项目实施工作。</w:t>
      </w:r>
    </w:p>
    <w:p w14:paraId="5E0F3B4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7.7  投标人必须承担的设备运输、安装调试、验收检测和提供设备操作说明书、图纸等其他相关及类似的义务。</w:t>
      </w:r>
    </w:p>
    <w:p w14:paraId="09627109">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8．投标费用</w:t>
      </w:r>
    </w:p>
    <w:p w14:paraId="20971002">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不论投标结果如何，投标人应承担其编制投标文件与递交投标文件所涉及的一切费用。</w:t>
      </w:r>
    </w:p>
    <w:p w14:paraId="5E4DD6DF">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9．踏勘现场</w:t>
      </w:r>
    </w:p>
    <w:p w14:paraId="6B39010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9.1如有需要（详见专用条款），采购人或政府采购代理机构将组织投标人对项目现场及周围环境进行踏勘，以便投标人获取有关编制投标文件和签署合同所需的资料。踏勘现场所发生的费用由投标人自行承担。投标人应按招标公告所约定的时间、地点踏勘现场。</w:t>
      </w:r>
    </w:p>
    <w:p w14:paraId="04EA39F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9.2投标人及其人员经过采购人的允许，可以进入采购人的项目现场踏勘。若招标文件要求投标人于统一时间地点踏勘现场的，投标人应当按时前往。</w:t>
      </w:r>
    </w:p>
    <w:p w14:paraId="28BECED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9.3采购人必须通过政府采购代理机构向投标人提供有关现场的资料和数据。</w:t>
      </w:r>
    </w:p>
    <w:p w14:paraId="3B10D4B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9.4任何人或任何组织在踏勘现场时向投标人提交的任何书面资料或口头承诺，未经政府采购代理机构在网上发布或书面通知，均作无效处理。</w:t>
      </w:r>
    </w:p>
    <w:p w14:paraId="0FBDFB9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9.5未参与踏勘现场不作为否定投标人资格的理由。</w:t>
      </w:r>
    </w:p>
    <w:p w14:paraId="066A0B7B">
      <w:pPr>
        <w:tabs>
          <w:tab w:val="left" w:pos="426"/>
        </w:tabs>
        <w:spacing w:line="288" w:lineRule="auto"/>
        <w:rPr>
          <w:rFonts w:hint="eastAsia" w:ascii="宋体" w:hAnsi="宋体" w:eastAsia="宋体" w:cs="宋体"/>
          <w:b/>
          <w:bCs/>
          <w:sz w:val="21"/>
          <w:szCs w:val="21"/>
        </w:rPr>
      </w:pPr>
      <w:r>
        <w:rPr>
          <w:rFonts w:hint="eastAsia" w:ascii="宋体" w:hAnsi="宋体" w:eastAsia="宋体" w:cs="宋体"/>
          <w:b/>
          <w:bCs/>
          <w:sz w:val="21"/>
          <w:szCs w:val="21"/>
        </w:rPr>
        <w:t>10．招标采购的询问、质疑、投诉。</w:t>
      </w:r>
    </w:p>
    <w:p w14:paraId="2D471A91">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10.1询问与澄清：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202*年*月*日*时*分（具体时间详见“深圳公共资源交易网”招标（采购）公告）前将采购文件澄清/修改情况在“【我的项目】→【项目流程】→【答疑澄清文件下载】”中公布，望投标人予以关注。</w:t>
      </w:r>
    </w:p>
    <w:p w14:paraId="1BD2FEF3">
      <w:pPr>
        <w:pStyle w:val="23"/>
        <w:spacing w:before="0" w:beforeAutospacing="0" w:after="0" w:afterAutospacing="0"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10.2质疑：供应商如认为采购文件存在限制性、倾向性、其权益受到损害，应在采购文件公布之日起七个工作日内以书面形式提出质疑。请质疑供应商根据深圳公共资源交易网站（https://www.szggzy.com/globalSearch/details.html?contentId=1211037）所发布的质疑指引、质疑函模板填写质疑函并提交质疑材料。质疑材料可以采用现场或邮寄方式提交，采用邮寄方式提交的，交邮时间应在本公告发布之日起七个工作日内。现场提交、邮寄地址：深圳市福田区上步南路1001号锦峰大厦24楼。根据《深圳经济特区政府采购条例》第四十二条“供应商投诉的事项应当是经过质疑的事项”的规定，未经正式质疑的，将影响供应商行使向财政部门提起投诉的权利。 </w:t>
      </w:r>
    </w:p>
    <w:p w14:paraId="088B74B1">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参与供应商应在在法定质疑期内一次性提出针对同一采购程序环节的质疑。参与供应商提出质疑应当提交质疑函和必要的证明材料。质疑函应当包括下列内容：</w:t>
      </w:r>
    </w:p>
    <w:p w14:paraId="6908578E">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（一）供应商的姓名或者名称、地址、邮编、联系人及联系电话；</w:t>
      </w:r>
    </w:p>
    <w:p w14:paraId="0013D7B4">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（二）质疑项目的名称、编号；</w:t>
      </w:r>
    </w:p>
    <w:p w14:paraId="1446C433">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（三）具体、明确的质疑事项和与质疑事项相关的请求；</w:t>
      </w:r>
    </w:p>
    <w:p w14:paraId="79E187A8">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（四）事实依据；</w:t>
      </w:r>
    </w:p>
    <w:p w14:paraId="5C1E2931">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（五）必要的法律依据；</w:t>
      </w:r>
    </w:p>
    <w:p w14:paraId="0C1F197E">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（六）提出质疑的日期。</w:t>
      </w:r>
    </w:p>
    <w:p w14:paraId="20219E56">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供应商为自然人的，应当由本人签字；供应商为法人或者其他组织的，应当由法定代表人、主要负责人，或者其授权代表签字或者盖章，并加盖公章。</w:t>
      </w:r>
    </w:p>
    <w:p w14:paraId="44C41F7C">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质疑函现场提交、邮寄地址：深圳市福田区上步南路1001号锦峰大厦24楼。</w:t>
      </w:r>
    </w:p>
    <w:p w14:paraId="32F8B482">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10.3政府采购代理机构对疑问所做出的澄清和解答，以书面答复（包括网站发布信息）为准。答疑纪要的有效性规定按照本通用条款第13.3、13.4款规定执行。</w:t>
      </w:r>
    </w:p>
    <w:p w14:paraId="0A31BE9D">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10.4如政府采购代理机构认为有必要组织现场答疑会，投标人应按照招标文件规定的时间或政府采购代理机构另行书面通知（包括网站发布的通知）的时间和地点，参与现场答疑会。</w:t>
      </w:r>
    </w:p>
    <w:p w14:paraId="316A4947">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10.5投诉</w:t>
      </w:r>
    </w:p>
    <w:p w14:paraId="558A042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质疑供应商对采购人、采购代理机构的答复不满意，或者采购人、采购代理机构未在规定时间内作出答复的，可以在答复期满后15个工作日内向法规规定的资金预算监管部门（财政部门）提起投诉。</w:t>
      </w:r>
    </w:p>
    <w:p w14:paraId="2ACD4FF0">
      <w:pPr>
        <w:pStyle w:val="3"/>
        <w:rPr>
          <w:szCs w:val="28"/>
        </w:rPr>
      </w:pPr>
      <w:r>
        <w:rPr>
          <w:rFonts w:hint="eastAsia" w:ascii="宋体" w:hAnsi="宋体" w:eastAsia="宋体" w:cs="宋体"/>
          <w:szCs w:val="28"/>
        </w:rPr>
        <w:t>第</w:t>
      </w:r>
      <w:r>
        <w:rPr>
          <w:rFonts w:hint="eastAsia"/>
          <w:szCs w:val="28"/>
        </w:rPr>
        <w:t>二章  招标文件</w:t>
      </w:r>
    </w:p>
    <w:p w14:paraId="21807DE2">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11．招标文件的编制与组成</w:t>
      </w:r>
    </w:p>
    <w:p w14:paraId="596A1CD1">
      <w:pPr>
        <w:snapToGrid w:val="0"/>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11.1招标文件除以下内容外，政府采购代理机构在招标期间发出的答疑、澄清或修改等相关公告或通知内容，均是招标文件的组成部分，对投标人起约束作用；</w:t>
      </w:r>
    </w:p>
    <w:p w14:paraId="56E0765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招标文件包括下列内容：</w:t>
      </w:r>
    </w:p>
    <w:p w14:paraId="7C28971B">
      <w:pPr>
        <w:spacing w:line="288" w:lineRule="auto"/>
        <w:ind w:left="480" w:leftChars="200" w:firstLine="413" w:firstLineChars="196"/>
        <w:rPr>
          <w:rFonts w:hint="eastAsia" w:ascii="宋体" w:hAnsi="宋体" w:eastAsia="宋体" w:cs="宋体"/>
          <w:b/>
          <w:sz w:val="21"/>
          <w:szCs w:val="21"/>
        </w:rPr>
      </w:pPr>
      <w:r>
        <w:rPr>
          <w:rFonts w:hint="eastAsia" w:ascii="宋体" w:hAnsi="宋体" w:eastAsia="宋体" w:cs="宋体"/>
          <w:b/>
          <w:sz w:val="21"/>
          <w:szCs w:val="21"/>
        </w:rPr>
        <w:t>第一册  专用条款</w:t>
      </w:r>
      <w:r>
        <w:rPr>
          <w:rFonts w:hint="eastAsia" w:ascii="宋体" w:hAnsi="宋体" w:eastAsia="宋体" w:cs="宋体"/>
          <w:b/>
          <w:bCs/>
          <w:sz w:val="21"/>
          <w:szCs w:val="21"/>
        </w:rPr>
        <w:t>（以本项目的排序为准）</w:t>
      </w:r>
    </w:p>
    <w:p w14:paraId="3C39ED28">
      <w:pPr>
        <w:spacing w:line="288" w:lineRule="auto"/>
        <w:ind w:left="480" w:leftChars="200" w:firstLine="413" w:firstLineChars="196"/>
        <w:rPr>
          <w:rFonts w:hint="eastAsia" w:ascii="宋体" w:hAnsi="宋体" w:eastAsia="宋体" w:cs="宋体"/>
          <w:b/>
          <w:sz w:val="21"/>
          <w:szCs w:val="21"/>
        </w:rPr>
      </w:pPr>
      <w:r>
        <w:rPr>
          <w:rFonts w:hint="eastAsia" w:ascii="宋体" w:hAnsi="宋体" w:eastAsia="宋体" w:cs="宋体"/>
          <w:b/>
          <w:sz w:val="21"/>
          <w:szCs w:val="21"/>
        </w:rPr>
        <w:t>关键信息</w:t>
      </w:r>
    </w:p>
    <w:p w14:paraId="154BE53C">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第一章  招标公告</w:t>
      </w:r>
    </w:p>
    <w:p w14:paraId="1BA5F023">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第二章  对通用条款的补充内容及其他关键信息</w:t>
      </w:r>
    </w:p>
    <w:p w14:paraId="47FA312D">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第三章  用户需求书</w:t>
      </w:r>
    </w:p>
    <w:p w14:paraId="643D699B">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第四章  投标文件组成要求及格式</w:t>
      </w:r>
    </w:p>
    <w:p w14:paraId="23094C7B">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第五章  合同条款及参考格式</w:t>
      </w:r>
    </w:p>
    <w:p w14:paraId="36C7D71D">
      <w:pPr>
        <w:spacing w:line="288" w:lineRule="auto"/>
        <w:ind w:left="480" w:leftChars="200" w:firstLine="413" w:firstLineChars="196"/>
        <w:rPr>
          <w:rFonts w:hint="eastAsia" w:ascii="宋体" w:hAnsi="宋体" w:eastAsia="宋体" w:cs="宋体"/>
          <w:b/>
          <w:sz w:val="21"/>
          <w:szCs w:val="21"/>
        </w:rPr>
      </w:pPr>
    </w:p>
    <w:p w14:paraId="2B943181">
      <w:pPr>
        <w:spacing w:line="288" w:lineRule="auto"/>
        <w:ind w:left="480" w:leftChars="200" w:firstLine="413" w:firstLineChars="196"/>
        <w:rPr>
          <w:rFonts w:hint="eastAsia" w:ascii="宋体" w:hAnsi="宋体" w:eastAsia="宋体" w:cs="宋体"/>
          <w:b/>
          <w:sz w:val="21"/>
          <w:szCs w:val="21"/>
        </w:rPr>
      </w:pPr>
      <w:r>
        <w:rPr>
          <w:rFonts w:hint="eastAsia" w:ascii="宋体" w:hAnsi="宋体" w:eastAsia="宋体" w:cs="宋体"/>
          <w:b/>
          <w:sz w:val="21"/>
          <w:szCs w:val="21"/>
        </w:rPr>
        <w:t>第二册  通用条款</w:t>
      </w:r>
    </w:p>
    <w:p w14:paraId="6F3BDDA7">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第一章  总则</w:t>
      </w:r>
    </w:p>
    <w:p w14:paraId="66B34DEC">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第二章  招标文件</w:t>
      </w:r>
    </w:p>
    <w:p w14:paraId="07C13320">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第三章  投标文件的编制</w:t>
      </w:r>
    </w:p>
    <w:p w14:paraId="19D304AE">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第四章  投标文件的递交</w:t>
      </w:r>
    </w:p>
    <w:p w14:paraId="4F674793">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第五章  开标</w:t>
      </w:r>
    </w:p>
    <w:p w14:paraId="4831AD5D">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第六章  评标要求</w:t>
      </w:r>
    </w:p>
    <w:p w14:paraId="34D4B642">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第七章  评标程序及评标方法</w:t>
      </w:r>
    </w:p>
    <w:p w14:paraId="5F60C3E9">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第八章  定标及公示</w:t>
      </w:r>
    </w:p>
    <w:p w14:paraId="1E48BBDB">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第九章  公开招标失败的后续处理</w:t>
      </w:r>
    </w:p>
    <w:p w14:paraId="675B7DD9">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第十章  合同的授予与备案</w:t>
      </w:r>
    </w:p>
    <w:p w14:paraId="3BF7DE00">
      <w:pPr>
        <w:spacing w:line="288" w:lineRule="auto"/>
        <w:ind w:left="720" w:leftChars="300" w:firstLine="411" w:firstLineChars="196"/>
        <w:rPr>
          <w:rFonts w:hint="eastAsia" w:ascii="宋体" w:hAnsi="宋体" w:eastAsia="宋体" w:cs="宋体"/>
          <w:sz w:val="21"/>
          <w:szCs w:val="21"/>
        </w:rPr>
      </w:pPr>
      <w:r>
        <w:rPr>
          <w:rFonts w:hint="eastAsia" w:ascii="宋体" w:hAnsi="宋体" w:eastAsia="宋体" w:cs="宋体"/>
          <w:sz w:val="21"/>
          <w:szCs w:val="21"/>
        </w:rPr>
        <w:t>第十一章  质疑处理</w:t>
      </w:r>
    </w:p>
    <w:p w14:paraId="2F0C7C9E">
      <w:pPr>
        <w:autoSpaceDE w:val="0"/>
        <w:autoSpaceDN w:val="0"/>
        <w:adjustRightInd w:val="0"/>
        <w:spacing w:line="288" w:lineRule="auto"/>
        <w:ind w:firstLine="1050" w:firstLineChars="500"/>
        <w:rPr>
          <w:rFonts w:hint="eastAsia" w:ascii="宋体" w:hAnsi="宋体" w:eastAsia="宋体" w:cs="宋体"/>
          <w:sz w:val="21"/>
          <w:szCs w:val="21"/>
        </w:rPr>
      </w:pPr>
      <w:r>
        <w:rPr>
          <w:rFonts w:hint="eastAsia" w:ascii="宋体" w:hAnsi="宋体" w:eastAsia="宋体" w:cs="宋体"/>
          <w:sz w:val="21"/>
          <w:szCs w:val="21"/>
        </w:rPr>
        <w:t>第十二章  附录（相关政策）</w:t>
      </w:r>
    </w:p>
    <w:p w14:paraId="0D15925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11.2 投标人下载招标文件后，应仔细检查招标文件的所有内容，如有疑问应在答疑截止时间之前向政府采购代理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0F9BDE6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11.3任何人或任何组织向投标人提交的任何书面或口头资料，未经政府采购代理机构在网上发布或书面通知，均作无效处理，不得作为招标文件的组成部分。政府采购代理机构对投标人由此而做出的推论、理解和结论概不负责。</w:t>
      </w:r>
    </w:p>
    <w:p w14:paraId="69AF3A14">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12．招标文件的澄清</w:t>
      </w:r>
    </w:p>
    <w:p w14:paraId="0254015D">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12.1投标人如对招标文件内容有疑问，必须在招标文件规定的答疑截止时间前以网上提问形式提交给政府采购代理机构。不论是政府采购代理机构根据需要主动对招标文件进行必要的澄清或是根据投标人的要求对招标文件做出澄清，政府采购代理机构都将在投标截止日期前以书面形式（包括政府采购代理机构网站公开发布方式）答复或发送给所有投标人。澄清纪要作为招标文件的组成部分，对投标人起约束作用；</w:t>
      </w:r>
    </w:p>
    <w:p w14:paraId="6BC4F611">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12.2对于没有提出澄清又参与了该项目投标的供应商将被视为完全认同该招标文件（含澄清纪要），投标截止期后不再受理针对招标文件的相关质疑或投诉。</w:t>
      </w:r>
    </w:p>
    <w:p w14:paraId="7E20ED99">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12.3 对招标文件中描述有歧意或前后不一致的地方，评审委员会有权进行评判，但对同一条款的评判应适用于每个投标人。</w:t>
      </w:r>
    </w:p>
    <w:p w14:paraId="50480E6D">
      <w:pPr>
        <w:widowControl w:val="0"/>
        <w:spacing w:line="288" w:lineRule="auto"/>
        <w:rPr>
          <w:rFonts w:hint="eastAsia" w:ascii="宋体" w:hAnsi="宋体" w:eastAsia="宋体" w:cs="宋体"/>
          <w:b/>
          <w:bCs/>
          <w:sz w:val="21"/>
          <w:szCs w:val="21"/>
        </w:rPr>
      </w:pPr>
      <w:r>
        <w:rPr>
          <w:rFonts w:hint="eastAsia" w:ascii="宋体" w:hAnsi="宋体" w:eastAsia="宋体" w:cs="宋体"/>
          <w:b/>
          <w:bCs/>
          <w:sz w:val="21"/>
          <w:szCs w:val="21"/>
        </w:rPr>
        <w:t>13．招标文件的修改</w:t>
      </w:r>
    </w:p>
    <w:p w14:paraId="775E5192">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13.1招标文件发出后，在投标截止日期前任何时候，确需要变更招标内容的，政府采购代理机构可主动或在解答投标人提出的澄清问题时对招标文件进行修改；</w:t>
      </w:r>
    </w:p>
    <w:p w14:paraId="786C5668">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13.2招标文件的修改以书面形式（包括网站公开发布方式）发送给所有投标人，招标文件的修改内容作为招标文件的组成部分，并具有约束力。任何有关澄清、变更或者修改等一经在原公告媒体上发布即视为已送达。</w:t>
      </w:r>
    </w:p>
    <w:p w14:paraId="6F3BC419">
      <w:pPr>
        <w:widowControl w:val="0"/>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13.3招标文件、招标文件澄清（答疑）纪要、招标文件修改补充通知内容均以书面（包括网站公开发布方式）明确的内容为准。当招标文件、修改补充通知、澄清（答疑）纪要内容相互矛盾时，以最后发出的内容为准；</w:t>
      </w:r>
    </w:p>
    <w:p w14:paraId="62DED7B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13.4政府采购代理机构保证招标文件澄清（答疑）纪要和招标文件修改补充通知在投标截止时间前以网站公开发布形式或书面形式发送给所有投标人。为使投标人在编写投标文件时有充分时间对招标文件的修改部分进行研究，政府采购代理机构可以酌情延长递交投标文件的截止日期，具体时间将在修改补充通知中明确。</w:t>
      </w:r>
    </w:p>
    <w:p w14:paraId="1A0638DC">
      <w:pPr>
        <w:pStyle w:val="3"/>
        <w:rPr>
          <w:szCs w:val="28"/>
        </w:rPr>
      </w:pPr>
      <w:r>
        <w:rPr>
          <w:rFonts w:hint="eastAsia" w:ascii="宋体" w:hAnsi="宋体" w:eastAsia="宋体" w:cs="宋体"/>
          <w:szCs w:val="28"/>
        </w:rPr>
        <w:t>第</w:t>
      </w:r>
      <w:r>
        <w:rPr>
          <w:rFonts w:hint="eastAsia"/>
          <w:szCs w:val="28"/>
        </w:rPr>
        <w:t>三章  投标文件的编制</w:t>
      </w:r>
    </w:p>
    <w:p w14:paraId="7BC01E4B">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14．投标文件的编制、语言及度量单位</w:t>
      </w:r>
    </w:p>
    <w:p w14:paraId="1457234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14.1 投标人应在认真阅读招标文件所有内容的基础上，按照招标文件的要求编制完整的投标文件。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p w14:paraId="6DF204C8">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14.2投标人必须保证投标文件所提供的全部信息和资料是真实的和正确的，并接受评标委员会对其中任何资料进一步审查的要求。投标人投标文件所提供的有关证明文件，包括但不限于营业执照、机构登记证、经营许可证、生产许可证、产品注册证、第三方检测报告、质量体系证书、荣誉证书、奖励奖项等，都必须是国家机关签发、或在中国合法登记设立并有权颁发相关证明文件的机构签发。</w:t>
      </w:r>
    </w:p>
    <w:p w14:paraId="78AE554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14.3  投标文件须对招标文件中的内容做出实质性和完整的响应，否则其投标将被视为无效标被拒绝。</w:t>
      </w:r>
    </w:p>
    <w:p w14:paraId="53098E5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14.4  投标文件的编制可在招标文件提供的格式基础上扩展加页。需投标人自行编写的投标内容，投标人应采用简洁、清晰的文件格式。投标文件编制格式其它特殊要求详见</w:t>
      </w:r>
      <w:r>
        <w:rPr>
          <w:rFonts w:hint="eastAsia" w:ascii="宋体" w:hAnsi="宋体" w:eastAsia="宋体" w:cs="宋体"/>
          <w:b/>
          <w:bCs/>
          <w:sz w:val="21"/>
          <w:szCs w:val="21"/>
        </w:rPr>
        <w:t>本须知前附表</w:t>
      </w:r>
      <w:r>
        <w:rPr>
          <w:rFonts w:hint="eastAsia" w:ascii="宋体" w:hAnsi="宋体" w:eastAsia="宋体" w:cs="宋体"/>
          <w:sz w:val="21"/>
          <w:szCs w:val="21"/>
        </w:rPr>
        <w:t>。</w:t>
      </w:r>
    </w:p>
    <w:p w14:paraId="30A6262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14.5 投标人在投标文件中提供的有关证明文件（如营业执照、经营许可证、生产许可证、产品注册证、第三方检测报告、质量体系证书、产品说明书和样本等）等应为原件的复印件或者清晰的扫描件。</w:t>
      </w:r>
    </w:p>
    <w:p w14:paraId="71116BE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14.6 投标人与政府采购代理机构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14:paraId="44651AF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14.7 除技术规范另有规定外，投标文件使用的度量单位，均采用中华人民共和国法定计量单位。</w:t>
      </w:r>
    </w:p>
    <w:p w14:paraId="75C8496C">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15．投标文件的组成</w:t>
      </w:r>
    </w:p>
    <w:p w14:paraId="1FB5B051">
      <w:pPr>
        <w:spacing w:line="288" w:lineRule="auto"/>
        <w:ind w:firstLine="413" w:firstLineChars="196"/>
        <w:rPr>
          <w:rFonts w:hint="eastAsia" w:ascii="宋体" w:hAnsi="宋体" w:eastAsia="宋体" w:cs="宋体"/>
          <w:b/>
          <w:sz w:val="21"/>
          <w:szCs w:val="21"/>
        </w:rPr>
      </w:pPr>
      <w:r>
        <w:rPr>
          <w:rFonts w:hint="eastAsia" w:ascii="宋体" w:hAnsi="宋体" w:eastAsia="宋体" w:cs="宋体"/>
          <w:b/>
          <w:sz w:val="21"/>
          <w:szCs w:val="21"/>
        </w:rPr>
        <w:t>具体内容请详见本项目</w:t>
      </w:r>
      <w:r>
        <w:rPr>
          <w:rFonts w:hint="eastAsia" w:ascii="宋体" w:hAnsi="宋体" w:eastAsia="宋体" w:cs="宋体"/>
          <w:b/>
          <w:bCs/>
          <w:sz w:val="21"/>
          <w:szCs w:val="21"/>
        </w:rPr>
        <w:t>招标文件第一册“专用条款”</w:t>
      </w:r>
      <w:r>
        <w:rPr>
          <w:rFonts w:hint="eastAsia" w:ascii="宋体" w:hAnsi="宋体" w:eastAsia="宋体" w:cs="宋体"/>
          <w:b/>
          <w:sz w:val="21"/>
          <w:szCs w:val="21"/>
        </w:rPr>
        <w:t>的相关内容。</w:t>
      </w:r>
    </w:p>
    <w:p w14:paraId="1839E57A">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16．投标文件格式</w:t>
      </w:r>
    </w:p>
    <w:p w14:paraId="002528D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投标文件包括本通用条款第15条中规定的内容。如招标文件提供了投标文件格式，则</w:t>
      </w:r>
      <w:r>
        <w:rPr>
          <w:rFonts w:hint="eastAsia" w:ascii="宋体" w:hAnsi="宋体" w:eastAsia="宋体" w:cs="宋体"/>
          <w:b/>
          <w:bCs/>
          <w:sz w:val="21"/>
          <w:szCs w:val="21"/>
        </w:rPr>
        <w:t>投标人提交的投标文件应毫无例外地使用招标文件所提供的相应格式</w:t>
      </w:r>
      <w:r>
        <w:rPr>
          <w:rFonts w:hint="eastAsia" w:ascii="宋体" w:hAnsi="宋体" w:eastAsia="宋体" w:cs="宋体"/>
          <w:sz w:val="21"/>
          <w:szCs w:val="21"/>
        </w:rPr>
        <w:t>（表格可以按同样格式扩展）。</w:t>
      </w:r>
    </w:p>
    <w:p w14:paraId="2C9C06A3">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17．投标货币</w:t>
      </w:r>
    </w:p>
    <w:p w14:paraId="78B768D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本项目的投标应以人民币计。</w:t>
      </w:r>
    </w:p>
    <w:p w14:paraId="2F3DEF3A">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18．证明投标文件投标技术方案的合格性和符合招标文件规定的文件要求</w:t>
      </w:r>
    </w:p>
    <w:p w14:paraId="760F45E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18.1 投标人应提交证明文件，证明其投标技术方案项下的货物、工程和服务的合格性符合招标文件规定。该投标技术方案及其证明文件作为投标文件的一部分。</w:t>
      </w:r>
    </w:p>
    <w:p w14:paraId="42FAAEB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18.2 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260CF0F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18.2.1主要技术指标和性能的详细说明。</w:t>
      </w:r>
    </w:p>
    <w:p w14:paraId="5984980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18.2.2投标产品从采购人开始使用至招标文件中规定的周期内正常、连续地使用所必须的备件和专用工具清单，包括备件和专用工具的货源及现行价格。</w:t>
      </w:r>
    </w:p>
    <w:p w14:paraId="4EC8569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18.2.3对照招标文件技术规格，逐条说明投标技术方案已对采购人的技术规格做出了实质性的响应，或申明与技术规格条文的偏差和例外。投标人应详细说明投标技术方案中产品的具体参数，不得不合理的照搬照抄招标文件的技术要求。</w:t>
      </w:r>
    </w:p>
    <w:p w14:paraId="76B0000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清晰度要求能够使用电脑阅读、识别和判断。</w:t>
      </w:r>
    </w:p>
    <w:p w14:paraId="58FF014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18.2.5我国政府机构出具的产品检验和核准证件应为证件正面、背面和附件标注的全部具体内容；产品检验和核准证件的尺寸和清晰度应该能够在电脑上被阅读、识别和判断，提供原件扫描件。</w:t>
      </w:r>
    </w:p>
    <w:p w14:paraId="49E2270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18.3相关资料不符合18.2款要求的，评审委员会有权认定为投标技术方案不合格响应，其相关分数予以扣减或作投标无效处理。</w:t>
      </w:r>
    </w:p>
    <w:p w14:paraId="03FF8CD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满足要求，由评审委员会来评判。</w:t>
      </w:r>
    </w:p>
    <w:p w14:paraId="7DCAB30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18.5为保证公平公正，除非另有规定或说明，投标人对同一项目投标时，不得同时提供两套或两套以上的投标方案。</w:t>
      </w:r>
    </w:p>
    <w:p w14:paraId="6443D43C">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19．投标文件其他证明文件的要求</w:t>
      </w:r>
    </w:p>
    <w:p w14:paraId="1931EBD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19.1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或有意涂改遮挡的，评审委员会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审查或符合性审查条款的，则应作投标无效处理；若涉及评分的，则作不得分处理。投标资料异常核查范围为：质疑函、被质疑供应商投标文件资料、被质疑供应商答辩说明、被质疑资料原件、被质疑资料相应官方查询渠道查询到的信息等。以下情形可由评审委员会判定投标资料无效：</w:t>
      </w:r>
    </w:p>
    <w:p w14:paraId="2B30B1F4">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（1）被质疑供应商未能在合理时间内提供资料原件核对，且不能合理说明的；</w:t>
      </w:r>
    </w:p>
    <w:p w14:paraId="0627AF3E">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（2）被质疑供应商提供的资料原件与投标文件资料不一致的；</w:t>
      </w:r>
    </w:p>
    <w:p w14:paraId="3B7A8995">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（3）被质疑供应商投标文件资料信息与在相应官方查询渠道查询到的信息不一致，且不能合理说明的。</w:t>
      </w:r>
    </w:p>
    <w:p w14:paraId="66FCEB7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19.2本项目涉及提供的有关资质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在未获批准之前，仍按原级别资质投标。</w:t>
      </w:r>
    </w:p>
    <w:p w14:paraId="0FE272B4">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20．投标有效期</w:t>
      </w:r>
    </w:p>
    <w:p w14:paraId="7D570C8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20.1 投标有效期为从投标截止之日算起的日历天数，具体见</w:t>
      </w:r>
      <w:r>
        <w:rPr>
          <w:rFonts w:hint="eastAsia" w:ascii="宋体" w:hAnsi="宋体" w:eastAsia="宋体" w:cs="宋体"/>
          <w:b/>
          <w:bCs/>
          <w:sz w:val="21"/>
          <w:szCs w:val="21"/>
        </w:rPr>
        <w:t>专用条款</w:t>
      </w:r>
      <w:r>
        <w:rPr>
          <w:rFonts w:hint="eastAsia" w:ascii="宋体" w:hAnsi="宋体" w:eastAsia="宋体" w:cs="宋体"/>
          <w:sz w:val="21"/>
          <w:szCs w:val="21"/>
        </w:rPr>
        <w:t>中投标有效期的天数要求。在此期限内，所有投标文件均保持有效；</w:t>
      </w:r>
    </w:p>
    <w:p w14:paraId="0F88662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20.2 在特殊的情况下，政府采购代理机构在原定的投标有效期满之前，政府采购代理机构可以根据需要以书面形式（包括网站公开发布方式）向投标人提出延长投标有效期的要求，对此要求投标人须以书面形式予以答复，投标人可以拒绝政府采购代理机构此项要求，其投标在原投标有效期满后不再有效。同意延长投标有效期的投标人不能要求也不允许修改其投标文件，但应当相应的延长投标担保有效期；</w:t>
      </w:r>
    </w:p>
    <w:p w14:paraId="7EC4524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20.3 中标供应商的投标文件有效期，截止于完成本招标文件规定的全部项目内容，并通过竣工验收及保修结束。</w:t>
      </w:r>
    </w:p>
    <w:p w14:paraId="4C94E1F4">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 xml:space="preserve">21．关于投标保证金 </w:t>
      </w:r>
    </w:p>
    <w:p w14:paraId="06AD332C">
      <w:pPr>
        <w:spacing w:line="288" w:lineRule="auto"/>
        <w:ind w:firstLine="420"/>
        <w:rPr>
          <w:rFonts w:hint="eastAsia" w:ascii="宋体" w:hAnsi="宋体" w:eastAsia="宋体" w:cs="宋体"/>
          <w:sz w:val="21"/>
          <w:szCs w:val="21"/>
        </w:rPr>
      </w:pPr>
      <w:r>
        <w:rPr>
          <w:rFonts w:hint="eastAsia" w:ascii="宋体" w:hAnsi="宋体" w:eastAsia="宋体" w:cs="宋体"/>
          <w:sz w:val="21"/>
          <w:szCs w:val="21"/>
        </w:rPr>
        <w:t>21.1 根据《深圳市财政局关于明确政府采购保证金管理工作的通知》（深财购[2019]42号）文的规定，本项目不收取投标保证金。</w:t>
      </w:r>
    </w:p>
    <w:p w14:paraId="3D90D72E">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22．投标人的替代方案</w:t>
      </w:r>
    </w:p>
    <w:p w14:paraId="789BE26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22.1投标人所提交的投标文件应完全满足招标文件（包括图纸和技术规范所示的基本技术设计）的要求。除非招标的项目明确允许投标人提交替代方案，否则投标人有关替代方案的条款将初审不通过，投标无效。</w:t>
      </w:r>
    </w:p>
    <w:p w14:paraId="0F48F8A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7D7744AD">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23．投标文件的制作要求</w:t>
      </w:r>
    </w:p>
    <w:p w14:paraId="63929B4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23.1投标人应准备所投项目的电子投标文件一份。此电子投标文件须由投标人根据政府采购代理机构提供的后缀名为.szczf的电子招标文件，下载并使用相应的深圳智慧采购平台投标文件制作专用软件打开招标文件（.szczf格式）【下载地址：http://zfcg.szggzy.com:8081/cgxy/013002/20210923/173e0b2c-7a4c-4246-a0c7-e0ea75d84dd6.html】。</w:t>
      </w:r>
    </w:p>
    <w:p w14:paraId="0A5BEB82">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23.2投标人在使用《投标文件制作软件》编制投标书时须注意：</w:t>
      </w:r>
    </w:p>
    <w:p w14:paraId="03667F3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23.2.1导入《投标文件制作软件》的招标文件项目编号、包号应与以此制作的投标文件项目编号、包号一致。例如，不能将甲项目A包的招标书导入《投标文件制作软件》，制作乙项目B包的投标书。</w:t>
      </w:r>
    </w:p>
    <w:p w14:paraId="0E2C3D0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23.2.2不能用非本公司的电子密钥加密本公司的投标文件，或者用其它公司的登录用户上传本公司的投标文件。</w:t>
      </w:r>
    </w:p>
    <w:p w14:paraId="522DDE4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23.2.3要求用《投标文件制作软件》编制投标书的包，不能用其它方式编制投标书。编制投标文件时，电脑须连通互联网。</w:t>
      </w:r>
    </w:p>
    <w:p w14:paraId="44B628F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23.2.4投标文件不能带病毒。政府采购代理机构将用专业杀毒软件对投标文件进行病毒检测，如果这两种软件均报告发现病毒，则政府采购代理机构认为该投标文件带病毒。</w:t>
      </w:r>
    </w:p>
    <w:p w14:paraId="1B4F0C7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23.2.5完整填写“投标关键信息”，如下图所示：</w:t>
      </w:r>
    </w:p>
    <w:p w14:paraId="429CE3B4">
      <w:pPr>
        <w:jc w:val="center"/>
        <w:rPr>
          <w:rFonts w:hint="eastAsia" w:ascii="宋体" w:hAnsi="宋体" w:eastAsia="宋体" w:cs="宋体"/>
          <w:sz w:val="21"/>
          <w:szCs w:val="21"/>
        </w:rPr>
      </w:pPr>
      <w:r>
        <w:rPr>
          <w:rFonts w:hint="eastAsia" w:ascii="宋体" w:hAnsi="宋体" w:eastAsia="宋体" w:cs="宋体"/>
          <w:sz w:val="21"/>
          <w:szCs w:val="21"/>
        </w:rPr>
        <w:drawing>
          <wp:inline distT="0" distB="0" distL="114300" distR="114300">
            <wp:extent cx="5278755" cy="2721610"/>
            <wp:effectExtent l="0" t="0" r="17145" b="2540"/>
            <wp:docPr id="9"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形用户界面, 应用程序&#10;&#10;描述已自动生成"/>
                    <pic:cNvPicPr>
                      <a:picLocks noChangeAspect="1"/>
                    </pic:cNvPicPr>
                  </pic:nvPicPr>
                  <pic:blipFill>
                    <a:blip r:embed="rId11"/>
                    <a:stretch>
                      <a:fillRect/>
                    </a:stretch>
                  </pic:blipFill>
                  <pic:spPr>
                    <a:xfrm>
                      <a:off x="0" y="0"/>
                      <a:ext cx="5278755" cy="2721610"/>
                    </a:xfrm>
                    <a:prstGeom prst="rect">
                      <a:avLst/>
                    </a:prstGeom>
                    <a:noFill/>
                    <a:ln>
                      <a:noFill/>
                    </a:ln>
                  </pic:spPr>
                </pic:pic>
              </a:graphicData>
            </a:graphic>
          </wp:inline>
        </w:drawing>
      </w:r>
    </w:p>
    <w:p w14:paraId="17D84104">
      <w:pPr>
        <w:spacing w:line="288" w:lineRule="auto"/>
        <w:ind w:firstLine="413" w:firstLineChars="196"/>
        <w:rPr>
          <w:rFonts w:hint="eastAsia" w:ascii="宋体" w:hAnsi="宋体" w:eastAsia="宋体" w:cs="宋体"/>
          <w:b/>
          <w:sz w:val="21"/>
          <w:szCs w:val="21"/>
        </w:rPr>
      </w:pPr>
      <w:r>
        <w:rPr>
          <w:rFonts w:hint="eastAsia" w:ascii="宋体" w:hAnsi="宋体" w:eastAsia="宋体" w:cs="宋体"/>
          <w:b/>
          <w:sz w:val="21"/>
          <w:szCs w:val="21"/>
        </w:rPr>
        <w:t>备注：上述“开标一览表”中的“投标报价”将作为价格分计算依据；其它信息仅是对投标文件相关内容的概括性表述，不作为评审依据。</w:t>
      </w:r>
    </w:p>
    <w:p w14:paraId="5E42FB0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23.2.6投标人在编辑投标文件时，</w:t>
      </w:r>
      <w:r>
        <w:rPr>
          <w:rFonts w:hint="eastAsia" w:ascii="宋体" w:hAnsi="宋体" w:eastAsia="宋体" w:cs="宋体"/>
          <w:b/>
          <w:sz w:val="21"/>
          <w:szCs w:val="21"/>
        </w:rPr>
        <w:t>在投标文件目录中属于本节点内容的必须在本节点中填写，填写到其他节点或附件，</w:t>
      </w:r>
      <w:r>
        <w:rPr>
          <w:rFonts w:hint="eastAsia" w:ascii="宋体" w:hAnsi="宋体" w:eastAsia="宋体" w:cs="宋体"/>
          <w:sz w:val="21"/>
          <w:szCs w:val="21"/>
        </w:rPr>
        <w:t>一切后果由供应商自行承担。</w:t>
      </w:r>
    </w:p>
    <w:p w14:paraId="4AA483A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23.2.7投标文件编写完成后，</w:t>
      </w:r>
      <w:r>
        <w:rPr>
          <w:rFonts w:hint="eastAsia" w:ascii="宋体" w:hAnsi="宋体" w:eastAsia="宋体" w:cs="宋体"/>
          <w:b/>
          <w:sz w:val="21"/>
          <w:szCs w:val="21"/>
        </w:rPr>
        <w:t>必须用属于投标人的电子密钥进行加密，否则视同未盖公章，将导致投标文件无效。</w:t>
      </w:r>
    </w:p>
    <w:p w14:paraId="245B3DD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23.2.8政府采购代理机构不接受投标截止时间后递交的纸质、电子、传真等所有形式的投标文件。由于对网上政府采购系统操作不熟悉或自身电脑、网络等原因导致不能在投标截止时间之前上传投标文件，政府采购代理机构概不负责。建议于开标前一个工作日完成投标文件的制作与上传，如上传确有困难，请及时咨询。</w:t>
      </w:r>
    </w:p>
    <w:p w14:paraId="5B5F2B7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23.2.9如果开标时出现网络故障、技术故障，影响了政府采购活动，政府采购代理机构有权采取措施如延期、接受无法从网上上传的投标书等，以保障政府采购活动的公开、公平和公正。</w:t>
      </w:r>
    </w:p>
    <w:p w14:paraId="6D13DC22">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23.3电报、电话、传真形式的投标概不接受。</w:t>
      </w:r>
    </w:p>
    <w:p w14:paraId="2DF0E503">
      <w:pPr>
        <w:spacing w:line="288" w:lineRule="auto"/>
        <w:ind w:firstLine="413" w:firstLineChars="196"/>
        <w:rPr>
          <w:rFonts w:hint="eastAsia" w:ascii="宋体" w:hAnsi="宋体" w:eastAsia="宋体" w:cs="宋体"/>
          <w:b/>
          <w:sz w:val="21"/>
          <w:szCs w:val="21"/>
        </w:rPr>
      </w:pPr>
      <w:r>
        <w:rPr>
          <w:rFonts w:hint="eastAsia" w:ascii="宋体" w:hAnsi="宋体" w:eastAsia="宋体" w:cs="宋体"/>
          <w:b/>
          <w:sz w:val="21"/>
          <w:szCs w:val="21"/>
        </w:rPr>
        <w:t>23.4经投标人电子密钥加密的投标文件无须盖章或签字，</w:t>
      </w:r>
      <w:r>
        <w:rPr>
          <w:rFonts w:hint="eastAsia" w:ascii="宋体" w:hAnsi="宋体" w:eastAsia="宋体" w:cs="宋体"/>
          <w:sz w:val="21"/>
          <w:szCs w:val="21"/>
        </w:rPr>
        <w:t>专用条款另有要求的除外。</w:t>
      </w:r>
    </w:p>
    <w:p w14:paraId="0D8E63DB">
      <w:pPr>
        <w:spacing w:line="288" w:lineRule="auto"/>
        <w:ind w:firstLine="413" w:firstLineChars="196"/>
        <w:rPr>
          <w:rFonts w:hint="eastAsia" w:ascii="宋体" w:hAnsi="宋体" w:eastAsia="宋体" w:cs="宋体"/>
          <w:sz w:val="21"/>
          <w:szCs w:val="21"/>
        </w:rPr>
      </w:pPr>
      <w:r>
        <w:rPr>
          <w:rFonts w:hint="eastAsia" w:ascii="宋体" w:hAnsi="宋体" w:eastAsia="宋体" w:cs="宋体"/>
          <w:b/>
          <w:sz w:val="21"/>
          <w:szCs w:val="21"/>
        </w:rPr>
        <w:t>23.5</w:t>
      </w:r>
      <w:r>
        <w:rPr>
          <w:rFonts w:hint="eastAsia" w:ascii="宋体" w:hAnsi="宋体" w:eastAsia="宋体" w:cs="宋体"/>
          <w:sz w:val="21"/>
          <w:szCs w:val="21"/>
        </w:rPr>
        <w:t xml:space="preserve"> 各类资格（资质）文件提供扫描件，专用条款另有要求的除外。</w:t>
      </w:r>
    </w:p>
    <w:p w14:paraId="2A999224">
      <w:pPr>
        <w:pStyle w:val="3"/>
        <w:rPr>
          <w:szCs w:val="28"/>
        </w:rPr>
      </w:pPr>
      <w:r>
        <w:rPr>
          <w:rFonts w:hint="eastAsia" w:ascii="宋体" w:hAnsi="宋体" w:eastAsia="宋体" w:cs="宋体"/>
          <w:szCs w:val="28"/>
        </w:rPr>
        <w:t>第</w:t>
      </w:r>
      <w:r>
        <w:rPr>
          <w:rFonts w:hint="eastAsia"/>
          <w:szCs w:val="28"/>
        </w:rPr>
        <w:t>四章  投标文件的递交</w:t>
      </w:r>
    </w:p>
    <w:p w14:paraId="608830CA">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24．投标书的保密</w:t>
      </w:r>
    </w:p>
    <w:p w14:paraId="63C49AA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24.1在投标文件制作完成后，在投标文件制作软件点击【生成标书】按钮进入【填写开标一览表界面】界面，在该界面填写完开标一览表信息后点击【确定】，进入投标文件生成环节。投标文件制作软件会在投标文件生成过程中，提示用户输入密码，输入密码后对标文件自动进行加密，此加密程序确保投标文件在到达开标时间后才能解密查看。在加密过程中，请按照软件提示进行操作。加密操作界面如下图所示：</w:t>
      </w:r>
    </w:p>
    <w:p w14:paraId="086F1B99">
      <w:pPr>
        <w:spacing w:line="288" w:lineRule="auto"/>
        <w:rPr>
          <w:rFonts w:hint="eastAsia" w:ascii="宋体" w:hAnsi="宋体" w:eastAsia="宋体" w:cs="宋体"/>
          <w:sz w:val="21"/>
          <w:szCs w:val="21"/>
        </w:rPr>
      </w:pPr>
      <w:r>
        <w:rPr>
          <w:rFonts w:hint="eastAsia" w:ascii="宋体" w:hAnsi="宋体" w:eastAsia="宋体" w:cs="宋体"/>
          <w:sz w:val="21"/>
          <w:szCs w:val="21"/>
        </w:rPr>
        <w:drawing>
          <wp:inline distT="0" distB="0" distL="114300" distR="114300">
            <wp:extent cx="5278755" cy="2721610"/>
            <wp:effectExtent l="0" t="0" r="17145" b="2540"/>
            <wp:docPr id="10" name="图片 2"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图形用户界面, 应用程序&#10;&#10;描述已自动生成"/>
                    <pic:cNvPicPr>
                      <a:picLocks noChangeAspect="1"/>
                    </pic:cNvPicPr>
                  </pic:nvPicPr>
                  <pic:blipFill>
                    <a:blip r:embed="rId11"/>
                    <a:stretch>
                      <a:fillRect/>
                    </a:stretch>
                  </pic:blipFill>
                  <pic:spPr>
                    <a:xfrm>
                      <a:off x="0" y="0"/>
                      <a:ext cx="5278755" cy="2721610"/>
                    </a:xfrm>
                    <a:prstGeom prst="rect">
                      <a:avLst/>
                    </a:prstGeom>
                    <a:noFill/>
                    <a:ln>
                      <a:noFill/>
                    </a:ln>
                  </pic:spPr>
                </pic:pic>
              </a:graphicData>
            </a:graphic>
          </wp:inline>
        </w:drawing>
      </w:r>
    </w:p>
    <w:p w14:paraId="29825EE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在投标文件制作软件点击【生成标书】按钮进入【填写开标一览表界面】界面，在该界面填写完开标一览表信息后点击【确定】，进入投标文件生成环节</w:t>
      </w:r>
    </w:p>
    <w:p w14:paraId="097F7EBE">
      <w:pPr>
        <w:spacing w:line="288" w:lineRule="auto"/>
        <w:rPr>
          <w:rFonts w:hint="eastAsia" w:ascii="宋体" w:hAnsi="宋体" w:eastAsia="宋体" w:cs="宋体"/>
          <w:sz w:val="21"/>
          <w:szCs w:val="21"/>
        </w:rPr>
      </w:pPr>
      <w:r>
        <w:rPr>
          <w:rFonts w:hint="eastAsia" w:ascii="宋体" w:hAnsi="宋体" w:eastAsia="宋体" w:cs="宋体"/>
          <w:sz w:val="21"/>
          <w:szCs w:val="21"/>
        </w:rPr>
        <w:drawing>
          <wp:inline distT="0" distB="0" distL="114300" distR="114300">
            <wp:extent cx="5278755" cy="2732405"/>
            <wp:effectExtent l="0" t="0" r="17145" b="10795"/>
            <wp:docPr id="11" name="图片 3"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图形用户界面&#10;&#10;描述已自动生成"/>
                    <pic:cNvPicPr>
                      <a:picLocks noChangeAspect="1"/>
                    </pic:cNvPicPr>
                  </pic:nvPicPr>
                  <pic:blipFill>
                    <a:blip r:embed="rId12"/>
                    <a:stretch>
                      <a:fillRect/>
                    </a:stretch>
                  </pic:blipFill>
                  <pic:spPr>
                    <a:xfrm>
                      <a:off x="0" y="0"/>
                      <a:ext cx="5278755" cy="2732405"/>
                    </a:xfrm>
                    <a:prstGeom prst="rect">
                      <a:avLst/>
                    </a:prstGeom>
                    <a:noFill/>
                    <a:ln>
                      <a:noFill/>
                    </a:ln>
                  </pic:spPr>
                </pic:pic>
              </a:graphicData>
            </a:graphic>
          </wp:inline>
        </w:drawing>
      </w:r>
    </w:p>
    <w:p w14:paraId="7B2DE2B0">
      <w:pPr>
        <w:spacing w:line="288" w:lineRule="auto"/>
        <w:ind w:firstLine="413" w:firstLineChars="196"/>
        <w:rPr>
          <w:rFonts w:hint="eastAsia"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投标文件制作软件会在投标文件生成过程中，提示用户输入密码，输入密码后对标文件自动进行加密。</w:t>
      </w:r>
    </w:p>
    <w:p w14:paraId="2A5E6576">
      <w:pPr>
        <w:spacing w:line="288"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24.2若采购项目出现延期情况：</w:t>
      </w:r>
    </w:p>
    <w:p w14:paraId="02672C86">
      <w:pPr>
        <w:spacing w:line="288" w:lineRule="auto"/>
        <w:ind w:firstLine="413" w:firstLineChars="196"/>
        <w:rPr>
          <w:rFonts w:hint="eastAsia" w:ascii="宋体" w:hAnsi="宋体" w:eastAsia="宋体" w:cs="宋体"/>
          <w:sz w:val="21"/>
          <w:szCs w:val="21"/>
        </w:rPr>
      </w:pPr>
      <w:r>
        <w:rPr>
          <w:rFonts w:hint="eastAsia" w:ascii="宋体" w:hAnsi="宋体" w:eastAsia="宋体" w:cs="宋体"/>
          <w:b/>
          <w:sz w:val="21"/>
          <w:szCs w:val="21"/>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况定）。否则，投标人自行承担投标文件无法解密导致投标无效的后果。</w:t>
      </w:r>
    </w:p>
    <w:p w14:paraId="4B23BD30">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25．投标截止日期</w:t>
      </w:r>
    </w:p>
    <w:p w14:paraId="351DB03C">
      <w:pPr>
        <w:spacing w:line="288" w:lineRule="auto"/>
        <w:ind w:firstLine="411" w:firstLineChars="196"/>
        <w:rPr>
          <w:rFonts w:hint="eastAsia" w:ascii="宋体" w:hAnsi="宋体" w:eastAsia="宋体" w:cs="宋体"/>
          <w:sz w:val="21"/>
          <w:szCs w:val="21"/>
          <w:u w:val="single"/>
        </w:rPr>
      </w:pPr>
      <w:r>
        <w:rPr>
          <w:rFonts w:hint="eastAsia" w:ascii="宋体" w:hAnsi="宋体" w:eastAsia="宋体" w:cs="宋体"/>
          <w:sz w:val="21"/>
          <w:szCs w:val="21"/>
        </w:rPr>
        <w:t>25.1实行网上投标，投标人必须在招标文件规定的投标截止时间前用电子密钥登录“深圳政府采购智慧平台用户网上办事子系统（http://zfcg.szggzy.com:8081/TPBidder/memberLogin）”，用“【我的项目】→【项目流程】→【递交投标(应答)文件】”功能点上传投标文件。如上传过程中遇到问题，可拨打技术支持电话，联系方式：0755-88653300，转6。</w:t>
      </w:r>
    </w:p>
    <w:p w14:paraId="4EFEB77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25.2政府采购代理机构可以按本通用条款第13条规定，通过修改招标文件自行决定酌情延长投标截止期。在此情况下，政府采购代理机构、采购人和投标人受投标截止期制约的所有权利和义务均应延长至新的截止期。</w:t>
      </w:r>
    </w:p>
    <w:p w14:paraId="1CD0A5D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25.3投标截止时间以后不得上传投标文件。</w:t>
      </w:r>
    </w:p>
    <w:p w14:paraId="0B764A7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25.4.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5413CDFC">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26. 样品、演示、方案讲解</w:t>
      </w:r>
    </w:p>
    <w:p w14:paraId="16D22812">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26.1 样品、演示、方案讲解等事项在招标文件专用条款中进行规定。</w:t>
      </w:r>
    </w:p>
    <w:p w14:paraId="1758071E">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27．投标文件的修改和撤销</w:t>
      </w:r>
    </w:p>
    <w:p w14:paraId="2715D5C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27.1投标方在提交投标文件后可对其投标文件进行修改并重新上传投标文件或在网上进行撤销投标的操作。</w:t>
      </w:r>
    </w:p>
    <w:p w14:paraId="0BB7F36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27.2投标截止时间以后不得修改投标文件。</w:t>
      </w:r>
    </w:p>
    <w:p w14:paraId="2B00F59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27.3从投标截止期至投标人在投标文件中确定的投标有效期之间的这段时间内，投标人不得撤回其投标。</w:t>
      </w:r>
    </w:p>
    <w:p w14:paraId="5EDB109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27.4政府采购代理机构不退还投标文件，专用条款另有规定的除外。</w:t>
      </w:r>
    </w:p>
    <w:p w14:paraId="1517CC5E">
      <w:pPr>
        <w:pStyle w:val="3"/>
        <w:rPr>
          <w:szCs w:val="28"/>
        </w:rPr>
      </w:pPr>
      <w:r>
        <w:rPr>
          <w:rFonts w:hint="eastAsia" w:ascii="宋体" w:hAnsi="宋体" w:eastAsia="宋体" w:cs="宋体"/>
          <w:szCs w:val="28"/>
        </w:rPr>
        <w:t>第</w:t>
      </w:r>
      <w:r>
        <w:rPr>
          <w:rFonts w:hint="eastAsia"/>
          <w:szCs w:val="28"/>
        </w:rPr>
        <w:t>五章  开标</w:t>
      </w:r>
    </w:p>
    <w:p w14:paraId="4D07FA61">
      <w:pPr>
        <w:tabs>
          <w:tab w:val="left" w:pos="360"/>
        </w:tabs>
        <w:spacing w:before="120" w:beforeLines="50" w:after="120" w:afterLines="50" w:line="288" w:lineRule="auto"/>
        <w:rPr>
          <w:rFonts w:hint="eastAsia" w:ascii="宋体" w:hAnsi="宋体" w:eastAsia="宋体" w:cs="宋体"/>
          <w:b/>
          <w:bCs/>
          <w:sz w:val="21"/>
          <w:szCs w:val="21"/>
        </w:rPr>
      </w:pPr>
      <w:r>
        <w:rPr>
          <w:rFonts w:hint="eastAsia" w:ascii="宋体" w:hAnsi="宋体" w:eastAsia="宋体" w:cs="宋体"/>
          <w:b/>
          <w:bCs/>
          <w:sz w:val="21"/>
          <w:szCs w:val="21"/>
        </w:rPr>
        <w:t>28．开标</w:t>
      </w:r>
    </w:p>
    <w:p w14:paraId="461D38F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A1F8B3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28.2 政府采购代理机构将在满足开标条件（①解密时间结束，解密后的投标供应商数量满足开标要求或②解密时间结束前所有投标供应商均完成投标文件解密）后，对投标文件进行开标，并在网上公布开标结果。</w:t>
      </w:r>
    </w:p>
    <w:p w14:paraId="572C7FE4">
      <w:pPr>
        <w:pStyle w:val="3"/>
        <w:rPr>
          <w:szCs w:val="28"/>
        </w:rPr>
      </w:pPr>
      <w:r>
        <w:rPr>
          <w:rFonts w:hint="eastAsia" w:ascii="宋体" w:hAnsi="宋体" w:eastAsia="宋体" w:cs="宋体"/>
          <w:szCs w:val="28"/>
        </w:rPr>
        <w:t>第</w:t>
      </w:r>
      <w:r>
        <w:rPr>
          <w:rFonts w:hint="eastAsia"/>
          <w:szCs w:val="28"/>
        </w:rPr>
        <w:t>六章  评标要求</w:t>
      </w:r>
    </w:p>
    <w:p w14:paraId="61332F88">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29．评审委员会组成</w:t>
      </w:r>
    </w:p>
    <w:p w14:paraId="03B36F38">
      <w:pPr>
        <w:spacing w:line="288"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29.1网上开标结束后召开评审会议，评审委员会由政府采购代理机构依法组建，负责评审活动。</w:t>
      </w:r>
    </w:p>
    <w:p w14:paraId="15BE5FA8">
      <w:pPr>
        <w:spacing w:line="288"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评审委员会由采购人代表和评审专家组成，成员人数应当为5人以上单数（部分条件下为7人以上单数），其中评审专家不得少于成员总数的三分之二。评定分离项目评审专家均由评审专家组成。评审专家一般是从深圳市政府采购评审专家库中随机抽取。采购人代表须持</w:t>
      </w:r>
      <w:r>
        <w:rPr>
          <w:rFonts w:hint="eastAsia" w:ascii="宋体" w:hAnsi="宋体" w:eastAsia="宋体" w:cs="宋体"/>
          <w:sz w:val="21"/>
          <w:szCs w:val="21"/>
        </w:rPr>
        <w:t>本单位</w:t>
      </w:r>
      <w:r>
        <w:rPr>
          <w:rFonts w:hint="eastAsia" w:ascii="宋体" w:hAnsi="宋体" w:eastAsia="宋体" w:cs="宋体"/>
          <w:bCs/>
          <w:sz w:val="21"/>
          <w:szCs w:val="21"/>
        </w:rPr>
        <w:t>签发的《评标授权书》参加评审。</w:t>
      </w:r>
    </w:p>
    <w:p w14:paraId="43687F3B">
      <w:pPr>
        <w:spacing w:line="288"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29.2评审定标应当遵循公平、公正、科学、择优的原则。</w:t>
      </w:r>
    </w:p>
    <w:p w14:paraId="1AE5D40D">
      <w:pPr>
        <w:spacing w:line="288"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29.3评审活动依法进行，任何单位和个人不得非法干预评标过程和结果。</w:t>
      </w:r>
    </w:p>
    <w:p w14:paraId="7E04B37C">
      <w:pPr>
        <w:spacing w:line="288"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29.4评审过程中不允许违背评标程序或采用招标文件未载明的评标方法或评标因素进行评标。</w:t>
      </w:r>
    </w:p>
    <w:p w14:paraId="1566A82A">
      <w:pPr>
        <w:spacing w:line="288"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29.5 开标后，直到签订合同为止，凡属于对投标文件的审查、澄清、评价和比较的有关资料以及中标候选人的推荐情况、与评审有关的其他任何情况均严格保密（信息公开的内容除外）。</w:t>
      </w:r>
    </w:p>
    <w:p w14:paraId="1E4E2083">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30．向评审委员会提供的资料</w:t>
      </w:r>
    </w:p>
    <w:p w14:paraId="3641FF7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30.1公开发布的招标文件，包括图纸、服务清单、答疑文件等；</w:t>
      </w:r>
    </w:p>
    <w:p w14:paraId="1CF2ECE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30.2其他评标必须的资料。</w:t>
      </w:r>
    </w:p>
    <w:p w14:paraId="2E76030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30.3评审委员会应当认真研究招标文件，至少应了解熟悉以下内容：</w:t>
      </w:r>
    </w:p>
    <w:p w14:paraId="005ED91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（1）招标的目的；</w:t>
      </w:r>
    </w:p>
    <w:p w14:paraId="51BC28D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（2）招标项目需求的范围和性质；</w:t>
      </w:r>
    </w:p>
    <w:p w14:paraId="3A78A5B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（3）招标文件规定的投标人的资格、财政预算限额、商务条款；</w:t>
      </w:r>
    </w:p>
    <w:p w14:paraId="417B2AC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（4）招标文件规定的评标程序、评标方法和评标因素；</w:t>
      </w:r>
    </w:p>
    <w:p w14:paraId="2D245248">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（5）招标文件所列示的资格性审查表及符合性审查表。</w:t>
      </w:r>
    </w:p>
    <w:p w14:paraId="65756D05">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31．独立评标</w:t>
      </w:r>
    </w:p>
    <w:p w14:paraId="64E442F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30.1评审委员会成员的评标活动应当独立进行，并应遵循投标文件初审、澄清有关问题、比较与评价、确定中标供应商、编写评标报告的工作程序。</w:t>
      </w:r>
    </w:p>
    <w:p w14:paraId="23EACC83">
      <w:pPr>
        <w:pStyle w:val="3"/>
        <w:rPr>
          <w:szCs w:val="28"/>
        </w:rPr>
      </w:pPr>
      <w:r>
        <w:rPr>
          <w:rFonts w:hint="eastAsia" w:ascii="宋体" w:hAnsi="宋体" w:eastAsia="宋体" w:cs="宋体"/>
          <w:szCs w:val="28"/>
        </w:rPr>
        <w:t>第</w:t>
      </w:r>
      <w:r>
        <w:rPr>
          <w:rFonts w:hint="eastAsia"/>
          <w:szCs w:val="28"/>
        </w:rPr>
        <w:t>七章  评标程序及评标方法</w:t>
      </w:r>
    </w:p>
    <w:p w14:paraId="01B486F3">
      <w:pPr>
        <w:spacing w:line="288" w:lineRule="auto"/>
        <w:rPr>
          <w:rFonts w:ascii="宋体" w:hAnsi="宋体" w:cs="宋体"/>
          <w:b/>
          <w:bCs/>
          <w:sz w:val="21"/>
          <w:szCs w:val="21"/>
        </w:rPr>
      </w:pPr>
      <w:r>
        <w:rPr>
          <w:rFonts w:hint="eastAsia" w:ascii="宋体" w:hAnsi="宋体" w:cs="宋体"/>
          <w:b/>
          <w:bCs/>
          <w:sz w:val="21"/>
          <w:szCs w:val="21"/>
        </w:rPr>
        <w:t>32．投标文件初审</w:t>
      </w:r>
    </w:p>
    <w:p w14:paraId="05A9C517">
      <w:pPr>
        <w:spacing w:line="288" w:lineRule="auto"/>
        <w:ind w:firstLine="411" w:firstLineChars="196"/>
        <w:rPr>
          <w:rFonts w:ascii="宋体" w:hAnsi="宋体" w:cs="宋体"/>
          <w:sz w:val="21"/>
          <w:szCs w:val="21"/>
        </w:rPr>
      </w:pPr>
      <w:r>
        <w:rPr>
          <w:rFonts w:hint="eastAsia" w:ascii="宋体" w:hAnsi="宋体" w:cs="宋体"/>
          <w:sz w:val="21"/>
          <w:szCs w:val="21"/>
        </w:rPr>
        <w:t>32.1投标文件初审包括资格性审查和符合性审查。</w:t>
      </w:r>
    </w:p>
    <w:p w14:paraId="5CFAA84C">
      <w:pPr>
        <w:spacing w:line="288" w:lineRule="auto"/>
        <w:ind w:firstLine="411" w:firstLineChars="196"/>
        <w:rPr>
          <w:rFonts w:ascii="宋体" w:hAnsi="宋体" w:cs="宋体"/>
          <w:sz w:val="21"/>
          <w:szCs w:val="21"/>
        </w:rPr>
      </w:pPr>
      <w:r>
        <w:rPr>
          <w:rFonts w:hint="eastAsia" w:ascii="宋体" w:hAnsi="宋体" w:cs="宋体"/>
          <w:sz w:val="21"/>
          <w:szCs w:val="21"/>
        </w:rPr>
        <w:t>资格性审查：依据法律法规和招标文件的规定，对投标文件中的资格证明等进行审查，以确定投标供应商是否具备投标资格。</w:t>
      </w:r>
    </w:p>
    <w:p w14:paraId="17174B23">
      <w:pPr>
        <w:spacing w:line="288" w:lineRule="auto"/>
        <w:ind w:firstLine="411" w:firstLineChars="196"/>
        <w:rPr>
          <w:rFonts w:ascii="宋体" w:hAnsi="宋体" w:cs="宋体"/>
          <w:sz w:val="21"/>
          <w:szCs w:val="21"/>
        </w:rPr>
      </w:pPr>
      <w:r>
        <w:rPr>
          <w:rFonts w:hint="eastAsia" w:ascii="宋体" w:hAnsi="宋体" w:cs="宋体"/>
          <w:sz w:val="21"/>
          <w:szCs w:val="21"/>
        </w:rPr>
        <w:t>符合性审查：依据招标文件的规定，对投标文件的有效性、完整性和对招标文件的响应程度进行审查，以确定是否满足符合性审查的要求。</w:t>
      </w:r>
    </w:p>
    <w:p w14:paraId="73AA389B">
      <w:pPr>
        <w:autoSpaceDE w:val="0"/>
        <w:autoSpaceDN w:val="0"/>
        <w:adjustRightInd w:val="0"/>
        <w:spacing w:line="288" w:lineRule="auto"/>
        <w:rPr>
          <w:rFonts w:ascii="宋体" w:hAnsi="宋体" w:cs="宋体"/>
          <w:sz w:val="21"/>
          <w:szCs w:val="21"/>
        </w:rPr>
      </w:pPr>
      <w:r>
        <w:rPr>
          <w:rFonts w:hint="eastAsia" w:ascii="宋体" w:hAnsi="宋体" w:cs="宋体"/>
          <w:sz w:val="21"/>
          <w:szCs w:val="21"/>
        </w:rPr>
        <w:t xml:space="preserve">    32.2 投标文件初审内容请详见《资格性审查表》和《符合性审查表》部分。投标人若有一条审查不通过则按投标无效处理。</w:t>
      </w:r>
    </w:p>
    <w:p w14:paraId="644A89AB">
      <w:pPr>
        <w:spacing w:line="288" w:lineRule="auto"/>
        <w:ind w:firstLine="411" w:firstLineChars="196"/>
        <w:rPr>
          <w:rFonts w:hint="eastAsia" w:ascii="宋体" w:hAnsi="宋体" w:eastAsia="宋体" w:cs="宋体"/>
          <w:sz w:val="21"/>
          <w:szCs w:val="21"/>
        </w:rPr>
      </w:pPr>
      <w:r>
        <w:rPr>
          <w:rFonts w:hint="eastAsia" w:ascii="宋体" w:hAnsi="宋体" w:cs="宋体"/>
          <w:sz w:val="21"/>
          <w:szCs w:val="21"/>
        </w:rPr>
        <w:t>32.3 投标文件初审中关于供应商家数的计算：</w:t>
      </w:r>
    </w:p>
    <w:p w14:paraId="1A904C9A">
      <w:pPr>
        <w:spacing w:line="288" w:lineRule="auto"/>
        <w:ind w:firstLine="411" w:firstLineChars="196"/>
        <w:rPr>
          <w:rFonts w:ascii="宋体" w:hAnsi="宋体" w:cs="宋体"/>
          <w:sz w:val="21"/>
          <w:szCs w:val="21"/>
        </w:rPr>
      </w:pPr>
      <w:r>
        <w:rPr>
          <w:rFonts w:hint="eastAsia" w:ascii="宋体" w:hAnsi="宋体" w:cs="宋体"/>
          <w:sz w:val="21"/>
          <w:szCs w:val="21"/>
        </w:rPr>
        <w:t>32.3.1采用</w:t>
      </w:r>
      <w:r>
        <w:rPr>
          <w:rFonts w:hint="eastAsia" w:ascii="宋体" w:hAnsi="宋体" w:cs="宋体"/>
          <w:sz w:val="21"/>
          <w:szCs w:val="21"/>
          <w:u w:val="single"/>
        </w:rPr>
        <w:t>最低价法</w:t>
      </w:r>
      <w:r>
        <w:rPr>
          <w:rFonts w:hint="eastAsia" w:ascii="宋体" w:hAnsi="宋体" w:cs="宋体"/>
          <w:sz w:val="21"/>
          <w:szCs w:val="21"/>
        </w:rPr>
        <w:t>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2CD75D81">
      <w:pPr>
        <w:spacing w:line="288" w:lineRule="auto"/>
        <w:ind w:firstLine="411" w:firstLineChars="196"/>
        <w:rPr>
          <w:rFonts w:ascii="宋体" w:hAnsi="宋体" w:cs="宋体"/>
          <w:sz w:val="21"/>
          <w:szCs w:val="21"/>
        </w:rPr>
      </w:pPr>
      <w:r>
        <w:rPr>
          <w:rFonts w:hint="eastAsia" w:ascii="宋体" w:hAnsi="宋体" w:cs="宋体"/>
          <w:sz w:val="21"/>
          <w:szCs w:val="21"/>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5D2AE21F">
      <w:pPr>
        <w:spacing w:line="288" w:lineRule="auto"/>
        <w:ind w:firstLine="411" w:firstLineChars="196"/>
        <w:rPr>
          <w:rFonts w:ascii="宋体" w:hAnsi="宋体" w:cs="宋体"/>
          <w:sz w:val="21"/>
          <w:szCs w:val="21"/>
        </w:rPr>
      </w:pPr>
      <w:r>
        <w:rPr>
          <w:rFonts w:hint="eastAsia" w:ascii="宋体" w:hAnsi="宋体" w:cs="宋体"/>
          <w:sz w:val="21"/>
          <w:szCs w:val="21"/>
        </w:rPr>
        <w:t>32.3.3非单一产品采购项目，采购人应当根据采购项目技术构成、产品价格比重等合理确定核心产品，并在招标文件中载明。多家投标人提供的核心产品品牌相同的，按前两款规定处理。</w:t>
      </w:r>
    </w:p>
    <w:p w14:paraId="5131AB4F">
      <w:pPr>
        <w:spacing w:line="288" w:lineRule="auto"/>
        <w:ind w:firstLine="411" w:firstLineChars="196"/>
        <w:rPr>
          <w:rFonts w:ascii="宋体" w:hAnsi="宋体" w:cs="宋体"/>
          <w:sz w:val="21"/>
          <w:szCs w:val="21"/>
        </w:rPr>
      </w:pPr>
      <w:r>
        <w:rPr>
          <w:rFonts w:hint="eastAsia" w:ascii="宋体" w:hAnsi="宋体" w:cs="宋体"/>
          <w:sz w:val="21"/>
          <w:szCs w:val="21"/>
        </w:rPr>
        <w:t>32.4投标人投标文件作无效处理的情形，具体包括但不限于以下：</w:t>
      </w:r>
    </w:p>
    <w:p w14:paraId="7985CCB0">
      <w:pPr>
        <w:spacing w:line="288" w:lineRule="auto"/>
        <w:ind w:firstLine="411" w:firstLineChars="196"/>
        <w:rPr>
          <w:rFonts w:ascii="宋体" w:hAnsi="宋体" w:cs="宋体"/>
          <w:sz w:val="21"/>
          <w:szCs w:val="21"/>
        </w:rPr>
      </w:pPr>
      <w:r>
        <w:rPr>
          <w:rFonts w:hint="eastAsia" w:ascii="宋体" w:hAnsi="宋体" w:cs="宋体"/>
          <w:sz w:val="21"/>
          <w:szCs w:val="21"/>
        </w:rPr>
        <w:t>32.4.1不同投标人的投标文件由同一单位或者同一个人编制，或者由同一个人分阶段参与编制；</w:t>
      </w:r>
    </w:p>
    <w:p w14:paraId="1D0A77B9">
      <w:pPr>
        <w:spacing w:line="288" w:lineRule="auto"/>
        <w:ind w:firstLine="411" w:firstLineChars="196"/>
        <w:rPr>
          <w:rFonts w:ascii="宋体" w:hAnsi="宋体" w:cs="宋体"/>
          <w:sz w:val="21"/>
          <w:szCs w:val="21"/>
        </w:rPr>
      </w:pPr>
      <w:r>
        <w:rPr>
          <w:rFonts w:hint="eastAsia" w:ascii="宋体" w:hAnsi="宋体" w:cs="宋体"/>
          <w:sz w:val="21"/>
          <w:szCs w:val="21"/>
        </w:rPr>
        <w:t>32.4.2不同投标人委托同一单位或者个人办理投标事宜；</w:t>
      </w:r>
    </w:p>
    <w:p w14:paraId="359FAA62">
      <w:pPr>
        <w:spacing w:line="288" w:lineRule="auto"/>
        <w:ind w:firstLine="411" w:firstLineChars="196"/>
        <w:rPr>
          <w:rFonts w:ascii="宋体" w:hAnsi="宋体" w:cs="宋体"/>
          <w:sz w:val="21"/>
          <w:szCs w:val="21"/>
        </w:rPr>
      </w:pPr>
      <w:r>
        <w:rPr>
          <w:rFonts w:hint="eastAsia" w:ascii="宋体" w:hAnsi="宋体" w:cs="宋体"/>
          <w:sz w:val="21"/>
          <w:szCs w:val="21"/>
        </w:rPr>
        <w:t>32.4.3不同投标人的投标文件载明的项目管理成员或者联系人员为同一人；</w:t>
      </w:r>
    </w:p>
    <w:p w14:paraId="49583197">
      <w:pPr>
        <w:spacing w:line="288" w:lineRule="auto"/>
        <w:ind w:firstLine="411" w:firstLineChars="196"/>
        <w:rPr>
          <w:rFonts w:ascii="宋体" w:hAnsi="宋体" w:cs="宋体"/>
          <w:sz w:val="21"/>
          <w:szCs w:val="21"/>
        </w:rPr>
      </w:pPr>
      <w:r>
        <w:rPr>
          <w:rFonts w:hint="eastAsia" w:ascii="宋体" w:hAnsi="宋体" w:cs="宋体"/>
          <w:sz w:val="21"/>
          <w:szCs w:val="21"/>
        </w:rPr>
        <w:t>32.4.4不同投标人的投标文件异常一致或者投标报价呈规律性差异；</w:t>
      </w:r>
    </w:p>
    <w:p w14:paraId="57734C57">
      <w:pPr>
        <w:spacing w:line="288" w:lineRule="auto"/>
        <w:ind w:firstLine="411" w:firstLineChars="196"/>
        <w:rPr>
          <w:rFonts w:ascii="宋体" w:hAnsi="宋体" w:cs="宋体"/>
          <w:sz w:val="21"/>
          <w:szCs w:val="21"/>
        </w:rPr>
      </w:pPr>
      <w:r>
        <w:rPr>
          <w:rFonts w:hint="eastAsia" w:ascii="宋体" w:hAnsi="宋体" w:cs="宋体"/>
          <w:sz w:val="21"/>
          <w:szCs w:val="21"/>
        </w:rPr>
        <w:t>32.4.5不同投标供应商的投标文件或部分投标文件相互混装；</w:t>
      </w:r>
    </w:p>
    <w:p w14:paraId="7D448150">
      <w:pPr>
        <w:spacing w:line="288" w:lineRule="auto"/>
        <w:ind w:firstLine="411" w:firstLineChars="196"/>
        <w:rPr>
          <w:rFonts w:ascii="宋体" w:hAnsi="宋体" w:cs="宋体"/>
          <w:sz w:val="21"/>
          <w:szCs w:val="21"/>
        </w:rPr>
      </w:pPr>
      <w:r>
        <w:rPr>
          <w:rFonts w:hint="eastAsia" w:ascii="宋体" w:hAnsi="宋体" w:cs="宋体"/>
          <w:sz w:val="21"/>
          <w:szCs w:val="21"/>
        </w:rPr>
        <w:t>32.4.6投标供应商之间相互约定给予未中标的供应商利益补偿；</w:t>
      </w:r>
    </w:p>
    <w:p w14:paraId="4821E6DA">
      <w:pPr>
        <w:spacing w:line="288" w:lineRule="auto"/>
        <w:ind w:firstLine="411" w:firstLineChars="196"/>
        <w:rPr>
          <w:rFonts w:ascii="宋体" w:hAnsi="宋体" w:cs="宋体"/>
          <w:sz w:val="21"/>
          <w:szCs w:val="21"/>
        </w:rPr>
      </w:pPr>
      <w:r>
        <w:rPr>
          <w:rFonts w:hint="eastAsia" w:ascii="宋体" w:hAnsi="宋体" w:cs="宋体"/>
          <w:sz w:val="21"/>
          <w:szCs w:val="21"/>
        </w:rPr>
        <w:t>32.4.7不同投标供应商的法定代表人、主要经营负责人、项目投标授权代表人、项目负责人、主要技术人员为同一人、属同一单位或者同一单位缴纳社会保险；</w:t>
      </w:r>
    </w:p>
    <w:p w14:paraId="57A21EB9">
      <w:pPr>
        <w:spacing w:line="288" w:lineRule="auto"/>
        <w:ind w:firstLine="411" w:firstLineChars="196"/>
        <w:rPr>
          <w:rFonts w:ascii="宋体" w:hAnsi="宋体" w:cs="宋体"/>
          <w:sz w:val="21"/>
          <w:szCs w:val="21"/>
        </w:rPr>
      </w:pPr>
      <w:r>
        <w:rPr>
          <w:rFonts w:hint="eastAsia" w:ascii="宋体" w:hAnsi="宋体" w:cs="宋体"/>
          <w:sz w:val="21"/>
          <w:szCs w:val="21"/>
        </w:rPr>
        <w:t>32.4.8不同投标供应商的投标文件内容存在非正常一致；</w:t>
      </w:r>
    </w:p>
    <w:p w14:paraId="01817DC5">
      <w:pPr>
        <w:spacing w:line="288" w:lineRule="auto"/>
        <w:ind w:firstLine="411" w:firstLineChars="196"/>
        <w:rPr>
          <w:rFonts w:ascii="宋体" w:hAnsi="宋体" w:cs="宋体"/>
          <w:sz w:val="21"/>
          <w:szCs w:val="21"/>
        </w:rPr>
      </w:pPr>
      <w:r>
        <w:rPr>
          <w:rFonts w:hint="eastAsia" w:ascii="宋体" w:hAnsi="宋体" w:cs="宋体"/>
          <w:sz w:val="21"/>
          <w:szCs w:val="21"/>
        </w:rPr>
        <w:t>32.4.9在同一单位工作人员为两家以上（含两家）供应商进行同一项投标活动；</w:t>
      </w:r>
    </w:p>
    <w:p w14:paraId="5FC2AAE2">
      <w:pPr>
        <w:spacing w:line="288" w:lineRule="auto"/>
        <w:ind w:firstLine="411" w:firstLineChars="196"/>
        <w:rPr>
          <w:rFonts w:ascii="宋体" w:hAnsi="宋体" w:cs="宋体"/>
          <w:sz w:val="21"/>
          <w:szCs w:val="21"/>
        </w:rPr>
      </w:pPr>
      <w:r>
        <w:rPr>
          <w:rFonts w:hint="eastAsia" w:ascii="宋体" w:hAnsi="宋体" w:cs="宋体"/>
          <w:sz w:val="21"/>
          <w:szCs w:val="21"/>
        </w:rPr>
        <w:t>32.4.10主管部门依照法律、法规认定的其他情形。</w:t>
      </w:r>
    </w:p>
    <w:p w14:paraId="4A228269">
      <w:pPr>
        <w:spacing w:line="288" w:lineRule="auto"/>
        <w:ind w:firstLine="420" w:firstLineChars="200"/>
        <w:rPr>
          <w:rFonts w:ascii="宋体" w:hAnsi="宋体" w:cs="宋体"/>
          <w:sz w:val="21"/>
          <w:szCs w:val="21"/>
        </w:rPr>
      </w:pPr>
      <w:r>
        <w:rPr>
          <w:rFonts w:hint="eastAsia" w:ascii="宋体" w:hAnsi="宋体" w:cs="宋体"/>
          <w:sz w:val="21"/>
          <w:szCs w:val="21"/>
        </w:rPr>
        <w:t>32.5对不属于《资格性审查表》和《符合性审查表》所列的其他情形，除专用条款另有规定和32.4条款所列情形外，不得作为投标无效的理由。</w:t>
      </w:r>
    </w:p>
    <w:p w14:paraId="28F1C113">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33．澄清有关问题</w:t>
      </w:r>
    </w:p>
    <w:p w14:paraId="5D88C1F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33.1对招标文件中描述有歧义或前后不一致的地方（不含招标文件存在歧义、重大缺陷导致评审工作无法进行的情况），评审委员会有权进行评判，但对同一条款的评判应适用于每个投标人。</w:t>
      </w:r>
    </w:p>
    <w:p w14:paraId="6285957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33.2评审委员会发现招标文件存在歧义、重大缺陷导致评审工作无法进行，或者招标文件内容违反国家有关强制性规定的，应当停止评审工作，与政府采购代理机构沟通并作书面记录。经确认后，应当修改招标文件，重新组织采购活动。</w:t>
      </w:r>
    </w:p>
    <w:p w14:paraId="39C4D32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33.3对于投标文件中含义不明确、同类问题表述不一致或者有明显文字和计算错误的内容，评审委员会应当以书面形式要求投标人作出必要的澄清、说明或者补正。</w:t>
      </w:r>
    </w:p>
    <w:p w14:paraId="4EE61500">
      <w:pPr>
        <w:spacing w:line="288" w:lineRule="auto"/>
        <w:textAlignment w:val="baseline"/>
        <w:rPr>
          <w:rFonts w:hint="eastAsia" w:ascii="宋体" w:hAnsi="宋体" w:eastAsia="宋体" w:cs="宋体"/>
          <w:sz w:val="21"/>
          <w:szCs w:val="21"/>
        </w:rPr>
      </w:pPr>
      <w:r>
        <w:rPr>
          <w:rFonts w:hint="eastAsia" w:ascii="宋体" w:hAnsi="宋体" w:eastAsia="宋体" w:cs="宋体"/>
          <w:sz w:val="21"/>
          <w:szCs w:val="21"/>
        </w:rPr>
        <w:t>　　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BC08EE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根据本通用条款第34条，凡属于评审委员会在评审中发现的算术错误进行核实的修改不在此列。</w:t>
      </w:r>
    </w:p>
    <w:p w14:paraId="5537B91E">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34．错误的修正</w:t>
      </w:r>
    </w:p>
    <w:p w14:paraId="55C5958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投标文件报价出现前后不一致的，除专用条款另有规定外，按照下列规定修正：</w:t>
      </w:r>
    </w:p>
    <w:p w14:paraId="18064FE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34.1投标文件中开标一览表投标报价内容与投标文件中投标报价相应内容不一致的，以开标一览表为准；</w:t>
      </w:r>
    </w:p>
    <w:p w14:paraId="453363E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34.2大写金额和小写金额不一致的，以大写金额为准；</w:t>
      </w:r>
    </w:p>
    <w:p w14:paraId="5F8C3D6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34.3单价金额小数点或者百分比有明显错位，以开标一览表的总价为准，并修改单价；</w:t>
      </w:r>
    </w:p>
    <w:p w14:paraId="221B8F6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34.4总价金额与按单价汇总金额不一致的，以单价金额计算结果为准；</w:t>
      </w:r>
    </w:p>
    <w:p w14:paraId="16582740">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34.5同时出现两种以上不一致的，按照前款规定的顺序修正。修正后的报价按照本通用条款33条的规定，经投标人确认后产生约束力，投标人不确认的，其投标无效。</w:t>
      </w:r>
    </w:p>
    <w:p w14:paraId="4EE67FC4">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35．投标文件的比较与评价</w:t>
      </w:r>
    </w:p>
    <w:p w14:paraId="7BC060E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1E52BB4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评审委员会成员对需要共同认定的事项存在争议的，应当按照少数服从多数的原则作出结论。持不同意见的评审委员会成员书面作出说明，否则视为无异议。</w:t>
      </w:r>
    </w:p>
    <w:p w14:paraId="66E6D37A">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36. 实地考察、演示或设备测试</w:t>
      </w:r>
    </w:p>
    <w:p w14:paraId="404BDCD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36.1在招标过程中，评审委员会有权决定是否对本项目投标人进行现场勘察或实地考察或检验有关证明材料的原件。投标人应随时做好接受检查的准备。</w:t>
      </w:r>
    </w:p>
    <w:p w14:paraId="3964F98E">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37．评标方法</w:t>
      </w:r>
    </w:p>
    <w:p w14:paraId="71C68C4F">
      <w:pPr>
        <w:spacing w:line="288" w:lineRule="auto"/>
        <w:ind w:firstLine="413" w:firstLineChars="196"/>
        <w:rPr>
          <w:rFonts w:hint="eastAsia" w:ascii="宋体" w:hAnsi="宋体" w:eastAsia="宋体" w:cs="宋体"/>
          <w:b/>
          <w:bCs/>
          <w:sz w:val="21"/>
          <w:szCs w:val="21"/>
        </w:rPr>
      </w:pPr>
      <w:r>
        <w:rPr>
          <w:rFonts w:hint="eastAsia" w:ascii="宋体" w:hAnsi="宋体" w:eastAsia="宋体" w:cs="宋体"/>
          <w:b/>
          <w:bCs/>
          <w:sz w:val="21"/>
          <w:szCs w:val="21"/>
        </w:rPr>
        <w:t>37.1.1最低价法</w:t>
      </w:r>
    </w:p>
    <w:p w14:paraId="690196BA">
      <w:pPr>
        <w:spacing w:line="288" w:lineRule="auto"/>
        <w:ind w:firstLine="411" w:firstLineChars="196"/>
        <w:rPr>
          <w:rFonts w:hint="eastAsia" w:ascii="宋体" w:hAnsi="宋体" w:eastAsia="宋体" w:cs="宋体"/>
          <w:sz w:val="21"/>
          <w:szCs w:val="21"/>
          <w:u w:val="single"/>
        </w:rPr>
      </w:pPr>
      <w:r>
        <w:rPr>
          <w:rFonts w:hint="eastAsia" w:ascii="宋体" w:hAnsi="宋体" w:eastAsia="宋体" w:cs="宋体"/>
          <w:sz w:val="21"/>
          <w:szCs w:val="21"/>
        </w:rPr>
        <w:t>最低价法，是指完全满足招标文件实质性要求，按照报价由低到高的顺序，依据招标文件中规定的数量或者比例推荐候选中标供应商。</w:t>
      </w:r>
    </w:p>
    <w:p w14:paraId="7D004A4A">
      <w:pPr>
        <w:spacing w:line="288" w:lineRule="auto"/>
        <w:ind w:firstLine="413" w:firstLineChars="196"/>
        <w:rPr>
          <w:rFonts w:hint="eastAsia" w:ascii="宋体" w:hAnsi="宋体" w:eastAsia="宋体" w:cs="宋体"/>
          <w:b/>
          <w:bCs/>
          <w:sz w:val="21"/>
          <w:szCs w:val="21"/>
        </w:rPr>
      </w:pPr>
      <w:r>
        <w:rPr>
          <w:rFonts w:hint="eastAsia" w:ascii="宋体" w:hAnsi="宋体" w:eastAsia="宋体" w:cs="宋体"/>
          <w:b/>
          <w:bCs/>
          <w:sz w:val="21"/>
          <w:szCs w:val="21"/>
        </w:rPr>
        <w:t>37.1.2综合评分法</w:t>
      </w:r>
    </w:p>
    <w:p w14:paraId="0F2EE83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综合评分法，是指在满足招标文件实质性要求的前提下，按照招标文件中规定的各项因素进行综合评审，评标总得分排名前列的投标人，作为推荐的候选中标供应商。</w:t>
      </w:r>
    </w:p>
    <w:p w14:paraId="158FCFEA">
      <w:pPr>
        <w:spacing w:line="288" w:lineRule="auto"/>
        <w:ind w:firstLine="413" w:firstLineChars="196"/>
        <w:rPr>
          <w:rFonts w:hint="eastAsia" w:ascii="宋体" w:hAnsi="宋体" w:eastAsia="宋体" w:cs="宋体"/>
          <w:b/>
          <w:bCs/>
          <w:sz w:val="21"/>
          <w:szCs w:val="21"/>
        </w:rPr>
      </w:pPr>
      <w:r>
        <w:rPr>
          <w:rFonts w:hint="eastAsia" w:ascii="宋体" w:hAnsi="宋体" w:eastAsia="宋体" w:cs="宋体"/>
          <w:b/>
          <w:bCs/>
          <w:sz w:val="21"/>
          <w:szCs w:val="21"/>
        </w:rPr>
        <w:t>37.2 本项目采用的评标方法见本项目招标文件第一册“专用条款”的相关内容。</w:t>
      </w:r>
    </w:p>
    <w:p w14:paraId="49280B7D">
      <w:pPr>
        <w:spacing w:line="288" w:lineRule="auto"/>
        <w:ind w:firstLine="413" w:firstLineChars="196"/>
        <w:rPr>
          <w:rFonts w:hint="eastAsia" w:ascii="宋体" w:hAnsi="宋体" w:eastAsia="宋体" w:cs="宋体"/>
          <w:b/>
          <w:bCs/>
          <w:sz w:val="21"/>
          <w:szCs w:val="21"/>
        </w:rPr>
      </w:pPr>
      <w:r>
        <w:rPr>
          <w:rFonts w:hint="eastAsia" w:ascii="宋体" w:hAnsi="宋体" w:eastAsia="宋体" w:cs="宋体"/>
          <w:b/>
          <w:bCs/>
          <w:sz w:val="21"/>
          <w:szCs w:val="21"/>
        </w:rPr>
        <w:t>37.3重新评审的情形</w:t>
      </w:r>
    </w:p>
    <w:p w14:paraId="204D9F31">
      <w:pPr>
        <w:spacing w:line="288" w:lineRule="auto"/>
        <w:ind w:firstLine="411" w:firstLineChars="196"/>
        <w:rPr>
          <w:rFonts w:hint="eastAsia" w:ascii="宋体" w:hAnsi="宋体" w:eastAsia="宋体" w:cs="宋体"/>
          <w:b/>
          <w:bCs/>
          <w:sz w:val="21"/>
          <w:szCs w:val="21"/>
        </w:rPr>
      </w:pPr>
      <w:r>
        <w:rPr>
          <w:rFonts w:hint="eastAsia" w:ascii="宋体" w:hAnsi="宋体" w:eastAsia="宋体" w:cs="宋体"/>
          <w:sz w:val="21"/>
          <w:szCs w:val="21"/>
        </w:rPr>
        <w:t>评标结果汇总完成后，除下列情形外，任何人不得修改评标结果：</w:t>
      </w:r>
    </w:p>
    <w:p w14:paraId="5CE0DA0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37.3.1分值汇总计算错误的；</w:t>
      </w:r>
    </w:p>
    <w:p w14:paraId="3919972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37.3.2分项评分超出评分标准范围的；</w:t>
      </w:r>
    </w:p>
    <w:p w14:paraId="25C8DE7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37.3.3评审委员会成员对客观评审因素评分不一致的；</w:t>
      </w:r>
    </w:p>
    <w:p w14:paraId="260AEAD3">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37.3.4经评审委员会认定评分畸高、畸低的。</w:t>
      </w:r>
    </w:p>
    <w:p w14:paraId="0BDF5C9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评标报告签署前，经复核发现存在以上情形之一的，评审委员会应当当场修改评标结果，并在评标报告中记载；评标报告签署后，采购人或者采购代理机构发现存在以上情形之一的，应当组织原评审委员会进行重新评审，重新评审改变评标结果的，书面报告本级财政部门。</w:t>
      </w:r>
    </w:p>
    <w:p w14:paraId="12F0190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投标人对本条第一款情形提出质疑的，采购人或者采购代理机构可以组织原评审委员会进行重新评审，重新评审改变评标结果的，应当书面报告本级财政部门。</w:t>
      </w:r>
    </w:p>
    <w:p w14:paraId="1FFDB56E">
      <w:pPr>
        <w:spacing w:line="288" w:lineRule="auto"/>
        <w:ind w:firstLine="413" w:firstLineChars="196"/>
        <w:rPr>
          <w:rFonts w:hint="eastAsia" w:ascii="宋体" w:hAnsi="宋体" w:eastAsia="宋体" w:cs="宋体"/>
          <w:b/>
          <w:bCs/>
          <w:sz w:val="21"/>
          <w:szCs w:val="21"/>
        </w:rPr>
      </w:pPr>
      <w:r>
        <w:rPr>
          <w:rFonts w:hint="eastAsia" w:ascii="宋体" w:hAnsi="宋体" w:eastAsia="宋体" w:cs="宋体"/>
          <w:b/>
          <w:bCs/>
          <w:sz w:val="21"/>
          <w:szCs w:val="21"/>
        </w:rPr>
        <w:t xml:space="preserve"> 37.4重新组建评审委员会的情形</w:t>
      </w:r>
    </w:p>
    <w:p w14:paraId="63260F28">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评审委员会或者其成员存在下列情形导致评标结果无效的，重新组建评审委员会进行评标，并书面报告本级财政部门：</w:t>
      </w:r>
    </w:p>
    <w:p w14:paraId="4620555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37.4.1评审委员会组成不符合《政府采购货物和服务招标投标管理办法》规定的；</w:t>
      </w:r>
    </w:p>
    <w:p w14:paraId="61769BF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37.4.2有《政府采购货物和服务招标投标管理办法》第六十二条第一至五项情形的；</w:t>
      </w:r>
    </w:p>
    <w:p w14:paraId="1E4AE0E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37.4.3评审委员会及其成员独立评标受到非法干预的；</w:t>
      </w:r>
    </w:p>
    <w:p w14:paraId="39A3976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37.4.4有政府采购法实施条例第七十五条规定的违法行为的。</w:t>
      </w:r>
    </w:p>
    <w:p w14:paraId="53F4F45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有违法违规行为的原评审委员会成员不得参加重新组建的评审委员会。</w:t>
      </w:r>
    </w:p>
    <w:p w14:paraId="774E4282">
      <w:pPr>
        <w:pStyle w:val="3"/>
        <w:rPr>
          <w:szCs w:val="28"/>
        </w:rPr>
      </w:pPr>
      <w:r>
        <w:rPr>
          <w:rFonts w:hint="eastAsia" w:ascii="宋体" w:hAnsi="宋体" w:eastAsia="宋体" w:cs="宋体"/>
          <w:szCs w:val="28"/>
        </w:rPr>
        <w:t>第</w:t>
      </w:r>
      <w:r>
        <w:rPr>
          <w:rFonts w:hint="eastAsia"/>
          <w:szCs w:val="28"/>
        </w:rPr>
        <w:t>八章  定标及公示</w:t>
      </w:r>
    </w:p>
    <w:p w14:paraId="105A6912">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38．定标方法</w:t>
      </w:r>
    </w:p>
    <w:p w14:paraId="777D841E">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38.1非评定分离项目定标方法</w:t>
      </w:r>
    </w:p>
    <w:p w14:paraId="25427606">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38.1.1评审委员会依据本项目招标文件所约定的评标方法进行评审和比较，向政府采购代理机构提交书面评标报告，并根据评标方法比较评价结果从优到劣进行排序，确定候选中标供应商。</w:t>
      </w:r>
    </w:p>
    <w:p w14:paraId="01B6993A">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38.1.2采用最低价法的，评标结果按投标报价由低到高顺序排列。投标报价相同的并列。投标文件满足招标文件全部实质性要求且投标报价最低的投标人为排名第一的中标候选人（排名第二的投标人为第一递补中标候选人、排名第三的投标人为第二递补中标候选人）。</w:t>
      </w:r>
    </w:p>
    <w:p w14:paraId="5520FFC4">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38.1.3采用综合评分法的，评标结果按评审后得分由高到低顺序排列。得分相同的，按投标报价由低到高顺序排列。得分且投标报价相同的并列。投标文件满足招标文件全部实质性要求，且按照评审因素的量化指标评审得分最高的N名（N为中标供应商数量）投标人为中标供应商（排名N+1的投标人为第一替补中标候选人、排名N+2的投标人为第二替补中标候选人）。出现得分且投标报价相同的并列情况时，采取随机抽取的方式确定，具体操作办法及流程由评审委员会确定。</w:t>
      </w:r>
    </w:p>
    <w:p w14:paraId="6E00D6CC">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38.2评定分离项目定标方法</w:t>
      </w:r>
    </w:p>
    <w:p w14:paraId="313D43BA">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165BF48A">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38.2.2 适用评定分离的政府采购项目，采用综合评分法评审。评审委员会按照评审结果，推荐三个合格的候选中标供应商。</w:t>
      </w:r>
    </w:p>
    <w:p w14:paraId="60C10DED">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38.2.3适用评定分离的政府采购项目，按照自定法确定中标供应商：自定法是指采购人组织定标委员会，由定标委员会在三家候选中标供应商中确定中标供应商。</w:t>
      </w:r>
    </w:p>
    <w:p w14:paraId="694014FD">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38.2.4</w:t>
      </w:r>
      <w:r>
        <w:rPr>
          <w:rFonts w:hint="eastAsia" w:ascii="宋体" w:hAnsi="宋体" w:eastAsia="宋体" w:cs="宋体"/>
          <w:b/>
          <w:bCs/>
          <w:sz w:val="21"/>
          <w:szCs w:val="21"/>
        </w:rPr>
        <w:t>政府采购代理机构</w:t>
      </w:r>
      <w:r>
        <w:rPr>
          <w:rFonts w:hint="eastAsia" w:ascii="宋体" w:hAnsi="宋体" w:eastAsia="宋体" w:cs="宋体"/>
          <w:sz w:val="21"/>
          <w:szCs w:val="21"/>
        </w:rPr>
        <w:t>应当自评审结束之日起两个工作日内将候选中标供应商名单及其投标文件、评审报告送交采购人。采购人应当安排专人对定标过程进行书面记录，形成定标报告，作为采购文件的组成部分存档，并及时将定标结果反馈</w:t>
      </w:r>
      <w:r>
        <w:rPr>
          <w:rFonts w:hint="eastAsia" w:ascii="宋体" w:hAnsi="宋体" w:eastAsia="宋体" w:cs="宋体"/>
          <w:b/>
          <w:bCs/>
          <w:sz w:val="21"/>
          <w:szCs w:val="21"/>
        </w:rPr>
        <w:t>政府采购代理机构</w:t>
      </w:r>
      <w:r>
        <w:rPr>
          <w:rFonts w:hint="eastAsia" w:ascii="宋体" w:hAnsi="宋体" w:eastAsia="宋体" w:cs="宋体"/>
          <w:sz w:val="21"/>
          <w:szCs w:val="21"/>
        </w:rPr>
        <w:t>。具体定标程序及相关要求以按照《深圳市财政局关于印发〈深圳市政府采购评标定标分离管理办法〉的通知》（深财规【2020】1号）执行。</w:t>
      </w:r>
    </w:p>
    <w:p w14:paraId="5A720A38">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说明：采购人及投标供应商应按照上述方法提前做好相关准备。</w:t>
      </w:r>
    </w:p>
    <w:p w14:paraId="63FEFE27">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38.3专用条款另有规定的，按专用条款相关要求定标。</w:t>
      </w:r>
    </w:p>
    <w:p w14:paraId="48690904">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39．编写评标报告</w:t>
      </w:r>
    </w:p>
    <w:p w14:paraId="008BB90C">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评标报告是评审委员会根据全体评标成员签字的原始评标记录和评标结果编写的报告，评标报告由评审委员会全体成员签字。对评标结论持有异议的评审委员会成员可以书面方式阐述其不同意见和理由。评审委员会成员拒绝在评标报告上签字且不陈述其不同意见和理由的，视为同意评标结论。评审委员会应当对此作出书面说明并记录存档。</w:t>
      </w:r>
    </w:p>
    <w:p w14:paraId="0B46A5A1">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40．中标公告</w:t>
      </w:r>
    </w:p>
    <w:p w14:paraId="304CC1AB">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40.1为体现“公开、公平、公正”的原则，评审结束后经采购人确认（确定）评审结果，政府采购代理机构将在“深圳政府采购智慧平台（http://zfcg.szggzy.com:8081/）”上发布中标结果公告。供应商如对评审结果有异议，可在发布公示日期起七个工作日内向政府采购代理机构提出。 监督电话：0755-83948143。若在公示期内未提出质疑，则视为认同该评审结果。</w:t>
      </w:r>
    </w:p>
    <w:p w14:paraId="0BAE9A99">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40.2质疑、投诉供应商应保证质疑、投诉内容的真实性和可靠性，并承担相应的法律责任。</w:t>
      </w:r>
    </w:p>
    <w:p w14:paraId="446D96C4">
      <w:pPr>
        <w:spacing w:line="360" w:lineRule="auto"/>
        <w:rPr>
          <w:rFonts w:hint="eastAsia" w:ascii="宋体" w:hAnsi="宋体" w:eastAsia="宋体" w:cs="宋体"/>
          <w:sz w:val="21"/>
          <w:szCs w:val="21"/>
        </w:rPr>
      </w:pPr>
      <w:r>
        <w:rPr>
          <w:rFonts w:hint="eastAsia" w:ascii="宋体" w:hAnsi="宋体" w:eastAsia="宋体" w:cs="宋体"/>
          <w:sz w:val="21"/>
          <w:szCs w:val="21"/>
        </w:rPr>
        <w:t>41．中标通知书</w:t>
      </w:r>
    </w:p>
    <w:p w14:paraId="3B3DC1B8">
      <w:pPr>
        <w:pStyle w:val="9"/>
        <w:spacing w:line="360" w:lineRule="auto"/>
        <w:rPr>
          <w:rFonts w:hint="eastAsia" w:ascii="宋体" w:hAnsi="宋体" w:eastAsia="宋体" w:cs="宋体"/>
          <w:sz w:val="21"/>
          <w:szCs w:val="21"/>
        </w:rPr>
      </w:pPr>
      <w:r>
        <w:rPr>
          <w:rFonts w:hint="eastAsia" w:ascii="宋体" w:hAnsi="宋体" w:eastAsia="宋体" w:cs="宋体"/>
          <w:sz w:val="21"/>
          <w:szCs w:val="21"/>
        </w:rPr>
        <w:t>41.1中标公告公布以后无异常的情况下,中标供应商和采购人可自行在“深圳政府采购智慧平台（http://zfcg.szggzy.com:8081/）”上打印《数字中标通知书》（咨询电话：0755-88653300，转6）。</w:t>
      </w:r>
    </w:p>
    <w:p w14:paraId="4B3D9034">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41.2中标通知书是合同的重要组成部分。</w:t>
      </w:r>
    </w:p>
    <w:p w14:paraId="13D1E4FF">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41.3因质疑投诉或其它原因导致项目结果变更或采购终止的，政府采购代理机构有权吊销中标通知书。</w:t>
      </w:r>
    </w:p>
    <w:p w14:paraId="764AD6C3">
      <w:pPr>
        <w:pStyle w:val="3"/>
        <w:rPr>
          <w:szCs w:val="28"/>
        </w:rPr>
      </w:pPr>
      <w:r>
        <w:rPr>
          <w:rFonts w:hint="eastAsia" w:ascii="宋体" w:hAnsi="宋体" w:eastAsia="宋体" w:cs="宋体"/>
          <w:szCs w:val="28"/>
        </w:rPr>
        <w:t>第</w:t>
      </w:r>
      <w:r>
        <w:rPr>
          <w:rFonts w:hint="eastAsia"/>
          <w:szCs w:val="28"/>
        </w:rPr>
        <w:t>九章  公开招标失败的后续处理</w:t>
      </w:r>
    </w:p>
    <w:p w14:paraId="301DE5A9">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42．公开招标失败的处理</w:t>
      </w:r>
    </w:p>
    <w:p w14:paraId="060050C0">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42.1本项目公开招标过程中若由于投标截止后实际递交投标文件的供应商数量不足、经评审委员会评审对招标文件作实质响应的供应商不足等原因造成公开招标失败，可由政府采购代理机构重新组织采购。</w:t>
      </w:r>
    </w:p>
    <w:p w14:paraId="55268CBF">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42.2对公开招标失败的项目，评审委员会在出具该项目招标失败结论的同时，提出重新采购组织形式的建议，以及进一步完善招标文件的资格、技术、商务要求的修改建议。</w:t>
      </w:r>
    </w:p>
    <w:p w14:paraId="42F261AA">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42.3重新组织采购有以下两种组织形式：</w:t>
      </w:r>
    </w:p>
    <w:p w14:paraId="67998E46">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（1）由政府采购代理机构重新组织公开招标；</w:t>
      </w:r>
    </w:p>
    <w:p w14:paraId="08F3F344">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（2）根据实际情况需要向政府采购监督管理部门提出非公开招标方式申请，经政府采购监督管理部门批准，公开招标失败采购项目可转为竞争性谈判或单一来源谈判方式采购。</w:t>
      </w:r>
    </w:p>
    <w:p w14:paraId="11C83765">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42.4公开招标失败的采购项目重新组织公开招标，由政府采购代理机构重新按公开招标流程组织采购活动。</w:t>
      </w:r>
    </w:p>
    <w:p w14:paraId="4901E04D">
      <w:pPr>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42.5公开招标失败的采购项目经政府采购监督管理部门批准转为竞争性谈判或单一来源谈判方式采购的，按规定要求组织政府采购工作。</w:t>
      </w:r>
    </w:p>
    <w:p w14:paraId="6806D62B">
      <w:pPr>
        <w:pStyle w:val="3"/>
        <w:rPr>
          <w:szCs w:val="28"/>
        </w:rPr>
      </w:pPr>
      <w:r>
        <w:rPr>
          <w:rFonts w:hint="eastAsia" w:ascii="宋体" w:hAnsi="宋体" w:eastAsia="宋体" w:cs="宋体"/>
          <w:szCs w:val="28"/>
        </w:rPr>
        <w:t>第</w:t>
      </w:r>
      <w:r>
        <w:rPr>
          <w:rFonts w:hint="eastAsia"/>
          <w:szCs w:val="28"/>
        </w:rPr>
        <w:t>十章  合同的授予与备案</w:t>
      </w:r>
    </w:p>
    <w:p w14:paraId="6953148C">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43．合同授予标准</w:t>
      </w:r>
    </w:p>
    <w:p w14:paraId="3348326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本项目的合同将授予按本招标文件规定评审确定的中标人。</w:t>
      </w:r>
    </w:p>
    <w:p w14:paraId="73C25056">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44．接受和拒绝任何或所有投标的权力</w:t>
      </w:r>
    </w:p>
    <w:p w14:paraId="0090F8E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政府采购代理机构和采购人保留在投标之前任何时候接受或拒绝任何投标或所有投标，以及宣布招标无效的权力，对受影响的投标人不承担任何责任，也无义务向受影响的投标人解释采取这一行动的理由。</w:t>
      </w:r>
    </w:p>
    <w:p w14:paraId="54AA04A5">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45．合同协议书的签订</w:t>
      </w:r>
    </w:p>
    <w:p w14:paraId="19810D6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45.1中标人将于中标通知书发出之日起十个工作日内，按照采购文件（招标文件和投标文件等）内容与采购人签订政府采购合同；合同的实质性内容应当符合招标文件的规定；</w:t>
      </w:r>
    </w:p>
    <w:p w14:paraId="06EBF71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45.2中标人如不按本通用条款第45.1款的规定与采购人签订合同，情节严重的，并由主管部门记入供应商诚信档案，予以通报；</w:t>
      </w:r>
    </w:p>
    <w:p w14:paraId="257322EB">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45.3中标人应当按照合同约定履行义务，完成中标项目，不得将中标项目转让（转包）给他人。</w:t>
      </w:r>
    </w:p>
    <w:p w14:paraId="4D0F6AFC">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46．履约担保</w:t>
      </w:r>
    </w:p>
    <w:p w14:paraId="638828A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46.1在签订项目合同的同时，中标人应按“对通用条款的补充内容”中规定的金额向采购人提交履约保证金（除现金方式外，允许供应商自主选择以支票、汇票、本票、保函等非现金方式缴纳或提交保证金）；</w:t>
      </w:r>
    </w:p>
    <w:p w14:paraId="798D5A9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46.2如果中标人不能按“对通用条款的补充内容”中规定的金额向采购人提交履约保证金，采购人将有充分的理由通过政府采购监督管理部门废除中标，给采购人造成的损失应当予以赔偿；</w:t>
      </w:r>
    </w:p>
    <w:p w14:paraId="3ED9930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46.3项目服务期满之后,经验收合格后，采购人在七日内办理解除履约担保手续。</w:t>
      </w:r>
    </w:p>
    <w:p w14:paraId="3BEB09C1">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47. 合同的备案</w:t>
      </w:r>
    </w:p>
    <w:p w14:paraId="42E1F526">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采购人与中标人应于合同签订之日起十日内，由采购人或委托中标人将采购合同副本抄送合同备案工作实施机构备案。</w:t>
      </w:r>
    </w:p>
    <w:p w14:paraId="718689F2">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48. 合同的变更</w:t>
      </w:r>
    </w:p>
    <w:p w14:paraId="5166EC45">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合同变更事宜按</w:t>
      </w:r>
      <w:r>
        <w:rPr>
          <w:rFonts w:hint="eastAsia" w:ascii="宋体" w:hAnsi="宋体" w:eastAsia="宋体" w:cs="宋体"/>
          <w:sz w:val="21"/>
          <w:szCs w:val="21"/>
          <w:u w:val="single"/>
        </w:rPr>
        <w:t>《深圳市财政局关于优化政府采购合同备案的通知》（深财发保〔2022〕2号）</w:t>
      </w:r>
      <w:r>
        <w:rPr>
          <w:rFonts w:hint="eastAsia" w:ascii="宋体" w:hAnsi="宋体" w:eastAsia="宋体" w:cs="宋体"/>
          <w:sz w:val="21"/>
          <w:szCs w:val="21"/>
        </w:rPr>
        <w:t>相关规定执行。</w:t>
      </w:r>
    </w:p>
    <w:p w14:paraId="7482E782">
      <w:pPr>
        <w:spacing w:line="288" w:lineRule="auto"/>
        <w:rPr>
          <w:rFonts w:hint="eastAsia" w:ascii="宋体" w:hAnsi="宋体" w:eastAsia="宋体" w:cs="宋体"/>
          <w:sz w:val="21"/>
          <w:szCs w:val="21"/>
        </w:rPr>
      </w:pPr>
      <w:r>
        <w:rPr>
          <w:rFonts w:hint="eastAsia" w:ascii="宋体" w:hAnsi="宋体" w:eastAsia="宋体" w:cs="宋体"/>
          <w:sz w:val="21"/>
          <w:szCs w:val="21"/>
        </w:rPr>
        <w:t>49. 项目验收</w:t>
      </w:r>
    </w:p>
    <w:p w14:paraId="5CF85B43">
      <w:pPr>
        <w:spacing w:line="288" w:lineRule="auto"/>
        <w:ind w:right="176" w:firstLine="420"/>
        <w:rPr>
          <w:rFonts w:hint="eastAsia" w:ascii="宋体" w:hAnsi="宋体" w:eastAsia="宋体" w:cs="宋体"/>
          <w:sz w:val="21"/>
          <w:szCs w:val="21"/>
        </w:rPr>
      </w:pPr>
      <w:r>
        <w:rPr>
          <w:rFonts w:hint="eastAsia" w:ascii="宋体" w:hAnsi="宋体" w:eastAsia="宋体" w:cs="宋体"/>
          <w:sz w:val="21"/>
          <w:szCs w:val="21"/>
        </w:rPr>
        <w:t>49.1采购人应当按照招标文件和合同规定的标准和方法，及时组织验收。</w:t>
      </w:r>
    </w:p>
    <w:p w14:paraId="3ED20F0D">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50. 宣传</w:t>
      </w:r>
    </w:p>
    <w:p w14:paraId="1B984D47">
      <w:pPr>
        <w:spacing w:line="288" w:lineRule="auto"/>
        <w:ind w:left="240" w:leftChars="100" w:firstLine="411" w:firstLineChars="196"/>
        <w:rPr>
          <w:rFonts w:hint="eastAsia" w:ascii="宋体" w:hAnsi="宋体" w:eastAsia="宋体" w:cs="宋体"/>
          <w:sz w:val="21"/>
          <w:szCs w:val="21"/>
        </w:rPr>
      </w:pPr>
      <w:r>
        <w:rPr>
          <w:rFonts w:hint="eastAsia" w:ascii="宋体" w:hAnsi="宋体" w:eastAsia="宋体" w:cs="宋体"/>
          <w:sz w:val="21"/>
          <w:szCs w:val="21"/>
        </w:rPr>
        <w:t>凡与政府采购活动有关的宣传或广告，若当中提及政府采购，必须事先将具体对外宣传方案报同级财政部门和政府采购代理机构，并征得其同意。对外市场宣传包括但不限于以下形式：</w:t>
      </w:r>
    </w:p>
    <w:p w14:paraId="3CD95151">
      <w:pPr>
        <w:spacing w:line="288" w:lineRule="auto"/>
        <w:ind w:left="240" w:leftChars="100" w:firstLine="411" w:firstLineChars="196"/>
        <w:rPr>
          <w:rFonts w:hint="eastAsia" w:ascii="宋体" w:hAnsi="宋体" w:eastAsia="宋体" w:cs="宋体"/>
          <w:sz w:val="21"/>
          <w:szCs w:val="21"/>
        </w:rPr>
      </w:pPr>
      <w:r>
        <w:rPr>
          <w:rFonts w:hint="eastAsia" w:ascii="宋体" w:hAnsi="宋体" w:eastAsia="宋体" w:cs="宋体"/>
          <w:sz w:val="21"/>
          <w:szCs w:val="21"/>
        </w:rPr>
        <w:t>a.名片、宣传册、广告标语等；</w:t>
      </w:r>
    </w:p>
    <w:p w14:paraId="781176ED">
      <w:pPr>
        <w:spacing w:line="288" w:lineRule="auto"/>
        <w:ind w:left="240" w:leftChars="100" w:firstLine="411" w:firstLineChars="196"/>
        <w:rPr>
          <w:rFonts w:hint="eastAsia" w:ascii="宋体" w:hAnsi="宋体" w:eastAsia="宋体" w:cs="宋体"/>
          <w:sz w:val="21"/>
          <w:szCs w:val="21"/>
        </w:rPr>
      </w:pPr>
      <w:r>
        <w:rPr>
          <w:rFonts w:hint="eastAsia" w:ascii="宋体" w:hAnsi="宋体" w:eastAsia="宋体" w:cs="宋体"/>
          <w:sz w:val="21"/>
          <w:szCs w:val="21"/>
        </w:rPr>
        <w:t>b.案例介绍、推广等；</w:t>
      </w:r>
    </w:p>
    <w:p w14:paraId="510C4E85">
      <w:pPr>
        <w:spacing w:line="288" w:lineRule="auto"/>
        <w:ind w:left="240" w:leftChars="100" w:firstLine="411" w:firstLineChars="196"/>
        <w:rPr>
          <w:rFonts w:hint="eastAsia" w:ascii="宋体" w:hAnsi="宋体" w:eastAsia="宋体" w:cs="宋体"/>
          <w:sz w:val="21"/>
          <w:szCs w:val="21"/>
        </w:rPr>
      </w:pPr>
      <w:r>
        <w:rPr>
          <w:rFonts w:hint="eastAsia" w:ascii="宋体" w:hAnsi="宋体" w:eastAsia="宋体" w:cs="宋体"/>
          <w:sz w:val="21"/>
          <w:szCs w:val="21"/>
        </w:rPr>
        <w:t>c.工作人员向其他消费群体宣传。</w:t>
      </w:r>
    </w:p>
    <w:p w14:paraId="602D17DC">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51. 供应商违法责任</w:t>
      </w:r>
    </w:p>
    <w:p w14:paraId="3CF94111">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51.1《深圳经济特区政府采购条例》第五十七条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41420377">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（1）在采购活动中应当回避而未回避的；</w:t>
      </w:r>
    </w:p>
    <w:p w14:paraId="1C8BC15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（2）未按本条例规定签订、履行采购合同，造成严重后果的；</w:t>
      </w:r>
    </w:p>
    <w:p w14:paraId="38855A5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（3）隐瞒真实情况，提供虚假资料的；</w:t>
      </w:r>
    </w:p>
    <w:p w14:paraId="6EE84BE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（4）以非法手段排斥其他供应商参与竞争的；</w:t>
      </w:r>
    </w:p>
    <w:p w14:paraId="60B46D2D">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（5）与其他采购参加人串通投标的；</w:t>
      </w:r>
    </w:p>
    <w:p w14:paraId="04CD413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（6）恶意投诉的；</w:t>
      </w:r>
    </w:p>
    <w:p w14:paraId="514BF46F">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（7）向采购项目相关人行贿或者提供其他不当利益的；</w:t>
      </w:r>
    </w:p>
    <w:p w14:paraId="69ED202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（8）阻碍、抗拒主管部门监督检查的；</w:t>
      </w:r>
    </w:p>
    <w:p w14:paraId="48F7BCE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（9）其他违反本条例规定的行为。</w:t>
      </w:r>
    </w:p>
    <w:p w14:paraId="6317CFD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51.2 根据《深圳市财政局关于明确政府采购保证金管理工作的通知》（深财购[2019]42号）的要求，供应商在政府采购活动中出现《深圳经济特区政府采购条例实施细则》第八十四条所列情形的，采购人或政府采购代理机构可将有关情况报同级财政部门，由财政部门根据实际情况记入供应商诚信档案，予以通报：</w:t>
      </w:r>
    </w:p>
    <w:p w14:paraId="238DAC6C">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（1）投标截止后，撤销投标的；</w:t>
      </w:r>
    </w:p>
    <w:p w14:paraId="0D1C76FE">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（2）中标后无正当理由未在规定期限内签订合同的；</w:t>
      </w:r>
    </w:p>
    <w:p w14:paraId="180D93E4">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（3）将中标项目转让给他人、或者在投标文件中未说明且未经采购人、采购招标机构同意，将中标项目分包给他人的；</w:t>
      </w:r>
    </w:p>
    <w:p w14:paraId="5BEF4C59">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（4）拒绝履行合同义务的。</w:t>
      </w:r>
    </w:p>
    <w:p w14:paraId="0650C6DB">
      <w:pPr>
        <w:pStyle w:val="3"/>
        <w:rPr>
          <w:szCs w:val="28"/>
        </w:rPr>
      </w:pPr>
      <w:r>
        <w:rPr>
          <w:rFonts w:hint="eastAsia" w:ascii="宋体" w:hAnsi="宋体" w:eastAsia="宋体" w:cs="宋体"/>
          <w:szCs w:val="28"/>
        </w:rPr>
        <w:t>第</w:t>
      </w:r>
      <w:r>
        <w:rPr>
          <w:rFonts w:hint="eastAsia"/>
          <w:szCs w:val="28"/>
        </w:rPr>
        <w:t>十一章  质疑处理</w:t>
      </w:r>
    </w:p>
    <w:p w14:paraId="63E96ED6">
      <w:pPr>
        <w:spacing w:line="288" w:lineRule="auto"/>
        <w:rPr>
          <w:rFonts w:hint="eastAsia" w:ascii="宋体" w:hAnsi="宋体" w:eastAsia="宋体" w:cs="宋体"/>
          <w:b/>
          <w:bCs/>
          <w:sz w:val="21"/>
          <w:szCs w:val="21"/>
        </w:rPr>
      </w:pPr>
      <w:r>
        <w:rPr>
          <w:rFonts w:hint="eastAsia" w:ascii="宋体" w:hAnsi="宋体" w:eastAsia="宋体" w:cs="宋体"/>
          <w:b/>
          <w:bCs/>
          <w:sz w:val="21"/>
          <w:szCs w:val="21"/>
        </w:rPr>
        <w:t>52.质疑提出与答复</w:t>
      </w:r>
    </w:p>
    <w:p w14:paraId="0D4DF930">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52.1提出质疑</w:t>
      </w:r>
    </w:p>
    <w:p w14:paraId="035D5A11">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参与政府采购活动的供应商认为自己的权益在采购活动中受到损害的，应当自知道或者应当知道其权益受到损害之日起七个工作日内向采购人、政府采购代理机构以书面形式提出质疑。</w:t>
      </w:r>
    </w:p>
    <w:p w14:paraId="2F54F76C">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52.2法律依据</w:t>
      </w:r>
    </w:p>
    <w:p w14:paraId="69A4BB61">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6FB56D93">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52.3质疑条件</w:t>
      </w:r>
    </w:p>
    <w:p w14:paraId="1E398B7A">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52.3.1提出质疑的供应商应当是参与所质疑项目采购活动的供应商；</w:t>
      </w:r>
    </w:p>
    <w:p w14:paraId="20A89087">
      <w:pPr>
        <w:spacing w:line="288" w:lineRule="auto"/>
        <w:textAlignment w:val="center"/>
        <w:rPr>
          <w:rFonts w:hint="eastAsia" w:ascii="宋体" w:hAnsi="宋体" w:eastAsia="宋体" w:cs="宋体"/>
          <w:sz w:val="21"/>
          <w:szCs w:val="21"/>
        </w:rPr>
      </w:pPr>
      <w:r>
        <w:rPr>
          <w:rFonts w:hint="eastAsia" w:ascii="宋体" w:hAnsi="宋体" w:eastAsia="宋体" w:cs="宋体"/>
          <w:sz w:val="21"/>
          <w:szCs w:val="21"/>
        </w:rPr>
        <w:t xml:space="preserve">    52.3.2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结果以及评审委员会组成人员的质疑，为中标结果公示之日；</w:t>
      </w:r>
    </w:p>
    <w:p w14:paraId="7DBD5046">
      <w:pPr>
        <w:spacing w:line="288" w:lineRule="auto"/>
        <w:ind w:firstLine="420"/>
        <w:rPr>
          <w:rFonts w:hint="eastAsia" w:ascii="宋体" w:hAnsi="宋体" w:eastAsia="宋体" w:cs="宋体"/>
          <w:sz w:val="21"/>
          <w:szCs w:val="21"/>
        </w:rPr>
      </w:pPr>
      <w:r>
        <w:rPr>
          <w:rFonts w:hint="eastAsia" w:ascii="宋体" w:hAnsi="宋体" w:eastAsia="宋体" w:cs="宋体"/>
          <w:sz w:val="21"/>
          <w:szCs w:val="21"/>
        </w:rPr>
        <w:t>52.3.3应提交书面质疑函，质疑函应当包括以下内容：</w:t>
      </w:r>
    </w:p>
    <w:p w14:paraId="62BD8756">
      <w:pPr>
        <w:spacing w:line="288" w:lineRule="auto"/>
        <w:ind w:firstLine="420"/>
        <w:rPr>
          <w:rFonts w:hint="eastAsia" w:ascii="宋体" w:hAnsi="宋体" w:eastAsia="宋体" w:cs="宋体"/>
          <w:sz w:val="21"/>
          <w:szCs w:val="21"/>
        </w:rPr>
      </w:pPr>
      <w:r>
        <w:rPr>
          <w:rFonts w:hint="eastAsia" w:ascii="宋体" w:hAnsi="宋体" w:eastAsia="宋体" w:cs="宋体"/>
          <w:sz w:val="21"/>
          <w:szCs w:val="21"/>
        </w:rPr>
        <w:t>（1）供应商的名称（或者姓名）、地址、邮编、邮箱、联系人及联系电话；</w:t>
      </w:r>
    </w:p>
    <w:p w14:paraId="1BFDDC77">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（2）质疑项目的名称、编号；</w:t>
      </w:r>
    </w:p>
    <w:p w14:paraId="74FF7C1F">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（3）具体、明确的质疑对象、质疑事项和质疑请求；</w:t>
      </w:r>
    </w:p>
    <w:p w14:paraId="0849A8A0">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（4）因质疑事项而受损害的权益；</w:t>
      </w:r>
    </w:p>
    <w:p w14:paraId="0CD6C33E">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（5）事实依据；</w:t>
      </w:r>
    </w:p>
    <w:p w14:paraId="260CCF15">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（6）必要的法律依据；</w:t>
      </w:r>
    </w:p>
    <w:p w14:paraId="54711CE3">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（7）提出质疑的日期。</w:t>
      </w:r>
    </w:p>
    <w:p w14:paraId="126E1C84">
      <w:pPr>
        <w:spacing w:line="288" w:lineRule="auto"/>
        <w:ind w:firstLine="420"/>
        <w:rPr>
          <w:rFonts w:hint="eastAsia" w:ascii="宋体" w:hAnsi="宋体" w:eastAsia="宋体" w:cs="宋体"/>
          <w:sz w:val="21"/>
          <w:szCs w:val="21"/>
        </w:rPr>
      </w:pPr>
      <w:r>
        <w:rPr>
          <w:rFonts w:hint="eastAsia" w:ascii="宋体" w:hAnsi="宋体" w:eastAsia="宋体" w:cs="宋体"/>
          <w:sz w:val="21"/>
          <w:szCs w:val="21"/>
        </w:rPr>
        <w:t>注：质疑函范本可按招标公告指引在相关网站下载。供应商为自然人的，应当由本人签字；供应商为法人或者其他组织的，应当由法定代表人（负责人），或者其授权代理人签字或者盖章，并加盖公章。</w:t>
      </w:r>
    </w:p>
    <w:p w14:paraId="2548A495">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52.4提交材料</w:t>
      </w:r>
    </w:p>
    <w:p w14:paraId="6EDEBD8B">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供应商质疑实行实名制。供应商为自然人的，应当提交本人身份证复印件；供应商为法人或者其他组织的，应当根据自身性质提交营业执照复印件或者其他证明文件（如事业单位法人证书等）复印件。</w:t>
      </w:r>
    </w:p>
    <w:p w14:paraId="721A8065">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DBC891D">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52.5提交方式</w:t>
      </w:r>
    </w:p>
    <w:p w14:paraId="44E5296D">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52.5.1请质疑供应商根据深圳政府采购智慧平台（http://zfcg.szggzy.com:8081/）所发布的质疑指引、质疑函模板填写质疑函并提交质疑材料。地址：中国远东国际招标有限公司（深圳分公司），质疑咨询电话：0755-82078119.82078919。</w:t>
      </w:r>
    </w:p>
    <w:p w14:paraId="2673193C">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52.6收文办理程序</w:t>
      </w:r>
    </w:p>
    <w:p w14:paraId="289BD616">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52.6.1供应商提交的质疑符合受理条件的，政府采购代理机构自收到质疑材料之日起即为受理。</w:t>
      </w:r>
    </w:p>
    <w:p w14:paraId="7D70C1CF">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52.6.2供应商提交的质疑材料不符合质疑条件的，视情况处理：</w:t>
      </w:r>
    </w:p>
    <w:p w14:paraId="69C82EC3">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供应商提交的质疑材料不全或者未按要求签字或者盖章的，政府采购代理机构应当一次性告知供应商需补正的内容和补正期限。</w:t>
      </w:r>
    </w:p>
    <w:p w14:paraId="3FB6E5C0">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供应商提交的质疑存在下列情形之一的，不予受理：</w:t>
      </w:r>
    </w:p>
    <w:p w14:paraId="6698DAB4">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（1）质疑主体不满足要求的；</w:t>
      </w:r>
    </w:p>
    <w:p w14:paraId="110B1112">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（2）供应商自身权益未受到损害的；</w:t>
      </w:r>
    </w:p>
    <w:p w14:paraId="709AA5AB">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（3）供应商未在法定质疑期限内提出质疑的；</w:t>
      </w:r>
    </w:p>
    <w:p w14:paraId="77D291EB">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（4）质疑材料不全或者未按要求签字或者盖章的情况下，要求补正后，逾期未补正或者补正后仍不符合规定的；</w:t>
      </w:r>
    </w:p>
    <w:p w14:paraId="6434EDDD">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（5）其他不符合受理条件情形的。</w:t>
      </w:r>
    </w:p>
    <w:p w14:paraId="5D961D1C">
      <w:pPr>
        <w:spacing w:line="288"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质疑事项不予受理的，政府采购代理机构应当向供应商出具不符合质疑条件告知书。</w:t>
      </w:r>
    </w:p>
    <w:p w14:paraId="62E7B59A">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52.7质疑答复时限</w:t>
      </w:r>
    </w:p>
    <w:p w14:paraId="6E2ECD81">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自收文之日起七个工作日内。参与供应商应在在法定质疑期内一次性提出针对同一采购程序环节的质疑。</w:t>
      </w:r>
    </w:p>
    <w:p w14:paraId="148EB1AC">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52.8投诉</w:t>
      </w:r>
    </w:p>
    <w:p w14:paraId="4142C4DD">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对质疑答复不满意或者未在规定时间内答复的，提出质疑的供应商可以在答复期满后15个工作日内向深圳市财政局投诉。</w:t>
      </w:r>
    </w:p>
    <w:p w14:paraId="398720A9">
      <w:pPr>
        <w:spacing w:line="288"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53. 质疑后续处理</w:t>
      </w:r>
    </w:p>
    <w:p w14:paraId="0FFCCD16">
      <w:pPr>
        <w:spacing w:line="288" w:lineRule="auto"/>
        <w:rPr>
          <w:rFonts w:hint="eastAsia" w:ascii="宋体" w:hAnsi="宋体" w:eastAsia="宋体" w:cs="宋体"/>
          <w:sz w:val="21"/>
          <w:szCs w:val="21"/>
        </w:rPr>
      </w:pPr>
      <w:r>
        <w:rPr>
          <w:rFonts w:hint="eastAsia" w:ascii="宋体" w:hAnsi="宋体" w:eastAsia="宋体" w:cs="宋体"/>
          <w:sz w:val="21"/>
          <w:szCs w:val="21"/>
        </w:rPr>
        <w:t xml:space="preserve">    53.1供应商质疑不成立，或者成立但未对中标、成交结果构成影响的，继续开展采购活动。</w:t>
      </w:r>
    </w:p>
    <w:p w14:paraId="705488BA">
      <w:pPr>
        <w:spacing w:line="288"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760E2933">
      <w:pPr>
        <w:rPr>
          <w:sz w:val="28"/>
          <w:szCs w:val="28"/>
        </w:rPr>
      </w:pPr>
    </w:p>
    <w:p w14:paraId="184F7D72">
      <w:pPr>
        <w:pStyle w:val="3"/>
        <w:rPr>
          <w:szCs w:val="28"/>
        </w:rPr>
      </w:pPr>
      <w:r>
        <w:rPr>
          <w:rFonts w:hint="eastAsia" w:ascii="宋体" w:hAnsi="宋体" w:eastAsia="宋体" w:cs="宋体"/>
          <w:szCs w:val="28"/>
        </w:rPr>
        <w:t>第</w:t>
      </w:r>
      <w:r>
        <w:rPr>
          <w:rFonts w:hint="eastAsia"/>
          <w:szCs w:val="28"/>
        </w:rPr>
        <w:t>十二章  附录（相关政策）</w:t>
      </w:r>
    </w:p>
    <w:tbl>
      <w:tblPr>
        <w:tblStyle w:val="29"/>
        <w:tblW w:w="99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8784"/>
      </w:tblGrid>
      <w:tr w14:paraId="5AD055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3C8C31E4">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附件1：</w:t>
            </w:r>
          </w:p>
        </w:tc>
        <w:tc>
          <w:tcPr>
            <w:tcW w:w="8575" w:type="dxa"/>
            <w:tcBorders>
              <w:tl2br w:val="nil"/>
              <w:tr2bl w:val="nil"/>
            </w:tcBorders>
            <w:vAlign w:val="center"/>
          </w:tcPr>
          <w:p w14:paraId="6962C97F">
            <w:pPr>
              <w:widowControl w:val="0"/>
              <w:jc w:val="left"/>
              <w:outlineLvl w:val="2"/>
              <w:rPr>
                <w:rFonts w:hint="eastAsia" w:ascii="宋体" w:hAnsi="宋体" w:eastAsia="宋体" w:cs="宋体"/>
                <w:sz w:val="18"/>
                <w:szCs w:val="18"/>
              </w:rPr>
            </w:pPr>
            <w:r>
              <w:rPr>
                <w:rFonts w:hint="eastAsia" w:ascii="宋体" w:hAnsi="宋体" w:eastAsia="宋体" w:cs="宋体"/>
                <w:sz w:val="18"/>
                <w:szCs w:val="18"/>
              </w:rPr>
              <w:t>财政部 工业和信息化部关于印发《政府采购促进中小企业发展管理办法》的通知（财库〔2020〕46 号）</w:t>
            </w:r>
          </w:p>
          <w:p w14:paraId="0DD90CE5">
            <w:pPr>
              <w:widowControl w:val="0"/>
              <w:jc w:val="both"/>
              <w:outlineLvl w:val="2"/>
              <w:rPr>
                <w:sz w:val="18"/>
                <w:szCs w:val="18"/>
              </w:rPr>
            </w:pPr>
            <w:r>
              <w:fldChar w:fldCharType="begin"/>
            </w:r>
            <w:r>
              <w:instrText xml:space="preserve"> HYPERLINK "https://gks.mof.gov.cn/guizhangzhidu/202012/t20201228_3637419.htm" </w:instrText>
            </w:r>
            <w:r>
              <w:fldChar w:fldCharType="separate"/>
            </w:r>
            <w:r>
              <w:rPr>
                <w:rFonts w:hint="eastAsia" w:ascii="宋体" w:hAnsi="宋体" w:eastAsia="宋体" w:cs="宋体"/>
                <w:sz w:val="18"/>
                <w:szCs w:val="18"/>
              </w:rPr>
              <w:t>https://gks.mof.gov.cn/guizhangzhidu/202012/t20201228_3637419.htm</w:t>
            </w:r>
            <w:r>
              <w:rPr>
                <w:rFonts w:hint="eastAsia" w:ascii="宋体" w:hAnsi="宋体" w:eastAsia="宋体" w:cs="宋体"/>
                <w:sz w:val="18"/>
                <w:szCs w:val="18"/>
              </w:rPr>
              <w:fldChar w:fldCharType="end"/>
            </w:r>
          </w:p>
        </w:tc>
      </w:tr>
      <w:tr w14:paraId="0AD5A1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055BC5D8">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附件2：</w:t>
            </w:r>
          </w:p>
        </w:tc>
        <w:tc>
          <w:tcPr>
            <w:tcW w:w="8575" w:type="dxa"/>
            <w:tcBorders>
              <w:tl2br w:val="nil"/>
              <w:tr2bl w:val="nil"/>
            </w:tcBorders>
            <w:vAlign w:val="center"/>
          </w:tcPr>
          <w:p w14:paraId="2CC19516">
            <w:pPr>
              <w:widowControl w:val="0"/>
              <w:jc w:val="both"/>
              <w:outlineLvl w:val="2"/>
              <w:rPr>
                <w:rFonts w:hint="eastAsia" w:ascii="宋体" w:hAnsi="宋体" w:eastAsia="宋体" w:cs="宋体"/>
                <w:sz w:val="18"/>
                <w:szCs w:val="18"/>
              </w:rPr>
            </w:pPr>
            <w:r>
              <w:rPr>
                <w:rFonts w:hint="eastAsia" w:ascii="宋体" w:hAnsi="宋体" w:eastAsia="宋体" w:cs="宋体"/>
                <w:sz w:val="18"/>
                <w:szCs w:val="18"/>
              </w:rPr>
              <w:t>《金融业企业划型标准规定》（银发〔2015〕309 号）</w:t>
            </w:r>
          </w:p>
          <w:p w14:paraId="19812784">
            <w:pPr>
              <w:widowControl w:val="0"/>
              <w:jc w:val="both"/>
              <w:outlineLvl w:val="2"/>
              <w:rPr>
                <w:rFonts w:hint="eastAsia" w:ascii="宋体" w:hAnsi="宋体" w:eastAsia="宋体" w:cs="宋体"/>
                <w:sz w:val="18"/>
                <w:szCs w:val="18"/>
              </w:rPr>
            </w:pPr>
            <w:r>
              <w:rPr>
                <w:rFonts w:hint="eastAsia" w:ascii="宋体" w:hAnsi="宋体" w:eastAsia="宋体" w:cs="宋体"/>
                <w:sz w:val="18"/>
                <w:szCs w:val="18"/>
              </w:rPr>
              <w:t>https://www.stats.gov.cn/sj/tjbz/gjtjbz/202302/P020230213402684274414.pdf</w:t>
            </w:r>
          </w:p>
        </w:tc>
      </w:tr>
      <w:tr w14:paraId="6CDBB5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409284D1">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附件3：</w:t>
            </w:r>
          </w:p>
        </w:tc>
        <w:tc>
          <w:tcPr>
            <w:tcW w:w="8575" w:type="dxa"/>
            <w:tcBorders>
              <w:tl2br w:val="nil"/>
              <w:tr2bl w:val="nil"/>
            </w:tcBorders>
            <w:vAlign w:val="center"/>
          </w:tcPr>
          <w:p w14:paraId="4FFE1101">
            <w:pPr>
              <w:widowControl w:val="0"/>
              <w:jc w:val="both"/>
              <w:outlineLvl w:val="2"/>
              <w:rPr>
                <w:rFonts w:hint="eastAsia" w:ascii="宋体" w:hAnsi="宋体" w:eastAsia="宋体" w:cs="宋体"/>
                <w:sz w:val="18"/>
                <w:szCs w:val="18"/>
              </w:rPr>
            </w:pPr>
            <w:r>
              <w:rPr>
                <w:rFonts w:hint="eastAsia" w:ascii="宋体" w:hAnsi="宋体" w:eastAsia="宋体" w:cs="宋体"/>
                <w:sz w:val="18"/>
                <w:szCs w:val="18"/>
              </w:rPr>
              <w:t>工业信息化部、国家统计局、国家发展和改革委员会、财政部《关于印发〈中小企业划型标准规定〉的通知》（工信部联企〔2011〕300 号）</w:t>
            </w:r>
          </w:p>
          <w:p w14:paraId="60DF2D5A">
            <w:pPr>
              <w:widowControl w:val="0"/>
              <w:jc w:val="both"/>
              <w:outlineLvl w:val="2"/>
              <w:rPr>
                <w:rFonts w:hint="eastAsia" w:ascii="宋体" w:hAnsi="宋体" w:eastAsia="宋体" w:cs="宋体"/>
                <w:sz w:val="18"/>
                <w:szCs w:val="18"/>
              </w:rPr>
            </w:pPr>
            <w:r>
              <w:fldChar w:fldCharType="begin"/>
            </w:r>
            <w:r>
              <w:instrText xml:space="preserve"> HYPERLINK "https://www.mof.gov.cn/zhengwuxinxi/zhengcefabu/201107/t20110704_570692.htm" </w:instrText>
            </w:r>
            <w:r>
              <w:fldChar w:fldCharType="separate"/>
            </w:r>
            <w:r>
              <w:rPr>
                <w:rFonts w:hint="eastAsia" w:ascii="宋体" w:hAnsi="宋体" w:eastAsia="宋体" w:cs="宋体"/>
                <w:sz w:val="18"/>
                <w:szCs w:val="18"/>
              </w:rPr>
              <w:t>https://www.mof.gov.cn/zhengwuxinxi/zhengcefabu/201107/t20110704_570692.htm</w:t>
            </w:r>
            <w:r>
              <w:rPr>
                <w:rFonts w:hint="eastAsia" w:ascii="宋体" w:hAnsi="宋体" w:eastAsia="宋体" w:cs="宋体"/>
                <w:sz w:val="18"/>
                <w:szCs w:val="18"/>
              </w:rPr>
              <w:fldChar w:fldCharType="end"/>
            </w:r>
          </w:p>
        </w:tc>
      </w:tr>
      <w:tr w14:paraId="5D95ED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43C7427C">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附件4：</w:t>
            </w:r>
          </w:p>
        </w:tc>
        <w:tc>
          <w:tcPr>
            <w:tcW w:w="8575" w:type="dxa"/>
            <w:tcBorders>
              <w:tl2br w:val="nil"/>
              <w:tr2bl w:val="nil"/>
            </w:tcBorders>
            <w:vAlign w:val="center"/>
          </w:tcPr>
          <w:p w14:paraId="4E4E5E18">
            <w:pPr>
              <w:widowControl w:val="0"/>
              <w:jc w:val="left"/>
              <w:outlineLvl w:val="2"/>
              <w:rPr>
                <w:rFonts w:hint="eastAsia" w:ascii="宋体" w:hAnsi="宋体" w:eastAsia="宋体" w:cs="宋体"/>
                <w:sz w:val="18"/>
                <w:szCs w:val="18"/>
              </w:rPr>
            </w:pPr>
            <w:r>
              <w:rPr>
                <w:rFonts w:hint="eastAsia" w:ascii="宋体" w:hAnsi="宋体" w:eastAsia="宋体" w:cs="宋体"/>
                <w:sz w:val="18"/>
                <w:szCs w:val="18"/>
              </w:rPr>
              <w:t>国家统计局关于印发《统计上大中小微型企业划分办法（2017）》的通知（国统字〔2017〕213 号）</w:t>
            </w:r>
          </w:p>
          <w:p w14:paraId="2F7CB0C3">
            <w:pPr>
              <w:widowControl w:val="0"/>
              <w:jc w:val="both"/>
              <w:outlineLvl w:val="2"/>
              <w:rPr>
                <w:rFonts w:hint="eastAsia" w:ascii="宋体" w:hAnsi="宋体" w:eastAsia="宋体" w:cs="宋体"/>
                <w:sz w:val="18"/>
                <w:szCs w:val="18"/>
              </w:rPr>
            </w:pPr>
            <w:r>
              <w:fldChar w:fldCharType="begin"/>
            </w:r>
            <w:r>
              <w:instrText xml:space="preserve"> HYPERLINK "https://www.stats.gov.cn/xxgk/tjbz/gjtjbz/202008/t20200811_1782335.html" </w:instrText>
            </w:r>
            <w:r>
              <w:fldChar w:fldCharType="separate"/>
            </w:r>
            <w:r>
              <w:rPr>
                <w:rFonts w:hint="eastAsia" w:ascii="宋体" w:hAnsi="宋体" w:eastAsia="宋体" w:cs="宋体"/>
                <w:sz w:val="18"/>
                <w:szCs w:val="18"/>
              </w:rPr>
              <w:t>https://www.stats.gov.cn/xxgk/tjbz/gjtjbz/202008/t20200811_1782335.html</w:t>
            </w:r>
            <w:r>
              <w:rPr>
                <w:rFonts w:hint="eastAsia" w:ascii="宋体" w:hAnsi="宋体" w:eastAsia="宋体" w:cs="宋体"/>
                <w:sz w:val="18"/>
                <w:szCs w:val="18"/>
              </w:rPr>
              <w:fldChar w:fldCharType="end"/>
            </w:r>
          </w:p>
        </w:tc>
      </w:tr>
      <w:tr w14:paraId="2CF6A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5BD282D6">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附件5：</w:t>
            </w:r>
          </w:p>
        </w:tc>
        <w:tc>
          <w:tcPr>
            <w:tcW w:w="8575" w:type="dxa"/>
            <w:tcBorders>
              <w:tl2br w:val="nil"/>
              <w:tr2bl w:val="nil"/>
            </w:tcBorders>
            <w:vAlign w:val="center"/>
          </w:tcPr>
          <w:p w14:paraId="35F21FE3">
            <w:pPr>
              <w:pStyle w:val="70"/>
              <w:widowControl w:val="0"/>
              <w:jc w:val="both"/>
              <w:rPr>
                <w:rFonts w:hint="eastAsia" w:ascii="宋体" w:hAnsi="宋体" w:eastAsia="宋体" w:cs="宋体"/>
                <w:bCs w:val="0"/>
                <w:sz w:val="18"/>
                <w:szCs w:val="18"/>
              </w:rPr>
            </w:pPr>
            <w:r>
              <w:rPr>
                <w:rFonts w:hint="eastAsia" w:ascii="宋体" w:hAnsi="宋体" w:eastAsia="宋体" w:cs="宋体"/>
                <w:bCs w:val="0"/>
                <w:sz w:val="18"/>
                <w:szCs w:val="18"/>
              </w:rPr>
              <w:t>财政部、民政部、中国残联《关于促进残疾人就业政府采购政策的通知》（财库〔2017〕141号）</w:t>
            </w:r>
          </w:p>
          <w:p w14:paraId="24BE20A2">
            <w:pPr>
              <w:pStyle w:val="70"/>
              <w:widowControl w:val="0"/>
              <w:jc w:val="both"/>
              <w:rPr>
                <w:rFonts w:hint="eastAsia" w:ascii="宋体" w:hAnsi="宋体" w:eastAsia="宋体" w:cs="宋体"/>
                <w:sz w:val="18"/>
                <w:szCs w:val="18"/>
              </w:rPr>
            </w:pPr>
            <w:r>
              <w:fldChar w:fldCharType="begin"/>
            </w:r>
            <w:r>
              <w:instrText xml:space="preserve"> HYPERLINK "https://gks.mof.gov.cn/ztztz/zhengfucaigouguanli/201709/t20170901_2689407.htm" </w:instrText>
            </w:r>
            <w:r>
              <w:fldChar w:fldCharType="separate"/>
            </w:r>
            <w:r>
              <w:rPr>
                <w:rStyle w:val="38"/>
                <w:rFonts w:hint="eastAsia" w:ascii="宋体" w:hAnsi="宋体" w:eastAsia="宋体" w:cs="宋体"/>
                <w:color w:val="auto"/>
                <w:sz w:val="18"/>
                <w:szCs w:val="18"/>
              </w:rPr>
              <w:t>https://gks.mof.gov.cn/ztztz/zhengfucaigouguanli/201709/t20170901_2689407.htm</w:t>
            </w:r>
            <w:r>
              <w:rPr>
                <w:rStyle w:val="38"/>
                <w:rFonts w:hint="eastAsia" w:ascii="宋体" w:hAnsi="宋体" w:eastAsia="宋体" w:cs="宋体"/>
                <w:color w:val="auto"/>
                <w:sz w:val="18"/>
                <w:szCs w:val="18"/>
              </w:rPr>
              <w:fldChar w:fldCharType="end"/>
            </w:r>
          </w:p>
        </w:tc>
      </w:tr>
      <w:tr w14:paraId="6741B8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0C6B901B">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附件6：</w:t>
            </w:r>
          </w:p>
        </w:tc>
        <w:tc>
          <w:tcPr>
            <w:tcW w:w="8575" w:type="dxa"/>
            <w:tcBorders>
              <w:tl2br w:val="nil"/>
              <w:tr2bl w:val="nil"/>
            </w:tcBorders>
            <w:vAlign w:val="center"/>
          </w:tcPr>
          <w:p w14:paraId="1584004D">
            <w:pPr>
              <w:pStyle w:val="70"/>
              <w:widowControl w:val="0"/>
              <w:jc w:val="both"/>
              <w:rPr>
                <w:rFonts w:hint="eastAsia" w:ascii="宋体" w:hAnsi="宋体" w:eastAsia="宋体" w:cs="宋体"/>
                <w:bCs w:val="0"/>
                <w:sz w:val="18"/>
                <w:szCs w:val="18"/>
              </w:rPr>
            </w:pPr>
            <w:r>
              <w:rPr>
                <w:rFonts w:hint="eastAsia" w:ascii="宋体" w:hAnsi="宋体" w:eastAsia="宋体" w:cs="宋体"/>
                <w:bCs w:val="0"/>
                <w:sz w:val="18"/>
                <w:szCs w:val="18"/>
              </w:rPr>
              <w:t>《财政部 司法部关于政府采购支持监狱企业发展有关问题的通知》（财库〔2014〕68号）</w:t>
            </w:r>
          </w:p>
          <w:p w14:paraId="040C4F0F">
            <w:pPr>
              <w:pStyle w:val="70"/>
              <w:widowControl w:val="0"/>
              <w:jc w:val="both"/>
              <w:rPr>
                <w:rFonts w:hint="eastAsia" w:ascii="宋体" w:hAnsi="宋体" w:eastAsia="宋体" w:cs="宋体"/>
                <w:sz w:val="18"/>
                <w:szCs w:val="18"/>
              </w:rPr>
            </w:pPr>
            <w:r>
              <w:fldChar w:fldCharType="begin"/>
            </w:r>
            <w:r>
              <w:instrText xml:space="preserve"> HYPERLINK "https://gks.mof.gov.cn/ztztz/zhengfucaigouguanli/201406/t20140617_1100158.htm" </w:instrText>
            </w:r>
            <w:r>
              <w:fldChar w:fldCharType="separate"/>
            </w:r>
            <w:r>
              <w:rPr>
                <w:rStyle w:val="38"/>
                <w:rFonts w:hint="eastAsia" w:ascii="宋体" w:hAnsi="宋体" w:eastAsia="宋体" w:cs="宋体"/>
                <w:color w:val="auto"/>
                <w:sz w:val="18"/>
                <w:szCs w:val="18"/>
              </w:rPr>
              <w:t>https://gks.mof.gov.cn/ztztz/zhengfucaigouguanli/201406/t20140617_1100158.htm</w:t>
            </w:r>
            <w:r>
              <w:rPr>
                <w:rStyle w:val="38"/>
                <w:rFonts w:hint="eastAsia" w:ascii="宋体" w:hAnsi="宋体" w:eastAsia="宋体" w:cs="宋体"/>
                <w:color w:val="auto"/>
                <w:sz w:val="18"/>
                <w:szCs w:val="18"/>
              </w:rPr>
              <w:fldChar w:fldCharType="end"/>
            </w:r>
          </w:p>
        </w:tc>
      </w:tr>
      <w:tr w14:paraId="06DAB7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5F3EE779">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附件7：</w:t>
            </w:r>
          </w:p>
        </w:tc>
        <w:tc>
          <w:tcPr>
            <w:tcW w:w="8575" w:type="dxa"/>
            <w:tcBorders>
              <w:tl2br w:val="nil"/>
              <w:tr2bl w:val="nil"/>
            </w:tcBorders>
            <w:vAlign w:val="center"/>
          </w:tcPr>
          <w:p w14:paraId="0B42E680">
            <w:pPr>
              <w:pStyle w:val="70"/>
              <w:widowControl w:val="0"/>
              <w:jc w:val="both"/>
              <w:rPr>
                <w:rFonts w:hint="eastAsia" w:ascii="宋体" w:hAnsi="宋体" w:eastAsia="宋体" w:cs="宋体"/>
                <w:sz w:val="18"/>
                <w:szCs w:val="18"/>
              </w:rPr>
            </w:pPr>
            <w:r>
              <w:rPr>
                <w:rFonts w:hint="eastAsia" w:ascii="宋体" w:hAnsi="宋体" w:eastAsia="宋体" w:cs="宋体"/>
                <w:sz w:val="18"/>
                <w:szCs w:val="18"/>
              </w:rPr>
              <w:t>《深圳市财政局关于大力推广政府绿色采购有关事项的通知》（深财购〔2023〕49号）</w:t>
            </w:r>
          </w:p>
          <w:p w14:paraId="2091724D">
            <w:pPr>
              <w:pStyle w:val="70"/>
              <w:widowControl w:val="0"/>
              <w:jc w:val="both"/>
              <w:rPr>
                <w:rFonts w:hint="eastAsia" w:ascii="宋体" w:hAnsi="宋体" w:eastAsia="宋体" w:cs="宋体"/>
                <w:sz w:val="18"/>
                <w:szCs w:val="18"/>
              </w:rPr>
            </w:pPr>
            <w:r>
              <w:fldChar w:fldCharType="begin"/>
            </w:r>
            <w:r>
              <w:instrText xml:space="preserve"> HYPERLINK "http://zfcg.sz.gov.cn/xxgk_64152/zytz/content/post_11080756.html" </w:instrText>
            </w:r>
            <w:r>
              <w:fldChar w:fldCharType="separate"/>
            </w:r>
            <w:r>
              <w:rPr>
                <w:rStyle w:val="38"/>
                <w:rFonts w:hint="eastAsia" w:ascii="宋体" w:hAnsi="宋体" w:eastAsia="宋体" w:cs="宋体"/>
                <w:color w:val="auto"/>
                <w:sz w:val="18"/>
                <w:szCs w:val="18"/>
              </w:rPr>
              <w:t>http://zfcg.sz.gov.cn/xxgk_64152/zytz/content/post_11080756.html</w:t>
            </w:r>
            <w:r>
              <w:rPr>
                <w:rStyle w:val="38"/>
                <w:rFonts w:hint="eastAsia" w:ascii="宋体" w:hAnsi="宋体" w:eastAsia="宋体" w:cs="宋体"/>
                <w:color w:val="auto"/>
                <w:sz w:val="18"/>
                <w:szCs w:val="18"/>
              </w:rPr>
              <w:fldChar w:fldCharType="end"/>
            </w:r>
          </w:p>
        </w:tc>
      </w:tr>
      <w:tr w14:paraId="2C8A51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0FBDDCC7">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附件8：</w:t>
            </w:r>
          </w:p>
        </w:tc>
        <w:tc>
          <w:tcPr>
            <w:tcW w:w="8575" w:type="dxa"/>
            <w:tcBorders>
              <w:tl2br w:val="nil"/>
              <w:tr2bl w:val="nil"/>
            </w:tcBorders>
            <w:vAlign w:val="center"/>
          </w:tcPr>
          <w:p w14:paraId="01CB71C6">
            <w:pPr>
              <w:pStyle w:val="70"/>
              <w:widowControl w:val="0"/>
              <w:jc w:val="both"/>
              <w:rPr>
                <w:rFonts w:hint="eastAsia" w:ascii="宋体" w:hAnsi="宋体" w:eastAsia="宋体" w:cs="宋体"/>
                <w:sz w:val="18"/>
                <w:szCs w:val="18"/>
              </w:rPr>
            </w:pPr>
            <w:r>
              <w:rPr>
                <w:rFonts w:hint="eastAsia" w:ascii="宋体" w:hAnsi="宋体" w:eastAsia="宋体" w:cs="宋体"/>
                <w:sz w:val="18"/>
                <w:szCs w:val="18"/>
              </w:rPr>
              <w:t>《关于印发环境标志产品政府采购品目清单的通知》（财库〔2019〕18号）</w:t>
            </w:r>
          </w:p>
          <w:p w14:paraId="74D8643C">
            <w:pPr>
              <w:pStyle w:val="70"/>
              <w:widowControl w:val="0"/>
              <w:jc w:val="both"/>
              <w:rPr>
                <w:rFonts w:hint="eastAsia" w:ascii="宋体" w:hAnsi="宋体" w:eastAsia="宋体" w:cs="宋体"/>
                <w:sz w:val="18"/>
                <w:szCs w:val="18"/>
              </w:rPr>
            </w:pPr>
            <w:r>
              <w:fldChar w:fldCharType="begin"/>
            </w:r>
            <w:r>
              <w:instrText xml:space="preserve"> HYPERLINK "https://gks.mof.gov.cn/ztztz/zhengfucaigouguanli/201903/t20190329_3209183.htm" </w:instrText>
            </w:r>
            <w:r>
              <w:fldChar w:fldCharType="separate"/>
            </w:r>
            <w:r>
              <w:rPr>
                <w:rStyle w:val="38"/>
                <w:rFonts w:hint="eastAsia" w:ascii="宋体" w:hAnsi="宋体" w:eastAsia="宋体" w:cs="宋体"/>
                <w:color w:val="auto"/>
                <w:sz w:val="18"/>
                <w:szCs w:val="18"/>
              </w:rPr>
              <w:t>https://gks.mof.gov.cn/ztztz/zhengfucaigouguanli/201903/t20190329_3209183.htm</w:t>
            </w:r>
            <w:r>
              <w:rPr>
                <w:rStyle w:val="38"/>
                <w:rFonts w:hint="eastAsia" w:ascii="宋体" w:hAnsi="宋体" w:eastAsia="宋体" w:cs="宋体"/>
                <w:color w:val="auto"/>
                <w:sz w:val="18"/>
                <w:szCs w:val="18"/>
              </w:rPr>
              <w:fldChar w:fldCharType="end"/>
            </w:r>
          </w:p>
        </w:tc>
      </w:tr>
      <w:tr w14:paraId="30FE62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110" w:type="dxa"/>
            <w:tcBorders>
              <w:tl2br w:val="nil"/>
              <w:tr2bl w:val="nil"/>
            </w:tcBorders>
            <w:vAlign w:val="center"/>
          </w:tcPr>
          <w:p w14:paraId="51677373">
            <w:pPr>
              <w:widowControl w:val="0"/>
              <w:jc w:val="center"/>
              <w:outlineLvl w:val="2"/>
              <w:rPr>
                <w:rFonts w:hint="eastAsia" w:ascii="宋体" w:hAnsi="宋体" w:eastAsia="宋体" w:cs="宋体"/>
                <w:b/>
                <w:bCs/>
                <w:sz w:val="21"/>
                <w:szCs w:val="21"/>
              </w:rPr>
            </w:pPr>
            <w:r>
              <w:rPr>
                <w:rFonts w:hint="eastAsia" w:ascii="宋体" w:hAnsi="宋体" w:eastAsia="宋体" w:cs="宋体"/>
                <w:b/>
                <w:bCs/>
                <w:sz w:val="21"/>
                <w:szCs w:val="21"/>
              </w:rPr>
              <w:t>附件9：</w:t>
            </w:r>
          </w:p>
        </w:tc>
        <w:tc>
          <w:tcPr>
            <w:tcW w:w="8575" w:type="dxa"/>
            <w:tcBorders>
              <w:tl2br w:val="nil"/>
              <w:tr2bl w:val="nil"/>
            </w:tcBorders>
            <w:vAlign w:val="center"/>
          </w:tcPr>
          <w:p w14:paraId="08C4EBD5">
            <w:pPr>
              <w:pStyle w:val="70"/>
              <w:widowControl w:val="0"/>
              <w:jc w:val="both"/>
              <w:rPr>
                <w:rFonts w:hint="eastAsia" w:ascii="宋体" w:hAnsi="宋体" w:eastAsia="宋体" w:cs="宋体"/>
                <w:sz w:val="18"/>
                <w:szCs w:val="18"/>
              </w:rPr>
            </w:pPr>
            <w:r>
              <w:rPr>
                <w:rFonts w:hint="eastAsia" w:ascii="宋体" w:hAnsi="宋体" w:eastAsia="宋体" w:cs="宋体"/>
                <w:sz w:val="18"/>
                <w:szCs w:val="18"/>
              </w:rPr>
              <w:t>《关于印发节能产品政府采购品目清单的通知》（财库〔2019〕19号）</w:t>
            </w:r>
          </w:p>
          <w:p w14:paraId="0597F0D2">
            <w:pPr>
              <w:pStyle w:val="70"/>
              <w:widowControl w:val="0"/>
              <w:jc w:val="both"/>
              <w:rPr>
                <w:rFonts w:hint="eastAsia" w:ascii="宋体" w:hAnsi="宋体" w:eastAsia="宋体" w:cs="宋体"/>
                <w:sz w:val="18"/>
                <w:szCs w:val="18"/>
              </w:rPr>
            </w:pPr>
            <w:r>
              <w:fldChar w:fldCharType="begin"/>
            </w:r>
            <w:r>
              <w:instrText xml:space="preserve"> HYPERLINK "https://gks.mof.gov.cn/ztztz/zhengfucaigouguanli/201904/t20190402_3211404.htm" </w:instrText>
            </w:r>
            <w:r>
              <w:fldChar w:fldCharType="separate"/>
            </w:r>
            <w:r>
              <w:rPr>
                <w:rStyle w:val="38"/>
                <w:rFonts w:hint="eastAsia" w:ascii="宋体" w:hAnsi="宋体" w:eastAsia="宋体" w:cs="宋体"/>
                <w:color w:val="auto"/>
                <w:sz w:val="18"/>
                <w:szCs w:val="18"/>
              </w:rPr>
              <w:t>https://gks.mof.gov.cn/ztztz/zhengfucaigouguanli/201904/t20190402_3211404.htm</w:t>
            </w:r>
            <w:r>
              <w:rPr>
                <w:rStyle w:val="38"/>
                <w:rFonts w:hint="eastAsia" w:ascii="宋体" w:hAnsi="宋体" w:eastAsia="宋体" w:cs="宋体"/>
                <w:color w:val="auto"/>
                <w:sz w:val="18"/>
                <w:szCs w:val="18"/>
              </w:rPr>
              <w:fldChar w:fldCharType="end"/>
            </w:r>
          </w:p>
        </w:tc>
      </w:tr>
    </w:tbl>
    <w:p w14:paraId="2A1E93D9">
      <w:pPr>
        <w:jc w:val="both"/>
        <w:rPr>
          <w:rFonts w:ascii="宋体" w:hAnsi="宋体"/>
          <w:szCs w:val="21"/>
        </w:rPr>
      </w:pPr>
    </w:p>
    <w:p w14:paraId="721AC598">
      <w:pPr>
        <w:jc w:val="both"/>
        <w:rPr>
          <w:rFonts w:ascii="宋体" w:hAnsi="宋体"/>
          <w:color w:val="000000"/>
          <w:szCs w:val="21"/>
        </w:rPr>
      </w:pPr>
    </w:p>
    <w:p w14:paraId="081B494A">
      <w:pPr>
        <w:rPr>
          <w:rFonts w:ascii="宋体" w:hAnsi="宋体"/>
          <w:color w:val="000000"/>
          <w:szCs w:val="21"/>
        </w:rPr>
      </w:pPr>
    </w:p>
    <w:p w14:paraId="19D7531C">
      <w:pPr>
        <w:rPr>
          <w:color w:val="000000"/>
        </w:rPr>
      </w:pPr>
    </w:p>
    <w:p w14:paraId="749C07A0"/>
    <w:p w14:paraId="20DD76A5">
      <w:pPr>
        <w:jc w:val="both"/>
        <w:rPr>
          <w:rFonts w:ascii="宋体" w:hAnsi="宋体"/>
          <w:color w:val="000000"/>
          <w:szCs w:val="21"/>
        </w:rPr>
      </w:pPr>
    </w:p>
    <w:p w14:paraId="6B1D529C">
      <w:pPr>
        <w:rPr>
          <w:rFonts w:ascii="宋体" w:hAnsi="宋体"/>
          <w:color w:val="000000"/>
          <w:szCs w:val="21"/>
        </w:rPr>
      </w:pPr>
    </w:p>
    <w:p w14:paraId="5EF70D20">
      <w:pPr>
        <w:rPr>
          <w:color w:val="000000"/>
        </w:rPr>
      </w:pPr>
    </w:p>
    <w:p w14:paraId="46BF788A"/>
    <w:p w14:paraId="3A801FE6"/>
    <w:p w14:paraId="60548542"/>
    <w:p w14:paraId="2589127D"/>
    <w:p w14:paraId="16971343"/>
    <w:p w14:paraId="3CCAC09D"/>
    <w:sectPr>
      <w:headerReference r:id="rId4" w:type="default"/>
      <w:footerReference r:id="rId5" w:type="default"/>
      <w:pgSz w:w="11906" w:h="16838"/>
      <w:pgMar w:top="1440" w:right="1587" w:bottom="1440" w:left="1587" w:header="720" w:footer="720" w:gutter="0"/>
      <w:pgBorders>
        <w:top w:val="none" w:sz="0" w:space="0"/>
        <w:left w:val="none" w:sz="0" w:space="0"/>
        <w:bottom w:val="none" w:sz="0" w:space="0"/>
        <w:right w:val="none" w:sz="0" w:space="0"/>
      </w:pgBorders>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H Yb 2gj">
    <w:altName w:val="宋体"/>
    <w:panose1 w:val="00000000000000000000"/>
    <w:charset w:val="86"/>
    <w:family w:val="auto"/>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8000000" w:usb3="00000000" w:csb0="00000001" w:csb1="00000000"/>
  </w:font>
  <w:font w:name="宋体-PUA">
    <w:altName w:val="宋体"/>
    <w:panose1 w:val="00000000000000000000"/>
    <w:charset w:val="86"/>
    <w:family w:val="auto"/>
    <w:pitch w:val="default"/>
    <w:sig w:usb0="00000000" w:usb1="00000000" w:usb2="00000000" w:usb3="00000000" w:csb0="00040000" w:csb1="00000000"/>
  </w:font>
  <w:font w:name="Webdings">
    <w:panose1 w:val="05030102010509060703"/>
    <w:charset w:val="02"/>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D2237">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7825" cy="14795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377825" cy="147955"/>
                      </a:xfrm>
                      <a:prstGeom prst="rect">
                        <a:avLst/>
                      </a:prstGeom>
                      <a:noFill/>
                      <a:ln>
                        <a:noFill/>
                      </a:ln>
                    </wps:spPr>
                    <wps:txbx>
                      <w:txbxContent>
                        <w:p w14:paraId="565CAF83">
                          <w:pPr>
                            <w:pStyle w:val="17"/>
                          </w:pPr>
                          <w:r>
                            <w:t xml:space="preserve">第 </w:t>
                          </w:r>
                          <w:r>
                            <w:fldChar w:fldCharType="begin"/>
                          </w:r>
                          <w:r>
                            <w:instrText xml:space="preserve"> PAGE  \* MERGEFORMAT </w:instrText>
                          </w:r>
                          <w:r>
                            <w:fldChar w:fldCharType="separate"/>
                          </w:r>
                          <w:r>
                            <w:t>87</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29.75pt;mso-position-horizontal:center;mso-position-horizontal-relative:margin;mso-wrap-style:none;z-index:251659264;mso-width-relative:page;mso-height-relative:page;" filled="f" stroked="f" coordsize="21600,21600" o:gfxdata="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lElONIAAAADAQAADwAAAAAAAAABACAAAAAiAAAAZHJz&#10;L2Rvd25yZXYueG1sUEsBAhQAFAAAAAgAh07iQGQBW80KAgAAAgQAAA4AAAAAAAAAAQAgAAAAIQEA&#10;AGRycy9lMm9Eb2MueG1sUEsFBgAAAAAGAAYAWQEAAJ0FAAAAAA==&#10;">
              <v:fill on="f" focussize="0,0"/>
              <v:stroke on="f"/>
              <v:imagedata o:title=""/>
              <o:lock v:ext="edit" aspectratio="f"/>
              <v:textbox inset="0mm,0mm,0mm,0mm" style="mso-fit-shape-to-text:t;">
                <w:txbxContent>
                  <w:p w14:paraId="565CAF83">
                    <w:pPr>
                      <w:pStyle w:val="17"/>
                    </w:pPr>
                    <w:r>
                      <w:t xml:space="preserve">第 </w:t>
                    </w:r>
                    <w:r>
                      <w:fldChar w:fldCharType="begin"/>
                    </w:r>
                    <w:r>
                      <w:instrText xml:space="preserve"> PAGE  \* MERGEFORMAT </w:instrText>
                    </w:r>
                    <w:r>
                      <w:fldChar w:fldCharType="separate"/>
                    </w:r>
                    <w:r>
                      <w:t>87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49926">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0C347">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4FF05C"/>
    <w:multiLevelType w:val="singleLevel"/>
    <w:tmpl w:val="F44FF05C"/>
    <w:lvl w:ilvl="0" w:tentative="0">
      <w:start w:val="2"/>
      <w:numFmt w:val="decimal"/>
      <w:lvlText w:val="%1."/>
      <w:lvlJc w:val="left"/>
      <w:pPr>
        <w:tabs>
          <w:tab w:val="left" w:pos="312"/>
        </w:tabs>
      </w:pPr>
    </w:lvl>
  </w:abstractNum>
  <w:abstractNum w:abstractNumId="1">
    <w:nsid w:val="02314B38"/>
    <w:multiLevelType w:val="multilevel"/>
    <w:tmpl w:val="02314B38"/>
    <w:lvl w:ilvl="0" w:tentative="0">
      <w:start w:val="1"/>
      <w:numFmt w:val="decimal"/>
      <w:lvlText w:val="%1."/>
      <w:lvlJc w:val="left"/>
      <w:pPr>
        <w:tabs>
          <w:tab w:val="left" w:pos="1802"/>
        </w:tabs>
        <w:ind w:left="1802" w:hanging="600"/>
      </w:pPr>
      <w:rPr>
        <w:rFonts w:hint="eastAsia" w:ascii="宋体" w:hAnsi="宋体" w:eastAsia="宋体"/>
        <w:b w:val="0"/>
      </w:rPr>
    </w:lvl>
    <w:lvl w:ilvl="1" w:tentative="0">
      <w:start w:val="1"/>
      <w:numFmt w:val="decimal"/>
      <w:lvlText w:val="4.%2"/>
      <w:lvlJc w:val="left"/>
      <w:pPr>
        <w:tabs>
          <w:tab w:val="left" w:pos="720"/>
        </w:tabs>
        <w:ind w:left="720" w:hanging="720"/>
      </w:pPr>
      <w:rPr>
        <w:rFonts w:hint="eastAsia" w:hAnsi="Times New Roman"/>
      </w:rPr>
    </w:lvl>
    <w:lvl w:ilvl="2" w:tentative="0">
      <w:start w:val="1"/>
      <w:numFmt w:val="decimal"/>
      <w:lvlText w:val="10.1.%3"/>
      <w:lvlJc w:val="left"/>
      <w:pPr>
        <w:tabs>
          <w:tab w:val="left" w:pos="1922"/>
        </w:tabs>
        <w:ind w:left="1922" w:hanging="720"/>
      </w:pPr>
      <w:rPr>
        <w:rFonts w:hint="eastAsia" w:hAnsi="Times New Roman"/>
      </w:rPr>
    </w:lvl>
    <w:lvl w:ilvl="3" w:tentative="0">
      <w:start w:val="1"/>
      <w:numFmt w:val="decimal"/>
      <w:lvlText w:val="%1.%2.%3.%4"/>
      <w:lvlJc w:val="left"/>
      <w:pPr>
        <w:tabs>
          <w:tab w:val="left" w:pos="2282"/>
        </w:tabs>
        <w:ind w:left="2282" w:hanging="1080"/>
      </w:pPr>
      <w:rPr>
        <w:rFonts w:hint="eastAsia" w:hAnsi="Times New Roman"/>
      </w:rPr>
    </w:lvl>
    <w:lvl w:ilvl="4" w:tentative="0">
      <w:start w:val="1"/>
      <w:numFmt w:val="decimal"/>
      <w:lvlText w:val="%1.%2.%3.%4.%5"/>
      <w:lvlJc w:val="left"/>
      <w:pPr>
        <w:tabs>
          <w:tab w:val="left" w:pos="2642"/>
        </w:tabs>
        <w:ind w:left="2642" w:hanging="1440"/>
      </w:pPr>
      <w:rPr>
        <w:rFonts w:hint="eastAsia" w:hAnsi="Times New Roman"/>
      </w:rPr>
    </w:lvl>
    <w:lvl w:ilvl="5" w:tentative="0">
      <w:start w:val="1"/>
      <w:numFmt w:val="decimal"/>
      <w:lvlText w:val="%1.%2.%3.%4.%5.%6"/>
      <w:lvlJc w:val="left"/>
      <w:pPr>
        <w:tabs>
          <w:tab w:val="left" w:pos="2642"/>
        </w:tabs>
        <w:ind w:left="2642" w:hanging="1440"/>
      </w:pPr>
      <w:rPr>
        <w:rFonts w:hint="eastAsia" w:hAnsi="Times New Roman"/>
      </w:rPr>
    </w:lvl>
    <w:lvl w:ilvl="6" w:tentative="0">
      <w:start w:val="1"/>
      <w:numFmt w:val="decimal"/>
      <w:lvlText w:val="%1.%2.%3.%4.%5.%6.%7"/>
      <w:lvlJc w:val="left"/>
      <w:pPr>
        <w:tabs>
          <w:tab w:val="left" w:pos="3002"/>
        </w:tabs>
        <w:ind w:left="3002" w:hanging="1800"/>
      </w:pPr>
      <w:rPr>
        <w:rFonts w:hint="eastAsia" w:hAnsi="Times New Roman"/>
      </w:rPr>
    </w:lvl>
    <w:lvl w:ilvl="7" w:tentative="0">
      <w:start w:val="1"/>
      <w:numFmt w:val="decimal"/>
      <w:lvlText w:val="%1.%2.%3.%4.%5.%6.%7.%8"/>
      <w:lvlJc w:val="left"/>
      <w:pPr>
        <w:tabs>
          <w:tab w:val="left" w:pos="3362"/>
        </w:tabs>
        <w:ind w:left="3362" w:hanging="2160"/>
      </w:pPr>
      <w:rPr>
        <w:rFonts w:hint="eastAsia" w:hAnsi="Times New Roman"/>
      </w:rPr>
    </w:lvl>
    <w:lvl w:ilvl="8" w:tentative="0">
      <w:start w:val="1"/>
      <w:numFmt w:val="decimal"/>
      <w:lvlText w:val="%1.%2.%3.%4.%5.%6.%7.%8.%9"/>
      <w:lvlJc w:val="left"/>
      <w:pPr>
        <w:tabs>
          <w:tab w:val="left" w:pos="3362"/>
        </w:tabs>
        <w:ind w:left="3362" w:hanging="2160"/>
      </w:pPr>
      <w:rPr>
        <w:rFonts w:hint="eastAsia" w:hAnsi="Times New Roman"/>
      </w:rPr>
    </w:lvl>
  </w:abstractNum>
  <w:abstractNum w:abstractNumId="2">
    <w:nsid w:val="12270313"/>
    <w:multiLevelType w:val="multilevel"/>
    <w:tmpl w:val="12270313"/>
    <w:lvl w:ilvl="0" w:tentative="0">
      <w:start w:val="1"/>
      <w:numFmt w:val="chineseCountingThousand"/>
      <w:lvlText w:val="%1、"/>
      <w:lvlJc w:val="left"/>
      <w:pPr>
        <w:tabs>
          <w:tab w:val="left" w:pos="600"/>
        </w:tabs>
        <w:ind w:left="600" w:hanging="600"/>
      </w:pPr>
      <w:rPr>
        <w:rFonts w:hint="eastAsia" w:ascii="宋体" w:hAnsi="宋体" w:eastAsia="宋体"/>
        <w:b/>
        <w:bCs/>
        <w:color w:val="auto"/>
      </w:rPr>
    </w:lvl>
    <w:lvl w:ilvl="1" w:tentative="0">
      <w:start w:val="1"/>
      <w:numFmt w:val="decimal"/>
      <w:lvlText w:val="%2、"/>
      <w:lvlJc w:val="left"/>
      <w:pPr>
        <w:tabs>
          <w:tab w:val="left" w:pos="567"/>
        </w:tabs>
        <w:ind w:left="567" w:hanging="567"/>
      </w:pPr>
    </w:lvl>
    <w:lvl w:ilvl="2" w:tentative="0">
      <w:start w:val="1"/>
      <w:numFmt w:val="decimal"/>
      <w:lvlText w:val="%3)"/>
      <w:lvlJc w:val="left"/>
      <w:pPr>
        <w:tabs>
          <w:tab w:val="left" w:pos="1040"/>
        </w:tabs>
        <w:ind w:left="680" w:firstLine="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E394FA6"/>
    <w:multiLevelType w:val="singleLevel"/>
    <w:tmpl w:val="3E394FA6"/>
    <w:lvl w:ilvl="0" w:tentative="0">
      <w:start w:val="1"/>
      <w:numFmt w:val="chineseCountingThousand"/>
      <w:lvlText w:val="%1."/>
      <w:lvlJc w:val="left"/>
      <w:pPr>
        <w:tabs>
          <w:tab w:val="left" w:pos="480"/>
        </w:tabs>
        <w:ind w:left="480" w:hanging="480"/>
      </w:pPr>
      <w:rPr>
        <w:rFonts w:hint="eastAsia" w:ascii="宋体" w:hAnsi="宋体" w:eastAsia="宋体"/>
        <w:b/>
      </w:rPr>
    </w:lvl>
  </w:abstractNum>
  <w:abstractNum w:abstractNumId="4">
    <w:nsid w:val="43345273"/>
    <w:multiLevelType w:val="multilevel"/>
    <w:tmpl w:val="43345273"/>
    <w:lvl w:ilvl="0" w:tentative="0">
      <w:start w:val="1"/>
      <w:numFmt w:val="decimal"/>
      <w:lvlText w:val="4.%1"/>
      <w:lvlJc w:val="left"/>
      <w:pPr>
        <w:tabs>
          <w:tab w:val="left" w:pos="600"/>
        </w:tabs>
        <w:ind w:left="600" w:hanging="600"/>
      </w:pPr>
      <w:rPr>
        <w:rFonts w:hint="eastAsia" w:ascii="宋体" w:hAnsi="宋体" w:eastAsia="宋体"/>
        <w:b w:val="0"/>
      </w:rPr>
    </w:lvl>
    <w:lvl w:ilvl="1" w:tentative="0">
      <w:start w:val="1"/>
      <w:numFmt w:val="decimal"/>
      <w:lvlText w:val="2.6.%2."/>
      <w:lvlJc w:val="left"/>
      <w:pPr>
        <w:tabs>
          <w:tab w:val="left" w:pos="720"/>
        </w:tabs>
        <w:ind w:left="720" w:hanging="720"/>
      </w:pPr>
      <w:rPr>
        <w:rFonts w:hint="eastAsia" w:hAnsi="Times New Roman"/>
      </w:rPr>
    </w:lvl>
    <w:lvl w:ilvl="2" w:tentative="0">
      <w:start w:val="1"/>
      <w:numFmt w:val="decimal"/>
      <w:lvlText w:val="2.4.%3."/>
      <w:lvlJc w:val="left"/>
      <w:pPr>
        <w:tabs>
          <w:tab w:val="left" w:pos="720"/>
        </w:tabs>
        <w:ind w:left="720" w:hanging="720"/>
      </w:pPr>
      <w:rPr>
        <w:rFonts w:hint="eastAsia" w:hAnsi="Times New Roman"/>
      </w:rPr>
    </w:lvl>
    <w:lvl w:ilvl="3" w:tentative="0">
      <w:start w:val="1"/>
      <w:numFmt w:val="decimal"/>
      <w:lvlText w:val="%1.%2.%3.%4"/>
      <w:lvlJc w:val="left"/>
      <w:pPr>
        <w:tabs>
          <w:tab w:val="left" w:pos="1080"/>
        </w:tabs>
        <w:ind w:left="1080" w:hanging="1080"/>
      </w:pPr>
      <w:rPr>
        <w:rFonts w:hint="eastAsia" w:hAnsi="Times New Roman"/>
      </w:rPr>
    </w:lvl>
    <w:lvl w:ilvl="4" w:tentative="0">
      <w:start w:val="1"/>
      <w:numFmt w:val="decimal"/>
      <w:lvlText w:val="%1.%2.%3.%4.%5"/>
      <w:lvlJc w:val="left"/>
      <w:pPr>
        <w:tabs>
          <w:tab w:val="left" w:pos="1440"/>
        </w:tabs>
        <w:ind w:left="1440" w:hanging="1440"/>
      </w:pPr>
      <w:rPr>
        <w:rFonts w:hint="eastAsia" w:hAnsi="Times New Roman"/>
      </w:rPr>
    </w:lvl>
    <w:lvl w:ilvl="5" w:tentative="0">
      <w:start w:val="1"/>
      <w:numFmt w:val="decimal"/>
      <w:lvlText w:val="%1.%2.%3.%4.%5.%6"/>
      <w:lvlJc w:val="left"/>
      <w:pPr>
        <w:tabs>
          <w:tab w:val="left" w:pos="1440"/>
        </w:tabs>
        <w:ind w:left="1440" w:hanging="1440"/>
      </w:pPr>
      <w:rPr>
        <w:rFonts w:hint="eastAsia" w:hAnsi="Times New Roman"/>
      </w:rPr>
    </w:lvl>
    <w:lvl w:ilvl="6" w:tentative="0">
      <w:start w:val="1"/>
      <w:numFmt w:val="decimal"/>
      <w:lvlText w:val="%1.%2.%3.%4.%5.%6.%7"/>
      <w:lvlJc w:val="left"/>
      <w:pPr>
        <w:tabs>
          <w:tab w:val="left" w:pos="1800"/>
        </w:tabs>
        <w:ind w:left="1800" w:hanging="1800"/>
      </w:pPr>
      <w:rPr>
        <w:rFonts w:hint="eastAsia" w:hAnsi="Times New Roman"/>
      </w:rPr>
    </w:lvl>
    <w:lvl w:ilvl="7" w:tentative="0">
      <w:start w:val="1"/>
      <w:numFmt w:val="decimal"/>
      <w:lvlText w:val="%1.%2.%3.%4.%5.%6.%7.%8"/>
      <w:lvlJc w:val="left"/>
      <w:pPr>
        <w:tabs>
          <w:tab w:val="left" w:pos="2160"/>
        </w:tabs>
        <w:ind w:left="2160" w:hanging="2160"/>
      </w:pPr>
      <w:rPr>
        <w:rFonts w:hint="eastAsia" w:hAnsi="Times New Roman"/>
      </w:rPr>
    </w:lvl>
    <w:lvl w:ilvl="8" w:tentative="0">
      <w:start w:val="1"/>
      <w:numFmt w:val="decimal"/>
      <w:lvlText w:val="%1.%2.%3.%4.%5.%6.%7.%8.%9"/>
      <w:lvlJc w:val="left"/>
      <w:pPr>
        <w:tabs>
          <w:tab w:val="left" w:pos="2160"/>
        </w:tabs>
        <w:ind w:left="2160" w:hanging="2160"/>
      </w:pPr>
      <w:rPr>
        <w:rFonts w:hint="eastAsia" w:hAnsi="Times New Roman"/>
      </w:rPr>
    </w:lvl>
  </w:abstractNum>
  <w:abstractNum w:abstractNumId="5">
    <w:nsid w:val="548067A1"/>
    <w:multiLevelType w:val="multilevel"/>
    <w:tmpl w:val="548067A1"/>
    <w:lvl w:ilvl="0" w:tentative="0">
      <w:start w:val="1"/>
      <w:numFmt w:val="chineseCountingThousand"/>
      <w:lvlText w:val="%1."/>
      <w:lvlJc w:val="left"/>
      <w:pPr>
        <w:tabs>
          <w:tab w:val="left" w:pos="900"/>
        </w:tabs>
        <w:ind w:left="900" w:hanging="480"/>
      </w:pPr>
      <w:rPr>
        <w:rFonts w:hint="eastAsia"/>
        <w:lang w:val="en-US"/>
      </w:rPr>
    </w:lvl>
    <w:lvl w:ilvl="1" w:tentative="0">
      <w:start w:val="1"/>
      <w:numFmt w:val="decimal"/>
      <w:lvlText w:val="%2，"/>
      <w:lvlJc w:val="left"/>
      <w:pPr>
        <w:tabs>
          <w:tab w:val="left" w:pos="1200"/>
        </w:tabs>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59C761D5"/>
    <w:multiLevelType w:val="multilevel"/>
    <w:tmpl w:val="59C761D5"/>
    <w:lvl w:ilvl="0" w:tentative="0">
      <w:start w:val="1"/>
      <w:numFmt w:val="decimal"/>
      <w:lvlText w:val="2.2.%1."/>
      <w:lvlJc w:val="left"/>
      <w:pPr>
        <w:tabs>
          <w:tab w:val="left" w:pos="425"/>
        </w:tabs>
        <w:ind w:left="425" w:hanging="425"/>
      </w:pPr>
      <w:rPr>
        <w:rFonts w:hint="eastAsia"/>
      </w:rPr>
    </w:lvl>
    <w:lvl w:ilvl="1" w:tentative="0">
      <w:start w:val="1"/>
      <w:numFmt w:val="decimal"/>
      <w:lvlText w:val="3.%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F34A784"/>
    <w:multiLevelType w:val="singleLevel"/>
    <w:tmpl w:val="7F34A784"/>
    <w:lvl w:ilvl="0" w:tentative="0">
      <w:start w:val="1"/>
      <w:numFmt w:val="decimal"/>
      <w:suff w:val="nothing"/>
      <w:lvlText w:val="%1、"/>
      <w:lvlJc w:val="left"/>
    </w:lvl>
  </w:abstractNum>
  <w:num w:numId="1">
    <w:abstractNumId w:val="0"/>
  </w:num>
  <w:num w:numId="2">
    <w:abstractNumId w:val="3"/>
  </w:num>
  <w:num w:numId="3">
    <w:abstractNumId w:val="4"/>
  </w:num>
  <w:num w:numId="4">
    <w:abstractNumId w:val="7"/>
  </w:num>
  <w:num w:numId="5">
    <w:abstractNumId w:val="5"/>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20"/>
  <w:drawingGridVerticalSpacing w:val="163"/>
  <w:displayHorizontalDrawingGridEvery w:val="1"/>
  <w:displayVerticalDrawingGridEvery w:val="1"/>
  <w:noPunctuationKerning w:val="1"/>
  <w:characterSpacingControl w:val="doNotCompress"/>
  <w:noLineBreaksAfter w:lang="zh-CN" w:val="([{·‘“〈《「『【〔〖（．［｛￡￥"/>
  <w:noLineBreaksBefore w:lang="zh-CN" w:val="!),.:;?]}¨·ˇˉ―‖’”…∶、。〃々〉》」』】〕〗！＂＇），．：；？］｀｜｝～￠"/>
  <w:compat>
    <w:spaceForUL/>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RhYzAwMzM4Yzg0MWQ3NGYxZThlNzgwMjQ2OWZlNGUifQ=="/>
    <w:docVar w:name="KSO_WPS_MARK_KEY" w:val="5baf2180-7ac1-4ec8-9d50-47ec86e2a009"/>
  </w:docVars>
  <w:rsids>
    <w:rsidRoot w:val="00172A27"/>
    <w:rsid w:val="000011B3"/>
    <w:rsid w:val="00003BB5"/>
    <w:rsid w:val="00023958"/>
    <w:rsid w:val="0002548F"/>
    <w:rsid w:val="00052DFA"/>
    <w:rsid w:val="00053C1B"/>
    <w:rsid w:val="00075BB5"/>
    <w:rsid w:val="00077288"/>
    <w:rsid w:val="000A4F06"/>
    <w:rsid w:val="000B2CC8"/>
    <w:rsid w:val="000C34C6"/>
    <w:rsid w:val="000D1F88"/>
    <w:rsid w:val="000D5501"/>
    <w:rsid w:val="000E7B1F"/>
    <w:rsid w:val="000F0F6E"/>
    <w:rsid w:val="000F4813"/>
    <w:rsid w:val="00116021"/>
    <w:rsid w:val="001412B1"/>
    <w:rsid w:val="00172A27"/>
    <w:rsid w:val="00172D26"/>
    <w:rsid w:val="00187886"/>
    <w:rsid w:val="00197A65"/>
    <w:rsid w:val="001A6193"/>
    <w:rsid w:val="001D648B"/>
    <w:rsid w:val="001F1083"/>
    <w:rsid w:val="002029EE"/>
    <w:rsid w:val="002136AF"/>
    <w:rsid w:val="0022693C"/>
    <w:rsid w:val="00226B74"/>
    <w:rsid w:val="002272D4"/>
    <w:rsid w:val="00241E31"/>
    <w:rsid w:val="002C6496"/>
    <w:rsid w:val="002E5DB2"/>
    <w:rsid w:val="003013F5"/>
    <w:rsid w:val="003044CC"/>
    <w:rsid w:val="0031375D"/>
    <w:rsid w:val="0035439A"/>
    <w:rsid w:val="003765B6"/>
    <w:rsid w:val="0039547A"/>
    <w:rsid w:val="003C7E56"/>
    <w:rsid w:val="00443EA5"/>
    <w:rsid w:val="00455C9D"/>
    <w:rsid w:val="00487F61"/>
    <w:rsid w:val="00491BA6"/>
    <w:rsid w:val="004C06E4"/>
    <w:rsid w:val="004C6F2D"/>
    <w:rsid w:val="004D2346"/>
    <w:rsid w:val="004E349F"/>
    <w:rsid w:val="004F2859"/>
    <w:rsid w:val="004F6EA7"/>
    <w:rsid w:val="004F71D3"/>
    <w:rsid w:val="00505F2C"/>
    <w:rsid w:val="00564C51"/>
    <w:rsid w:val="005E17B7"/>
    <w:rsid w:val="005F3CFB"/>
    <w:rsid w:val="006114B8"/>
    <w:rsid w:val="00631D08"/>
    <w:rsid w:val="00644289"/>
    <w:rsid w:val="006B5684"/>
    <w:rsid w:val="006C2B1D"/>
    <w:rsid w:val="006D747A"/>
    <w:rsid w:val="006E4A62"/>
    <w:rsid w:val="006E6EA7"/>
    <w:rsid w:val="006F1B84"/>
    <w:rsid w:val="00710C67"/>
    <w:rsid w:val="00733E26"/>
    <w:rsid w:val="00735651"/>
    <w:rsid w:val="00747D26"/>
    <w:rsid w:val="007601CB"/>
    <w:rsid w:val="0077584F"/>
    <w:rsid w:val="00775CA6"/>
    <w:rsid w:val="00782DE4"/>
    <w:rsid w:val="00794F0F"/>
    <w:rsid w:val="007B6B83"/>
    <w:rsid w:val="007C5910"/>
    <w:rsid w:val="007D1065"/>
    <w:rsid w:val="007E4C72"/>
    <w:rsid w:val="00802C58"/>
    <w:rsid w:val="008170B4"/>
    <w:rsid w:val="008317ED"/>
    <w:rsid w:val="00842CE4"/>
    <w:rsid w:val="00860816"/>
    <w:rsid w:val="00883361"/>
    <w:rsid w:val="00884DFF"/>
    <w:rsid w:val="00893262"/>
    <w:rsid w:val="008A460F"/>
    <w:rsid w:val="008D334D"/>
    <w:rsid w:val="00913DEF"/>
    <w:rsid w:val="00940D62"/>
    <w:rsid w:val="00956BFA"/>
    <w:rsid w:val="009903B0"/>
    <w:rsid w:val="009B3E54"/>
    <w:rsid w:val="009C1561"/>
    <w:rsid w:val="009F0E8F"/>
    <w:rsid w:val="00A12335"/>
    <w:rsid w:val="00A12B5B"/>
    <w:rsid w:val="00A366BC"/>
    <w:rsid w:val="00A60656"/>
    <w:rsid w:val="00A738E7"/>
    <w:rsid w:val="00A741D6"/>
    <w:rsid w:val="00A8724D"/>
    <w:rsid w:val="00AB1C15"/>
    <w:rsid w:val="00AC2789"/>
    <w:rsid w:val="00AE5308"/>
    <w:rsid w:val="00B1729C"/>
    <w:rsid w:val="00B40E79"/>
    <w:rsid w:val="00B50C09"/>
    <w:rsid w:val="00B51A1E"/>
    <w:rsid w:val="00B601AA"/>
    <w:rsid w:val="00B80935"/>
    <w:rsid w:val="00BA2A3D"/>
    <w:rsid w:val="00BC1C21"/>
    <w:rsid w:val="00BE2C89"/>
    <w:rsid w:val="00BF27D3"/>
    <w:rsid w:val="00C00915"/>
    <w:rsid w:val="00C03082"/>
    <w:rsid w:val="00C1359E"/>
    <w:rsid w:val="00C327C5"/>
    <w:rsid w:val="00C4218C"/>
    <w:rsid w:val="00C74BC7"/>
    <w:rsid w:val="00C77BE4"/>
    <w:rsid w:val="00C87203"/>
    <w:rsid w:val="00CA47EB"/>
    <w:rsid w:val="00CD5FC6"/>
    <w:rsid w:val="00D010DD"/>
    <w:rsid w:val="00D46D32"/>
    <w:rsid w:val="00D5072D"/>
    <w:rsid w:val="00D51A8E"/>
    <w:rsid w:val="00D568B9"/>
    <w:rsid w:val="00DA4CCA"/>
    <w:rsid w:val="00DA64F1"/>
    <w:rsid w:val="00DB7691"/>
    <w:rsid w:val="00DC7C1D"/>
    <w:rsid w:val="00E125B5"/>
    <w:rsid w:val="00E17680"/>
    <w:rsid w:val="00E203E4"/>
    <w:rsid w:val="00E5102B"/>
    <w:rsid w:val="00E5153B"/>
    <w:rsid w:val="00E52023"/>
    <w:rsid w:val="00E61FA6"/>
    <w:rsid w:val="00E709F4"/>
    <w:rsid w:val="00EA1AD7"/>
    <w:rsid w:val="00EA23AD"/>
    <w:rsid w:val="00EC6170"/>
    <w:rsid w:val="00ED3B5E"/>
    <w:rsid w:val="00EE1F87"/>
    <w:rsid w:val="00EF5B58"/>
    <w:rsid w:val="00F0530F"/>
    <w:rsid w:val="00F1070D"/>
    <w:rsid w:val="00F114CB"/>
    <w:rsid w:val="00F301F5"/>
    <w:rsid w:val="00F355D5"/>
    <w:rsid w:val="00F3651D"/>
    <w:rsid w:val="00F44780"/>
    <w:rsid w:val="00F50224"/>
    <w:rsid w:val="00F57130"/>
    <w:rsid w:val="00F86C69"/>
    <w:rsid w:val="00F90C68"/>
    <w:rsid w:val="00FB62F5"/>
    <w:rsid w:val="00FF334F"/>
    <w:rsid w:val="00FF35DB"/>
    <w:rsid w:val="012A0989"/>
    <w:rsid w:val="015226B3"/>
    <w:rsid w:val="016320EC"/>
    <w:rsid w:val="01642258"/>
    <w:rsid w:val="01791910"/>
    <w:rsid w:val="018C33F1"/>
    <w:rsid w:val="018C753B"/>
    <w:rsid w:val="018D3506"/>
    <w:rsid w:val="018D4066"/>
    <w:rsid w:val="01987FE8"/>
    <w:rsid w:val="01D72CF4"/>
    <w:rsid w:val="01D803E5"/>
    <w:rsid w:val="01DF79C5"/>
    <w:rsid w:val="01F36E43"/>
    <w:rsid w:val="020E02AA"/>
    <w:rsid w:val="02111B48"/>
    <w:rsid w:val="02160663"/>
    <w:rsid w:val="026C7207"/>
    <w:rsid w:val="02846FF0"/>
    <w:rsid w:val="029F53A6"/>
    <w:rsid w:val="02B57414"/>
    <w:rsid w:val="02C0622E"/>
    <w:rsid w:val="02C31BCD"/>
    <w:rsid w:val="02CC3024"/>
    <w:rsid w:val="03031491"/>
    <w:rsid w:val="033539F3"/>
    <w:rsid w:val="033B569D"/>
    <w:rsid w:val="033C0E47"/>
    <w:rsid w:val="0385599E"/>
    <w:rsid w:val="038F71C9"/>
    <w:rsid w:val="03A64862"/>
    <w:rsid w:val="03B2751E"/>
    <w:rsid w:val="03C230FA"/>
    <w:rsid w:val="03CC5D27"/>
    <w:rsid w:val="03D00567"/>
    <w:rsid w:val="03D735E1"/>
    <w:rsid w:val="03F359AA"/>
    <w:rsid w:val="045D1075"/>
    <w:rsid w:val="04660D78"/>
    <w:rsid w:val="048A4AE8"/>
    <w:rsid w:val="04921EC5"/>
    <w:rsid w:val="04B45C0B"/>
    <w:rsid w:val="04E35A1E"/>
    <w:rsid w:val="04E62E18"/>
    <w:rsid w:val="04EE6171"/>
    <w:rsid w:val="04FC088E"/>
    <w:rsid w:val="050B0AD1"/>
    <w:rsid w:val="0511165B"/>
    <w:rsid w:val="05164CCC"/>
    <w:rsid w:val="0560706F"/>
    <w:rsid w:val="059E1945"/>
    <w:rsid w:val="05B41169"/>
    <w:rsid w:val="05DD6BBB"/>
    <w:rsid w:val="0600615C"/>
    <w:rsid w:val="060F639F"/>
    <w:rsid w:val="06110369"/>
    <w:rsid w:val="062B3DC4"/>
    <w:rsid w:val="06312B4B"/>
    <w:rsid w:val="063D2E3A"/>
    <w:rsid w:val="0646323F"/>
    <w:rsid w:val="066A1827"/>
    <w:rsid w:val="066E7A48"/>
    <w:rsid w:val="066F6E3E"/>
    <w:rsid w:val="06907FB4"/>
    <w:rsid w:val="069114AA"/>
    <w:rsid w:val="06A515D9"/>
    <w:rsid w:val="06BA630B"/>
    <w:rsid w:val="06C4362D"/>
    <w:rsid w:val="06EF6453"/>
    <w:rsid w:val="070624B8"/>
    <w:rsid w:val="07097292"/>
    <w:rsid w:val="07336DAD"/>
    <w:rsid w:val="073836D3"/>
    <w:rsid w:val="075E1D46"/>
    <w:rsid w:val="07666493"/>
    <w:rsid w:val="076834DF"/>
    <w:rsid w:val="07794418"/>
    <w:rsid w:val="077F2D39"/>
    <w:rsid w:val="07C02047"/>
    <w:rsid w:val="07CF228A"/>
    <w:rsid w:val="07D7113E"/>
    <w:rsid w:val="08000695"/>
    <w:rsid w:val="080737D2"/>
    <w:rsid w:val="08275C22"/>
    <w:rsid w:val="0854453D"/>
    <w:rsid w:val="086A1FB2"/>
    <w:rsid w:val="086D2390"/>
    <w:rsid w:val="08713341"/>
    <w:rsid w:val="08852948"/>
    <w:rsid w:val="08955281"/>
    <w:rsid w:val="08A2174C"/>
    <w:rsid w:val="08D51B22"/>
    <w:rsid w:val="08E54928"/>
    <w:rsid w:val="09434CDD"/>
    <w:rsid w:val="0963712E"/>
    <w:rsid w:val="0980101E"/>
    <w:rsid w:val="09851086"/>
    <w:rsid w:val="098F7B91"/>
    <w:rsid w:val="09CF0644"/>
    <w:rsid w:val="09EE2EE4"/>
    <w:rsid w:val="09FA02B5"/>
    <w:rsid w:val="0A110938"/>
    <w:rsid w:val="0A3C34DB"/>
    <w:rsid w:val="0A4979D0"/>
    <w:rsid w:val="0A6F565E"/>
    <w:rsid w:val="0A747118"/>
    <w:rsid w:val="0A93759F"/>
    <w:rsid w:val="0AAE6186"/>
    <w:rsid w:val="0AE93662"/>
    <w:rsid w:val="0B064214"/>
    <w:rsid w:val="0B1275A2"/>
    <w:rsid w:val="0B2E376B"/>
    <w:rsid w:val="0B330D82"/>
    <w:rsid w:val="0B3773DD"/>
    <w:rsid w:val="0B582596"/>
    <w:rsid w:val="0B633AD9"/>
    <w:rsid w:val="0B64718D"/>
    <w:rsid w:val="0BA466FE"/>
    <w:rsid w:val="0BDA6161"/>
    <w:rsid w:val="0BE0224F"/>
    <w:rsid w:val="0BFA364D"/>
    <w:rsid w:val="0C135FFE"/>
    <w:rsid w:val="0C34480B"/>
    <w:rsid w:val="0C412CE6"/>
    <w:rsid w:val="0C774C9E"/>
    <w:rsid w:val="0C7B653C"/>
    <w:rsid w:val="0CC83820"/>
    <w:rsid w:val="0CE25AC2"/>
    <w:rsid w:val="0CE9794A"/>
    <w:rsid w:val="0CEF0CD8"/>
    <w:rsid w:val="0D075BBA"/>
    <w:rsid w:val="0D0C188A"/>
    <w:rsid w:val="0D1853AA"/>
    <w:rsid w:val="0D197B03"/>
    <w:rsid w:val="0D1F511A"/>
    <w:rsid w:val="0D26294C"/>
    <w:rsid w:val="0D411534"/>
    <w:rsid w:val="0D9A6E96"/>
    <w:rsid w:val="0DEB72BE"/>
    <w:rsid w:val="0E0323CC"/>
    <w:rsid w:val="0E3015A8"/>
    <w:rsid w:val="0E3776DC"/>
    <w:rsid w:val="0E7019A5"/>
    <w:rsid w:val="0E95480B"/>
    <w:rsid w:val="0EAC16E8"/>
    <w:rsid w:val="0ED03105"/>
    <w:rsid w:val="0F587009"/>
    <w:rsid w:val="0F6E4252"/>
    <w:rsid w:val="0F8017EF"/>
    <w:rsid w:val="0F87122A"/>
    <w:rsid w:val="0F890A60"/>
    <w:rsid w:val="0F8C0A60"/>
    <w:rsid w:val="0F96368D"/>
    <w:rsid w:val="0FA0212C"/>
    <w:rsid w:val="0FC65D20"/>
    <w:rsid w:val="0FCB77DB"/>
    <w:rsid w:val="0FF30ADF"/>
    <w:rsid w:val="101822F4"/>
    <w:rsid w:val="103B1B4C"/>
    <w:rsid w:val="104F3F68"/>
    <w:rsid w:val="107B2FAF"/>
    <w:rsid w:val="10AB4F16"/>
    <w:rsid w:val="10B62239"/>
    <w:rsid w:val="10F71C4D"/>
    <w:rsid w:val="11020AD4"/>
    <w:rsid w:val="1102722C"/>
    <w:rsid w:val="110F02D5"/>
    <w:rsid w:val="11164A85"/>
    <w:rsid w:val="11254CC9"/>
    <w:rsid w:val="112847B9"/>
    <w:rsid w:val="11405FA6"/>
    <w:rsid w:val="114535BD"/>
    <w:rsid w:val="11496C09"/>
    <w:rsid w:val="115D4462"/>
    <w:rsid w:val="117F262B"/>
    <w:rsid w:val="11A1398C"/>
    <w:rsid w:val="11BB70FC"/>
    <w:rsid w:val="11CE017F"/>
    <w:rsid w:val="11E84674"/>
    <w:rsid w:val="123833E2"/>
    <w:rsid w:val="12383795"/>
    <w:rsid w:val="126711AC"/>
    <w:rsid w:val="12B145D1"/>
    <w:rsid w:val="12B207DE"/>
    <w:rsid w:val="12B74046"/>
    <w:rsid w:val="12CC5D44"/>
    <w:rsid w:val="12ED3B3F"/>
    <w:rsid w:val="130F60BA"/>
    <w:rsid w:val="131B2827"/>
    <w:rsid w:val="132D4308"/>
    <w:rsid w:val="1347361C"/>
    <w:rsid w:val="134C3FB3"/>
    <w:rsid w:val="134E49AB"/>
    <w:rsid w:val="13712447"/>
    <w:rsid w:val="1383636E"/>
    <w:rsid w:val="13AD02F2"/>
    <w:rsid w:val="13BC4D00"/>
    <w:rsid w:val="13C0517C"/>
    <w:rsid w:val="13CC1D73"/>
    <w:rsid w:val="13CD4A59"/>
    <w:rsid w:val="13E76BAD"/>
    <w:rsid w:val="13EA539B"/>
    <w:rsid w:val="13F144B2"/>
    <w:rsid w:val="1404150D"/>
    <w:rsid w:val="145A112D"/>
    <w:rsid w:val="1497412F"/>
    <w:rsid w:val="14AB1D4D"/>
    <w:rsid w:val="14E46C49"/>
    <w:rsid w:val="14F055ED"/>
    <w:rsid w:val="155759EF"/>
    <w:rsid w:val="155910C9"/>
    <w:rsid w:val="15760663"/>
    <w:rsid w:val="158579F2"/>
    <w:rsid w:val="15AE1730"/>
    <w:rsid w:val="15BB5BFB"/>
    <w:rsid w:val="15C727F2"/>
    <w:rsid w:val="15CE4902"/>
    <w:rsid w:val="15FC769C"/>
    <w:rsid w:val="160E0421"/>
    <w:rsid w:val="161D47A4"/>
    <w:rsid w:val="16480CFC"/>
    <w:rsid w:val="1670321A"/>
    <w:rsid w:val="168129A1"/>
    <w:rsid w:val="16AB3EC2"/>
    <w:rsid w:val="16CF7BB0"/>
    <w:rsid w:val="16D74CB7"/>
    <w:rsid w:val="16F83FBE"/>
    <w:rsid w:val="16FB6BF7"/>
    <w:rsid w:val="172B0B5F"/>
    <w:rsid w:val="17322913"/>
    <w:rsid w:val="173323F1"/>
    <w:rsid w:val="174F0CF1"/>
    <w:rsid w:val="175C2DE9"/>
    <w:rsid w:val="17606A5A"/>
    <w:rsid w:val="176C6F9C"/>
    <w:rsid w:val="17A34B99"/>
    <w:rsid w:val="17AF79E2"/>
    <w:rsid w:val="17F9665E"/>
    <w:rsid w:val="184A3267"/>
    <w:rsid w:val="185F31B6"/>
    <w:rsid w:val="185F6D12"/>
    <w:rsid w:val="18826EA4"/>
    <w:rsid w:val="18AA2E33"/>
    <w:rsid w:val="18DD40DB"/>
    <w:rsid w:val="18EA6F23"/>
    <w:rsid w:val="18F338FE"/>
    <w:rsid w:val="19202945"/>
    <w:rsid w:val="192166BD"/>
    <w:rsid w:val="193B5638"/>
    <w:rsid w:val="194B373A"/>
    <w:rsid w:val="195C5947"/>
    <w:rsid w:val="19632832"/>
    <w:rsid w:val="197F7673"/>
    <w:rsid w:val="1983012E"/>
    <w:rsid w:val="1988673C"/>
    <w:rsid w:val="19932D33"/>
    <w:rsid w:val="1997072D"/>
    <w:rsid w:val="199C7AF2"/>
    <w:rsid w:val="19A52E4A"/>
    <w:rsid w:val="19D454DE"/>
    <w:rsid w:val="19D90D46"/>
    <w:rsid w:val="19E27BFB"/>
    <w:rsid w:val="1A703458"/>
    <w:rsid w:val="1AA43102"/>
    <w:rsid w:val="1AFC0794"/>
    <w:rsid w:val="1B0071E4"/>
    <w:rsid w:val="1B122762"/>
    <w:rsid w:val="1B17152B"/>
    <w:rsid w:val="1B402872"/>
    <w:rsid w:val="1B446693"/>
    <w:rsid w:val="1B5125DE"/>
    <w:rsid w:val="1B59213E"/>
    <w:rsid w:val="1B6A60FA"/>
    <w:rsid w:val="1B7900EB"/>
    <w:rsid w:val="1B917B2A"/>
    <w:rsid w:val="1BD21EF1"/>
    <w:rsid w:val="1BD9327F"/>
    <w:rsid w:val="1BF73705"/>
    <w:rsid w:val="1BFA7950"/>
    <w:rsid w:val="1C1D306B"/>
    <w:rsid w:val="1C2E35CB"/>
    <w:rsid w:val="1C346708"/>
    <w:rsid w:val="1C41471F"/>
    <w:rsid w:val="1C493F61"/>
    <w:rsid w:val="1CA72E56"/>
    <w:rsid w:val="1CB23237"/>
    <w:rsid w:val="1CC771BA"/>
    <w:rsid w:val="1CF814E3"/>
    <w:rsid w:val="1D001FED"/>
    <w:rsid w:val="1D0E6F59"/>
    <w:rsid w:val="1D5E1C8E"/>
    <w:rsid w:val="1D641F5B"/>
    <w:rsid w:val="1D6F5C49"/>
    <w:rsid w:val="1D8A11AB"/>
    <w:rsid w:val="1D8D47D9"/>
    <w:rsid w:val="1D920BFF"/>
    <w:rsid w:val="1D9264D1"/>
    <w:rsid w:val="1DA71A88"/>
    <w:rsid w:val="1DB55626"/>
    <w:rsid w:val="1DBE0372"/>
    <w:rsid w:val="1DBE442F"/>
    <w:rsid w:val="1DEF0B38"/>
    <w:rsid w:val="1DF223D6"/>
    <w:rsid w:val="1DF56CD5"/>
    <w:rsid w:val="1E0B5406"/>
    <w:rsid w:val="1E2528EC"/>
    <w:rsid w:val="1E94348E"/>
    <w:rsid w:val="1EBE0ACE"/>
    <w:rsid w:val="1EBE702A"/>
    <w:rsid w:val="1ED01A9E"/>
    <w:rsid w:val="1F185E6D"/>
    <w:rsid w:val="1F443106"/>
    <w:rsid w:val="1F486752"/>
    <w:rsid w:val="1F555ECE"/>
    <w:rsid w:val="1F680BA2"/>
    <w:rsid w:val="1FAB3B94"/>
    <w:rsid w:val="1FE43FA1"/>
    <w:rsid w:val="200A20F3"/>
    <w:rsid w:val="20137B52"/>
    <w:rsid w:val="20450EE3"/>
    <w:rsid w:val="207B4EEC"/>
    <w:rsid w:val="20B16579"/>
    <w:rsid w:val="20C95670"/>
    <w:rsid w:val="20D10651"/>
    <w:rsid w:val="20DD6F19"/>
    <w:rsid w:val="20E22BD6"/>
    <w:rsid w:val="20E976FD"/>
    <w:rsid w:val="211E2596"/>
    <w:rsid w:val="21582E98"/>
    <w:rsid w:val="216C460C"/>
    <w:rsid w:val="21863561"/>
    <w:rsid w:val="21997739"/>
    <w:rsid w:val="21B92871"/>
    <w:rsid w:val="21CA5B44"/>
    <w:rsid w:val="21D544E9"/>
    <w:rsid w:val="21DD4C64"/>
    <w:rsid w:val="220F4A09"/>
    <w:rsid w:val="22131CBA"/>
    <w:rsid w:val="2229540F"/>
    <w:rsid w:val="2231243E"/>
    <w:rsid w:val="225146CC"/>
    <w:rsid w:val="227F5D7D"/>
    <w:rsid w:val="22806737"/>
    <w:rsid w:val="22887B96"/>
    <w:rsid w:val="22995058"/>
    <w:rsid w:val="231066A0"/>
    <w:rsid w:val="233242A4"/>
    <w:rsid w:val="234A3E8D"/>
    <w:rsid w:val="234A74F6"/>
    <w:rsid w:val="23885F5A"/>
    <w:rsid w:val="239F6B5C"/>
    <w:rsid w:val="23A36317"/>
    <w:rsid w:val="23B16010"/>
    <w:rsid w:val="244B645E"/>
    <w:rsid w:val="2455546D"/>
    <w:rsid w:val="246102B6"/>
    <w:rsid w:val="24733563"/>
    <w:rsid w:val="24A07183"/>
    <w:rsid w:val="24DE5462"/>
    <w:rsid w:val="24E24F53"/>
    <w:rsid w:val="25021151"/>
    <w:rsid w:val="250B3205"/>
    <w:rsid w:val="254539BA"/>
    <w:rsid w:val="25697422"/>
    <w:rsid w:val="256D1BA5"/>
    <w:rsid w:val="258B7398"/>
    <w:rsid w:val="25A72192"/>
    <w:rsid w:val="25AC5561"/>
    <w:rsid w:val="25B52667"/>
    <w:rsid w:val="25B81B67"/>
    <w:rsid w:val="25BC1C48"/>
    <w:rsid w:val="25CD79B1"/>
    <w:rsid w:val="25DD3901"/>
    <w:rsid w:val="25E22D30"/>
    <w:rsid w:val="25E35426"/>
    <w:rsid w:val="25F807A6"/>
    <w:rsid w:val="261B365A"/>
    <w:rsid w:val="26217E7D"/>
    <w:rsid w:val="26393298"/>
    <w:rsid w:val="265E2CFF"/>
    <w:rsid w:val="26BB5A5B"/>
    <w:rsid w:val="26EF5BC4"/>
    <w:rsid w:val="27012636"/>
    <w:rsid w:val="27051CAA"/>
    <w:rsid w:val="272E26D1"/>
    <w:rsid w:val="27574379"/>
    <w:rsid w:val="276278F2"/>
    <w:rsid w:val="277E27EF"/>
    <w:rsid w:val="279358F7"/>
    <w:rsid w:val="279D4FC0"/>
    <w:rsid w:val="27C70430"/>
    <w:rsid w:val="27EF50AD"/>
    <w:rsid w:val="28500425"/>
    <w:rsid w:val="28812400"/>
    <w:rsid w:val="289F315B"/>
    <w:rsid w:val="28C826B1"/>
    <w:rsid w:val="28D87BAA"/>
    <w:rsid w:val="28DF17A9"/>
    <w:rsid w:val="28E53263"/>
    <w:rsid w:val="291678C1"/>
    <w:rsid w:val="295B2867"/>
    <w:rsid w:val="297F5466"/>
    <w:rsid w:val="298C7B83"/>
    <w:rsid w:val="298E64D0"/>
    <w:rsid w:val="299F5762"/>
    <w:rsid w:val="29AF6F23"/>
    <w:rsid w:val="29DD610F"/>
    <w:rsid w:val="2A021BF3"/>
    <w:rsid w:val="2A1262DA"/>
    <w:rsid w:val="2A1A6F3D"/>
    <w:rsid w:val="2A2878AC"/>
    <w:rsid w:val="2A386503"/>
    <w:rsid w:val="2A5E2CB6"/>
    <w:rsid w:val="2A704DAF"/>
    <w:rsid w:val="2A8D5961"/>
    <w:rsid w:val="2A9665DA"/>
    <w:rsid w:val="2AC51DAE"/>
    <w:rsid w:val="2ADC0696"/>
    <w:rsid w:val="2ADE7F6A"/>
    <w:rsid w:val="2B1166EC"/>
    <w:rsid w:val="2B204A27"/>
    <w:rsid w:val="2B277B63"/>
    <w:rsid w:val="2B3C7896"/>
    <w:rsid w:val="2B522706"/>
    <w:rsid w:val="2B536BAA"/>
    <w:rsid w:val="2B573DC6"/>
    <w:rsid w:val="2B6F5066"/>
    <w:rsid w:val="2B8054C5"/>
    <w:rsid w:val="2B85488A"/>
    <w:rsid w:val="2BA50FCD"/>
    <w:rsid w:val="2BB807BB"/>
    <w:rsid w:val="2BB94533"/>
    <w:rsid w:val="2BC03B14"/>
    <w:rsid w:val="2BC77676"/>
    <w:rsid w:val="2BE71398"/>
    <w:rsid w:val="2BF13CCD"/>
    <w:rsid w:val="2BF57C61"/>
    <w:rsid w:val="2BFF63EA"/>
    <w:rsid w:val="2C097269"/>
    <w:rsid w:val="2C0A2D75"/>
    <w:rsid w:val="2C267E1B"/>
    <w:rsid w:val="2C33377C"/>
    <w:rsid w:val="2C66290D"/>
    <w:rsid w:val="2CAD22EA"/>
    <w:rsid w:val="2CC5440E"/>
    <w:rsid w:val="2CCB2762"/>
    <w:rsid w:val="2CF93E77"/>
    <w:rsid w:val="2D086538"/>
    <w:rsid w:val="2D4D587B"/>
    <w:rsid w:val="2D6F73FF"/>
    <w:rsid w:val="2D7F2C88"/>
    <w:rsid w:val="2D834DF9"/>
    <w:rsid w:val="2E156399"/>
    <w:rsid w:val="2E16201B"/>
    <w:rsid w:val="2E1F45B4"/>
    <w:rsid w:val="2E2A1718"/>
    <w:rsid w:val="2E32232A"/>
    <w:rsid w:val="2E5549E7"/>
    <w:rsid w:val="2E787C93"/>
    <w:rsid w:val="2E7B3E4E"/>
    <w:rsid w:val="2E8D0754"/>
    <w:rsid w:val="2E9372BE"/>
    <w:rsid w:val="2E9C01BA"/>
    <w:rsid w:val="2EA27501"/>
    <w:rsid w:val="2EA4771D"/>
    <w:rsid w:val="2EA950FE"/>
    <w:rsid w:val="2EB750A0"/>
    <w:rsid w:val="2ECB4CA9"/>
    <w:rsid w:val="2ED33B5E"/>
    <w:rsid w:val="2EE67D35"/>
    <w:rsid w:val="2EF266DA"/>
    <w:rsid w:val="2EFF2BA5"/>
    <w:rsid w:val="2F3565DF"/>
    <w:rsid w:val="2F57478F"/>
    <w:rsid w:val="2F647971"/>
    <w:rsid w:val="2F8649A8"/>
    <w:rsid w:val="2FA40F09"/>
    <w:rsid w:val="2FAA48BF"/>
    <w:rsid w:val="2FAF60CB"/>
    <w:rsid w:val="2FC36C07"/>
    <w:rsid w:val="2FDB317E"/>
    <w:rsid w:val="2FE06533"/>
    <w:rsid w:val="30032221"/>
    <w:rsid w:val="301D32E3"/>
    <w:rsid w:val="302223B3"/>
    <w:rsid w:val="30405223"/>
    <w:rsid w:val="306C7DC6"/>
    <w:rsid w:val="30901D07"/>
    <w:rsid w:val="30921001"/>
    <w:rsid w:val="309B2149"/>
    <w:rsid w:val="30CD4789"/>
    <w:rsid w:val="30DA5678"/>
    <w:rsid w:val="310163D8"/>
    <w:rsid w:val="310426F5"/>
    <w:rsid w:val="31157B53"/>
    <w:rsid w:val="313905F0"/>
    <w:rsid w:val="31633CC3"/>
    <w:rsid w:val="31741628"/>
    <w:rsid w:val="31837ABD"/>
    <w:rsid w:val="31B163D9"/>
    <w:rsid w:val="31CD15D3"/>
    <w:rsid w:val="32024E86"/>
    <w:rsid w:val="320D4084"/>
    <w:rsid w:val="321F61F1"/>
    <w:rsid w:val="32566F80"/>
    <w:rsid w:val="328F5FEE"/>
    <w:rsid w:val="32B06690"/>
    <w:rsid w:val="32C75788"/>
    <w:rsid w:val="32E620B2"/>
    <w:rsid w:val="32EE7336"/>
    <w:rsid w:val="33423060"/>
    <w:rsid w:val="3380239F"/>
    <w:rsid w:val="339A4C4A"/>
    <w:rsid w:val="33BA7921"/>
    <w:rsid w:val="33C120EC"/>
    <w:rsid w:val="33C84F4E"/>
    <w:rsid w:val="33D25B7B"/>
    <w:rsid w:val="33F95E15"/>
    <w:rsid w:val="34117602"/>
    <w:rsid w:val="343357DF"/>
    <w:rsid w:val="347E0FDA"/>
    <w:rsid w:val="349618B6"/>
    <w:rsid w:val="349E076A"/>
    <w:rsid w:val="34AB7B35"/>
    <w:rsid w:val="34B00BC9"/>
    <w:rsid w:val="34DB376C"/>
    <w:rsid w:val="34F30AB6"/>
    <w:rsid w:val="34FA3BF3"/>
    <w:rsid w:val="352C3FC8"/>
    <w:rsid w:val="35327A3F"/>
    <w:rsid w:val="35353F14"/>
    <w:rsid w:val="353B3466"/>
    <w:rsid w:val="35512015"/>
    <w:rsid w:val="3558402F"/>
    <w:rsid w:val="35594865"/>
    <w:rsid w:val="35626A94"/>
    <w:rsid w:val="356A649A"/>
    <w:rsid w:val="359F479A"/>
    <w:rsid w:val="35A3428A"/>
    <w:rsid w:val="35A433C0"/>
    <w:rsid w:val="35B0664A"/>
    <w:rsid w:val="35C70A07"/>
    <w:rsid w:val="35C95C5D"/>
    <w:rsid w:val="35FA7C22"/>
    <w:rsid w:val="361D5196"/>
    <w:rsid w:val="362672CE"/>
    <w:rsid w:val="36365807"/>
    <w:rsid w:val="36626C6A"/>
    <w:rsid w:val="36687282"/>
    <w:rsid w:val="36867804"/>
    <w:rsid w:val="368F0CB2"/>
    <w:rsid w:val="36914A2B"/>
    <w:rsid w:val="36C344B8"/>
    <w:rsid w:val="36DF4F8F"/>
    <w:rsid w:val="36E50FF0"/>
    <w:rsid w:val="36F54FB9"/>
    <w:rsid w:val="37110AC5"/>
    <w:rsid w:val="371D3512"/>
    <w:rsid w:val="37455B3C"/>
    <w:rsid w:val="374970B3"/>
    <w:rsid w:val="37555A58"/>
    <w:rsid w:val="379431FA"/>
    <w:rsid w:val="37BA725B"/>
    <w:rsid w:val="37BF6466"/>
    <w:rsid w:val="37C70D1D"/>
    <w:rsid w:val="37E55EE7"/>
    <w:rsid w:val="37F60F5D"/>
    <w:rsid w:val="380450B5"/>
    <w:rsid w:val="383A69FC"/>
    <w:rsid w:val="383C4522"/>
    <w:rsid w:val="386629C8"/>
    <w:rsid w:val="38CA7D80"/>
    <w:rsid w:val="38DB3D3B"/>
    <w:rsid w:val="38E73DF2"/>
    <w:rsid w:val="38F2407A"/>
    <w:rsid w:val="390A63CE"/>
    <w:rsid w:val="390F1C37"/>
    <w:rsid w:val="39203E44"/>
    <w:rsid w:val="3934169D"/>
    <w:rsid w:val="39363667"/>
    <w:rsid w:val="39826F7B"/>
    <w:rsid w:val="398F1BC4"/>
    <w:rsid w:val="39BC3B6C"/>
    <w:rsid w:val="39C649EB"/>
    <w:rsid w:val="39CE1AF2"/>
    <w:rsid w:val="39DC420F"/>
    <w:rsid w:val="3A233BEC"/>
    <w:rsid w:val="3A2E433E"/>
    <w:rsid w:val="3A3951BD"/>
    <w:rsid w:val="3A3E4582"/>
    <w:rsid w:val="3A3F654C"/>
    <w:rsid w:val="3A6F0BDF"/>
    <w:rsid w:val="3A745E2A"/>
    <w:rsid w:val="3A7601BF"/>
    <w:rsid w:val="3A80103E"/>
    <w:rsid w:val="3A8367C5"/>
    <w:rsid w:val="3A8A77C7"/>
    <w:rsid w:val="3AC56EC7"/>
    <w:rsid w:val="3AC933C3"/>
    <w:rsid w:val="3ACA4067"/>
    <w:rsid w:val="3AD941E6"/>
    <w:rsid w:val="3AE72E6B"/>
    <w:rsid w:val="3B0A0908"/>
    <w:rsid w:val="3B5D137F"/>
    <w:rsid w:val="3B800BCA"/>
    <w:rsid w:val="3B854432"/>
    <w:rsid w:val="3BA9218A"/>
    <w:rsid w:val="3BD333EF"/>
    <w:rsid w:val="3BD42A69"/>
    <w:rsid w:val="3BDA29D0"/>
    <w:rsid w:val="3BE63123"/>
    <w:rsid w:val="3C634972"/>
    <w:rsid w:val="3C756255"/>
    <w:rsid w:val="3C7626F9"/>
    <w:rsid w:val="3C7A1ABD"/>
    <w:rsid w:val="3C852FCB"/>
    <w:rsid w:val="3D191A5A"/>
    <w:rsid w:val="3D2C623A"/>
    <w:rsid w:val="3D4A0D58"/>
    <w:rsid w:val="3D5A3003"/>
    <w:rsid w:val="3D6F458B"/>
    <w:rsid w:val="3D710E89"/>
    <w:rsid w:val="3D7526FF"/>
    <w:rsid w:val="3D7F382F"/>
    <w:rsid w:val="3DA908AC"/>
    <w:rsid w:val="3DE711A5"/>
    <w:rsid w:val="3DEE54F8"/>
    <w:rsid w:val="3E135D25"/>
    <w:rsid w:val="3E173A67"/>
    <w:rsid w:val="3E7E3AE6"/>
    <w:rsid w:val="3E7F33BB"/>
    <w:rsid w:val="3E8804C1"/>
    <w:rsid w:val="3EA03A5D"/>
    <w:rsid w:val="3ECE641A"/>
    <w:rsid w:val="3EEC4EF4"/>
    <w:rsid w:val="3EF21DDE"/>
    <w:rsid w:val="3EF5367D"/>
    <w:rsid w:val="3F054894"/>
    <w:rsid w:val="3F0A160C"/>
    <w:rsid w:val="3F247041"/>
    <w:rsid w:val="3F297CFD"/>
    <w:rsid w:val="3F2A5A1C"/>
    <w:rsid w:val="3F375A43"/>
    <w:rsid w:val="3F422D66"/>
    <w:rsid w:val="3F5A01FC"/>
    <w:rsid w:val="3F60143E"/>
    <w:rsid w:val="3F6E3B5B"/>
    <w:rsid w:val="3FC11F30"/>
    <w:rsid w:val="3FC217B1"/>
    <w:rsid w:val="3FC81C2A"/>
    <w:rsid w:val="40195A0D"/>
    <w:rsid w:val="402A3339"/>
    <w:rsid w:val="404C6529"/>
    <w:rsid w:val="405334D4"/>
    <w:rsid w:val="4078078D"/>
    <w:rsid w:val="407A208B"/>
    <w:rsid w:val="408E5B37"/>
    <w:rsid w:val="40B7508E"/>
    <w:rsid w:val="40B76E3C"/>
    <w:rsid w:val="40C61775"/>
    <w:rsid w:val="40D15BA0"/>
    <w:rsid w:val="40E340D5"/>
    <w:rsid w:val="41016309"/>
    <w:rsid w:val="41033820"/>
    <w:rsid w:val="41175B2C"/>
    <w:rsid w:val="411E54B6"/>
    <w:rsid w:val="41384420"/>
    <w:rsid w:val="41986C6D"/>
    <w:rsid w:val="41BD66D4"/>
    <w:rsid w:val="41D260B0"/>
    <w:rsid w:val="42271614"/>
    <w:rsid w:val="422C0AE2"/>
    <w:rsid w:val="424A4FCB"/>
    <w:rsid w:val="429F08C9"/>
    <w:rsid w:val="42A17DA3"/>
    <w:rsid w:val="42AC1A15"/>
    <w:rsid w:val="42B85068"/>
    <w:rsid w:val="42DE4B54"/>
    <w:rsid w:val="432664FB"/>
    <w:rsid w:val="433264EC"/>
    <w:rsid w:val="434626F9"/>
    <w:rsid w:val="434F77FF"/>
    <w:rsid w:val="43911BC6"/>
    <w:rsid w:val="43B1499E"/>
    <w:rsid w:val="43B803D3"/>
    <w:rsid w:val="43D6135A"/>
    <w:rsid w:val="43F565F9"/>
    <w:rsid w:val="43FE4D82"/>
    <w:rsid w:val="440700DA"/>
    <w:rsid w:val="442C5034"/>
    <w:rsid w:val="44337121"/>
    <w:rsid w:val="44352E99"/>
    <w:rsid w:val="444035EC"/>
    <w:rsid w:val="44446007"/>
    <w:rsid w:val="44497E13"/>
    <w:rsid w:val="445C633B"/>
    <w:rsid w:val="44646CEB"/>
    <w:rsid w:val="44717CA1"/>
    <w:rsid w:val="447A65E5"/>
    <w:rsid w:val="44866E46"/>
    <w:rsid w:val="44A2308A"/>
    <w:rsid w:val="44A616A1"/>
    <w:rsid w:val="44A7467D"/>
    <w:rsid w:val="44B042CE"/>
    <w:rsid w:val="44F13D1E"/>
    <w:rsid w:val="44F33465"/>
    <w:rsid w:val="44FE14DD"/>
    <w:rsid w:val="45091C30"/>
    <w:rsid w:val="45447E54"/>
    <w:rsid w:val="45614D46"/>
    <w:rsid w:val="45AF073E"/>
    <w:rsid w:val="45BF13D5"/>
    <w:rsid w:val="45DB537A"/>
    <w:rsid w:val="45E82D59"/>
    <w:rsid w:val="46222FA9"/>
    <w:rsid w:val="462C3E28"/>
    <w:rsid w:val="46371912"/>
    <w:rsid w:val="464F7B16"/>
    <w:rsid w:val="466E61EE"/>
    <w:rsid w:val="4670640B"/>
    <w:rsid w:val="467D65BC"/>
    <w:rsid w:val="4683790A"/>
    <w:rsid w:val="469320F9"/>
    <w:rsid w:val="4697193C"/>
    <w:rsid w:val="46BE39EF"/>
    <w:rsid w:val="46F843FA"/>
    <w:rsid w:val="46FC37FA"/>
    <w:rsid w:val="46FF778E"/>
    <w:rsid w:val="47123882"/>
    <w:rsid w:val="471548BC"/>
    <w:rsid w:val="471A45C8"/>
    <w:rsid w:val="47523D62"/>
    <w:rsid w:val="47583F43"/>
    <w:rsid w:val="479F062A"/>
    <w:rsid w:val="47CC58C3"/>
    <w:rsid w:val="47D023FA"/>
    <w:rsid w:val="47E671A2"/>
    <w:rsid w:val="47E86474"/>
    <w:rsid w:val="47EF335F"/>
    <w:rsid w:val="484D7CA4"/>
    <w:rsid w:val="484F02A2"/>
    <w:rsid w:val="485E2293"/>
    <w:rsid w:val="48920E0D"/>
    <w:rsid w:val="48934632"/>
    <w:rsid w:val="48967C7F"/>
    <w:rsid w:val="489B7043"/>
    <w:rsid w:val="489B7F8A"/>
    <w:rsid w:val="48D6451F"/>
    <w:rsid w:val="48E24C72"/>
    <w:rsid w:val="49543DC1"/>
    <w:rsid w:val="49595D88"/>
    <w:rsid w:val="4980538B"/>
    <w:rsid w:val="499013F6"/>
    <w:rsid w:val="499451CA"/>
    <w:rsid w:val="499F0DB5"/>
    <w:rsid w:val="49D4746E"/>
    <w:rsid w:val="49E2322A"/>
    <w:rsid w:val="49E9626D"/>
    <w:rsid w:val="4A201EF6"/>
    <w:rsid w:val="4A474F52"/>
    <w:rsid w:val="4A477482"/>
    <w:rsid w:val="4A616416"/>
    <w:rsid w:val="4A77763C"/>
    <w:rsid w:val="4A783AE0"/>
    <w:rsid w:val="4AB4263E"/>
    <w:rsid w:val="4B335C59"/>
    <w:rsid w:val="4B6E0D29"/>
    <w:rsid w:val="4BD411EA"/>
    <w:rsid w:val="4BF70A34"/>
    <w:rsid w:val="4C126CDE"/>
    <w:rsid w:val="4C175A8D"/>
    <w:rsid w:val="4C1B17E0"/>
    <w:rsid w:val="4C9149E5"/>
    <w:rsid w:val="4CE47AF5"/>
    <w:rsid w:val="4CF3744D"/>
    <w:rsid w:val="4D007DBC"/>
    <w:rsid w:val="4D07114B"/>
    <w:rsid w:val="4D2717ED"/>
    <w:rsid w:val="4D295E33"/>
    <w:rsid w:val="4D2B0F5F"/>
    <w:rsid w:val="4D45484A"/>
    <w:rsid w:val="4D77007F"/>
    <w:rsid w:val="4DAC75AD"/>
    <w:rsid w:val="4DAD1CF2"/>
    <w:rsid w:val="4DB12E65"/>
    <w:rsid w:val="4DDF5C24"/>
    <w:rsid w:val="4E4C150B"/>
    <w:rsid w:val="4E4F2DA9"/>
    <w:rsid w:val="4E8D35B3"/>
    <w:rsid w:val="4EA50C1B"/>
    <w:rsid w:val="4ECD3CCE"/>
    <w:rsid w:val="4ED84B4D"/>
    <w:rsid w:val="4EEE25C2"/>
    <w:rsid w:val="4F0D6614"/>
    <w:rsid w:val="4F3501F1"/>
    <w:rsid w:val="4F477F24"/>
    <w:rsid w:val="4F4D20F6"/>
    <w:rsid w:val="4F580259"/>
    <w:rsid w:val="4F6304D2"/>
    <w:rsid w:val="4F697E9B"/>
    <w:rsid w:val="4F734876"/>
    <w:rsid w:val="4FA64C4B"/>
    <w:rsid w:val="4FA96F84"/>
    <w:rsid w:val="4FB76E58"/>
    <w:rsid w:val="4FC36798"/>
    <w:rsid w:val="4FC74588"/>
    <w:rsid w:val="4FCF2ACA"/>
    <w:rsid w:val="4FDA59E6"/>
    <w:rsid w:val="4FF77255"/>
    <w:rsid w:val="50071213"/>
    <w:rsid w:val="50096F88"/>
    <w:rsid w:val="500E459E"/>
    <w:rsid w:val="50290A0F"/>
    <w:rsid w:val="50494C57"/>
    <w:rsid w:val="504D50C7"/>
    <w:rsid w:val="508F56DF"/>
    <w:rsid w:val="50AD3DB7"/>
    <w:rsid w:val="50B56D76"/>
    <w:rsid w:val="50BC4F4A"/>
    <w:rsid w:val="50C428B5"/>
    <w:rsid w:val="50DB374F"/>
    <w:rsid w:val="50DC4328"/>
    <w:rsid w:val="51087AA7"/>
    <w:rsid w:val="51181B78"/>
    <w:rsid w:val="511D718F"/>
    <w:rsid w:val="514069D9"/>
    <w:rsid w:val="51450494"/>
    <w:rsid w:val="51477D68"/>
    <w:rsid w:val="517B5C63"/>
    <w:rsid w:val="518A5EA7"/>
    <w:rsid w:val="51984A67"/>
    <w:rsid w:val="51A77682"/>
    <w:rsid w:val="51C07B1A"/>
    <w:rsid w:val="51EA49C4"/>
    <w:rsid w:val="520619D1"/>
    <w:rsid w:val="520D7203"/>
    <w:rsid w:val="52591DA1"/>
    <w:rsid w:val="525941F7"/>
    <w:rsid w:val="52741030"/>
    <w:rsid w:val="52763362"/>
    <w:rsid w:val="529E1FD4"/>
    <w:rsid w:val="52BD1D30"/>
    <w:rsid w:val="52CB2FFF"/>
    <w:rsid w:val="52D34600"/>
    <w:rsid w:val="52E20C00"/>
    <w:rsid w:val="531716D0"/>
    <w:rsid w:val="534704F3"/>
    <w:rsid w:val="534A1D91"/>
    <w:rsid w:val="534C78B7"/>
    <w:rsid w:val="53642E53"/>
    <w:rsid w:val="536746F1"/>
    <w:rsid w:val="53A54E83"/>
    <w:rsid w:val="53AF631F"/>
    <w:rsid w:val="53C12F86"/>
    <w:rsid w:val="53C27B7A"/>
    <w:rsid w:val="53D14261"/>
    <w:rsid w:val="53FD7330"/>
    <w:rsid w:val="54091C4C"/>
    <w:rsid w:val="54106B37"/>
    <w:rsid w:val="54647A46"/>
    <w:rsid w:val="54662BFB"/>
    <w:rsid w:val="547855CD"/>
    <w:rsid w:val="54B75204"/>
    <w:rsid w:val="54BB54BF"/>
    <w:rsid w:val="54F975CB"/>
    <w:rsid w:val="55322ADD"/>
    <w:rsid w:val="55573B48"/>
    <w:rsid w:val="555D5B92"/>
    <w:rsid w:val="55652EB2"/>
    <w:rsid w:val="556B13F4"/>
    <w:rsid w:val="55747DDB"/>
    <w:rsid w:val="55AA6B17"/>
    <w:rsid w:val="55AF05D2"/>
    <w:rsid w:val="55B62931"/>
    <w:rsid w:val="55D1679A"/>
    <w:rsid w:val="55DC16AB"/>
    <w:rsid w:val="55DD0C9B"/>
    <w:rsid w:val="56066443"/>
    <w:rsid w:val="56116B96"/>
    <w:rsid w:val="5630628A"/>
    <w:rsid w:val="56336B0D"/>
    <w:rsid w:val="564B3E56"/>
    <w:rsid w:val="56666B03"/>
    <w:rsid w:val="56705FB3"/>
    <w:rsid w:val="56BA5480"/>
    <w:rsid w:val="56BD048E"/>
    <w:rsid w:val="56C9121F"/>
    <w:rsid w:val="56D20841"/>
    <w:rsid w:val="570D35E1"/>
    <w:rsid w:val="571C1C97"/>
    <w:rsid w:val="57234DD3"/>
    <w:rsid w:val="573214BA"/>
    <w:rsid w:val="574134AB"/>
    <w:rsid w:val="5757658D"/>
    <w:rsid w:val="575B456D"/>
    <w:rsid w:val="578A30A4"/>
    <w:rsid w:val="578D049F"/>
    <w:rsid w:val="57C15675"/>
    <w:rsid w:val="57C77E54"/>
    <w:rsid w:val="582714BB"/>
    <w:rsid w:val="586E207E"/>
    <w:rsid w:val="5889510A"/>
    <w:rsid w:val="58E17349"/>
    <w:rsid w:val="58EF2BF6"/>
    <w:rsid w:val="58F84EF3"/>
    <w:rsid w:val="58FD3362"/>
    <w:rsid w:val="58FF1E58"/>
    <w:rsid w:val="59126EAD"/>
    <w:rsid w:val="591946E0"/>
    <w:rsid w:val="591D44E6"/>
    <w:rsid w:val="59232E69"/>
    <w:rsid w:val="5925520D"/>
    <w:rsid w:val="5966544B"/>
    <w:rsid w:val="59680B5D"/>
    <w:rsid w:val="597C062A"/>
    <w:rsid w:val="597C07CB"/>
    <w:rsid w:val="598002BB"/>
    <w:rsid w:val="59883613"/>
    <w:rsid w:val="59975605"/>
    <w:rsid w:val="59A541C5"/>
    <w:rsid w:val="59AF0BA0"/>
    <w:rsid w:val="59C152C0"/>
    <w:rsid w:val="59CC1752"/>
    <w:rsid w:val="59D2488F"/>
    <w:rsid w:val="59FD190B"/>
    <w:rsid w:val="5A032C9A"/>
    <w:rsid w:val="5A461504"/>
    <w:rsid w:val="5A5F6122"/>
    <w:rsid w:val="5A7616BE"/>
    <w:rsid w:val="5ACC7530"/>
    <w:rsid w:val="5AD74B78"/>
    <w:rsid w:val="5AE34FA5"/>
    <w:rsid w:val="5AE40D1D"/>
    <w:rsid w:val="5AEA5315"/>
    <w:rsid w:val="5AF45E50"/>
    <w:rsid w:val="5B0E2763"/>
    <w:rsid w:val="5B150F0E"/>
    <w:rsid w:val="5B1F5756"/>
    <w:rsid w:val="5B3E6680"/>
    <w:rsid w:val="5B516796"/>
    <w:rsid w:val="5B5B0FE0"/>
    <w:rsid w:val="5B647768"/>
    <w:rsid w:val="5B8147BE"/>
    <w:rsid w:val="5B8B1199"/>
    <w:rsid w:val="5C423F4D"/>
    <w:rsid w:val="5C602626"/>
    <w:rsid w:val="5C891B7C"/>
    <w:rsid w:val="5CDE2275"/>
    <w:rsid w:val="5CF1327E"/>
    <w:rsid w:val="5D1F7DEB"/>
    <w:rsid w:val="5D2673CB"/>
    <w:rsid w:val="5D3811A4"/>
    <w:rsid w:val="5D3A4C25"/>
    <w:rsid w:val="5D455527"/>
    <w:rsid w:val="5D504448"/>
    <w:rsid w:val="5D577585"/>
    <w:rsid w:val="5D6F2B20"/>
    <w:rsid w:val="5DA64068"/>
    <w:rsid w:val="5DA94522"/>
    <w:rsid w:val="5DFB4F94"/>
    <w:rsid w:val="5DFC1EDA"/>
    <w:rsid w:val="5E023994"/>
    <w:rsid w:val="5E084D23"/>
    <w:rsid w:val="5E1E0AF5"/>
    <w:rsid w:val="5E3B6EA6"/>
    <w:rsid w:val="5E4A533B"/>
    <w:rsid w:val="5EAE7678"/>
    <w:rsid w:val="5ED370DF"/>
    <w:rsid w:val="5EDC2437"/>
    <w:rsid w:val="5EFB2A62"/>
    <w:rsid w:val="5F0C25F1"/>
    <w:rsid w:val="5F343565"/>
    <w:rsid w:val="5F3F0AF1"/>
    <w:rsid w:val="5F49401A"/>
    <w:rsid w:val="5F5571FC"/>
    <w:rsid w:val="5F903222"/>
    <w:rsid w:val="5F9F3C0D"/>
    <w:rsid w:val="5FE13A7D"/>
    <w:rsid w:val="602D281F"/>
    <w:rsid w:val="60457EDB"/>
    <w:rsid w:val="60814A05"/>
    <w:rsid w:val="60A93BAE"/>
    <w:rsid w:val="60AC408B"/>
    <w:rsid w:val="60B04EE3"/>
    <w:rsid w:val="611C2FBF"/>
    <w:rsid w:val="612A3069"/>
    <w:rsid w:val="615E35D8"/>
    <w:rsid w:val="619E7B61"/>
    <w:rsid w:val="61DE3B86"/>
    <w:rsid w:val="61E91EFB"/>
    <w:rsid w:val="61F950AE"/>
    <w:rsid w:val="62050CD4"/>
    <w:rsid w:val="62263871"/>
    <w:rsid w:val="62265778"/>
    <w:rsid w:val="626B5173"/>
    <w:rsid w:val="62740BD9"/>
    <w:rsid w:val="627604AD"/>
    <w:rsid w:val="6292105F"/>
    <w:rsid w:val="62960B4F"/>
    <w:rsid w:val="62C03E1E"/>
    <w:rsid w:val="63051831"/>
    <w:rsid w:val="631101D6"/>
    <w:rsid w:val="63387E58"/>
    <w:rsid w:val="633D0FCB"/>
    <w:rsid w:val="63957059"/>
    <w:rsid w:val="63C574C8"/>
    <w:rsid w:val="63C811DC"/>
    <w:rsid w:val="63D0141A"/>
    <w:rsid w:val="63DC4C88"/>
    <w:rsid w:val="63E0100D"/>
    <w:rsid w:val="6424218B"/>
    <w:rsid w:val="64322AF9"/>
    <w:rsid w:val="64601415"/>
    <w:rsid w:val="647C0DA6"/>
    <w:rsid w:val="64851F9C"/>
    <w:rsid w:val="64AA2690"/>
    <w:rsid w:val="64AA6B34"/>
    <w:rsid w:val="64B17EC2"/>
    <w:rsid w:val="64C65DD9"/>
    <w:rsid w:val="64D07FFE"/>
    <w:rsid w:val="64DA6F7A"/>
    <w:rsid w:val="64DB0A9B"/>
    <w:rsid w:val="64DF75BE"/>
    <w:rsid w:val="64E75692"/>
    <w:rsid w:val="651641C9"/>
    <w:rsid w:val="655F347A"/>
    <w:rsid w:val="65764C68"/>
    <w:rsid w:val="657809E0"/>
    <w:rsid w:val="658B7741"/>
    <w:rsid w:val="658E3CF2"/>
    <w:rsid w:val="65921AA2"/>
    <w:rsid w:val="659805F1"/>
    <w:rsid w:val="65A55E84"/>
    <w:rsid w:val="65B80DDC"/>
    <w:rsid w:val="65C77BFA"/>
    <w:rsid w:val="65CD2ADA"/>
    <w:rsid w:val="65ED4F2A"/>
    <w:rsid w:val="65FA13F5"/>
    <w:rsid w:val="662F16BA"/>
    <w:rsid w:val="66454FEB"/>
    <w:rsid w:val="664577D5"/>
    <w:rsid w:val="66973768"/>
    <w:rsid w:val="66A15D14"/>
    <w:rsid w:val="66C739CD"/>
    <w:rsid w:val="66EB0D7C"/>
    <w:rsid w:val="671D552C"/>
    <w:rsid w:val="672009F2"/>
    <w:rsid w:val="672E75A8"/>
    <w:rsid w:val="674943E2"/>
    <w:rsid w:val="67553383"/>
    <w:rsid w:val="6764121C"/>
    <w:rsid w:val="676E209B"/>
    <w:rsid w:val="67927140"/>
    <w:rsid w:val="67CA3A17"/>
    <w:rsid w:val="67CB3049"/>
    <w:rsid w:val="67CE48E7"/>
    <w:rsid w:val="67D839B8"/>
    <w:rsid w:val="68057789"/>
    <w:rsid w:val="680933C3"/>
    <w:rsid w:val="681C5653"/>
    <w:rsid w:val="6821710D"/>
    <w:rsid w:val="68482295"/>
    <w:rsid w:val="685C0145"/>
    <w:rsid w:val="6887498D"/>
    <w:rsid w:val="68CD2DF1"/>
    <w:rsid w:val="68DE601E"/>
    <w:rsid w:val="69366BE8"/>
    <w:rsid w:val="69C45CE5"/>
    <w:rsid w:val="69D41F5D"/>
    <w:rsid w:val="69EB1780"/>
    <w:rsid w:val="6A2E3D63"/>
    <w:rsid w:val="6A6A0C2F"/>
    <w:rsid w:val="6A917CAF"/>
    <w:rsid w:val="6ACA107B"/>
    <w:rsid w:val="6ACD70D8"/>
    <w:rsid w:val="6B0F149F"/>
    <w:rsid w:val="6B0F4D73"/>
    <w:rsid w:val="6B2018FE"/>
    <w:rsid w:val="6B4749F0"/>
    <w:rsid w:val="6B7C13D5"/>
    <w:rsid w:val="6B851761"/>
    <w:rsid w:val="6B9D4CFC"/>
    <w:rsid w:val="6BB67B6C"/>
    <w:rsid w:val="6BF32B6E"/>
    <w:rsid w:val="6C027255"/>
    <w:rsid w:val="6C1635D2"/>
    <w:rsid w:val="6C2235AD"/>
    <w:rsid w:val="6C5C0714"/>
    <w:rsid w:val="6C6A357A"/>
    <w:rsid w:val="6CA10D6E"/>
    <w:rsid w:val="6CA65E33"/>
    <w:rsid w:val="6CB0731E"/>
    <w:rsid w:val="6CE95D1F"/>
    <w:rsid w:val="6CF11BAD"/>
    <w:rsid w:val="6D1B05CF"/>
    <w:rsid w:val="6D6D67CC"/>
    <w:rsid w:val="6D7731E4"/>
    <w:rsid w:val="6D7D3037"/>
    <w:rsid w:val="6D94212F"/>
    <w:rsid w:val="6DC02F24"/>
    <w:rsid w:val="6DE035C6"/>
    <w:rsid w:val="6E0C7F17"/>
    <w:rsid w:val="6E1868BC"/>
    <w:rsid w:val="6E2F4A28"/>
    <w:rsid w:val="6E337B9A"/>
    <w:rsid w:val="6E573888"/>
    <w:rsid w:val="6E8421A4"/>
    <w:rsid w:val="6EA2087C"/>
    <w:rsid w:val="6EC802E2"/>
    <w:rsid w:val="6EDC5B3C"/>
    <w:rsid w:val="6EDD18B4"/>
    <w:rsid w:val="6EFB720C"/>
    <w:rsid w:val="6EFC4430"/>
    <w:rsid w:val="6F0532E4"/>
    <w:rsid w:val="6F235519"/>
    <w:rsid w:val="6F750CED"/>
    <w:rsid w:val="6F79203D"/>
    <w:rsid w:val="6F7A57CB"/>
    <w:rsid w:val="6F9A0A5D"/>
    <w:rsid w:val="6FA711FA"/>
    <w:rsid w:val="6FB24AEE"/>
    <w:rsid w:val="6FC331EC"/>
    <w:rsid w:val="6FC33CC8"/>
    <w:rsid w:val="6FCE3184"/>
    <w:rsid w:val="6FD26F3F"/>
    <w:rsid w:val="70152B22"/>
    <w:rsid w:val="70161521"/>
    <w:rsid w:val="702C4F8F"/>
    <w:rsid w:val="704020FA"/>
    <w:rsid w:val="70406785"/>
    <w:rsid w:val="7044744D"/>
    <w:rsid w:val="70472F29"/>
    <w:rsid w:val="7047792D"/>
    <w:rsid w:val="704E2A69"/>
    <w:rsid w:val="706A55E4"/>
    <w:rsid w:val="70730722"/>
    <w:rsid w:val="708E730A"/>
    <w:rsid w:val="70AB7EBB"/>
    <w:rsid w:val="70B30B1E"/>
    <w:rsid w:val="70CB5E68"/>
    <w:rsid w:val="70D50A94"/>
    <w:rsid w:val="70EB3F05"/>
    <w:rsid w:val="70EB650A"/>
    <w:rsid w:val="70F21646"/>
    <w:rsid w:val="71092E34"/>
    <w:rsid w:val="712E4649"/>
    <w:rsid w:val="71633397"/>
    <w:rsid w:val="71645721"/>
    <w:rsid w:val="718A5D23"/>
    <w:rsid w:val="71AD37BF"/>
    <w:rsid w:val="71AD7C63"/>
    <w:rsid w:val="71B132B0"/>
    <w:rsid w:val="71B20DD6"/>
    <w:rsid w:val="71CF0BDE"/>
    <w:rsid w:val="72037883"/>
    <w:rsid w:val="72084E9A"/>
    <w:rsid w:val="72435ED2"/>
    <w:rsid w:val="72712A3F"/>
    <w:rsid w:val="72756C2A"/>
    <w:rsid w:val="727A7B45"/>
    <w:rsid w:val="728004B5"/>
    <w:rsid w:val="729E35B5"/>
    <w:rsid w:val="72C07D31"/>
    <w:rsid w:val="72FD12DD"/>
    <w:rsid w:val="73530396"/>
    <w:rsid w:val="73661E78"/>
    <w:rsid w:val="73784963"/>
    <w:rsid w:val="737A1DC7"/>
    <w:rsid w:val="737F73DD"/>
    <w:rsid w:val="73920EBF"/>
    <w:rsid w:val="73D47729"/>
    <w:rsid w:val="73DA4614"/>
    <w:rsid w:val="73E238FF"/>
    <w:rsid w:val="73F768FF"/>
    <w:rsid w:val="73F87172"/>
    <w:rsid w:val="74322621"/>
    <w:rsid w:val="74393A30"/>
    <w:rsid w:val="74424693"/>
    <w:rsid w:val="74813B84"/>
    <w:rsid w:val="74820F33"/>
    <w:rsid w:val="74980757"/>
    <w:rsid w:val="74C652C4"/>
    <w:rsid w:val="74CC0760"/>
    <w:rsid w:val="74D379E1"/>
    <w:rsid w:val="74DD260E"/>
    <w:rsid w:val="750E5906"/>
    <w:rsid w:val="752A19E4"/>
    <w:rsid w:val="754461E9"/>
    <w:rsid w:val="757855CA"/>
    <w:rsid w:val="758F1B5A"/>
    <w:rsid w:val="75A373B3"/>
    <w:rsid w:val="75C20F3D"/>
    <w:rsid w:val="75C235CF"/>
    <w:rsid w:val="75D879C0"/>
    <w:rsid w:val="75DA08FB"/>
    <w:rsid w:val="75F61512"/>
    <w:rsid w:val="75FE6807"/>
    <w:rsid w:val="76053BCA"/>
    <w:rsid w:val="761F3452"/>
    <w:rsid w:val="764B1F74"/>
    <w:rsid w:val="766905FD"/>
    <w:rsid w:val="76772452"/>
    <w:rsid w:val="769211D6"/>
    <w:rsid w:val="76BA4D87"/>
    <w:rsid w:val="76CE2AF9"/>
    <w:rsid w:val="76D44085"/>
    <w:rsid w:val="76F4013C"/>
    <w:rsid w:val="770F17B3"/>
    <w:rsid w:val="771A5453"/>
    <w:rsid w:val="77476464"/>
    <w:rsid w:val="775748F9"/>
    <w:rsid w:val="77660698"/>
    <w:rsid w:val="777A05E8"/>
    <w:rsid w:val="77972F48"/>
    <w:rsid w:val="77BA4E88"/>
    <w:rsid w:val="77BE6726"/>
    <w:rsid w:val="77C3055A"/>
    <w:rsid w:val="77CC1652"/>
    <w:rsid w:val="77EA2D12"/>
    <w:rsid w:val="78007167"/>
    <w:rsid w:val="78393FFF"/>
    <w:rsid w:val="78544995"/>
    <w:rsid w:val="7856695F"/>
    <w:rsid w:val="7866166D"/>
    <w:rsid w:val="787800F4"/>
    <w:rsid w:val="7883171E"/>
    <w:rsid w:val="78BD5793"/>
    <w:rsid w:val="78D03A73"/>
    <w:rsid w:val="78F61EF0"/>
    <w:rsid w:val="78FF0DA4"/>
    <w:rsid w:val="790E16FD"/>
    <w:rsid w:val="79135D2A"/>
    <w:rsid w:val="794877C7"/>
    <w:rsid w:val="79501600"/>
    <w:rsid w:val="79575162"/>
    <w:rsid w:val="795804B5"/>
    <w:rsid w:val="798469A4"/>
    <w:rsid w:val="79952DB7"/>
    <w:rsid w:val="79D73ACF"/>
    <w:rsid w:val="79E265C8"/>
    <w:rsid w:val="79E27A58"/>
    <w:rsid w:val="7A02081B"/>
    <w:rsid w:val="7A170370"/>
    <w:rsid w:val="7A263555"/>
    <w:rsid w:val="7A3D2163"/>
    <w:rsid w:val="7A3E58FC"/>
    <w:rsid w:val="7A574C79"/>
    <w:rsid w:val="7A8A161B"/>
    <w:rsid w:val="7AAA11E4"/>
    <w:rsid w:val="7AB512D7"/>
    <w:rsid w:val="7AEF2FB9"/>
    <w:rsid w:val="7AEF4E49"/>
    <w:rsid w:val="7B09415C"/>
    <w:rsid w:val="7B5178B1"/>
    <w:rsid w:val="7B8437E3"/>
    <w:rsid w:val="7BA414CE"/>
    <w:rsid w:val="7BA8402C"/>
    <w:rsid w:val="7BAB5214"/>
    <w:rsid w:val="7BB340C8"/>
    <w:rsid w:val="7BE25BDD"/>
    <w:rsid w:val="7C1E43FE"/>
    <w:rsid w:val="7C2E374F"/>
    <w:rsid w:val="7C4D62CB"/>
    <w:rsid w:val="7C5E448C"/>
    <w:rsid w:val="7C5F7DAC"/>
    <w:rsid w:val="7C66113B"/>
    <w:rsid w:val="7C6A7C35"/>
    <w:rsid w:val="7C8D4919"/>
    <w:rsid w:val="7C991510"/>
    <w:rsid w:val="7CAB349C"/>
    <w:rsid w:val="7CEC5AE4"/>
    <w:rsid w:val="7D1172F8"/>
    <w:rsid w:val="7D133070"/>
    <w:rsid w:val="7D2F4D1B"/>
    <w:rsid w:val="7D7E4262"/>
    <w:rsid w:val="7D8F021D"/>
    <w:rsid w:val="7DBB4C2E"/>
    <w:rsid w:val="7DBD2FDC"/>
    <w:rsid w:val="7E357016"/>
    <w:rsid w:val="7E6A0E04"/>
    <w:rsid w:val="7E7318ED"/>
    <w:rsid w:val="7E8165B2"/>
    <w:rsid w:val="7E933D3D"/>
    <w:rsid w:val="7E957AB5"/>
    <w:rsid w:val="7E977CD1"/>
    <w:rsid w:val="7E9E639D"/>
    <w:rsid w:val="7EB171EC"/>
    <w:rsid w:val="7EB20667"/>
    <w:rsid w:val="7EB26329"/>
    <w:rsid w:val="7EC83720"/>
    <w:rsid w:val="7EDE320A"/>
    <w:rsid w:val="7F0013D2"/>
    <w:rsid w:val="7F0F5AB9"/>
    <w:rsid w:val="7F151F4C"/>
    <w:rsid w:val="7F173C4C"/>
    <w:rsid w:val="7F343EA9"/>
    <w:rsid w:val="7F4B34D6"/>
    <w:rsid w:val="7F4C4618"/>
    <w:rsid w:val="7F6A1EDE"/>
    <w:rsid w:val="7F9B10FB"/>
    <w:rsid w:val="7F9E2999"/>
    <w:rsid w:val="7FAB66C0"/>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qFormat="1" w:unhideWhenUsed="0" w:uiPriority="0" w:semiHidden="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zh-CN" w:bidi="ar-SA"/>
    </w:rPr>
  </w:style>
  <w:style w:type="paragraph" w:styleId="2">
    <w:name w:val="heading 1"/>
    <w:basedOn w:val="1"/>
    <w:next w:val="1"/>
    <w:qFormat/>
    <w:uiPriority w:val="0"/>
    <w:pPr>
      <w:spacing w:before="340" w:after="330" w:line="360" w:lineRule="auto"/>
      <w:jc w:val="center"/>
      <w:outlineLvl w:val="0"/>
    </w:pPr>
    <w:rPr>
      <w:rFonts w:eastAsia="黑体"/>
      <w:kern w:val="44"/>
      <w:szCs w:val="44"/>
    </w:rPr>
  </w:style>
  <w:style w:type="paragraph" w:styleId="3">
    <w:name w:val="heading 2"/>
    <w:basedOn w:val="1"/>
    <w:next w:val="1"/>
    <w:qFormat/>
    <w:uiPriority w:val="0"/>
    <w:pPr>
      <w:adjustRightInd w:val="0"/>
      <w:jc w:val="center"/>
      <w:textAlignment w:val="baseline"/>
      <w:outlineLvl w:val="1"/>
    </w:pPr>
    <w:rPr>
      <w:szCs w:val="20"/>
    </w:rPr>
  </w:style>
  <w:style w:type="paragraph" w:styleId="4">
    <w:name w:val="heading 3"/>
    <w:basedOn w:val="5"/>
    <w:next w:val="1"/>
    <w:qFormat/>
    <w:uiPriority w:val="0"/>
    <w:pPr>
      <w:spacing w:before="260" w:after="260"/>
      <w:outlineLvl w:val="2"/>
    </w:pPr>
    <w:rPr>
      <w:rFonts w:ascii="宋体" w:hAnsi="宋体"/>
      <w:szCs w:val="32"/>
    </w:rPr>
  </w:style>
  <w:style w:type="paragraph" w:styleId="5">
    <w:name w:val="heading 4"/>
    <w:basedOn w:val="1"/>
    <w:next w:val="1"/>
    <w:qFormat/>
    <w:uiPriority w:val="0"/>
    <w:pPr>
      <w:keepNext/>
      <w:keepLines/>
      <w:spacing w:before="280" w:after="290" w:line="377" w:lineRule="auto"/>
      <w:outlineLvl w:val="3"/>
    </w:pPr>
    <w:rPr>
      <w:rFonts w:ascii="Arial" w:hAnsi="Arial" w:eastAsia="黑体"/>
      <w:b/>
      <w:bCs/>
      <w:sz w:val="28"/>
      <w:szCs w:val="28"/>
    </w:rPr>
  </w:style>
  <w:style w:type="paragraph" w:styleId="6">
    <w:name w:val="heading 6"/>
    <w:basedOn w:val="1"/>
    <w:next w:val="7"/>
    <w:qFormat/>
    <w:uiPriority w:val="0"/>
    <w:pPr>
      <w:keepNext/>
      <w:keepLines/>
      <w:spacing w:before="240" w:after="64" w:line="319" w:lineRule="auto"/>
      <w:outlineLvl w:val="5"/>
    </w:pPr>
    <w:rPr>
      <w:rFonts w:ascii="Arial" w:hAnsi="Arial" w:eastAsia="黑体"/>
      <w:b/>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rPr>
      <w:szCs w:val="20"/>
    </w:rPr>
  </w:style>
  <w:style w:type="paragraph" w:styleId="8">
    <w:name w:val="toa heading"/>
    <w:basedOn w:val="1"/>
    <w:next w:val="1"/>
    <w:qFormat/>
    <w:uiPriority w:val="0"/>
    <w:rPr>
      <w:rFonts w:ascii="Arial" w:hAnsi="Arial"/>
      <w:szCs w:val="20"/>
    </w:rPr>
  </w:style>
  <w:style w:type="paragraph" w:styleId="9">
    <w:name w:val="annotation text"/>
    <w:basedOn w:val="1"/>
    <w:qFormat/>
    <w:uiPriority w:val="0"/>
  </w:style>
  <w:style w:type="paragraph" w:styleId="10">
    <w:name w:val="Body Text 3"/>
    <w:basedOn w:val="1"/>
    <w:qFormat/>
    <w:uiPriority w:val="0"/>
    <w:pPr>
      <w:spacing w:after="120"/>
    </w:pPr>
    <w:rPr>
      <w:sz w:val="16"/>
      <w:szCs w:val="16"/>
    </w:rPr>
  </w:style>
  <w:style w:type="paragraph" w:styleId="11">
    <w:name w:val="Body Text"/>
    <w:basedOn w:val="1"/>
    <w:next w:val="1"/>
    <w:link w:val="84"/>
    <w:qFormat/>
    <w:uiPriority w:val="0"/>
    <w:pPr>
      <w:spacing w:line="360" w:lineRule="auto"/>
    </w:pPr>
    <w:rPr>
      <w:b/>
      <w:bCs/>
    </w:rPr>
  </w:style>
  <w:style w:type="paragraph" w:styleId="12">
    <w:name w:val="Body Text Indent"/>
    <w:basedOn w:val="1"/>
    <w:qFormat/>
    <w:uiPriority w:val="0"/>
    <w:pPr>
      <w:spacing w:line="360" w:lineRule="auto"/>
      <w:ind w:firstLine="200" w:firstLineChars="200"/>
    </w:pPr>
  </w:style>
  <w:style w:type="paragraph" w:styleId="13">
    <w:name w:val="toc 5"/>
    <w:basedOn w:val="1"/>
    <w:next w:val="1"/>
    <w:qFormat/>
    <w:uiPriority w:val="0"/>
    <w:pPr>
      <w:ind w:left="840"/>
    </w:pPr>
    <w:rPr>
      <w:szCs w:val="21"/>
    </w:rPr>
  </w:style>
  <w:style w:type="paragraph" w:styleId="14">
    <w:name w:val="Plain Text"/>
    <w:basedOn w:val="1"/>
    <w:qFormat/>
    <w:uiPriority w:val="0"/>
    <w:rPr>
      <w:rFonts w:ascii="宋体" w:hAnsi="Courier New"/>
      <w:sz w:val="20"/>
      <w:szCs w:val="20"/>
    </w:rPr>
  </w:style>
  <w:style w:type="paragraph" w:styleId="15">
    <w:name w:val="Body Text Indent 2"/>
    <w:basedOn w:val="1"/>
    <w:qFormat/>
    <w:uiPriority w:val="0"/>
    <w:pPr>
      <w:ind w:left="735"/>
    </w:pPr>
    <w:rPr>
      <w:sz w:val="20"/>
      <w:szCs w:val="20"/>
    </w:rPr>
  </w:style>
  <w:style w:type="paragraph" w:styleId="16">
    <w:name w:val="Balloon Text"/>
    <w:basedOn w:val="1"/>
    <w:qFormat/>
    <w:uiPriority w:val="0"/>
    <w:rPr>
      <w:sz w:val="18"/>
      <w:szCs w:val="18"/>
    </w:rPr>
  </w:style>
  <w:style w:type="paragraph" w:styleId="17">
    <w:name w:val="footer"/>
    <w:basedOn w:val="1"/>
    <w:qFormat/>
    <w:uiPriority w:val="0"/>
    <w:pPr>
      <w:tabs>
        <w:tab w:val="center" w:pos="4153"/>
        <w:tab w:val="right" w:pos="8306"/>
      </w:tabs>
      <w:snapToGrid w:val="0"/>
    </w:pPr>
    <w:rPr>
      <w:sz w:val="18"/>
      <w:szCs w:val="18"/>
    </w:rPr>
  </w:style>
  <w:style w:type="paragraph" w:styleId="18">
    <w:name w:val="envelope return"/>
    <w:basedOn w:val="1"/>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21">
    <w:name w:val="Body Text 2"/>
    <w:basedOn w:val="1"/>
    <w:qFormat/>
    <w:uiPriority w:val="0"/>
    <w:pPr>
      <w:spacing w:line="360" w:lineRule="auto"/>
    </w:pPr>
  </w:style>
  <w:style w:type="paragraph" w:styleId="2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rPr>
  </w:style>
  <w:style w:type="paragraph" w:styleId="23">
    <w:name w:val="Normal (Web)"/>
    <w:basedOn w:val="1"/>
    <w:qFormat/>
    <w:uiPriority w:val="0"/>
    <w:pPr>
      <w:spacing w:before="100" w:beforeAutospacing="1" w:after="100" w:afterAutospacing="1"/>
    </w:pPr>
  </w:style>
  <w:style w:type="paragraph" w:styleId="24">
    <w:name w:val="Title"/>
    <w:basedOn w:val="1"/>
    <w:next w:val="1"/>
    <w:qFormat/>
    <w:uiPriority w:val="0"/>
    <w:pPr>
      <w:widowControl w:val="0"/>
      <w:spacing w:before="240" w:after="60" w:line="276" w:lineRule="auto"/>
      <w:jc w:val="center"/>
      <w:outlineLvl w:val="0"/>
    </w:pPr>
    <w:rPr>
      <w:rFonts w:ascii="Cambria" w:hAnsi="Cambria"/>
      <w:b/>
      <w:bCs/>
      <w:kern w:val="2"/>
      <w:sz w:val="32"/>
      <w:szCs w:val="32"/>
    </w:rPr>
  </w:style>
  <w:style w:type="paragraph" w:styleId="25">
    <w:name w:val="annotation subject"/>
    <w:basedOn w:val="9"/>
    <w:next w:val="9"/>
    <w:qFormat/>
    <w:uiPriority w:val="0"/>
    <w:rPr>
      <w:b/>
      <w:bCs/>
    </w:rPr>
  </w:style>
  <w:style w:type="paragraph" w:styleId="26">
    <w:name w:val="Body Text First Indent"/>
    <w:basedOn w:val="11"/>
    <w:qFormat/>
    <w:uiPriority w:val="0"/>
    <w:pPr>
      <w:spacing w:after="120"/>
      <w:ind w:firstLine="100" w:firstLineChars="100"/>
      <w:jc w:val="both"/>
    </w:pPr>
    <w:rPr>
      <w:sz w:val="21"/>
    </w:rPr>
  </w:style>
  <w:style w:type="paragraph" w:styleId="27">
    <w:name w:val="Body Text First Indent 2"/>
    <w:basedOn w:val="12"/>
    <w:qFormat/>
    <w:uiPriority w:val="0"/>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bCs/>
    </w:rPr>
  </w:style>
  <w:style w:type="character" w:styleId="32">
    <w:name w:val="FollowedHyperlink"/>
    <w:qFormat/>
    <w:uiPriority w:val="0"/>
    <w:rPr>
      <w:color w:val="5C5C5C"/>
      <w:u w:val="none"/>
    </w:rPr>
  </w:style>
  <w:style w:type="character" w:styleId="33">
    <w:name w:val="Emphasis"/>
    <w:qFormat/>
    <w:uiPriority w:val="0"/>
    <w:rPr>
      <w:b/>
      <w:bCs/>
    </w:rPr>
  </w:style>
  <w:style w:type="character" w:styleId="34">
    <w:name w:val="HTML Definition"/>
    <w:qFormat/>
    <w:uiPriority w:val="0"/>
  </w:style>
  <w:style w:type="character" w:styleId="35">
    <w:name w:val="HTML Typewriter"/>
    <w:qFormat/>
    <w:uiPriority w:val="0"/>
    <w:rPr>
      <w:rFonts w:ascii="monospace" w:hAnsi="monospace" w:eastAsia="monospace" w:cs="monospace"/>
      <w:sz w:val="20"/>
    </w:rPr>
  </w:style>
  <w:style w:type="character" w:styleId="36">
    <w:name w:val="HTML Acronym"/>
    <w:basedOn w:val="30"/>
    <w:qFormat/>
    <w:uiPriority w:val="0"/>
  </w:style>
  <w:style w:type="character" w:styleId="37">
    <w:name w:val="HTML Variable"/>
    <w:qFormat/>
    <w:uiPriority w:val="0"/>
  </w:style>
  <w:style w:type="character" w:styleId="38">
    <w:name w:val="Hyperlink"/>
    <w:basedOn w:val="30"/>
    <w:qFormat/>
    <w:uiPriority w:val="0"/>
    <w:rPr>
      <w:color w:val="5C5C5C"/>
      <w:u w:val="none"/>
    </w:rPr>
  </w:style>
  <w:style w:type="character" w:styleId="39">
    <w:name w:val="HTML Code"/>
    <w:qFormat/>
    <w:uiPriority w:val="0"/>
    <w:rPr>
      <w:rFonts w:ascii="monospace" w:hAnsi="monospace" w:eastAsia="monospace" w:cs="monospace"/>
      <w:sz w:val="20"/>
    </w:rPr>
  </w:style>
  <w:style w:type="character" w:styleId="40">
    <w:name w:val="annotation reference"/>
    <w:qFormat/>
    <w:uiPriority w:val="0"/>
    <w:rPr>
      <w:sz w:val="21"/>
      <w:szCs w:val="21"/>
    </w:rPr>
  </w:style>
  <w:style w:type="character" w:styleId="41">
    <w:name w:val="HTML Cite"/>
    <w:qFormat/>
    <w:uiPriority w:val="0"/>
  </w:style>
  <w:style w:type="character" w:styleId="42">
    <w:name w:val="HTML Keyboard"/>
    <w:qFormat/>
    <w:uiPriority w:val="0"/>
    <w:rPr>
      <w:rFonts w:ascii="monospace" w:hAnsi="monospace" w:eastAsia="monospace" w:cs="monospace"/>
      <w:sz w:val="20"/>
    </w:rPr>
  </w:style>
  <w:style w:type="character" w:styleId="43">
    <w:name w:val="HTML Sample"/>
    <w:qFormat/>
    <w:uiPriority w:val="0"/>
    <w:rPr>
      <w:rFonts w:ascii="monospace" w:hAnsi="monospace" w:eastAsia="monospace" w:cs="monospace"/>
    </w:rPr>
  </w:style>
  <w:style w:type="paragraph" w:styleId="44">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6">
    <w:name w:val="cf01"/>
    <w:qFormat/>
    <w:uiPriority w:val="0"/>
    <w:rPr>
      <w:rFonts w:hint="eastAsia" w:ascii="Microsoft YaHei UI" w:hAnsi="Microsoft YaHei UI" w:eastAsia="Microsoft YaHei UI"/>
      <w:sz w:val="18"/>
      <w:szCs w:val="18"/>
    </w:rPr>
  </w:style>
  <w:style w:type="character" w:customStyle="1" w:styleId="47">
    <w:name w:val="fontstyle01"/>
    <w:qFormat/>
    <w:uiPriority w:val="0"/>
    <w:rPr>
      <w:rFonts w:hint="eastAsia" w:ascii="宋体" w:hAnsi="宋体" w:eastAsia="宋体"/>
      <w:color w:val="000000"/>
      <w:sz w:val="32"/>
      <w:szCs w:val="32"/>
    </w:rPr>
  </w:style>
  <w:style w:type="character" w:customStyle="1" w:styleId="48">
    <w:name w:val="hover3"/>
    <w:qFormat/>
    <w:uiPriority w:val="0"/>
    <w:rPr>
      <w:color w:val="2590EB"/>
      <w:shd w:val="clear" w:color="auto" w:fill="E9F4FD"/>
    </w:rPr>
  </w:style>
  <w:style w:type="character" w:customStyle="1" w:styleId="49">
    <w:name w:val="hover4"/>
    <w:qFormat/>
    <w:uiPriority w:val="0"/>
    <w:rPr>
      <w:color w:val="2590EB"/>
      <w:shd w:val="clear" w:color="auto" w:fill="E9F4FD"/>
    </w:rPr>
  </w:style>
  <w:style w:type="character" w:customStyle="1" w:styleId="50">
    <w:name w:val="NormalCharacter"/>
    <w:qFormat/>
    <w:uiPriority w:val="0"/>
    <w:rPr>
      <w:rFonts w:ascii="Calibri" w:hAnsi="Calibri" w:eastAsia="宋体" w:cs="Times New Roman"/>
      <w:kern w:val="2"/>
      <w:sz w:val="21"/>
      <w:szCs w:val="24"/>
      <w:lang w:val="en-US" w:eastAsia="zh-CN" w:bidi="ar-SA"/>
    </w:rPr>
  </w:style>
  <w:style w:type="character" w:customStyle="1" w:styleId="51">
    <w:name w:val="hover2"/>
    <w:qFormat/>
    <w:uiPriority w:val="0"/>
    <w:rPr>
      <w:color w:val="2590EB"/>
    </w:rPr>
  </w:style>
  <w:style w:type="character" w:customStyle="1" w:styleId="52">
    <w:name w:val="hover"/>
    <w:qFormat/>
    <w:uiPriority w:val="0"/>
  </w:style>
  <w:style w:type="character" w:customStyle="1" w:styleId="53">
    <w:name w:val="font152"/>
    <w:qFormat/>
    <w:uiPriority w:val="0"/>
    <w:rPr>
      <w:rFonts w:hint="eastAsia" w:ascii="宋体" w:hAnsi="宋体" w:eastAsia="宋体" w:cs="宋体"/>
      <w:color w:val="0000FF"/>
      <w:sz w:val="18"/>
      <w:szCs w:val="18"/>
      <w:u w:val="none"/>
    </w:rPr>
  </w:style>
  <w:style w:type="character" w:customStyle="1" w:styleId="54">
    <w:name w:val="fontstyle21"/>
    <w:qFormat/>
    <w:uiPriority w:val="0"/>
    <w:rPr>
      <w:rFonts w:hint="eastAsia" w:ascii="宋体" w:hAnsi="宋体" w:eastAsia="宋体"/>
      <w:color w:val="000000"/>
      <w:sz w:val="22"/>
      <w:szCs w:val="22"/>
    </w:rPr>
  </w:style>
  <w:style w:type="character" w:customStyle="1" w:styleId="55">
    <w:name w:val="hover1"/>
    <w:qFormat/>
    <w:uiPriority w:val="0"/>
    <w:rPr>
      <w:color w:val="2590EB"/>
    </w:rPr>
  </w:style>
  <w:style w:type="character" w:customStyle="1" w:styleId="56">
    <w:name w:val="mini-outputtext1"/>
    <w:qFormat/>
    <w:uiPriority w:val="0"/>
  </w:style>
  <w:style w:type="character" w:customStyle="1" w:styleId="57">
    <w:name w:val="15"/>
    <w:qFormat/>
    <w:uiPriority w:val="0"/>
    <w:rPr>
      <w:rFonts w:hint="default" w:ascii="Times New Roman" w:hAnsi="Times New Roman" w:cs="Times New Roman"/>
      <w:sz w:val="21"/>
      <w:szCs w:val="21"/>
    </w:rPr>
  </w:style>
  <w:style w:type="character" w:customStyle="1" w:styleId="58">
    <w:name w:val="qowt-font5-gb2312"/>
    <w:qFormat/>
    <w:uiPriority w:val="0"/>
  </w:style>
  <w:style w:type="character" w:customStyle="1" w:styleId="59">
    <w:name w:val="标题 3 Char"/>
    <w:qFormat/>
    <w:uiPriority w:val="0"/>
    <w:rPr>
      <w:rFonts w:ascii="黑体" w:eastAsia="黑体"/>
      <w:bCs/>
      <w:sz w:val="30"/>
    </w:rPr>
  </w:style>
  <w:style w:type="character" w:customStyle="1" w:styleId="60">
    <w:name w:val="font15"/>
    <w:qFormat/>
    <w:uiPriority w:val="0"/>
    <w:rPr>
      <w:rFonts w:hint="eastAsia" w:ascii="宋体" w:hAnsi="宋体" w:eastAsia="宋体" w:cs="宋体"/>
      <w:color w:val="000000"/>
      <w:sz w:val="18"/>
      <w:szCs w:val="18"/>
      <w:u w:val="none"/>
    </w:rPr>
  </w:style>
  <w:style w:type="character" w:customStyle="1" w:styleId="61">
    <w:name w:val="font121"/>
    <w:qFormat/>
    <w:uiPriority w:val="0"/>
    <w:rPr>
      <w:rFonts w:hint="eastAsia" w:ascii="宋体" w:hAnsi="宋体" w:eastAsia="宋体" w:cs="宋体"/>
      <w:b/>
      <w:bCs/>
      <w:color w:val="000000"/>
      <w:sz w:val="18"/>
      <w:szCs w:val="18"/>
      <w:u w:val="none"/>
    </w:rPr>
  </w:style>
  <w:style w:type="paragraph" w:customStyle="1" w:styleId="62">
    <w:name w:val="trs_editor"/>
    <w:basedOn w:val="1"/>
    <w:qFormat/>
    <w:uiPriority w:val="0"/>
    <w:pPr>
      <w:spacing w:before="100" w:beforeAutospacing="1" w:after="100" w:afterAutospacing="1"/>
    </w:pPr>
    <w:rPr>
      <w:rFonts w:ascii="宋体" w:hAnsi="宋体" w:cs="宋体"/>
    </w:rPr>
  </w:style>
  <w:style w:type="paragraph" w:customStyle="1" w:styleId="63">
    <w:name w:val="样式 样式 行距: 1.5 倍行距 + 首行缩进:  2 字符"/>
    <w:next w:val="11"/>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 w:type="paragraph" w:customStyle="1" w:styleId="64">
    <w:name w:val="修订2"/>
    <w:unhideWhenUsed/>
    <w:qFormat/>
    <w:uiPriority w:val="99"/>
    <w:rPr>
      <w:rFonts w:ascii="Times New Roman" w:hAnsi="Times New Roman" w:eastAsia="Times New Roman" w:cs="Times New Roman"/>
      <w:sz w:val="24"/>
      <w:szCs w:val="24"/>
      <w:lang w:val="en-US" w:eastAsia="zh-CN" w:bidi="ar-SA"/>
    </w:rPr>
  </w:style>
  <w:style w:type="paragraph" w:styleId="65">
    <w:name w:val="List Paragraph"/>
    <w:basedOn w:val="1"/>
    <w:qFormat/>
    <w:uiPriority w:val="0"/>
    <w:pPr>
      <w:widowControl w:val="0"/>
      <w:ind w:firstLine="200" w:firstLineChars="200"/>
      <w:jc w:val="both"/>
    </w:pPr>
    <w:rPr>
      <w:rFonts w:eastAsia="宋体"/>
      <w:kern w:val="2"/>
      <w:sz w:val="21"/>
    </w:rPr>
  </w:style>
  <w:style w:type="paragraph" w:customStyle="1" w:styleId="66">
    <w:name w:val="文档正文"/>
    <w:basedOn w:val="1"/>
    <w:qFormat/>
    <w:uiPriority w:val="0"/>
    <w:pPr>
      <w:adjustRightInd w:val="0"/>
      <w:spacing w:line="480" w:lineRule="atLeast"/>
      <w:ind w:firstLine="200" w:firstLineChars="200"/>
      <w:textAlignment w:val="baseline"/>
    </w:pPr>
    <w:rPr>
      <w:rFonts w:ascii="长城仿宋" w:hAnsi="长城仿宋"/>
      <w:szCs w:val="20"/>
    </w:rPr>
  </w:style>
  <w:style w:type="paragraph" w:customStyle="1" w:styleId="67">
    <w:name w:val="修订1"/>
    <w:semiHidden/>
    <w:qFormat/>
    <w:uiPriority w:val="99"/>
    <w:rPr>
      <w:rFonts w:ascii="Times New Roman" w:hAnsi="Times New Roman" w:eastAsia="Times New Roman" w:cs="Times New Roman"/>
      <w:sz w:val="24"/>
      <w:szCs w:val="24"/>
      <w:lang w:val="en-US" w:eastAsia="zh-CN" w:bidi="ar-SA"/>
    </w:rPr>
  </w:style>
  <w:style w:type="paragraph" w:customStyle="1" w:styleId="68">
    <w:name w:val="x-scope"/>
    <w:basedOn w:val="1"/>
    <w:qFormat/>
    <w:uiPriority w:val="0"/>
    <w:pPr>
      <w:spacing w:before="100" w:beforeAutospacing="1" w:after="100" w:afterAutospacing="1"/>
    </w:pPr>
    <w:rPr>
      <w:rFonts w:ascii="宋体" w:hAnsi="宋体" w:cs="宋体"/>
    </w:rPr>
  </w:style>
  <w:style w:type="paragraph" w:customStyle="1" w:styleId="69">
    <w:name w:val="Table Paragraph"/>
    <w:basedOn w:val="1"/>
    <w:qFormat/>
    <w:uiPriority w:val="0"/>
    <w:pPr>
      <w:autoSpaceDE w:val="0"/>
      <w:autoSpaceDN w:val="0"/>
      <w:adjustRightInd w:val="0"/>
    </w:pPr>
    <w:rPr>
      <w:rFonts w:eastAsia="等线"/>
    </w:rPr>
  </w:style>
  <w:style w:type="paragraph" w:customStyle="1" w:styleId="70">
    <w:name w:val="表格文字"/>
    <w:basedOn w:val="1"/>
    <w:qFormat/>
    <w:uiPriority w:val="0"/>
    <w:pPr>
      <w:spacing w:before="25" w:after="25"/>
    </w:pPr>
    <w:rPr>
      <w:bCs/>
      <w:spacing w:val="10"/>
      <w:szCs w:val="20"/>
    </w:rPr>
  </w:style>
  <w:style w:type="paragraph" w:customStyle="1" w:styleId="71">
    <w:name w:val="修订3"/>
    <w:semiHidden/>
    <w:qFormat/>
    <w:uiPriority w:val="99"/>
    <w:rPr>
      <w:rFonts w:ascii="Times New Roman" w:hAnsi="Times New Roman" w:eastAsia="Times New Roman" w:cs="Times New Roman"/>
      <w:sz w:val="24"/>
      <w:szCs w:val="24"/>
      <w:lang w:val="en-US" w:eastAsia="zh-CN" w:bidi="ar-SA"/>
    </w:rPr>
  </w:style>
  <w:style w:type="paragraph" w:customStyle="1" w:styleId="72">
    <w:name w:val="列出段落1"/>
    <w:basedOn w:val="1"/>
    <w:qFormat/>
    <w:uiPriority w:val="0"/>
    <w:pPr>
      <w:ind w:firstLine="420" w:firstLineChars="200"/>
    </w:pPr>
    <w:rPr>
      <w:szCs w:val="21"/>
    </w:rPr>
  </w:style>
  <w:style w:type="paragraph" w:customStyle="1" w:styleId="73">
    <w:name w:val="样式 首行缩进:  2 字符"/>
    <w:basedOn w:val="1"/>
    <w:qFormat/>
    <w:uiPriority w:val="0"/>
    <w:pPr>
      <w:ind w:firstLine="200" w:firstLineChars="200"/>
    </w:pPr>
    <w:rPr>
      <w:rFonts w:ascii="Calibri" w:hAnsi="Calibri" w:cs="宋体"/>
      <w:color w:val="000000"/>
      <w:szCs w:val="20"/>
    </w:rPr>
  </w:style>
  <w:style w:type="paragraph" w:customStyle="1" w:styleId="74">
    <w:name w:val="NormalIndent"/>
    <w:qFormat/>
    <w:uiPriority w:val="0"/>
    <w:pPr>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75">
    <w:name w:val="Default"/>
    <w:qFormat/>
    <w:uiPriority w:val="0"/>
    <w:pPr>
      <w:widowControl w:val="0"/>
      <w:autoSpaceDE w:val="0"/>
      <w:autoSpaceDN w:val="0"/>
      <w:adjustRightInd w:val="0"/>
    </w:pPr>
    <w:rPr>
      <w:rFonts w:ascii="H Yb 2gj" w:hAnsi="H Yb 2gj" w:eastAsia="H Yb 2gj" w:cs="H Yb 2gj"/>
      <w:color w:val="000000"/>
      <w:sz w:val="24"/>
      <w:szCs w:val="24"/>
      <w:lang w:val="en-US" w:eastAsia="zh-CN" w:bidi="ar-SA"/>
    </w:rPr>
  </w:style>
  <w:style w:type="paragraph" w:customStyle="1" w:styleId="76">
    <w:name w:val="表格"/>
    <w:basedOn w:val="1"/>
    <w:qFormat/>
    <w:uiPriority w:val="8"/>
    <w:pPr>
      <w:adjustRightInd w:val="0"/>
      <w:snapToGrid w:val="0"/>
      <w:jc w:val="center"/>
    </w:pPr>
    <w:rPr>
      <w:rFonts w:ascii="等线" w:hAnsi="等线" w:cs="宋体"/>
      <w:sz w:val="15"/>
      <w:szCs w:val="22"/>
    </w:rPr>
  </w:style>
  <w:style w:type="table" w:customStyle="1" w:styleId="77">
    <w:name w:val="网格型1"/>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8">
    <w:name w:val="BodyTextIndent2"/>
    <w:basedOn w:val="1"/>
    <w:qFormat/>
    <w:uiPriority w:val="0"/>
    <w:pPr>
      <w:snapToGrid w:val="0"/>
      <w:spacing w:after="120" w:line="480" w:lineRule="auto"/>
      <w:ind w:left="420" w:leftChars="200"/>
      <w:textAlignment w:val="baseline"/>
    </w:pPr>
  </w:style>
  <w:style w:type="character" w:customStyle="1" w:styleId="79">
    <w:name w:val="font61"/>
    <w:qFormat/>
    <w:uiPriority w:val="0"/>
    <w:rPr>
      <w:rFonts w:ascii="宋体" w:hAnsi="宋体" w:eastAsia="宋体"/>
      <w:b/>
      <w:color w:val="000000"/>
      <w:sz w:val="24"/>
      <w:u w:val="none"/>
    </w:rPr>
  </w:style>
  <w:style w:type="paragraph" w:customStyle="1" w:styleId="80">
    <w:name w:val="p9"/>
    <w:basedOn w:val="1"/>
    <w:qFormat/>
    <w:uiPriority w:val="0"/>
    <w:pPr>
      <w:tabs>
        <w:tab w:val="left" w:pos="426"/>
      </w:tabs>
      <w:spacing w:before="100" w:beforeAutospacing="1" w:after="100" w:afterAutospacing="1"/>
    </w:pPr>
    <w:rPr>
      <w:rFonts w:ascii="Calibri" w:hAnsi="Calibri" w:eastAsia="Arial Unicode MS" w:cs="Arial Unicode MS"/>
      <w:color w:val="000000"/>
      <w:sz w:val="18"/>
      <w:szCs w:val="18"/>
    </w:rPr>
  </w:style>
  <w:style w:type="character" w:customStyle="1" w:styleId="81">
    <w:name w:val="font31"/>
    <w:qFormat/>
    <w:uiPriority w:val="0"/>
    <w:rPr>
      <w:rFonts w:hint="eastAsia" w:ascii="宋体" w:hAnsi="宋体" w:eastAsia="宋体" w:cs="宋体"/>
      <w:color w:val="000000"/>
      <w:sz w:val="20"/>
      <w:szCs w:val="20"/>
      <w:u w:val="none"/>
    </w:rPr>
  </w:style>
  <w:style w:type="character" w:customStyle="1" w:styleId="82">
    <w:name w:val="font21"/>
    <w:qFormat/>
    <w:uiPriority w:val="0"/>
    <w:rPr>
      <w:rFonts w:hint="default" w:ascii="Symbol" w:hAnsi="Symbol" w:cs="Symbol"/>
      <w:color w:val="000000"/>
      <w:sz w:val="20"/>
      <w:szCs w:val="20"/>
      <w:u w:val="none"/>
    </w:rPr>
  </w:style>
  <w:style w:type="character" w:customStyle="1" w:styleId="83">
    <w:name w:val="font71"/>
    <w:basedOn w:val="30"/>
    <w:qFormat/>
    <w:uiPriority w:val="0"/>
    <w:rPr>
      <w:rFonts w:hint="default" w:ascii="仿宋_GB2312" w:eastAsia="仿宋_GB2312" w:cs="仿宋_GB2312"/>
      <w:b/>
      <w:bCs/>
      <w:color w:val="000000"/>
      <w:sz w:val="32"/>
      <w:szCs w:val="32"/>
      <w:u w:val="none"/>
    </w:rPr>
  </w:style>
  <w:style w:type="character" w:customStyle="1" w:styleId="84">
    <w:name w:val="正文文本 字符"/>
    <w:basedOn w:val="30"/>
    <w:link w:val="11"/>
    <w:qFormat/>
    <w:uiPriority w:val="0"/>
    <w:rPr>
      <w:rFonts w:hint="default" w:ascii="Times New Roman" w:hAnsi="Times New Roman" w:eastAsia="宋体" w:cs="Times New Roman"/>
      <w:kern w:val="2"/>
      <w:sz w:val="21"/>
      <w:szCs w:val="24"/>
    </w:rPr>
  </w:style>
  <w:style w:type="paragraph" w:customStyle="1" w:styleId="85">
    <w:name w:val="修订4"/>
    <w:hidden/>
    <w:unhideWhenUsed/>
    <w:qFormat/>
    <w:uiPriority w:val="99"/>
    <w:rPr>
      <w:rFonts w:ascii="Times New Roman" w:hAnsi="Times New Roman" w:eastAsia="Times New Roman" w:cs="Times New Roman"/>
      <w:sz w:val="24"/>
      <w:szCs w:val="24"/>
      <w:lang w:val="en-US" w:eastAsia="zh-CN" w:bidi="ar-SA"/>
    </w:rPr>
  </w:style>
  <w:style w:type="paragraph" w:customStyle="1" w:styleId="86">
    <w:name w:val="修订5"/>
    <w:hidden/>
    <w:unhideWhenUsed/>
    <w:qFormat/>
    <w:uiPriority w:val="99"/>
    <w:rPr>
      <w:rFonts w:ascii="Times New Roman" w:hAnsi="Times New Roman" w:eastAsia="Times New Roman" w:cs="Times New Roman"/>
      <w:sz w:val="24"/>
      <w:szCs w:val="24"/>
      <w:lang w:val="en-US" w:eastAsia="zh-CN" w:bidi="ar-SA"/>
    </w:rPr>
  </w:style>
  <w:style w:type="paragraph" w:customStyle="1" w:styleId="87">
    <w:name w:val="msolistparagraph"/>
    <w:basedOn w:val="1"/>
    <w:qFormat/>
    <w:uiPriority w:val="0"/>
    <w:pPr>
      <w:ind w:firstLine="420" w:firstLineChars="200"/>
    </w:pPr>
    <w:rPr>
      <w:rFonts w:ascii="Calibri" w:hAnsi="Calibri"/>
      <w:szCs w:val="22"/>
    </w:rPr>
  </w:style>
  <w:style w:type="paragraph" w:customStyle="1" w:styleId="88">
    <w:name w:val="修订6"/>
    <w:hidden/>
    <w:unhideWhenUsed/>
    <w:qFormat/>
    <w:uiPriority w:val="99"/>
    <w:rPr>
      <w:rFonts w:ascii="Times New Roman" w:hAnsi="Times New Roman" w:eastAsia="Times New Roman" w:cs="Times New Roman"/>
      <w:sz w:val="24"/>
      <w:szCs w:val="24"/>
      <w:lang w:val="en-US" w:eastAsia="zh-CN" w:bidi="ar-SA"/>
    </w:rPr>
  </w:style>
  <w:style w:type="character" w:customStyle="1" w:styleId="89">
    <w:name w:val="未处理的提及1"/>
    <w:basedOn w:val="30"/>
    <w:semiHidden/>
    <w:unhideWhenUsed/>
    <w:qFormat/>
    <w:uiPriority w:val="99"/>
    <w:rPr>
      <w:color w:val="605E5C"/>
      <w:shd w:val="clear" w:color="auto" w:fill="E1DFDD"/>
    </w:rPr>
  </w:style>
  <w:style w:type="paragraph" w:customStyle="1" w:styleId="90">
    <w:name w:val="null3"/>
    <w:hidden/>
    <w:qFormat/>
    <w:uiPriority w:val="0"/>
    <w:rPr>
      <w:rFonts w:hint="eastAsia" w:asciiTheme="minorHAnsi" w:hAnsiTheme="minorHAnsi" w:eastAsiaTheme="minorEastAsia" w:cstheme="minorBidi"/>
      <w:lang w:val="en-US" w:eastAsia="zh-Hans" w:bidi="ar-SA"/>
    </w:rPr>
  </w:style>
  <w:style w:type="paragraph" w:customStyle="1" w:styleId="91">
    <w:name w:val="修订7"/>
    <w:hidden/>
    <w:unhideWhenUsed/>
    <w:qFormat/>
    <w:uiPriority w:val="99"/>
    <w:rPr>
      <w:rFonts w:ascii="Times New Roman" w:hAnsi="Times New Roman" w:eastAsia="Times New Roman" w:cs="Times New Roman"/>
      <w:sz w:val="24"/>
      <w:szCs w:val="24"/>
      <w:lang w:val="en-US" w:eastAsia="zh-CN" w:bidi="ar-SA"/>
    </w:rPr>
  </w:style>
  <w:style w:type="paragraph" w:customStyle="1" w:styleId="92">
    <w:name w:val="修订8"/>
    <w:hidden/>
    <w:unhideWhenUsed/>
    <w:qFormat/>
    <w:uiPriority w:val="99"/>
    <w:rPr>
      <w:rFonts w:ascii="Times New Roman" w:hAnsi="Times New Roman" w:eastAsia="Times New Roman" w:cs="Times New Roman"/>
      <w:sz w:val="24"/>
      <w:szCs w:val="24"/>
      <w:lang w:val="en-US" w:eastAsia="zh-CN" w:bidi="ar-SA"/>
    </w:rPr>
  </w:style>
  <w:style w:type="paragraph" w:customStyle="1" w:styleId="93">
    <w:name w:val="修订9"/>
    <w:hidden/>
    <w:unhideWhenUsed/>
    <w:qFormat/>
    <w:uiPriority w:val="99"/>
    <w:rPr>
      <w:rFonts w:ascii="Times New Roman" w:hAnsi="Times New Roman" w:eastAsia="Times New Roman" w:cs="Times New Roman"/>
      <w:sz w:val="24"/>
      <w:szCs w:val="24"/>
      <w:lang w:val="en-US" w:eastAsia="zh-CN" w:bidi="ar-SA"/>
    </w:rPr>
  </w:style>
  <w:style w:type="paragraph" w:customStyle="1" w:styleId="94">
    <w:name w:val="修订10"/>
    <w:hidden/>
    <w:unhideWhenUsed/>
    <w:qFormat/>
    <w:uiPriority w:val="99"/>
    <w:rPr>
      <w:rFonts w:ascii="Times New Roman" w:hAnsi="Times New Roman" w:eastAsia="Times New Roman" w:cs="Times New Roman"/>
      <w:sz w:val="24"/>
      <w:szCs w:val="24"/>
      <w:lang w:val="en-US" w:eastAsia="zh-CN" w:bidi="ar-SA"/>
    </w:rPr>
  </w:style>
  <w:style w:type="paragraph" w:customStyle="1" w:styleId="95">
    <w:name w:val="Revision"/>
    <w:hidden/>
    <w:unhideWhenUsed/>
    <w:qFormat/>
    <w:uiPriority w:val="99"/>
    <w:rPr>
      <w:rFonts w:ascii="Times New Roman" w:hAnsi="Times New Roman" w:eastAsia="Times New Roman" w:cs="Times New Roman"/>
      <w:sz w:val="24"/>
      <w:szCs w:val="24"/>
      <w:lang w:val="en-US" w:eastAsia="zh-CN" w:bidi="ar-SA"/>
    </w:rPr>
  </w:style>
  <w:style w:type="paragraph" w:customStyle="1" w:styleId="96">
    <w:name w:val="样式1 Char Char"/>
    <w:basedOn w:val="1"/>
    <w:next w:val="14"/>
    <w:qFormat/>
    <w:uiPriority w:val="0"/>
    <w:pPr>
      <w:adjustRightInd/>
      <w:spacing w:line="360" w:lineRule="auto"/>
      <w:ind w:firstLine="516" w:firstLineChars="215"/>
      <w:jc w:val="both"/>
    </w:pPr>
    <w:rPr>
      <w:rFonts w:ascii="Times New Roman" w:hAnsi="Times New Roman" w:eastAsia="宋体" w:cs="Times New Roman"/>
      <w:kern w:val="2"/>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337E9F-946D-4EEC-B7EC-615EBB0D5A3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94</Pages>
  <Words>88</Words>
  <Characters>105</Characters>
  <Lines>508</Lines>
  <Paragraphs>143</Paragraphs>
  <TotalTime>3</TotalTime>
  <ScaleCrop>false</ScaleCrop>
  <LinksUpToDate>false</LinksUpToDate>
  <CharactersWithSpaces>108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2026-10-29T08:55:00Z</dcterms:created>
  <dc:creator>林兆武</dc:creator>
  <cp:lastModifiedBy>郑工2</cp:lastModifiedBy>
  <dcterms:modified xsi:type="dcterms:W3CDTF">2026-11-02T03:11:05Z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2504647E49774E599A5B7A1A6BC8EABF_13</vt:lpwstr>
  </property>
  <property fmtid="{D5CDD505-2E9C-101B-9397-08002B2CF9AE}" pid="3" name="KSOProductBuildVer">
    <vt:lpwstr>2052-12.1.0.29161</vt:lpwstr>
  </property>
  <property fmtid="{D5CDD505-2E9C-101B-9397-08002B2CF9AE}" pid="4" name="KSOTemplateDocerSaveRecord">
    <vt:lpwstr>eyJoZGlkIjoiZTQ2ZTNjY2ZmMjE1YzZiMzk3ZjFjMjY3YzE2MWMyYTkiLCJ1c2VySWQiOiI0NTA5NTI0MjMifQ==</vt:lpwstr>
  </property>
</Properties>
</file>