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C6813">
      <w:pPr>
        <w:ind w:firstLine="3654" w:firstLineChars="1300"/>
        <w:rPr>
          <w:rFonts w:ascii="宋体" w:hAnsi="宋体"/>
          <w:color w:val="FF0000"/>
          <w:szCs w:val="21"/>
          <w:highlight w:val="none"/>
        </w:rPr>
      </w:pPr>
      <w:r>
        <w:rPr>
          <w:rFonts w:hint="eastAsia" w:ascii="宋体" w:hAnsi="宋体" w:eastAsia="黑体"/>
          <w:b/>
          <w:bCs/>
          <w:color w:val="FF0000"/>
          <w:kern w:val="44"/>
          <w:sz w:val="28"/>
          <w:szCs w:val="44"/>
          <w:highlight w:val="none"/>
        </w:rPr>
        <w:t>特别警示条款</w:t>
      </w:r>
    </w:p>
    <w:p w14:paraId="5B87E74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after="240" w:afterLines="100" w:line="240" w:lineRule="auto"/>
        <w:ind w:firstLine="422"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b/>
          <w:bCs/>
          <w:color w:val="FF0000"/>
          <w:sz w:val="21"/>
          <w:szCs w:val="21"/>
          <w:highlight w:val="none"/>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2"/>
      </w:tblGrid>
      <w:tr w14:paraId="6BB4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03" w:type="dxa"/>
            <w:tcBorders>
              <w:tl2br w:val="nil"/>
              <w:tr2bl w:val="nil"/>
            </w:tcBorders>
            <w:vAlign w:val="center"/>
          </w:tcPr>
          <w:p w14:paraId="3974A5E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序号</w:t>
            </w:r>
          </w:p>
        </w:tc>
        <w:tc>
          <w:tcPr>
            <w:tcW w:w="8369" w:type="dxa"/>
            <w:tcBorders>
              <w:tl2br w:val="nil"/>
              <w:tr2bl w:val="nil"/>
            </w:tcBorders>
            <w:vAlign w:val="center"/>
          </w:tcPr>
          <w:p w14:paraId="6BF3320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供应商参与投标禁止情形</w:t>
            </w:r>
          </w:p>
        </w:tc>
      </w:tr>
      <w:tr w14:paraId="5107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6E2AD26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w:t>
            </w:r>
          </w:p>
        </w:tc>
        <w:tc>
          <w:tcPr>
            <w:tcW w:w="8369" w:type="dxa"/>
            <w:tcBorders>
              <w:tl2br w:val="nil"/>
              <w:tr2bl w:val="nil"/>
            </w:tcBorders>
            <w:vAlign w:val="center"/>
          </w:tcPr>
          <w:p w14:paraId="6A668E4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与其他投标供应商的法定代表人、主要经营负责人、投标授权代表人、项目负责人、主要技术人员为</w:t>
            </w:r>
            <w:r>
              <w:rPr>
                <w:rFonts w:hint="eastAsia" w:ascii="宋体" w:hAnsi="宋体" w:eastAsia="宋体" w:cs="宋体"/>
                <w:b/>
                <w:bCs/>
                <w:color w:val="FF0000"/>
                <w:sz w:val="21"/>
                <w:szCs w:val="21"/>
              </w:rPr>
              <w:t>同一人、属同一单位或者在同一单位缴纳社会保险</w:t>
            </w:r>
            <w:r>
              <w:rPr>
                <w:rFonts w:hint="eastAsia" w:ascii="宋体" w:hAnsi="宋体" w:eastAsia="宋体" w:cs="宋体"/>
                <w:color w:val="FF0000"/>
                <w:sz w:val="21"/>
                <w:szCs w:val="21"/>
              </w:rPr>
              <w:t>。</w:t>
            </w:r>
          </w:p>
        </w:tc>
      </w:tr>
      <w:tr w14:paraId="35F5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3" w:type="dxa"/>
            <w:tcBorders>
              <w:tl2br w:val="nil"/>
              <w:tr2bl w:val="nil"/>
            </w:tcBorders>
            <w:vAlign w:val="center"/>
          </w:tcPr>
          <w:p w14:paraId="0BF1D54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w:t>
            </w:r>
          </w:p>
        </w:tc>
        <w:tc>
          <w:tcPr>
            <w:tcW w:w="8369" w:type="dxa"/>
            <w:tcBorders>
              <w:tl2br w:val="nil"/>
              <w:tr2bl w:val="nil"/>
            </w:tcBorders>
            <w:vAlign w:val="center"/>
          </w:tcPr>
          <w:p w14:paraId="78ABB96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参与本项目政府采购活动时，与其他投标供应商存在单位负责人为</w:t>
            </w:r>
            <w:r>
              <w:rPr>
                <w:rFonts w:hint="eastAsia" w:ascii="宋体" w:hAnsi="宋体" w:eastAsia="宋体" w:cs="宋体"/>
                <w:b/>
                <w:bCs/>
                <w:color w:val="FF0000"/>
                <w:sz w:val="21"/>
                <w:szCs w:val="21"/>
              </w:rPr>
              <w:t>同一人或直接控股、管理关系</w:t>
            </w:r>
            <w:r>
              <w:rPr>
                <w:rFonts w:hint="eastAsia" w:ascii="宋体" w:hAnsi="宋体" w:eastAsia="宋体" w:cs="宋体"/>
                <w:color w:val="FF0000"/>
                <w:sz w:val="21"/>
                <w:szCs w:val="21"/>
              </w:rPr>
              <w:t>。</w:t>
            </w:r>
          </w:p>
        </w:tc>
      </w:tr>
      <w:tr w14:paraId="587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7E78774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3</w:t>
            </w:r>
          </w:p>
        </w:tc>
        <w:tc>
          <w:tcPr>
            <w:tcW w:w="8369" w:type="dxa"/>
            <w:tcBorders>
              <w:tl2br w:val="nil"/>
              <w:tr2bl w:val="nil"/>
            </w:tcBorders>
            <w:vAlign w:val="center"/>
          </w:tcPr>
          <w:p w14:paraId="44596D1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与其他投标供应商的投标文件或部分投标文件</w:t>
            </w:r>
            <w:r>
              <w:rPr>
                <w:rFonts w:hint="eastAsia" w:ascii="宋体" w:hAnsi="宋体" w:eastAsia="宋体" w:cs="宋体"/>
                <w:b/>
                <w:bCs/>
                <w:color w:val="FF0000"/>
                <w:sz w:val="21"/>
                <w:szCs w:val="21"/>
              </w:rPr>
              <w:t>相互混装或存在非正常一致</w:t>
            </w:r>
            <w:r>
              <w:rPr>
                <w:rFonts w:hint="eastAsia" w:ascii="宋体" w:hAnsi="宋体" w:eastAsia="宋体" w:cs="宋体"/>
                <w:color w:val="FF0000"/>
                <w:sz w:val="21"/>
                <w:szCs w:val="21"/>
              </w:rPr>
              <w:t>。</w:t>
            </w:r>
          </w:p>
        </w:tc>
      </w:tr>
      <w:tr w14:paraId="1949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3" w:type="dxa"/>
            <w:tcBorders>
              <w:tl2br w:val="nil"/>
              <w:tr2bl w:val="nil"/>
            </w:tcBorders>
            <w:vAlign w:val="center"/>
          </w:tcPr>
          <w:p w14:paraId="0AF3A61A">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4</w:t>
            </w:r>
          </w:p>
        </w:tc>
        <w:tc>
          <w:tcPr>
            <w:tcW w:w="8369" w:type="dxa"/>
            <w:tcBorders>
              <w:tl2br w:val="nil"/>
              <w:tr2bl w:val="nil"/>
            </w:tcBorders>
            <w:vAlign w:val="center"/>
          </w:tcPr>
          <w:p w14:paraId="3142FF3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与其他投标供应商的投标文件由</w:t>
            </w:r>
            <w:r>
              <w:rPr>
                <w:rFonts w:hint="eastAsia" w:ascii="宋体" w:hAnsi="宋体" w:eastAsia="宋体" w:cs="宋体"/>
                <w:b/>
                <w:bCs/>
                <w:color w:val="FF0000"/>
                <w:sz w:val="21"/>
                <w:szCs w:val="21"/>
              </w:rPr>
              <w:t>同一单位或者同一人编制</w:t>
            </w:r>
            <w:r>
              <w:rPr>
                <w:rFonts w:hint="eastAsia" w:ascii="宋体" w:hAnsi="宋体" w:eastAsia="宋体" w:cs="宋体"/>
                <w:color w:val="FF0000"/>
                <w:sz w:val="21"/>
                <w:szCs w:val="21"/>
              </w:rPr>
              <w:t>，或者使用</w:t>
            </w:r>
            <w:r>
              <w:rPr>
                <w:rFonts w:hint="eastAsia" w:ascii="宋体" w:hAnsi="宋体" w:eastAsia="宋体" w:cs="宋体"/>
                <w:b/>
                <w:bCs/>
                <w:color w:val="FF0000"/>
                <w:sz w:val="21"/>
                <w:szCs w:val="21"/>
              </w:rPr>
              <w:t>同一设备编制</w:t>
            </w:r>
            <w:r>
              <w:rPr>
                <w:rFonts w:hint="eastAsia" w:ascii="宋体" w:hAnsi="宋体" w:eastAsia="宋体" w:cs="宋体"/>
                <w:color w:val="FF0000"/>
                <w:sz w:val="21"/>
                <w:szCs w:val="21"/>
              </w:rPr>
              <w:t>（“文件制作机器码”“文件创建标识码”一致）。</w:t>
            </w:r>
          </w:p>
        </w:tc>
      </w:tr>
      <w:tr w14:paraId="6F55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03" w:type="dxa"/>
            <w:tcBorders>
              <w:tl2br w:val="nil"/>
              <w:tr2bl w:val="nil"/>
            </w:tcBorders>
            <w:vAlign w:val="center"/>
          </w:tcPr>
          <w:p w14:paraId="15DD36F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5</w:t>
            </w:r>
          </w:p>
        </w:tc>
        <w:tc>
          <w:tcPr>
            <w:tcW w:w="8369" w:type="dxa"/>
            <w:tcBorders>
              <w:tl2br w:val="nil"/>
              <w:tr2bl w:val="nil"/>
            </w:tcBorders>
            <w:vAlign w:val="center"/>
          </w:tcPr>
          <w:p w14:paraId="560DB5A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提供</w:t>
            </w:r>
            <w:r>
              <w:rPr>
                <w:rFonts w:hint="eastAsia" w:ascii="宋体" w:hAnsi="宋体" w:eastAsia="宋体" w:cs="宋体"/>
                <w:b/>
                <w:bCs/>
                <w:color w:val="FF0000"/>
                <w:sz w:val="21"/>
                <w:szCs w:val="21"/>
              </w:rPr>
              <w:t>未经出具机构核实</w:t>
            </w:r>
            <w:r>
              <w:rPr>
                <w:rFonts w:hint="eastAsia" w:ascii="宋体" w:hAnsi="宋体" w:eastAsia="宋体" w:cs="宋体"/>
                <w:color w:val="FF0000"/>
                <w:sz w:val="21"/>
                <w:szCs w:val="21"/>
              </w:rPr>
              <w:t>的虚假的检验检测报告、业绩材料、社保缴纳证明、学历学位证书、职称认证证书等材料。</w:t>
            </w:r>
          </w:p>
        </w:tc>
      </w:tr>
      <w:tr w14:paraId="079B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03" w:type="dxa"/>
            <w:tcBorders>
              <w:tl2br w:val="nil"/>
              <w:tr2bl w:val="nil"/>
            </w:tcBorders>
            <w:vAlign w:val="center"/>
          </w:tcPr>
          <w:p w14:paraId="06B77123">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6</w:t>
            </w:r>
          </w:p>
        </w:tc>
        <w:tc>
          <w:tcPr>
            <w:tcW w:w="8369" w:type="dxa"/>
            <w:tcBorders>
              <w:tl2br w:val="nil"/>
              <w:tr2bl w:val="nil"/>
            </w:tcBorders>
            <w:vAlign w:val="center"/>
          </w:tcPr>
          <w:p w14:paraId="1C120A2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擅自将投标密钥或电子营业执照出借他人使用或未妥善保管。</w:t>
            </w:r>
          </w:p>
        </w:tc>
      </w:tr>
    </w:tbl>
    <w:p w14:paraId="156F73D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p>
    <w:p w14:paraId="0489442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w:t>
      </w:r>
      <w:r>
        <w:rPr>
          <w:rFonts w:hint="eastAsia" w:ascii="宋体" w:hAnsi="宋体" w:eastAsia="宋体" w:cs="宋体"/>
          <w:b/>
          <w:bCs/>
          <w:color w:val="FF0000"/>
          <w:sz w:val="21"/>
          <w:szCs w:val="21"/>
        </w:rPr>
        <w:t>《深圳经济特区政府采购条例》第五十七条</w:t>
      </w:r>
      <w:r>
        <w:rPr>
          <w:rFonts w:hint="eastAsia" w:ascii="宋体" w:hAnsi="宋体" w:eastAsia="宋体" w:cs="宋体"/>
          <w:color w:val="FF0000"/>
          <w:sz w:val="21"/>
          <w:szCs w:val="21"/>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AE03AA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（一）在采购活动中应当回避而未回避的；</w:t>
      </w:r>
    </w:p>
    <w:p w14:paraId="42C102A9">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（二）未按本条例规定签订、履行采购合同，造成严重后果的；</w:t>
      </w:r>
    </w:p>
    <w:p w14:paraId="31FAF75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（三）隐瞒真实情况，提供虚假资料的；</w:t>
      </w:r>
    </w:p>
    <w:p w14:paraId="11A6BFF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（四）以非法手段排斥其他供应商参与竞争的；</w:t>
      </w:r>
    </w:p>
    <w:p w14:paraId="7F458E5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（五）与其他采购参加人串通投标的；</w:t>
      </w:r>
    </w:p>
    <w:p w14:paraId="0DC762D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（六）恶意投诉的；</w:t>
      </w:r>
    </w:p>
    <w:p w14:paraId="05EDE75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（七）向采购项目相关人行贿或者提供其他不当利益的；</w:t>
      </w:r>
    </w:p>
    <w:p w14:paraId="15894EB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（八）阻碍、抗拒主管部门监督检查的；</w:t>
      </w:r>
    </w:p>
    <w:p w14:paraId="01552CF8">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（九）其他违反本条例规定的行为。</w:t>
      </w:r>
    </w:p>
    <w:p w14:paraId="464D147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二、《深圳经济特区政府采购条例实施细则》第七十五条 </w:t>
      </w:r>
      <w:r>
        <w:rPr>
          <w:rFonts w:hint="eastAsia" w:ascii="宋体" w:hAnsi="宋体" w:eastAsia="宋体" w:cs="宋体"/>
          <w:color w:val="FF0000"/>
          <w:sz w:val="21"/>
          <w:szCs w:val="21"/>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423FDF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三、《深圳经济特区政府采购条例实施细则》第七十七条 </w:t>
      </w:r>
      <w:r>
        <w:rPr>
          <w:rFonts w:hint="eastAsia" w:ascii="宋体" w:hAnsi="宋体" w:eastAsia="宋体" w:cs="宋体"/>
          <w:color w:val="FF0000"/>
          <w:sz w:val="21"/>
          <w:szCs w:val="21"/>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012F6F9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投标供应商不能提供项目负责人或者主要技术人员的劳动合同、社会保险等劳动关系证明材料的，视为存在前款第（三）项规定的情形。</w:t>
      </w:r>
    </w:p>
    <w:p w14:paraId="06D6389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四、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757CC64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为避免出现不同供应商投标文件的文件制作机器码、文件创建标识码、IP地址一致的异常情况，建议各供应商编制、上传投标文件时不要使用公共电脑设备或公共网络。</w:t>
      </w:r>
    </w:p>
    <w:p w14:paraId="49A4A91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sz w:val="21"/>
          <w:szCs w:val="21"/>
        </w:rPr>
        <w:t>取消参与本市政府采购资格、依法吊销其营业执照等行政处罚，构成犯罪的，依法追究刑事责任</w:t>
      </w:r>
      <w:r>
        <w:rPr>
          <w:rFonts w:hint="eastAsia" w:ascii="宋体" w:hAnsi="宋体" w:eastAsia="宋体" w:cs="宋体"/>
          <w:bCs/>
          <w:color w:val="FF0000"/>
          <w:sz w:val="21"/>
          <w:szCs w:val="21"/>
        </w:rPr>
        <w:t>，请各供应商独立编制、上传投标文件，妥善保管和使用电子秘钥。</w:t>
      </w:r>
    </w:p>
    <w:p w14:paraId="0F71254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五、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DC842F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六、请投标供应商阅读《政府采购违法行为风险知悉确认书》（内容详见“投标文件附件（信息不公开部分）”中节点“</w:t>
      </w:r>
      <w:r>
        <w:rPr>
          <w:rFonts w:hint="eastAsia" w:ascii="宋体" w:hAnsi="宋体" w:eastAsia="宋体" w:cs="宋体"/>
          <w:b/>
          <w:bCs/>
          <w:color w:val="FF0000"/>
          <w:sz w:val="21"/>
          <w:szCs w:val="21"/>
        </w:rPr>
        <w:t>投标人认为需要加以说明的其他内容</w:t>
      </w:r>
      <w:r>
        <w:rPr>
          <w:rFonts w:hint="eastAsia" w:ascii="宋体" w:hAnsi="宋体" w:eastAsia="宋体" w:cs="宋体"/>
          <w:color w:val="FF0000"/>
          <w:sz w:val="21"/>
          <w:szCs w:val="21"/>
        </w:rPr>
        <w:t>”）</w:t>
      </w:r>
      <w:r>
        <w:rPr>
          <w:rFonts w:hint="eastAsia" w:ascii="宋体" w:hAnsi="宋体" w:eastAsia="宋体" w:cs="宋体"/>
          <w:b/>
          <w:color w:val="FF0000"/>
          <w:sz w:val="21"/>
          <w:szCs w:val="21"/>
        </w:rPr>
        <w:t>，并经各投标供应商负责人签字并加盖单位公章后，扫描上传至投标文件一并提交。</w:t>
      </w:r>
    </w:p>
    <w:p w14:paraId="442D59F0">
      <w:pPr>
        <w:pStyle w:val="193"/>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textAlignment w:val="auto"/>
        <w:rPr>
          <w:rFonts w:hint="eastAsia" w:ascii="宋体" w:hAnsi="宋体" w:eastAsia="宋体" w:cs="宋体"/>
          <w:bCs/>
          <w:color w:val="FF0000"/>
          <w:sz w:val="21"/>
          <w:szCs w:val="21"/>
        </w:rPr>
      </w:pPr>
    </w:p>
    <w:p w14:paraId="29A747A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b/>
          <w:color w:val="FF0000"/>
          <w:sz w:val="21"/>
          <w:szCs w:val="21"/>
        </w:rPr>
        <w:t>注：“特别警示条款”和《政府采购违法行为风险知悉确认书》用于对供应商违法行为的提醒，不作为供应商资格性审查及符合性审查条件。</w:t>
      </w:r>
    </w:p>
    <w:p w14:paraId="7E96B493">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宋体" w:eastAsia="黑体" w:cs="黑体"/>
          <w:kern w:val="0"/>
          <w:sz w:val="40"/>
          <w:szCs w:val="40"/>
        </w:rPr>
      </w:pPr>
      <w:r>
        <w:rPr>
          <w:rFonts w:hint="eastAsia" w:ascii="黑体" w:hAnsi="宋体" w:eastAsia="黑体" w:cs="黑体"/>
          <w:kern w:val="0"/>
          <w:sz w:val="40"/>
          <w:szCs w:val="40"/>
        </w:rPr>
        <w:br w:type="page"/>
      </w:r>
    </w:p>
    <w:p w14:paraId="42B734D7">
      <w:pPr>
        <w:widowControl/>
        <w:spacing w:beforeAutospacing="1" w:afterAutospacing="1"/>
        <w:jc w:val="center"/>
        <w:outlineLvl w:val="1"/>
        <w:rPr>
          <w:rFonts w:ascii="黑体" w:hAnsi="宋体" w:eastAsia="黑体" w:cs="黑体"/>
          <w:kern w:val="0"/>
          <w:sz w:val="40"/>
          <w:szCs w:val="40"/>
        </w:rPr>
      </w:pPr>
      <w:r>
        <w:rPr>
          <w:rFonts w:hint="eastAsia" w:ascii="黑体" w:hAnsi="宋体" w:eastAsia="黑体" w:cs="黑体"/>
          <w:kern w:val="0"/>
          <w:sz w:val="40"/>
          <w:szCs w:val="40"/>
        </w:rPr>
        <w:t>招标文件信息</w:t>
      </w:r>
    </w:p>
    <w:tbl>
      <w:tblPr>
        <w:tblStyle w:val="43"/>
        <w:tblW w:w="7943" w:type="dxa"/>
        <w:jc w:val="center"/>
        <w:tblCellSpacing w:w="0" w:type="dxa"/>
        <w:tblLayout w:type="fixed"/>
        <w:tblCellMar>
          <w:top w:w="45" w:type="dxa"/>
          <w:left w:w="45" w:type="dxa"/>
          <w:bottom w:w="45" w:type="dxa"/>
          <w:right w:w="45" w:type="dxa"/>
        </w:tblCellMar>
      </w:tblPr>
      <w:tblGrid>
        <w:gridCol w:w="2723"/>
        <w:gridCol w:w="5220"/>
      </w:tblGrid>
      <w:tr w14:paraId="3D93CCD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6678AE93">
            <w:pPr>
              <w:widowControl/>
              <w:jc w:val="right"/>
              <w:rPr>
                <w:sz w:val="30"/>
                <w:szCs w:val="30"/>
              </w:rPr>
            </w:pPr>
            <w:r>
              <w:rPr>
                <w:rFonts w:ascii="宋体" w:hAnsi="宋体" w:cs="宋体"/>
                <w:kern w:val="0"/>
                <w:sz w:val="30"/>
                <w:szCs w:val="30"/>
                <w:lang w:bidi="ar"/>
              </w:rPr>
              <w:t>项目编号：</w:t>
            </w:r>
          </w:p>
        </w:tc>
        <w:tc>
          <w:tcPr>
            <w:tcW w:w="5220" w:type="dxa"/>
            <w:shd w:val="clear" w:color="auto" w:fill="auto"/>
            <w:vAlign w:val="center"/>
          </w:tcPr>
          <w:p w14:paraId="3AEA90B0">
            <w:pPr>
              <w:widowControl/>
              <w:jc w:val="left"/>
              <w:rPr>
                <w:sz w:val="30"/>
                <w:szCs w:val="30"/>
              </w:rPr>
            </w:pPr>
            <w:r>
              <w:rPr>
                <w:rFonts w:hint="eastAsia"/>
                <w:sz w:val="30"/>
                <w:szCs w:val="30"/>
              </w:rPr>
              <w:t>SZCG2026000495</w:t>
            </w:r>
            <w:bookmarkStart w:id="53" w:name="_GoBack"/>
            <w:bookmarkEnd w:id="53"/>
          </w:p>
        </w:tc>
      </w:tr>
      <w:tr w14:paraId="48BD96F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DBBBAD0">
            <w:pPr>
              <w:widowControl/>
              <w:jc w:val="right"/>
              <w:rPr>
                <w:sz w:val="30"/>
                <w:szCs w:val="30"/>
              </w:rPr>
            </w:pPr>
            <w:r>
              <w:rPr>
                <w:rFonts w:ascii="宋体" w:hAnsi="宋体" w:cs="宋体"/>
                <w:kern w:val="0"/>
                <w:sz w:val="30"/>
                <w:szCs w:val="30"/>
                <w:lang w:bidi="ar"/>
              </w:rPr>
              <w:t>项目名称：</w:t>
            </w:r>
          </w:p>
        </w:tc>
        <w:tc>
          <w:tcPr>
            <w:tcW w:w="5220" w:type="dxa"/>
            <w:shd w:val="clear" w:color="auto" w:fill="auto"/>
            <w:vAlign w:val="center"/>
          </w:tcPr>
          <w:p w14:paraId="63335501">
            <w:pPr>
              <w:widowControl/>
              <w:jc w:val="left"/>
              <w:rPr>
                <w:sz w:val="30"/>
                <w:szCs w:val="30"/>
              </w:rPr>
            </w:pPr>
            <w:r>
              <w:rPr>
                <w:rFonts w:hint="eastAsia"/>
                <w:sz w:val="30"/>
                <w:szCs w:val="30"/>
              </w:rPr>
              <w:t>深圳市公安局交通管理局2026年外请拖车服务项目</w:t>
            </w:r>
          </w:p>
        </w:tc>
      </w:tr>
      <w:tr w14:paraId="42FD8A6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2B2B716">
            <w:pPr>
              <w:widowControl/>
              <w:jc w:val="right"/>
              <w:rPr>
                <w:sz w:val="30"/>
                <w:szCs w:val="30"/>
              </w:rPr>
            </w:pPr>
            <w:r>
              <w:rPr>
                <w:rFonts w:ascii="宋体" w:hAnsi="宋体" w:cs="宋体"/>
                <w:kern w:val="0"/>
                <w:sz w:val="30"/>
                <w:szCs w:val="30"/>
                <w:lang w:bidi="ar"/>
              </w:rPr>
              <w:t>包 号：</w:t>
            </w:r>
          </w:p>
        </w:tc>
        <w:tc>
          <w:tcPr>
            <w:tcW w:w="5220" w:type="dxa"/>
            <w:shd w:val="clear" w:color="auto" w:fill="auto"/>
            <w:vAlign w:val="center"/>
          </w:tcPr>
          <w:p w14:paraId="65119D94">
            <w:pPr>
              <w:widowControl/>
              <w:jc w:val="left"/>
              <w:rPr>
                <w:rFonts w:hint="eastAsia" w:eastAsia="宋体"/>
                <w:sz w:val="30"/>
                <w:szCs w:val="30"/>
                <w:lang w:eastAsia="zh-CN"/>
              </w:rPr>
            </w:pPr>
            <w:r>
              <w:rPr>
                <w:rFonts w:hint="eastAsia" w:ascii="宋体" w:hAnsi="宋体" w:cs="宋体"/>
                <w:kern w:val="0"/>
                <w:sz w:val="30"/>
                <w:szCs w:val="30"/>
                <w:lang w:val="en-US" w:eastAsia="zh-CN" w:bidi="ar"/>
              </w:rPr>
              <w:t>B</w:t>
            </w:r>
          </w:p>
        </w:tc>
      </w:tr>
      <w:tr w14:paraId="093B30DD">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BCC68F9">
            <w:pPr>
              <w:widowControl/>
              <w:jc w:val="right"/>
              <w:rPr>
                <w:sz w:val="30"/>
                <w:szCs w:val="30"/>
              </w:rPr>
            </w:pPr>
            <w:r>
              <w:rPr>
                <w:rFonts w:ascii="宋体" w:hAnsi="宋体" w:cs="宋体"/>
                <w:kern w:val="0"/>
                <w:sz w:val="30"/>
                <w:szCs w:val="30"/>
                <w:lang w:bidi="ar"/>
              </w:rPr>
              <w:t>项目类型：</w:t>
            </w:r>
          </w:p>
        </w:tc>
        <w:tc>
          <w:tcPr>
            <w:tcW w:w="5220" w:type="dxa"/>
            <w:shd w:val="clear" w:color="auto" w:fill="auto"/>
            <w:vAlign w:val="center"/>
          </w:tcPr>
          <w:p w14:paraId="6F6203E9">
            <w:pPr>
              <w:widowControl/>
              <w:jc w:val="left"/>
              <w:rPr>
                <w:sz w:val="30"/>
                <w:szCs w:val="30"/>
              </w:rPr>
            </w:pPr>
            <w:r>
              <w:rPr>
                <w:rFonts w:hint="eastAsia" w:ascii="宋体" w:hAnsi="宋体" w:cs="宋体"/>
                <w:kern w:val="0"/>
                <w:sz w:val="30"/>
                <w:szCs w:val="30"/>
                <w:lang w:bidi="ar"/>
              </w:rPr>
              <w:t>服务</w:t>
            </w:r>
            <w:r>
              <w:rPr>
                <w:rFonts w:ascii="宋体" w:hAnsi="宋体" w:cs="宋体"/>
                <w:kern w:val="0"/>
                <w:sz w:val="30"/>
                <w:szCs w:val="30"/>
                <w:lang w:bidi="ar"/>
              </w:rPr>
              <w:t>类</w:t>
            </w:r>
          </w:p>
        </w:tc>
      </w:tr>
      <w:tr w14:paraId="094BA23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FE0463">
            <w:pPr>
              <w:widowControl/>
              <w:jc w:val="right"/>
              <w:rPr>
                <w:sz w:val="30"/>
                <w:szCs w:val="30"/>
              </w:rPr>
            </w:pPr>
            <w:r>
              <w:rPr>
                <w:rFonts w:ascii="宋体" w:hAnsi="宋体" w:cs="宋体"/>
                <w:kern w:val="0"/>
                <w:sz w:val="30"/>
                <w:szCs w:val="30"/>
                <w:lang w:bidi="ar"/>
              </w:rPr>
              <w:t>采购方式：</w:t>
            </w:r>
          </w:p>
        </w:tc>
        <w:tc>
          <w:tcPr>
            <w:tcW w:w="5220" w:type="dxa"/>
            <w:shd w:val="clear" w:color="auto" w:fill="auto"/>
            <w:vAlign w:val="center"/>
          </w:tcPr>
          <w:p w14:paraId="25FDF4D8">
            <w:pPr>
              <w:widowControl/>
              <w:jc w:val="left"/>
              <w:rPr>
                <w:sz w:val="30"/>
                <w:szCs w:val="30"/>
              </w:rPr>
            </w:pPr>
            <w:r>
              <w:rPr>
                <w:rFonts w:ascii="宋体" w:hAnsi="宋体" w:cs="宋体"/>
                <w:kern w:val="0"/>
                <w:sz w:val="30"/>
                <w:szCs w:val="30"/>
                <w:lang w:bidi="ar"/>
              </w:rPr>
              <w:t>公开招标</w:t>
            </w:r>
          </w:p>
        </w:tc>
      </w:tr>
      <w:tr w14:paraId="14F9993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A3D49E2">
            <w:pPr>
              <w:widowControl/>
              <w:jc w:val="right"/>
              <w:rPr>
                <w:sz w:val="30"/>
                <w:szCs w:val="30"/>
              </w:rPr>
            </w:pPr>
            <w:r>
              <w:rPr>
                <w:rFonts w:ascii="宋体" w:hAnsi="宋体" w:cs="宋体"/>
                <w:kern w:val="0"/>
                <w:sz w:val="30"/>
                <w:szCs w:val="30"/>
                <w:lang w:bidi="ar"/>
              </w:rPr>
              <w:t>货币类型：</w:t>
            </w:r>
          </w:p>
        </w:tc>
        <w:tc>
          <w:tcPr>
            <w:tcW w:w="5220" w:type="dxa"/>
            <w:shd w:val="clear" w:color="auto" w:fill="auto"/>
            <w:vAlign w:val="center"/>
          </w:tcPr>
          <w:p w14:paraId="34EC7AF9">
            <w:pPr>
              <w:widowControl/>
              <w:jc w:val="left"/>
              <w:rPr>
                <w:sz w:val="30"/>
                <w:szCs w:val="30"/>
              </w:rPr>
            </w:pPr>
            <w:r>
              <w:rPr>
                <w:rFonts w:ascii="宋体" w:hAnsi="宋体" w:cs="宋体"/>
                <w:kern w:val="0"/>
                <w:sz w:val="30"/>
                <w:szCs w:val="30"/>
                <w:lang w:bidi="ar"/>
              </w:rPr>
              <w:t>人民币</w:t>
            </w:r>
          </w:p>
        </w:tc>
      </w:tr>
      <w:tr w14:paraId="17A5486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39B64CC">
            <w:pPr>
              <w:widowControl/>
              <w:jc w:val="right"/>
              <w:rPr>
                <w:sz w:val="30"/>
                <w:szCs w:val="30"/>
              </w:rPr>
            </w:pPr>
            <w:r>
              <w:rPr>
                <w:rFonts w:ascii="宋体" w:hAnsi="宋体" w:cs="宋体"/>
                <w:kern w:val="0"/>
                <w:sz w:val="30"/>
                <w:szCs w:val="30"/>
                <w:lang w:bidi="ar"/>
              </w:rPr>
              <w:t>评标方法：</w:t>
            </w:r>
          </w:p>
        </w:tc>
        <w:tc>
          <w:tcPr>
            <w:tcW w:w="5220" w:type="dxa"/>
            <w:shd w:val="clear" w:color="auto" w:fill="auto"/>
            <w:vAlign w:val="center"/>
          </w:tcPr>
          <w:p w14:paraId="67599D9F">
            <w:pPr>
              <w:widowControl/>
              <w:jc w:val="left"/>
              <w:rPr>
                <w:sz w:val="30"/>
                <w:szCs w:val="30"/>
              </w:rPr>
            </w:pPr>
            <w:r>
              <w:rPr>
                <w:rFonts w:ascii="宋体" w:hAnsi="宋体" w:cs="宋体"/>
                <w:kern w:val="0"/>
                <w:sz w:val="30"/>
                <w:szCs w:val="30"/>
                <w:lang w:bidi="ar"/>
              </w:rPr>
              <w:t>综合评分法</w:t>
            </w:r>
          </w:p>
        </w:tc>
      </w:tr>
    </w:tbl>
    <w:p w14:paraId="25CEF1B4">
      <w:pPr>
        <w:pStyle w:val="2"/>
      </w:pPr>
    </w:p>
    <w:p w14:paraId="5F9BBEC4">
      <w:pPr>
        <w:pStyle w:val="38"/>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542F4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EB4DF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3190F53">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01D30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B933A5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41CDB89">
            <w:pPr>
              <w:rPr>
                <w:rFonts w:cs="宋体" w:asciiTheme="minorEastAsia" w:hAnsiTheme="minorEastAsia" w:eastAsiaTheme="minorEastAsia"/>
                <w:szCs w:val="21"/>
              </w:rPr>
            </w:pPr>
            <w:r>
              <w:rPr>
                <w:rFonts w:cs="宋体" w:asciiTheme="minorEastAsia" w:hAnsiTheme="minorEastAsia" w:eastAsiaTheme="minorEastAsia"/>
                <w:kern w:val="0"/>
                <w:szCs w:val="21"/>
                <w:lang w:bidi="ar"/>
              </w:rPr>
              <w:t>投标人不</w:t>
            </w:r>
            <w:r>
              <w:rPr>
                <w:rFonts w:hint="eastAsia" w:cs="宋体" w:asciiTheme="minorEastAsia" w:hAnsiTheme="minorEastAsia" w:eastAsiaTheme="minorEastAsia"/>
                <w:kern w:val="0"/>
                <w:szCs w:val="21"/>
                <w:lang w:bidi="ar"/>
              </w:rPr>
              <w:t>符合</w:t>
            </w:r>
            <w:r>
              <w:rPr>
                <w:rFonts w:cs="宋体" w:asciiTheme="minorEastAsia" w:hAnsiTheme="minorEastAsia" w:eastAsiaTheme="minorEastAsia"/>
                <w:kern w:val="0"/>
                <w:szCs w:val="21"/>
                <w:lang w:bidi="ar"/>
              </w:rPr>
              <w:t>资格要求，或未提交相应的资格证明资料（详见招标公告</w:t>
            </w:r>
            <w:r>
              <w:rPr>
                <w:rFonts w:hint="eastAsia" w:asciiTheme="minorEastAsia" w:hAnsiTheme="minorEastAsia" w:eastAsiaTheme="minorEastAsia"/>
                <w:szCs w:val="21"/>
              </w:rPr>
              <w:t>投标人资格要求，即申请人的资格要求</w:t>
            </w:r>
            <w:r>
              <w:rPr>
                <w:rFonts w:cs="宋体" w:asciiTheme="minorEastAsia" w:hAnsiTheme="minorEastAsia" w:eastAsiaTheme="minorEastAsia"/>
                <w:kern w:val="0"/>
                <w:szCs w:val="21"/>
                <w:lang w:bidi="ar"/>
              </w:rPr>
              <w:t>）</w:t>
            </w:r>
          </w:p>
        </w:tc>
      </w:tr>
    </w:tbl>
    <w:p w14:paraId="7BF5ACB1">
      <w:pPr>
        <w:pStyle w:val="38"/>
        <w:spacing w:before="28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38DF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501E388">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A7FC50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5B5DE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CEA202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6F25DB9F">
            <w:pPr>
              <w:rPr>
                <w:rFonts w:cs="宋体" w:asciiTheme="minorEastAsia" w:hAnsiTheme="minorEastAsia" w:eastAsiaTheme="minorEastAsia"/>
                <w:szCs w:val="21"/>
              </w:rPr>
            </w:pPr>
            <w:r>
              <w:rPr>
                <w:rFonts w:hint="eastAsia" w:asciiTheme="minorEastAsia" w:hAnsiTheme="minorEastAsia" w:eastAsiaTheme="minorEastAsia"/>
              </w:rPr>
              <w:t>不得将一个包的内容拆开投标；</w:t>
            </w:r>
          </w:p>
        </w:tc>
      </w:tr>
      <w:tr w14:paraId="24D81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4F7653">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1C80504D">
            <w:pPr>
              <w:rPr>
                <w:rFonts w:cs="宋体" w:asciiTheme="minorEastAsia" w:hAnsiTheme="minorEastAsia" w:eastAsiaTheme="minorEastAsia"/>
                <w:szCs w:val="21"/>
              </w:rPr>
            </w:pPr>
            <w:r>
              <w:rPr>
                <w:rFonts w:hint="eastAsia" w:asciiTheme="minorEastAsia" w:hAnsiTheme="minorEastAsia" w:eastAsiaTheme="minorEastAsia"/>
              </w:rPr>
              <w:t>对同一项目投标时，不得提供两套以上的投标方案（招标文件另有规定的除外）；</w:t>
            </w:r>
          </w:p>
        </w:tc>
      </w:tr>
      <w:tr w14:paraId="17369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4C3907E">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vAlign w:val="top"/>
          </w:tcPr>
          <w:p w14:paraId="5B0C43F4">
            <w:pPr>
              <w:rPr>
                <w:rFonts w:cs="宋体" w:asciiTheme="minorEastAsia" w:hAnsiTheme="minorEastAsia" w:eastAsiaTheme="minorEastAsia"/>
                <w:szCs w:val="21"/>
              </w:rPr>
            </w:pPr>
            <w:r>
              <w:rPr>
                <w:rFonts w:hint="eastAsia" w:cs="Times New Roman" w:asciiTheme="minorEastAsia" w:hAnsiTheme="minorEastAsia" w:eastAsiaTheme="minorEastAsia"/>
                <w:b/>
                <w:bCs/>
                <w:color w:val="FF0000"/>
              </w:rPr>
              <w:t>填报的“折扣率”不满足"0＜折扣率≤1"公式要求的；“折扣率”缺填、漏填或填报了两个或以上“折扣率”；“投标关键信息”开标一览表中填写的投标报价与项目</w:t>
            </w:r>
            <w:r>
              <w:rPr>
                <w:rFonts w:hint="eastAsia" w:cs="Times New Roman" w:asciiTheme="minorEastAsia" w:hAnsiTheme="minorEastAsia" w:eastAsiaTheme="minorEastAsia"/>
                <w:b/>
                <w:bCs/>
                <w:color w:val="FF0000"/>
                <w:lang w:val="en-US" w:eastAsia="zh-CN"/>
              </w:rPr>
              <w:t>详细</w:t>
            </w:r>
            <w:r>
              <w:rPr>
                <w:rFonts w:hint="eastAsia" w:cs="Times New Roman" w:asciiTheme="minorEastAsia" w:hAnsiTheme="minorEastAsia" w:eastAsiaTheme="minorEastAsia"/>
                <w:b/>
                <w:bCs/>
                <w:color w:val="FF0000"/>
              </w:rPr>
              <w:t>报价表中填写的“折扣率”不一致；</w:t>
            </w:r>
          </w:p>
        </w:tc>
      </w:tr>
      <w:tr w14:paraId="5097C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C50127">
            <w:pPr>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8278" w:type="dxa"/>
            <w:tcBorders>
              <w:top w:val="single" w:color="000000" w:sz="8" w:space="0"/>
              <w:left w:val="single" w:color="000000" w:sz="8" w:space="0"/>
              <w:bottom w:val="single" w:color="000000" w:sz="8" w:space="0"/>
              <w:right w:val="single" w:color="000000" w:sz="8" w:space="0"/>
            </w:tcBorders>
            <w:vAlign w:val="top"/>
          </w:tcPr>
          <w:p w14:paraId="4E5793CA">
            <w:pPr>
              <w:widowControl/>
              <w:jc w:val="left"/>
              <w:textAlignment w:val="top"/>
              <w:rPr>
                <w:rFonts w:asciiTheme="minorEastAsia" w:hAnsiTheme="minorEastAsia" w:eastAsiaTheme="minorEastAsia"/>
              </w:rPr>
            </w:pPr>
            <w:r>
              <w:rPr>
                <w:rFonts w:hint="eastAsia" w:asciiTheme="minorEastAsia" w:hAnsiTheme="minorEastAsia" w:eastAsiaTheme="minorEastAsia"/>
              </w:rPr>
              <w:t>评审中出现下列情形之一的，评审委员会应当启动异常低价投标（响应）审查程序：</w:t>
            </w:r>
          </w:p>
          <w:p w14:paraId="31DF12C7">
            <w:pPr>
              <w:widowControl/>
              <w:jc w:val="left"/>
              <w:textAlignment w:val="top"/>
              <w:rPr>
                <w:rFonts w:asciiTheme="minorEastAsia" w:hAnsiTheme="minorEastAsia" w:eastAsiaTheme="minorEastAsia"/>
              </w:rPr>
            </w:pPr>
            <w:r>
              <w:rPr>
                <w:rFonts w:hint="eastAsia" w:asciiTheme="minorEastAsia" w:hAnsiTheme="minorEastAsia" w:eastAsiaTheme="minorEastAsia"/>
              </w:rPr>
              <w:t>1.投标（响应）报价低于全部通过符合性审查供应商投标（响应）报价平均值50%的，即投标（响应）报价＜全部通过符合性审查供应商投标（响应）报价平均值×50%；</w:t>
            </w:r>
          </w:p>
          <w:p w14:paraId="52346669">
            <w:pPr>
              <w:widowControl/>
              <w:jc w:val="left"/>
              <w:textAlignment w:val="top"/>
              <w:rPr>
                <w:rFonts w:asciiTheme="minorEastAsia" w:hAnsiTheme="minorEastAsia" w:eastAsiaTheme="minorEastAsia"/>
              </w:rPr>
            </w:pPr>
            <w:r>
              <w:rPr>
                <w:rFonts w:hint="eastAsia" w:asciiTheme="minorEastAsia" w:hAnsiTheme="minorEastAsia" w:eastAsiaTheme="minorEastAsia"/>
              </w:rPr>
              <w:t>2.投标（响应）报价低于通过符合性审查的次低报价供应商投标（响应）报价50%的，即投标（响应）报价＜通过符合性审查的次低报价供应商投标（响应）报价×50%；</w:t>
            </w:r>
          </w:p>
          <w:p w14:paraId="0716306A">
            <w:pPr>
              <w:widowControl/>
              <w:jc w:val="left"/>
              <w:textAlignment w:val="top"/>
              <w:rPr>
                <w:rFonts w:asciiTheme="minorEastAsia" w:hAnsiTheme="minorEastAsia" w:eastAsiaTheme="minorEastAsia"/>
              </w:rPr>
            </w:pPr>
            <w:r>
              <w:rPr>
                <w:rFonts w:hint="eastAsia" w:asciiTheme="minorEastAsia" w:hAnsiTheme="minorEastAsia" w:eastAsiaTheme="minorEastAsia"/>
              </w:rPr>
              <w:t>3.投标（响应）报价低于采购项目最高限价45%的，即投标（响应）报价＜采购项目最高限价×45%</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即折扣率</w:t>
            </w:r>
            <w:r>
              <w:rPr>
                <w:rFonts w:hint="eastAsia" w:asciiTheme="minorEastAsia" w:hAnsiTheme="minorEastAsia" w:eastAsiaTheme="minorEastAsia"/>
              </w:rPr>
              <w:t>＜</w:t>
            </w:r>
            <w:r>
              <w:rPr>
                <w:rFonts w:hint="eastAsia" w:asciiTheme="minorEastAsia" w:hAnsiTheme="minorEastAsia" w:eastAsiaTheme="minorEastAsia"/>
                <w:lang w:val="en-US" w:eastAsia="zh-CN"/>
              </w:rPr>
              <w:t>0.45</w:t>
            </w:r>
            <w:r>
              <w:rPr>
                <w:rFonts w:hint="eastAsia" w:asciiTheme="minorEastAsia" w:hAnsiTheme="minorEastAsia" w:eastAsiaTheme="minorEastAsia"/>
                <w:lang w:eastAsia="zh-CN"/>
              </w:rPr>
              <w:t>）</w:t>
            </w:r>
            <w:r>
              <w:rPr>
                <w:rFonts w:hint="eastAsia" w:asciiTheme="minorEastAsia" w:hAnsiTheme="minorEastAsia" w:eastAsiaTheme="minorEastAsia"/>
              </w:rPr>
              <w:t>；</w:t>
            </w:r>
          </w:p>
          <w:p w14:paraId="09036FEC">
            <w:pPr>
              <w:widowControl/>
              <w:jc w:val="left"/>
              <w:textAlignment w:val="top"/>
              <w:rPr>
                <w:rFonts w:asciiTheme="minorEastAsia" w:hAnsiTheme="minorEastAsia" w:eastAsiaTheme="minorEastAsia"/>
              </w:rPr>
            </w:pPr>
            <w:r>
              <w:rPr>
                <w:rFonts w:hint="eastAsia" w:asciiTheme="minorEastAsia" w:hAnsiTheme="minorEastAsia" w:eastAsiaTheme="minorEastAsia"/>
              </w:rPr>
              <w:t>4.评审委员会基于专业判断，认为供应商报价过低，有可能影响产品质量或者不能诚信履约的其他情形。</w:t>
            </w:r>
          </w:p>
          <w:p w14:paraId="28805705">
            <w:pPr>
              <w:widowControl/>
              <w:jc w:val="left"/>
              <w:textAlignment w:val="top"/>
              <w:rPr>
                <w:rFonts w:asciiTheme="minorEastAsia" w:hAnsiTheme="minorEastAsia" w:eastAsiaTheme="minorEastAsia"/>
              </w:rPr>
            </w:pPr>
            <w:r>
              <w:rPr>
                <w:rFonts w:hint="eastAsia" w:asciiTheme="minorEastAsia" w:hAnsiTheme="minorEastAsia" w:eastAsiaTheme="minorEastAsia"/>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C4BDF77">
            <w:pPr>
              <w:rPr>
                <w:rFonts w:cs="宋体" w:asciiTheme="minorEastAsia" w:hAnsiTheme="minorEastAsia" w:eastAsiaTheme="minorEastAsia"/>
                <w:szCs w:val="21"/>
              </w:rPr>
            </w:pPr>
            <w:r>
              <w:rPr>
                <w:rFonts w:hint="eastAsia" w:asciiTheme="minorEastAsia" w:hAnsiTheme="minorEastAsia" w:eastAsiaTheme="minorEastAsia"/>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4D84C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2B2509">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8278" w:type="dxa"/>
            <w:tcBorders>
              <w:top w:val="single" w:color="000000" w:sz="8" w:space="0"/>
              <w:left w:val="single" w:color="000000" w:sz="8" w:space="0"/>
              <w:bottom w:val="single" w:color="000000" w:sz="8" w:space="0"/>
              <w:right w:val="single" w:color="000000" w:sz="8" w:space="0"/>
            </w:tcBorders>
          </w:tcPr>
          <w:p w14:paraId="1E3F0EC7">
            <w:pPr>
              <w:rPr>
                <w:rFonts w:cs="宋体" w:asciiTheme="minorEastAsia" w:hAnsiTheme="minorEastAsia" w:eastAsiaTheme="minorEastAsia"/>
                <w:szCs w:val="21"/>
              </w:rPr>
            </w:pPr>
            <w:r>
              <w:rPr>
                <w:rFonts w:hint="eastAsia" w:asciiTheme="minorEastAsia" w:hAnsiTheme="minorEastAsia" w:eastAsiaTheme="minorEastAsia"/>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47A18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FC77790">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8278" w:type="dxa"/>
            <w:tcBorders>
              <w:top w:val="single" w:color="000000" w:sz="8" w:space="0"/>
              <w:left w:val="single" w:color="000000" w:sz="8" w:space="0"/>
              <w:bottom w:val="single" w:color="000000" w:sz="8" w:space="0"/>
              <w:right w:val="single" w:color="000000" w:sz="8" w:space="0"/>
            </w:tcBorders>
          </w:tcPr>
          <w:p w14:paraId="5D35EAD1">
            <w:pPr>
              <w:rPr>
                <w:rFonts w:cs="宋体" w:asciiTheme="minorEastAsia" w:hAnsiTheme="minorEastAsia" w:eastAsiaTheme="minorEastAsia"/>
                <w:szCs w:val="21"/>
              </w:rPr>
            </w:pPr>
            <w:r>
              <w:rPr>
                <w:rFonts w:hint="eastAsia" w:asciiTheme="minorEastAsia" w:hAnsiTheme="minorEastAsia" w:eastAsiaTheme="minorEastAsia"/>
              </w:rPr>
              <w:t>未按招标文件所提供的样式填写《投标函》；未按招标文件所提供的《政府采购投标及履约承诺函》进行承诺；未按招标文件对投标文件组成的要求提供投标文件；</w:t>
            </w:r>
          </w:p>
        </w:tc>
      </w:tr>
      <w:tr w14:paraId="53063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AE20BBC">
            <w:pPr>
              <w:jc w:val="center"/>
              <w:rPr>
                <w:rFonts w:cs="宋体" w:asciiTheme="minorEastAsia" w:hAnsiTheme="minorEastAsia" w:eastAsiaTheme="minorEastAsia"/>
                <w:szCs w:val="21"/>
              </w:rPr>
            </w:pPr>
            <w:r>
              <w:rPr>
                <w:rFonts w:asciiTheme="minorEastAsia" w:hAnsiTheme="minorEastAsia" w:eastAsiaTheme="minorEastAsia"/>
                <w:szCs w:val="21"/>
              </w:rPr>
              <w:t>7</w:t>
            </w:r>
          </w:p>
        </w:tc>
        <w:tc>
          <w:tcPr>
            <w:tcW w:w="8278" w:type="dxa"/>
            <w:tcBorders>
              <w:top w:val="single" w:color="000000" w:sz="8" w:space="0"/>
              <w:left w:val="single" w:color="000000" w:sz="8" w:space="0"/>
              <w:bottom w:val="single" w:color="000000" w:sz="8" w:space="0"/>
              <w:right w:val="single" w:color="000000" w:sz="8" w:space="0"/>
            </w:tcBorders>
          </w:tcPr>
          <w:p w14:paraId="3B2957F5">
            <w:pPr>
              <w:rPr>
                <w:rFonts w:cs="宋体" w:asciiTheme="minorEastAsia" w:hAnsiTheme="minorEastAsia" w:eastAsiaTheme="minorEastAsia"/>
                <w:szCs w:val="21"/>
              </w:rPr>
            </w:pPr>
            <w:r>
              <w:rPr>
                <w:rFonts w:hint="eastAsia" w:asciiTheme="minorEastAsia" w:hAnsiTheme="minorEastAsia" w:eastAsiaTheme="minorEastAsia"/>
              </w:rPr>
              <w:t>采购标的/服务清单/报价等任意一类有缺漏项或响应不全，或者对招标文件规定的项目需求内容或者需求数量进行修改</w:t>
            </w:r>
            <w:r>
              <w:rPr>
                <w:rFonts w:hint="eastAsia" w:asciiTheme="minorEastAsia" w:hAnsiTheme="minorEastAsia" w:eastAsiaTheme="minorEastAsia"/>
                <w:szCs w:val="21"/>
              </w:rPr>
              <w:t>，评审委员会判定投标响应不满足采购需求</w:t>
            </w:r>
            <w:r>
              <w:rPr>
                <w:rFonts w:hint="eastAsia" w:asciiTheme="minorEastAsia" w:hAnsiTheme="minorEastAsia" w:eastAsiaTheme="minorEastAsia"/>
              </w:rPr>
              <w:t>；</w:t>
            </w:r>
          </w:p>
        </w:tc>
      </w:tr>
      <w:tr w14:paraId="1A835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F485241">
            <w:pPr>
              <w:jc w:val="center"/>
              <w:rPr>
                <w:rFonts w:cs="宋体" w:asciiTheme="minorEastAsia" w:hAnsiTheme="minorEastAsia" w:eastAsiaTheme="minorEastAsia"/>
                <w:szCs w:val="21"/>
              </w:rPr>
            </w:pPr>
            <w:r>
              <w:rPr>
                <w:rFonts w:asciiTheme="minorEastAsia" w:hAnsiTheme="minorEastAsia" w:eastAsiaTheme="minorEastAsia"/>
                <w:szCs w:val="21"/>
              </w:rPr>
              <w:t>8</w:t>
            </w:r>
          </w:p>
        </w:tc>
        <w:tc>
          <w:tcPr>
            <w:tcW w:w="8278" w:type="dxa"/>
            <w:tcBorders>
              <w:top w:val="single" w:color="000000" w:sz="8" w:space="0"/>
              <w:left w:val="single" w:color="000000" w:sz="8" w:space="0"/>
              <w:bottom w:val="single" w:color="000000" w:sz="8" w:space="0"/>
              <w:right w:val="single" w:color="000000" w:sz="8" w:space="0"/>
            </w:tcBorders>
          </w:tcPr>
          <w:p w14:paraId="71FCF037">
            <w:pPr>
              <w:rPr>
                <w:rFonts w:cs="宋体" w:asciiTheme="minorEastAsia" w:hAnsiTheme="minorEastAsia" w:eastAsiaTheme="minorEastAsia"/>
                <w:szCs w:val="21"/>
              </w:rPr>
            </w:pPr>
            <w:r>
              <w:rPr>
                <w:rFonts w:hint="eastAsia" w:asciiTheme="minorEastAsia" w:hAnsiTheme="minorEastAsia" w:eastAsiaTheme="minorEastAsia"/>
              </w:rPr>
              <w:t>投标文件存在列放位置错误，导致属于信息公开情形的没有被公开；</w:t>
            </w:r>
          </w:p>
        </w:tc>
      </w:tr>
      <w:tr w14:paraId="45469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B699FE7">
            <w:pPr>
              <w:jc w:val="center"/>
              <w:rPr>
                <w:rFonts w:cs="宋体" w:asciiTheme="minorEastAsia" w:hAnsiTheme="minorEastAsia" w:eastAsiaTheme="minorEastAsia"/>
                <w:szCs w:val="21"/>
              </w:rPr>
            </w:pPr>
            <w:r>
              <w:rPr>
                <w:rFonts w:asciiTheme="minorEastAsia" w:hAnsiTheme="minorEastAsia" w:eastAsiaTheme="minorEastAsia"/>
                <w:szCs w:val="21"/>
              </w:rPr>
              <w:t>9</w:t>
            </w:r>
          </w:p>
        </w:tc>
        <w:tc>
          <w:tcPr>
            <w:tcW w:w="8278" w:type="dxa"/>
            <w:tcBorders>
              <w:top w:val="single" w:color="000000" w:sz="8" w:space="0"/>
              <w:left w:val="single" w:color="000000" w:sz="8" w:space="0"/>
              <w:bottom w:val="single" w:color="000000" w:sz="8" w:space="0"/>
              <w:right w:val="single" w:color="000000" w:sz="8" w:space="0"/>
            </w:tcBorders>
          </w:tcPr>
          <w:p w14:paraId="49091E7A">
            <w:pPr>
              <w:rPr>
                <w:rFonts w:cs="宋体" w:asciiTheme="minorEastAsia" w:hAnsiTheme="minorEastAsia" w:eastAsiaTheme="minorEastAsia"/>
                <w:szCs w:val="21"/>
              </w:rPr>
            </w:pPr>
            <w:r>
              <w:rPr>
                <w:rFonts w:hint="eastAsia" w:asciiTheme="minorEastAsia" w:hAnsiTheme="minorEastAsia" w:eastAsiaTheme="minorEastAsia"/>
              </w:rPr>
              <w:t>投标文件电子文档不得带病毒；</w:t>
            </w:r>
          </w:p>
        </w:tc>
      </w:tr>
      <w:tr w14:paraId="195F87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FEB204">
            <w:pPr>
              <w:jc w:val="center"/>
              <w:rPr>
                <w:rFonts w:cs="宋体" w:asciiTheme="minorEastAsia" w:hAnsiTheme="minorEastAsia" w:eastAsiaTheme="minorEastAsia"/>
                <w:szCs w:val="21"/>
              </w:rPr>
            </w:pPr>
            <w:r>
              <w:rPr>
                <w:rFonts w:asciiTheme="minorEastAsia" w:hAnsiTheme="minorEastAsia" w:eastAsiaTheme="minorEastAsia"/>
                <w:szCs w:val="21"/>
              </w:rPr>
              <w:t>10</w:t>
            </w:r>
          </w:p>
        </w:tc>
        <w:tc>
          <w:tcPr>
            <w:tcW w:w="8278" w:type="dxa"/>
            <w:tcBorders>
              <w:top w:val="single" w:color="000000" w:sz="8" w:space="0"/>
              <w:left w:val="single" w:color="000000" w:sz="8" w:space="0"/>
              <w:bottom w:val="single" w:color="000000" w:sz="8" w:space="0"/>
              <w:right w:val="single" w:color="000000" w:sz="8" w:space="0"/>
            </w:tcBorders>
          </w:tcPr>
          <w:p w14:paraId="23DBDD93">
            <w:pPr>
              <w:rPr>
                <w:rFonts w:cs="宋体" w:asciiTheme="minorEastAsia" w:hAnsiTheme="minorEastAsia" w:eastAsiaTheme="minorEastAsia"/>
                <w:szCs w:val="21"/>
              </w:rPr>
            </w:pPr>
            <w:r>
              <w:rPr>
                <w:rFonts w:hint="eastAsia"/>
              </w:rPr>
              <w:t>投标文件不得用不属于本公司的电子密钥或电子营业执照进行加密的；</w:t>
            </w:r>
          </w:p>
        </w:tc>
      </w:tr>
      <w:tr w14:paraId="1AD8E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50920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11</w:t>
            </w:r>
          </w:p>
        </w:tc>
        <w:tc>
          <w:tcPr>
            <w:tcW w:w="8278" w:type="dxa"/>
            <w:tcBorders>
              <w:top w:val="single" w:color="000000" w:sz="8" w:space="0"/>
              <w:left w:val="single" w:color="000000" w:sz="8" w:space="0"/>
              <w:bottom w:val="single" w:color="000000" w:sz="8" w:space="0"/>
              <w:right w:val="single" w:color="000000" w:sz="8" w:space="0"/>
            </w:tcBorders>
          </w:tcPr>
          <w:p w14:paraId="1680852E">
            <w:pPr>
              <w:widowControl/>
              <w:jc w:val="left"/>
              <w:textAlignment w:val="top"/>
              <w:rPr>
                <w:rFonts w:asciiTheme="minorEastAsia" w:hAnsiTheme="minorEastAsia" w:eastAsiaTheme="minorEastAsia"/>
                <w:color w:val="FF0000"/>
              </w:rPr>
            </w:pPr>
            <w:r>
              <w:rPr>
                <w:rFonts w:hint="eastAsia"/>
              </w:rPr>
              <w:t>不得与其他投标供应商投标文件“文件制作机器码”一致；</w:t>
            </w:r>
          </w:p>
        </w:tc>
      </w:tr>
      <w:tr w14:paraId="0BE3D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A2B196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12</w:t>
            </w:r>
          </w:p>
        </w:tc>
        <w:tc>
          <w:tcPr>
            <w:tcW w:w="8278" w:type="dxa"/>
            <w:tcBorders>
              <w:top w:val="single" w:color="000000" w:sz="8" w:space="0"/>
              <w:left w:val="single" w:color="000000" w:sz="8" w:space="0"/>
              <w:bottom w:val="single" w:color="000000" w:sz="8" w:space="0"/>
              <w:right w:val="single" w:color="000000" w:sz="8" w:space="0"/>
            </w:tcBorders>
          </w:tcPr>
          <w:p w14:paraId="5FB34133">
            <w:pPr>
              <w:widowControl/>
              <w:jc w:val="left"/>
              <w:textAlignment w:val="top"/>
              <w:rPr>
                <w:rFonts w:asciiTheme="minorEastAsia" w:hAnsiTheme="minorEastAsia" w:eastAsiaTheme="minorEastAsia"/>
                <w:color w:val="FF0000"/>
              </w:rPr>
            </w:pPr>
            <w:r>
              <w:rPr>
                <w:rFonts w:hint="eastAsia"/>
              </w:rPr>
              <w:t>不得与其他投标供应商投标文件“文件创建标识码”一致；</w:t>
            </w:r>
          </w:p>
        </w:tc>
      </w:tr>
      <w:tr w14:paraId="6B9E5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BA90194">
            <w:pPr>
              <w:jc w:val="center"/>
              <w:rPr>
                <w:rFonts w:cs="宋体"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58E273AD">
            <w:pPr>
              <w:rPr>
                <w:rFonts w:cs="宋体" w:asciiTheme="minorEastAsia" w:hAnsiTheme="minorEastAsia" w:eastAsiaTheme="minorEastAsia"/>
                <w:szCs w:val="21"/>
              </w:rPr>
            </w:pPr>
            <w:r>
              <w:rPr>
                <w:rFonts w:hint="eastAsia" w:asciiTheme="minorEastAsia" w:hAnsiTheme="minorEastAsia" w:eastAsiaTheme="minorEastAsia"/>
              </w:rPr>
              <w:t>法律、法规、规章、规范性文件规定的其他情形。</w:t>
            </w:r>
          </w:p>
        </w:tc>
      </w:tr>
      <w:tr w14:paraId="3284D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A4A4A40">
            <w:pPr>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14</w:t>
            </w:r>
          </w:p>
        </w:tc>
        <w:tc>
          <w:tcPr>
            <w:tcW w:w="8278" w:type="dxa"/>
            <w:tcBorders>
              <w:top w:val="single" w:color="000000" w:sz="8" w:space="0"/>
              <w:left w:val="single" w:color="000000" w:sz="8" w:space="0"/>
              <w:bottom w:val="single" w:color="000000" w:sz="8" w:space="0"/>
              <w:right w:val="single" w:color="000000" w:sz="8" w:space="0"/>
            </w:tcBorders>
          </w:tcPr>
          <w:p w14:paraId="7FA40AEE">
            <w:pPr>
              <w:rPr>
                <w:rFonts w:hint="eastAsia" w:asciiTheme="minorEastAsia" w:hAnsiTheme="minorEastAsia" w:eastAsiaTheme="minorEastAsia"/>
              </w:rPr>
            </w:pPr>
            <w:r>
              <w:rPr>
                <w:rFonts w:hint="eastAsia" w:asciiTheme="minorEastAsia" w:hAnsiTheme="minorEastAsia" w:eastAsiaTheme="minorEastAsia"/>
                <w:b/>
                <w:bCs/>
                <w:color w:val="FF0000"/>
              </w:rPr>
              <w:t>不符合本项目采购文件约定的“</w:t>
            </w:r>
            <w:r>
              <w:rPr>
                <w:rFonts w:hint="eastAsia" w:asciiTheme="minorEastAsia" w:hAnsiTheme="minorEastAsia" w:eastAsiaTheme="minorEastAsia"/>
                <w:b/>
                <w:bCs/>
                <w:color w:val="FF0000"/>
                <w:lang w:val="en-US" w:eastAsia="zh-CN"/>
              </w:rPr>
              <w:t>第二章 对通用条款的补充内容及其他关键信息/二、其他关键信息/（五）</w:t>
            </w:r>
            <w:r>
              <w:rPr>
                <w:rFonts w:hint="eastAsia" w:asciiTheme="minorEastAsia" w:hAnsiTheme="minorEastAsia" w:eastAsiaTheme="minorEastAsia"/>
                <w:b/>
                <w:bCs/>
                <w:color w:val="FF0000"/>
              </w:rPr>
              <w:t>中标原则”要求。</w:t>
            </w:r>
          </w:p>
        </w:tc>
      </w:tr>
    </w:tbl>
    <w:p w14:paraId="45F931E6">
      <w:pPr>
        <w:pStyle w:val="2"/>
      </w:pPr>
    </w:p>
    <w:p w14:paraId="24965C85">
      <w:pPr>
        <w:pStyle w:val="38"/>
        <w:jc w:val="center"/>
        <w:outlineLvl w:val="1"/>
        <w:rPr>
          <w:rFonts w:ascii="黑体" w:hAnsi="黑体" w:eastAsia="黑体"/>
          <w:sz w:val="40"/>
          <w:szCs w:val="40"/>
        </w:rPr>
      </w:pPr>
      <w:r>
        <w:rPr>
          <w:rFonts w:hint="eastAsia" w:ascii="黑体" w:hAnsi="黑体" w:eastAsia="黑体"/>
          <w:sz w:val="40"/>
          <w:szCs w:val="40"/>
        </w:rPr>
        <w:t>评标信息</w:t>
      </w:r>
    </w:p>
    <w:tbl>
      <w:tblPr>
        <w:tblStyle w:val="43"/>
        <w:tblW w:w="9113"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8873"/>
        <w:gridCol w:w="240"/>
      </w:tblGrid>
      <w:tr w14:paraId="56462D4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8873" w:type="dxa"/>
            <w:shd w:val="clear" w:color="auto" w:fill="auto"/>
            <w:vAlign w:val="center"/>
          </w:tcPr>
          <w:p w14:paraId="4A468F1A">
            <w:pPr>
              <w:widowControl/>
              <w:jc w:val="left"/>
              <w:rPr>
                <w:b/>
                <w:bCs/>
                <w:sz w:val="24"/>
              </w:rPr>
            </w:pPr>
            <w:r>
              <w:rPr>
                <w:b/>
                <w:bCs/>
              </w:rPr>
              <w:t>评标方法：综合评分法</w:t>
            </w:r>
          </w:p>
        </w:tc>
        <w:tc>
          <w:tcPr>
            <w:tcW w:w="240" w:type="dxa"/>
            <w:shd w:val="clear" w:color="auto" w:fill="auto"/>
            <w:vAlign w:val="center"/>
          </w:tcPr>
          <w:p w14:paraId="08411C16">
            <w:pPr>
              <w:jc w:val="right"/>
              <w:rPr>
                <w:rFonts w:ascii="宋体"/>
                <w:b/>
                <w:bCs/>
                <w:sz w:val="24"/>
              </w:rPr>
            </w:pPr>
          </w:p>
        </w:tc>
      </w:tr>
      <w:tr w14:paraId="4268926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113" w:type="dxa"/>
            <w:gridSpan w:val="2"/>
            <w:shd w:val="clear" w:color="auto" w:fill="auto"/>
            <w:vAlign w:val="center"/>
          </w:tcPr>
          <w:p w14:paraId="46234E73">
            <w:pPr>
              <w:ind w:firstLine="420"/>
              <w:rPr>
                <w:szCs w:val="21"/>
              </w:rPr>
            </w:pPr>
            <w:r>
              <w:rPr>
                <w:szCs w:val="21"/>
              </w:rPr>
              <w:sym w:font="Wingdings" w:char="00FE"/>
            </w:r>
            <w:r>
              <w:rPr>
                <w:szCs w:val="21"/>
              </w:rPr>
              <w:t>综合评分法，是指投标文件满足招标文件全部实质性要求，且按照评审因素的量化指标评审得分最高的投标人为中标候选人的评标方法。</w:t>
            </w:r>
            <w:r>
              <w:rPr>
                <w:rFonts w:hint="eastAsia"/>
                <w:szCs w:val="21"/>
              </w:rPr>
              <w:t>（适用于中标候选人为1家的情形）</w:t>
            </w:r>
          </w:p>
          <w:p w14:paraId="69B567BE">
            <w:pPr>
              <w:ind w:firstLine="420"/>
              <w:rPr>
                <w:szCs w:val="21"/>
              </w:rPr>
            </w:pPr>
            <w:r>
              <w:rPr>
                <w:szCs w:val="21"/>
              </w:rPr>
              <w:t>综合评分法，是指</w:t>
            </w:r>
            <w:r>
              <w:rPr>
                <w:rFonts w:hint="eastAsia"/>
                <w:kern w:val="0"/>
                <w:szCs w:val="21"/>
              </w:rPr>
              <w:t>投标文件满足招标文件全部实质性要求</w:t>
            </w:r>
            <w:r>
              <w:rPr>
                <w:szCs w:val="21"/>
              </w:rPr>
              <w:t>，且按照</w:t>
            </w:r>
            <w:r>
              <w:rPr>
                <w:rFonts w:hint="eastAsia"/>
                <w:szCs w:val="21"/>
              </w:rPr>
              <w:t>招标文件规定的各项因素进行综合评审，评标总得分排名前列</w:t>
            </w:r>
            <w:r>
              <w:rPr>
                <w:szCs w:val="21"/>
              </w:rPr>
              <w:t>的投标人为中标候选人的评标方法。</w:t>
            </w:r>
            <w:r>
              <w:rPr>
                <w:rFonts w:hint="eastAsia"/>
                <w:szCs w:val="21"/>
              </w:rPr>
              <w:t>（适用于中标候选人为2家或以上的情形）</w:t>
            </w:r>
          </w:p>
          <w:p w14:paraId="66EC7A25">
            <w:pPr>
              <w:ind w:firstLine="420"/>
              <w:rPr>
                <w:szCs w:val="21"/>
              </w:rPr>
            </w:pPr>
          </w:p>
          <w:p w14:paraId="75E1111E">
            <w:pPr>
              <w:ind w:firstLine="420"/>
              <w:rPr>
                <w:szCs w:val="21"/>
              </w:rPr>
            </w:pPr>
            <w:r>
              <w:rPr>
                <w:szCs w:val="21"/>
              </w:rPr>
              <w:t>价格分计算方法：</w:t>
            </w:r>
          </w:p>
          <w:p w14:paraId="5708E4B2">
            <w:pPr>
              <w:widowControl/>
              <w:ind w:left="420"/>
              <w:jc w:val="left"/>
              <w:rPr>
                <w:szCs w:val="21"/>
              </w:rPr>
            </w:pPr>
            <w:r>
              <w:rPr>
                <w:szCs w:val="21"/>
              </w:rPr>
              <w:t xml:space="preserve">采用低价优先法计算，即满足招标文件要求且投标价格最低的投标报价为评标基准价，其价格分为满分。其他投标人的价格分统一按照下列公式计算： </w:t>
            </w:r>
          </w:p>
          <w:p w14:paraId="65219231">
            <w:pPr>
              <w:widowControl/>
              <w:ind w:left="420"/>
              <w:jc w:val="left"/>
              <w:rPr>
                <w:szCs w:val="21"/>
              </w:rPr>
            </w:pPr>
            <w:r>
              <w:rPr>
                <w:szCs w:val="21"/>
              </w:rPr>
              <w:t xml:space="preserve">投标报价得分=(评标基准价／投标报价)×100 </w:t>
            </w:r>
          </w:p>
          <w:p w14:paraId="62A20F12">
            <w:pPr>
              <w:widowControl/>
              <w:ind w:left="420"/>
              <w:jc w:val="left"/>
              <w:rPr>
                <w:szCs w:val="21"/>
              </w:rPr>
            </w:pPr>
            <w:r>
              <w:rPr>
                <w:szCs w:val="21"/>
              </w:rPr>
              <w:t xml:space="preserve">评标总得分＝F1×A1＋F2×A2＋……＋Fn×An </w:t>
            </w:r>
          </w:p>
          <w:p w14:paraId="5E83A706">
            <w:pPr>
              <w:widowControl/>
              <w:ind w:left="420"/>
              <w:jc w:val="left"/>
              <w:rPr>
                <w:szCs w:val="21"/>
              </w:rPr>
            </w:pPr>
            <w:r>
              <w:rPr>
                <w:szCs w:val="21"/>
              </w:rPr>
              <w:t xml:space="preserve">F1、F2……Fn分别为各项评审因素的得分； </w:t>
            </w:r>
          </w:p>
          <w:p w14:paraId="6BA56207">
            <w:pPr>
              <w:widowControl/>
              <w:ind w:left="420"/>
              <w:jc w:val="left"/>
              <w:rPr>
                <w:szCs w:val="21"/>
              </w:rPr>
            </w:pPr>
            <w:r>
              <w:rPr>
                <w:szCs w:val="21"/>
              </w:rPr>
              <w:t xml:space="preserve">A1、A2、……An 分别为各项评审因素所占的权重(A1＋A2＋……＋An＝1)。 </w:t>
            </w:r>
          </w:p>
          <w:p w14:paraId="46BC27EE">
            <w:pPr>
              <w:widowControl/>
              <w:ind w:left="420"/>
              <w:jc w:val="left"/>
              <w:rPr>
                <w:szCs w:val="21"/>
              </w:rPr>
            </w:pPr>
            <w:r>
              <w:rPr>
                <w:szCs w:val="21"/>
              </w:rPr>
              <w:t>评标过程中，不得去掉报价中的最高报价和最低报价。</w:t>
            </w:r>
          </w:p>
          <w:p w14:paraId="799B64D8">
            <w:pPr>
              <w:widowControl/>
              <w:ind w:left="420"/>
              <w:jc w:val="left"/>
              <w:rPr>
                <w:szCs w:val="21"/>
              </w:rPr>
            </w:pPr>
            <w:r>
              <w:rPr>
                <w:rFonts w:hint="eastAsia"/>
                <w:szCs w:val="21"/>
              </w:rPr>
              <w:t>因落实政府采购政策进行价格调整的，以调整后的价格计算评标基准价和投标报价。</w:t>
            </w:r>
          </w:p>
          <w:p w14:paraId="47D2BB2C">
            <w:pPr>
              <w:pStyle w:val="2"/>
            </w:pPr>
          </w:p>
          <w:p w14:paraId="59FFD249">
            <w:pPr>
              <w:pStyle w:val="2"/>
            </w:pPr>
            <w:r>
              <w:rPr>
                <w:rFonts w:hint="eastAsia"/>
              </w:rPr>
              <w:t>注：投标人的“技术规格响应情况”“技术规格偏离情况”等必须与客观实际保持一致，响应不实且情节严重的，经查实，将依法记入供应商诚信档案或受到行政处罚。</w:t>
            </w:r>
          </w:p>
        </w:tc>
      </w:tr>
    </w:tbl>
    <w:p w14:paraId="71063585">
      <w:pPr>
        <w:pStyle w:val="2"/>
      </w:pPr>
    </w:p>
    <w:tbl>
      <w:tblPr>
        <w:tblStyle w:val="43"/>
        <w:tblW w:w="920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676"/>
        <w:gridCol w:w="675"/>
        <w:gridCol w:w="1392"/>
        <w:gridCol w:w="1005"/>
        <w:gridCol w:w="5455"/>
      </w:tblGrid>
      <w:tr w14:paraId="18D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676" w:type="dxa"/>
            <w:shd w:val="clear" w:color="auto" w:fill="E6EFFA"/>
            <w:vAlign w:val="center"/>
          </w:tcPr>
          <w:p w14:paraId="231A7A7F">
            <w:pPr>
              <w:jc w:val="center"/>
              <w:rPr>
                <w:rFonts w:cs="宋体" w:asciiTheme="minorEastAsia" w:hAnsiTheme="minorEastAsia" w:eastAsiaTheme="minorEastAsia"/>
                <w:b/>
                <w:bCs/>
                <w:sz w:val="24"/>
              </w:rPr>
            </w:pPr>
            <w:r>
              <w:rPr>
                <w:rFonts w:asciiTheme="minorEastAsia" w:hAnsiTheme="minorEastAsia" w:eastAsiaTheme="minorEastAsia"/>
                <w:b/>
                <w:bCs/>
              </w:rPr>
              <w:t>序号</w:t>
            </w:r>
          </w:p>
        </w:tc>
        <w:tc>
          <w:tcPr>
            <w:tcW w:w="3072" w:type="dxa"/>
            <w:gridSpan w:val="3"/>
            <w:shd w:val="clear" w:color="auto" w:fill="E6EFFA"/>
            <w:vAlign w:val="center"/>
          </w:tcPr>
          <w:p w14:paraId="01DC7115">
            <w:pPr>
              <w:jc w:val="center"/>
              <w:rPr>
                <w:rFonts w:cs="宋体" w:asciiTheme="minorEastAsia" w:hAnsiTheme="minorEastAsia" w:eastAsiaTheme="minorEastAsia"/>
                <w:b/>
                <w:bCs/>
                <w:sz w:val="24"/>
              </w:rPr>
            </w:pPr>
            <w:r>
              <w:rPr>
                <w:rFonts w:asciiTheme="minorEastAsia" w:hAnsiTheme="minorEastAsia" w:eastAsiaTheme="minorEastAsia"/>
                <w:b/>
                <w:bCs/>
              </w:rPr>
              <w:t>评分项</w:t>
            </w:r>
          </w:p>
        </w:tc>
        <w:tc>
          <w:tcPr>
            <w:tcW w:w="5455" w:type="dxa"/>
            <w:shd w:val="clear" w:color="auto" w:fill="E6EFFA"/>
            <w:vAlign w:val="center"/>
          </w:tcPr>
          <w:p w14:paraId="12C3007E">
            <w:pPr>
              <w:jc w:val="center"/>
              <w:rPr>
                <w:rFonts w:cs="宋体" w:asciiTheme="minorEastAsia" w:hAnsiTheme="minorEastAsia" w:eastAsiaTheme="minorEastAsia"/>
                <w:b/>
                <w:bCs/>
                <w:sz w:val="24"/>
              </w:rPr>
            </w:pPr>
            <w:r>
              <w:rPr>
                <w:rFonts w:asciiTheme="minorEastAsia" w:hAnsiTheme="minorEastAsia" w:eastAsiaTheme="minorEastAsia"/>
                <w:b/>
                <w:bCs/>
              </w:rPr>
              <w:t>权重(%)</w:t>
            </w:r>
          </w:p>
        </w:tc>
      </w:tr>
      <w:tr w14:paraId="1185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579E4D1D">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1</w:t>
            </w:r>
          </w:p>
        </w:tc>
        <w:tc>
          <w:tcPr>
            <w:tcW w:w="3072" w:type="dxa"/>
            <w:gridSpan w:val="3"/>
          </w:tcPr>
          <w:p w14:paraId="0BE4C374">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价格</w:t>
            </w:r>
          </w:p>
        </w:tc>
        <w:tc>
          <w:tcPr>
            <w:tcW w:w="5455" w:type="dxa"/>
          </w:tcPr>
          <w:p w14:paraId="13C29A61">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1</w:t>
            </w:r>
            <w:r>
              <w:rPr>
                <w:rFonts w:asciiTheme="minorEastAsia" w:hAnsiTheme="minorEastAsia" w:eastAsiaTheme="minorEastAsia"/>
                <w:b/>
                <w:bCs/>
                <w:color w:val="0000FF"/>
              </w:rPr>
              <w:t>0</w:t>
            </w:r>
          </w:p>
        </w:tc>
      </w:tr>
      <w:tr w14:paraId="0111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8CA8E87">
            <w:pPr>
              <w:rPr>
                <w:rFonts w:cs="宋体" w:asciiTheme="minorEastAsia" w:hAnsiTheme="minorEastAsia" w:eastAsiaTheme="minorEastAsia"/>
                <w:b/>
                <w:bCs/>
                <w:color w:val="0000FF"/>
                <w:sz w:val="24"/>
              </w:rPr>
            </w:pPr>
          </w:p>
        </w:tc>
        <w:tc>
          <w:tcPr>
            <w:tcW w:w="8527" w:type="dxa"/>
            <w:gridSpan w:val="4"/>
          </w:tcPr>
          <w:p w14:paraId="551D5299">
            <w:pPr>
              <w:rPr>
                <w:rFonts w:cs="宋体" w:asciiTheme="minorEastAsia" w:hAnsiTheme="minorEastAsia" w:eastAsiaTheme="minorEastAsia"/>
                <w:szCs w:val="21"/>
              </w:rPr>
            </w:pPr>
          </w:p>
        </w:tc>
      </w:tr>
      <w:tr w14:paraId="02F5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161C8A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2</w:t>
            </w:r>
          </w:p>
        </w:tc>
        <w:tc>
          <w:tcPr>
            <w:tcW w:w="3072" w:type="dxa"/>
            <w:gridSpan w:val="3"/>
          </w:tcPr>
          <w:p w14:paraId="65AE3A86">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技术</w:t>
            </w:r>
            <w:r>
              <w:rPr>
                <w:rFonts w:hint="eastAsia" w:asciiTheme="minorEastAsia" w:hAnsiTheme="minorEastAsia" w:eastAsiaTheme="minorEastAsia"/>
                <w:b/>
                <w:bCs/>
                <w:color w:val="0000FF"/>
              </w:rPr>
              <w:t>部分</w:t>
            </w:r>
          </w:p>
        </w:tc>
        <w:tc>
          <w:tcPr>
            <w:tcW w:w="5455" w:type="dxa"/>
          </w:tcPr>
          <w:p w14:paraId="3122201D">
            <w:pPr>
              <w:jc w:val="center"/>
              <w:rPr>
                <w:rFonts w:hint="default" w:cs="宋体" w:asciiTheme="minorEastAsia" w:hAnsiTheme="minorEastAsia" w:eastAsiaTheme="minorEastAsia"/>
                <w:b/>
                <w:bCs/>
                <w:color w:val="0000FF"/>
                <w:sz w:val="24"/>
                <w:lang w:val="en-US" w:eastAsia="zh-CN"/>
              </w:rPr>
            </w:pPr>
            <w:r>
              <w:rPr>
                <w:rFonts w:hint="eastAsia" w:asciiTheme="minorEastAsia" w:hAnsiTheme="minorEastAsia" w:eastAsiaTheme="minorEastAsia"/>
                <w:b/>
                <w:bCs/>
                <w:color w:val="0000FF"/>
                <w:lang w:val="en-US" w:eastAsia="zh-CN"/>
              </w:rPr>
              <w:t>67</w:t>
            </w:r>
          </w:p>
        </w:tc>
      </w:tr>
      <w:tr w14:paraId="3B95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1CC350A">
            <w:pPr>
              <w:rPr>
                <w:rFonts w:cs="宋体" w:asciiTheme="minorEastAsia" w:hAnsiTheme="minorEastAsia" w:eastAsiaTheme="minorEastAsia"/>
                <w:b/>
                <w:bCs/>
                <w:color w:val="0000FF"/>
                <w:sz w:val="24"/>
              </w:rPr>
            </w:pPr>
          </w:p>
        </w:tc>
        <w:tc>
          <w:tcPr>
            <w:tcW w:w="8527" w:type="dxa"/>
            <w:gridSpan w:val="4"/>
          </w:tcPr>
          <w:p w14:paraId="4B373919">
            <w:pPr>
              <w:rPr>
                <w:rFonts w:cs="宋体" w:asciiTheme="minorEastAsia" w:hAnsiTheme="minorEastAsia" w:eastAsiaTheme="minorEastAsia"/>
                <w:szCs w:val="21"/>
              </w:rPr>
            </w:pPr>
          </w:p>
        </w:tc>
      </w:tr>
      <w:tr w14:paraId="0D7A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09CA0768">
            <w:pPr>
              <w:rPr>
                <w:rFonts w:cs="宋体" w:asciiTheme="minorEastAsia" w:hAnsiTheme="minorEastAsia" w:eastAsiaTheme="minorEastAsia"/>
                <w:b/>
                <w:bCs/>
                <w:color w:val="0000FF"/>
                <w:sz w:val="24"/>
              </w:rPr>
            </w:pPr>
          </w:p>
        </w:tc>
        <w:tc>
          <w:tcPr>
            <w:tcW w:w="675" w:type="dxa"/>
            <w:shd w:val="clear" w:color="auto" w:fill="E6EFFA"/>
            <w:vAlign w:val="center"/>
          </w:tcPr>
          <w:p w14:paraId="40DE959C">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7FF77297">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2FF401C4">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62A297">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4FD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599379D">
            <w:pPr>
              <w:rPr>
                <w:rFonts w:cs="宋体" w:asciiTheme="minorEastAsia" w:hAnsiTheme="minorEastAsia" w:eastAsiaTheme="minorEastAsia"/>
                <w:b/>
                <w:bCs/>
                <w:color w:val="0000FF"/>
                <w:sz w:val="24"/>
              </w:rPr>
            </w:pPr>
          </w:p>
        </w:tc>
        <w:tc>
          <w:tcPr>
            <w:tcW w:w="675" w:type="dxa"/>
            <w:vAlign w:val="center"/>
          </w:tcPr>
          <w:p w14:paraId="4595BDC1">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29DDF4A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实施方案</w:t>
            </w:r>
          </w:p>
        </w:tc>
        <w:tc>
          <w:tcPr>
            <w:tcW w:w="1005" w:type="dxa"/>
            <w:vAlign w:val="center"/>
          </w:tcPr>
          <w:p w14:paraId="7F15345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p>
        </w:tc>
        <w:tc>
          <w:tcPr>
            <w:tcW w:w="5455" w:type="dxa"/>
            <w:vAlign w:val="top"/>
          </w:tcPr>
          <w:p w14:paraId="73FC8B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CD3732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考察投标人根据本项目需求提供的实施方案，包含以下内容：</w:t>
            </w:r>
          </w:p>
          <w:p w14:paraId="60AEBE2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（1）服务要求总体响应方案； </w:t>
            </w:r>
          </w:p>
          <w:p w14:paraId="096CCE0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（2）实施</w:t>
            </w:r>
            <w:r>
              <w:rPr>
                <w:rFonts w:hint="eastAsia" w:ascii="宋体" w:hAnsi="宋体" w:cs="宋体"/>
                <w:color w:val="auto"/>
                <w:sz w:val="21"/>
                <w:szCs w:val="21"/>
                <w:highlight w:val="none"/>
                <w:lang w:val="en-US" w:eastAsia="zh-CN"/>
              </w:rPr>
              <w:t>流程</w:t>
            </w:r>
            <w:r>
              <w:rPr>
                <w:rFonts w:hint="eastAsia" w:ascii="宋体" w:hAnsi="宋体" w:eastAsia="宋体" w:cs="宋体"/>
                <w:color w:val="auto"/>
                <w:sz w:val="21"/>
                <w:szCs w:val="21"/>
                <w:highlight w:val="none"/>
              </w:rPr>
              <w:t xml:space="preserve">方案； </w:t>
            </w:r>
          </w:p>
          <w:p w14:paraId="057BB06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服务过程资料归档</w:t>
            </w:r>
            <w:r>
              <w:rPr>
                <w:rFonts w:hint="eastAsia" w:ascii="宋体" w:hAnsi="宋体" w:eastAsia="宋体" w:cs="宋体"/>
                <w:color w:val="auto"/>
                <w:sz w:val="21"/>
                <w:szCs w:val="21"/>
                <w:highlight w:val="none"/>
              </w:rPr>
              <w:t>方案。</w:t>
            </w:r>
          </w:p>
          <w:p w14:paraId="4D4043A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556B6A5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1053035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0A665C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8249A2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71FCE94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7FCB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0EB3D66">
            <w:pPr>
              <w:rPr>
                <w:rFonts w:cs="宋体" w:asciiTheme="minorEastAsia" w:hAnsiTheme="minorEastAsia" w:eastAsiaTheme="minorEastAsia"/>
                <w:b/>
                <w:bCs/>
                <w:color w:val="0000FF"/>
                <w:sz w:val="24"/>
              </w:rPr>
            </w:pPr>
          </w:p>
        </w:tc>
        <w:tc>
          <w:tcPr>
            <w:tcW w:w="675" w:type="dxa"/>
            <w:vAlign w:val="center"/>
          </w:tcPr>
          <w:p w14:paraId="7ABFADD7">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392" w:type="dxa"/>
            <w:vAlign w:val="center"/>
          </w:tcPr>
          <w:p w14:paraId="0A25B4B2">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安全培训措施</w:t>
            </w:r>
          </w:p>
        </w:tc>
        <w:tc>
          <w:tcPr>
            <w:tcW w:w="1005" w:type="dxa"/>
            <w:vAlign w:val="center"/>
          </w:tcPr>
          <w:p w14:paraId="7B3A8776">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kern w:val="0"/>
                <w:sz w:val="21"/>
                <w:szCs w:val="21"/>
                <w:highlight w:val="none"/>
              </w:rPr>
              <w:t>5</w:t>
            </w:r>
          </w:p>
        </w:tc>
        <w:tc>
          <w:tcPr>
            <w:tcW w:w="5455" w:type="dxa"/>
            <w:vAlign w:val="top"/>
          </w:tcPr>
          <w:p w14:paraId="4D367E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72F9BE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投标人承诺对</w:t>
            </w:r>
            <w:r>
              <w:rPr>
                <w:rFonts w:hint="eastAsia" w:ascii="宋体" w:hAnsi="宋体" w:eastAsia="宋体" w:cs="宋体"/>
                <w:color w:val="auto"/>
                <w:sz w:val="21"/>
                <w:szCs w:val="21"/>
                <w:highlight w:val="none"/>
                <w:lang w:eastAsia="zh-CN"/>
              </w:rPr>
              <w:t>项目从业人员</w:t>
            </w:r>
            <w:r>
              <w:rPr>
                <w:rFonts w:hint="eastAsia" w:ascii="宋体" w:hAnsi="宋体" w:eastAsia="宋体" w:cs="宋体"/>
                <w:color w:val="auto"/>
                <w:sz w:val="21"/>
                <w:szCs w:val="21"/>
                <w:highlight w:val="none"/>
              </w:rPr>
              <w:t>进行安全培训并</w:t>
            </w:r>
            <w:r>
              <w:rPr>
                <w:rFonts w:hint="eastAsia" w:ascii="宋体" w:hAnsi="宋体" w:eastAsia="宋体" w:cs="宋体"/>
                <w:color w:val="auto"/>
                <w:sz w:val="21"/>
                <w:szCs w:val="21"/>
                <w:highlight w:val="none"/>
                <w:lang w:eastAsia="zh-CN"/>
              </w:rPr>
              <w:t>做好</w:t>
            </w:r>
            <w:r>
              <w:rPr>
                <w:rFonts w:hint="eastAsia" w:ascii="宋体" w:hAnsi="宋体" w:eastAsia="宋体" w:cs="宋体"/>
                <w:color w:val="auto"/>
                <w:sz w:val="21"/>
                <w:szCs w:val="21"/>
                <w:highlight w:val="none"/>
              </w:rPr>
              <w:t>安全培训记录</w:t>
            </w:r>
            <w:r>
              <w:rPr>
                <w:rFonts w:hint="eastAsia" w:ascii="宋体" w:hAnsi="宋体" w:eastAsia="宋体" w:cs="宋体"/>
                <w:color w:val="auto"/>
                <w:sz w:val="21"/>
                <w:szCs w:val="21"/>
                <w:highlight w:val="none"/>
                <w:lang w:eastAsia="zh-CN"/>
              </w:rPr>
              <w:t>备查</w:t>
            </w:r>
            <w:r>
              <w:rPr>
                <w:rFonts w:hint="eastAsia" w:ascii="宋体" w:hAnsi="宋体" w:eastAsia="宋体" w:cs="宋体"/>
                <w:color w:val="auto"/>
                <w:sz w:val="21"/>
                <w:szCs w:val="21"/>
                <w:highlight w:val="none"/>
              </w:rPr>
              <w:t>（记录要有培训内容、培训时间、参训人员等）</w:t>
            </w:r>
            <w:r>
              <w:rPr>
                <w:rFonts w:hint="eastAsia" w:ascii="宋体" w:hAnsi="宋体" w:cs="宋体"/>
                <w:color w:val="auto"/>
                <w:sz w:val="21"/>
                <w:szCs w:val="21"/>
                <w:highlight w:val="none"/>
                <w:lang w:eastAsia="zh-CN"/>
              </w:rPr>
              <w:t>：</w:t>
            </w:r>
          </w:p>
          <w:p w14:paraId="1A4603A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（1）承诺</w:t>
            </w:r>
            <w:r>
              <w:rPr>
                <w:rFonts w:hint="eastAsia" w:ascii="宋体" w:hAnsi="宋体" w:eastAsia="宋体" w:cs="宋体"/>
                <w:color w:val="auto"/>
                <w:sz w:val="21"/>
                <w:szCs w:val="21"/>
                <w:highlight w:val="none"/>
                <w:lang w:eastAsia="zh-CN"/>
              </w:rPr>
              <w:t>每</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并留存记录，得</w:t>
            </w:r>
            <w:r>
              <w:rPr>
                <w:rFonts w:hint="eastAsia" w:ascii="宋体" w:hAnsi="宋体" w:eastAsia="宋体" w:cs="宋体"/>
                <w:color w:val="auto"/>
                <w:sz w:val="21"/>
                <w:szCs w:val="21"/>
                <w:highlight w:val="none"/>
                <w:lang w:val="en-US" w:eastAsia="zh-CN"/>
              </w:rPr>
              <w:t>40分</w:t>
            </w:r>
            <w:r>
              <w:rPr>
                <w:rFonts w:hint="eastAsia" w:ascii="宋体" w:hAnsi="宋体" w:eastAsia="宋体" w:cs="宋体"/>
                <w:color w:val="auto"/>
                <w:sz w:val="21"/>
                <w:szCs w:val="21"/>
                <w:highlight w:val="none"/>
              </w:rPr>
              <w:t>；</w:t>
            </w:r>
          </w:p>
          <w:p w14:paraId="0A0707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在承诺每月开展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并留存记录的基础上，承诺每月开展</w:t>
            </w:r>
            <w:r>
              <w:rPr>
                <w:rFonts w:hint="eastAsia" w:ascii="宋体" w:hAnsi="宋体" w:eastAsia="宋体" w:cs="宋体"/>
                <w:color w:val="auto"/>
                <w:sz w:val="21"/>
                <w:szCs w:val="21"/>
                <w:highlight w:val="none"/>
                <w:lang w:val="en-US" w:eastAsia="zh-CN"/>
              </w:rPr>
              <w:t>2次（包含2次）以上</w:t>
            </w:r>
            <w:r>
              <w:rPr>
                <w:rFonts w:hint="eastAsia" w:ascii="宋体" w:hAnsi="宋体" w:eastAsia="宋体" w:cs="宋体"/>
                <w:color w:val="auto"/>
                <w:sz w:val="21"/>
                <w:szCs w:val="21"/>
                <w:highlight w:val="none"/>
                <w:lang w:eastAsia="zh-CN"/>
              </w:rPr>
              <w:t>安全培训并留存记录的，加</w:t>
            </w:r>
            <w:r>
              <w:rPr>
                <w:rFonts w:hint="eastAsia" w:ascii="宋体" w:hAnsi="宋体" w:eastAsia="宋体" w:cs="宋体"/>
                <w:color w:val="auto"/>
                <w:sz w:val="21"/>
                <w:szCs w:val="21"/>
                <w:highlight w:val="none"/>
                <w:lang w:val="en-US" w:eastAsia="zh-CN"/>
              </w:rPr>
              <w:t>60分；</w:t>
            </w:r>
          </w:p>
          <w:p w14:paraId="3730EC6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（3）无承诺不得分。</w:t>
            </w:r>
          </w:p>
          <w:p w14:paraId="0CD58F1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（二）评分标准：</w:t>
            </w:r>
          </w:p>
          <w:p w14:paraId="6BC09BA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提供《安全培训措施承诺函》（格式自定）作为得分依据，未提供承诺或承诺内容不满足要求不得分。</w:t>
            </w:r>
          </w:p>
        </w:tc>
      </w:tr>
      <w:tr w14:paraId="3204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1D82129F">
            <w:pPr>
              <w:rPr>
                <w:rFonts w:cs="宋体" w:asciiTheme="minorEastAsia" w:hAnsiTheme="minorEastAsia" w:eastAsiaTheme="minorEastAsia"/>
                <w:b/>
                <w:bCs/>
                <w:color w:val="0000FF"/>
                <w:sz w:val="24"/>
              </w:rPr>
            </w:pPr>
          </w:p>
        </w:tc>
        <w:tc>
          <w:tcPr>
            <w:tcW w:w="675" w:type="dxa"/>
            <w:vAlign w:val="center"/>
          </w:tcPr>
          <w:p w14:paraId="36E29EF3">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392" w:type="dxa"/>
            <w:vAlign w:val="center"/>
          </w:tcPr>
          <w:p w14:paraId="457665F8">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质量保障措施及方案</w:t>
            </w:r>
          </w:p>
        </w:tc>
        <w:tc>
          <w:tcPr>
            <w:tcW w:w="1005" w:type="dxa"/>
            <w:vAlign w:val="center"/>
          </w:tcPr>
          <w:p w14:paraId="6E21DD55">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12</w:t>
            </w:r>
          </w:p>
        </w:tc>
        <w:tc>
          <w:tcPr>
            <w:tcW w:w="5455" w:type="dxa"/>
            <w:vAlign w:val="top"/>
          </w:tcPr>
          <w:p w14:paraId="5FB51F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C3B45A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考察投标人根据本项目需求提供的质量保障措施及方案，包含以下内容：</w:t>
            </w:r>
          </w:p>
          <w:p w14:paraId="7DB943C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（1）人事管理制度； </w:t>
            </w:r>
          </w:p>
          <w:p w14:paraId="0ED382F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（2）车辆管理制度； </w:t>
            </w:r>
          </w:p>
          <w:p w14:paraId="7E4A759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（3）临时性、阶段性工作及突发事件预案。</w:t>
            </w:r>
          </w:p>
          <w:p w14:paraId="4F840D8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784111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75B31C5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447BB85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9D450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4084F263">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38B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5984F4B">
            <w:pPr>
              <w:rPr>
                <w:rFonts w:cs="宋体" w:asciiTheme="minorEastAsia" w:hAnsiTheme="minorEastAsia" w:eastAsiaTheme="minorEastAsia"/>
                <w:b/>
                <w:bCs/>
                <w:color w:val="0000FF"/>
                <w:sz w:val="24"/>
              </w:rPr>
            </w:pPr>
          </w:p>
        </w:tc>
        <w:tc>
          <w:tcPr>
            <w:tcW w:w="675" w:type="dxa"/>
            <w:vAlign w:val="center"/>
          </w:tcPr>
          <w:p w14:paraId="35527543">
            <w:pPr>
              <w:jc w:val="center"/>
              <w:rPr>
                <w:rFonts w:cs="宋体" w:asciiTheme="minorEastAsia" w:hAnsiTheme="minorEastAsia" w:eastAsiaTheme="minorEastAsia"/>
                <w:szCs w:val="21"/>
              </w:rPr>
            </w:pPr>
            <w:r>
              <w:rPr>
                <w:rFonts w:hint="eastAsia" w:asciiTheme="minorEastAsia" w:hAnsiTheme="minorEastAsia" w:eastAsiaTheme="minorEastAsia"/>
                <w:szCs w:val="21"/>
              </w:rPr>
              <w:t>4</w:t>
            </w:r>
          </w:p>
        </w:tc>
        <w:tc>
          <w:tcPr>
            <w:tcW w:w="1392" w:type="dxa"/>
            <w:vAlign w:val="center"/>
          </w:tcPr>
          <w:p w14:paraId="0A338D64">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拟安排的项目负责人情况（仅限一人）</w:t>
            </w:r>
          </w:p>
        </w:tc>
        <w:tc>
          <w:tcPr>
            <w:tcW w:w="1005" w:type="dxa"/>
            <w:vAlign w:val="center"/>
          </w:tcPr>
          <w:p w14:paraId="1FEEE022">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5</w:t>
            </w:r>
          </w:p>
        </w:tc>
        <w:tc>
          <w:tcPr>
            <w:tcW w:w="5455" w:type="dxa"/>
            <w:vAlign w:val="top"/>
          </w:tcPr>
          <w:p w14:paraId="0E84C38C">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（一）评分内容：</w:t>
            </w:r>
          </w:p>
          <w:p w14:paraId="1D9CE81F">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拟安排项目负责人需为投标人自有员工（以</w:t>
            </w:r>
            <w:r>
              <w:rPr>
                <w:rFonts w:hint="eastAsia" w:ascii="宋体" w:hAnsi="宋体" w:eastAsia="宋体" w:cs="宋体"/>
                <w:b w:val="0"/>
                <w:bCs w:val="0"/>
                <w:color w:val="auto"/>
                <w:sz w:val="21"/>
                <w:szCs w:val="21"/>
                <w:highlight w:val="none"/>
                <w:lang w:val="en-US" w:eastAsia="zh-CN"/>
              </w:rPr>
              <w:t>评分依据1</w:t>
            </w:r>
            <w:r>
              <w:rPr>
                <w:rFonts w:hint="eastAsia" w:ascii="宋体" w:hAnsi="宋体" w:eastAsia="宋体" w:cs="宋体"/>
                <w:b w:val="0"/>
                <w:bCs w:val="0"/>
                <w:color w:val="auto"/>
                <w:sz w:val="21"/>
                <w:szCs w:val="21"/>
                <w:highlight w:val="none"/>
              </w:rPr>
              <w:t xml:space="preserve">为准），否则本项不得分。在此基础上，按以下标准评分： </w:t>
            </w:r>
          </w:p>
          <w:p w14:paraId="06F9888D">
            <w:pPr>
              <w:keepNext w:val="0"/>
              <w:keepLines w:val="0"/>
              <w:pageBreakBefore w:val="0"/>
              <w:numPr>
                <w:ilvl w:val="0"/>
                <w:numId w:val="0"/>
              </w:numPr>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w:t>
            </w:r>
            <w:r>
              <w:rPr>
                <w:rFonts w:hint="eastAsia" w:ascii="宋体" w:hAnsi="宋体" w:eastAsia="宋体" w:cs="宋体"/>
                <w:b w:val="0"/>
                <w:bCs w:val="0"/>
                <w:color w:val="auto"/>
                <w:sz w:val="21"/>
                <w:szCs w:val="21"/>
                <w:highlight w:val="none"/>
                <w:lang w:val="en-US" w:eastAsia="zh-CN"/>
              </w:rPr>
              <w:t>有</w:t>
            </w:r>
            <w:r>
              <w:rPr>
                <w:rFonts w:hint="eastAsia" w:ascii="宋体" w:hAnsi="宋体" w:eastAsia="宋体" w:cs="宋体"/>
                <w:b w:val="0"/>
                <w:bCs w:val="0"/>
                <w:color w:val="auto"/>
                <w:sz w:val="21"/>
                <w:szCs w:val="21"/>
                <w:highlight w:val="none"/>
                <w:lang w:eastAsia="zh-CN"/>
              </w:rPr>
              <w:t>大专或以上</w:t>
            </w:r>
            <w:r>
              <w:rPr>
                <w:rFonts w:hint="eastAsia" w:ascii="宋体" w:hAnsi="宋体" w:eastAsia="宋体" w:cs="宋体"/>
                <w:b w:val="0"/>
                <w:bCs w:val="0"/>
                <w:color w:val="auto"/>
                <w:sz w:val="21"/>
                <w:szCs w:val="21"/>
                <w:highlight w:val="none"/>
              </w:rPr>
              <w:t>学历</w:t>
            </w:r>
            <w:r>
              <w:rPr>
                <w:rFonts w:hint="eastAsia" w:ascii="宋体" w:hAnsi="宋体" w:eastAsia="宋体" w:cs="宋体"/>
                <w:b w:val="0"/>
                <w:bCs w:val="0"/>
                <w:color w:val="auto"/>
                <w:sz w:val="21"/>
                <w:szCs w:val="21"/>
                <w:highlight w:val="none"/>
                <w:lang w:eastAsia="zh-CN"/>
              </w:rPr>
              <w:t>（管理</w:t>
            </w:r>
            <w:r>
              <w:rPr>
                <w:rFonts w:hint="eastAsia" w:ascii="宋体" w:hAnsi="宋体" w:cs="宋体"/>
                <w:b w:val="0"/>
                <w:bCs w:val="0"/>
                <w:color w:val="auto"/>
                <w:sz w:val="21"/>
                <w:szCs w:val="21"/>
                <w:highlight w:val="none"/>
                <w:lang w:val="en-US" w:eastAsia="zh-CN"/>
              </w:rPr>
              <w:t>类或</w:t>
            </w:r>
            <w:r>
              <w:rPr>
                <w:rFonts w:hint="eastAsia" w:ascii="宋体" w:hAnsi="宋体" w:eastAsia="宋体" w:cs="宋体"/>
                <w:b w:val="0"/>
                <w:bCs w:val="0"/>
                <w:color w:val="auto"/>
                <w:sz w:val="21"/>
                <w:szCs w:val="21"/>
                <w:highlight w:val="none"/>
                <w:lang w:eastAsia="zh-CN"/>
              </w:rPr>
              <w:t>交通运输类专业），</w:t>
            </w:r>
            <w:r>
              <w:rPr>
                <w:rFonts w:hint="eastAsia" w:ascii="宋体" w:hAnsi="宋体" w:eastAsia="宋体" w:cs="宋体"/>
                <w:b w:val="0"/>
                <w:bCs w:val="0"/>
                <w:color w:val="auto"/>
                <w:sz w:val="21"/>
                <w:szCs w:val="21"/>
                <w:highlight w:val="none"/>
              </w:rPr>
              <w:t>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其他情况不得分； </w:t>
            </w:r>
          </w:p>
          <w:p w14:paraId="1435E9AE">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具有</w:t>
            </w:r>
            <w:r>
              <w:rPr>
                <w:rFonts w:hint="eastAsia"/>
                <w:highlight w:val="none"/>
                <w:lang w:val="en-US" w:eastAsia="zh-CN"/>
              </w:rPr>
              <w:t>同类业绩（同类业绩指服务内容包含拖吊车的内容即可）</w:t>
            </w:r>
            <w:r>
              <w:rPr>
                <w:rFonts w:hint="eastAsia" w:ascii="宋体" w:hAnsi="宋体" w:eastAsia="宋体" w:cs="宋体"/>
                <w:b w:val="0"/>
                <w:bCs w:val="0"/>
                <w:color w:val="auto"/>
                <w:sz w:val="21"/>
                <w:szCs w:val="21"/>
                <w:highlight w:val="none"/>
              </w:rPr>
              <w:t>负责人工作经验，得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p>
          <w:p w14:paraId="12AAA03B">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注：以上2项累计最高得100分。</w:t>
            </w:r>
          </w:p>
          <w:p w14:paraId="5DB27F15">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（二）评分依据：</w:t>
            </w:r>
          </w:p>
          <w:p w14:paraId="444792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提供项目负责人通过投标单位缴纳的近三个月（含开标当月）内任意一个月的社保缴纳证明，如供应商为新成立单位且</w:t>
            </w:r>
            <w:r>
              <w:rPr>
                <w:rFonts w:hint="eastAsia" w:ascii="宋体" w:hAnsi="宋体" w:eastAsia="宋体" w:cs="宋体"/>
                <w:color w:val="auto"/>
                <w:sz w:val="21"/>
                <w:szCs w:val="21"/>
                <w:highlight w:val="none"/>
              </w:rPr>
              <w:t>成立时间不足一个月的，可提供情况说明 （格式自拟），无需提供相关人员社保，亦可得分；如为退休返聘人员则提供劳动合同或返聘协议；</w:t>
            </w:r>
          </w:p>
          <w:p w14:paraId="4DB832B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提供项目负责人毕业证书以及学信网查询记录（https://www.chsi.com.cn/xlcx/index.jsp）；对于学信网无法查询的，还需提供毕业院校或人社部门或教育部门等颁发机构或监管机构出具的证明作为得分依据，境外留学人员学历无法通过学信网站查询的，需提供教育部留学服务中心出具的学历学位认证书及教育部留学服务中心官网查询截图（http://zwfw.cscse.edu.cn/）；</w:t>
            </w:r>
          </w:p>
          <w:p w14:paraId="2C25E13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项涉及考察人员工作经验的，要求提供项目合同关键信息</w:t>
            </w:r>
            <w:r>
              <w:rPr>
                <w:rFonts w:hint="eastAsia" w:ascii="宋体" w:hAnsi="宋体" w:eastAsia="宋体" w:cs="宋体"/>
                <w:color w:val="auto"/>
                <w:sz w:val="21"/>
                <w:szCs w:val="21"/>
                <w:highlight w:val="none"/>
                <w:lang w:eastAsia="zh-CN"/>
              </w:rPr>
              <w:t>（合同内容</w:t>
            </w:r>
            <w:r>
              <w:rPr>
                <w:rFonts w:hint="eastAsia" w:ascii="宋体" w:hAnsi="宋体" w:cs="宋体"/>
                <w:color w:val="auto"/>
                <w:sz w:val="21"/>
                <w:szCs w:val="21"/>
                <w:highlight w:val="none"/>
                <w:lang w:val="en-US" w:eastAsia="zh-CN"/>
              </w:rPr>
              <w:t>需体现</w:t>
            </w:r>
            <w:r>
              <w:rPr>
                <w:rFonts w:hint="eastAsia" w:ascii="宋体" w:hAnsi="宋体" w:eastAsia="宋体" w:cs="宋体"/>
                <w:color w:val="auto"/>
                <w:sz w:val="21"/>
                <w:szCs w:val="21"/>
                <w:highlight w:val="none"/>
                <w:lang w:eastAsia="zh-CN"/>
              </w:rPr>
              <w:t>项目负责人</w:t>
            </w:r>
            <w:r>
              <w:rPr>
                <w:rFonts w:hint="eastAsia" w:ascii="宋体" w:hAnsi="宋体" w:cs="宋体"/>
                <w:color w:val="auto"/>
                <w:sz w:val="21"/>
                <w:szCs w:val="21"/>
                <w:highlight w:val="none"/>
                <w:lang w:val="en-US" w:eastAsia="zh-CN"/>
              </w:rPr>
              <w:t>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扫描件作为得分依据，通过合同关键信息扫描件无法判断是否得分的，还</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同时提供投标人承诺（格式自拟）；</w:t>
            </w:r>
          </w:p>
          <w:p w14:paraId="1FDC95D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以上资料均要求提供扫描件。评分中出现无证明资料或专家无法凭所提供资料判断是否得分的情况，一律作不得分处理。</w:t>
            </w:r>
          </w:p>
          <w:p w14:paraId="4F5FC6F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5.注：本项目为多包组兼投兼中项目（最多中2个包），如供应商投标多个包组的，应针对不同包组提供不同的项目负责人，如供应商</w:t>
            </w:r>
            <w:r>
              <w:rPr>
                <w:rFonts w:hint="eastAsia" w:hAnsi="宋体" w:cs="宋体"/>
                <w:color w:val="auto"/>
                <w:sz w:val="21"/>
                <w:szCs w:val="21"/>
                <w:highlight w:val="none"/>
                <w:lang w:val="en-US" w:eastAsia="zh-CN"/>
              </w:rPr>
              <w:t>前序包组已中标的，但</w:t>
            </w:r>
            <w:r>
              <w:rPr>
                <w:rFonts w:hint="eastAsia"/>
                <w:highlight w:val="none"/>
                <w:lang w:val="en-US" w:eastAsia="zh-CN"/>
              </w:rPr>
              <w:t>不同</w:t>
            </w:r>
            <w:r>
              <w:rPr>
                <w:rFonts w:hint="eastAsia" w:ascii="宋体" w:hAnsi="宋体" w:cs="宋体"/>
                <w:color w:val="auto"/>
                <w:sz w:val="21"/>
                <w:szCs w:val="21"/>
                <w:highlight w:val="none"/>
                <w:lang w:val="en-US" w:eastAsia="zh-CN"/>
              </w:rPr>
              <w:t>包组提供同一项目负责人的，</w:t>
            </w:r>
            <w:r>
              <w:rPr>
                <w:rFonts w:hint="eastAsia"/>
                <w:highlight w:val="none"/>
                <w:lang w:val="en-US" w:eastAsia="zh-CN"/>
              </w:rPr>
              <w:t>后序</w:t>
            </w:r>
            <w:r>
              <w:rPr>
                <w:rFonts w:hint="eastAsia" w:ascii="宋体" w:hAnsi="宋体" w:cs="宋体"/>
                <w:color w:val="auto"/>
                <w:sz w:val="21"/>
                <w:szCs w:val="21"/>
                <w:highlight w:val="none"/>
                <w:lang w:val="en-US" w:eastAsia="zh-CN"/>
              </w:rPr>
              <w:t>包组</w:t>
            </w:r>
            <w:r>
              <w:rPr>
                <w:rFonts w:hint="eastAsia" w:hAnsi="宋体" w:cs="宋体"/>
                <w:color w:val="auto"/>
                <w:sz w:val="21"/>
                <w:szCs w:val="21"/>
                <w:highlight w:val="none"/>
                <w:lang w:val="en-US" w:eastAsia="zh-CN"/>
              </w:rPr>
              <w:t>项目负责人评审项不得分</w:t>
            </w:r>
            <w:r>
              <w:rPr>
                <w:rFonts w:hint="eastAsia" w:ascii="宋体" w:hAnsi="宋体" w:cs="宋体"/>
                <w:color w:val="auto"/>
                <w:sz w:val="21"/>
                <w:szCs w:val="21"/>
                <w:highlight w:val="none"/>
                <w:lang w:val="en-US" w:eastAsia="zh-CN"/>
              </w:rPr>
              <w:t>。</w:t>
            </w:r>
          </w:p>
        </w:tc>
      </w:tr>
      <w:tr w14:paraId="036C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6561DE9F">
            <w:pPr>
              <w:rPr>
                <w:rFonts w:cs="宋体" w:asciiTheme="minorEastAsia" w:hAnsiTheme="minorEastAsia" w:eastAsiaTheme="minorEastAsia"/>
                <w:b/>
                <w:bCs/>
                <w:color w:val="0000FF"/>
                <w:sz w:val="24"/>
              </w:rPr>
            </w:pPr>
          </w:p>
        </w:tc>
        <w:tc>
          <w:tcPr>
            <w:tcW w:w="675" w:type="dxa"/>
            <w:vAlign w:val="center"/>
          </w:tcPr>
          <w:p w14:paraId="4F3AA56A">
            <w:pPr>
              <w:jc w:val="center"/>
              <w:rPr>
                <w:rFonts w:cs="宋体" w:asciiTheme="minorEastAsia" w:hAnsiTheme="minorEastAsia" w:eastAsiaTheme="minorEastAsia"/>
                <w:szCs w:val="21"/>
              </w:rPr>
            </w:pPr>
            <w:r>
              <w:rPr>
                <w:rFonts w:hint="eastAsia" w:asciiTheme="minorEastAsia" w:hAnsiTheme="minorEastAsia" w:eastAsiaTheme="minorEastAsia"/>
                <w:szCs w:val="21"/>
              </w:rPr>
              <w:t>5</w:t>
            </w:r>
          </w:p>
        </w:tc>
        <w:tc>
          <w:tcPr>
            <w:tcW w:w="1392" w:type="dxa"/>
            <w:vAlign w:val="center"/>
          </w:tcPr>
          <w:p w14:paraId="46BB4EE1">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拟安排的项目主要团队成员（主要技术人员）情况（项目负责人除外）</w:t>
            </w:r>
          </w:p>
        </w:tc>
        <w:tc>
          <w:tcPr>
            <w:tcW w:w="1005" w:type="dxa"/>
            <w:vAlign w:val="center"/>
          </w:tcPr>
          <w:p w14:paraId="5BC14E9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p>
          <w:p w14:paraId="70DC9CAC">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15</w:t>
            </w:r>
          </w:p>
        </w:tc>
        <w:tc>
          <w:tcPr>
            <w:tcW w:w="5455" w:type="dxa"/>
            <w:vAlign w:val="top"/>
          </w:tcPr>
          <w:p w14:paraId="04F817D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5C43EA5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拟安排项目主要团队成员为投标单位员工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评分依据1</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，否则该人员情况不计分。每提供一名</w:t>
            </w:r>
            <w:r>
              <w:rPr>
                <w:rFonts w:hint="eastAsia" w:ascii="宋体" w:hAnsi="宋体" w:eastAsia="宋体" w:cs="宋体"/>
                <w:color w:val="auto"/>
                <w:sz w:val="21"/>
                <w:szCs w:val="21"/>
                <w:highlight w:val="none"/>
                <w:lang w:eastAsia="zh-CN"/>
              </w:rPr>
              <w:t>有</w:t>
            </w:r>
            <w:r>
              <w:rPr>
                <w:rFonts w:hint="eastAsia"/>
                <w:highlight w:val="none"/>
                <w:lang w:val="en-US" w:eastAsia="zh-CN"/>
              </w:rPr>
              <w:t>同类业绩（同类业绩指服务内容包含拖吊车的内容即可）</w:t>
            </w:r>
            <w:r>
              <w:rPr>
                <w:rFonts w:hint="eastAsia" w:ascii="宋体" w:hAnsi="宋体" w:eastAsia="宋体" w:cs="宋体"/>
                <w:color w:val="auto"/>
                <w:sz w:val="21"/>
                <w:szCs w:val="21"/>
                <w:highlight w:val="none"/>
                <w:lang w:eastAsia="zh-CN"/>
              </w:rPr>
              <w:t>经验的人员</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分，最高得100分</w:t>
            </w:r>
            <w:r>
              <w:rPr>
                <w:rFonts w:hint="eastAsia" w:ascii="宋体" w:hAnsi="宋体" w:cs="宋体"/>
                <w:color w:val="auto"/>
                <w:sz w:val="21"/>
                <w:szCs w:val="21"/>
                <w:highlight w:val="none"/>
                <w:lang w:eastAsia="zh-CN"/>
              </w:rPr>
              <w:t>。</w:t>
            </w:r>
          </w:p>
          <w:p w14:paraId="4B9F2B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5F9B076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1.通过投标人缴纳的近三个月（含开标当月）的任意一个月的社保证明作为本单位员工的证明依据，如供应商成立不足一个月的，提供情况说明函（格式自拟），无需提供相关人员社保，亦可得分。</w:t>
            </w:r>
          </w:p>
          <w:p w14:paraId="2685C60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2.提供同类拖吊车服务</w:t>
            </w:r>
            <w:r>
              <w:rPr>
                <w:rFonts w:hint="eastAsia" w:ascii="宋体" w:hAnsi="宋体" w:eastAsia="宋体" w:cs="宋体"/>
                <w:color w:val="auto"/>
                <w:sz w:val="21"/>
                <w:szCs w:val="21"/>
                <w:highlight w:val="none"/>
                <w:lang w:eastAsia="zh-CN"/>
              </w:rPr>
              <w:t>经验证明</w:t>
            </w:r>
            <w:r>
              <w:rPr>
                <w:rFonts w:hint="eastAsia" w:ascii="宋体" w:hAnsi="宋体" w:eastAsia="宋体" w:cs="宋体"/>
                <w:color w:val="auto"/>
                <w:sz w:val="21"/>
                <w:szCs w:val="21"/>
                <w:highlight w:val="none"/>
              </w:rPr>
              <w:t>作为得分依据，未提供或不满足要求</w:t>
            </w:r>
            <w:r>
              <w:rPr>
                <w:rFonts w:hint="eastAsia" w:ascii="宋体" w:hAnsi="宋体" w:eastAsia="宋体" w:cs="宋体"/>
                <w:color w:val="auto"/>
                <w:sz w:val="21"/>
                <w:szCs w:val="21"/>
                <w:highlight w:val="none"/>
                <w:lang w:eastAsia="zh-CN"/>
              </w:rPr>
              <w:t>本项</w:t>
            </w:r>
            <w:r>
              <w:rPr>
                <w:rFonts w:hint="eastAsia" w:ascii="宋体" w:hAnsi="宋体" w:eastAsia="宋体" w:cs="宋体"/>
                <w:color w:val="auto"/>
                <w:sz w:val="21"/>
                <w:szCs w:val="21"/>
                <w:highlight w:val="none"/>
              </w:rPr>
              <w:t>不得分</w:t>
            </w:r>
            <w:r>
              <w:rPr>
                <w:rFonts w:hint="eastAsia" w:ascii="宋体" w:hAnsi="宋体" w:eastAsia="宋体" w:cs="宋体"/>
                <w:color w:val="auto"/>
                <w:sz w:val="21"/>
                <w:szCs w:val="21"/>
                <w:highlight w:val="none"/>
                <w:lang w:eastAsia="zh-CN"/>
              </w:rPr>
              <w:t>。证明作证材料方式一：提供公司过往同类项目派驻人员名单</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上岗排班表</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项目人员名单，材料需注明项目名称、员工姓名、作业岗位</w:t>
            </w:r>
            <w:r>
              <w:rPr>
                <w:rFonts w:hint="eastAsia" w:ascii="宋体" w:hAnsi="宋体" w:cs="宋体"/>
                <w:color w:val="auto"/>
                <w:sz w:val="21"/>
                <w:szCs w:val="21"/>
                <w:highlight w:val="none"/>
                <w:lang w:val="en-US" w:eastAsia="zh-CN"/>
              </w:rPr>
              <w:t>（格式自拟）</w:t>
            </w:r>
            <w:r>
              <w:rPr>
                <w:rFonts w:hint="eastAsia" w:ascii="宋体" w:hAnsi="宋体" w:eastAsia="宋体" w:cs="宋体"/>
                <w:color w:val="auto"/>
                <w:sz w:val="21"/>
                <w:szCs w:val="21"/>
                <w:highlight w:val="none"/>
                <w:lang w:val="en-US" w:eastAsia="zh-CN"/>
              </w:rPr>
              <w:t>；方式二：如无法提供“方式一”材料的，可提供</w:t>
            </w: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经验</w:t>
            </w:r>
            <w:r>
              <w:rPr>
                <w:rFonts w:hint="eastAsia" w:ascii="宋体" w:hAnsi="宋体" w:eastAsia="宋体" w:cs="宋体"/>
                <w:color w:val="auto"/>
                <w:sz w:val="21"/>
                <w:szCs w:val="21"/>
                <w:highlight w:val="none"/>
              </w:rPr>
              <w:t>承诺函》</w:t>
            </w:r>
            <w:r>
              <w:rPr>
                <w:rFonts w:hint="eastAsia" w:ascii="宋体" w:hAnsi="宋体" w:eastAsia="宋体" w:cs="宋体"/>
                <w:color w:val="auto"/>
                <w:sz w:val="21"/>
                <w:szCs w:val="21"/>
                <w:highlight w:val="none"/>
                <w:lang w:eastAsia="zh-CN"/>
              </w:rPr>
              <w:t>，承诺函需列明人员姓名、身份证号，并明确承诺该人员具备同类拖吊车服务项目从业经验，格式由投标人自拟。</w:t>
            </w:r>
          </w:p>
          <w:p w14:paraId="401BE8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56AFBCF0">
            <w:pPr>
              <w:keepNext w:val="0"/>
              <w:keepLines w:val="0"/>
              <w:pageBreakBefore w:val="0"/>
              <w:kinsoku/>
              <w:overflowPunct/>
              <w:topLinePunct w:val="0"/>
              <w:autoSpaceDE/>
              <w:autoSpaceDN/>
              <w:bidi w:val="0"/>
              <w:rPr>
                <w:rFonts w:hint="eastAsia" w:ascii="宋体" w:hAnsi="宋体" w:eastAsia="宋体" w:cs="宋体"/>
                <w:sz w:val="21"/>
                <w:szCs w:val="21"/>
                <w:highlight w:val="none"/>
              </w:rPr>
            </w:pPr>
            <w:r>
              <w:rPr>
                <w:rFonts w:hint="eastAsia" w:ascii="宋体" w:hAnsi="宋体" w:cs="宋体"/>
                <w:color w:val="auto"/>
                <w:sz w:val="21"/>
                <w:szCs w:val="21"/>
                <w:highlight w:val="none"/>
                <w:lang w:val="en-US" w:eastAsia="zh-CN"/>
              </w:rPr>
              <w:t>4.注：本项目为多包组兼投兼中项目（最多中2个包），如供应商投标多个包组的，应针对不同包组提供不同的团队成员，如供应商不同包组提供同一团队成员的，后序包组的评审将减去供应商在前序已中标包组中投入并计分的服务团队后进行打分。</w:t>
            </w:r>
          </w:p>
        </w:tc>
      </w:tr>
      <w:tr w14:paraId="74E0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1ED30EC">
            <w:pPr>
              <w:rPr>
                <w:rFonts w:cs="宋体" w:asciiTheme="minorEastAsia" w:hAnsiTheme="minorEastAsia" w:eastAsiaTheme="minorEastAsia"/>
                <w:b/>
                <w:bCs/>
                <w:color w:val="0000FF"/>
                <w:sz w:val="24"/>
              </w:rPr>
            </w:pPr>
          </w:p>
        </w:tc>
        <w:tc>
          <w:tcPr>
            <w:tcW w:w="675" w:type="dxa"/>
            <w:vAlign w:val="center"/>
          </w:tcPr>
          <w:p w14:paraId="6EF66993">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1392" w:type="dxa"/>
            <w:vAlign w:val="center"/>
          </w:tcPr>
          <w:p w14:paraId="77F8614F">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拟投入本项目设备设施情况</w:t>
            </w:r>
          </w:p>
        </w:tc>
        <w:tc>
          <w:tcPr>
            <w:tcW w:w="1005" w:type="dxa"/>
            <w:vAlign w:val="center"/>
          </w:tcPr>
          <w:p w14:paraId="7F910E23">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vAlign w:val="top"/>
          </w:tcPr>
          <w:p w14:paraId="5530D6B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DEBF6E1">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none"/>
                <w:lang w:val="en-US" w:eastAsia="zh-CN"/>
              </w:rPr>
            </w:pPr>
            <w:r>
              <w:rPr>
                <w:rFonts w:hint="eastAsia" w:ascii="宋体" w:hAnsi="宋体" w:cs="宋体"/>
                <w:color w:val="auto"/>
                <w:szCs w:val="21"/>
                <w:highlight w:val="none"/>
                <w:lang w:val="en-US" w:eastAsia="zh-CN"/>
              </w:rPr>
              <w:t>投标人拟投入自有或租赁车辆供采购人指挥调度使用：</w:t>
            </w:r>
          </w:p>
          <w:p w14:paraId="702A7201">
            <w:pPr>
              <w:keepNext w:val="0"/>
              <w:keepLines w:val="0"/>
              <w:pageBreakBefore w:val="0"/>
              <w:kinsoku/>
              <w:overflowPunct/>
              <w:topLinePunct w:val="0"/>
              <w:autoSpaceDE/>
              <w:autoSpaceDN/>
              <w:bidi w:val="0"/>
              <w:rPr>
                <w:rFonts w:hint="default" w:ascii="宋体" w:hAnsi="宋体" w:cs="宋体"/>
                <w:b w:val="0"/>
                <w:bCs w:val="0"/>
                <w:color w:val="auto"/>
                <w:sz w:val="21"/>
                <w:szCs w:val="21"/>
                <w:highlight w:val="yellow"/>
                <w:lang w:val="en-US" w:eastAsia="zh-CN"/>
              </w:rPr>
            </w:pPr>
            <w:r>
              <w:rPr>
                <w:rFonts w:hint="eastAsia" w:ascii="宋体" w:hAnsi="宋体" w:cs="宋体"/>
                <w:b w:val="0"/>
                <w:bCs w:val="0"/>
                <w:color w:val="auto"/>
                <w:sz w:val="21"/>
                <w:szCs w:val="21"/>
                <w:highlight w:val="yellow"/>
                <w:lang w:val="en-US" w:eastAsia="zh-CN"/>
              </w:rPr>
              <w:t>对本项目投入38辆车（含）以上的，得100分；对本项目投入15辆车（含）至38辆车（不含）的，得50分；对本项目投入3辆（含）至15辆车（不含），得20分，其他情况不得分。</w:t>
            </w:r>
          </w:p>
          <w:p w14:paraId="6F02278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6E4A2A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1.自有车辆</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提供车辆前后照片，和投标人单位名称相符且在车检有效期内车辆的行驶证；租赁车辆提供车辆前后照片，和投标人签订租赁合同的单位名称相符且在车检有效期内车辆的行驶证；</w:t>
            </w:r>
          </w:p>
          <w:p w14:paraId="64AB1C8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49A37C2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注：本项目为多包组兼投兼中项目（最多中2个包），如供应商投标多个包组的，应针对不同包组提供不同的设备设施，如供应商不同包组提供同一设备设施的，后序包组的评审将减去供应商在前序已中标包组中投入并计分的设备设施后进行打分。</w:t>
            </w:r>
          </w:p>
        </w:tc>
      </w:tr>
      <w:tr w14:paraId="6E0A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2962260">
            <w:pPr>
              <w:rPr>
                <w:rFonts w:cs="宋体" w:asciiTheme="minorEastAsia" w:hAnsiTheme="minorEastAsia" w:eastAsiaTheme="minorEastAsia"/>
                <w:b/>
                <w:bCs/>
                <w:color w:val="0000FF"/>
                <w:sz w:val="24"/>
              </w:rPr>
            </w:pPr>
          </w:p>
        </w:tc>
        <w:tc>
          <w:tcPr>
            <w:tcW w:w="675" w:type="dxa"/>
            <w:vAlign w:val="center"/>
          </w:tcPr>
          <w:p w14:paraId="11029F14">
            <w:pPr>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392" w:type="dxa"/>
            <w:vAlign w:val="center"/>
          </w:tcPr>
          <w:p w14:paraId="6CA9952E">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履约承诺</w:t>
            </w:r>
          </w:p>
        </w:tc>
        <w:tc>
          <w:tcPr>
            <w:tcW w:w="1005" w:type="dxa"/>
            <w:vAlign w:val="center"/>
          </w:tcPr>
          <w:p w14:paraId="0FA53AF9">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p>
        </w:tc>
        <w:tc>
          <w:tcPr>
            <w:tcW w:w="5455" w:type="dxa"/>
            <w:vAlign w:val="top"/>
          </w:tcPr>
          <w:p w14:paraId="600EA62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4BA33BC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投标人承诺一下全部三项的得100分，否则不得分。</w:t>
            </w:r>
          </w:p>
          <w:p w14:paraId="2E9F3D1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1.人员严格按照招标文件及投标承诺配置；</w:t>
            </w:r>
          </w:p>
          <w:p w14:paraId="39D6530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2.服务质量达到招标文件要求；</w:t>
            </w:r>
          </w:p>
          <w:p w14:paraId="27F5780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3.对未能达到的管理要求承担管理责任。</w:t>
            </w:r>
          </w:p>
          <w:p w14:paraId="7F3BCBF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要求提供承诺（格式自定）作为得分一句，未提供承诺或承诺内容不满足要求不得分。</w:t>
            </w:r>
          </w:p>
          <w:p w14:paraId="562202A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B449FB0">
            <w:pPr>
              <w:keepNext w:val="0"/>
              <w:keepLines w:val="0"/>
              <w:pageBreakBefore w:val="0"/>
              <w:kinsoku/>
              <w:overflowPunct/>
              <w:topLinePunct w:val="0"/>
              <w:autoSpaceDE/>
              <w:autoSpaceDN/>
              <w:bidi w:val="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要求提供承诺（格式自定）作为得分一句，未提供承诺或不满意要求不得分。</w:t>
            </w:r>
          </w:p>
        </w:tc>
      </w:tr>
      <w:tr w14:paraId="745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703BE5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3</w:t>
            </w:r>
          </w:p>
        </w:tc>
        <w:tc>
          <w:tcPr>
            <w:tcW w:w="3072" w:type="dxa"/>
            <w:gridSpan w:val="3"/>
          </w:tcPr>
          <w:p w14:paraId="26B84AFF">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商务部分</w:t>
            </w:r>
          </w:p>
        </w:tc>
        <w:tc>
          <w:tcPr>
            <w:tcW w:w="5455" w:type="dxa"/>
          </w:tcPr>
          <w:p w14:paraId="0A76CB6B">
            <w:pPr>
              <w:jc w:val="center"/>
              <w:rPr>
                <w:rFonts w:hint="default" w:cs="宋体" w:asciiTheme="minorEastAsia" w:hAnsiTheme="minorEastAsia" w:eastAsiaTheme="minorEastAsia"/>
                <w:b/>
                <w:bCs/>
                <w:color w:val="0000FF"/>
                <w:sz w:val="24"/>
                <w:lang w:val="en-US" w:eastAsia="zh-CN"/>
              </w:rPr>
            </w:pPr>
            <w:r>
              <w:rPr>
                <w:rFonts w:hint="eastAsia" w:cs="宋体" w:asciiTheme="minorEastAsia" w:hAnsiTheme="minorEastAsia" w:eastAsiaTheme="minorEastAsia"/>
                <w:b/>
                <w:bCs/>
                <w:color w:val="0000FF"/>
                <w:sz w:val="24"/>
                <w:lang w:val="en-US" w:eastAsia="zh-CN"/>
              </w:rPr>
              <w:t>18</w:t>
            </w:r>
          </w:p>
        </w:tc>
      </w:tr>
      <w:tr w14:paraId="53E2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CCC0A72">
            <w:pPr>
              <w:rPr>
                <w:rFonts w:cs="宋体" w:asciiTheme="minorEastAsia" w:hAnsiTheme="minorEastAsia" w:eastAsiaTheme="minorEastAsia"/>
                <w:b/>
                <w:bCs/>
                <w:color w:val="0000FF"/>
                <w:sz w:val="24"/>
              </w:rPr>
            </w:pPr>
          </w:p>
        </w:tc>
        <w:tc>
          <w:tcPr>
            <w:tcW w:w="8527" w:type="dxa"/>
            <w:gridSpan w:val="4"/>
          </w:tcPr>
          <w:p w14:paraId="59A93CE3">
            <w:pPr>
              <w:rPr>
                <w:rFonts w:cs="宋体" w:asciiTheme="minorEastAsia" w:hAnsiTheme="minorEastAsia" w:eastAsiaTheme="minorEastAsia"/>
                <w:szCs w:val="21"/>
              </w:rPr>
            </w:pPr>
          </w:p>
        </w:tc>
      </w:tr>
      <w:tr w14:paraId="3690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4077E1C0">
            <w:pPr>
              <w:rPr>
                <w:rFonts w:cs="宋体" w:asciiTheme="minorEastAsia" w:hAnsiTheme="minorEastAsia" w:eastAsiaTheme="minorEastAsia"/>
                <w:b/>
                <w:bCs/>
                <w:color w:val="0000FF"/>
                <w:sz w:val="24"/>
              </w:rPr>
            </w:pPr>
          </w:p>
        </w:tc>
        <w:tc>
          <w:tcPr>
            <w:tcW w:w="675" w:type="dxa"/>
            <w:shd w:val="clear" w:color="auto" w:fill="E6EFFA"/>
            <w:vAlign w:val="center"/>
          </w:tcPr>
          <w:p w14:paraId="61331710">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30E2F432">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6BE71C81">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22A71A">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0E13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A92B0B0">
            <w:pPr>
              <w:rPr>
                <w:rFonts w:cs="宋体" w:asciiTheme="minorEastAsia" w:hAnsiTheme="minorEastAsia" w:eastAsiaTheme="minorEastAsia"/>
                <w:b/>
                <w:bCs/>
                <w:color w:val="0000FF"/>
                <w:sz w:val="24"/>
              </w:rPr>
            </w:pPr>
          </w:p>
        </w:tc>
        <w:tc>
          <w:tcPr>
            <w:tcW w:w="675" w:type="dxa"/>
            <w:vAlign w:val="center"/>
          </w:tcPr>
          <w:p w14:paraId="5E14FF57">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shd w:val="clear" w:color="auto" w:fill="auto"/>
            <w:vAlign w:val="center"/>
          </w:tcPr>
          <w:p w14:paraId="002BE965">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p>
        </w:tc>
        <w:tc>
          <w:tcPr>
            <w:tcW w:w="1005" w:type="dxa"/>
            <w:shd w:val="clear" w:color="auto" w:fill="auto"/>
            <w:vAlign w:val="center"/>
          </w:tcPr>
          <w:p w14:paraId="2C394E48">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000000"/>
                <w:sz w:val="21"/>
                <w:szCs w:val="21"/>
                <w:lang w:val="en-US" w:eastAsia="zh-CN"/>
              </w:rPr>
              <w:t>5</w:t>
            </w:r>
          </w:p>
        </w:tc>
        <w:tc>
          <w:tcPr>
            <w:tcW w:w="5455" w:type="dxa"/>
            <w:shd w:val="clear" w:color="auto" w:fill="auto"/>
            <w:vAlign w:val="top"/>
          </w:tcPr>
          <w:p w14:paraId="0D9847AB">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54DAE3CC">
            <w:pPr>
              <w:widowControl/>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投标人具有质量管理体系认证证书；</w:t>
            </w:r>
          </w:p>
          <w:p w14:paraId="01AF0228">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投标人具有环境管理体系认证证书；</w:t>
            </w:r>
          </w:p>
          <w:p w14:paraId="02AF17A4">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投标人具有职业健康安全管理体系认证证书。</w:t>
            </w:r>
          </w:p>
          <w:p w14:paraId="757973E3">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w:t>
            </w:r>
            <w:r>
              <w:rPr>
                <w:rFonts w:hint="eastAsia" w:ascii="宋体" w:hAnsi="宋体" w:eastAsia="宋体" w:cs="宋体"/>
                <w:b w:val="0"/>
                <w:bCs w:val="0"/>
                <w:color w:val="auto"/>
                <w:sz w:val="21"/>
                <w:szCs w:val="21"/>
                <w:highlight w:val="none"/>
                <w:lang w:eastAsia="zh-CN"/>
              </w:rPr>
              <w:t>每提供一项得</w:t>
            </w:r>
            <w:r>
              <w:rPr>
                <w:rFonts w:hint="eastAsia" w:ascii="宋体" w:hAnsi="宋体" w:eastAsia="宋体" w:cs="宋体"/>
                <w:b w:val="0"/>
                <w:bCs w:val="0"/>
                <w:color w:val="auto"/>
                <w:sz w:val="21"/>
                <w:szCs w:val="21"/>
                <w:highlight w:val="none"/>
                <w:lang w:val="en-US" w:eastAsia="zh-CN"/>
              </w:rPr>
              <w:t>35分，</w:t>
            </w:r>
            <w:r>
              <w:rPr>
                <w:rFonts w:hint="eastAsia" w:ascii="宋体" w:hAnsi="宋体" w:eastAsia="宋体" w:cs="宋体"/>
                <w:b w:val="0"/>
                <w:bCs w:val="0"/>
                <w:color w:val="auto"/>
                <w:sz w:val="21"/>
                <w:szCs w:val="21"/>
                <w:highlight w:val="none"/>
              </w:rPr>
              <w:t>如满足三项得100分。</w:t>
            </w:r>
          </w:p>
          <w:p w14:paraId="2D1FC2EA">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（二）评分依据：</w:t>
            </w:r>
          </w:p>
          <w:p w14:paraId="45CB90C4">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1.要求提供所有有效的认证证书扫描件，及出具证书官网或全国认证认可信息公共服务平台（http://cx.cnca.cn/）的证书查询记录。认证证书在公开渠道无法查询的，需提供颁发机构的证明材料，证明证书真实有效。</w:t>
            </w:r>
          </w:p>
          <w:p w14:paraId="09DEEF29">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2.以上资料均要求提供扫描件。评分中出现无证明资料或专家无法凭所提供资料判断是否得分的情况，一律作不得分处理。</w:t>
            </w:r>
          </w:p>
          <w:p w14:paraId="5953798C">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3.由社会组织颁发的证书，还需同时提供该组织在“中国社会组织政务服务平台（全国社会组织信用信息公示平台）https://chinanpo.mca.gov.cn/”的查询截图（截图需体现网址且状态为正常），否则该证书不得分。</w:t>
            </w:r>
          </w:p>
          <w:p w14:paraId="1EC54ECE">
            <w:pPr>
              <w:wordWrap/>
              <w:jc w:val="left"/>
              <w:rPr>
                <w:rFonts w:hint="eastAsia" w:ascii="宋体" w:hAnsi="宋体" w:eastAsia="宋体" w:cs="宋体"/>
                <w:kern w:val="2"/>
                <w:sz w:val="21"/>
                <w:szCs w:val="21"/>
                <w:lang w:val="en-US"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.如投标人为新成立企业且成立时间不足以获取证书或投标人处于该证书申请阶段尚未通过试运行的，提供投标人情况说明（格式自拟）视为满足要求。</w:t>
            </w:r>
          </w:p>
        </w:tc>
      </w:tr>
      <w:tr w14:paraId="7949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BCE2550">
            <w:pPr>
              <w:rPr>
                <w:rFonts w:cs="宋体" w:asciiTheme="minorEastAsia" w:hAnsiTheme="minorEastAsia" w:eastAsiaTheme="minorEastAsia"/>
                <w:b/>
                <w:bCs/>
                <w:color w:val="0000FF"/>
                <w:sz w:val="24"/>
              </w:rPr>
            </w:pPr>
          </w:p>
        </w:tc>
        <w:tc>
          <w:tcPr>
            <w:tcW w:w="675" w:type="dxa"/>
            <w:vAlign w:val="center"/>
          </w:tcPr>
          <w:p w14:paraId="45867145">
            <w:pPr>
              <w:jc w:val="center"/>
              <w:rPr>
                <w:rFonts w:cs="宋体" w:asciiTheme="minorEastAsia" w:hAnsiTheme="minorEastAsia" w:eastAsiaTheme="minorEastAsia"/>
                <w:szCs w:val="21"/>
              </w:rPr>
            </w:pPr>
            <w:r>
              <w:rPr>
                <w:rFonts w:hint="eastAsia" w:asciiTheme="minorEastAsia" w:hAnsiTheme="minorEastAsia" w:eastAsiaTheme="minorEastAsia"/>
                <w:szCs w:val="21"/>
              </w:rPr>
              <w:t>2</w:t>
            </w:r>
          </w:p>
        </w:tc>
        <w:tc>
          <w:tcPr>
            <w:tcW w:w="1392" w:type="dxa"/>
            <w:shd w:val="clear" w:color="auto" w:fill="auto"/>
            <w:vAlign w:val="center"/>
          </w:tcPr>
          <w:p w14:paraId="3CD5A5DA">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投标人同类项目业绩</w:t>
            </w:r>
          </w:p>
        </w:tc>
        <w:tc>
          <w:tcPr>
            <w:tcW w:w="1005" w:type="dxa"/>
            <w:shd w:val="clear" w:color="auto" w:fill="auto"/>
            <w:vAlign w:val="center"/>
          </w:tcPr>
          <w:p w14:paraId="2A654D84">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shd w:val="clear" w:color="auto" w:fill="auto"/>
            <w:vAlign w:val="center"/>
          </w:tcPr>
          <w:p w14:paraId="3BE042D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5A311F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lang w:val="en-US" w:eastAsia="zh-CN"/>
              </w:rPr>
              <w:t>自2023年1月1日起（以合同签订时间为准）投标人具有同类业绩（同类业绩指服务内容包含拖吊车的内容即可）的</w:t>
            </w:r>
            <w:r>
              <w:rPr>
                <w:rFonts w:hint="eastAsia" w:ascii="宋体" w:hAnsi="宋体" w:eastAsia="宋体" w:cs="宋体"/>
                <w:color w:val="auto"/>
                <w:sz w:val="21"/>
                <w:szCs w:val="21"/>
                <w:highlight w:val="none"/>
              </w:rPr>
              <w:t>，每提供一个项目得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分，最高得100分。同一项目续签合同的不可重复得分。</w:t>
            </w:r>
          </w:p>
          <w:p w14:paraId="229D336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44739B9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1.需同时提供合同关键页（提供的材料各项信息不得有任何遮挡，合同需体现签订日期）；</w:t>
            </w:r>
          </w:p>
          <w:p w14:paraId="5B3378E8">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2.以上证明文件均提供扫描件。未按要求提供有效证明材料或提供不清晰导致评委无法识别的不计得分。</w:t>
            </w:r>
          </w:p>
        </w:tc>
      </w:tr>
      <w:tr w14:paraId="2BA8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rHeight w:val="1939" w:hRule="atLeast"/>
          <w:tblCellSpacing w:w="0" w:type="dxa"/>
          <w:jc w:val="center"/>
        </w:trPr>
        <w:tc>
          <w:tcPr>
            <w:tcW w:w="676" w:type="dxa"/>
            <w:vMerge w:val="continue"/>
            <w:vAlign w:val="center"/>
          </w:tcPr>
          <w:p w14:paraId="0A3CC996">
            <w:pPr>
              <w:rPr>
                <w:rFonts w:cs="宋体" w:asciiTheme="minorEastAsia" w:hAnsiTheme="minorEastAsia" w:eastAsiaTheme="minorEastAsia"/>
                <w:b/>
                <w:bCs/>
                <w:color w:val="0000FF"/>
                <w:sz w:val="24"/>
              </w:rPr>
            </w:pPr>
          </w:p>
        </w:tc>
        <w:tc>
          <w:tcPr>
            <w:tcW w:w="675" w:type="dxa"/>
            <w:vAlign w:val="center"/>
          </w:tcPr>
          <w:p w14:paraId="0D005D0A">
            <w:pPr>
              <w:jc w:val="center"/>
              <w:rPr>
                <w:rFonts w:cs="宋体" w:asciiTheme="minorEastAsia" w:hAnsiTheme="minorEastAsia" w:eastAsiaTheme="minorEastAsia"/>
                <w:szCs w:val="21"/>
              </w:rPr>
            </w:pPr>
            <w:r>
              <w:rPr>
                <w:rFonts w:hint="eastAsia" w:asciiTheme="minorEastAsia" w:hAnsiTheme="minorEastAsia" w:eastAsiaTheme="minorEastAsia"/>
                <w:szCs w:val="21"/>
              </w:rPr>
              <w:t>3</w:t>
            </w:r>
          </w:p>
        </w:tc>
        <w:tc>
          <w:tcPr>
            <w:tcW w:w="1392" w:type="dxa"/>
            <w:shd w:val="clear" w:color="auto" w:fill="auto"/>
            <w:vAlign w:val="center"/>
          </w:tcPr>
          <w:p w14:paraId="5775331E">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服务网点</w:t>
            </w:r>
          </w:p>
        </w:tc>
        <w:tc>
          <w:tcPr>
            <w:tcW w:w="1005" w:type="dxa"/>
            <w:shd w:val="clear" w:color="auto" w:fill="auto"/>
            <w:vAlign w:val="center"/>
          </w:tcPr>
          <w:p w14:paraId="69C23972">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5455" w:type="dxa"/>
            <w:shd w:val="clear" w:color="auto" w:fill="auto"/>
            <w:vAlign w:val="top"/>
          </w:tcPr>
          <w:p w14:paraId="451E6DB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8C0E19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供应商承诺中标后提供本地经营（服务）网点的，得100分。</w:t>
            </w:r>
          </w:p>
          <w:p w14:paraId="4EBE326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F2F754B">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要求提供承诺函（格式详见采购文件投标文件正文（信息公开部分）-服务网点-承诺函）作为得分依据，未按采购文件要求提供承诺函的不得分。</w:t>
            </w:r>
          </w:p>
        </w:tc>
      </w:tr>
      <w:tr w14:paraId="15DC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tcPr>
          <w:p w14:paraId="2910873A">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4</w:t>
            </w:r>
          </w:p>
        </w:tc>
        <w:tc>
          <w:tcPr>
            <w:tcW w:w="3072" w:type="dxa"/>
            <w:gridSpan w:val="3"/>
          </w:tcPr>
          <w:p w14:paraId="28B9E5B1">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诚信情况</w:t>
            </w:r>
          </w:p>
        </w:tc>
        <w:tc>
          <w:tcPr>
            <w:tcW w:w="5455" w:type="dxa"/>
          </w:tcPr>
          <w:p w14:paraId="0F57059E">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5</w:t>
            </w:r>
          </w:p>
        </w:tc>
      </w:tr>
      <w:tr w14:paraId="7AFC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shd w:val="clear" w:color="auto" w:fill="auto"/>
            <w:vAlign w:val="center"/>
          </w:tcPr>
          <w:p w14:paraId="07EE4360">
            <w:pPr>
              <w:rPr>
                <w:rFonts w:cs="宋体" w:asciiTheme="minorEastAsia" w:hAnsiTheme="minorEastAsia" w:eastAsiaTheme="minorEastAsia"/>
                <w:b/>
                <w:bCs/>
                <w:color w:val="0000FF"/>
                <w:sz w:val="24"/>
              </w:rPr>
            </w:pPr>
          </w:p>
        </w:tc>
        <w:tc>
          <w:tcPr>
            <w:tcW w:w="675" w:type="dxa"/>
            <w:shd w:val="clear" w:color="auto" w:fill="E6EFFA"/>
            <w:vAlign w:val="center"/>
          </w:tcPr>
          <w:p w14:paraId="192C9AB6">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6F4E568C">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5CABC5D0">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2721F7C">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C1C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auto"/>
            <w:vAlign w:val="center"/>
          </w:tcPr>
          <w:p w14:paraId="7CC18014">
            <w:pPr>
              <w:rPr>
                <w:rFonts w:cs="宋体" w:asciiTheme="minorEastAsia" w:hAnsiTheme="minorEastAsia" w:eastAsiaTheme="minorEastAsia"/>
                <w:b/>
                <w:bCs/>
                <w:color w:val="0000FF"/>
                <w:sz w:val="24"/>
              </w:rPr>
            </w:pPr>
          </w:p>
        </w:tc>
        <w:tc>
          <w:tcPr>
            <w:tcW w:w="675" w:type="dxa"/>
            <w:vAlign w:val="center"/>
          </w:tcPr>
          <w:p w14:paraId="530A134E">
            <w:pPr>
              <w:jc w:val="center"/>
              <w:rPr>
                <w:rFonts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009BC261">
            <w:pPr>
              <w:jc w:val="center"/>
              <w:rPr>
                <w:rFonts w:asciiTheme="minorEastAsia" w:hAnsiTheme="minorEastAsia" w:eastAsiaTheme="minorEastAsia"/>
                <w:szCs w:val="21"/>
              </w:rPr>
            </w:pPr>
            <w:r>
              <w:rPr>
                <w:rFonts w:asciiTheme="minorEastAsia" w:hAnsiTheme="minorEastAsia" w:eastAsiaTheme="minorEastAsia"/>
                <w:szCs w:val="21"/>
              </w:rPr>
              <w:t>诚信情况</w:t>
            </w:r>
          </w:p>
        </w:tc>
        <w:tc>
          <w:tcPr>
            <w:tcW w:w="1005" w:type="dxa"/>
            <w:vAlign w:val="center"/>
          </w:tcPr>
          <w:p w14:paraId="6A7D3108">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5455" w:type="dxa"/>
          </w:tcPr>
          <w:p w14:paraId="64A38C43">
            <w:pPr>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D10C677">
            <w:pPr>
              <w:rPr>
                <w:rFonts w:asciiTheme="minorEastAsia" w:hAnsiTheme="minorEastAsia" w:eastAsiaTheme="minorEastAsia"/>
              </w:rPr>
            </w:pPr>
            <w:r>
              <w:rPr>
                <w:rFonts w:hint="eastAsia" w:asciiTheme="minorEastAsia" w:hAnsiTheme="minorEastAsia" w:eastAsiaTheme="minorEastAsia"/>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16627AE2">
            <w:pPr>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1957890">
            <w:pPr>
              <w:rPr>
                <w:rFonts w:cs="宋体" w:asciiTheme="minorEastAsia" w:hAnsiTheme="minorEastAsia" w:eastAsiaTheme="minorEastAsia"/>
                <w:szCs w:val="21"/>
              </w:rPr>
            </w:pPr>
            <w:r>
              <w:rPr>
                <w:rFonts w:hint="eastAsia" w:asciiTheme="minorEastAsia" w:hAnsiTheme="minorEastAsia" w:eastAsiaTheme="minorEastAsia"/>
              </w:rPr>
              <w:t>查询渠道：通过“信用中国”（www.creditchina.gov.cn，下载信用信息报告）、“中国政府采购网”（www.ccgp.gov.cn）”、“深圳市政府采购监管网”（http://zfcg.sz.gov.cn）以及“深圳政府采购智慧平台信用库”为供应商信用信息的查询渠道，相关信息以开标当日的查询结果为准。</w:t>
            </w:r>
          </w:p>
        </w:tc>
      </w:tr>
    </w:tbl>
    <w:p w14:paraId="6AAF79E8"/>
    <w:p w14:paraId="0ACE1F79">
      <w:pPr>
        <w:pStyle w:val="2"/>
      </w:pPr>
      <w:r>
        <w:br w:type="page"/>
      </w:r>
    </w:p>
    <w:p w14:paraId="136E6164">
      <w:pPr>
        <w:jc w:val="center"/>
        <w:rPr>
          <w:b/>
          <w:sz w:val="84"/>
          <w:szCs w:val="84"/>
        </w:rPr>
      </w:pPr>
    </w:p>
    <w:p w14:paraId="4D37D683">
      <w:pPr>
        <w:jc w:val="center"/>
        <w:rPr>
          <w:b/>
          <w:sz w:val="84"/>
          <w:szCs w:val="84"/>
        </w:rPr>
      </w:pPr>
    </w:p>
    <w:p w14:paraId="09B3D6C7">
      <w:pPr>
        <w:jc w:val="center"/>
        <w:rPr>
          <w:b/>
          <w:sz w:val="84"/>
          <w:szCs w:val="84"/>
        </w:rPr>
      </w:pPr>
    </w:p>
    <w:p w14:paraId="238A8CE0">
      <w:pPr>
        <w:jc w:val="center"/>
        <w:rPr>
          <w:b/>
          <w:sz w:val="120"/>
          <w:szCs w:val="120"/>
        </w:rPr>
      </w:pPr>
      <w:r>
        <w:rPr>
          <w:rFonts w:hint="eastAsia"/>
          <w:b/>
          <w:sz w:val="120"/>
          <w:szCs w:val="120"/>
        </w:rPr>
        <w:t>政府采购</w:t>
      </w:r>
    </w:p>
    <w:p w14:paraId="04F21B4C">
      <w:pPr>
        <w:jc w:val="center"/>
        <w:rPr>
          <w:b/>
          <w:sz w:val="120"/>
          <w:szCs w:val="120"/>
        </w:rPr>
      </w:pPr>
      <w:r>
        <w:rPr>
          <w:rFonts w:hint="eastAsia"/>
          <w:b/>
          <w:sz w:val="120"/>
          <w:szCs w:val="120"/>
        </w:rPr>
        <w:t>招标文件</w:t>
      </w:r>
    </w:p>
    <w:p w14:paraId="7A73DEB5">
      <w:pPr>
        <w:jc w:val="center"/>
        <w:rPr>
          <w:b/>
          <w:sz w:val="52"/>
          <w:szCs w:val="52"/>
        </w:rPr>
      </w:pPr>
      <w:r>
        <w:rPr>
          <w:rFonts w:hint="eastAsia"/>
          <w:b/>
          <w:sz w:val="52"/>
          <w:szCs w:val="52"/>
        </w:rPr>
        <w:t>（服务类）</w:t>
      </w:r>
    </w:p>
    <w:p w14:paraId="2E515D62"/>
    <w:p w14:paraId="5B060199"/>
    <w:p w14:paraId="6EAFC020"/>
    <w:p w14:paraId="1B52C332"/>
    <w:p w14:paraId="7AE40DAA"/>
    <w:p w14:paraId="19CDA45D"/>
    <w:p w14:paraId="5912B41F"/>
    <w:p w14:paraId="76957116"/>
    <w:p w14:paraId="5BDA78F5"/>
    <w:p w14:paraId="1D619291"/>
    <w:p w14:paraId="5617061B"/>
    <w:p w14:paraId="72C6BFE4"/>
    <w:p w14:paraId="1AF1AF85"/>
    <w:p w14:paraId="06B6C2B9"/>
    <w:p w14:paraId="3AC0F196"/>
    <w:p w14:paraId="01FA7959"/>
    <w:p w14:paraId="028201B5"/>
    <w:p w14:paraId="0431F024"/>
    <w:p w14:paraId="5B5EEED7"/>
    <w:p w14:paraId="58341BDB">
      <w:pPr>
        <w:jc w:val="center"/>
        <w:rPr>
          <w:b/>
          <w:sz w:val="44"/>
          <w:szCs w:val="44"/>
        </w:rPr>
      </w:pPr>
      <w:bookmarkStart w:id="0" w:name="_Hlk71465316"/>
      <w:r>
        <w:rPr>
          <w:rFonts w:hint="eastAsia"/>
          <w:b/>
          <w:sz w:val="44"/>
          <w:szCs w:val="44"/>
        </w:rPr>
        <w:t>深圳公共资源交易中心</w:t>
      </w:r>
    </w:p>
    <w:p w14:paraId="5A2A61F6">
      <w:pPr>
        <w:jc w:val="center"/>
        <w:rPr>
          <w:b/>
          <w:sz w:val="44"/>
          <w:szCs w:val="44"/>
        </w:rPr>
      </w:pPr>
      <w:r>
        <w:rPr>
          <w:rFonts w:hint="eastAsia"/>
          <w:b/>
          <w:sz w:val="44"/>
          <w:szCs w:val="44"/>
        </w:rPr>
        <w:t>（</w:t>
      </w:r>
      <w:r>
        <w:rPr>
          <w:b/>
          <w:sz w:val="44"/>
          <w:szCs w:val="44"/>
        </w:rPr>
        <w:t>20</w:t>
      </w:r>
      <w:r>
        <w:rPr>
          <w:rFonts w:hint="eastAsia"/>
          <w:b/>
          <w:sz w:val="44"/>
          <w:szCs w:val="44"/>
        </w:rPr>
        <w:t>26）</w:t>
      </w:r>
    </w:p>
    <w:bookmarkEnd w:id="0"/>
    <w:p w14:paraId="11C5059E">
      <w:pPr>
        <w:ind w:firstLine="420" w:firstLineChars="200"/>
      </w:pPr>
      <w:r>
        <w:rPr>
          <w:rFonts w:hint="eastAsia"/>
        </w:rPr>
        <w:br w:type="page"/>
      </w:r>
    </w:p>
    <w:p w14:paraId="59749A30">
      <w:pPr>
        <w:pStyle w:val="4"/>
      </w:pPr>
      <w:r>
        <w:rPr>
          <w:rFonts w:hint="eastAsia"/>
        </w:rPr>
        <w:t>目   录</w:t>
      </w:r>
    </w:p>
    <w:p w14:paraId="45D17687">
      <w:pPr>
        <w:outlineLvl w:val="0"/>
        <w:rPr>
          <w:b/>
          <w:sz w:val="24"/>
        </w:rPr>
      </w:pPr>
      <w:r>
        <w:rPr>
          <w:rFonts w:hint="eastAsia"/>
          <w:b/>
          <w:sz w:val="24"/>
        </w:rPr>
        <w:t>第一册  专用条款</w:t>
      </w:r>
    </w:p>
    <w:p w14:paraId="5FB74B10">
      <w:pPr>
        <w:ind w:firstLine="960" w:firstLineChars="400"/>
        <w:rPr>
          <w:sz w:val="24"/>
        </w:rPr>
      </w:pPr>
      <w:r>
        <w:rPr>
          <w:rFonts w:hint="eastAsia"/>
          <w:sz w:val="24"/>
        </w:rPr>
        <w:t>关键信息</w:t>
      </w:r>
    </w:p>
    <w:p w14:paraId="40D5B433">
      <w:pPr>
        <w:ind w:left="630" w:leftChars="300" w:firstLine="630" w:firstLineChars="300"/>
        <w:rPr>
          <w:rFonts w:ascii="宋体" w:hAnsi="宋体"/>
          <w:szCs w:val="21"/>
        </w:rPr>
      </w:pPr>
      <w:r>
        <w:rPr>
          <w:rFonts w:hint="eastAsia" w:ascii="宋体" w:hAnsi="宋体"/>
          <w:szCs w:val="21"/>
        </w:rPr>
        <w:t>第一章  招标公告</w:t>
      </w:r>
    </w:p>
    <w:p w14:paraId="58B9C136">
      <w:pPr>
        <w:ind w:left="630" w:leftChars="300" w:firstLine="630" w:firstLineChars="300"/>
        <w:rPr>
          <w:rFonts w:ascii="宋体" w:hAnsi="宋体"/>
          <w:szCs w:val="21"/>
        </w:rPr>
      </w:pPr>
      <w:r>
        <w:rPr>
          <w:rFonts w:hint="eastAsia" w:ascii="宋体" w:hAnsi="宋体"/>
          <w:szCs w:val="21"/>
        </w:rPr>
        <w:t xml:space="preserve">第二章  </w:t>
      </w:r>
      <w:bookmarkStart w:id="1" w:name="_Hlk71994379"/>
      <w:r>
        <w:rPr>
          <w:rFonts w:hint="eastAsia" w:ascii="宋体" w:hAnsi="宋体"/>
          <w:szCs w:val="21"/>
        </w:rPr>
        <w:t>对通用条款的补充内容及其他关键信息</w:t>
      </w:r>
      <w:bookmarkEnd w:id="1"/>
    </w:p>
    <w:p w14:paraId="5D6226F8">
      <w:pPr>
        <w:ind w:left="630" w:leftChars="300" w:firstLine="630" w:firstLineChars="300"/>
        <w:rPr>
          <w:rFonts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2B158372">
      <w:pPr>
        <w:ind w:left="630" w:leftChars="300" w:firstLine="630" w:firstLineChars="300"/>
        <w:rPr>
          <w:rFonts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42AEDB9F">
      <w:pPr>
        <w:ind w:left="630" w:leftChars="300" w:firstLine="630" w:firstLineChars="300"/>
        <w:rPr>
          <w:rFonts w:ascii="宋体" w:hAnsi="宋体"/>
          <w:szCs w:val="21"/>
        </w:rPr>
      </w:pPr>
      <w:r>
        <w:rPr>
          <w:rFonts w:hint="eastAsia" w:ascii="宋体" w:hAnsi="宋体"/>
          <w:szCs w:val="21"/>
        </w:rPr>
        <w:t>第五章  合同条款及格式</w:t>
      </w:r>
    </w:p>
    <w:p w14:paraId="2C6FCA55">
      <w:pPr>
        <w:rPr>
          <w:b/>
          <w:sz w:val="24"/>
        </w:rPr>
      </w:pPr>
    </w:p>
    <w:p w14:paraId="240A4E5F">
      <w:pPr>
        <w:outlineLvl w:val="0"/>
        <w:rPr>
          <w:b/>
          <w:sz w:val="24"/>
        </w:rPr>
      </w:pPr>
      <w:r>
        <w:rPr>
          <w:rFonts w:hint="eastAsia"/>
          <w:b/>
          <w:sz w:val="24"/>
        </w:rPr>
        <w:t>第二册  通用条款</w:t>
      </w:r>
    </w:p>
    <w:p w14:paraId="15D69AB5">
      <w:pPr>
        <w:ind w:left="630" w:leftChars="300" w:firstLine="630" w:firstLineChars="300"/>
        <w:rPr>
          <w:rFonts w:ascii="宋体" w:hAnsi="宋体"/>
          <w:szCs w:val="21"/>
        </w:rPr>
      </w:pPr>
      <w:r>
        <w:rPr>
          <w:rFonts w:hint="eastAsia" w:ascii="宋体" w:hAnsi="宋体"/>
          <w:szCs w:val="21"/>
        </w:rPr>
        <w:t>第一章  总则</w:t>
      </w:r>
    </w:p>
    <w:p w14:paraId="7EFF7BF1">
      <w:pPr>
        <w:ind w:left="630" w:leftChars="300" w:firstLine="630" w:firstLineChars="300"/>
        <w:rPr>
          <w:rFonts w:ascii="宋体" w:hAnsi="宋体"/>
          <w:szCs w:val="21"/>
        </w:rPr>
      </w:pPr>
      <w:r>
        <w:rPr>
          <w:rFonts w:hint="eastAsia" w:ascii="宋体" w:hAnsi="宋体"/>
          <w:szCs w:val="21"/>
        </w:rPr>
        <w:t>第二章  招标文件</w:t>
      </w:r>
    </w:p>
    <w:p w14:paraId="2A9E94F3">
      <w:pPr>
        <w:ind w:left="630" w:leftChars="300" w:firstLine="630" w:firstLineChars="300"/>
        <w:rPr>
          <w:rFonts w:ascii="宋体" w:hAnsi="宋体"/>
          <w:szCs w:val="21"/>
        </w:rPr>
      </w:pPr>
      <w:r>
        <w:rPr>
          <w:rFonts w:hint="eastAsia" w:ascii="宋体" w:hAnsi="宋体"/>
          <w:szCs w:val="21"/>
        </w:rPr>
        <w:t>第三章  投标文件的编制</w:t>
      </w:r>
    </w:p>
    <w:p w14:paraId="7C7F1946">
      <w:pPr>
        <w:ind w:left="630" w:leftChars="300" w:firstLine="630" w:firstLineChars="300"/>
        <w:rPr>
          <w:rFonts w:ascii="宋体" w:hAnsi="宋体"/>
          <w:szCs w:val="21"/>
        </w:rPr>
      </w:pPr>
      <w:r>
        <w:rPr>
          <w:rFonts w:hint="eastAsia" w:ascii="宋体" w:hAnsi="宋体"/>
          <w:szCs w:val="21"/>
        </w:rPr>
        <w:t>第四章  投标文件的递交</w:t>
      </w:r>
    </w:p>
    <w:p w14:paraId="50697549">
      <w:pPr>
        <w:ind w:left="630" w:leftChars="300" w:firstLine="630" w:firstLineChars="300"/>
        <w:rPr>
          <w:rFonts w:ascii="宋体" w:hAnsi="宋体"/>
          <w:szCs w:val="21"/>
        </w:rPr>
      </w:pPr>
      <w:r>
        <w:rPr>
          <w:rFonts w:hint="eastAsia" w:ascii="宋体" w:hAnsi="宋体"/>
          <w:szCs w:val="21"/>
        </w:rPr>
        <w:t>第五章  开标</w:t>
      </w:r>
    </w:p>
    <w:p w14:paraId="5B5C6EEA">
      <w:pPr>
        <w:ind w:left="630" w:leftChars="300" w:firstLine="630" w:firstLineChars="300"/>
        <w:rPr>
          <w:rFonts w:ascii="宋体" w:hAnsi="宋体"/>
          <w:szCs w:val="21"/>
        </w:rPr>
      </w:pPr>
      <w:r>
        <w:rPr>
          <w:rFonts w:hint="eastAsia" w:ascii="宋体" w:hAnsi="宋体"/>
          <w:szCs w:val="21"/>
        </w:rPr>
        <w:t>第六章  评审要求</w:t>
      </w:r>
    </w:p>
    <w:p w14:paraId="4D451574">
      <w:pPr>
        <w:ind w:left="630" w:leftChars="300" w:firstLine="630" w:firstLineChars="300"/>
        <w:rPr>
          <w:rFonts w:ascii="宋体" w:hAnsi="宋体"/>
          <w:szCs w:val="21"/>
        </w:rPr>
      </w:pPr>
      <w:r>
        <w:rPr>
          <w:rFonts w:hint="eastAsia" w:ascii="宋体" w:hAnsi="宋体"/>
          <w:szCs w:val="21"/>
        </w:rPr>
        <w:t>第七章  评审程序及评审方法</w:t>
      </w:r>
    </w:p>
    <w:p w14:paraId="3B4EC73A">
      <w:pPr>
        <w:ind w:left="630" w:leftChars="300" w:firstLine="630" w:firstLineChars="300"/>
        <w:rPr>
          <w:rFonts w:ascii="宋体" w:hAnsi="宋体"/>
          <w:szCs w:val="21"/>
        </w:rPr>
      </w:pPr>
      <w:r>
        <w:rPr>
          <w:rFonts w:hint="eastAsia" w:ascii="宋体" w:hAnsi="宋体"/>
          <w:szCs w:val="21"/>
        </w:rPr>
        <w:t>第八章  定标及公示</w:t>
      </w:r>
    </w:p>
    <w:p w14:paraId="7F6C9254">
      <w:pPr>
        <w:ind w:left="630" w:leftChars="300" w:firstLine="630" w:firstLineChars="300"/>
        <w:rPr>
          <w:rFonts w:ascii="宋体" w:hAnsi="宋体"/>
          <w:szCs w:val="21"/>
        </w:rPr>
      </w:pPr>
      <w:r>
        <w:rPr>
          <w:rFonts w:hint="eastAsia" w:ascii="宋体" w:hAnsi="宋体"/>
          <w:szCs w:val="21"/>
        </w:rPr>
        <w:t>第九章  公开招标失败的后续处理</w:t>
      </w:r>
    </w:p>
    <w:p w14:paraId="4D815017">
      <w:pPr>
        <w:ind w:left="630" w:leftChars="300" w:firstLine="630" w:firstLineChars="300"/>
        <w:rPr>
          <w:rFonts w:ascii="宋体" w:hAnsi="宋体"/>
          <w:szCs w:val="21"/>
        </w:rPr>
      </w:pPr>
      <w:r>
        <w:rPr>
          <w:rFonts w:hint="eastAsia" w:ascii="宋体" w:hAnsi="宋体"/>
          <w:szCs w:val="21"/>
        </w:rPr>
        <w:t>第十章  合同的授予与备案</w:t>
      </w:r>
    </w:p>
    <w:p w14:paraId="77001B44">
      <w:pPr>
        <w:ind w:left="630" w:leftChars="300" w:firstLine="630" w:firstLineChars="300"/>
        <w:rPr>
          <w:rFonts w:ascii="宋体" w:hAnsi="宋体"/>
          <w:szCs w:val="21"/>
        </w:rPr>
      </w:pPr>
      <w:r>
        <w:rPr>
          <w:rFonts w:hint="eastAsia" w:ascii="宋体" w:hAnsi="宋体"/>
          <w:szCs w:val="21"/>
        </w:rPr>
        <w:t>第十一章  质疑处理</w:t>
      </w:r>
    </w:p>
    <w:p w14:paraId="7A99580D">
      <w:pPr>
        <w:widowControl/>
        <w:jc w:val="left"/>
        <w:rPr>
          <w:rFonts w:ascii="宋体" w:hAnsi="宋体"/>
          <w:szCs w:val="21"/>
        </w:rPr>
      </w:pPr>
      <w:r>
        <w:rPr>
          <w:rFonts w:ascii="宋体" w:hAnsi="宋体"/>
          <w:szCs w:val="21"/>
        </w:rPr>
        <w:br w:type="page"/>
      </w:r>
    </w:p>
    <w:p w14:paraId="276B75AA">
      <w:pPr>
        <w:pStyle w:val="4"/>
        <w:rPr>
          <w:sz w:val="24"/>
        </w:rPr>
      </w:pPr>
      <w:bookmarkStart w:id="2" w:name="bt投标报价汇总表"/>
      <w:bookmarkEnd w:id="2"/>
      <w:bookmarkStart w:id="3" w:name="bt商务标投标文件格式"/>
      <w:bookmarkEnd w:id="3"/>
      <w:bookmarkStart w:id="4" w:name="bt开标一览表"/>
      <w:bookmarkEnd w:id="4"/>
      <w:bookmarkStart w:id="5" w:name="bt本工程承诺书"/>
      <w:bookmarkEnd w:id="5"/>
      <w:bookmarkStart w:id="6" w:name="bt投标人须知"/>
      <w:bookmarkEnd w:id="6"/>
      <w:bookmarkStart w:id="7" w:name="bt投标人情况介绍"/>
      <w:bookmarkEnd w:id="7"/>
      <w:bookmarkStart w:id="8" w:name="bt投标函"/>
      <w:bookmarkEnd w:id="8"/>
      <w:bookmarkStart w:id="9" w:name="bt投标文件签署授权委托书"/>
      <w:bookmarkEnd w:id="9"/>
      <w:bookmarkStart w:id="10" w:name="bt其他资料由投标人自定"/>
      <w:bookmarkEnd w:id="10"/>
      <w:bookmarkStart w:id="11" w:name="bt合同条款及格式"/>
      <w:bookmarkEnd w:id="11"/>
      <w:bookmarkStart w:id="12" w:name="bt说明"/>
      <w:bookmarkEnd w:id="12"/>
      <w:bookmarkStart w:id="13" w:name="bt技术标投标文件格式"/>
      <w:bookmarkEnd w:id="13"/>
      <w:bookmarkStart w:id="14" w:name="bt合同条款"/>
      <w:bookmarkEnd w:id="14"/>
      <w:bookmarkStart w:id="15" w:name="合同格式"/>
      <w:bookmarkEnd w:id="15"/>
      <w:bookmarkStart w:id="16" w:name="bt其他资料2"/>
      <w:bookmarkEnd w:id="16"/>
      <w:bookmarkStart w:id="17" w:name="bt合同格式"/>
      <w:bookmarkEnd w:id="17"/>
      <w:bookmarkStart w:id="18" w:name="bt项目管理班子配备情况"/>
      <w:bookmarkEnd w:id="18"/>
      <w:r>
        <w:rPr>
          <w:rFonts w:hint="eastAsia"/>
        </w:rPr>
        <w:t>第一册  专用条款</w:t>
      </w:r>
    </w:p>
    <w:p w14:paraId="7EDB99B6">
      <w:pPr>
        <w:pStyle w:val="7"/>
        <w:rPr>
          <w:sz w:val="28"/>
          <w:szCs w:val="28"/>
        </w:rPr>
      </w:pPr>
      <w:r>
        <w:rPr>
          <w:rFonts w:hint="eastAsia"/>
          <w:sz w:val="28"/>
          <w:szCs w:val="28"/>
        </w:rPr>
        <w:t>第一章 招标公告</w:t>
      </w:r>
    </w:p>
    <w:tbl>
      <w:tblPr>
        <w:tblStyle w:val="43"/>
        <w:tblW w:w="8147" w:type="dxa"/>
        <w:jc w:val="center"/>
        <w:tblCellSpacing w:w="0" w:type="dxa"/>
        <w:tblLayout w:type="fixed"/>
        <w:tblCellMar>
          <w:top w:w="0" w:type="dxa"/>
          <w:left w:w="0" w:type="dxa"/>
          <w:bottom w:w="0" w:type="dxa"/>
          <w:right w:w="0" w:type="dxa"/>
        </w:tblCellMar>
      </w:tblPr>
      <w:tblGrid>
        <w:gridCol w:w="8147"/>
      </w:tblGrid>
      <w:tr w14:paraId="18A2C341">
        <w:tblPrEx>
          <w:tblCellMar>
            <w:top w:w="0" w:type="dxa"/>
            <w:left w:w="0" w:type="dxa"/>
            <w:bottom w:w="0" w:type="dxa"/>
            <w:right w:w="0" w:type="dxa"/>
          </w:tblCellMar>
        </w:tblPrEx>
        <w:trPr>
          <w:tblCellSpacing w:w="0" w:type="dxa"/>
          <w:jc w:val="center"/>
        </w:trPr>
        <w:tc>
          <w:tcPr>
            <w:tcW w:w="8147" w:type="dxa"/>
            <w:vAlign w:val="center"/>
          </w:tcPr>
          <w:tbl>
            <w:tblPr>
              <w:tblStyle w:val="43"/>
              <w:tblW w:w="8147" w:type="dxa"/>
              <w:jc w:val="center"/>
              <w:tblCellSpacing w:w="0" w:type="dxa"/>
              <w:tblLayout w:type="fixed"/>
              <w:tblCellMar>
                <w:top w:w="30" w:type="dxa"/>
                <w:left w:w="30" w:type="dxa"/>
                <w:bottom w:w="30" w:type="dxa"/>
                <w:right w:w="30" w:type="dxa"/>
              </w:tblCellMar>
            </w:tblPr>
            <w:tblGrid>
              <w:gridCol w:w="8147"/>
            </w:tblGrid>
            <w:tr w14:paraId="53E25F83">
              <w:tblPrEx>
                <w:tblCellMar>
                  <w:top w:w="30" w:type="dxa"/>
                  <w:left w:w="30" w:type="dxa"/>
                  <w:bottom w:w="30" w:type="dxa"/>
                  <w:right w:w="30" w:type="dxa"/>
                </w:tblCellMar>
              </w:tblPrEx>
              <w:trPr>
                <w:tblCellSpacing w:w="0" w:type="dxa"/>
                <w:jc w:val="center"/>
              </w:trPr>
              <w:tc>
                <w:tcPr>
                  <w:tcW w:w="8147" w:type="dxa"/>
                </w:tcPr>
                <w:p w14:paraId="45F9ED47">
                  <w:pPr>
                    <w:spacing w:line="360" w:lineRule="auto"/>
                    <w:rPr>
                      <w:rFonts w:ascii="宋体" w:hAnsi="宋体" w:cs="宋体"/>
                      <w:b/>
                      <w:bCs/>
                      <w:kern w:val="0"/>
                      <w:szCs w:val="21"/>
                    </w:rPr>
                  </w:pPr>
                  <w:r>
                    <w:rPr>
                      <w:rFonts w:hint="eastAsia" w:ascii="宋体" w:hAnsi="宋体" w:cs="宋体"/>
                      <w:b/>
                      <w:bCs/>
                      <w:kern w:val="0"/>
                      <w:szCs w:val="21"/>
                    </w:rPr>
                    <w:t>申请人的资格要求：</w:t>
                  </w:r>
                </w:p>
                <w:p w14:paraId="51044F40">
                  <w:pPr>
                    <w:ind w:firstLine="420" w:firstLineChars="200"/>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bookmarkStart w:id="19" w:name="_Hlk72162904"/>
                  <w:r>
                    <w:rPr>
                      <w:rFonts w:hint="eastAsia" w:ascii="宋体" w:hAnsi="宋体" w:cs="宋体"/>
                      <w:kern w:val="0"/>
                      <w:szCs w:val="21"/>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bookmarkEnd w:id="19"/>
                </w:p>
                <w:p w14:paraId="06D9EE06">
                  <w:pPr>
                    <w:ind w:firstLine="420" w:firstLineChars="200"/>
                    <w:rPr>
                      <w:rFonts w:ascii="宋体" w:hAnsi="宋体" w:cs="宋体"/>
                      <w:kern w:val="0"/>
                      <w:szCs w:val="21"/>
                    </w:rPr>
                  </w:pPr>
                  <w:r>
                    <w:rPr>
                      <w:rFonts w:hint="eastAsia" w:ascii="宋体" w:hAnsi="宋体" w:cs="宋体"/>
                      <w:color w:val="FF0000"/>
                      <w:kern w:val="0"/>
                      <w:szCs w:val="21"/>
                    </w:rPr>
                    <w:t>2.本项目不接受联合体投标，不接受投标人选用进口产品参与投标（由供应商在《政府采购投标及履约承诺函》中作出声明）；</w:t>
                  </w:r>
                </w:p>
                <w:p w14:paraId="0550390E">
                  <w:pPr>
                    <w:ind w:firstLine="420" w:firstLineChars="200"/>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14:paraId="0E49C213">
                  <w:pPr>
                    <w:ind w:firstLine="420" w:firstLineChars="200"/>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14:paraId="6D60B276">
                  <w:pPr>
                    <w:ind w:firstLine="420" w:firstLineChars="200"/>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p>
                <w:p w14:paraId="4891CA79">
                  <w:pPr>
                    <w:ind w:firstLine="420" w:firstLineChars="200"/>
                    <w:rPr>
                      <w:rFonts w:ascii="宋体" w:hAnsi="宋体" w:cs="宋体"/>
                      <w:color w:val="FF0000"/>
                      <w:kern w:val="0"/>
                      <w:szCs w:val="21"/>
                    </w:rPr>
                  </w:pPr>
                  <w:r>
                    <w:rPr>
                      <w:rFonts w:hint="eastAsia" w:ascii="宋体" w:hAnsi="宋体" w:cs="宋体"/>
                      <w:color w:val="FF0000"/>
                      <w:kern w:val="0"/>
                      <w:szCs w:val="21"/>
                    </w:rPr>
                    <w:t>6.不存在《深圳市财政局政府采购供应商信用信息管理办法》（深财规〔2023〕3号）列明的严重违法失信行为（由供应商在《政府采购投标及履约承诺函》中作出声明）；</w:t>
                  </w:r>
                </w:p>
                <w:p w14:paraId="5B075906">
                  <w:pPr>
                    <w:ind w:firstLine="420" w:firstLineChars="200"/>
                    <w:rPr>
                      <w:rFonts w:ascii="宋体" w:hAnsi="宋体" w:cs="宋体"/>
                      <w:kern w:val="0"/>
                      <w:szCs w:val="21"/>
                    </w:rPr>
                  </w:pPr>
                  <w:r>
                    <w:rPr>
                      <w:rFonts w:hint="eastAsia" w:ascii="宋体" w:hAnsi="宋体" w:cs="宋体"/>
                      <w:kern w:val="0"/>
                      <w:szCs w:val="21"/>
                    </w:rPr>
                    <w:t>7.为采购项目提供整体设计、规范编制或者项目管理、监理、检测等服务的供应商，不得再参加该采购项目的其他采购活动（由供应商在《政府采购投标及履约承诺函》中作出声明）；</w:t>
                  </w:r>
                </w:p>
                <w:p w14:paraId="41E93960">
                  <w:pPr>
                    <w:pStyle w:val="193"/>
                    <w:ind w:firstLine="420" w:firstLineChars="200"/>
                  </w:pPr>
                  <w:r>
                    <w:rPr>
                      <w:rFonts w:hint="eastAsia" w:ascii="宋体" w:hAnsi="宋体" w:cs="宋体"/>
                      <w:color w:val="FF0000"/>
                      <w:kern w:val="0"/>
                      <w:szCs w:val="21"/>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rPr>
                    <w:t>；</w:t>
                  </w:r>
                </w:p>
                <w:p w14:paraId="7361B66F">
                  <w:pPr>
                    <w:ind w:firstLine="420" w:firstLineChars="200"/>
                    <w:rPr>
                      <w:rFonts w:ascii="宋体" w:hAnsi="宋体" w:cs="宋体"/>
                      <w:kern w:val="0"/>
                      <w:szCs w:val="21"/>
                    </w:rPr>
                  </w:pPr>
                  <w:r>
                    <w:rPr>
                      <w:rFonts w:hint="eastAsia" w:ascii="宋体" w:hAnsi="宋体" w:cs="宋体"/>
                      <w:kern w:val="0"/>
                      <w:szCs w:val="21"/>
                    </w:rPr>
                    <w:t>9.本项目全部专门面向小微企业采购：</w:t>
                  </w:r>
                  <w:r>
                    <w:rPr>
                      <w:rFonts w:hint="eastAsia" w:ascii="Wingdings" w:hAnsi="Wingdings" w:cs="宋体"/>
                      <w:kern w:val="0"/>
                      <w:szCs w:val="21"/>
                    </w:rPr>
                    <w:t>þ</w:t>
                  </w:r>
                  <w:r>
                    <w:rPr>
                      <w:rFonts w:hint="eastAsia" w:ascii="宋体" w:hAnsi="宋体" w:cs="宋体"/>
                      <w:kern w:val="0"/>
                      <w:szCs w:val="21"/>
                    </w:rPr>
                    <w:t>是，本项目的承接服务商为符合政策要求的小微企业、残疾人福利性单位或监狱企业（由供应商在《小微企业声明函、残疾人福利性单位声明函及监狱企业声明函》中作出声明；未提供声明函或声明函不符合“填写指引”的，按资格审查不通过处理）。</w:t>
                  </w:r>
                </w:p>
                <w:p w14:paraId="5B5BEFF3">
                  <w:pPr>
                    <w:ind w:firstLine="422" w:firstLineChars="200"/>
                    <w:rPr>
                      <w:rFonts w:ascii="宋体" w:hAnsi="宋体" w:cs="宋体"/>
                      <w:b/>
                      <w:bCs/>
                      <w:kern w:val="0"/>
                      <w:szCs w:val="21"/>
                    </w:rPr>
                  </w:pPr>
                </w:p>
                <w:p w14:paraId="034B45D9">
                  <w:pPr>
                    <w:ind w:firstLine="420" w:firstLineChars="200"/>
                    <w:rPr>
                      <w:rFonts w:ascii="宋体" w:hAnsi="宋体" w:cs="宋体"/>
                      <w:b/>
                      <w:bCs/>
                      <w:kern w:val="0"/>
                      <w:szCs w:val="21"/>
                    </w:rPr>
                  </w:pPr>
                  <w:r>
                    <w:rPr>
                      <w:rFonts w:hint="eastAsia" w:ascii="宋体" w:hAnsi="宋体" w:cs="宋体"/>
                      <w:kern w:val="0"/>
                      <w:szCs w:val="21"/>
                    </w:rPr>
                    <w:t>注：</w:t>
                  </w:r>
                  <w:r>
                    <w:rPr>
                      <w:rFonts w:hint="eastAsia" w:ascii="宋体" w:hAnsi="宋体"/>
                    </w:rPr>
                    <w:t>（1）“信用中国”（www.creditchina.gov.cn，查询“信用服务”栏的“重大税收违法失信主体”“失信被执行人”或者下载信用信息报告），“中国政府采购网”（www.ccgp.gov.cn）中的“政府采购严重违法失信行为记录名单”，“深圳市政府采购监管网”（http://zfcg.sz.gov.cn），以及“深圳政府采购智慧平台信用库”中的严重违法失信信息为供应商信用信息的查询渠道，相关信息以开标当日的查询结果为准；</w:t>
                  </w:r>
                </w:p>
                <w:p w14:paraId="684D694A">
                  <w:pPr>
                    <w:ind w:firstLine="420" w:firstLineChars="200"/>
                    <w:rPr>
                      <w:rFonts w:ascii="宋体" w:hAnsi="宋体"/>
                    </w:rPr>
                  </w:pPr>
                  <w:r>
                    <w:rPr>
                      <w:rFonts w:hint="eastAsia" w:ascii="宋体" w:hAnsi="宋体"/>
                    </w:rPr>
                    <w:t>（2）供应商投标（上传投标文件）必须先行办理注册手续，具体请按照本公告“六、其他补充事宜</w:t>
                  </w:r>
                  <w:r>
                    <w:rPr>
                      <w:rFonts w:ascii="宋体" w:hAnsi="宋体"/>
                    </w:rPr>
                    <w:t>”</w:t>
                  </w:r>
                  <w:r>
                    <w:rPr>
                      <w:rFonts w:hint="eastAsia" w:ascii="宋体" w:hAnsi="宋体"/>
                    </w:rPr>
                    <w:t>相关内容指引办理。</w:t>
                  </w:r>
                </w:p>
                <w:p w14:paraId="134FDD6F">
                  <w:pPr>
                    <w:ind w:firstLine="442" w:firstLineChars="200"/>
                    <w:rPr>
                      <w:b/>
                      <w:sz w:val="22"/>
                      <w:szCs w:val="18"/>
                    </w:rPr>
                  </w:pPr>
                </w:p>
                <w:p w14:paraId="01A4F45E">
                  <w:pPr>
                    <w:ind w:firstLine="442" w:firstLineChars="200"/>
                    <w:rPr>
                      <w:rFonts w:ascii="宋体" w:hAnsi="宋体" w:cs="宋体"/>
                      <w:sz w:val="24"/>
                    </w:rPr>
                  </w:pPr>
                  <w:r>
                    <w:rPr>
                      <w:rFonts w:hint="eastAsia"/>
                      <w:b/>
                      <w:sz w:val="22"/>
                      <w:szCs w:val="18"/>
                    </w:rPr>
                    <w:t>完整公告内容详见：深圳公共资源交易网（</w:t>
                  </w:r>
                  <w:r>
                    <w:rPr>
                      <w:b/>
                      <w:sz w:val="22"/>
                      <w:szCs w:val="18"/>
                    </w:rPr>
                    <w:t>https://www.szggzy.com</w:t>
                  </w:r>
                  <w:r>
                    <w:rPr>
                      <w:rFonts w:hint="eastAsia"/>
                      <w:b/>
                      <w:sz w:val="22"/>
                      <w:szCs w:val="18"/>
                    </w:rPr>
                    <w:t>）</w:t>
                  </w:r>
                </w:p>
              </w:tc>
            </w:tr>
          </w:tbl>
          <w:p w14:paraId="2B7B0769">
            <w:pPr>
              <w:rPr>
                <w:rFonts w:ascii="宋体" w:hAnsi="宋体" w:cs="宋体"/>
                <w:sz w:val="24"/>
              </w:rPr>
            </w:pPr>
          </w:p>
        </w:tc>
      </w:tr>
    </w:tbl>
    <w:p w14:paraId="5AD3EF57">
      <w:r>
        <w:rPr>
          <w:rFonts w:hint="eastAsia"/>
        </w:rPr>
        <w:br w:type="page"/>
      </w:r>
    </w:p>
    <w:p w14:paraId="6AB253CC">
      <w:pPr>
        <w:pStyle w:val="7"/>
        <w:rPr>
          <w:sz w:val="28"/>
          <w:szCs w:val="28"/>
        </w:rPr>
      </w:pPr>
      <w:r>
        <w:rPr>
          <w:rFonts w:hint="eastAsia"/>
          <w:sz w:val="28"/>
          <w:szCs w:val="28"/>
        </w:rPr>
        <w:t>第二章 对通用条款的补充内容及其他关键信息</w:t>
      </w:r>
    </w:p>
    <w:p w14:paraId="0DC39641">
      <w:pPr>
        <w:pStyle w:val="7"/>
        <w:spacing w:before="120" w:beforeLines="50" w:after="120" w:afterLines="50"/>
        <w:rPr>
          <w:sz w:val="28"/>
          <w:szCs w:val="28"/>
        </w:rPr>
      </w:pPr>
      <w:bookmarkStart w:id="20" w:name="_Toc60631620"/>
      <w:bookmarkStart w:id="21" w:name="_Toc73517639"/>
      <w:bookmarkStart w:id="22" w:name="_Toc73521635"/>
      <w:bookmarkStart w:id="23" w:name="_Toc100052364"/>
      <w:bookmarkStart w:id="24" w:name="_Toc101074876"/>
      <w:bookmarkStart w:id="25" w:name="_Toc73518117"/>
      <w:bookmarkStart w:id="26" w:name="_Toc60560625"/>
      <w:bookmarkStart w:id="27" w:name="_Toc73521547"/>
      <w:r>
        <w:rPr>
          <w:rFonts w:hint="eastAsia"/>
          <w:szCs w:val="24"/>
        </w:rPr>
        <w:t>一、对通用条款的补充内容</w:t>
      </w:r>
    </w:p>
    <w:bookmarkEnd w:id="20"/>
    <w:bookmarkEnd w:id="21"/>
    <w:bookmarkEnd w:id="22"/>
    <w:bookmarkEnd w:id="23"/>
    <w:bookmarkEnd w:id="24"/>
    <w:bookmarkEnd w:id="25"/>
    <w:bookmarkEnd w:id="26"/>
    <w:bookmarkEnd w:id="27"/>
    <w:tbl>
      <w:tblPr>
        <w:tblStyle w:val="43"/>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8"/>
        <w:gridCol w:w="2409"/>
        <w:gridCol w:w="4980"/>
      </w:tblGrid>
      <w:tr w14:paraId="5993B8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66548EB">
            <w:pPr>
              <w:jc w:val="center"/>
              <w:rPr>
                <w:rFonts w:ascii="宋体" w:hAnsi="宋体"/>
                <w:b/>
                <w:bCs/>
              </w:rPr>
            </w:pPr>
            <w:r>
              <w:rPr>
                <w:rFonts w:hint="eastAsia" w:ascii="宋体" w:hAnsi="宋体"/>
                <w:b/>
                <w:bCs/>
              </w:rPr>
              <w:t>通用条款序号</w:t>
            </w:r>
          </w:p>
        </w:tc>
        <w:tc>
          <w:tcPr>
            <w:tcW w:w="2409" w:type="dxa"/>
            <w:vAlign w:val="center"/>
          </w:tcPr>
          <w:p w14:paraId="57509F10">
            <w:pPr>
              <w:jc w:val="center"/>
              <w:rPr>
                <w:rFonts w:ascii="宋体" w:hAnsi="宋体"/>
                <w:b/>
                <w:bCs/>
              </w:rPr>
            </w:pPr>
            <w:r>
              <w:rPr>
                <w:rFonts w:hint="eastAsia" w:ascii="宋体" w:hAnsi="宋体"/>
                <w:b/>
                <w:bCs/>
              </w:rPr>
              <w:t>涉及事项</w:t>
            </w:r>
          </w:p>
        </w:tc>
        <w:tc>
          <w:tcPr>
            <w:tcW w:w="4980" w:type="dxa"/>
            <w:vAlign w:val="center"/>
          </w:tcPr>
          <w:p w14:paraId="41853DC7">
            <w:pPr>
              <w:jc w:val="center"/>
              <w:rPr>
                <w:rFonts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14:paraId="424341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5B7FC31">
            <w:pPr>
              <w:jc w:val="center"/>
              <w:rPr>
                <w:rFonts w:ascii="宋体" w:hAnsi="宋体"/>
              </w:rPr>
            </w:pPr>
            <w:r>
              <w:rPr>
                <w:rFonts w:hint="eastAsia" w:ascii="宋体" w:hAnsi="宋体"/>
              </w:rPr>
              <w:t>3</w:t>
            </w:r>
            <w:r>
              <w:rPr>
                <w:rFonts w:ascii="宋体" w:hAnsi="宋体"/>
              </w:rPr>
              <w:t>.1</w:t>
            </w:r>
          </w:p>
        </w:tc>
        <w:tc>
          <w:tcPr>
            <w:tcW w:w="2409" w:type="dxa"/>
            <w:vAlign w:val="center"/>
          </w:tcPr>
          <w:p w14:paraId="7471D438">
            <w:pPr>
              <w:jc w:val="center"/>
            </w:pPr>
            <w:r>
              <w:rPr>
                <w:rFonts w:hint="eastAsia"/>
              </w:rPr>
              <w:t>采购人</w:t>
            </w:r>
          </w:p>
        </w:tc>
        <w:tc>
          <w:tcPr>
            <w:tcW w:w="4980" w:type="dxa"/>
            <w:vAlign w:val="center"/>
          </w:tcPr>
          <w:p w14:paraId="5B70CF4D">
            <w:pPr>
              <w:jc w:val="center"/>
              <w:rPr>
                <w:rFonts w:ascii="宋体" w:hAnsi="宋体"/>
              </w:rPr>
            </w:pPr>
            <w:r>
              <w:rPr>
                <w:rFonts w:hint="eastAsia" w:ascii="宋体" w:hAnsi="宋体"/>
              </w:rPr>
              <w:t>深圳市公安局交通管理局</w:t>
            </w:r>
          </w:p>
        </w:tc>
      </w:tr>
      <w:tr w14:paraId="556C13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AF4A541">
            <w:pPr>
              <w:jc w:val="center"/>
              <w:rPr>
                <w:rFonts w:ascii="宋体" w:hAnsi="宋体"/>
              </w:rPr>
            </w:pPr>
            <w:r>
              <w:rPr>
                <w:rFonts w:hint="eastAsia" w:ascii="宋体" w:hAnsi="宋体"/>
              </w:rPr>
              <w:t>3</w:t>
            </w:r>
            <w:r>
              <w:rPr>
                <w:rFonts w:ascii="宋体" w:hAnsi="宋体"/>
              </w:rPr>
              <w:t>.2</w:t>
            </w:r>
          </w:p>
        </w:tc>
        <w:tc>
          <w:tcPr>
            <w:tcW w:w="2409" w:type="dxa"/>
            <w:vAlign w:val="center"/>
          </w:tcPr>
          <w:p w14:paraId="2C39D547">
            <w:pPr>
              <w:jc w:val="center"/>
              <w:rPr>
                <w:rFonts w:ascii="宋体" w:hAnsi="宋体"/>
              </w:rPr>
            </w:pPr>
            <w:r>
              <w:rPr>
                <w:rFonts w:hint="eastAsia" w:ascii="宋体" w:hAnsi="宋体"/>
              </w:rPr>
              <w:t>政府集中采购机构</w:t>
            </w:r>
          </w:p>
        </w:tc>
        <w:tc>
          <w:tcPr>
            <w:tcW w:w="4980" w:type="dxa"/>
            <w:vAlign w:val="center"/>
          </w:tcPr>
          <w:p w14:paraId="5C8CF494">
            <w:pPr>
              <w:jc w:val="center"/>
              <w:rPr>
                <w:rFonts w:ascii="宋体" w:hAnsi="宋体"/>
              </w:rPr>
            </w:pPr>
            <w:r>
              <w:rPr>
                <w:rFonts w:hint="eastAsia" w:ascii="宋体" w:hAnsi="宋体"/>
              </w:rPr>
              <w:t>深圳公共资源交易中心</w:t>
            </w:r>
          </w:p>
          <w:p w14:paraId="5D48EA0D">
            <w:pPr>
              <w:jc w:val="center"/>
              <w:rPr>
                <w:rFonts w:ascii="宋体" w:hAnsi="宋体"/>
              </w:rPr>
            </w:pPr>
            <w:r>
              <w:rPr>
                <w:rFonts w:hint="eastAsia" w:ascii="宋体" w:hAnsi="宋体"/>
              </w:rPr>
              <w:t>（深圳交易集团有限公司政府采购业务分公司）</w:t>
            </w:r>
          </w:p>
        </w:tc>
      </w:tr>
      <w:tr w14:paraId="3494D1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35A0223">
            <w:pPr>
              <w:jc w:val="center"/>
              <w:rPr>
                <w:rFonts w:ascii="宋体" w:hAnsi="宋体"/>
              </w:rPr>
            </w:pPr>
            <w:r>
              <w:rPr>
                <w:rFonts w:hint="eastAsia" w:ascii="宋体" w:hAnsi="宋体"/>
              </w:rPr>
              <w:t>9</w:t>
            </w:r>
          </w:p>
        </w:tc>
        <w:tc>
          <w:tcPr>
            <w:tcW w:w="2409" w:type="dxa"/>
            <w:vAlign w:val="center"/>
          </w:tcPr>
          <w:p w14:paraId="36D0709B">
            <w:pPr>
              <w:jc w:val="center"/>
              <w:rPr>
                <w:rFonts w:ascii="宋体" w:hAnsi="宋体"/>
              </w:rPr>
            </w:pPr>
            <w:r>
              <w:rPr>
                <w:rFonts w:hint="eastAsia" w:ascii="宋体" w:hAnsi="宋体"/>
              </w:rPr>
              <w:t>踏勘现场</w:t>
            </w:r>
          </w:p>
        </w:tc>
        <w:tc>
          <w:tcPr>
            <w:tcW w:w="4980" w:type="dxa"/>
            <w:vAlign w:val="center"/>
          </w:tcPr>
          <w:p w14:paraId="2EAC9D12">
            <w:pPr>
              <w:jc w:val="center"/>
              <w:rPr>
                <w:rFonts w:ascii="宋体" w:hAnsi="宋体"/>
              </w:rPr>
            </w:pPr>
            <w:r>
              <w:rPr>
                <w:rFonts w:hint="eastAsia" w:ascii="宋体" w:hAnsi="宋体"/>
              </w:rPr>
              <w:t>不组织</w:t>
            </w:r>
          </w:p>
        </w:tc>
      </w:tr>
      <w:tr w14:paraId="74D709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3BFE103">
            <w:pPr>
              <w:jc w:val="center"/>
              <w:rPr>
                <w:rFonts w:ascii="宋体" w:hAnsi="宋体"/>
              </w:rPr>
            </w:pPr>
            <w:r>
              <w:rPr>
                <w:rFonts w:hint="eastAsia" w:ascii="宋体" w:hAnsi="宋体"/>
              </w:rPr>
              <w:t>1</w:t>
            </w:r>
            <w:r>
              <w:rPr>
                <w:rFonts w:ascii="宋体" w:hAnsi="宋体"/>
              </w:rPr>
              <w:t>0</w:t>
            </w:r>
          </w:p>
        </w:tc>
        <w:tc>
          <w:tcPr>
            <w:tcW w:w="2409" w:type="dxa"/>
            <w:vAlign w:val="center"/>
          </w:tcPr>
          <w:p w14:paraId="10A87DF0">
            <w:pPr>
              <w:jc w:val="center"/>
              <w:rPr>
                <w:rFonts w:ascii="宋体" w:hAnsi="宋体"/>
              </w:rPr>
            </w:pPr>
            <w:r>
              <w:rPr>
                <w:rFonts w:hint="eastAsia" w:ascii="宋体" w:hAnsi="宋体"/>
              </w:rPr>
              <w:t>标前会议</w:t>
            </w:r>
          </w:p>
        </w:tc>
        <w:tc>
          <w:tcPr>
            <w:tcW w:w="4980" w:type="dxa"/>
            <w:vAlign w:val="center"/>
          </w:tcPr>
          <w:p w14:paraId="1EF8B314">
            <w:pPr>
              <w:jc w:val="center"/>
              <w:rPr>
                <w:rFonts w:ascii="宋体" w:hAnsi="宋体"/>
              </w:rPr>
            </w:pPr>
            <w:r>
              <w:rPr>
                <w:rFonts w:hint="eastAsia" w:ascii="宋体" w:hAnsi="宋体"/>
              </w:rPr>
              <w:t>不组织</w:t>
            </w:r>
          </w:p>
        </w:tc>
      </w:tr>
      <w:tr w14:paraId="5B762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F394BDD">
            <w:pPr>
              <w:jc w:val="center"/>
              <w:rPr>
                <w:rFonts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2409" w:type="dxa"/>
            <w:vAlign w:val="center"/>
          </w:tcPr>
          <w:p w14:paraId="6D2DDC0A">
            <w:pPr>
              <w:jc w:val="center"/>
              <w:rPr>
                <w:rFonts w:ascii="宋体" w:hAnsi="宋体"/>
              </w:rPr>
            </w:pPr>
            <w:r>
              <w:rPr>
                <w:rFonts w:hint="eastAsia" w:ascii="宋体" w:hAnsi="宋体"/>
              </w:rPr>
              <w:t>招标文件的澄清和修改</w:t>
            </w:r>
          </w:p>
        </w:tc>
        <w:tc>
          <w:tcPr>
            <w:tcW w:w="4980" w:type="dxa"/>
            <w:vAlign w:val="center"/>
          </w:tcPr>
          <w:p w14:paraId="2738CB19">
            <w:pPr>
              <w:jc w:val="center"/>
              <w:rPr>
                <w:rFonts w:ascii="宋体" w:hAnsi="宋体"/>
              </w:rPr>
            </w:pPr>
            <w:r>
              <w:rPr>
                <w:rFonts w:hint="eastAsia" w:ascii="宋体" w:hAnsi="宋体"/>
              </w:rPr>
              <w:t>投标截止日三日前，投标人有义务在招标期间在政府集中采购机构网站浏览与本项目有关的澄清和修改信息</w:t>
            </w:r>
          </w:p>
        </w:tc>
      </w:tr>
      <w:tr w14:paraId="6EB55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47B8147">
            <w:pPr>
              <w:jc w:val="center"/>
              <w:rPr>
                <w:rFonts w:ascii="宋体" w:hAnsi="宋体"/>
              </w:rPr>
            </w:pPr>
            <w:r>
              <w:rPr>
                <w:rFonts w:hint="eastAsia" w:ascii="宋体" w:hAnsi="宋体"/>
              </w:rPr>
              <w:t>2</w:t>
            </w:r>
            <w:r>
              <w:rPr>
                <w:rFonts w:ascii="宋体" w:hAnsi="宋体"/>
              </w:rPr>
              <w:t>0</w:t>
            </w:r>
          </w:p>
        </w:tc>
        <w:tc>
          <w:tcPr>
            <w:tcW w:w="2409" w:type="dxa"/>
            <w:vAlign w:val="center"/>
          </w:tcPr>
          <w:p w14:paraId="4BB11C01">
            <w:pPr>
              <w:jc w:val="center"/>
              <w:rPr>
                <w:rFonts w:ascii="宋体" w:hAnsi="宋体"/>
              </w:rPr>
            </w:pPr>
            <w:r>
              <w:rPr>
                <w:rFonts w:hint="eastAsia" w:ascii="宋体" w:hAnsi="宋体"/>
              </w:rPr>
              <w:t>投标有效期</w:t>
            </w:r>
          </w:p>
        </w:tc>
        <w:tc>
          <w:tcPr>
            <w:tcW w:w="4980" w:type="dxa"/>
            <w:vAlign w:val="center"/>
          </w:tcPr>
          <w:p w14:paraId="145B3C2B">
            <w:pPr>
              <w:jc w:val="center"/>
              <w:rPr>
                <w:rFonts w:ascii="宋体" w:hAnsi="宋体"/>
              </w:rPr>
            </w:pPr>
            <w:r>
              <w:rPr>
                <w:rFonts w:hint="eastAsia" w:ascii="宋体" w:hAnsi="宋体"/>
              </w:rPr>
              <w:t>120个日历日</w:t>
            </w:r>
          </w:p>
        </w:tc>
      </w:tr>
      <w:tr w14:paraId="565F74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FC3A007">
            <w:pPr>
              <w:jc w:val="center"/>
              <w:rPr>
                <w:rFonts w:ascii="宋体" w:hAnsi="宋体"/>
              </w:rPr>
            </w:pPr>
            <w:r>
              <w:rPr>
                <w:rFonts w:hint="eastAsia" w:ascii="宋体" w:hAnsi="宋体"/>
              </w:rPr>
              <w:t>2</w:t>
            </w:r>
            <w:r>
              <w:rPr>
                <w:rFonts w:ascii="宋体" w:hAnsi="宋体"/>
              </w:rPr>
              <w:t>2</w:t>
            </w:r>
          </w:p>
        </w:tc>
        <w:tc>
          <w:tcPr>
            <w:tcW w:w="2409" w:type="dxa"/>
            <w:vAlign w:val="center"/>
          </w:tcPr>
          <w:p w14:paraId="595A6D57">
            <w:pPr>
              <w:jc w:val="center"/>
              <w:rPr>
                <w:rFonts w:ascii="宋体" w:hAnsi="宋体"/>
              </w:rPr>
            </w:pPr>
            <w:r>
              <w:rPr>
                <w:rFonts w:hint="eastAsia" w:ascii="宋体" w:hAnsi="宋体"/>
              </w:rPr>
              <w:t>投标人的替代方案</w:t>
            </w:r>
          </w:p>
        </w:tc>
        <w:tc>
          <w:tcPr>
            <w:tcW w:w="4980" w:type="dxa"/>
            <w:vAlign w:val="center"/>
          </w:tcPr>
          <w:p w14:paraId="6C6AA910">
            <w:pPr>
              <w:jc w:val="center"/>
              <w:rPr>
                <w:rFonts w:ascii="宋体" w:hAnsi="宋体"/>
              </w:rPr>
            </w:pPr>
            <w:r>
              <w:rPr>
                <w:rFonts w:hint="eastAsia" w:ascii="宋体" w:hAnsi="宋体"/>
              </w:rPr>
              <w:t>不接受</w:t>
            </w:r>
          </w:p>
        </w:tc>
      </w:tr>
      <w:tr w14:paraId="1F606A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6B5BBA7">
            <w:pPr>
              <w:jc w:val="center"/>
              <w:rPr>
                <w:rFonts w:ascii="宋体" w:hAnsi="宋体"/>
              </w:rPr>
            </w:pPr>
            <w:r>
              <w:rPr>
                <w:rFonts w:hint="eastAsia" w:ascii="宋体" w:hAnsi="宋体"/>
              </w:rPr>
              <w:t>2</w:t>
            </w:r>
            <w:r>
              <w:rPr>
                <w:rFonts w:ascii="宋体" w:hAnsi="宋体"/>
              </w:rPr>
              <w:t>5</w:t>
            </w:r>
          </w:p>
        </w:tc>
        <w:tc>
          <w:tcPr>
            <w:tcW w:w="2409" w:type="dxa"/>
            <w:vAlign w:val="center"/>
          </w:tcPr>
          <w:p w14:paraId="5AF24D21">
            <w:pPr>
              <w:jc w:val="center"/>
              <w:rPr>
                <w:rFonts w:ascii="宋体" w:hAnsi="宋体"/>
              </w:rPr>
            </w:pPr>
            <w:r>
              <w:rPr>
                <w:rFonts w:hint="eastAsia" w:ascii="宋体" w:hAnsi="宋体"/>
              </w:rPr>
              <w:t>投标文件的大小</w:t>
            </w:r>
          </w:p>
        </w:tc>
        <w:tc>
          <w:tcPr>
            <w:tcW w:w="4980" w:type="dxa"/>
            <w:vAlign w:val="center"/>
          </w:tcPr>
          <w:p w14:paraId="01BED6CA">
            <w:pPr>
              <w:jc w:val="center"/>
              <w:rPr>
                <w:rFonts w:ascii="宋体" w:hAnsi="宋体"/>
              </w:rPr>
            </w:pPr>
            <w:r>
              <w:rPr>
                <w:rFonts w:hint="eastAsia" w:ascii="宋体" w:hAnsi="宋体"/>
              </w:rPr>
              <w:t>投标文件大小不得超过250MB</w:t>
            </w:r>
          </w:p>
        </w:tc>
      </w:tr>
      <w:tr w14:paraId="67F15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0B30133">
            <w:pPr>
              <w:jc w:val="center"/>
              <w:rPr>
                <w:rFonts w:ascii="宋体" w:hAnsi="宋体"/>
              </w:rPr>
            </w:pPr>
            <w:r>
              <w:rPr>
                <w:rFonts w:hint="eastAsia" w:ascii="宋体" w:hAnsi="宋体"/>
              </w:rPr>
              <w:t>2</w:t>
            </w:r>
            <w:r>
              <w:rPr>
                <w:rFonts w:ascii="宋体" w:hAnsi="宋体"/>
              </w:rPr>
              <w:t>6</w:t>
            </w:r>
          </w:p>
        </w:tc>
        <w:tc>
          <w:tcPr>
            <w:tcW w:w="2409" w:type="dxa"/>
            <w:vAlign w:val="center"/>
          </w:tcPr>
          <w:p w14:paraId="79376369">
            <w:pPr>
              <w:jc w:val="center"/>
              <w:rPr>
                <w:rFonts w:ascii="宋体" w:hAnsi="宋体"/>
              </w:rPr>
            </w:pPr>
            <w:bookmarkStart w:id="28" w:name="_Hlk71664860"/>
            <w:r>
              <w:rPr>
                <w:rFonts w:hint="eastAsia" w:ascii="宋体" w:hAnsi="宋体"/>
              </w:rPr>
              <w:t>现场演示、方案讲解</w:t>
            </w:r>
            <w:bookmarkEnd w:id="28"/>
          </w:p>
        </w:tc>
        <w:tc>
          <w:tcPr>
            <w:tcW w:w="4980" w:type="dxa"/>
            <w:vAlign w:val="center"/>
          </w:tcPr>
          <w:p w14:paraId="60DB5ACE">
            <w:pPr>
              <w:jc w:val="center"/>
              <w:rPr>
                <w:rFonts w:ascii="宋体" w:hAnsi="宋体"/>
              </w:rPr>
            </w:pPr>
            <w:r>
              <w:rPr>
                <w:rFonts w:hint="eastAsia" w:ascii="宋体" w:hAnsi="宋体"/>
              </w:rPr>
              <w:t>如有样品、演示、方案讲解，具体安排见第三章 用户需求书相关要求</w:t>
            </w:r>
          </w:p>
        </w:tc>
      </w:tr>
      <w:tr w14:paraId="2F2DF2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802E14">
            <w:pPr>
              <w:jc w:val="center"/>
              <w:rPr>
                <w:rFonts w:ascii="宋体" w:hAnsi="宋体"/>
              </w:rPr>
            </w:pPr>
            <w:r>
              <w:rPr>
                <w:rFonts w:hint="eastAsia" w:ascii="宋体" w:hAnsi="宋体"/>
              </w:rPr>
              <w:t>3</w:t>
            </w:r>
            <w:r>
              <w:rPr>
                <w:rFonts w:ascii="宋体" w:hAnsi="宋体"/>
              </w:rPr>
              <w:t>7</w:t>
            </w:r>
          </w:p>
        </w:tc>
        <w:tc>
          <w:tcPr>
            <w:tcW w:w="2409" w:type="dxa"/>
            <w:vAlign w:val="center"/>
          </w:tcPr>
          <w:p w14:paraId="2AA01D95">
            <w:pPr>
              <w:jc w:val="center"/>
              <w:rPr>
                <w:rFonts w:ascii="宋体" w:hAnsi="宋体"/>
              </w:rPr>
            </w:pPr>
            <w:r>
              <w:rPr>
                <w:rFonts w:hint="eastAsia" w:ascii="宋体" w:hAnsi="宋体"/>
              </w:rPr>
              <w:t>评审方法</w:t>
            </w:r>
          </w:p>
        </w:tc>
        <w:tc>
          <w:tcPr>
            <w:tcW w:w="4980" w:type="dxa"/>
            <w:vAlign w:val="center"/>
          </w:tcPr>
          <w:p w14:paraId="41986D4A">
            <w:pPr>
              <w:jc w:val="left"/>
              <w:rPr>
                <w:rFonts w:ascii="宋体" w:hAnsi="宋体"/>
              </w:rPr>
            </w:pPr>
            <w:r>
              <w:rPr>
                <w:rFonts w:hint="eastAsia" w:ascii="宋体" w:hAnsi="宋体"/>
              </w:rPr>
              <w:t>☑ 综合评分法</w:t>
            </w:r>
          </w:p>
        </w:tc>
      </w:tr>
      <w:tr w14:paraId="3EB388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D83B680">
            <w:pPr>
              <w:jc w:val="center"/>
              <w:rPr>
                <w:rFonts w:ascii="宋体" w:hAnsi="宋体"/>
              </w:rPr>
            </w:pPr>
            <w:r>
              <w:rPr>
                <w:rFonts w:hint="eastAsia" w:ascii="宋体" w:hAnsi="宋体"/>
              </w:rPr>
              <w:t>3</w:t>
            </w:r>
            <w:r>
              <w:rPr>
                <w:rFonts w:ascii="宋体" w:hAnsi="宋体"/>
              </w:rPr>
              <w:t>8</w:t>
            </w:r>
          </w:p>
        </w:tc>
        <w:tc>
          <w:tcPr>
            <w:tcW w:w="2409" w:type="dxa"/>
            <w:vAlign w:val="center"/>
          </w:tcPr>
          <w:p w14:paraId="19F36F81">
            <w:pPr>
              <w:jc w:val="center"/>
              <w:rPr>
                <w:rFonts w:ascii="宋体" w:hAnsi="宋体"/>
              </w:rPr>
            </w:pPr>
            <w:r>
              <w:rPr>
                <w:rFonts w:hint="eastAsia" w:ascii="宋体" w:hAnsi="宋体"/>
              </w:rPr>
              <w:t>定标方法</w:t>
            </w:r>
          </w:p>
        </w:tc>
        <w:tc>
          <w:tcPr>
            <w:tcW w:w="4980" w:type="dxa"/>
            <w:vAlign w:val="center"/>
          </w:tcPr>
          <w:p w14:paraId="1D0BB0BB">
            <w:pPr>
              <w:jc w:val="left"/>
              <w:rPr>
                <w:rFonts w:ascii="宋体" w:hAnsi="宋体"/>
              </w:rPr>
            </w:pPr>
            <w:r>
              <w:rPr>
                <w:rFonts w:hint="eastAsia" w:ascii="宋体" w:hAnsi="宋体"/>
                <w:lang w:eastAsia="zh-CN"/>
              </w:rPr>
              <w:t>☑</w:t>
            </w:r>
            <w:r>
              <w:rPr>
                <w:rFonts w:hint="eastAsia" w:ascii="宋体" w:hAnsi="宋体"/>
              </w:rPr>
              <w:t xml:space="preserve"> 非评定分离</w:t>
            </w:r>
          </w:p>
        </w:tc>
      </w:tr>
      <w:tr w14:paraId="344165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C512F4">
            <w:pPr>
              <w:jc w:val="center"/>
              <w:rPr>
                <w:rFonts w:ascii="宋体" w:hAnsi="宋体"/>
              </w:rPr>
            </w:pPr>
            <w:r>
              <w:rPr>
                <w:rFonts w:hint="eastAsia" w:ascii="宋体" w:hAnsi="宋体"/>
              </w:rPr>
              <w:t>4</w:t>
            </w:r>
            <w:r>
              <w:rPr>
                <w:rFonts w:ascii="宋体" w:hAnsi="宋体"/>
              </w:rPr>
              <w:t>6</w:t>
            </w:r>
          </w:p>
        </w:tc>
        <w:tc>
          <w:tcPr>
            <w:tcW w:w="2409" w:type="dxa"/>
            <w:vAlign w:val="center"/>
          </w:tcPr>
          <w:p w14:paraId="0AB52F4C">
            <w:pPr>
              <w:jc w:val="center"/>
              <w:rPr>
                <w:rFonts w:ascii="宋体" w:hAnsi="宋体"/>
              </w:rPr>
            </w:pPr>
            <w:r>
              <w:rPr>
                <w:rFonts w:hint="eastAsia" w:ascii="宋体" w:hAnsi="宋体"/>
              </w:rPr>
              <w:t>履约担保</w:t>
            </w:r>
          </w:p>
        </w:tc>
        <w:tc>
          <w:tcPr>
            <w:tcW w:w="4980" w:type="dxa"/>
            <w:vAlign w:val="center"/>
          </w:tcPr>
          <w:p w14:paraId="07FCCAF0">
            <w:pPr>
              <w:jc w:val="left"/>
              <w:rPr>
                <w:rFonts w:ascii="宋体" w:hAnsi="宋体"/>
              </w:rPr>
            </w:pPr>
            <w:r>
              <w:rPr>
                <w:rFonts w:hint="eastAsia" w:ascii="宋体" w:hAnsi="宋体"/>
                <w:b/>
                <w:lang w:eastAsia="zh-CN"/>
              </w:rPr>
              <w:t>☑</w:t>
            </w:r>
            <w:r>
              <w:rPr>
                <w:rFonts w:hint="eastAsia" w:ascii="宋体" w:hAnsi="宋体"/>
                <w:b/>
              </w:rPr>
              <w:t xml:space="preserve"> </w:t>
            </w:r>
            <w:r>
              <w:rPr>
                <w:rFonts w:hint="eastAsia" w:ascii="宋体" w:hAnsi="宋体"/>
              </w:rPr>
              <w:t>需要，</w:t>
            </w:r>
            <w:r>
              <w:rPr>
                <w:rFonts w:hint="eastAsia"/>
              </w:rPr>
              <w:t>合同金额的</w:t>
            </w:r>
            <w:r>
              <w:rPr>
                <w:rFonts w:hint="eastAsia"/>
                <w:lang w:val="en-US" w:eastAsia="zh-CN"/>
              </w:rPr>
              <w:t>5</w:t>
            </w:r>
            <w:r>
              <w:rPr>
                <w:rFonts w:hint="eastAsia"/>
              </w:rPr>
              <w:t>%，投标供应商自主选择以支票、汇票、本票、保函等非现金形式缴纳或提交。履约保证金在中标人履行完成合同约定权利义务事项在合同期满之日起</w:t>
            </w:r>
            <w:r>
              <w:rPr>
                <w:rFonts w:hint="eastAsia"/>
                <w:lang w:val="en-US" w:eastAsia="zh-CN"/>
              </w:rPr>
              <w:t>30</w:t>
            </w:r>
            <w:r>
              <w:rPr>
                <w:rFonts w:hint="eastAsia"/>
              </w:rPr>
              <w:t>日内按原方式退还，不计利息。采购人逾期退还履约保证金的，向中标人每日偿付履约保证金的0.5‰的利息。因中标人原因而未能达到本项目验收标准或验收不通过的，履约保证金不予退还。</w:t>
            </w:r>
          </w:p>
        </w:tc>
      </w:tr>
    </w:tbl>
    <w:p w14:paraId="40C6725B">
      <w:pPr>
        <w:rPr>
          <w:b/>
        </w:rPr>
      </w:pPr>
      <w:r>
        <w:rPr>
          <w:rFonts w:hint="eastAsia"/>
          <w:szCs w:val="21"/>
        </w:rPr>
        <w:t>备注：本表是通用条款相关条款的补充和明确，如与通用条款内容相冲突的，以本表为准。</w:t>
      </w:r>
    </w:p>
    <w:p w14:paraId="4B053FE6">
      <w:pPr>
        <w:rPr>
          <w:b/>
        </w:rPr>
      </w:pPr>
    </w:p>
    <w:p w14:paraId="697D8AD4">
      <w:pPr>
        <w:pStyle w:val="7"/>
        <w:spacing w:before="120" w:beforeLines="50" w:after="120" w:afterLines="50"/>
        <w:rPr>
          <w:szCs w:val="24"/>
        </w:rPr>
      </w:pPr>
      <w:r>
        <w:rPr>
          <w:rFonts w:hint="eastAsia"/>
          <w:szCs w:val="24"/>
        </w:rPr>
        <w:t>二、其他关键信息</w:t>
      </w:r>
    </w:p>
    <w:p w14:paraId="26BCCB7A">
      <w:pPr>
        <w:ind w:firstLine="422" w:firstLineChars="200"/>
        <w:rPr>
          <w:rFonts w:asciiTheme="minorEastAsia" w:hAnsiTheme="minorEastAsia" w:eastAsiaTheme="minorEastAsia"/>
          <w:b/>
          <w:bCs/>
        </w:rPr>
      </w:pPr>
      <w:r>
        <w:rPr>
          <w:rFonts w:hint="eastAsia" w:asciiTheme="minorEastAsia" w:hAnsiTheme="minorEastAsia" w:eastAsiaTheme="minorEastAsia"/>
          <w:b/>
          <w:bCs/>
        </w:rPr>
        <w:t>（一）与“对通用条款的补充内容”章节相关的事项</w:t>
      </w:r>
    </w:p>
    <w:p w14:paraId="4765E902">
      <w:pPr>
        <w:ind w:firstLine="422" w:firstLineChars="200"/>
        <w:jc w:val="left"/>
        <w:rPr>
          <w:rFonts w:asciiTheme="minorEastAsia" w:hAnsiTheme="minorEastAsia" w:eastAsiaTheme="minorEastAsia"/>
          <w:b/>
          <w:kern w:val="0"/>
          <w:szCs w:val="20"/>
        </w:rPr>
      </w:pPr>
      <w:bookmarkStart w:id="29" w:name="_Hlk72579465"/>
      <w:r>
        <w:rPr>
          <w:rFonts w:asciiTheme="minorEastAsia" w:hAnsiTheme="minorEastAsia" w:eastAsiaTheme="minorEastAsia"/>
          <w:b/>
          <w:kern w:val="0"/>
          <w:szCs w:val="20"/>
        </w:rPr>
        <w:t>1.</w:t>
      </w:r>
      <w:r>
        <w:rPr>
          <w:rFonts w:hint="eastAsia" w:asciiTheme="minorEastAsia" w:hAnsiTheme="minorEastAsia" w:eastAsiaTheme="minorEastAsia"/>
          <w:b/>
          <w:kern w:val="0"/>
          <w:szCs w:val="20"/>
        </w:rPr>
        <w:t>评标定标信息</w:t>
      </w:r>
    </w:p>
    <w:p w14:paraId="6BC1BC22">
      <w:pPr>
        <w:jc w:val="center"/>
        <w:rPr>
          <w:rFonts w:asciiTheme="minorEastAsia" w:hAnsiTheme="minorEastAsia" w:eastAsiaTheme="minorEastAsia"/>
        </w:rPr>
      </w:pPr>
      <w:r>
        <w:rPr>
          <w:rFonts w:hint="eastAsia" w:asciiTheme="minorEastAsia" w:hAnsiTheme="minorEastAsia" w:eastAsiaTheme="minorEastAsia"/>
          <w:b/>
        </w:rPr>
        <w:t>非评定分离项目</w:t>
      </w:r>
    </w:p>
    <w:tbl>
      <w:tblPr>
        <w:tblStyle w:val="44"/>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5602"/>
      </w:tblGrid>
      <w:tr w14:paraId="3499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826AA3E">
            <w:pPr>
              <w:jc w:val="center"/>
              <w:rPr>
                <w:rFonts w:asciiTheme="minorEastAsia" w:hAnsiTheme="minorEastAsia" w:eastAsiaTheme="minorEastAsia"/>
              </w:rPr>
            </w:pPr>
            <w:r>
              <w:rPr>
                <w:rFonts w:hint="eastAsia" w:asciiTheme="minorEastAsia" w:hAnsiTheme="minorEastAsia" w:eastAsiaTheme="minorEastAsia"/>
              </w:rPr>
              <w:t>评标方法</w:t>
            </w:r>
          </w:p>
        </w:tc>
        <w:tc>
          <w:tcPr>
            <w:tcW w:w="5602" w:type="dxa"/>
          </w:tcPr>
          <w:p w14:paraId="01AA0ACE">
            <w:pPr>
              <w:jc w:val="center"/>
              <w:rPr>
                <w:rFonts w:asciiTheme="minorEastAsia" w:hAnsiTheme="minorEastAsia" w:eastAsiaTheme="minorEastAsia"/>
              </w:rPr>
            </w:pPr>
            <w:r>
              <w:rPr>
                <w:rFonts w:hint="eastAsia" w:asciiTheme="minorEastAsia" w:hAnsiTheme="minorEastAsia" w:eastAsiaTheme="minorEastAsia"/>
              </w:rPr>
              <w:sym w:font="Wingdings" w:char="00FE"/>
            </w:r>
            <w:r>
              <w:rPr>
                <w:rFonts w:hint="eastAsia" w:asciiTheme="minorEastAsia" w:hAnsiTheme="minorEastAsia" w:eastAsiaTheme="minorEastAsia"/>
              </w:rPr>
              <w:t>综合评分法</w:t>
            </w:r>
          </w:p>
        </w:tc>
      </w:tr>
      <w:tr w14:paraId="3CB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548D92EE">
            <w:pPr>
              <w:jc w:val="center"/>
              <w:rPr>
                <w:rFonts w:asciiTheme="minorEastAsia" w:hAnsiTheme="minorEastAsia" w:eastAsiaTheme="minorEastAsia"/>
              </w:rPr>
            </w:pPr>
            <w:r>
              <w:rPr>
                <w:rFonts w:hint="eastAsia" w:asciiTheme="minorEastAsia" w:hAnsiTheme="minorEastAsia" w:eastAsiaTheme="minorEastAsia"/>
              </w:rPr>
              <w:t>候选中标供应商家数</w:t>
            </w:r>
          </w:p>
        </w:tc>
        <w:tc>
          <w:tcPr>
            <w:tcW w:w="5602" w:type="dxa"/>
          </w:tcPr>
          <w:p w14:paraId="42416AF0">
            <w:pPr>
              <w:jc w:val="center"/>
              <w:rPr>
                <w:rFonts w:asciiTheme="minorEastAsia" w:hAnsiTheme="minorEastAsia" w:eastAsiaTheme="minorEastAsia"/>
              </w:rPr>
            </w:pPr>
            <w:r>
              <w:rPr>
                <w:rFonts w:hint="eastAsia" w:asciiTheme="minorEastAsia" w:hAnsiTheme="minorEastAsia" w:eastAsiaTheme="minorEastAsia"/>
              </w:rPr>
              <w:t>3</w:t>
            </w:r>
          </w:p>
        </w:tc>
      </w:tr>
      <w:tr w14:paraId="04C7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98D8F79">
            <w:pPr>
              <w:jc w:val="center"/>
              <w:rPr>
                <w:rFonts w:asciiTheme="minorEastAsia" w:hAnsiTheme="minorEastAsia" w:eastAsiaTheme="minorEastAsia"/>
              </w:rPr>
            </w:pPr>
            <w:r>
              <w:rPr>
                <w:rFonts w:hint="eastAsia" w:asciiTheme="minorEastAsia" w:hAnsiTheme="minorEastAsia" w:eastAsiaTheme="minorEastAsia"/>
              </w:rPr>
              <w:t>中标供应商家数</w:t>
            </w:r>
          </w:p>
        </w:tc>
        <w:tc>
          <w:tcPr>
            <w:tcW w:w="5602" w:type="dxa"/>
          </w:tcPr>
          <w:p w14:paraId="311DAB1A">
            <w:pPr>
              <w:jc w:val="center"/>
              <w:rPr>
                <w:rFonts w:asciiTheme="minorEastAsia" w:hAnsiTheme="minorEastAsia" w:eastAsiaTheme="minorEastAsia"/>
              </w:rPr>
            </w:pPr>
            <w:r>
              <w:rPr>
                <w:rFonts w:hint="eastAsia" w:asciiTheme="minorEastAsia" w:hAnsiTheme="minorEastAsia" w:eastAsiaTheme="minorEastAsia"/>
              </w:rPr>
              <w:t>1</w:t>
            </w:r>
          </w:p>
        </w:tc>
      </w:tr>
    </w:tbl>
    <w:p w14:paraId="607658AD">
      <w:pPr>
        <w:ind w:firstLine="422" w:firstLineChars="200"/>
        <w:rPr>
          <w:rFonts w:asciiTheme="minorEastAsia" w:hAnsiTheme="minorEastAsia" w:eastAsiaTheme="minorEastAsia"/>
          <w:b/>
        </w:rPr>
      </w:pPr>
    </w:p>
    <w:bookmarkEnd w:id="29"/>
    <w:p w14:paraId="4BCEA70E">
      <w:pPr>
        <w:ind w:firstLine="422" w:firstLineChars="200"/>
        <w:rPr>
          <w:rFonts w:asciiTheme="minorEastAsia" w:hAnsiTheme="minorEastAsia" w:eastAsiaTheme="minorEastAsia"/>
          <w:b/>
        </w:rPr>
      </w:pPr>
      <w:r>
        <w:rPr>
          <w:rFonts w:hint="eastAsia" w:asciiTheme="minorEastAsia" w:hAnsiTheme="minorEastAsia" w:eastAsiaTheme="minorEastAsia"/>
          <w:b/>
        </w:rPr>
        <w:t>（二）其他事项</w:t>
      </w:r>
    </w:p>
    <w:p w14:paraId="68A39F3C">
      <w:pPr>
        <w:ind w:firstLine="422" w:firstLineChars="200"/>
        <w:rPr>
          <w:rFonts w:asciiTheme="minorEastAsia" w:hAnsiTheme="minorEastAsia" w:eastAsiaTheme="minorEastAsia"/>
          <w:b/>
          <w:bCs/>
        </w:rPr>
      </w:pPr>
      <w:r>
        <w:rPr>
          <w:rFonts w:asciiTheme="minorEastAsia" w:hAnsiTheme="minorEastAsia" w:eastAsiaTheme="minorEastAsia"/>
          <w:b/>
          <w:bCs/>
        </w:rPr>
        <w:t>1</w:t>
      </w:r>
      <w:r>
        <w:rPr>
          <w:rFonts w:hint="eastAsia" w:asciiTheme="minorEastAsia" w:hAnsiTheme="minorEastAsia" w:eastAsiaTheme="minorEastAsia"/>
          <w:b/>
          <w:bCs/>
        </w:rPr>
        <w:t>.关于享受中小企业扶持政策的主体、价格扣除比例及采购标的所属行业等事项的说明</w:t>
      </w:r>
    </w:p>
    <w:p w14:paraId="1B3C9720">
      <w:pPr>
        <w:ind w:firstLine="420" w:firstLineChars="200"/>
        <w:rPr>
          <w:rFonts w:asciiTheme="minorEastAsia" w:hAnsiTheme="minorEastAsia" w:eastAsiaTheme="minorEastAsia"/>
          <w:b/>
          <w:bCs/>
        </w:rPr>
      </w:pPr>
      <w:r>
        <w:rPr>
          <w:rFonts w:hint="eastAsia" w:asciiTheme="minorEastAsia" w:hAnsiTheme="minorEastAsia" w:eastAsiaTheme="minorEastAsia"/>
        </w:rPr>
        <w:t>（1）适用主体：中型企业、小型、微型企业（残疾人福利性单位视同小型、微型企业；监狱企业视同小型、微型企业）。接受联合体的项目，供应商以联合体形式参加政府采购活动，联合体各方均为中小企业的，联合体视同中小企业。其中，联合体各方均为小微企业的，联合体视同小微企业。</w:t>
      </w:r>
    </w:p>
    <w:p w14:paraId="7DFAA947">
      <w:pPr>
        <w:ind w:firstLine="420" w:firstLineChars="200"/>
        <w:rPr>
          <w:rFonts w:asciiTheme="minorEastAsia" w:hAnsiTheme="minorEastAsia" w:eastAsiaTheme="minorEastAsia"/>
        </w:rPr>
      </w:pPr>
      <w:r>
        <w:rPr>
          <w:rFonts w:hint="eastAsia" w:asciiTheme="minorEastAsia" w:hAnsiTheme="minorEastAsia" w:eastAsiaTheme="minorEastAsia"/>
        </w:rPr>
        <w:t>备注：（a）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w:t>
      </w:r>
      <w:r>
        <w:rPr>
          <w:rFonts w:hint="eastAsia" w:asciiTheme="minorEastAsia" w:hAnsiTheme="minorEastAsia" w:eastAsiaTheme="minorEastAsia"/>
          <w:szCs w:val="22"/>
        </w:rPr>
        <w:t>在货物采购项目中，货物由中小企业制造，即货物由中小企业生产且使用该中小企业商号或者注册商标（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14:paraId="5117038E">
      <w:pPr>
        <w:ind w:firstLine="420" w:firstLineChars="200"/>
        <w:rPr>
          <w:rFonts w:asciiTheme="minorEastAsia" w:hAnsiTheme="minorEastAsia" w:eastAsiaTheme="minorEastAsia"/>
        </w:rPr>
      </w:pPr>
      <w:r>
        <w:rPr>
          <w:rFonts w:hint="eastAsia" w:asciiTheme="minorEastAsia" w:hAnsiTheme="minorEastAsia" w:eastAsiaTheme="minorEastAsia"/>
        </w:rPr>
        <w:t>（2）预留份额专门面向中小企业采购的项目，不再执行价格扣除比例。</w:t>
      </w:r>
    </w:p>
    <w:p w14:paraId="00529D01">
      <w:pPr>
        <w:ind w:firstLine="420" w:firstLineChars="200"/>
        <w:rPr>
          <w:rFonts w:hint="eastAsia" w:asciiTheme="minorEastAsia" w:hAnsiTheme="minorEastAsia" w:eastAsiaTheme="minorEastAsia"/>
        </w:rPr>
      </w:pPr>
      <w:r>
        <w:rPr>
          <w:rFonts w:hint="eastAsia" w:asciiTheme="minorEastAsia" w:hAnsiTheme="minorEastAsia" w:eastAsiaTheme="minorEastAsia"/>
        </w:rPr>
        <w:t>（3）未预留份额专门面向中小企业采购的项目，应执行价格扣除比例：供应商提供的服务</w:t>
      </w:r>
      <w:r>
        <w:rPr>
          <w:rFonts w:hint="eastAsia" w:asciiTheme="minorEastAsia" w:hAnsiTheme="minorEastAsia" w:eastAsiaTheme="minorEastAsia"/>
          <w:b/>
          <w:bCs/>
          <w:color w:val="FF0000"/>
        </w:rPr>
        <w:t>全部由小型、微型企业承接</w:t>
      </w:r>
      <w:r>
        <w:rPr>
          <w:rFonts w:hint="eastAsia" w:asciiTheme="minorEastAsia" w:hAnsiTheme="minorEastAsia" w:eastAsiaTheme="minorEastAsia"/>
        </w:rPr>
        <w:t>，则对其投标总价给予</w:t>
      </w:r>
      <w:r>
        <w:rPr>
          <w:rFonts w:asciiTheme="minorEastAsia" w:hAnsiTheme="minorEastAsia" w:eastAsiaTheme="minorEastAsia"/>
          <w:b/>
          <w:bCs/>
          <w:color w:val="FF0000"/>
          <w:u w:val="single"/>
        </w:rPr>
        <w:t xml:space="preserve">  </w:t>
      </w:r>
      <w:r>
        <w:rPr>
          <w:rFonts w:hint="eastAsia" w:asciiTheme="minorEastAsia" w:hAnsiTheme="minorEastAsia" w:eastAsiaTheme="minorEastAsia"/>
          <w:b/>
          <w:bCs/>
          <w:color w:val="FF0000"/>
          <w:u w:val="single"/>
          <w:lang w:val="en-US" w:eastAsia="zh-CN"/>
        </w:rPr>
        <w:t>/</w:t>
      </w:r>
      <w:r>
        <w:rPr>
          <w:rFonts w:hint="eastAsia" w:asciiTheme="minorEastAsia" w:hAnsiTheme="minorEastAsia" w:eastAsiaTheme="minorEastAsia"/>
          <w:b/>
          <w:bCs/>
          <w:color w:val="FF0000"/>
          <w:u w:val="single"/>
        </w:rPr>
        <w:t xml:space="preserve">    </w:t>
      </w:r>
      <w:r>
        <w:rPr>
          <w:rFonts w:asciiTheme="minorEastAsia" w:hAnsiTheme="minorEastAsia" w:eastAsiaTheme="minorEastAsia"/>
          <w:b/>
          <w:bCs/>
          <w:color w:val="FF0000"/>
        </w:rPr>
        <w:t>%</w:t>
      </w:r>
      <w:r>
        <w:rPr>
          <w:rFonts w:hint="eastAsia" w:asciiTheme="minorEastAsia" w:hAnsiTheme="minorEastAsia" w:eastAsiaTheme="minorEastAsia"/>
          <w:color w:val="000000" w:themeColor="text1"/>
          <w14:textFill>
            <w14:solidFill>
              <w14:schemeClr w14:val="tx1"/>
            </w14:solidFill>
          </w14:textFill>
        </w:rPr>
        <w:t>（10%~20%）</w:t>
      </w:r>
      <w:r>
        <w:rPr>
          <w:rFonts w:hint="eastAsia" w:asciiTheme="minorEastAsia" w:hAnsiTheme="minorEastAsia" w:eastAsiaTheme="minorEastAsia"/>
        </w:rPr>
        <w:t>的扣除，用扣除后的价格参与评审。</w:t>
      </w:r>
    </w:p>
    <w:p w14:paraId="4CF237F8">
      <w:pPr>
        <w:ind w:firstLine="420" w:firstLineChars="200"/>
        <w:rPr>
          <w:rFonts w:asciiTheme="minorEastAsia" w:hAnsiTheme="minorEastAsia" w:eastAsiaTheme="minorEastAsia"/>
        </w:rPr>
      </w:pPr>
      <w:r>
        <w:rPr>
          <w:rFonts w:hint="eastAsia" w:asciiTheme="minorEastAsia" w:hAnsiTheme="minorEastAsia" w:eastAsiaTheme="minorEastAsia"/>
        </w:rPr>
        <w:t>（4）</w:t>
      </w:r>
      <w:r>
        <w:rPr>
          <w:rFonts w:hint="eastAsia" w:asciiTheme="minorEastAsia" w:hAnsiTheme="minorEastAsia" w:eastAsiaTheme="minorEastAsia" w:cstheme="minorEastAsia"/>
          <w:szCs w:val="21"/>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w:t>
      </w:r>
      <w:r>
        <w:rPr>
          <w:rFonts w:cs="宋体" w:asciiTheme="minorEastAsia" w:hAnsiTheme="minorEastAsia" w:eastAsiaTheme="minorEastAsia"/>
          <w:b/>
          <w:bCs/>
          <w:color w:val="FF0000"/>
          <w:szCs w:val="21"/>
        </w:rPr>
        <w:t>《中小企业声明函》中相关企业</w:t>
      </w:r>
      <w:r>
        <w:rPr>
          <w:rFonts w:hint="eastAsia" w:cs="宋体" w:asciiTheme="minorEastAsia" w:hAnsiTheme="minorEastAsia" w:eastAsiaTheme="minorEastAsia"/>
          <w:b/>
          <w:bCs/>
          <w:color w:val="FF0000"/>
          <w:szCs w:val="21"/>
        </w:rPr>
        <w:t>（服务承接商）</w:t>
      </w:r>
      <w:r>
        <w:rPr>
          <w:rFonts w:cs="宋体" w:asciiTheme="minorEastAsia" w:hAnsiTheme="minorEastAsia" w:eastAsiaTheme="minorEastAsia"/>
          <w:b/>
          <w:bCs/>
          <w:color w:val="FF0000"/>
          <w:szCs w:val="21"/>
        </w:rPr>
        <w:t>所属行业应当与采购标的所属行业相一致</w:t>
      </w:r>
      <w:r>
        <w:rPr>
          <w:rFonts w:hint="eastAsia" w:asciiTheme="minorEastAsia" w:hAnsiTheme="minorEastAsia" w:eastAsiaTheme="minorEastAsia"/>
          <w:b/>
          <w:bCs/>
          <w:color w:val="FF0000"/>
        </w:rPr>
        <w:t>，标的所属行业以招标文件第一册第三章用户需求书“服务需求明细”的“标的所属行业”一栏为准</w:t>
      </w:r>
      <w:r>
        <w:rPr>
          <w:rFonts w:cs="宋体" w:asciiTheme="minorEastAsia" w:hAnsiTheme="minorEastAsia" w:eastAsiaTheme="minorEastAsia"/>
          <w:b/>
          <w:bCs/>
          <w:color w:val="FF0000"/>
          <w:szCs w:val="21"/>
        </w:rPr>
        <w:t>。</w:t>
      </w:r>
    </w:p>
    <w:p w14:paraId="51448A28">
      <w:pPr>
        <w:ind w:firstLine="420" w:firstLineChars="200"/>
        <w:rPr>
          <w:rFonts w:asciiTheme="minorEastAsia" w:hAnsiTheme="minorEastAsia" w:eastAsiaTheme="minorEastAsia"/>
        </w:rPr>
      </w:pPr>
      <w:r>
        <w:rPr>
          <w:rFonts w:hint="eastAsia" w:asciiTheme="minorEastAsia" w:hAnsiTheme="minorEastAsia" w:eastAsiaTheme="minorEastAsia" w:cstheme="minorEastAsia"/>
          <w:szCs w:val="21"/>
        </w:rPr>
        <w:t>（5）中型企业、小型、微型企业为优惠主体的认定资料为《中小企业声明函》；残疾人福利性单位为优惠主体的认定资料为《残疾人福利性单</w:t>
      </w:r>
      <w:r>
        <w:rPr>
          <w:rFonts w:hint="eastAsia" w:asciiTheme="minorEastAsia" w:hAnsiTheme="minorEastAsia" w:eastAsiaTheme="minorEastAsia"/>
        </w:rPr>
        <w:t>位声明函》；监狱企业为优惠主体的认定资料为省级以上监狱管理局、戒毒管理局出具的监狱企业证明文件。声明函样式见本招标文件第一册专用条款第四章“投标文件格式、附件”中“三、投标人情况及资格证明文件”章节提供的格式）。</w:t>
      </w:r>
    </w:p>
    <w:p w14:paraId="049DD24F">
      <w:pPr>
        <w:ind w:firstLine="420" w:firstLineChars="200"/>
        <w:rPr>
          <w:rFonts w:asciiTheme="minorEastAsia" w:hAnsiTheme="minorEastAsia" w:eastAsiaTheme="minorEastAsia"/>
        </w:rPr>
      </w:pPr>
      <w:r>
        <w:rPr>
          <w:rFonts w:hint="eastAsia" w:asciiTheme="minorEastAsia" w:hAnsiTheme="minorEastAsia" w:eastAsiaTheme="minorEastAsia"/>
        </w:rPr>
        <w:t>（6）依据《</w:t>
      </w:r>
      <w:r>
        <w:rPr>
          <w:rFonts w:hint="eastAsia" w:asciiTheme="minorEastAsia" w:hAnsiTheme="minorEastAsia" w:eastAsiaTheme="minorEastAsia" w:cstheme="minorEastAsia"/>
          <w:szCs w:val="21"/>
        </w:rPr>
        <w:t>政府采购促进中小企业发展管理办法》</w:t>
      </w:r>
      <w:r>
        <w:rPr>
          <w:rFonts w:hint="eastAsia" w:asciiTheme="minorEastAsia" w:hAnsiTheme="minorEastAsia" w:eastAsiaTheme="minorEastAsia"/>
        </w:rPr>
        <w:t>规定享受扶持政策获得政府采购合同的，小微企业不得将合同分包给大中型企业，中型企业不得将合同分包给大型企业。</w:t>
      </w:r>
    </w:p>
    <w:p w14:paraId="451D742B">
      <w:pPr>
        <w:ind w:firstLine="422" w:firstLineChars="200"/>
        <w:rPr>
          <w:rFonts w:hint="eastAsia" w:asciiTheme="minorEastAsia" w:hAnsiTheme="minorEastAsia" w:eastAsiaTheme="minorEastAsia"/>
          <w:b/>
          <w:bCs/>
          <w:lang w:eastAsia="zh-CN"/>
        </w:rPr>
      </w:pPr>
      <w:r>
        <w:rPr>
          <w:rFonts w:hint="eastAsia" w:asciiTheme="minorEastAsia" w:hAnsiTheme="minorEastAsia" w:eastAsiaTheme="minorEastAsia"/>
          <w:b/>
          <w:bCs/>
        </w:rPr>
        <w:t>2.关于享受对本国产品的政府采购支持政策的主体、价格扣除比例等事项的说明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59B7FF31">
      <w:pPr>
        <w:ind w:firstLine="420" w:firstLineChars="200"/>
        <w:rPr>
          <w:rFonts w:asciiTheme="minorEastAsia" w:hAnsiTheme="minorEastAsia" w:eastAsiaTheme="minorEastAsia"/>
        </w:rPr>
      </w:pPr>
      <w:r>
        <w:rPr>
          <w:rFonts w:hint="eastAsia" w:asciiTheme="minorEastAsia" w:hAnsiTheme="minorEastAsia" w:eastAsiaTheme="minorEastAsia"/>
        </w:rPr>
        <w:t>（1）适用主体：国有企业、民营企业、外资企业等各类经营主体平等享受对本国产品的政府采购支持政策。</w:t>
      </w:r>
    </w:p>
    <w:p w14:paraId="464DDABF">
      <w:pPr>
        <w:ind w:firstLine="420" w:firstLineChars="200"/>
        <w:rPr>
          <w:rFonts w:asciiTheme="minorEastAsia" w:hAnsiTheme="minorEastAsia" w:eastAsiaTheme="minorEastAsia"/>
        </w:rPr>
      </w:pPr>
      <w:r>
        <w:rPr>
          <w:rFonts w:hint="eastAsia" w:asciiTheme="minorEastAsia" w:hAnsiTheme="minorEastAsia" w:eastAsiaTheme="minorEastAsia"/>
        </w:rPr>
        <w:t>（2）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A7247B0">
      <w:pPr>
        <w:ind w:firstLine="420" w:firstLineChars="200"/>
        <w:rPr>
          <w:rFonts w:asciiTheme="minorEastAsia" w:hAnsiTheme="minorEastAsia" w:eastAsiaTheme="minorEastAsia"/>
        </w:rPr>
      </w:pPr>
      <w:r>
        <w:rPr>
          <w:rFonts w:hint="eastAsia" w:asciiTheme="minorEastAsia" w:hAnsiTheme="minorEastAsia" w:eastAsiaTheme="minorEastAsia"/>
        </w:rPr>
        <w:t>（3）价格扣除：政府采购活动中既有本国产品又有非本国产品参与竞争的，依法对本国产品给予价格评审优惠，</w:t>
      </w:r>
      <w:r>
        <w:rPr>
          <w:rFonts w:hint="eastAsia" w:asciiTheme="minorEastAsia" w:hAnsiTheme="minorEastAsia" w:eastAsiaTheme="minorEastAsia"/>
          <w:b/>
          <w:bCs/>
          <w:color w:val="FF0000"/>
        </w:rPr>
        <w:t>对本国产品的报价给予20%的价格扣除</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rPr>
        <w:t>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w:t>
      </w:r>
      <w:r>
        <w:rPr>
          <w:rFonts w:hint="eastAsia" w:asciiTheme="minorEastAsia" w:hAnsiTheme="minorEastAsia" w:eastAsiaTheme="minorEastAsia"/>
          <w:b/>
          <w:bCs/>
          <w:color w:val="FF0000"/>
        </w:rPr>
        <w:t>总报价给予20%的价格扣除</w:t>
      </w:r>
      <w:r>
        <w:rPr>
          <w:rFonts w:hint="eastAsia" w:asciiTheme="minorEastAsia" w:hAnsiTheme="minorEastAsia" w:eastAsiaTheme="minorEastAsia"/>
        </w:rPr>
        <w:t>，用扣除后的价格参与评审。</w:t>
      </w:r>
    </w:p>
    <w:p w14:paraId="127FBF37">
      <w:pPr>
        <w:ind w:firstLine="420" w:firstLineChars="200"/>
        <w:rPr>
          <w:rFonts w:asciiTheme="minorEastAsia" w:hAnsiTheme="minorEastAsia" w:eastAsiaTheme="minorEastAsia"/>
        </w:rPr>
      </w:pPr>
      <w:r>
        <w:rPr>
          <w:rFonts w:hint="eastAsia" w:asciiTheme="minorEastAsia" w:hAnsiTheme="minorEastAsia" w:eastAsiaTheme="minorEastAsia"/>
        </w:rPr>
        <w:t>（4）供应商出具符合要求的《关于符合本国产品标准的声明函》或财政部会同有关部门规定的有关证明文件，该产品视为本国产品。</w:t>
      </w:r>
      <w:r>
        <w:rPr>
          <w:rFonts w:hint="eastAsia" w:asciiTheme="minorEastAsia" w:hAnsiTheme="minorEastAsia" w:eastAsiaTheme="minorEastAsia"/>
          <w:szCs w:val="22"/>
        </w:rPr>
        <w:t>声明函样式见本招标文件第一册专用条款第三章“投标文件格式、附件”中“三、投标人情况及资格证明文件”章节提供的格式）。</w:t>
      </w:r>
    </w:p>
    <w:p w14:paraId="4A62EE26">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3.关于同时满足中小企业扶持政策和对本国产品的支持政策的事项说明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4399E215">
      <w:pPr>
        <w:ind w:firstLine="420" w:firstLineChars="200"/>
        <w:rPr>
          <w:rFonts w:asciiTheme="minorEastAsia" w:hAnsiTheme="minorEastAsia" w:eastAsiaTheme="minorEastAsia"/>
        </w:rPr>
      </w:pPr>
      <w:r>
        <w:rPr>
          <w:rFonts w:hint="eastAsia" w:asciiTheme="minorEastAsia" w:hAnsiTheme="minorEastAsia" w:eastAsiaTheme="minorEastAsia"/>
        </w:rPr>
        <w:t>本国产品政策实施后，政府采购活动中既有本国产品又有非本国产品参与竞争的，依法对本国产品给予价格评审优惠，对本国产品的报价给予20%的价格扣除，用扣除后的价格参与评审。</w:t>
      </w:r>
      <w:r>
        <w:rPr>
          <w:rFonts w:hint="eastAsia" w:asciiTheme="minorEastAsia" w:hAnsiTheme="minorEastAsia" w:eastAsiaTheme="minorEastAsia"/>
          <w:b/>
          <w:bCs/>
          <w:color w:val="FF0000"/>
        </w:rPr>
        <w:t>同时，若提供本国产品的供应商也符合政府采购支持中小企业政策，也按规定给与价格评审优惠。需要说明的是，相关价格评审扣除优惠，都应该在供应商报价基础上计算。</w:t>
      </w:r>
      <w:r>
        <w:rPr>
          <w:rFonts w:hint="eastAsia" w:asciiTheme="minorEastAsia" w:hAnsiTheme="minorEastAsia" w:eastAsiaTheme="minorEastAsia"/>
        </w:rPr>
        <w:t>例如：某一供应商的产品报价100元，其提供的产品符合本国产品标准，同时按照采购文件规定也享受对小微企业的10%的价格扣除优惠。则对其报价按规定进行两次扣除，用扣除后的价格参与评审。其参与评审的价格为100-100x20%-100x10%=70元。具体情形如下：</w:t>
      </w:r>
    </w:p>
    <w:p w14:paraId="6E15CFB1">
      <w:pPr>
        <w:ind w:firstLine="420" w:firstLineChars="200"/>
        <w:rPr>
          <w:rFonts w:asciiTheme="minorEastAsia" w:hAnsiTheme="minorEastAsia" w:eastAsiaTheme="minorEastAsia"/>
        </w:rPr>
      </w:pPr>
      <w:r>
        <w:rPr>
          <w:rFonts w:hint="eastAsia" w:asciiTheme="minorEastAsia" w:hAnsiTheme="minorEastAsia" w:eastAsiaTheme="minorEastAsia"/>
        </w:rPr>
        <w:t>（1）预留份额专门面向中小企业采购的项目，不再享受小微企业价格扣除优惠。若供应商所投货物同时满足对本国产品的支持政策的规定，应享受该政策20%价格扣除优惠；</w:t>
      </w:r>
    </w:p>
    <w:p w14:paraId="772A19EE">
      <w:pPr>
        <w:ind w:firstLine="420" w:firstLineChars="200"/>
        <w:rPr>
          <w:rFonts w:asciiTheme="minorEastAsia" w:hAnsiTheme="minorEastAsia" w:eastAsiaTheme="minorEastAsia"/>
        </w:rPr>
      </w:pPr>
      <w:r>
        <w:rPr>
          <w:rFonts w:hint="eastAsia" w:asciiTheme="minorEastAsia" w:hAnsiTheme="minorEastAsia" w:eastAsiaTheme="minorEastAsia"/>
        </w:rPr>
        <w:t>（2）未预留份额专门面向中小企业采购的项目，供应商同时满足小微企业和所投产品符合本国产品支持政策规定的，应同时对该供应商投标总报价给予多项价格扣除优惠，用扣除后的价格参与评审。</w:t>
      </w:r>
    </w:p>
    <w:p w14:paraId="3B7F09DA">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4.</w:t>
      </w:r>
      <w:r>
        <w:rPr>
          <w:rFonts w:asciiTheme="minorEastAsia" w:hAnsiTheme="minorEastAsia" w:eastAsiaTheme="minorEastAsia"/>
          <w:b/>
          <w:bCs/>
          <w:szCs w:val="22"/>
        </w:rPr>
        <w:t>上述支持政策不改变最终中标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价格，政府采购合同仍按照中标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供应商的报价签订。</w:t>
      </w:r>
    </w:p>
    <w:p w14:paraId="67C14A6C">
      <w:pPr>
        <w:ind w:firstLine="422" w:firstLineChars="200"/>
        <w:rPr>
          <w:rFonts w:cs="宋体" w:asciiTheme="minorEastAsia" w:hAnsiTheme="minorEastAsia" w:eastAsiaTheme="minorEastAsia"/>
          <w:b/>
          <w:bCs/>
        </w:rPr>
      </w:pPr>
      <w:r>
        <w:rPr>
          <w:rFonts w:hint="eastAsia" w:cs="宋体" w:asciiTheme="minorEastAsia" w:hAnsiTheme="minorEastAsia" w:eastAsiaTheme="minorEastAsia"/>
          <w:b/>
          <w:bCs/>
        </w:rPr>
        <w:t>5.关于政府采购订单融资政策</w:t>
      </w:r>
    </w:p>
    <w:p w14:paraId="28BF6129">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深圳市财政局关于大力推进政府采购订单融资支持企业发展有关事宜的通知》要求，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相关政策法规参阅深圳市政府采购监管网（http://zfcg.sz.gov.cn/）信息公开栏目。</w:t>
      </w:r>
    </w:p>
    <w:p w14:paraId="2C79BAD0">
      <w:pPr>
        <w:ind w:firstLine="422" w:firstLineChars="200"/>
        <w:rPr>
          <w:rFonts w:asciiTheme="minorEastAsia" w:hAnsiTheme="minorEastAsia" w:eastAsiaTheme="minorEastAsia"/>
          <w:b/>
          <w:bCs/>
        </w:rPr>
      </w:pPr>
    </w:p>
    <w:p w14:paraId="46C946AB">
      <w:pPr>
        <w:ind w:firstLine="422" w:firstLineChars="200"/>
        <w:rPr>
          <w:rFonts w:asciiTheme="minorEastAsia" w:hAnsiTheme="minorEastAsia" w:eastAsiaTheme="minorEastAsia"/>
          <w:b/>
          <w:bCs/>
        </w:rPr>
      </w:pPr>
      <w:r>
        <w:rPr>
          <w:rFonts w:hint="eastAsia" w:asciiTheme="minorEastAsia" w:hAnsiTheme="minorEastAsia" w:eastAsiaTheme="minorEastAsia"/>
          <w:b/>
          <w:bCs/>
        </w:rPr>
        <w:t>（三）代理服务费</w:t>
      </w:r>
    </w:p>
    <w:p w14:paraId="56BE3A9B">
      <w:pPr>
        <w:ind w:firstLine="422" w:firstLineChars="200"/>
        <w:rPr>
          <w:rFonts w:asciiTheme="minorEastAsia" w:hAnsiTheme="minorEastAsia" w:eastAsiaTheme="minorEastAsia"/>
        </w:rPr>
      </w:pPr>
      <w:r>
        <w:rPr>
          <w:rFonts w:hint="eastAsia" w:asciiTheme="minorEastAsia" w:hAnsiTheme="minorEastAsia" w:eastAsiaTheme="minorEastAsia"/>
          <w:b/>
        </w:rPr>
        <w:t>本项目为代理服务项目，将向中标（成交）供应商收取代理服务费。</w:t>
      </w:r>
      <w:r>
        <w:rPr>
          <w:rFonts w:hint="eastAsia" w:asciiTheme="minorEastAsia" w:hAnsiTheme="minorEastAsia" w:eastAsiaTheme="minorEastAsia"/>
        </w:rPr>
        <w:t>中标（成交）供应商在领取《中标（成交）通知书》之前须向深圳公共资源交易中心（深圳交易集团有限公司政府采购业务分公司）交纳代理服务费，代理服务费应在中标（成交）结果公示结束之日的次日起7个工作日内缴纳。若因中标（成交）供应商交纳代理服务费所产生的时间影响到合同签订的，由中标（成交）供应商自行承担责任。代理服务费标准参照下列标准收取。</w:t>
      </w:r>
      <w:r>
        <w:rPr>
          <w:rFonts w:hint="eastAsia" w:asciiTheme="minorEastAsia" w:hAnsiTheme="minorEastAsia" w:eastAsiaTheme="minorEastAsia"/>
          <w:b/>
          <w:color w:val="FF0000"/>
        </w:rPr>
        <w:t>本项目类型为</w:t>
      </w:r>
      <w:r>
        <w:rPr>
          <w:rFonts w:hint="eastAsia" w:asciiTheme="minorEastAsia" w:hAnsiTheme="minorEastAsia" w:eastAsiaTheme="minorEastAsia"/>
          <w:b/>
          <w:color w:val="FF0000"/>
          <w:u w:val="single"/>
        </w:rPr>
        <w:t>服务采购</w:t>
      </w:r>
      <w:r>
        <w:rPr>
          <w:rFonts w:hint="eastAsia" w:asciiTheme="minorEastAsia" w:hAnsiTheme="minorEastAsia" w:eastAsiaTheme="minorEastAsia"/>
          <w:b/>
          <w:color w:val="FF0000"/>
        </w:rPr>
        <w:t>：</w:t>
      </w:r>
    </w:p>
    <w:p w14:paraId="7A0BFBA7">
      <w:pPr>
        <w:ind w:firstLine="420" w:firstLineChars="200"/>
        <w:rPr>
          <w:rFonts w:asciiTheme="minorEastAsia" w:hAnsiTheme="minorEastAsia" w:eastAsiaTheme="minorEastAsia"/>
        </w:rPr>
      </w:pPr>
      <w:r>
        <w:rPr>
          <w:rFonts w:hint="eastAsia" w:asciiTheme="minorEastAsia" w:hAnsiTheme="minorEastAsia" w:eastAsiaTheme="minorEastAsia"/>
        </w:rPr>
        <w:t>（1）代理服务费以《中标（成交）通知书》确定的中标（成交）金额作为计算基数，按差额定率累进法计算。</w:t>
      </w:r>
    </w:p>
    <w:p w14:paraId="3615E76B">
      <w:pPr>
        <w:ind w:firstLine="420" w:firstLineChars="200"/>
        <w:rPr>
          <w:rFonts w:asciiTheme="minorEastAsia" w:hAnsiTheme="minorEastAsia" w:eastAsiaTheme="minorEastAsia"/>
        </w:rPr>
      </w:pPr>
      <w:r>
        <w:rPr>
          <w:rFonts w:hint="eastAsia" w:asciiTheme="minorEastAsia" w:hAnsiTheme="minorEastAsia" w:eastAsiaTheme="minorEastAsia"/>
        </w:rPr>
        <w:t>（2）中标（成交）金额的各部分费率如下表：</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31EE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2DD38D66">
            <w:pPr>
              <w:widowControl/>
              <w:jc w:val="center"/>
              <w:rPr>
                <w:rFonts w:asciiTheme="minorEastAsia" w:hAnsiTheme="minorEastAsia" w:eastAsiaTheme="minorEastAsia"/>
              </w:rPr>
            </w:pPr>
            <w:r>
              <w:rPr>
                <w:rFonts w:hint="eastAsia" w:asciiTheme="minorEastAsia" w:hAnsiTheme="minorEastAsia" w:eastAsiaTheme="minorEastAsia"/>
              </w:rPr>
              <w:t>中标（成交）金额</w:t>
            </w:r>
          </w:p>
        </w:tc>
        <w:tc>
          <w:tcPr>
            <w:tcW w:w="1799" w:type="dxa"/>
            <w:vAlign w:val="center"/>
          </w:tcPr>
          <w:p w14:paraId="2B6D19B5">
            <w:pPr>
              <w:widowControl/>
              <w:jc w:val="center"/>
              <w:rPr>
                <w:rFonts w:asciiTheme="minorEastAsia" w:hAnsiTheme="minorEastAsia" w:eastAsiaTheme="minorEastAsia"/>
              </w:rPr>
            </w:pPr>
            <w:r>
              <w:rPr>
                <w:rFonts w:hint="eastAsia" w:asciiTheme="minorEastAsia" w:hAnsiTheme="minorEastAsia" w:eastAsiaTheme="minorEastAsia"/>
              </w:rPr>
              <w:t>货物采购</w:t>
            </w:r>
          </w:p>
        </w:tc>
        <w:tc>
          <w:tcPr>
            <w:tcW w:w="1799" w:type="dxa"/>
            <w:vAlign w:val="center"/>
          </w:tcPr>
          <w:p w14:paraId="4D01ADFC">
            <w:pPr>
              <w:widowControl/>
              <w:jc w:val="center"/>
              <w:rPr>
                <w:rFonts w:asciiTheme="minorEastAsia" w:hAnsiTheme="minorEastAsia" w:eastAsiaTheme="minorEastAsia"/>
              </w:rPr>
            </w:pPr>
            <w:r>
              <w:rPr>
                <w:rFonts w:hint="eastAsia" w:asciiTheme="minorEastAsia" w:hAnsiTheme="minorEastAsia" w:eastAsiaTheme="minorEastAsia"/>
              </w:rPr>
              <w:t>服务采购</w:t>
            </w:r>
          </w:p>
        </w:tc>
        <w:tc>
          <w:tcPr>
            <w:tcW w:w="1799" w:type="dxa"/>
            <w:vAlign w:val="center"/>
          </w:tcPr>
          <w:p w14:paraId="2362C9BE">
            <w:pPr>
              <w:widowControl/>
              <w:jc w:val="center"/>
              <w:rPr>
                <w:rFonts w:asciiTheme="minorEastAsia" w:hAnsiTheme="minorEastAsia" w:eastAsiaTheme="minorEastAsia"/>
              </w:rPr>
            </w:pPr>
            <w:r>
              <w:rPr>
                <w:rFonts w:hint="eastAsia" w:asciiTheme="minorEastAsia" w:hAnsiTheme="minorEastAsia" w:eastAsiaTheme="minorEastAsia"/>
              </w:rPr>
              <w:t>工程采购</w:t>
            </w:r>
          </w:p>
        </w:tc>
      </w:tr>
      <w:tr w14:paraId="2D3D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6DAF2A7">
            <w:pPr>
              <w:widowControl/>
              <w:jc w:val="center"/>
              <w:rPr>
                <w:rFonts w:asciiTheme="minorEastAsia" w:hAnsiTheme="minorEastAsia" w:eastAsiaTheme="minorEastAsia"/>
              </w:rPr>
            </w:pPr>
            <w:r>
              <w:rPr>
                <w:rFonts w:hint="eastAsia" w:asciiTheme="minorEastAsia" w:hAnsiTheme="minorEastAsia" w:eastAsiaTheme="minorEastAsia"/>
              </w:rPr>
              <w:t>100万元以下</w:t>
            </w:r>
          </w:p>
        </w:tc>
        <w:tc>
          <w:tcPr>
            <w:tcW w:w="1799" w:type="dxa"/>
            <w:vAlign w:val="center"/>
          </w:tcPr>
          <w:p w14:paraId="45C5902F">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64EE6B4E">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2A9D5E47">
            <w:pPr>
              <w:widowControl/>
              <w:jc w:val="center"/>
              <w:rPr>
                <w:rFonts w:asciiTheme="minorEastAsia" w:hAnsiTheme="minorEastAsia" w:eastAsiaTheme="minorEastAsia"/>
              </w:rPr>
            </w:pPr>
            <w:r>
              <w:rPr>
                <w:rFonts w:hint="eastAsia" w:asciiTheme="minorEastAsia" w:hAnsiTheme="minorEastAsia" w:eastAsiaTheme="minorEastAsia"/>
              </w:rPr>
              <w:t>1.0%</w:t>
            </w:r>
          </w:p>
        </w:tc>
      </w:tr>
      <w:tr w14:paraId="799F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E6A2791">
            <w:pPr>
              <w:widowControl/>
              <w:jc w:val="center"/>
              <w:rPr>
                <w:rFonts w:asciiTheme="minorEastAsia" w:hAnsiTheme="minorEastAsia" w:eastAsiaTheme="minorEastAsia"/>
              </w:rPr>
            </w:pPr>
            <w:r>
              <w:rPr>
                <w:rFonts w:hint="eastAsia" w:asciiTheme="minorEastAsia" w:hAnsiTheme="minorEastAsia" w:eastAsiaTheme="minorEastAsia"/>
              </w:rPr>
              <w:t>100万元（含）-500万元</w:t>
            </w:r>
          </w:p>
        </w:tc>
        <w:tc>
          <w:tcPr>
            <w:tcW w:w="1799" w:type="dxa"/>
            <w:vAlign w:val="center"/>
          </w:tcPr>
          <w:p w14:paraId="72BDC814">
            <w:pPr>
              <w:widowControl/>
              <w:jc w:val="center"/>
              <w:rPr>
                <w:rFonts w:asciiTheme="minorEastAsia" w:hAnsiTheme="minorEastAsia" w:eastAsiaTheme="minorEastAsia"/>
              </w:rPr>
            </w:pPr>
            <w:r>
              <w:rPr>
                <w:rFonts w:hint="eastAsia" w:asciiTheme="minorEastAsia" w:hAnsiTheme="minorEastAsia" w:eastAsiaTheme="minorEastAsia"/>
              </w:rPr>
              <w:t>1.1%</w:t>
            </w:r>
          </w:p>
        </w:tc>
        <w:tc>
          <w:tcPr>
            <w:tcW w:w="1799" w:type="dxa"/>
            <w:vAlign w:val="center"/>
          </w:tcPr>
          <w:p w14:paraId="01D442BC">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2D11D283">
            <w:pPr>
              <w:widowControl/>
              <w:jc w:val="center"/>
              <w:rPr>
                <w:rFonts w:asciiTheme="minorEastAsia" w:hAnsiTheme="minorEastAsia" w:eastAsiaTheme="minorEastAsia"/>
              </w:rPr>
            </w:pPr>
            <w:r>
              <w:rPr>
                <w:rFonts w:hint="eastAsia" w:asciiTheme="minorEastAsia" w:hAnsiTheme="minorEastAsia" w:eastAsiaTheme="minorEastAsia"/>
              </w:rPr>
              <w:t>0.7%</w:t>
            </w:r>
          </w:p>
        </w:tc>
      </w:tr>
      <w:tr w14:paraId="6AEE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F292432">
            <w:pPr>
              <w:widowControl/>
              <w:jc w:val="center"/>
              <w:rPr>
                <w:rFonts w:asciiTheme="minorEastAsia" w:hAnsiTheme="minorEastAsia" w:eastAsiaTheme="minorEastAsia"/>
              </w:rPr>
            </w:pPr>
            <w:r>
              <w:rPr>
                <w:rFonts w:hint="eastAsia" w:asciiTheme="minorEastAsia" w:hAnsiTheme="minorEastAsia" w:eastAsiaTheme="minorEastAsia"/>
              </w:rPr>
              <w:t>500万元（含）-1000万元</w:t>
            </w:r>
          </w:p>
        </w:tc>
        <w:tc>
          <w:tcPr>
            <w:tcW w:w="1799" w:type="dxa"/>
            <w:vAlign w:val="center"/>
          </w:tcPr>
          <w:p w14:paraId="3B601A2F">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7D743BE0">
            <w:pPr>
              <w:widowControl/>
              <w:jc w:val="center"/>
              <w:rPr>
                <w:rFonts w:asciiTheme="minorEastAsia" w:hAnsiTheme="minorEastAsia" w:eastAsiaTheme="minorEastAsia"/>
              </w:rPr>
            </w:pPr>
            <w:r>
              <w:rPr>
                <w:rFonts w:hint="eastAsia" w:asciiTheme="minorEastAsia" w:hAnsiTheme="minorEastAsia" w:eastAsiaTheme="minorEastAsia"/>
              </w:rPr>
              <w:t>0.45%</w:t>
            </w:r>
          </w:p>
        </w:tc>
        <w:tc>
          <w:tcPr>
            <w:tcW w:w="1799" w:type="dxa"/>
            <w:vAlign w:val="center"/>
          </w:tcPr>
          <w:p w14:paraId="50310BD2">
            <w:pPr>
              <w:widowControl/>
              <w:jc w:val="center"/>
              <w:rPr>
                <w:rFonts w:asciiTheme="minorEastAsia" w:hAnsiTheme="minorEastAsia" w:eastAsiaTheme="minorEastAsia"/>
              </w:rPr>
            </w:pPr>
            <w:r>
              <w:rPr>
                <w:rFonts w:hint="eastAsia" w:asciiTheme="minorEastAsia" w:hAnsiTheme="minorEastAsia" w:eastAsiaTheme="minorEastAsia"/>
              </w:rPr>
              <w:t>0.55%</w:t>
            </w:r>
          </w:p>
        </w:tc>
      </w:tr>
      <w:tr w14:paraId="1DF5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BE134A9">
            <w:pPr>
              <w:widowControl/>
              <w:jc w:val="center"/>
              <w:rPr>
                <w:rFonts w:asciiTheme="minorEastAsia" w:hAnsiTheme="minorEastAsia" w:eastAsiaTheme="minorEastAsia"/>
              </w:rPr>
            </w:pPr>
            <w:r>
              <w:rPr>
                <w:rFonts w:hint="eastAsia" w:asciiTheme="minorEastAsia" w:hAnsiTheme="minorEastAsia" w:eastAsiaTheme="minorEastAsia"/>
              </w:rPr>
              <w:t>1000万元（含）-5000万元</w:t>
            </w:r>
          </w:p>
        </w:tc>
        <w:tc>
          <w:tcPr>
            <w:tcW w:w="1799" w:type="dxa"/>
            <w:vAlign w:val="center"/>
          </w:tcPr>
          <w:p w14:paraId="55F9D1F9">
            <w:pPr>
              <w:widowControl/>
              <w:jc w:val="center"/>
              <w:rPr>
                <w:rFonts w:asciiTheme="minorEastAsia" w:hAnsiTheme="minorEastAsia" w:eastAsiaTheme="minorEastAsia"/>
              </w:rPr>
            </w:pPr>
            <w:r>
              <w:rPr>
                <w:rFonts w:hint="eastAsia" w:asciiTheme="minorEastAsia" w:hAnsiTheme="minorEastAsia" w:eastAsiaTheme="minorEastAsia"/>
              </w:rPr>
              <w:t>0.5%</w:t>
            </w:r>
          </w:p>
        </w:tc>
        <w:tc>
          <w:tcPr>
            <w:tcW w:w="1799" w:type="dxa"/>
            <w:vAlign w:val="center"/>
          </w:tcPr>
          <w:p w14:paraId="6EDB8F37">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6C03A3C4">
            <w:pPr>
              <w:widowControl/>
              <w:jc w:val="center"/>
              <w:rPr>
                <w:rFonts w:asciiTheme="minorEastAsia" w:hAnsiTheme="minorEastAsia" w:eastAsiaTheme="minorEastAsia"/>
              </w:rPr>
            </w:pPr>
            <w:r>
              <w:rPr>
                <w:rFonts w:hint="eastAsia" w:asciiTheme="minorEastAsia" w:hAnsiTheme="minorEastAsia" w:eastAsiaTheme="minorEastAsia"/>
              </w:rPr>
              <w:t>0.35%</w:t>
            </w:r>
          </w:p>
        </w:tc>
      </w:tr>
      <w:tr w14:paraId="47E6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3BEF392">
            <w:pPr>
              <w:widowControl/>
              <w:jc w:val="center"/>
              <w:rPr>
                <w:rFonts w:asciiTheme="minorEastAsia" w:hAnsiTheme="minorEastAsia" w:eastAsiaTheme="minorEastAsia"/>
              </w:rPr>
            </w:pPr>
            <w:r>
              <w:rPr>
                <w:rFonts w:hint="eastAsia" w:asciiTheme="minorEastAsia" w:hAnsiTheme="minorEastAsia" w:eastAsiaTheme="minorEastAsia"/>
              </w:rPr>
              <w:t>5000万元（含）-1亿元</w:t>
            </w:r>
          </w:p>
        </w:tc>
        <w:tc>
          <w:tcPr>
            <w:tcW w:w="1799" w:type="dxa"/>
            <w:vAlign w:val="center"/>
          </w:tcPr>
          <w:p w14:paraId="04BA7559">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5C8AC0BC">
            <w:pPr>
              <w:widowControl/>
              <w:jc w:val="center"/>
              <w:rPr>
                <w:rFonts w:asciiTheme="minorEastAsia" w:hAnsiTheme="minorEastAsia" w:eastAsiaTheme="minorEastAsia"/>
              </w:rPr>
            </w:pPr>
            <w:r>
              <w:rPr>
                <w:rFonts w:hint="eastAsia" w:asciiTheme="minorEastAsia" w:hAnsiTheme="minorEastAsia" w:eastAsiaTheme="minorEastAsia"/>
              </w:rPr>
              <w:t>0.1%</w:t>
            </w:r>
          </w:p>
        </w:tc>
        <w:tc>
          <w:tcPr>
            <w:tcW w:w="1799" w:type="dxa"/>
            <w:vAlign w:val="center"/>
          </w:tcPr>
          <w:p w14:paraId="4C8FA63F">
            <w:pPr>
              <w:widowControl/>
              <w:jc w:val="center"/>
              <w:rPr>
                <w:rFonts w:asciiTheme="minorEastAsia" w:hAnsiTheme="minorEastAsia" w:eastAsiaTheme="minorEastAsia"/>
              </w:rPr>
            </w:pPr>
            <w:r>
              <w:rPr>
                <w:rFonts w:hint="eastAsia" w:asciiTheme="minorEastAsia" w:hAnsiTheme="minorEastAsia" w:eastAsiaTheme="minorEastAsia"/>
              </w:rPr>
              <w:t>0.2%</w:t>
            </w:r>
          </w:p>
        </w:tc>
      </w:tr>
      <w:tr w14:paraId="1DBC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DDA04D9">
            <w:pPr>
              <w:widowControl/>
              <w:jc w:val="center"/>
              <w:rPr>
                <w:rFonts w:asciiTheme="minorEastAsia" w:hAnsiTheme="minorEastAsia" w:eastAsiaTheme="minorEastAsia"/>
              </w:rPr>
            </w:pPr>
            <w:r>
              <w:rPr>
                <w:rFonts w:hint="eastAsia" w:asciiTheme="minorEastAsia" w:hAnsiTheme="minorEastAsia" w:eastAsiaTheme="minorEastAsia"/>
              </w:rPr>
              <w:t>1亿元（含）-5亿元</w:t>
            </w:r>
          </w:p>
        </w:tc>
        <w:tc>
          <w:tcPr>
            <w:tcW w:w="1799" w:type="dxa"/>
            <w:vAlign w:val="center"/>
          </w:tcPr>
          <w:p w14:paraId="0877FE6F">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355A57B5">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7F435077">
            <w:pPr>
              <w:widowControl/>
              <w:jc w:val="center"/>
              <w:rPr>
                <w:rFonts w:asciiTheme="minorEastAsia" w:hAnsiTheme="minorEastAsia" w:eastAsiaTheme="minorEastAsia"/>
              </w:rPr>
            </w:pPr>
            <w:r>
              <w:rPr>
                <w:rFonts w:hint="eastAsia" w:asciiTheme="minorEastAsia" w:hAnsiTheme="minorEastAsia" w:eastAsiaTheme="minorEastAsia"/>
              </w:rPr>
              <w:t>0.05%</w:t>
            </w:r>
          </w:p>
        </w:tc>
      </w:tr>
      <w:tr w14:paraId="1C22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17FA83">
            <w:pPr>
              <w:widowControl/>
              <w:jc w:val="center"/>
              <w:rPr>
                <w:rFonts w:asciiTheme="minorEastAsia" w:hAnsiTheme="minorEastAsia" w:eastAsiaTheme="minorEastAsia"/>
              </w:rPr>
            </w:pPr>
            <w:r>
              <w:rPr>
                <w:rFonts w:hint="eastAsia" w:asciiTheme="minorEastAsia" w:hAnsiTheme="minorEastAsia" w:eastAsiaTheme="minorEastAsia"/>
              </w:rPr>
              <w:t>5亿元（含）-10亿元</w:t>
            </w:r>
          </w:p>
        </w:tc>
        <w:tc>
          <w:tcPr>
            <w:tcW w:w="1799" w:type="dxa"/>
            <w:vAlign w:val="center"/>
          </w:tcPr>
          <w:p w14:paraId="1A89B778">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3D3D3CFD">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7890C9CB">
            <w:pPr>
              <w:widowControl/>
              <w:jc w:val="center"/>
              <w:rPr>
                <w:rFonts w:asciiTheme="minorEastAsia" w:hAnsiTheme="minorEastAsia" w:eastAsiaTheme="minorEastAsia"/>
              </w:rPr>
            </w:pPr>
            <w:r>
              <w:rPr>
                <w:rFonts w:hint="eastAsia" w:asciiTheme="minorEastAsia" w:hAnsiTheme="minorEastAsia" w:eastAsiaTheme="minorEastAsia"/>
              </w:rPr>
              <w:t>0.035%</w:t>
            </w:r>
          </w:p>
        </w:tc>
      </w:tr>
      <w:tr w14:paraId="1018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012021B1">
            <w:pPr>
              <w:widowControl/>
              <w:jc w:val="center"/>
              <w:rPr>
                <w:rFonts w:asciiTheme="minorEastAsia" w:hAnsiTheme="minorEastAsia" w:eastAsiaTheme="minorEastAsia"/>
              </w:rPr>
            </w:pPr>
            <w:r>
              <w:rPr>
                <w:rFonts w:hint="eastAsia" w:asciiTheme="minorEastAsia" w:hAnsiTheme="minorEastAsia" w:eastAsiaTheme="minorEastAsia"/>
              </w:rPr>
              <w:t>10亿元（含）-50亿元</w:t>
            </w:r>
          </w:p>
        </w:tc>
        <w:tc>
          <w:tcPr>
            <w:tcW w:w="1799" w:type="dxa"/>
            <w:vAlign w:val="center"/>
          </w:tcPr>
          <w:p w14:paraId="2413D23B">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791EF63E">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31342F71">
            <w:pPr>
              <w:widowControl/>
              <w:jc w:val="center"/>
              <w:rPr>
                <w:rFonts w:asciiTheme="minorEastAsia" w:hAnsiTheme="minorEastAsia" w:eastAsiaTheme="minorEastAsia"/>
              </w:rPr>
            </w:pPr>
            <w:r>
              <w:rPr>
                <w:rFonts w:hint="eastAsia" w:asciiTheme="minorEastAsia" w:hAnsiTheme="minorEastAsia" w:eastAsiaTheme="minorEastAsia"/>
              </w:rPr>
              <w:t>0.008%</w:t>
            </w:r>
          </w:p>
        </w:tc>
      </w:tr>
      <w:tr w14:paraId="42A5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7DF080">
            <w:pPr>
              <w:widowControl/>
              <w:jc w:val="center"/>
              <w:rPr>
                <w:rFonts w:asciiTheme="minorEastAsia" w:hAnsiTheme="minorEastAsia" w:eastAsiaTheme="minorEastAsia"/>
              </w:rPr>
            </w:pPr>
            <w:r>
              <w:rPr>
                <w:rFonts w:hint="eastAsia" w:asciiTheme="minorEastAsia" w:hAnsiTheme="minorEastAsia" w:eastAsiaTheme="minorEastAsia"/>
              </w:rPr>
              <w:t>50亿元（含）-100亿元</w:t>
            </w:r>
          </w:p>
        </w:tc>
        <w:tc>
          <w:tcPr>
            <w:tcW w:w="1799" w:type="dxa"/>
            <w:vAlign w:val="center"/>
          </w:tcPr>
          <w:p w14:paraId="66808067">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79C45121">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50F9459F">
            <w:pPr>
              <w:widowControl/>
              <w:jc w:val="center"/>
              <w:rPr>
                <w:rFonts w:asciiTheme="minorEastAsia" w:hAnsiTheme="minorEastAsia" w:eastAsiaTheme="minorEastAsia"/>
              </w:rPr>
            </w:pPr>
            <w:r>
              <w:rPr>
                <w:rFonts w:hint="eastAsia" w:asciiTheme="minorEastAsia" w:hAnsiTheme="minorEastAsia" w:eastAsiaTheme="minorEastAsia"/>
              </w:rPr>
              <w:t>0.006%</w:t>
            </w:r>
          </w:p>
        </w:tc>
      </w:tr>
      <w:tr w14:paraId="13E0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E099810">
            <w:pPr>
              <w:widowControl/>
              <w:jc w:val="center"/>
              <w:rPr>
                <w:rFonts w:asciiTheme="minorEastAsia" w:hAnsiTheme="minorEastAsia" w:eastAsiaTheme="minorEastAsia"/>
              </w:rPr>
            </w:pPr>
            <w:r>
              <w:rPr>
                <w:rFonts w:hint="eastAsia" w:asciiTheme="minorEastAsia" w:hAnsiTheme="minorEastAsia" w:eastAsiaTheme="minorEastAsia"/>
              </w:rPr>
              <w:t>100亿元（含）以上</w:t>
            </w:r>
          </w:p>
        </w:tc>
        <w:tc>
          <w:tcPr>
            <w:tcW w:w="1799" w:type="dxa"/>
            <w:vAlign w:val="center"/>
          </w:tcPr>
          <w:p w14:paraId="6C8B2563">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54D60DCD">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1A5F5FAA">
            <w:pPr>
              <w:widowControl/>
              <w:jc w:val="center"/>
              <w:rPr>
                <w:rFonts w:asciiTheme="minorEastAsia" w:hAnsiTheme="minorEastAsia" w:eastAsiaTheme="minorEastAsia"/>
              </w:rPr>
            </w:pPr>
            <w:r>
              <w:rPr>
                <w:rFonts w:hint="eastAsia" w:asciiTheme="minorEastAsia" w:hAnsiTheme="minorEastAsia" w:eastAsiaTheme="minorEastAsia"/>
              </w:rPr>
              <w:t>0.004%</w:t>
            </w:r>
          </w:p>
        </w:tc>
      </w:tr>
    </w:tbl>
    <w:p w14:paraId="6D1AADFC">
      <w:pPr>
        <w:ind w:firstLine="420" w:firstLineChars="200"/>
        <w:rPr>
          <w:rFonts w:asciiTheme="minorEastAsia" w:hAnsiTheme="minorEastAsia" w:eastAsiaTheme="minorEastAsia"/>
        </w:rPr>
      </w:pPr>
      <w:r>
        <w:rPr>
          <w:rFonts w:hint="eastAsia" w:asciiTheme="minorEastAsia" w:hAnsiTheme="minorEastAsia" w:eastAsiaTheme="minorEastAsia"/>
        </w:rPr>
        <w:t>备注：1.每宗交易代理服务费不低于 5000 元；</w:t>
      </w:r>
    </w:p>
    <w:p w14:paraId="71430EEF">
      <w:pPr>
        <w:ind w:firstLine="420" w:firstLineChars="200"/>
        <w:rPr>
          <w:rFonts w:asciiTheme="minorEastAsia" w:hAnsiTheme="minorEastAsia" w:eastAsiaTheme="minorEastAsia"/>
        </w:rPr>
      </w:pPr>
      <w:r>
        <w:rPr>
          <w:rFonts w:hint="eastAsia" w:asciiTheme="minorEastAsia" w:hAnsiTheme="minorEastAsia" w:eastAsiaTheme="minorEastAsia"/>
        </w:rPr>
        <w:t>2.对于报总价的采购类项目，中标（成交）价为中标（成交）金额；对于报单价、折扣或费率的采购类项目，中标（成交）价为预算上限金额或经委托方与代理方确定的支付上限金额；</w:t>
      </w:r>
    </w:p>
    <w:p w14:paraId="2D0D6EAB">
      <w:pPr>
        <w:ind w:firstLine="420" w:firstLineChars="200"/>
        <w:rPr>
          <w:rFonts w:asciiTheme="minorEastAsia" w:hAnsiTheme="minorEastAsia" w:eastAsiaTheme="minorEastAsia"/>
        </w:rPr>
      </w:pPr>
      <w:r>
        <w:rPr>
          <w:rFonts w:hint="eastAsia" w:asciiTheme="minorEastAsia" w:hAnsiTheme="minorEastAsia" w:eastAsiaTheme="minorEastAsia"/>
        </w:rPr>
        <w:t>如某货物采购项目，中标（成交）金额为600万元，总共交纳的代理服务费的具体计算过程如下：</w:t>
      </w:r>
    </w:p>
    <w:p w14:paraId="75634038">
      <w:pPr>
        <w:ind w:firstLine="420" w:firstLineChars="200"/>
        <w:rPr>
          <w:rFonts w:asciiTheme="minorEastAsia" w:hAnsiTheme="minorEastAsia" w:eastAsiaTheme="minorEastAsia"/>
        </w:rPr>
      </w:pPr>
      <w:r>
        <w:rPr>
          <w:rFonts w:hint="eastAsia" w:asciiTheme="minorEastAsia" w:hAnsiTheme="minorEastAsia" w:eastAsiaTheme="minorEastAsia"/>
        </w:rPr>
        <w:t>标准代理服务费＝（100万以下部分的代理服务费）+（100万～500万部分的代理服务费）+（500万～600万部分的代理服务费）＝100万元×1.5%+（500-100）万元×1.1%+（600-500）万元×0.8%=1.5万元+4.4万元+0.8万元＝6.7万元</w:t>
      </w:r>
    </w:p>
    <w:p w14:paraId="2D41A1D9">
      <w:pPr>
        <w:ind w:firstLine="420" w:firstLineChars="200"/>
        <w:rPr>
          <w:rFonts w:cs="宋体" w:asciiTheme="minorEastAsia" w:hAnsiTheme="minorEastAsia" w:eastAsiaTheme="minorEastAsia"/>
          <w:bCs/>
          <w:color w:val="FF0000"/>
          <w:szCs w:val="21"/>
        </w:rPr>
      </w:pPr>
      <w:r>
        <w:rPr>
          <w:rFonts w:hint="eastAsia" w:asciiTheme="minorEastAsia" w:hAnsiTheme="minorEastAsia" w:eastAsiaTheme="minorEastAsia"/>
        </w:rPr>
        <w:t>（3）中标（成交）供应商中标（成交）后，必须按规定采用银行对公转账方式向深圳交易集团有限公司直接交纳代理服务费，</w:t>
      </w:r>
      <w:r>
        <w:rPr>
          <w:rFonts w:hint="eastAsia" w:asciiTheme="minorEastAsia" w:hAnsiTheme="minorEastAsia" w:eastAsiaTheme="minorEastAsia"/>
          <w:b/>
          <w:bCs/>
        </w:rPr>
        <w:t>交纳信息及要求按照缴款（付款）通知书执行。</w:t>
      </w:r>
    </w:p>
    <w:p w14:paraId="24F048D3">
      <w:pPr>
        <w:ind w:firstLine="422" w:firstLineChars="200"/>
        <w:jc w:val="left"/>
        <w:rPr>
          <w:rFonts w:asciiTheme="minorEastAsia" w:hAnsiTheme="minorEastAsia" w:eastAsiaTheme="minorEastAsia"/>
          <w:b/>
          <w:color w:val="000000" w:themeColor="text1"/>
          <w14:textFill>
            <w14:solidFill>
              <w14:schemeClr w14:val="tx1"/>
            </w14:solidFill>
          </w14:textFill>
        </w:rPr>
      </w:pPr>
    </w:p>
    <w:p w14:paraId="79E96076">
      <w:pPr>
        <w:ind w:firstLine="422" w:firstLineChars="200"/>
        <w:jc w:val="left"/>
        <w:rPr>
          <w:rFonts w:cs="宋体"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14:textFill>
            <w14:solidFill>
              <w14:schemeClr w14:val="tx1"/>
            </w14:solidFill>
          </w14:textFill>
        </w:rPr>
        <w:t>（四）其他说明</w:t>
      </w:r>
    </w:p>
    <w:p w14:paraId="78575F0D">
      <w:pPr>
        <w:ind w:firstLine="420" w:firstLineChars="200"/>
        <w:rPr>
          <w:rFonts w:asciiTheme="minorEastAsia" w:hAnsiTheme="minorEastAsia" w:eastAsiaTheme="minorEastAsia"/>
        </w:rPr>
      </w:pPr>
      <w:r>
        <w:rPr>
          <w:rFonts w:asciiTheme="minorEastAsia" w:hAnsiTheme="minorEastAsia" w:eastAsiaTheme="minorEastAsia"/>
        </w:rPr>
        <w:t>本项目允许使用电子营业执照加、解密，投标（应答）供应商在使用“投标文件制作专用软件”制作投标（应答）文件时，可以通过微信扫码功能调用“电子营业执照”小程序制作、加密、解密投标（应答）响应文件。供应商加密投标（应答）响应文件与开标解密必须使用同一种方式，否则解密失败，导致投标无效（即：使用电子执照加密的，后续开标只能使用电子执照解密）。</w:t>
      </w:r>
    </w:p>
    <w:p w14:paraId="31E5C314">
      <w:pPr>
        <w:ind w:firstLine="422" w:firstLineChars="200"/>
        <w:rPr>
          <w:rFonts w:asciiTheme="minorEastAsia" w:hAnsiTheme="minorEastAsia" w:eastAsiaTheme="minorEastAsia"/>
          <w:b/>
          <w:bCs/>
        </w:rPr>
      </w:pPr>
      <w:r>
        <w:rPr>
          <w:rFonts w:asciiTheme="minorEastAsia" w:hAnsiTheme="minorEastAsia" w:eastAsiaTheme="minorEastAsia"/>
          <w:b/>
          <w:bCs/>
        </w:rPr>
        <w:t>重要提示：</w:t>
      </w:r>
    </w:p>
    <w:p w14:paraId="2E81B219">
      <w:pPr>
        <w:ind w:firstLine="420" w:firstLineChars="200"/>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w:t>
      </w:r>
      <w:r>
        <w:rPr>
          <w:rFonts w:asciiTheme="minorEastAsia" w:hAnsiTheme="minorEastAsia" w:eastAsiaTheme="minorEastAsia"/>
        </w:rPr>
        <w:t>使用电子营业执照功能时，请确保已经在手机微信安装 “电子营业执照”小程序，或已安装了“电子营业执照”APP，并且在 “电子营业执照”小程序/app中完成相应的下载电子营业执照、法人授权、备份密钥等操作（具体详见</w:t>
      </w:r>
      <w:r>
        <w:rPr>
          <w:rFonts w:hint="eastAsia" w:asciiTheme="minorEastAsia" w:hAnsiTheme="minorEastAsia" w:eastAsiaTheme="minorEastAsia"/>
        </w:rPr>
        <w:t>国家市场监督管理总局</w:t>
      </w:r>
      <w:r>
        <w:rPr>
          <w:rFonts w:asciiTheme="minorEastAsia" w:hAnsiTheme="minorEastAsia" w:eastAsiaTheme="minorEastAsia"/>
        </w:rPr>
        <w:t>网站），电子投标地区必须选择 “广东省-深圳市-深圳政府采购智慧平台”（请根据手机小程序/app提示进行设置，或拨打电子营业执照平台技术支持电话010-86355313，15921122750）。</w:t>
      </w:r>
    </w:p>
    <w:p w14:paraId="37A165BA">
      <w:pPr>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电子营业执照应用于投标文件制作和加解密属于创新应用场景，如不熟悉操作可能导致错过投标截止时间，系统已提供加密、测试解密和撤回重新上传的功能，各投标人须预留充足时间，提前制作和加密上传投标文件。</w:t>
      </w:r>
    </w:p>
    <w:p w14:paraId="70A44D8A">
      <w:pPr>
        <w:ind w:firstLine="420" w:firstLineChars="200"/>
        <w:rPr>
          <w:rFonts w:asciiTheme="minorEastAsia" w:hAnsiTheme="minorEastAsia" w:eastAsiaTheme="minorEastAsia"/>
        </w:rPr>
      </w:pPr>
      <w:r>
        <w:rPr>
          <w:rFonts w:asciiTheme="minorEastAsia" w:hAnsiTheme="minorEastAsia" w:eastAsiaTheme="minorEastAsia"/>
        </w:rPr>
        <w:t>3.已办理数字证书（电子密钥）的用户，可以继续使用数字证书完成投标活动。未申请电子营业执照或无法通过电子营业执照完成投标文件制作和加解密的用户，必须使用电子密钥进行投标文件制作和加解密，咨询电话</w:t>
      </w:r>
      <w:r>
        <w:rPr>
          <w:rFonts w:hint="eastAsia" w:asciiTheme="minorEastAsia" w:hAnsiTheme="minorEastAsia" w:eastAsiaTheme="minorEastAsia"/>
        </w:rPr>
        <w:t>0755-83948165，020-89524338</w:t>
      </w:r>
      <w:r>
        <w:rPr>
          <w:rFonts w:asciiTheme="minorEastAsia" w:hAnsiTheme="minorEastAsia" w:eastAsiaTheme="minorEastAsia"/>
        </w:rPr>
        <w:t>（CA办理指引详见链接https://szggzy.com/calock/caLock.html）。</w:t>
      </w:r>
    </w:p>
    <w:p w14:paraId="3191EDBE">
      <w:pPr>
        <w:spacing w:after="0" w:line="240" w:lineRule="auto"/>
        <w:ind w:firstLine="420" w:firstLineChars="200"/>
        <w:rPr>
          <w:b/>
          <w:bCs/>
          <w:highlight w:val="none"/>
        </w:rPr>
      </w:pPr>
      <w:r>
        <w:rPr>
          <w:rFonts w:hint="eastAsia" w:hAnsi="宋体" w:eastAsiaTheme="minorEastAsia"/>
          <w:kern w:val="0"/>
          <w:szCs w:val="21"/>
          <w:highlight w:val="none"/>
          <w:lang w:eastAsia="zh-CN"/>
        </w:rPr>
        <w:t>（</w:t>
      </w:r>
      <w:r>
        <w:rPr>
          <w:rFonts w:hint="eastAsia" w:hAnsi="宋体" w:eastAsiaTheme="minorEastAsia"/>
          <w:kern w:val="0"/>
          <w:szCs w:val="21"/>
          <w:highlight w:val="none"/>
          <w:lang w:val="en-US" w:eastAsia="zh-CN"/>
        </w:rPr>
        <w:t>五</w:t>
      </w:r>
      <w:r>
        <w:rPr>
          <w:rFonts w:hint="eastAsia" w:hAnsi="宋体" w:eastAsiaTheme="minorEastAsia"/>
          <w:kern w:val="0"/>
          <w:szCs w:val="21"/>
          <w:highlight w:val="none"/>
          <w:lang w:eastAsia="zh-CN"/>
        </w:rPr>
        <w:t>）</w:t>
      </w:r>
      <w:r>
        <w:rPr>
          <w:rFonts w:hint="eastAsia"/>
          <w:b/>
          <w:bCs/>
          <w:highlight w:val="none"/>
        </w:rPr>
        <w:t>中标原则</w:t>
      </w:r>
    </w:p>
    <w:p w14:paraId="5B308C76">
      <w:pPr>
        <w:spacing w:after="0" w:line="240" w:lineRule="auto"/>
        <w:ind w:firstLine="420" w:firstLineChars="200"/>
        <w:rPr>
          <w:bCs/>
          <w:highlight w:val="none"/>
        </w:rPr>
      </w:pPr>
      <w:r>
        <w:rPr>
          <w:rFonts w:hint="eastAsia"/>
          <w:bCs/>
          <w:highlight w:val="none"/>
        </w:rPr>
        <w:t>a.本项目通过采购，将选择专业单位</w:t>
      </w:r>
      <w:r>
        <w:rPr>
          <w:rFonts w:hint="eastAsia"/>
          <w:bCs/>
          <w:highlight w:val="none"/>
          <w:lang w:val="en-US" w:eastAsia="zh-CN"/>
        </w:rPr>
        <w:t>分别</w:t>
      </w:r>
      <w:r>
        <w:rPr>
          <w:rFonts w:hint="eastAsia"/>
          <w:bCs/>
          <w:highlight w:val="none"/>
        </w:rPr>
        <w:t>承担</w:t>
      </w:r>
      <w:bookmarkStart w:id="30" w:name="OLE_LINK3"/>
      <w:r>
        <w:rPr>
          <w:rFonts w:hint="eastAsia"/>
          <w:bCs/>
          <w:highlight w:val="none"/>
        </w:rPr>
        <w:t>A、B</w:t>
      </w:r>
      <w:bookmarkEnd w:id="30"/>
      <w:r>
        <w:rPr>
          <w:rFonts w:hint="eastAsia"/>
          <w:bCs/>
          <w:highlight w:val="none"/>
          <w:lang w:eastAsia="zh-CN"/>
        </w:rPr>
        <w:t>、</w:t>
      </w:r>
      <w:r>
        <w:rPr>
          <w:rFonts w:hint="eastAsia"/>
          <w:bCs/>
          <w:highlight w:val="none"/>
          <w:lang w:val="en-US" w:eastAsia="zh-CN"/>
        </w:rPr>
        <w:t>C、D等4</w:t>
      </w:r>
      <w:r>
        <w:rPr>
          <w:rFonts w:hint="eastAsia"/>
          <w:bCs/>
          <w:highlight w:val="none"/>
        </w:rPr>
        <w:t>个包相关任务。</w:t>
      </w:r>
      <w:r>
        <w:rPr>
          <w:rFonts w:hint="eastAsia"/>
          <w:b/>
          <w:bCs/>
          <w:color w:val="FF0000"/>
          <w:highlight w:val="none"/>
        </w:rPr>
        <w:t>本包为</w:t>
      </w:r>
      <w:r>
        <w:rPr>
          <w:rFonts w:hint="eastAsia"/>
          <w:b/>
          <w:bCs/>
          <w:color w:val="FF0000"/>
          <w:highlight w:val="none"/>
          <w:lang w:val="en-US" w:eastAsia="zh-CN"/>
        </w:rPr>
        <w:t>B</w:t>
      </w:r>
      <w:r>
        <w:rPr>
          <w:rFonts w:hint="eastAsia"/>
          <w:b/>
          <w:bCs/>
          <w:color w:val="FF0000"/>
          <w:highlight w:val="none"/>
        </w:rPr>
        <w:t>包。</w:t>
      </w:r>
    </w:p>
    <w:p w14:paraId="465BF6AD">
      <w:pPr>
        <w:spacing w:after="0" w:line="240" w:lineRule="auto"/>
        <w:ind w:firstLine="420" w:firstLineChars="200"/>
        <w:rPr>
          <w:bCs/>
          <w:highlight w:val="none"/>
        </w:rPr>
      </w:pPr>
      <w:r>
        <w:rPr>
          <w:rFonts w:hint="eastAsia"/>
          <w:bCs/>
          <w:highlight w:val="none"/>
        </w:rPr>
        <w:t>b.投标原则：本项目将根据综合评分法，选择出优秀的专业供应商承担本项目任务。本项目共分为编号为A、B</w:t>
      </w:r>
      <w:r>
        <w:rPr>
          <w:rFonts w:hint="eastAsia"/>
          <w:bCs/>
          <w:highlight w:val="none"/>
          <w:lang w:eastAsia="zh-CN"/>
        </w:rPr>
        <w:t>、</w:t>
      </w:r>
      <w:r>
        <w:rPr>
          <w:rFonts w:hint="eastAsia"/>
          <w:bCs/>
          <w:highlight w:val="none"/>
          <w:lang w:val="en-US" w:eastAsia="zh-CN"/>
        </w:rPr>
        <w:t>C、D</w:t>
      </w:r>
      <w:r>
        <w:rPr>
          <w:rFonts w:hint="eastAsia"/>
          <w:bCs/>
          <w:highlight w:val="none"/>
        </w:rPr>
        <w:t>的</w:t>
      </w:r>
      <w:r>
        <w:rPr>
          <w:rFonts w:hint="eastAsia"/>
          <w:bCs/>
          <w:highlight w:val="none"/>
          <w:lang w:val="en-US" w:eastAsia="zh-CN"/>
        </w:rPr>
        <w:t>4</w:t>
      </w:r>
      <w:r>
        <w:rPr>
          <w:rFonts w:hint="eastAsia"/>
          <w:bCs/>
          <w:highlight w:val="none"/>
        </w:rPr>
        <w:t>个包，</w:t>
      </w:r>
      <w:r>
        <w:rPr>
          <w:rFonts w:hint="eastAsia"/>
          <w:bCs/>
          <w:highlight w:val="none"/>
          <w:lang w:eastAsia="zh-CN"/>
        </w:rPr>
        <w:t>投标人</w:t>
      </w:r>
      <w:r>
        <w:rPr>
          <w:rFonts w:hint="eastAsia"/>
          <w:bCs/>
          <w:highlight w:val="none"/>
        </w:rPr>
        <w:t>可以选择投其中1个包或多个包，每个包需要独立制作1份投标文件，并按所投包号进行上传投标文件。</w:t>
      </w:r>
    </w:p>
    <w:p w14:paraId="3EBB1B61">
      <w:pPr>
        <w:spacing w:after="0" w:line="240" w:lineRule="auto"/>
        <w:ind w:firstLine="420" w:firstLineChars="200"/>
        <w:rPr>
          <w:bCs/>
          <w:highlight w:val="none"/>
        </w:rPr>
      </w:pPr>
      <w:r>
        <w:rPr>
          <w:rFonts w:hint="eastAsia"/>
          <w:bCs/>
          <w:highlight w:val="none"/>
        </w:rPr>
        <w:t>c.中标原则：本项目按A→B→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顺序分包进行评审，每个包均取3名候选中标供应商，排名第一名者为该包的中标供应商。各</w:t>
      </w:r>
      <w:r>
        <w:rPr>
          <w:rFonts w:hint="eastAsia"/>
          <w:bCs/>
          <w:highlight w:val="none"/>
          <w:lang w:eastAsia="zh-CN"/>
        </w:rPr>
        <w:t>投标人</w:t>
      </w:r>
      <w:r>
        <w:rPr>
          <w:rFonts w:hint="eastAsia"/>
          <w:bCs/>
          <w:highlight w:val="none"/>
        </w:rPr>
        <w:t>可同时对多个包号进行投标，但最多只能中</w:t>
      </w:r>
      <w:r>
        <w:rPr>
          <w:rFonts w:hint="eastAsia"/>
          <w:bCs/>
          <w:highlight w:val="none"/>
          <w:lang w:val="en-US" w:eastAsia="zh-CN"/>
        </w:rPr>
        <w:t>2</w:t>
      </w:r>
      <w:r>
        <w:rPr>
          <w:rFonts w:hint="eastAsia"/>
          <w:bCs/>
          <w:highlight w:val="none"/>
        </w:rPr>
        <w:t>个包，当某一</w:t>
      </w:r>
      <w:r>
        <w:rPr>
          <w:rFonts w:hint="eastAsia"/>
          <w:bCs/>
          <w:highlight w:val="none"/>
          <w:lang w:eastAsia="zh-CN"/>
        </w:rPr>
        <w:t>投标人</w:t>
      </w:r>
      <w:r>
        <w:rPr>
          <w:rFonts w:hint="eastAsia"/>
          <w:bCs/>
          <w:highlight w:val="none"/>
        </w:rPr>
        <w:t>已在某</w:t>
      </w:r>
      <w:r>
        <w:rPr>
          <w:rFonts w:hint="eastAsia"/>
          <w:bCs/>
          <w:highlight w:val="none"/>
          <w:lang w:val="en-US" w:eastAsia="zh-CN"/>
        </w:rPr>
        <w:t>2</w:t>
      </w:r>
      <w:r>
        <w:rPr>
          <w:rFonts w:hint="eastAsia"/>
          <w:bCs/>
          <w:highlight w:val="none"/>
        </w:rPr>
        <w:t>个包号中综合得分排名第一时，则该</w:t>
      </w:r>
      <w:r>
        <w:rPr>
          <w:rFonts w:hint="eastAsia"/>
          <w:bCs/>
          <w:highlight w:val="none"/>
          <w:lang w:eastAsia="zh-CN"/>
        </w:rPr>
        <w:t>投标人</w:t>
      </w:r>
      <w:r>
        <w:rPr>
          <w:rFonts w:hint="eastAsia"/>
          <w:bCs/>
          <w:highlight w:val="none"/>
        </w:rPr>
        <w:t>不得参与下一个包号评审（符合性审查条款不通过），不得参与的包号按包的编号顺序（A→B→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）确定。所有包号有效</w:t>
      </w:r>
      <w:r>
        <w:rPr>
          <w:rFonts w:hint="eastAsia"/>
          <w:bCs/>
          <w:highlight w:val="none"/>
          <w:lang w:eastAsia="zh-CN"/>
        </w:rPr>
        <w:t>投标人</w:t>
      </w:r>
      <w:r>
        <w:rPr>
          <w:rFonts w:hint="eastAsia"/>
          <w:bCs/>
          <w:highlight w:val="none"/>
        </w:rPr>
        <w:t>均需达到法定数量（三家或以上），有效</w:t>
      </w:r>
      <w:r>
        <w:rPr>
          <w:rFonts w:hint="eastAsia"/>
          <w:bCs/>
          <w:highlight w:val="none"/>
          <w:lang w:eastAsia="zh-CN"/>
        </w:rPr>
        <w:t>投标人</w:t>
      </w:r>
      <w:r>
        <w:rPr>
          <w:rFonts w:hint="eastAsia"/>
          <w:bCs/>
          <w:highlight w:val="none"/>
        </w:rPr>
        <w:t>未达到法定数量的包组作废标处理。</w:t>
      </w:r>
    </w:p>
    <w:p w14:paraId="4A001D7F">
      <w:pPr>
        <w:spacing w:after="0" w:line="240" w:lineRule="auto"/>
        <w:ind w:firstLine="420" w:firstLineChars="200"/>
        <w:rPr>
          <w:bCs/>
          <w:highlight w:val="none"/>
        </w:rPr>
      </w:pPr>
      <w:r>
        <w:rPr>
          <w:rFonts w:hint="eastAsia"/>
          <w:bCs/>
          <w:highlight w:val="none"/>
        </w:rPr>
        <w:t>举例：甲单位同时投标</w:t>
      </w:r>
      <w:r>
        <w:rPr>
          <w:rFonts w:hint="eastAsia"/>
          <w:bCs/>
          <w:highlight w:val="none"/>
          <w:lang w:val="en-US" w:eastAsia="zh-CN"/>
        </w:rPr>
        <w:t>4</w:t>
      </w:r>
      <w:r>
        <w:rPr>
          <w:rFonts w:hint="eastAsia"/>
          <w:bCs/>
          <w:highlight w:val="none"/>
        </w:rPr>
        <w:t>个包A→B→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，且通过综合评分，在A包</w:t>
      </w:r>
      <w:r>
        <w:rPr>
          <w:rFonts w:hint="eastAsia"/>
          <w:bCs/>
          <w:highlight w:val="none"/>
          <w:lang w:val="en-US" w:eastAsia="zh-CN"/>
        </w:rPr>
        <w:t>及</w:t>
      </w:r>
      <w:r>
        <w:rPr>
          <w:rFonts w:hint="eastAsia"/>
          <w:bCs/>
          <w:highlight w:val="none"/>
        </w:rPr>
        <w:t>B包的评审中</w:t>
      </w:r>
      <w:r>
        <w:rPr>
          <w:rFonts w:hint="eastAsia"/>
          <w:bCs/>
          <w:highlight w:val="none"/>
          <w:lang w:val="en-US" w:eastAsia="zh-CN"/>
        </w:rPr>
        <w:t>均</w:t>
      </w:r>
      <w:r>
        <w:rPr>
          <w:rFonts w:hint="eastAsia"/>
          <w:bCs/>
          <w:highlight w:val="none"/>
        </w:rPr>
        <w:t>综合得分排名第一时，不能再参与</w:t>
      </w:r>
      <w:r>
        <w:rPr>
          <w:rFonts w:hint="eastAsia"/>
          <w:bCs/>
          <w:highlight w:val="none"/>
          <w:lang w:val="en-US" w:eastAsia="zh-CN"/>
        </w:rPr>
        <w:t>C、D</w:t>
      </w:r>
      <w:r>
        <w:rPr>
          <w:rFonts w:hint="eastAsia"/>
          <w:bCs/>
          <w:highlight w:val="none"/>
        </w:rPr>
        <w:t>包的评审。</w:t>
      </w:r>
    </w:p>
    <w:p w14:paraId="0C5F680C">
      <w:pPr>
        <w:wordWrap w:val="0"/>
        <w:ind w:firstLine="420" w:firstLineChars="200"/>
        <w:rPr>
          <w:highlight w:val="none"/>
        </w:rPr>
      </w:pPr>
      <w:r>
        <w:rPr>
          <w:rFonts w:hint="eastAsia"/>
          <w:bCs/>
          <w:highlight w:val="none"/>
        </w:rPr>
        <w:t>为避免出现不同包组之间的“交叉感染”，如其中某一个包因质疑投诉或其他原因导致出现中标</w:t>
      </w:r>
      <w:r>
        <w:rPr>
          <w:rFonts w:hint="eastAsia"/>
          <w:bCs/>
          <w:highlight w:val="none"/>
          <w:lang w:val="en-US" w:eastAsia="zh-CN"/>
        </w:rPr>
        <w:t>结</w:t>
      </w:r>
      <w:r>
        <w:rPr>
          <w:rFonts w:hint="eastAsia"/>
          <w:bCs/>
          <w:highlight w:val="none"/>
        </w:rPr>
        <w:t>果生变化的情况，相关情况不影响其它包的招标投标程序及定标结果。</w:t>
      </w:r>
    </w:p>
    <w:p w14:paraId="1C2918BD">
      <w:pPr>
        <w:widowControl/>
        <w:jc w:val="left"/>
        <w:rPr>
          <w:b/>
          <w:bCs/>
          <w:sz w:val="24"/>
        </w:rPr>
      </w:pPr>
      <w:r>
        <w:br w:type="page"/>
      </w:r>
    </w:p>
    <w:p w14:paraId="60AE70DA">
      <w:pPr>
        <w:pStyle w:val="7"/>
        <w:rPr>
          <w:sz w:val="28"/>
          <w:szCs w:val="28"/>
        </w:rPr>
      </w:pPr>
      <w:bookmarkStart w:id="31" w:name="_Toc128884461"/>
      <w:r>
        <w:rPr>
          <w:rFonts w:hint="eastAsia"/>
          <w:sz w:val="28"/>
          <w:szCs w:val="28"/>
        </w:rPr>
        <w:t>第三章 用户需求书</w:t>
      </w:r>
    </w:p>
    <w:p w14:paraId="254F0DE7">
      <w:pPr>
        <w:pStyle w:val="7"/>
        <w:spacing w:before="120" w:beforeLines="50" w:after="120" w:afterLines="50"/>
        <w:rPr>
          <w:rFonts w:hint="eastAsia" w:asciiTheme="minorEastAsia" w:hAnsiTheme="minorEastAsia" w:eastAsiaTheme="minorEastAsia"/>
          <w:szCs w:val="24"/>
        </w:rPr>
      </w:pPr>
      <w:r>
        <w:rPr>
          <w:rFonts w:hint="eastAsia" w:asciiTheme="minorEastAsia" w:hAnsiTheme="minorEastAsia" w:eastAsiaTheme="minorEastAsia"/>
          <w:szCs w:val="24"/>
        </w:rPr>
        <w:t>一、项目基本信息</w:t>
      </w:r>
    </w:p>
    <w:tbl>
      <w:tblPr>
        <w:tblStyle w:val="43"/>
        <w:tblpPr w:leftFromText="180" w:rightFromText="180" w:vertAnchor="text" w:horzAnchor="margin" w:tblpY="17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00"/>
        <w:gridCol w:w="4091"/>
        <w:gridCol w:w="1905"/>
      </w:tblGrid>
      <w:tr w14:paraId="3500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52" w:type="pct"/>
            <w:vAlign w:val="center"/>
          </w:tcPr>
          <w:p w14:paraId="25270933">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包号</w:t>
            </w:r>
          </w:p>
        </w:tc>
        <w:tc>
          <w:tcPr>
            <w:tcW w:w="1187" w:type="pct"/>
            <w:vAlign w:val="center"/>
          </w:tcPr>
          <w:p w14:paraId="5F41D3A5">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2428" w:type="pct"/>
            <w:vAlign w:val="center"/>
          </w:tcPr>
          <w:p w14:paraId="2F0CCF21">
            <w:pPr>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采购项目名称</w:t>
            </w:r>
          </w:p>
        </w:tc>
        <w:tc>
          <w:tcPr>
            <w:tcW w:w="1130" w:type="pct"/>
            <w:vAlign w:val="center"/>
          </w:tcPr>
          <w:p w14:paraId="29FBF973">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预算金额（元）</w:t>
            </w:r>
          </w:p>
        </w:tc>
      </w:tr>
      <w:tr w14:paraId="4C36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restart"/>
            <w:vAlign w:val="center"/>
          </w:tcPr>
          <w:p w14:paraId="4FC4A3EF">
            <w:pPr>
              <w:jc w:val="center"/>
              <w:rPr>
                <w:rFonts w:hint="eastAsia" w:asciiTheme="minorEastAsia" w:hAnsiTheme="minorEastAsia" w:eastAsiaTheme="minorEastAsia"/>
                <w:bCs/>
                <w:color w:val="FF0000"/>
                <w:szCs w:val="21"/>
                <w:lang w:val="en-US" w:eastAsia="zh-CN"/>
              </w:rPr>
            </w:pPr>
            <w:r>
              <w:rPr>
                <w:rFonts w:hint="eastAsia" w:asciiTheme="minorEastAsia" w:hAnsiTheme="minorEastAsia" w:eastAsiaTheme="minorEastAsia"/>
                <w:bCs/>
                <w:color w:val="FF0000"/>
                <w:szCs w:val="21"/>
                <w:lang w:val="en-US" w:eastAsia="zh-CN"/>
              </w:rPr>
              <w:t>B</w:t>
            </w:r>
          </w:p>
        </w:tc>
        <w:tc>
          <w:tcPr>
            <w:tcW w:w="1187" w:type="pct"/>
            <w:vAlign w:val="center"/>
          </w:tcPr>
          <w:p w14:paraId="6A60BBA0">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restart"/>
            <w:vAlign w:val="center"/>
          </w:tcPr>
          <w:p w14:paraId="7441C5E7">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深圳市公安局交通管理局2026年外请拖车服务项目</w:t>
            </w:r>
          </w:p>
        </w:tc>
        <w:tc>
          <w:tcPr>
            <w:tcW w:w="1130" w:type="pct"/>
            <w:vMerge w:val="restart"/>
            <w:vAlign w:val="center"/>
          </w:tcPr>
          <w:p w14:paraId="24F534FF">
            <w:pPr>
              <w:jc w:val="center"/>
              <w:rPr>
                <w:rFonts w:asciiTheme="minorEastAsia" w:hAnsiTheme="minorEastAsia" w:eastAsiaTheme="minorEastAsia"/>
                <w:bCs/>
                <w:color w:val="FF0000"/>
                <w:szCs w:val="21"/>
              </w:rPr>
            </w:pPr>
          </w:p>
        </w:tc>
      </w:tr>
      <w:tr w14:paraId="7E6F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6E79F2B7">
            <w:pPr>
              <w:jc w:val="center"/>
              <w:rPr>
                <w:rFonts w:hint="eastAsia" w:asciiTheme="minorEastAsia" w:hAnsiTheme="minorEastAsia" w:eastAsiaTheme="minorEastAsia"/>
                <w:bCs/>
                <w:color w:val="FF0000"/>
                <w:szCs w:val="21"/>
                <w:lang w:val="en-US" w:eastAsia="zh-CN"/>
              </w:rPr>
            </w:pPr>
          </w:p>
        </w:tc>
        <w:tc>
          <w:tcPr>
            <w:tcW w:w="1187" w:type="pct"/>
            <w:vAlign w:val="center"/>
          </w:tcPr>
          <w:p w14:paraId="6D8447DC">
            <w:pPr>
              <w:jc w:val="center"/>
              <w:rPr>
                <w:rFonts w:hint="eastAsia"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continue"/>
            <w:vAlign w:val="center"/>
          </w:tcPr>
          <w:p w14:paraId="66FFAA59">
            <w:pPr>
              <w:jc w:val="center"/>
              <w:rPr>
                <w:rFonts w:hint="eastAsia" w:asciiTheme="minorEastAsia" w:hAnsiTheme="minorEastAsia" w:eastAsiaTheme="minorEastAsia"/>
                <w:b/>
                <w:bCs/>
                <w:color w:val="FF0000"/>
                <w:szCs w:val="21"/>
              </w:rPr>
            </w:pPr>
          </w:p>
        </w:tc>
        <w:tc>
          <w:tcPr>
            <w:tcW w:w="1130" w:type="pct"/>
            <w:vMerge w:val="continue"/>
            <w:vAlign w:val="center"/>
          </w:tcPr>
          <w:p w14:paraId="0D81916D">
            <w:pPr>
              <w:jc w:val="center"/>
              <w:rPr>
                <w:rFonts w:asciiTheme="minorEastAsia" w:hAnsiTheme="minorEastAsia" w:eastAsiaTheme="minorEastAsia"/>
                <w:bCs/>
                <w:color w:val="FF0000"/>
                <w:szCs w:val="21"/>
              </w:rPr>
            </w:pPr>
          </w:p>
        </w:tc>
      </w:tr>
      <w:tr w14:paraId="3D34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5A2E6EA2">
            <w:pPr>
              <w:jc w:val="center"/>
              <w:rPr>
                <w:rFonts w:asciiTheme="minorEastAsia" w:hAnsiTheme="minorEastAsia" w:eastAsiaTheme="minorEastAsia"/>
                <w:bCs/>
                <w:color w:val="FF0000"/>
                <w:szCs w:val="21"/>
              </w:rPr>
            </w:pPr>
          </w:p>
        </w:tc>
        <w:tc>
          <w:tcPr>
            <w:tcW w:w="1187" w:type="pct"/>
            <w:vAlign w:val="center"/>
          </w:tcPr>
          <w:p w14:paraId="322C6D85">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w:t>
            </w:r>
            <w:r>
              <w:rPr>
                <w:rFonts w:asciiTheme="minorEastAsia" w:hAnsiTheme="minorEastAsia" w:eastAsiaTheme="minorEastAsia"/>
                <w:bCs/>
                <w:color w:val="FF0000"/>
                <w:szCs w:val="21"/>
              </w:rPr>
              <w:t>LAN-******</w:t>
            </w:r>
          </w:p>
        </w:tc>
        <w:tc>
          <w:tcPr>
            <w:tcW w:w="2428" w:type="pct"/>
            <w:vMerge w:val="continue"/>
            <w:vAlign w:val="center"/>
          </w:tcPr>
          <w:p w14:paraId="7C0BB312">
            <w:pPr>
              <w:jc w:val="center"/>
              <w:rPr>
                <w:rFonts w:asciiTheme="minorEastAsia" w:hAnsiTheme="minorEastAsia" w:eastAsiaTheme="minorEastAsia"/>
                <w:b/>
                <w:bCs/>
                <w:color w:val="FF0000"/>
                <w:szCs w:val="21"/>
              </w:rPr>
            </w:pPr>
          </w:p>
        </w:tc>
        <w:tc>
          <w:tcPr>
            <w:tcW w:w="1130" w:type="pct"/>
            <w:vMerge w:val="continue"/>
            <w:vAlign w:val="center"/>
          </w:tcPr>
          <w:p w14:paraId="1D44101B">
            <w:pPr>
              <w:jc w:val="center"/>
              <w:rPr>
                <w:rFonts w:asciiTheme="minorEastAsia" w:hAnsiTheme="minorEastAsia" w:eastAsiaTheme="minorEastAsia"/>
                <w:bCs/>
                <w:color w:val="FF0000"/>
                <w:szCs w:val="21"/>
              </w:rPr>
            </w:pPr>
          </w:p>
        </w:tc>
      </w:tr>
    </w:tbl>
    <w:p w14:paraId="4145C377">
      <w:pPr>
        <w:rPr>
          <w:rFonts w:asciiTheme="minorEastAsia" w:hAnsiTheme="minorEastAsia" w:eastAsiaTheme="minorEastAsia"/>
          <w:b/>
          <w:color w:val="FF0000"/>
          <w:szCs w:val="21"/>
        </w:rPr>
      </w:pPr>
    </w:p>
    <w:p w14:paraId="23253B89">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二、项目概况</w:t>
      </w:r>
    </w:p>
    <w:p w14:paraId="75CEDCF8">
      <w:pPr>
        <w:ind w:firstLine="420" w:firstLineChars="200"/>
        <w:rPr>
          <w:rFonts w:hint="eastAsia" w:cs="Times New Roman" w:asciiTheme="minorEastAsia" w:hAnsiTheme="minorEastAsia" w:eastAsiaTheme="minorEastAsia"/>
          <w:highlight w:val="none"/>
        </w:rPr>
      </w:pPr>
      <w:r>
        <w:rPr>
          <w:rFonts w:hint="eastAsia" w:cs="Times New Roman" w:asciiTheme="minorEastAsia" w:hAnsiTheme="minorEastAsia" w:eastAsiaTheme="minorEastAsia"/>
        </w:rPr>
        <w:t>确定中标人为采购人提供拖</w:t>
      </w:r>
      <w:r>
        <w:rPr>
          <w:rFonts w:hint="eastAsia" w:cs="Times New Roman" w:asciiTheme="minorEastAsia" w:hAnsiTheme="minorEastAsia" w:eastAsiaTheme="minorEastAsia"/>
          <w:highlight w:val="none"/>
        </w:rPr>
        <w:t>吊车及交通清障服务。拖吊车及交通清障服务是指深圳市公安局交通</w:t>
      </w:r>
      <w:r>
        <w:rPr>
          <w:rFonts w:hint="eastAsia" w:cs="Times New Roman" w:asciiTheme="minorEastAsia" w:hAnsiTheme="minorEastAsia" w:eastAsiaTheme="minorEastAsia"/>
          <w:highlight w:val="none"/>
          <w:lang w:eastAsia="zh-CN"/>
        </w:rPr>
        <w:t>管理</w:t>
      </w:r>
      <w:r>
        <w:rPr>
          <w:rFonts w:hint="eastAsia" w:cs="Times New Roman" w:asciiTheme="minorEastAsia" w:hAnsiTheme="minorEastAsia" w:eastAsiaTheme="minorEastAsia"/>
          <w:highlight w:val="none"/>
        </w:rPr>
        <w:t>局所属各部门管辖范围内的各类拖吊车及交通清障服务，包括：查扣交通违法车辆的拖吊服务、交警部门查验取证需要扣留的事故车辆的拖吊服务，特殊勤务保障及重点路段的备勤，各类非法占道物品的清理及车辆拖吊等其他清障工作（以下简称“清障作业”）</w:t>
      </w:r>
      <w:r>
        <w:rPr>
          <w:rFonts w:hint="eastAsia" w:cs="Times New Roman" w:asciiTheme="minorEastAsia" w:hAnsiTheme="minorEastAsia" w:eastAsiaTheme="minorEastAsia"/>
          <w:highlight w:val="none"/>
          <w:lang w:eastAsia="zh-CN"/>
        </w:rPr>
        <w:t>，</w:t>
      </w:r>
      <w:r>
        <w:rPr>
          <w:rFonts w:hint="eastAsia" w:cs="Times New Roman" w:asciiTheme="minorEastAsia" w:hAnsiTheme="minorEastAsia" w:eastAsiaTheme="minorEastAsia"/>
          <w:highlight w:val="none"/>
          <w:lang w:val="en-US" w:eastAsia="zh-CN"/>
        </w:rPr>
        <w:t>专业拯救车辆巡逻等</w:t>
      </w:r>
      <w:r>
        <w:rPr>
          <w:rFonts w:hint="eastAsia" w:cs="Times New Roman" w:asciiTheme="minorEastAsia" w:hAnsiTheme="minorEastAsia" w:eastAsiaTheme="minorEastAsia"/>
          <w:highlight w:val="none"/>
        </w:rPr>
        <w:t>。</w:t>
      </w:r>
      <w:r>
        <w:rPr>
          <w:rFonts w:hint="eastAsia" w:cs="Times New Roman" w:asciiTheme="minorEastAsia" w:hAnsiTheme="minorEastAsia" w:eastAsiaTheme="minorEastAsia"/>
          <w:highlight w:val="none"/>
          <w:lang w:val="en-US" w:eastAsia="zh-CN"/>
        </w:rPr>
        <w:t>本项目对保障拖吊车及交通清障服务质量及及时性要求较高，供应商需提供技术快速，安全稳定的服务。</w:t>
      </w:r>
    </w:p>
    <w:p w14:paraId="66C8174B">
      <w:pPr>
        <w:ind w:firstLine="420" w:firstLineChars="200"/>
        <w:rPr>
          <w:rFonts w:hint="default" w:cs="Times New Roman" w:asciiTheme="minorEastAsia" w:hAnsiTheme="minorEastAsia" w:eastAsiaTheme="minorEastAsia"/>
          <w:b/>
          <w:bCs/>
          <w:color w:val="auto"/>
          <w:highlight w:val="none"/>
          <w:lang w:val="en-US" w:eastAsia="zh-CN"/>
        </w:rPr>
      </w:pPr>
      <w:r>
        <w:rPr>
          <w:rFonts w:hint="eastAsia" w:cs="Times New Roman" w:asciiTheme="minorEastAsia" w:hAnsiTheme="minorEastAsia" w:eastAsiaTheme="minorEastAsia"/>
          <w:highlight w:val="none"/>
          <w:lang w:val="en-US" w:eastAsia="zh-CN"/>
        </w:rPr>
        <w:t>本项目共分为4个片区，共4个包组(A/B/C/D)4个子包，分别对应4个片区（以下简称片区）。第一片区（A包）8366600元、第二片区（B包）7671600元、第三片区（C包）7340000元、第四片区（D包）2621800元服务费用均在本包限价内按实际结算。</w:t>
      </w:r>
      <w:r>
        <w:rPr>
          <w:rFonts w:hint="eastAsia" w:cs="Times New Roman" w:asciiTheme="minorEastAsia" w:hAnsiTheme="minorEastAsia" w:eastAsiaTheme="minorEastAsia"/>
          <w:b/>
          <w:bCs/>
          <w:color w:val="auto"/>
          <w:highlight w:val="none"/>
          <w:lang w:val="en-US" w:eastAsia="zh-CN"/>
        </w:rPr>
        <w:t>本包为B包。</w:t>
      </w:r>
    </w:p>
    <w:p w14:paraId="6C12FC21">
      <w:pPr>
        <w:rPr>
          <w:rFonts w:asciiTheme="minorEastAsia" w:hAnsiTheme="minorEastAsia" w:eastAsiaTheme="minorEastAsia"/>
          <w:b/>
          <w:color w:val="FF0000"/>
          <w:szCs w:val="21"/>
        </w:rPr>
      </w:pPr>
    </w:p>
    <w:p w14:paraId="53F55E0C">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三、</w:t>
      </w:r>
      <w:bookmarkStart w:id="32" w:name="_Hlk72073432"/>
      <w:r>
        <w:rPr>
          <w:rFonts w:hint="eastAsia" w:asciiTheme="minorEastAsia" w:hAnsiTheme="minorEastAsia" w:eastAsiaTheme="minorEastAsia"/>
          <w:szCs w:val="24"/>
        </w:rPr>
        <w:t>服务需求明细</w:t>
      </w:r>
      <w:bookmarkEnd w:id="32"/>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1150"/>
        <w:gridCol w:w="2581"/>
        <w:gridCol w:w="899"/>
        <w:gridCol w:w="821"/>
        <w:gridCol w:w="1401"/>
        <w:gridCol w:w="1244"/>
      </w:tblGrid>
      <w:tr w14:paraId="568A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1E28CBE5">
            <w:pPr>
              <w:jc w:val="center"/>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674" w:type="pct"/>
            <w:vAlign w:val="center"/>
          </w:tcPr>
          <w:p w14:paraId="7E197832">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1513" w:type="pct"/>
            <w:vAlign w:val="center"/>
          </w:tcPr>
          <w:p w14:paraId="797043F9">
            <w:pPr>
              <w:jc w:val="center"/>
              <w:rPr>
                <w:rFonts w:asciiTheme="minorEastAsia" w:hAnsiTheme="minorEastAsia" w:eastAsiaTheme="minorEastAsia"/>
                <w:bCs/>
                <w:szCs w:val="21"/>
              </w:rPr>
            </w:pPr>
            <w:r>
              <w:rPr>
                <w:rFonts w:hint="eastAsia" w:asciiTheme="minorEastAsia" w:hAnsiTheme="minorEastAsia" w:eastAsiaTheme="minorEastAsia"/>
                <w:bCs/>
                <w:szCs w:val="21"/>
              </w:rPr>
              <w:t>服务需求名称（标的名称）</w:t>
            </w:r>
          </w:p>
        </w:tc>
        <w:tc>
          <w:tcPr>
            <w:tcW w:w="527" w:type="pct"/>
            <w:vAlign w:val="center"/>
          </w:tcPr>
          <w:p w14:paraId="3A8C43BA">
            <w:pPr>
              <w:jc w:val="center"/>
              <w:rPr>
                <w:rFonts w:asciiTheme="minorEastAsia" w:hAnsiTheme="minorEastAsia" w:eastAsiaTheme="minorEastAsia"/>
                <w:bCs/>
                <w:szCs w:val="21"/>
              </w:rPr>
            </w:pPr>
            <w:r>
              <w:rPr>
                <w:rFonts w:hint="eastAsia" w:asciiTheme="minorEastAsia" w:hAnsiTheme="minorEastAsia" w:eastAsiaTheme="minorEastAsia"/>
                <w:bCs/>
                <w:szCs w:val="21"/>
              </w:rPr>
              <w:t>数量</w:t>
            </w:r>
          </w:p>
        </w:tc>
        <w:tc>
          <w:tcPr>
            <w:tcW w:w="481" w:type="pct"/>
            <w:vAlign w:val="center"/>
          </w:tcPr>
          <w:p w14:paraId="43ED9B46">
            <w:pPr>
              <w:jc w:val="center"/>
              <w:rPr>
                <w:rFonts w:asciiTheme="minorEastAsia" w:hAnsiTheme="minorEastAsia" w:eastAsiaTheme="minorEastAsia"/>
                <w:bCs/>
                <w:szCs w:val="21"/>
              </w:rPr>
            </w:pPr>
            <w:r>
              <w:rPr>
                <w:rFonts w:hint="eastAsia" w:asciiTheme="minorEastAsia" w:hAnsiTheme="minorEastAsia" w:eastAsiaTheme="minorEastAsia"/>
                <w:bCs/>
                <w:szCs w:val="21"/>
              </w:rPr>
              <w:t>单位</w:t>
            </w:r>
          </w:p>
        </w:tc>
        <w:tc>
          <w:tcPr>
            <w:tcW w:w="821" w:type="pct"/>
            <w:vAlign w:val="center"/>
          </w:tcPr>
          <w:p w14:paraId="31669360">
            <w:pPr>
              <w:jc w:val="center"/>
              <w:rPr>
                <w:rFonts w:asciiTheme="minorEastAsia" w:hAnsiTheme="minorEastAsia" w:eastAsiaTheme="minorEastAsia"/>
                <w:bCs/>
                <w:szCs w:val="21"/>
              </w:rPr>
            </w:pPr>
            <w:r>
              <w:rPr>
                <w:rFonts w:hint="eastAsia" w:asciiTheme="minorEastAsia" w:hAnsiTheme="minorEastAsia" w:eastAsiaTheme="minorEastAsia"/>
                <w:b/>
                <w:bCs/>
                <w:color w:val="FF0000"/>
                <w:szCs w:val="21"/>
              </w:rPr>
              <w:t>是否专门面向</w:t>
            </w:r>
            <w:r>
              <w:rPr>
                <w:rFonts w:hint="eastAsia" w:asciiTheme="minorEastAsia" w:hAnsiTheme="minorEastAsia" w:eastAsiaTheme="minorEastAsia"/>
                <w:b/>
                <w:bCs/>
                <w:color w:val="FF0000"/>
                <w:szCs w:val="21"/>
                <w:lang w:val="en-US" w:eastAsia="zh-CN"/>
              </w:rPr>
              <w:t>小微</w:t>
            </w:r>
            <w:r>
              <w:rPr>
                <w:rFonts w:hint="eastAsia" w:asciiTheme="minorEastAsia" w:hAnsiTheme="minorEastAsia" w:eastAsiaTheme="minorEastAsia"/>
                <w:b/>
                <w:bCs/>
                <w:color w:val="FF0000"/>
                <w:szCs w:val="21"/>
              </w:rPr>
              <w:t>企业</w:t>
            </w:r>
          </w:p>
        </w:tc>
        <w:tc>
          <w:tcPr>
            <w:tcW w:w="729" w:type="pct"/>
            <w:vAlign w:val="center"/>
          </w:tcPr>
          <w:p w14:paraId="34EABD7D">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标的所属行业</w:t>
            </w:r>
          </w:p>
        </w:tc>
      </w:tr>
      <w:tr w14:paraId="5F8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2CCCB8FA">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674" w:type="pct"/>
            <w:vAlign w:val="center"/>
          </w:tcPr>
          <w:p w14:paraId="584900DC">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restart"/>
            <w:vAlign w:val="center"/>
          </w:tcPr>
          <w:p w14:paraId="1E122DE6">
            <w:pPr>
              <w:jc w:val="center"/>
              <w:rPr>
                <w:rFonts w:asciiTheme="minorEastAsia" w:hAnsiTheme="minorEastAsia" w:eastAsiaTheme="minorEastAsia"/>
                <w:bCs/>
                <w:szCs w:val="21"/>
              </w:rPr>
            </w:pPr>
            <w:r>
              <w:rPr>
                <w:rFonts w:hint="eastAsia" w:asciiTheme="minorEastAsia" w:hAnsiTheme="minorEastAsia" w:eastAsiaTheme="minorEastAsia"/>
                <w:bCs/>
                <w:szCs w:val="21"/>
              </w:rPr>
              <w:t>深圳市公安局交通管理局2026年外请拖车服务项目</w:t>
            </w:r>
          </w:p>
        </w:tc>
        <w:tc>
          <w:tcPr>
            <w:tcW w:w="527" w:type="pct"/>
            <w:vMerge w:val="restart"/>
            <w:vAlign w:val="center"/>
          </w:tcPr>
          <w:p w14:paraId="196D84A4">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lang w:val="en-US" w:eastAsia="zh-CN"/>
              </w:rPr>
              <w:t>1</w:t>
            </w:r>
          </w:p>
        </w:tc>
        <w:tc>
          <w:tcPr>
            <w:tcW w:w="481" w:type="pct"/>
            <w:vMerge w:val="restart"/>
            <w:vAlign w:val="center"/>
          </w:tcPr>
          <w:p w14:paraId="1803B24B">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项</w:t>
            </w:r>
          </w:p>
        </w:tc>
        <w:tc>
          <w:tcPr>
            <w:tcW w:w="821" w:type="pct"/>
            <w:vMerge w:val="restart"/>
            <w:vAlign w:val="center"/>
          </w:tcPr>
          <w:p w14:paraId="65484379">
            <w:pPr>
              <w:jc w:val="center"/>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是</w:t>
            </w:r>
          </w:p>
        </w:tc>
        <w:tc>
          <w:tcPr>
            <w:tcW w:w="729" w:type="pct"/>
            <w:vMerge w:val="restart"/>
            <w:vAlign w:val="center"/>
          </w:tcPr>
          <w:p w14:paraId="03C5999B">
            <w:pPr>
              <w:jc w:val="center"/>
              <w:rPr>
                <w:rFonts w:asciiTheme="minorEastAsia" w:hAnsiTheme="minorEastAsia" w:eastAsiaTheme="minorEastAsia"/>
                <w:bCs/>
                <w:szCs w:val="21"/>
              </w:rPr>
            </w:pPr>
            <w:r>
              <w:rPr>
                <w:rFonts w:hint="eastAsia"/>
              </w:rPr>
              <w:t>其他未列明行业</w:t>
            </w:r>
          </w:p>
        </w:tc>
      </w:tr>
      <w:tr w14:paraId="6B1F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091F4DFF">
            <w:pPr>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674" w:type="pct"/>
            <w:vAlign w:val="center"/>
          </w:tcPr>
          <w:p w14:paraId="50BFB5D7">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continue"/>
          </w:tcPr>
          <w:p w14:paraId="63A39EBB">
            <w:pPr>
              <w:jc w:val="center"/>
              <w:rPr>
                <w:rFonts w:asciiTheme="minorEastAsia" w:hAnsiTheme="minorEastAsia" w:eastAsiaTheme="minorEastAsia"/>
                <w:bCs/>
                <w:szCs w:val="21"/>
              </w:rPr>
            </w:pPr>
          </w:p>
        </w:tc>
        <w:tc>
          <w:tcPr>
            <w:tcW w:w="527" w:type="pct"/>
            <w:vMerge w:val="continue"/>
            <w:vAlign w:val="center"/>
          </w:tcPr>
          <w:p w14:paraId="0793D89D">
            <w:pPr>
              <w:jc w:val="center"/>
              <w:rPr>
                <w:rFonts w:asciiTheme="minorEastAsia" w:hAnsiTheme="minorEastAsia" w:eastAsiaTheme="minorEastAsia"/>
                <w:bCs/>
                <w:szCs w:val="21"/>
              </w:rPr>
            </w:pPr>
          </w:p>
        </w:tc>
        <w:tc>
          <w:tcPr>
            <w:tcW w:w="481" w:type="pct"/>
            <w:vMerge w:val="continue"/>
            <w:vAlign w:val="center"/>
          </w:tcPr>
          <w:p w14:paraId="59698BF2">
            <w:pPr>
              <w:jc w:val="center"/>
              <w:rPr>
                <w:rFonts w:asciiTheme="minorEastAsia" w:hAnsiTheme="minorEastAsia" w:eastAsiaTheme="minorEastAsia"/>
                <w:bCs/>
                <w:szCs w:val="21"/>
              </w:rPr>
            </w:pPr>
          </w:p>
        </w:tc>
        <w:tc>
          <w:tcPr>
            <w:tcW w:w="821" w:type="pct"/>
            <w:vMerge w:val="continue"/>
            <w:vAlign w:val="center"/>
          </w:tcPr>
          <w:p w14:paraId="22E1D9E5">
            <w:pPr>
              <w:jc w:val="center"/>
              <w:rPr>
                <w:rFonts w:asciiTheme="minorEastAsia" w:hAnsiTheme="minorEastAsia" w:eastAsiaTheme="minorEastAsia"/>
                <w:bCs/>
                <w:szCs w:val="21"/>
              </w:rPr>
            </w:pPr>
          </w:p>
        </w:tc>
        <w:tc>
          <w:tcPr>
            <w:tcW w:w="729" w:type="pct"/>
            <w:vMerge w:val="continue"/>
            <w:vAlign w:val="center"/>
          </w:tcPr>
          <w:p w14:paraId="217EF4B8">
            <w:pPr>
              <w:jc w:val="center"/>
              <w:rPr>
                <w:rFonts w:asciiTheme="minorEastAsia" w:hAnsiTheme="minorEastAsia" w:eastAsiaTheme="minorEastAsia"/>
                <w:bCs/>
                <w:szCs w:val="21"/>
              </w:rPr>
            </w:pPr>
          </w:p>
        </w:tc>
      </w:tr>
    </w:tbl>
    <w:p w14:paraId="14B57A53">
      <w:pPr>
        <w:rPr>
          <w:rFonts w:asciiTheme="minorEastAsia" w:hAnsiTheme="minorEastAsia" w:eastAsiaTheme="minorEastAsia"/>
          <w:b/>
          <w:color w:val="FF0000"/>
          <w:szCs w:val="21"/>
        </w:rPr>
      </w:pPr>
    </w:p>
    <w:p w14:paraId="53E969F9">
      <w:pPr>
        <w:pStyle w:val="7"/>
        <w:spacing w:before="120" w:beforeLines="50" w:after="120" w:afterLines="50"/>
        <w:rPr>
          <w:szCs w:val="24"/>
        </w:rPr>
      </w:pPr>
      <w:r>
        <w:rPr>
          <w:rFonts w:hint="eastAsia"/>
          <w:szCs w:val="24"/>
        </w:rPr>
        <w:t>四、实质性条款</w:t>
      </w:r>
    </w:p>
    <w:tbl>
      <w:tblPr>
        <w:tblStyle w:val="43"/>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795"/>
      </w:tblGrid>
      <w:tr w14:paraId="2468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trPr>
        <w:tc>
          <w:tcPr>
            <w:tcW w:w="734" w:type="dxa"/>
            <w:vAlign w:val="center"/>
          </w:tcPr>
          <w:p w14:paraId="754DA64B">
            <w:pPr>
              <w:adjustRightInd w:val="0"/>
              <w:snapToGrid w:val="0"/>
              <w:jc w:val="center"/>
              <w:rPr>
                <w:rFonts w:ascii="宋体" w:hAnsi="宋体"/>
                <w:kern w:val="0"/>
                <w:szCs w:val="21"/>
              </w:rPr>
            </w:pPr>
            <w:r>
              <w:rPr>
                <w:rFonts w:hint="eastAsia" w:ascii="宋体" w:hAnsi="宋体"/>
                <w:kern w:val="0"/>
                <w:szCs w:val="21"/>
              </w:rPr>
              <w:t>序号</w:t>
            </w:r>
          </w:p>
        </w:tc>
        <w:tc>
          <w:tcPr>
            <w:tcW w:w="7795" w:type="dxa"/>
            <w:vAlign w:val="center"/>
          </w:tcPr>
          <w:p w14:paraId="646FD890">
            <w:pPr>
              <w:adjustRightInd w:val="0"/>
              <w:snapToGrid w:val="0"/>
              <w:jc w:val="center"/>
              <w:rPr>
                <w:rFonts w:ascii="宋体" w:hAnsi="宋体"/>
                <w:kern w:val="0"/>
                <w:szCs w:val="21"/>
              </w:rPr>
            </w:pPr>
            <w:r>
              <w:rPr>
                <w:rFonts w:hint="eastAsia" w:ascii="宋体" w:hAnsi="宋体"/>
                <w:kern w:val="0"/>
                <w:szCs w:val="21"/>
              </w:rPr>
              <w:t>实质性条款具体内容</w:t>
            </w:r>
          </w:p>
        </w:tc>
      </w:tr>
      <w:tr w14:paraId="318E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4" w:type="dxa"/>
            <w:vAlign w:val="center"/>
          </w:tcPr>
          <w:p w14:paraId="72502AF0">
            <w:pPr>
              <w:adjustRightInd w:val="0"/>
              <w:snapToGrid w:val="0"/>
              <w:jc w:val="center"/>
              <w:rPr>
                <w:rFonts w:ascii="宋体" w:hAnsi="宋体"/>
                <w:kern w:val="0"/>
                <w:szCs w:val="21"/>
              </w:rPr>
            </w:pPr>
            <w:r>
              <w:rPr>
                <w:rFonts w:hint="eastAsia" w:ascii="宋体" w:hAnsi="宋体"/>
                <w:kern w:val="0"/>
                <w:szCs w:val="21"/>
              </w:rPr>
              <w:t>1</w:t>
            </w:r>
          </w:p>
        </w:tc>
        <w:tc>
          <w:tcPr>
            <w:tcW w:w="7795" w:type="dxa"/>
            <w:vAlign w:val="center"/>
          </w:tcPr>
          <w:p w14:paraId="1D0172BA">
            <w:pPr>
              <w:jc w:val="center"/>
              <w:rPr>
                <w:rFonts w:hAnsi="宋体" w:eastAsiaTheme="minorEastAsia"/>
                <w:kern w:val="0"/>
                <w:szCs w:val="21"/>
              </w:rPr>
            </w:pPr>
            <w:r>
              <w:rPr>
                <w:rFonts w:hint="eastAsia" w:hAnsi="宋体" w:eastAsiaTheme="minorEastAsia"/>
                <w:kern w:val="0"/>
                <w:szCs w:val="21"/>
              </w:rPr>
              <w:t>满足本项目标★的条款要求</w:t>
            </w:r>
          </w:p>
        </w:tc>
      </w:tr>
    </w:tbl>
    <w:p w14:paraId="6AF0082C">
      <w:pPr>
        <w:rPr>
          <w:rFonts w:ascii="黑体" w:hAnsi="黑体" w:eastAsia="黑体"/>
          <w:sz w:val="24"/>
        </w:rPr>
      </w:pPr>
      <w:r>
        <w:rPr>
          <w:rFonts w:hint="eastAsia" w:ascii="黑体" w:hAnsi="黑体" w:eastAsia="黑体"/>
          <w:sz w:val="24"/>
        </w:rPr>
        <w:t>注：上表所列内容为不可负偏离条款，负偏离将视为未实质性满足招标文件要求作投标无效处理。</w:t>
      </w:r>
      <w:bookmarkEnd w:id="31"/>
    </w:p>
    <w:p w14:paraId="03C6FC41">
      <w:pPr>
        <w:rPr>
          <w:b/>
          <w:bCs/>
          <w:sz w:val="24"/>
        </w:rPr>
      </w:pPr>
    </w:p>
    <w:p w14:paraId="171FEB43">
      <w:pPr>
        <w:pStyle w:val="7"/>
        <w:spacing w:before="120" w:beforeLines="50" w:after="120" w:afterLines="50"/>
        <w:rPr>
          <w:szCs w:val="24"/>
        </w:rPr>
      </w:pPr>
      <w:r>
        <w:rPr>
          <w:rFonts w:hint="eastAsia"/>
          <w:szCs w:val="24"/>
        </w:rPr>
        <w:t>五、技术要求</w:t>
      </w:r>
    </w:p>
    <w:p w14:paraId="1F646560">
      <w:pPr>
        <w:keepNext w:val="0"/>
        <w:keepLines w:val="0"/>
        <w:pageBreakBefore w:val="0"/>
        <w:kinsoku/>
        <w:overflowPunct/>
        <w:topLinePunct w:val="0"/>
        <w:autoSpaceDE/>
        <w:autoSpaceDN/>
        <w:bidi w:val="0"/>
        <w:spacing w:line="24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 xml:space="preserve">1. </w:t>
      </w:r>
      <w:r>
        <w:rPr>
          <w:rFonts w:hint="eastAsia" w:ascii="宋体" w:hAnsi="宋体" w:eastAsia="宋体" w:cs="宋体"/>
          <w:b/>
          <w:bCs/>
          <w:sz w:val="21"/>
          <w:szCs w:val="21"/>
          <w:highlight w:val="none"/>
        </w:rPr>
        <w:t>项目划分</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36"/>
        <w:gridCol w:w="2895"/>
        <w:gridCol w:w="2037"/>
        <w:gridCol w:w="1777"/>
      </w:tblGrid>
      <w:tr w14:paraId="485B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E70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1136" w:type="dxa"/>
            <w:vMerge w:val="restart"/>
            <w:tcBorders>
              <w:top w:val="single" w:color="000000" w:sz="8" w:space="0"/>
              <w:left w:val="nil"/>
              <w:bottom w:val="single" w:color="000000" w:sz="8" w:space="0"/>
              <w:right w:val="single" w:color="000000" w:sz="8" w:space="0"/>
            </w:tcBorders>
            <w:shd w:val="clear" w:color="auto" w:fill="auto"/>
            <w:noWrap/>
            <w:vAlign w:val="center"/>
          </w:tcPr>
          <w:p w14:paraId="50DDBD2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2895" w:type="dxa"/>
            <w:vMerge w:val="restart"/>
            <w:tcBorders>
              <w:top w:val="single" w:color="000000" w:sz="8" w:space="0"/>
              <w:left w:val="nil"/>
              <w:bottom w:val="single" w:color="000000" w:sz="8" w:space="0"/>
              <w:right w:val="single" w:color="000000" w:sz="8" w:space="0"/>
            </w:tcBorders>
            <w:shd w:val="clear" w:color="auto" w:fill="auto"/>
            <w:noWrap/>
            <w:vAlign w:val="center"/>
          </w:tcPr>
          <w:p w14:paraId="1D635A4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2037" w:type="dxa"/>
            <w:vMerge w:val="restart"/>
            <w:tcBorders>
              <w:top w:val="single" w:color="000000" w:sz="8" w:space="0"/>
              <w:left w:val="nil"/>
              <w:bottom w:val="single" w:color="000000" w:sz="8" w:space="0"/>
              <w:right w:val="single" w:color="000000" w:sz="8" w:space="0"/>
            </w:tcBorders>
            <w:shd w:val="clear" w:color="auto" w:fill="auto"/>
            <w:vAlign w:val="center"/>
          </w:tcPr>
          <w:p w14:paraId="7F4B32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1777" w:type="dxa"/>
            <w:vMerge w:val="restart"/>
            <w:tcBorders>
              <w:top w:val="single" w:color="000000" w:sz="8" w:space="0"/>
              <w:left w:val="nil"/>
              <w:bottom w:val="single" w:color="000000" w:sz="8" w:space="0"/>
              <w:right w:val="single" w:color="000000" w:sz="8" w:space="0"/>
            </w:tcBorders>
            <w:shd w:val="clear" w:color="auto" w:fill="auto"/>
            <w:vAlign w:val="center"/>
          </w:tcPr>
          <w:p w14:paraId="445A36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0C25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684"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59836">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noWrap/>
            <w:vAlign w:val="center"/>
          </w:tcPr>
          <w:p w14:paraId="79C2524A">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895" w:type="dxa"/>
            <w:vMerge w:val="continue"/>
            <w:tcBorders>
              <w:top w:val="single" w:color="000000" w:sz="8" w:space="0"/>
              <w:left w:val="nil"/>
              <w:bottom w:val="single" w:color="000000" w:sz="8" w:space="0"/>
              <w:right w:val="single" w:color="000000" w:sz="8" w:space="0"/>
            </w:tcBorders>
            <w:shd w:val="clear" w:color="auto" w:fill="auto"/>
            <w:noWrap/>
            <w:vAlign w:val="center"/>
          </w:tcPr>
          <w:p w14:paraId="45DBAFC9">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037" w:type="dxa"/>
            <w:vMerge w:val="continue"/>
            <w:tcBorders>
              <w:top w:val="single" w:color="000000" w:sz="8" w:space="0"/>
              <w:left w:val="nil"/>
              <w:bottom w:val="single" w:color="000000" w:sz="8" w:space="0"/>
              <w:right w:val="single" w:color="000000" w:sz="8" w:space="0"/>
            </w:tcBorders>
            <w:shd w:val="clear" w:color="auto" w:fill="auto"/>
            <w:vAlign w:val="center"/>
          </w:tcPr>
          <w:p w14:paraId="0BC87FD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777" w:type="dxa"/>
            <w:vMerge w:val="continue"/>
            <w:tcBorders>
              <w:top w:val="single" w:color="000000" w:sz="8" w:space="0"/>
              <w:left w:val="nil"/>
              <w:bottom w:val="single" w:color="000000" w:sz="8" w:space="0"/>
              <w:right w:val="single" w:color="000000" w:sz="8" w:space="0"/>
            </w:tcBorders>
            <w:shd w:val="clear" w:color="auto" w:fill="auto"/>
            <w:vAlign w:val="center"/>
          </w:tcPr>
          <w:p w14:paraId="0288BFD0">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r>
      <w:tr w14:paraId="0C7F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84" w:type="dxa"/>
            <w:vMerge w:val="restart"/>
            <w:tcBorders>
              <w:top w:val="nil"/>
              <w:left w:val="single" w:color="000000" w:sz="8" w:space="0"/>
              <w:bottom w:val="single" w:color="000000" w:sz="8" w:space="0"/>
              <w:right w:val="single" w:color="000000" w:sz="8" w:space="0"/>
            </w:tcBorders>
            <w:shd w:val="clear" w:color="auto" w:fill="auto"/>
            <w:vAlign w:val="center"/>
          </w:tcPr>
          <w:p w14:paraId="186F82A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B包</w:t>
            </w:r>
          </w:p>
        </w:tc>
        <w:tc>
          <w:tcPr>
            <w:tcW w:w="1136" w:type="dxa"/>
            <w:vMerge w:val="restart"/>
            <w:tcBorders>
              <w:top w:val="nil"/>
              <w:left w:val="nil"/>
              <w:bottom w:val="single" w:color="000000" w:sz="8" w:space="0"/>
              <w:right w:val="single" w:color="000000" w:sz="8" w:space="0"/>
            </w:tcBorders>
            <w:shd w:val="clear" w:color="auto" w:fill="auto"/>
            <w:vAlign w:val="center"/>
          </w:tcPr>
          <w:p w14:paraId="6B2DB99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第二片区</w:t>
            </w:r>
          </w:p>
        </w:tc>
        <w:tc>
          <w:tcPr>
            <w:tcW w:w="2895" w:type="dxa"/>
            <w:tcBorders>
              <w:top w:val="nil"/>
              <w:left w:val="nil"/>
              <w:bottom w:val="single" w:color="000000" w:sz="8" w:space="0"/>
              <w:right w:val="single" w:color="000000" w:sz="8" w:space="0"/>
            </w:tcBorders>
            <w:shd w:val="clear" w:color="auto" w:fill="auto"/>
            <w:vAlign w:val="center"/>
          </w:tcPr>
          <w:p w14:paraId="6EA8705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宝安大队</w:t>
            </w:r>
          </w:p>
        </w:tc>
        <w:tc>
          <w:tcPr>
            <w:tcW w:w="2037" w:type="dxa"/>
            <w:tcBorders>
              <w:top w:val="nil"/>
              <w:left w:val="nil"/>
              <w:bottom w:val="single" w:color="000000" w:sz="8" w:space="0"/>
              <w:right w:val="single" w:color="000000" w:sz="8" w:space="0"/>
            </w:tcBorders>
            <w:shd w:val="clear" w:color="auto" w:fill="auto"/>
            <w:vAlign w:val="center"/>
          </w:tcPr>
          <w:p w14:paraId="69E79554">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2,771,600.00</w:t>
            </w:r>
          </w:p>
        </w:tc>
        <w:tc>
          <w:tcPr>
            <w:tcW w:w="1777" w:type="dxa"/>
            <w:vMerge w:val="restart"/>
            <w:tcBorders>
              <w:top w:val="nil"/>
              <w:left w:val="nil"/>
              <w:bottom w:val="single" w:color="000000" w:sz="8" w:space="0"/>
              <w:right w:val="single" w:color="000000" w:sz="8" w:space="0"/>
            </w:tcBorders>
            <w:shd w:val="clear" w:color="auto" w:fill="auto"/>
            <w:noWrap/>
            <w:vAlign w:val="center"/>
          </w:tcPr>
          <w:p w14:paraId="6AAC3C9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7,671,600.00</w:t>
            </w:r>
          </w:p>
        </w:tc>
      </w:tr>
      <w:tr w14:paraId="2E8BA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07ED0DCB">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06E3B3EF">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22BB8F5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光明大队</w:t>
            </w:r>
          </w:p>
        </w:tc>
        <w:tc>
          <w:tcPr>
            <w:tcW w:w="2037" w:type="dxa"/>
            <w:tcBorders>
              <w:top w:val="nil"/>
              <w:left w:val="nil"/>
              <w:bottom w:val="single" w:color="000000" w:sz="8" w:space="0"/>
              <w:right w:val="single" w:color="000000" w:sz="8" w:space="0"/>
            </w:tcBorders>
            <w:shd w:val="clear" w:color="auto" w:fill="auto"/>
            <w:vAlign w:val="center"/>
          </w:tcPr>
          <w:p w14:paraId="10F9E2C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3,850,000.00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07ED0255">
            <w:pPr>
              <w:jc w:val="center"/>
              <w:rPr>
                <w:rFonts w:hint="eastAsia" w:ascii="宋体" w:hAnsi="宋体" w:eastAsia="宋体" w:cs="宋体"/>
                <w:b w:val="0"/>
                <w:bCs w:val="0"/>
                <w:i w:val="0"/>
                <w:iCs w:val="0"/>
                <w:color w:val="000000"/>
                <w:sz w:val="21"/>
                <w:szCs w:val="21"/>
                <w:highlight w:val="none"/>
                <w:u w:val="none"/>
              </w:rPr>
            </w:pPr>
          </w:p>
        </w:tc>
      </w:tr>
      <w:tr w14:paraId="46845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0E8846F4">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6BBE3BD9">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24FE4B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西部高速公路大队</w:t>
            </w:r>
          </w:p>
        </w:tc>
        <w:tc>
          <w:tcPr>
            <w:tcW w:w="2037" w:type="dxa"/>
            <w:tcBorders>
              <w:top w:val="nil"/>
              <w:left w:val="nil"/>
              <w:bottom w:val="single" w:color="000000" w:sz="8" w:space="0"/>
              <w:right w:val="single" w:color="000000" w:sz="8" w:space="0"/>
            </w:tcBorders>
            <w:shd w:val="clear" w:color="auto" w:fill="auto"/>
            <w:vAlign w:val="center"/>
          </w:tcPr>
          <w:p w14:paraId="51628F6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1,050,000.00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33A1B0AB">
            <w:pPr>
              <w:jc w:val="center"/>
              <w:rPr>
                <w:rFonts w:hint="eastAsia" w:ascii="宋体" w:hAnsi="宋体" w:eastAsia="宋体" w:cs="宋体"/>
                <w:b w:val="0"/>
                <w:bCs w:val="0"/>
                <w:i w:val="0"/>
                <w:iCs w:val="0"/>
                <w:color w:val="000000"/>
                <w:sz w:val="21"/>
                <w:szCs w:val="21"/>
                <w:highlight w:val="none"/>
                <w:u w:val="none"/>
              </w:rPr>
            </w:pPr>
          </w:p>
        </w:tc>
      </w:tr>
    </w:tbl>
    <w:p w14:paraId="16DDB1B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备注：</w:t>
      </w:r>
    </w:p>
    <w:p w14:paraId="5D4C024B">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（1）各单位服务范围以管辖范围为准，大队辖区出现变化的，服务范围以变化后的为准，如出现其它变化则由采购人确定服务范围。</w:t>
      </w:r>
    </w:p>
    <w:p w14:paraId="18E53CBF">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（2）遇有大型专项行动、重特大交通事故、突发事件及其它工作需求，采购人有权统筹安排。</w:t>
      </w:r>
    </w:p>
    <w:p w14:paraId="5D6904F3">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（3）国家法律法规或上级管理部门有新规定的从其规定。</w:t>
      </w:r>
    </w:p>
    <w:p w14:paraId="777FD29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i w:val="0"/>
          <w:i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 xml:space="preserve">2. </w:t>
      </w:r>
      <w:r>
        <w:rPr>
          <w:rFonts w:hint="eastAsia" w:ascii="宋体" w:hAnsi="宋体" w:eastAsia="宋体" w:cs="宋体"/>
          <w:i w:val="0"/>
          <w:iCs w:val="0"/>
          <w:kern w:val="0"/>
          <w:sz w:val="21"/>
          <w:szCs w:val="21"/>
          <w:highlight w:val="none"/>
          <w:lang w:val="en-US" w:eastAsia="zh-CN" w:bidi="ar-SA"/>
        </w:rPr>
        <w:t>服务要求</w:t>
      </w:r>
    </w:p>
    <w:p w14:paraId="4DF16CAF">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2.1 </w:t>
      </w:r>
      <w:r>
        <w:rPr>
          <w:rFonts w:hint="eastAsia" w:ascii="宋体" w:hAnsi="宋体" w:eastAsia="宋体" w:cs="宋体"/>
          <w:sz w:val="21"/>
          <w:szCs w:val="21"/>
          <w:highlight w:val="none"/>
        </w:rPr>
        <w:t>车辆数量及车辆状况、作业人员要求</w:t>
      </w:r>
    </w:p>
    <w:p w14:paraId="207EB437">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车辆数量要求</w:t>
      </w:r>
    </w:p>
    <w:p w14:paraId="1B9E19E4">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①中标供应商需提供的</w:t>
      </w:r>
      <w:r>
        <w:rPr>
          <w:rFonts w:hint="eastAsia" w:ascii="宋体" w:hAnsi="宋体" w:eastAsia="宋体" w:cs="宋体"/>
          <w:sz w:val="21"/>
          <w:szCs w:val="21"/>
          <w:highlight w:val="none"/>
        </w:rPr>
        <w:t>车辆</w:t>
      </w:r>
      <w:r>
        <w:rPr>
          <w:rFonts w:hint="eastAsia" w:ascii="宋体" w:hAnsi="宋体" w:eastAsia="宋体" w:cs="宋体"/>
          <w:sz w:val="21"/>
          <w:szCs w:val="21"/>
          <w:highlight w:val="none"/>
          <w:lang w:val="en-US" w:eastAsia="zh-CN"/>
        </w:rPr>
        <w:t>数量</w:t>
      </w:r>
      <w:r>
        <w:rPr>
          <w:rFonts w:hint="eastAsia" w:ascii="宋体" w:hAnsi="宋体" w:eastAsia="宋体" w:cs="宋体"/>
          <w:sz w:val="21"/>
          <w:szCs w:val="21"/>
          <w:highlight w:val="none"/>
        </w:rPr>
        <w:t>各片区数量不同，具体分配如下表：</w:t>
      </w:r>
    </w:p>
    <w:tbl>
      <w:tblPr>
        <w:tblStyle w:val="43"/>
        <w:tblW w:w="53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286"/>
        <w:gridCol w:w="1132"/>
        <w:gridCol w:w="1132"/>
        <w:gridCol w:w="1133"/>
        <w:gridCol w:w="1133"/>
        <w:gridCol w:w="1133"/>
        <w:gridCol w:w="1133"/>
      </w:tblGrid>
      <w:tr w14:paraId="3F665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6DE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0AD6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67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C4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eastAsia="zh-CN"/>
              </w:rPr>
            </w:pPr>
            <w:r>
              <w:rPr>
                <w:rFonts w:hint="eastAsia" w:ascii="宋体" w:hAnsi="宋体" w:eastAsia="宋体" w:cs="宋体"/>
                <w:b/>
                <w:bCs/>
                <w:i w:val="0"/>
                <w:iCs w:val="0"/>
                <w:color w:val="000000"/>
                <w:kern w:val="0"/>
                <w:sz w:val="21"/>
                <w:szCs w:val="21"/>
                <w:highlight w:val="none"/>
                <w:u w:val="none"/>
                <w:lang w:val="en-US" w:eastAsia="zh-CN" w:bidi="ar"/>
              </w:rPr>
              <w:t>配备车辆类型及数量要求</w:t>
            </w:r>
            <w:r>
              <w:rPr>
                <w:rFonts w:hint="eastAsia" w:ascii="宋体" w:hAnsi="宋体" w:eastAsia="宋体" w:cs="宋体"/>
                <w:b/>
                <w:bCs/>
                <w:color w:val="000000"/>
                <w:kern w:val="0"/>
                <w:sz w:val="21"/>
                <w:szCs w:val="21"/>
                <w:highlight w:val="none"/>
                <w:u w:val="none"/>
                <w:lang w:eastAsia="zh-CN" w:bidi="ar"/>
              </w:rPr>
              <w:t>（单位：辆）</w:t>
            </w:r>
          </w:p>
        </w:tc>
      </w:tr>
      <w:tr w14:paraId="78D4C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E50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F16F">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668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25吨（含25吨）以上大型吊机</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F81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F29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15吨（含15吨）以上大型专项作业车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D4C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2吨（含2吨）至15吨中小型专项作业车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B50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防撞车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568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合计</w:t>
            </w:r>
          </w:p>
        </w:tc>
      </w:tr>
      <w:tr w14:paraId="0FFFB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D6C8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第二片区</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A38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宝安大队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FD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F19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820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016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BA5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302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14</w:t>
            </w:r>
          </w:p>
        </w:tc>
      </w:tr>
      <w:tr w14:paraId="29505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5991B">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5F2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光明大队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70C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92E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6BF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E7AC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7C1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D75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15</w:t>
            </w:r>
          </w:p>
        </w:tc>
      </w:tr>
      <w:tr w14:paraId="7BC49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D5358">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542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西部高速公路大队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957E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054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456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95B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73E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B6D4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9</w:t>
            </w:r>
          </w:p>
        </w:tc>
      </w:tr>
      <w:tr w14:paraId="1F272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2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8998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A299">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B0B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F05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2F21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20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2EF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6DF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38</w:t>
            </w:r>
          </w:p>
        </w:tc>
      </w:tr>
    </w:tbl>
    <w:p w14:paraId="4AE7FFB0">
      <w:pPr>
        <w:keepNext w:val="0"/>
        <w:keepLines w:val="0"/>
        <w:pageBreakBefore w:val="0"/>
        <w:tabs>
          <w:tab w:val="left" w:pos="840"/>
        </w:tabs>
        <w:kinsoku/>
        <w:overflowPunct/>
        <w:topLinePunct w:val="0"/>
        <w:autoSpaceDE/>
        <w:autoSpaceDN/>
        <w:bidi w:val="0"/>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按服务片区及各片区需求投入的提供足够的车辆（车辆允许租赁），不限于上述的车辆类型和数量以满足采购人的拖吊车要求，如采购人有特殊安排（如提供铲车、叉车、转运车、重型半挂牵引车、低平板半挂车等），中标人应予以满足并提供相应服务。并按采购人要求指定的所属片区相应单位地点处停放，无要求的自行安排所属片区内地点停放。</w:t>
      </w:r>
    </w:p>
    <w:p w14:paraId="4D6D4BB0">
      <w:pPr>
        <w:keepNext w:val="0"/>
        <w:keepLines w:val="0"/>
        <w:pageBreakBefore w:val="0"/>
        <w:tabs>
          <w:tab w:val="left" w:pos="840"/>
        </w:tabs>
        <w:kinsoku/>
        <w:overflowPunct/>
        <w:topLinePunct w:val="0"/>
        <w:autoSpaceDE/>
        <w:autoSpaceDN/>
        <w:bidi w:val="0"/>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 xml:space="preserve">③ </w:t>
      </w:r>
      <w:r>
        <w:rPr>
          <w:rFonts w:hint="eastAsia" w:ascii="宋体" w:hAnsi="宋体" w:eastAsia="宋体" w:cs="宋体"/>
          <w:b/>
          <w:bCs/>
          <w:color w:val="auto"/>
          <w:sz w:val="21"/>
          <w:szCs w:val="21"/>
          <w:highlight w:val="none"/>
        </w:rPr>
        <w:t>投标</w:t>
      </w:r>
      <w:r>
        <w:rPr>
          <w:rFonts w:hint="eastAsia" w:ascii="宋体" w:hAnsi="宋体" w:eastAsia="宋体" w:cs="宋体"/>
          <w:b/>
          <w:bCs/>
          <w:color w:val="auto"/>
          <w:sz w:val="21"/>
          <w:szCs w:val="21"/>
          <w:highlight w:val="none"/>
          <w:lang w:val="en-US" w:eastAsia="zh-CN"/>
        </w:rPr>
        <w:t>供应商</w:t>
      </w:r>
      <w:r>
        <w:rPr>
          <w:rFonts w:hint="eastAsia" w:ascii="宋体" w:hAnsi="宋体" w:cs="宋体"/>
          <w:b/>
          <w:bCs/>
          <w:color w:val="auto"/>
          <w:sz w:val="21"/>
          <w:szCs w:val="21"/>
          <w:highlight w:val="none"/>
          <w:lang w:val="en-US" w:eastAsia="zh-CN"/>
        </w:rPr>
        <w:t>投标时提供的车辆数量不满足上述车辆数量要求的，中标后</w:t>
      </w:r>
      <w:r>
        <w:rPr>
          <w:rFonts w:hint="eastAsia" w:ascii="宋体" w:hAnsi="宋体" w:cs="宋体"/>
          <w:b/>
          <w:bCs/>
          <w:color w:val="auto"/>
          <w:sz w:val="21"/>
          <w:szCs w:val="21"/>
          <w:highlight w:val="none"/>
          <w:lang w:val="en-US" w:eastAsia="zh-CN"/>
        </w:rPr>
        <w:t>需补齐上述车辆要求数量（可自行租赁），供应商</w:t>
      </w:r>
      <w:r>
        <w:rPr>
          <w:rFonts w:hint="eastAsia" w:ascii="宋体" w:hAnsi="宋体" w:eastAsia="宋体" w:cs="宋体"/>
          <w:b/>
          <w:bCs/>
          <w:color w:val="auto"/>
          <w:sz w:val="21"/>
          <w:szCs w:val="21"/>
          <w:highlight w:val="none"/>
        </w:rPr>
        <w:t>于接到中标通知书之日起15天内，向采购人提交拖吊车服务合同生效起期限为1年的车辆租赁合同原件及车辆行驶证复印件；未按要求提交或提供失效证件的，采购人有权终止合同并追究其相关责任</w:t>
      </w:r>
      <w:r>
        <w:rPr>
          <w:rFonts w:hint="eastAsia" w:ascii="宋体" w:hAnsi="宋体" w:eastAsia="宋体" w:cs="宋体"/>
          <w:color w:val="auto"/>
          <w:sz w:val="21"/>
          <w:szCs w:val="21"/>
          <w:highlight w:val="none"/>
        </w:rPr>
        <w:t>。</w:t>
      </w:r>
    </w:p>
    <w:p w14:paraId="0E5CF27A">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服务期内，因车辆报废、更新等原因，经采购人批准（需书面报备），可以更换</w:t>
      </w:r>
      <w:r>
        <w:rPr>
          <w:rFonts w:hint="eastAsia" w:ascii="宋体" w:hAnsi="宋体" w:eastAsia="宋体" w:cs="宋体"/>
          <w:sz w:val="21"/>
          <w:szCs w:val="21"/>
          <w:highlight w:val="none"/>
          <w:lang w:eastAsia="zh-CN"/>
        </w:rPr>
        <w:t>或增配</w:t>
      </w:r>
      <w:r>
        <w:rPr>
          <w:rFonts w:hint="eastAsia" w:ascii="宋体" w:hAnsi="宋体" w:eastAsia="宋体" w:cs="宋体"/>
          <w:sz w:val="21"/>
          <w:szCs w:val="21"/>
          <w:highlight w:val="none"/>
        </w:rPr>
        <w:t>车辆（吨位不得小于原车辆）。</w:t>
      </w:r>
    </w:p>
    <w:p w14:paraId="63CADA3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车辆状况要求</w:t>
      </w:r>
    </w:p>
    <w:p w14:paraId="573C658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01F637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购买相应的保险，除交强险外，还应购买保险理赔金额不少于20万的第三者责任险，且保险理赔时限在本项目服务期限内持续有效。</w:t>
      </w:r>
    </w:p>
    <w:p w14:paraId="48C7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如果采购人开发出相关的监管平台，中标</w:t>
      </w:r>
      <w:r>
        <w:rPr>
          <w:rFonts w:hint="eastAsia" w:ascii="宋体" w:hAnsi="宋体" w:eastAsia="宋体" w:cs="宋体"/>
          <w:sz w:val="21"/>
          <w:szCs w:val="21"/>
          <w:highlight w:val="none"/>
          <w:lang w:eastAsia="zh-CN"/>
        </w:rPr>
        <w:t>供应商需</w:t>
      </w:r>
      <w:r>
        <w:rPr>
          <w:rFonts w:hint="eastAsia" w:ascii="宋体" w:hAnsi="宋体" w:eastAsia="宋体" w:cs="宋体"/>
          <w:sz w:val="21"/>
          <w:szCs w:val="21"/>
          <w:highlight w:val="none"/>
        </w:rPr>
        <w:t>配合使用，加强对本项目监管，按采购人要求配备相应的硬件设备、操作人员，培训相关操作人员熟练使用系统，建立信息化系统使用手册等技术资料，按采购人规定使用和管理。系统应用后，相关纸质台账的建立、保管要求以采购人新要求为准。</w:t>
      </w:r>
    </w:p>
    <w:p w14:paraId="523D564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安装行车记录仪，行车记录仪</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配备三个摄像头，满足日间、夜晚的记录要求，能清晰摄录从采购人将扣留车辆移交给中标人起至中标人将扣留车辆拖移至采购人指定停车场并移交完毕的整个过程，具体安装要求由采购人指定，摄录数据</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保存三个月。</w:t>
      </w:r>
    </w:p>
    <w:p w14:paraId="1AA0EA82">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sz w:val="21"/>
          <w:szCs w:val="21"/>
          <w:highlight w:val="none"/>
          <w:lang w:eastAsia="zh-CN"/>
        </w:rPr>
        <w:t>应</w:t>
      </w:r>
      <w:r>
        <w:rPr>
          <w:rFonts w:hint="eastAsia" w:ascii="宋体" w:hAnsi="宋体" w:eastAsia="宋体" w:cs="宋体"/>
          <w:sz w:val="21"/>
          <w:szCs w:val="21"/>
          <w:highlight w:val="none"/>
        </w:rPr>
        <w:t>喷涂中标人单位名称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公示收费标准（如车辆属租赁的，中标人应在车辆明显位置标示出单位名称及投诉电话）。</w:t>
      </w:r>
    </w:p>
    <w:p w14:paraId="1DD4A76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服务期内，中标人投入的车辆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在有效期内，对提供服务的车辆进行维修保养、年检等，在原服务车辆不能按时到场服务的情况下，中标人需提供同车型、同吨位的备用车辆（具有合格、完备证照）替代服务，并事前</w:t>
      </w:r>
      <w:r>
        <w:rPr>
          <w:rFonts w:hint="eastAsia" w:ascii="宋体" w:hAnsi="宋体" w:eastAsia="宋体" w:cs="宋体"/>
          <w:sz w:val="21"/>
          <w:szCs w:val="21"/>
          <w:highlight w:val="none"/>
          <w:lang w:eastAsia="zh-CN"/>
        </w:rPr>
        <w:t>告知</w:t>
      </w:r>
      <w:r>
        <w:rPr>
          <w:rFonts w:hint="eastAsia" w:ascii="宋体" w:hAnsi="宋体" w:eastAsia="宋体" w:cs="宋体"/>
          <w:sz w:val="21"/>
          <w:szCs w:val="21"/>
          <w:highlight w:val="none"/>
        </w:rPr>
        <w:t>采购人。</w:t>
      </w:r>
    </w:p>
    <w:p w14:paraId="37ECDCB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⑦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提供的车辆，应具备在各种情形和环境下拖吊大型客车、重型货车、新能源车（含电动公交车、电动泥头车等特种车辆）、重型半挂车等车辆的能力，到达现场拖吊作业的车辆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能够承担并完成采购人指定的拖吊任务。</w:t>
      </w:r>
    </w:p>
    <w:p w14:paraId="782FF46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作业人员要求</w:t>
      </w:r>
    </w:p>
    <w:p w14:paraId="4ECB85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作业人员需具备交通清障作业工作经验。</w:t>
      </w:r>
    </w:p>
    <w:p w14:paraId="31B5375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应加强作业人员交通拖吊操作技能的培训、安全培训</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培训</w:t>
      </w:r>
      <w:r>
        <w:rPr>
          <w:rFonts w:hint="eastAsia" w:ascii="宋体" w:hAnsi="宋体" w:cs="宋体"/>
          <w:sz w:val="21"/>
          <w:szCs w:val="21"/>
          <w:highlight w:val="none"/>
          <w:lang w:eastAsia="zh-CN"/>
        </w:rPr>
        <w:t>需定期开展培训，做好培训全流程记录</w:t>
      </w:r>
      <w:r>
        <w:rPr>
          <w:rFonts w:hint="eastAsia" w:ascii="宋体" w:hAnsi="宋体" w:eastAsia="宋体" w:cs="宋体"/>
          <w:sz w:val="21"/>
          <w:szCs w:val="21"/>
          <w:highlight w:val="none"/>
        </w:rPr>
        <w:t>。</w:t>
      </w:r>
    </w:p>
    <w:p w14:paraId="22594CC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实施清障作业的每辆车，需根据采购人要求配备作业人员（参与交通整治时，如采购人要求每台作业车辆配备两名或以上熟悉业务作业人员的，中标人应予以满足），以保证交通拖吊任务顺利完成。</w:t>
      </w:r>
    </w:p>
    <w:p w14:paraId="0E4B207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作业人员</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统一着装，按规范流程操作，同时</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听从交警的指挥。</w:t>
      </w:r>
    </w:p>
    <w:p w14:paraId="4C4D840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每台作业车辆配备一名以上驾驶员。</w:t>
      </w:r>
    </w:p>
    <w:p w14:paraId="6DFDEB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2.2 </w:t>
      </w:r>
      <w:r>
        <w:rPr>
          <w:rFonts w:hint="eastAsia" w:ascii="宋体" w:hAnsi="宋体" w:eastAsia="宋体" w:cs="宋体"/>
          <w:sz w:val="21"/>
          <w:szCs w:val="21"/>
          <w:highlight w:val="none"/>
        </w:rPr>
        <w:t>清障作业的服务要求</w:t>
      </w:r>
    </w:p>
    <w:p w14:paraId="41A8F63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服务时间要求</w:t>
      </w:r>
    </w:p>
    <w:p w14:paraId="4D4ABCE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提供全天24小时的各类拖吊作业。中标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接到采购人发出的拖吊指令起计，在规定时间（见下表）到达现场提供服务。</w:t>
      </w:r>
    </w:p>
    <w:tbl>
      <w:tblPr>
        <w:tblStyle w:val="44"/>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1275"/>
        <w:gridCol w:w="1410"/>
        <w:gridCol w:w="5203"/>
      </w:tblGrid>
      <w:tr w14:paraId="7517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196" w:type="dxa"/>
            <w:vAlign w:val="center"/>
          </w:tcPr>
          <w:p w14:paraId="4EB96E79">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时段</w:t>
            </w:r>
          </w:p>
        </w:tc>
        <w:tc>
          <w:tcPr>
            <w:tcW w:w="1275" w:type="dxa"/>
            <w:vAlign w:val="center"/>
          </w:tcPr>
          <w:p w14:paraId="1DCE1C01">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一般城市路段到位时间</w:t>
            </w:r>
          </w:p>
        </w:tc>
        <w:tc>
          <w:tcPr>
            <w:tcW w:w="1410" w:type="dxa"/>
            <w:vAlign w:val="center"/>
          </w:tcPr>
          <w:p w14:paraId="6D3554B8">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高速公路路段到位时间</w:t>
            </w:r>
          </w:p>
        </w:tc>
        <w:tc>
          <w:tcPr>
            <w:tcW w:w="5203" w:type="dxa"/>
            <w:vAlign w:val="center"/>
          </w:tcPr>
          <w:p w14:paraId="127CE3B3">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14:paraId="3007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BA867A2">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8时-19时</w:t>
            </w:r>
          </w:p>
        </w:tc>
        <w:tc>
          <w:tcPr>
            <w:tcW w:w="1275" w:type="dxa"/>
            <w:vAlign w:val="center"/>
          </w:tcPr>
          <w:p w14:paraId="773B4C1B">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10" w:type="dxa"/>
            <w:vAlign w:val="center"/>
          </w:tcPr>
          <w:p w14:paraId="322ABF86">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203" w:type="dxa"/>
            <w:vMerge w:val="restart"/>
          </w:tcPr>
          <w:p w14:paraId="1EFFA9D4">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B50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3C5CB4CD">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19时-8时</w:t>
            </w:r>
          </w:p>
        </w:tc>
        <w:tc>
          <w:tcPr>
            <w:tcW w:w="1275" w:type="dxa"/>
            <w:vAlign w:val="center"/>
          </w:tcPr>
          <w:p w14:paraId="569D3400">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10" w:type="dxa"/>
            <w:vAlign w:val="center"/>
          </w:tcPr>
          <w:p w14:paraId="71400665">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203" w:type="dxa"/>
            <w:vMerge w:val="continue"/>
          </w:tcPr>
          <w:p w14:paraId="5F5A3869">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p>
        </w:tc>
      </w:tr>
    </w:tbl>
    <w:p w14:paraId="5D4250B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现场作业要求</w:t>
      </w:r>
    </w:p>
    <w:p w14:paraId="0ED89D8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应按照采购人制订的拖吊车作业规范实施作业，包括对被拖吊车辆的检查和清点、按要求填写拖车作业单，以及按规范流程进行作业等。</w:t>
      </w:r>
    </w:p>
    <w:p w14:paraId="20FC444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拖车作业人员应服从现场交警的指挥。</w:t>
      </w:r>
    </w:p>
    <w:p w14:paraId="2D22C3C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作业过程中应遵守各项交通规则及相关规定，规范作业，不影响交通。</w:t>
      </w:r>
    </w:p>
    <w:p w14:paraId="10B47157">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实施拖吊作业时，需有交通警察在场并取得委托（拖车作业单应由在场交通警察签名确认）。</w:t>
      </w:r>
    </w:p>
    <w:p w14:paraId="1C91564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作业时需严格遵守道路交通管理规定，不得因作业而造成交通堵塞或损坏市政设施；</w:t>
      </w:r>
    </w:p>
    <w:p w14:paraId="11729EE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15吨（含15吨）以上大型专项作业车应配备2名或以上工作人员。</w:t>
      </w:r>
    </w:p>
    <w:p w14:paraId="064C525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车上物品的处理要求</w:t>
      </w:r>
    </w:p>
    <w:p w14:paraId="2EACF395">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应按照采购人规定的程序及规范处置被拖吊车辆的随车物品。未经采购人或当事人同意，中标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不得进入被拖吊车辆的车辆内部（包括驾驶乘坐舱、乘坐室以及车尾箱等）。</w:t>
      </w:r>
    </w:p>
    <w:p w14:paraId="1C63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（4） </w:t>
      </w:r>
      <w:r>
        <w:rPr>
          <w:rFonts w:hint="eastAsia" w:ascii="宋体" w:hAnsi="宋体" w:eastAsia="宋体" w:cs="宋体"/>
          <w:sz w:val="21"/>
          <w:szCs w:val="21"/>
          <w:highlight w:val="none"/>
        </w:rPr>
        <w:t>拖吊进场的要求</w:t>
      </w:r>
    </w:p>
    <w:p w14:paraId="61EF046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应在扣留车辆规定时间内（原则上4小时），按规定路线将被拖吊车辆拖吊至采购人指定的停车场，并按规定与停车场做好交接；如因特殊情况不能于规定时间拖吊进场的，报情指分中心登记处理。因中标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违反拖吊车作业规范，导致车辆（含随车物品）进场时与扣留时登记的实际状态不符的，停车场可以拒绝接收车辆，由此造成的法律及经济责任由中标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w:t>
      </w:r>
    </w:p>
    <w:p w14:paraId="68BB4D0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 </w:t>
      </w:r>
      <w:r>
        <w:rPr>
          <w:rFonts w:hint="eastAsia" w:ascii="宋体" w:hAnsi="宋体" w:eastAsia="宋体" w:cs="宋体"/>
          <w:sz w:val="21"/>
          <w:szCs w:val="21"/>
          <w:highlight w:val="none"/>
        </w:rPr>
        <w:t>如交通警察要求将涉案车辆拖吊至队部、称重点、治超点或指定地点进行调查取证的，中标人应予以满足，并在完成调查取证后（自派单时间起24小时内），再将车辆拖吊至指定的停车场。</w:t>
      </w:r>
    </w:p>
    <w:p w14:paraId="435A72F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（6）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需对“清障作业”所拖吊车辆数据进行分类登记，并每月定期向采购人及片区所属部门报备。</w:t>
      </w:r>
    </w:p>
    <w:p w14:paraId="2A948B3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2.3 </w:t>
      </w:r>
      <w:r>
        <w:rPr>
          <w:rFonts w:hint="eastAsia" w:ascii="宋体" w:hAnsi="宋体" w:eastAsia="宋体" w:cs="宋体"/>
          <w:sz w:val="21"/>
          <w:szCs w:val="21"/>
          <w:highlight w:val="none"/>
        </w:rPr>
        <w:t>交通违法车辆的拖吊服务</w:t>
      </w:r>
    </w:p>
    <w:p w14:paraId="5E16A13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采购人开展交通整治时，中标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应按采购人要求提供拖吊车服务。</w:t>
      </w:r>
    </w:p>
    <w:p w14:paraId="5A4461F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应将被拖吊车辆的停放地点及联系方式等，通过文字标示或者其它方式告知当事人。</w:t>
      </w:r>
    </w:p>
    <w:p w14:paraId="01B7A01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作业过程中应遵守有关法律法规、部门规章关于拖吊交通违法车辆的规定。</w:t>
      </w:r>
    </w:p>
    <w:p w14:paraId="263421D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2.4 </w:t>
      </w:r>
      <w:r>
        <w:rPr>
          <w:rFonts w:hint="eastAsia" w:ascii="宋体" w:hAnsi="宋体" w:eastAsia="宋体" w:cs="宋体"/>
          <w:sz w:val="21"/>
          <w:szCs w:val="21"/>
          <w:highlight w:val="none"/>
        </w:rPr>
        <w:t>交通事故、故障车辆的拖吊服务</w:t>
      </w:r>
    </w:p>
    <w:p w14:paraId="003C27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清理现场时间要求</w:t>
      </w:r>
    </w:p>
    <w:p w14:paraId="7DFFE27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A3B9EB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提供服务的车辆应配备消防器材、水、木屑、沙及破拆器材等，并负责清理事故现场的血迹、油污、泥土等残留物。</w:t>
      </w:r>
    </w:p>
    <w:p w14:paraId="59B84F2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在特殊勤务保障或备勤期间，拖移故障车辆时如当事人要求拖移至其指定地点的，参与特殊勤务保障或备勤的拯救车负责将故障车辆拖移至不影响交通处，中标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另外指派其他拯救车完成后续作业。</w:t>
      </w:r>
    </w:p>
    <w:p w14:paraId="330372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2.5 </w:t>
      </w:r>
      <w:r>
        <w:rPr>
          <w:rFonts w:hint="eastAsia" w:ascii="宋体" w:hAnsi="宋体" w:eastAsia="宋体" w:cs="宋体"/>
          <w:sz w:val="21"/>
          <w:szCs w:val="21"/>
          <w:highlight w:val="none"/>
        </w:rPr>
        <w:t>交通保障服务</w:t>
      </w:r>
    </w:p>
    <w:p w14:paraId="1B382E2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交通保障服务指各项特殊勤务保障、大型群体性活动以及中心城区重点路段的拯救车应急清障准备，以及在此过程中按采购人要求的拖移车辆服务。一般有特殊勤务保障备勤及中心城区重点路段的常规备勤。</w:t>
      </w:r>
    </w:p>
    <w:p w14:paraId="7E9F4EBB">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提供备勤服务的拯救车应按采购人指定时间及地点进行备勤，并按采购人要求进行拖移车辆。如备勤期间按采购人指令进行拖吊车作业的，需核减相应的备勤时间。备勤拯救车需在采购人发出收勤指令后方可撤离。</w:t>
      </w:r>
    </w:p>
    <w:p w14:paraId="59987D7C">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（3） 中标供应商应优先确保交通保障服务，经采购人同意，可以调配正在执行采购人其他服务指令的拯救车参与交通保障工作。</w:t>
      </w:r>
    </w:p>
    <w:p w14:paraId="224C09A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（4） 备勤期间拖吊车辆非交警扣留的，仅将车辆拖吊就近至不影响交通的位置；如当事人要求要拖吊进入停车场或其他场所的，由中标供应商与当事人协商费用，收费不得高于公示收费标准。</w:t>
      </w:r>
    </w:p>
    <w:p w14:paraId="033B917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2.6 拖吊其他（指非因交警部门需要派单的）交通事故车辆及故障车辆计费</w:t>
      </w:r>
    </w:p>
    <w:p w14:paraId="1A313DB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拖吊其他交通事故车辆、故障车辆，由中标供应商与当事人协商收取服务费用（需在车身上公示收费标准）。</w:t>
      </w:r>
    </w:p>
    <w:p w14:paraId="412D52E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中标供应商不得杜撰服务项目进行收费。</w:t>
      </w:r>
    </w:p>
    <w:p w14:paraId="09BF55F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2.7 其他清障工作</w:t>
      </w:r>
    </w:p>
    <w:p w14:paraId="2800D58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从事采购人指定的其他清障工作（如拖移非涉案停车场的车辆、紧急情况下简单清理路面的绿化、余泥、垃圾等），应40分钟内完成现场清理，由采购人支付费用；在非采购人指定的清障工作的情形下，如需大型吊车、专业力量等清理的复杂现场、货物转运的，由中标供应商与当事人协商收取费用，当事人不在现场的，中标供应商可事后向当事人追偿费用。</w:t>
      </w:r>
    </w:p>
    <w:p w14:paraId="4043830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i w:val="0"/>
          <w:iCs w:val="0"/>
          <w:kern w:val="2"/>
          <w:sz w:val="21"/>
          <w:szCs w:val="21"/>
          <w:highlight w:val="none"/>
          <w:lang w:val="en-US" w:eastAsia="zh-CN" w:bidi="ar-SA"/>
        </w:rPr>
        <w:t xml:space="preserve">2.8 </w:t>
      </w:r>
      <w:r>
        <w:rPr>
          <w:rFonts w:hint="eastAsia" w:ascii="宋体" w:hAnsi="宋体" w:eastAsia="宋体" w:cs="宋体"/>
          <w:sz w:val="21"/>
          <w:szCs w:val="21"/>
          <w:highlight w:val="none"/>
          <w:lang w:val="en-US" w:eastAsia="zh-CN"/>
        </w:rPr>
        <w:t>专业拯救车辆巡逻</w:t>
      </w:r>
    </w:p>
    <w:p w14:paraId="1BF25917">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中标供应商按采购人派单需求（时长/台次/班次）进行巡逻，以1台拖车巡逻8小时为1个班次，每班次巡逻里程不少于80公里，具体以实际产生为准，巡逻过程中发现有车辆故障、交通事故、发现路面障碍、交通设施损毁、行人非机动车及摩托车上高快速时中标供应商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2D99A09A">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如遇紧急情况，交警部门需临时调动服务车辆对服务路段外其他地点开展拖移故障、事故车辆或其他任务时，中标方应当无条件服从且不另行收费。</w:t>
      </w:r>
    </w:p>
    <w:p w14:paraId="11716D3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2.9 台账资料保管要求</w:t>
      </w:r>
    </w:p>
    <w:p w14:paraId="71722945">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中标供应商应做好各类台账资料的保管（拖吊作业单、扣留车辆登记明细表、记录仪和车辆行驶轨迹等），以备核查，并需保管至项目服务期结束后三个月。</w:t>
      </w:r>
    </w:p>
    <w:p w14:paraId="5A40E80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3.项目管理及考评处罚办法</w:t>
      </w:r>
    </w:p>
    <w:p w14:paraId="0184A10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3.1 项目管理要求</w:t>
      </w:r>
    </w:p>
    <w:p w14:paraId="4736294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采购人将不定期对中标供应商的作业情况及台帐登记情况进行检查。</w:t>
      </w:r>
    </w:p>
    <w:p w14:paraId="209F20E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每月的服务费与当月的考核总评挂钩。采购人将对中标供应商清障任务完成的质量情况进行考评并制作月度考评表；如发生违规事件的，采购人将扣减中标人月度考核分数，并按照月度考核总评分数扣减相应的服务费用。</w:t>
      </w:r>
    </w:p>
    <w:p w14:paraId="725034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中标供应商如违反作业规范造成较大责任事故的，或在考评处罚办法中月度考核分数连续两个月低于60分的，采购人有权终止合同，且由此造成的损失由中标人负责。</w:t>
      </w:r>
    </w:p>
    <w:p w14:paraId="2F9AA4A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3.2 考评办法</w:t>
      </w:r>
    </w:p>
    <w:p w14:paraId="78EA703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采购人有权将中标人在合同服务期内违反合同规定的各种情况进行登记，建立诚信档案，制作月度考评表，按考评表分数比例支付当月服务费用。</w:t>
      </w:r>
    </w:p>
    <w:p w14:paraId="7E14AB9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考评表评分按百分制，每一个月为一个计分周期。</w:t>
      </w:r>
    </w:p>
    <w:p w14:paraId="6C36207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3.3 本考评处罚办法中所指“当月服务费用”为中标供应商具体服务的某个片区所属部门的月度服务费用，非中标供应商所中片区的总服务费用。</w:t>
      </w:r>
    </w:p>
    <w:p w14:paraId="05286D5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3.4 中标供应商服务费支付比例和月度考核情况挂钩：</w:t>
      </w:r>
    </w:p>
    <w:p w14:paraId="3A4E779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按总评分数支付相同比例的服务费。例如当月得分为85.2分的，则按85.2%支付当月服务费，依此类推；</w:t>
      </w:r>
    </w:p>
    <w:p w14:paraId="5AEDF0B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当月总评100分或100分以上的，按100％支付当月服务费；</w:t>
      </w:r>
    </w:p>
    <w:p w14:paraId="7349024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3.5采购人每月制作月度考评总表，作为结算依据之一。</w:t>
      </w:r>
    </w:p>
    <w:p w14:paraId="2DE8F16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4.考评条款</w:t>
      </w:r>
    </w:p>
    <w:p w14:paraId="4A6D3EC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 中标供应商提供拖吊车及清障服务时，如违反《项目需求》及《项目合同》中任意一项要求的（下述单列出的扣分标准除外），每次扣1分。</w:t>
      </w:r>
    </w:p>
    <w:p w14:paraId="654633B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 中标供应商在清障工作中发生重大失误或被当事人投诉至相关部门的，每次扣10分；被当事人起诉的，扣20分；被新闻媒体曝光造成负面舆情的，扣30分。本扣分条款与其他扣分条款可累加。</w:t>
      </w:r>
    </w:p>
    <w:p w14:paraId="22DC974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4.3 中标供应商提供拖吊车及清障服务时，到达现场超过规定时间的，按超时的时长扣分，具体标准如下表：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68FF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8B84481">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3E4CF10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2A75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2C14824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4CD4DBE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0801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1FC00F3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467287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059D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607227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2C780C89">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256DF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注：“造成明显影响”是指：（1）</w:t>
      </w:r>
      <w:r>
        <w:rPr>
          <w:rFonts w:hint="eastAsia" w:ascii="宋体" w:hAnsi="宋体" w:eastAsia="宋体" w:cs="宋体"/>
          <w:i w:val="0"/>
          <w:iCs w:val="0"/>
          <w:caps w:val="0"/>
          <w:color w:val="auto"/>
          <w:spacing w:val="0"/>
          <w:sz w:val="21"/>
          <w:szCs w:val="21"/>
          <w:highlight w:val="none"/>
          <w:shd w:val="clear" w:fill="auto"/>
        </w:rPr>
        <w:t>造成</w:t>
      </w:r>
      <w:r>
        <w:rPr>
          <w:rFonts w:hint="eastAsia" w:ascii="宋体" w:hAnsi="宋体" w:eastAsia="宋体" w:cs="宋体"/>
          <w:i w:val="0"/>
          <w:iCs w:val="0"/>
          <w:caps w:val="0"/>
          <w:color w:val="auto"/>
          <w:spacing w:val="0"/>
          <w:sz w:val="21"/>
          <w:szCs w:val="21"/>
          <w:highlight w:val="none"/>
          <w:shd w:val="clear" w:fill="auto"/>
          <w:lang w:eastAsia="zh-CN"/>
        </w:rPr>
        <w:t>堵塞</w:t>
      </w:r>
      <w:r>
        <w:rPr>
          <w:rFonts w:hint="eastAsia" w:ascii="宋体" w:hAnsi="宋体" w:eastAsia="宋体" w:cs="宋体"/>
          <w:i w:val="0"/>
          <w:iCs w:val="0"/>
          <w:caps w:val="0"/>
          <w:color w:val="auto"/>
          <w:spacing w:val="0"/>
          <w:sz w:val="21"/>
          <w:szCs w:val="21"/>
          <w:highlight w:val="none"/>
          <w:shd w:val="clear" w:fill="auto"/>
          <w:lang w:val="en-US" w:eastAsia="zh-CN"/>
        </w:rPr>
        <w:t>2</w:t>
      </w:r>
      <w:r>
        <w:rPr>
          <w:rFonts w:hint="eastAsia" w:ascii="宋体" w:hAnsi="宋体" w:eastAsia="宋体" w:cs="宋体"/>
          <w:i w:val="0"/>
          <w:iCs w:val="0"/>
          <w:caps w:val="0"/>
          <w:color w:val="auto"/>
          <w:spacing w:val="0"/>
          <w:sz w:val="21"/>
          <w:szCs w:val="21"/>
          <w:highlight w:val="none"/>
          <w:shd w:val="clear" w:fill="auto"/>
        </w:rPr>
        <w:t>公里</w:t>
      </w:r>
      <w:r>
        <w:rPr>
          <w:rFonts w:hint="eastAsia" w:ascii="宋体" w:hAnsi="宋体" w:eastAsia="宋体" w:cs="宋体"/>
          <w:b w:val="0"/>
          <w:bCs w:val="0"/>
          <w:kern w:val="2"/>
          <w:sz w:val="21"/>
          <w:szCs w:val="21"/>
          <w:highlight w:val="none"/>
          <w:lang w:val="en-US" w:eastAsia="zh-CN" w:bidi="ar-SA"/>
        </w:rPr>
        <w:t>以上；（2）在重要特殊勤务保障中发生的；（3）导致</w:t>
      </w:r>
      <w:r>
        <w:rPr>
          <w:rFonts w:hint="eastAsia" w:ascii="宋体" w:hAnsi="宋体" w:eastAsia="宋体" w:cs="宋体"/>
          <w:i w:val="0"/>
          <w:iCs w:val="0"/>
          <w:caps w:val="0"/>
          <w:spacing w:val="0"/>
          <w:sz w:val="21"/>
          <w:szCs w:val="21"/>
          <w:highlight w:val="none"/>
          <w:shd w:val="clear"/>
          <w:lang w:eastAsia="zh-CN"/>
        </w:rPr>
        <w:t>同路段</w:t>
      </w:r>
      <w:r>
        <w:rPr>
          <w:rFonts w:hint="eastAsia" w:ascii="宋体" w:hAnsi="宋体" w:eastAsia="宋体" w:cs="宋体"/>
          <w:i w:val="0"/>
          <w:iCs w:val="0"/>
          <w:caps w:val="0"/>
          <w:color w:val="auto"/>
          <w:spacing w:val="0"/>
          <w:sz w:val="21"/>
          <w:szCs w:val="21"/>
          <w:highlight w:val="none"/>
          <w:shd w:val="clear" w:fill="auto"/>
        </w:rPr>
        <w:t>拥堵警情超5宗</w:t>
      </w:r>
      <w:r>
        <w:rPr>
          <w:rFonts w:hint="eastAsia" w:ascii="宋体" w:hAnsi="宋体" w:eastAsia="宋体" w:cs="宋体"/>
          <w:b w:val="0"/>
          <w:bCs w:val="0"/>
          <w:kern w:val="2"/>
          <w:sz w:val="21"/>
          <w:szCs w:val="21"/>
          <w:highlight w:val="none"/>
          <w:lang w:val="en-US" w:eastAsia="zh-CN" w:bidi="ar-SA"/>
        </w:rPr>
        <w:t>。如由于事故、严重堵塞或其他客观原因导致无法准时到达现场的，经发出指令的交警所属部门确认，可免予扣分。</w:t>
      </w:r>
    </w:p>
    <w:p w14:paraId="6E1C22E6">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 中标供应商接到委托人服务指令后，拒不提供服务在接到指令未派车的，每次扣5分。</w:t>
      </w:r>
    </w:p>
    <w:p w14:paraId="32698A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4.5 中标供应商实施清障作业没有按规范流程操作的，或没有按规定时间及路线进场的，每次扣2分，造成损失的每次扣5分。</w:t>
      </w:r>
    </w:p>
    <w:p w14:paraId="7506AF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4.6 中标供应商盗窃或置换被拖吊车辆零配件或车上物品的，每次扣20分；数量或金额较大的（如盗窃或置换整车、一次盗窃或置换电池10个以上、盗窃车上物品估计价值超过1千元的），每次扣30分，同时追究中标供应商法律责任，且采购人可单方面解除合同。</w:t>
      </w:r>
    </w:p>
    <w:p w14:paraId="025637D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4.7 因中标供应商原因造成被拖吊车辆、车上物品、车辆零部件等遗失或严重损坏（无法修复）的，造成损失由中标供应商负责，每次扣20分，同时追究中标人法律责任。</w:t>
      </w:r>
    </w:p>
    <w:p w14:paraId="588F17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4.8 中标供应商私自使用被拖吊车辆或车上物品的，每次扣5分。</w:t>
      </w:r>
    </w:p>
    <w:p w14:paraId="4B1D510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4.9 中标供应商违规收费经调查确认属实的，每次扣30分。</w:t>
      </w:r>
    </w:p>
    <w:p w14:paraId="77636FC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根据相关规定无需向当事人收取费用而违规向当事人收取费用的；</w:t>
      </w:r>
    </w:p>
    <w:p w14:paraId="34BAE48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超标准收取拖吊车费；</w:t>
      </w:r>
    </w:p>
    <w:p w14:paraId="3CAE1CA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杜撰服务项目进行收费的；</w:t>
      </w:r>
    </w:p>
    <w:p w14:paraId="2DD52EB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当事人投诉至相关部门的或当事人起诉的；</w:t>
      </w:r>
    </w:p>
    <w:p w14:paraId="737E8B0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 被网络、报纸以及电视等媒介曝光造成恶劣影响的。</w:t>
      </w:r>
    </w:p>
    <w:p w14:paraId="386C1B3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4.10 如由拖车作业员填写拖车作业单且出现填写错漏的：</w:t>
      </w:r>
    </w:p>
    <w:p w14:paraId="432AB74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经委托人检查发现的，拖吊该辆车的该次服务费用不予支付，同时每张扣1分；</w:t>
      </w:r>
    </w:p>
    <w:p w14:paraId="4475D1C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填写错漏且被拖吊车辆出现财物被盗窃或置换的，认定为拖车作业员主观故意，每宗扣10分。</w:t>
      </w:r>
    </w:p>
    <w:p w14:paraId="580D6CB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4.11 中标供应商未能及时完成清障的：</w:t>
      </w:r>
    </w:p>
    <w:p w14:paraId="6C8C2FD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在一般工作或特殊勤务保障工作中，每次扣5分；</w:t>
      </w:r>
    </w:p>
    <w:p w14:paraId="15D40B7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造成重大堵塞的，每次扣10分；</w:t>
      </w:r>
    </w:p>
    <w:p w14:paraId="35D2377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在高级别特殊勤务保障或重大群体性活动中，造成堵塞的（50米以上或影响快速通行），每次扣15分；</w:t>
      </w:r>
    </w:p>
    <w:p w14:paraId="0F0DA46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造成特殊勤务保障车队无法正常通过的，每次扣30分，且采购人可单方面解除合同，同时保留追究相应责任的权利。</w:t>
      </w:r>
    </w:p>
    <w:p w14:paraId="7C4146EF">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4.12 中标供应商不按采购人要求使用车载定位系统、驾驶员作业未全程佩戴使用记录仪记录、行车记录仪以及未实时将定位系统的车辆定位数据提供给采购人的，或不按要求保存相关数据的，每次扣5分并限期整改；未按要求整改的，每延迟一天扣1分，至整改至符合采购人要求为止。</w:t>
      </w:r>
    </w:p>
    <w:p w14:paraId="64AB86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4.13 中标供应商未按采购人要求备勤的（包括未按规定时间、地点、车型、人员配备备勤和自行收勤），每次扣2分；备勤车辆在接到指令后10分钟之内未开动的，每次扣2分；如造成采购人工作失误的，每次扣5分；如在高级别特殊勤务保障或重大群体性活动中造成采购人失误的，每次扣10分。</w:t>
      </w:r>
    </w:p>
    <w:p w14:paraId="41EB2A8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4.14 中标供应商执行交警部门派工期间未及时发现交通事故、故障车辆或障碍物及高快速公路上未及时发现行人和非机动车的，每宗扣1分。</w:t>
      </w:r>
    </w:p>
    <w:p w14:paraId="4A7AD5E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4.15 中标供应商不按时提交项目结算资料的，每延迟一天扣0.2分；中标供应商项目结算资料出现2处及2处以上错误的，每增加1处扣0.2分。</w:t>
      </w:r>
    </w:p>
    <w:p w14:paraId="00831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4.16 中标供应商不按委托人要求派车（例如要求派大车的派了小车，要求带拖轮、拖车绳等物品未带）或车辆状况不正常（不能正常作业、无号牌或故意遮挡号牌等）的，每次扣2分，造成严重影响的，每次扣5分。</w:t>
      </w:r>
    </w:p>
    <w:p w14:paraId="479B147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4.17 中标供应商未与停车场做好交接或不按采购人的要求管理规范摆放扣留车辆的，每次扣2分，造成严重影响的，每次扣5分。</w:t>
      </w:r>
    </w:p>
    <w:p w14:paraId="0E0ABE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4.18 中标供应商提供虚假报账材料的，每次扣20分，并限期整改，已支付相关费用的，限期退还多余费用。采购人有权要求中标供应商按照违约责任第（4）项承担相应责任。</w:t>
      </w:r>
    </w:p>
    <w:p w14:paraId="6CC41D4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4.19 中标供应商不按规定操作造成二次事故的，每次扣10分。</w:t>
      </w:r>
    </w:p>
    <w:p w14:paraId="4C1BFCA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4.20 相关保密要求：涉及采购人的工作情况，包括现场图片、视频、数据等工作内容不得对外发布，违反规定的，每次扣20分，造成影响的，扣30分。</w:t>
      </w:r>
    </w:p>
    <w:p w14:paraId="35E15EA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4.21 奖分办法：奖分加至月度总评超过100分时，服务费按100%支付。</w:t>
      </w:r>
    </w:p>
    <w:p w14:paraId="35B4575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中标供应商不在执行交警部门派工期间发现交通事故、故障车辆或障碍物及高快速公路上发现行人和非机动车并及时上报且经片区所属部门确认后在现场处置的，每宗奖励1分（需经片区所属部门书面确认）；</w:t>
      </w:r>
    </w:p>
    <w:p w14:paraId="3E13205C">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中标供应商作业及时、服务好或效果佳，被新闻媒体表扬的，每宗奖励5分。每月奖分5分封顶；</w:t>
      </w:r>
    </w:p>
    <w:p w14:paraId="15D9CF4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中标供应商在消防人员和救护人员未到达现场前主动开展合理救援的，每宗奖励2分（需经片区所属部门书面确认）。</w:t>
      </w:r>
    </w:p>
    <w:p w14:paraId="47CD4062">
      <w:pPr>
        <w:rPr>
          <w:b/>
          <w:sz w:val="24"/>
        </w:rPr>
      </w:pPr>
    </w:p>
    <w:p w14:paraId="33223DF9">
      <w:pPr>
        <w:pStyle w:val="7"/>
        <w:spacing w:before="120" w:beforeLines="50" w:after="120" w:afterLines="50"/>
        <w:rPr>
          <w:szCs w:val="24"/>
        </w:rPr>
      </w:pPr>
      <w:r>
        <w:rPr>
          <w:rFonts w:hint="eastAsia"/>
          <w:szCs w:val="24"/>
        </w:rPr>
        <w:t>六、商务要求</w:t>
      </w:r>
    </w:p>
    <w:p w14:paraId="69EB2266">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服务期限及服务地点</w:t>
      </w:r>
    </w:p>
    <w:p w14:paraId="62523012">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1.合同期限为1年（具体以合同约定为准）。本项目为长期服务项目，合同期满可以续签，但合同履行期限最长不得超过三十六个月，合同一年一签。如采购人对履约情况不满意，不再续约。</w:t>
      </w:r>
    </w:p>
    <w:p w14:paraId="32FACAD9">
      <w:pPr>
        <w:pStyle w:val="9"/>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2..服务地点：深圳市为主，交通大队服务范围是国内，其他服务范围为各片区内大队辖区，具体以实际情况为准。</w:t>
      </w:r>
    </w:p>
    <w:p w14:paraId="6BFA4D8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（二）报价要求</w:t>
      </w:r>
      <w:bookmarkStart w:id="33" w:name="_Toc13051"/>
    </w:p>
    <w:p w14:paraId="5ACDB6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投标人报价需综合考虑各片区实际拖车距离。报价包含拯救车的油料费、维修费、路桥费（含高速公路过路费）、保险费、税费以及服务人员工资、保险费等所有费用。（</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投标人只报一个折扣率</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，同时用于拖吊车辆、交通保障服务、其他清障、巡逻等类别，折扣率报价范围：</w:t>
      </w:r>
      <w:r>
        <w:rPr>
          <w:rFonts w:hint="eastAsia" w:ascii="宋体" w:hAnsi="宋体" w:eastAsia="宋体" w:cs="宋体"/>
          <w:color w:val="000000" w:themeColor="text1"/>
          <w:sz w:val="21"/>
          <w:szCs w:val="21"/>
          <w:highlight w:val="none"/>
          <w14:textFill>
            <w14:solidFill>
              <w14:schemeClr w14:val="tx1"/>
            </w14:solidFill>
          </w14:textFill>
        </w:rPr>
        <w:t>0＜折扣率≤1。）</w:t>
      </w:r>
      <w:bookmarkEnd w:id="33"/>
    </w:p>
    <w:p w14:paraId="37A3D46A">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34" w:name="_Toc17032"/>
      <w:bookmarkStart w:id="35" w:name="_Toc29826"/>
      <w:r>
        <w:rPr>
          <w:rFonts w:hint="eastAsia" w:ascii="宋体" w:hAnsi="宋体" w:eastAsia="宋体" w:cs="宋体"/>
          <w:sz w:val="21"/>
          <w:szCs w:val="21"/>
          <w:highlight w:val="none"/>
          <w:lang w:val="en-US" w:eastAsia="zh-CN"/>
        </w:rPr>
        <w:t>2.1</w:t>
      </w:r>
      <w:r>
        <w:rPr>
          <w:rFonts w:hint="eastAsia" w:ascii="宋体" w:hAnsi="宋体" w:eastAsia="宋体" w:cs="宋体"/>
          <w:color w:val="000000" w:themeColor="text1"/>
          <w:sz w:val="21"/>
          <w:szCs w:val="21"/>
          <w:highlight w:val="none"/>
          <w14:textFill>
            <w14:solidFill>
              <w14:schemeClr w14:val="tx1"/>
            </w14:solidFill>
          </w14:textFill>
        </w:rPr>
        <w:t>拖吊作业服务报价</w:t>
      </w:r>
      <w:bookmarkEnd w:id="34"/>
      <w:bookmarkEnd w:id="35"/>
    </w:p>
    <w:p w14:paraId="3E3B5112">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firstLine="420" w:firstLineChars="200"/>
        <w:jc w:val="left"/>
        <w:textAlignment w:val="auto"/>
        <w:outlineLvl w:val="1"/>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36" w:name="_Toc30803"/>
      <w:bookmarkStart w:id="37" w:name="_Toc17004"/>
      <w:r>
        <w:rPr>
          <w:rFonts w:hint="eastAsia" w:ascii="宋体" w:hAnsi="宋体" w:eastAsia="宋体" w:cs="宋体"/>
          <w:color w:val="000000" w:themeColor="text1"/>
          <w:sz w:val="21"/>
          <w:szCs w:val="21"/>
          <w:highlight w:val="none"/>
          <w14:textFill>
            <w14:solidFill>
              <w14:schemeClr w14:val="tx1"/>
            </w14:solidFill>
          </w14:textFill>
        </w:rPr>
        <w:t>拖吊各类型车辆、交通保障服务、其他清障作业</w:t>
      </w:r>
      <w:r>
        <w:rPr>
          <w:rFonts w:hint="eastAsia" w:ascii="宋体" w:hAnsi="宋体" w:eastAsia="宋体" w:cs="宋体"/>
          <w:color w:val="000000" w:themeColor="text1"/>
          <w:sz w:val="21"/>
          <w:szCs w:val="21"/>
          <w:highlight w:val="none"/>
          <w:lang w:eastAsia="zh-CN"/>
          <w14:textFill>
            <w14:solidFill>
              <w14:schemeClr w14:val="tx1"/>
            </w14:solidFill>
          </w14:textFill>
        </w:rPr>
        <w:t>、拖车巡逻</w:t>
      </w:r>
      <w:r>
        <w:rPr>
          <w:rFonts w:hint="eastAsia" w:ascii="宋体" w:hAnsi="宋体" w:eastAsia="宋体" w:cs="宋体"/>
          <w:color w:val="000000" w:themeColor="text1"/>
          <w:sz w:val="21"/>
          <w:szCs w:val="21"/>
          <w:highlight w:val="none"/>
          <w14:textFill>
            <w14:solidFill>
              <w14:schemeClr w14:val="tx1"/>
            </w14:solidFill>
          </w14:textFill>
        </w:rPr>
        <w:t>的服务基准价如下</w:t>
      </w:r>
      <w:bookmarkEnd w:id="36"/>
      <w:bookmarkEnd w:id="37"/>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涉及费用加收的，结算时均以基准价（文件列明的收费价格）的基础上结合中标折扣率进行计算</w:t>
      </w:r>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774955E0">
      <w:pPr>
        <w:pStyle w:val="15"/>
        <w:keepNext w:val="0"/>
        <w:keepLines w:val="0"/>
        <w:pageBreakBefore w:val="0"/>
        <w:numPr>
          <w:ilvl w:val="1"/>
          <w:numId w:val="0"/>
        </w:numPr>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拖吊作业基准价明细表</w:t>
      </w:r>
      <w:r>
        <w:rPr>
          <w:rFonts w:hint="eastAsia" w:ascii="宋体" w:hAnsi="宋体" w:eastAsia="宋体" w:cs="宋体"/>
          <w:sz w:val="21"/>
          <w:szCs w:val="21"/>
          <w:highlight w:val="none"/>
        </w:rPr>
        <w:t>：</w:t>
      </w:r>
    </w:p>
    <w:tbl>
      <w:tblPr>
        <w:tblStyle w:val="43"/>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756"/>
        <w:gridCol w:w="1250"/>
        <w:gridCol w:w="1704"/>
        <w:gridCol w:w="1299"/>
        <w:gridCol w:w="1262"/>
      </w:tblGrid>
      <w:tr w14:paraId="124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15" w:type="dxa"/>
            <w:vAlign w:val="center"/>
          </w:tcPr>
          <w:p w14:paraId="34615BD4">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2756" w:type="dxa"/>
            <w:vAlign w:val="center"/>
          </w:tcPr>
          <w:p w14:paraId="386AC5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1250" w:type="dxa"/>
            <w:vAlign w:val="center"/>
          </w:tcPr>
          <w:p w14:paraId="7AB36B7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704" w:type="dxa"/>
            <w:vAlign w:val="center"/>
          </w:tcPr>
          <w:p w14:paraId="2AB06F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99" w:type="dxa"/>
            <w:vAlign w:val="center"/>
          </w:tcPr>
          <w:p w14:paraId="4093741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62" w:type="dxa"/>
            <w:vAlign w:val="center"/>
          </w:tcPr>
          <w:p w14:paraId="67547DE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r>
      <w:tr w14:paraId="3F08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915" w:type="dxa"/>
            <w:vAlign w:val="center"/>
          </w:tcPr>
          <w:p w14:paraId="396DFD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2756" w:type="dxa"/>
            <w:vAlign w:val="center"/>
          </w:tcPr>
          <w:p w14:paraId="354035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1250" w:type="dxa"/>
            <w:vAlign w:val="center"/>
          </w:tcPr>
          <w:p w14:paraId="008F900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704" w:type="dxa"/>
            <w:vAlign w:val="center"/>
          </w:tcPr>
          <w:p w14:paraId="721976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99" w:type="dxa"/>
            <w:vAlign w:val="center"/>
          </w:tcPr>
          <w:p w14:paraId="149C8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62" w:type="dxa"/>
            <w:vAlign w:val="center"/>
          </w:tcPr>
          <w:p w14:paraId="55473E7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1824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15" w:type="dxa"/>
            <w:vAlign w:val="center"/>
          </w:tcPr>
          <w:p w14:paraId="23F7C3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2756" w:type="dxa"/>
            <w:vAlign w:val="center"/>
          </w:tcPr>
          <w:p w14:paraId="3253AF7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1250" w:type="dxa"/>
            <w:vAlign w:val="center"/>
          </w:tcPr>
          <w:p w14:paraId="279851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704" w:type="dxa"/>
            <w:vAlign w:val="center"/>
          </w:tcPr>
          <w:p w14:paraId="6F89FE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99" w:type="dxa"/>
            <w:vAlign w:val="center"/>
          </w:tcPr>
          <w:p w14:paraId="7C209B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62" w:type="dxa"/>
            <w:vAlign w:val="center"/>
          </w:tcPr>
          <w:p w14:paraId="0357759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5364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915" w:type="dxa"/>
            <w:vAlign w:val="center"/>
          </w:tcPr>
          <w:p w14:paraId="0AC6A0C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2756" w:type="dxa"/>
            <w:vAlign w:val="center"/>
          </w:tcPr>
          <w:p w14:paraId="007779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1250" w:type="dxa"/>
            <w:vAlign w:val="center"/>
          </w:tcPr>
          <w:p w14:paraId="3EEACA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704" w:type="dxa"/>
            <w:vAlign w:val="center"/>
          </w:tcPr>
          <w:p w14:paraId="091A754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99" w:type="dxa"/>
            <w:vAlign w:val="center"/>
          </w:tcPr>
          <w:p w14:paraId="4FF03E4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62" w:type="dxa"/>
            <w:vAlign w:val="center"/>
          </w:tcPr>
          <w:p w14:paraId="0F6DA83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6F0C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915" w:type="dxa"/>
            <w:vAlign w:val="center"/>
          </w:tcPr>
          <w:p w14:paraId="52C0FBA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2756" w:type="dxa"/>
            <w:vAlign w:val="center"/>
          </w:tcPr>
          <w:p w14:paraId="0F34E1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1250" w:type="dxa"/>
            <w:vAlign w:val="center"/>
          </w:tcPr>
          <w:p w14:paraId="72CEF36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1704" w:type="dxa"/>
            <w:vAlign w:val="center"/>
          </w:tcPr>
          <w:p w14:paraId="3C6817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1299" w:type="dxa"/>
            <w:vAlign w:val="center"/>
          </w:tcPr>
          <w:p w14:paraId="7A7525B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1262" w:type="dxa"/>
            <w:vAlign w:val="center"/>
          </w:tcPr>
          <w:p w14:paraId="0FBFD1D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r>
      <w:tr w14:paraId="6A6F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5" w:type="dxa"/>
            <w:vAlign w:val="center"/>
          </w:tcPr>
          <w:p w14:paraId="70229C3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2756" w:type="dxa"/>
            <w:vAlign w:val="center"/>
          </w:tcPr>
          <w:p w14:paraId="5A11326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1250" w:type="dxa"/>
            <w:vAlign w:val="center"/>
          </w:tcPr>
          <w:p w14:paraId="6A1D57A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1704" w:type="dxa"/>
            <w:vAlign w:val="center"/>
          </w:tcPr>
          <w:p w14:paraId="74CDD56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1299" w:type="dxa"/>
            <w:vAlign w:val="center"/>
          </w:tcPr>
          <w:p w14:paraId="259231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1262" w:type="dxa"/>
            <w:vAlign w:val="center"/>
          </w:tcPr>
          <w:p w14:paraId="149C645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r>
      <w:tr w14:paraId="009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5" w:type="dxa"/>
            <w:vAlign w:val="center"/>
          </w:tcPr>
          <w:p w14:paraId="4CD0159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2756" w:type="dxa"/>
            <w:vAlign w:val="center"/>
          </w:tcPr>
          <w:p w14:paraId="4D0BD33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1250" w:type="dxa"/>
            <w:vAlign w:val="center"/>
          </w:tcPr>
          <w:p w14:paraId="09DCA0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1704" w:type="dxa"/>
            <w:vAlign w:val="center"/>
          </w:tcPr>
          <w:p w14:paraId="538A8F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1299" w:type="dxa"/>
            <w:vAlign w:val="center"/>
          </w:tcPr>
          <w:p w14:paraId="39E39F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1262" w:type="dxa"/>
            <w:vAlign w:val="center"/>
          </w:tcPr>
          <w:p w14:paraId="027D889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r>
      <w:tr w14:paraId="1221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15" w:type="dxa"/>
            <w:vAlign w:val="center"/>
          </w:tcPr>
          <w:p w14:paraId="5F77DB3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2756" w:type="dxa"/>
            <w:vAlign w:val="center"/>
          </w:tcPr>
          <w:p w14:paraId="55BA01C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1250" w:type="dxa"/>
            <w:vAlign w:val="center"/>
          </w:tcPr>
          <w:p w14:paraId="626C49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1704" w:type="dxa"/>
            <w:vAlign w:val="center"/>
          </w:tcPr>
          <w:p w14:paraId="65523C8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1299" w:type="dxa"/>
            <w:vAlign w:val="center"/>
          </w:tcPr>
          <w:p w14:paraId="675B42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1262" w:type="dxa"/>
            <w:vAlign w:val="center"/>
          </w:tcPr>
          <w:p w14:paraId="138653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r>
      <w:tr w14:paraId="4666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15" w:type="dxa"/>
            <w:vAlign w:val="center"/>
          </w:tcPr>
          <w:p w14:paraId="74DDB6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2756" w:type="dxa"/>
            <w:vAlign w:val="center"/>
          </w:tcPr>
          <w:p w14:paraId="34C2DA8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1250" w:type="dxa"/>
            <w:vAlign w:val="center"/>
          </w:tcPr>
          <w:p w14:paraId="21FF80B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1704" w:type="dxa"/>
            <w:vAlign w:val="center"/>
          </w:tcPr>
          <w:p w14:paraId="328B93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1299" w:type="dxa"/>
            <w:vAlign w:val="center"/>
          </w:tcPr>
          <w:p w14:paraId="6894B7F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1262" w:type="dxa"/>
            <w:vAlign w:val="center"/>
          </w:tcPr>
          <w:p w14:paraId="50C98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r>
      <w:tr w14:paraId="07E0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7145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2756" w:type="dxa"/>
            <w:vAlign w:val="center"/>
          </w:tcPr>
          <w:p w14:paraId="0B7E29A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1250" w:type="dxa"/>
            <w:vAlign w:val="center"/>
          </w:tcPr>
          <w:p w14:paraId="20EFF5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1704" w:type="dxa"/>
            <w:vAlign w:val="center"/>
          </w:tcPr>
          <w:p w14:paraId="3E33DB2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1299" w:type="dxa"/>
            <w:vAlign w:val="center"/>
          </w:tcPr>
          <w:p w14:paraId="3B024D6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1262" w:type="dxa"/>
            <w:vAlign w:val="center"/>
          </w:tcPr>
          <w:p w14:paraId="53EB116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r>
      <w:tr w14:paraId="4828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1405DD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2756" w:type="dxa"/>
            <w:vAlign w:val="center"/>
          </w:tcPr>
          <w:p w14:paraId="6816B83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5515" w:type="dxa"/>
            <w:gridSpan w:val="4"/>
            <w:vAlign w:val="center"/>
          </w:tcPr>
          <w:p w14:paraId="2947317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r>
      <w:tr w14:paraId="4C8A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367F5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2756" w:type="dxa"/>
            <w:vAlign w:val="center"/>
          </w:tcPr>
          <w:p w14:paraId="601161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5515" w:type="dxa"/>
            <w:gridSpan w:val="4"/>
            <w:vAlign w:val="center"/>
          </w:tcPr>
          <w:p w14:paraId="679101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r>
      <w:tr w14:paraId="332D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0EFAF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2756" w:type="dxa"/>
            <w:vAlign w:val="center"/>
          </w:tcPr>
          <w:p w14:paraId="6A0D2E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5515" w:type="dxa"/>
            <w:gridSpan w:val="4"/>
            <w:vAlign w:val="center"/>
          </w:tcPr>
          <w:p w14:paraId="0B23DC3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r>
      <w:tr w14:paraId="3590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306BA1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2756" w:type="dxa"/>
            <w:vAlign w:val="center"/>
          </w:tcPr>
          <w:p w14:paraId="34A50E1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5515" w:type="dxa"/>
            <w:gridSpan w:val="4"/>
            <w:vAlign w:val="center"/>
          </w:tcPr>
          <w:p w14:paraId="6D58B5C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r>
      <w:tr w14:paraId="7E19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3D530BD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2756" w:type="dxa"/>
            <w:vAlign w:val="center"/>
          </w:tcPr>
          <w:p w14:paraId="0C392F0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5515" w:type="dxa"/>
            <w:gridSpan w:val="4"/>
            <w:vAlign w:val="center"/>
          </w:tcPr>
          <w:p w14:paraId="77C9E0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r>
      <w:tr w14:paraId="7D5A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7E67E2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2756" w:type="dxa"/>
            <w:vAlign w:val="center"/>
          </w:tcPr>
          <w:p w14:paraId="099FA24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5515" w:type="dxa"/>
            <w:gridSpan w:val="4"/>
            <w:vAlign w:val="center"/>
          </w:tcPr>
          <w:p w14:paraId="7407356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r>
    </w:tbl>
    <w:p w14:paraId="6955C81F">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p>
    <w:p w14:paraId="145D1F59">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报价说明</w:t>
      </w:r>
    </w:p>
    <w:p w14:paraId="43446CA6">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采购人实付单价＝基准价×中标折扣率。</w:t>
      </w:r>
    </w:p>
    <w:p w14:paraId="326161F2">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对各拖吊的车型报出统一的折扣率，折扣率＝(采购人实付价÷基准价）。</w:t>
      </w:r>
    </w:p>
    <w:p w14:paraId="0334EE5A">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折扣率填写要求： </w:t>
      </w:r>
    </w:p>
    <w:p w14:paraId="74DBFA13">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填写要求：0＜折扣率≤1，未按此要求填写将作投标无效处理； </w:t>
      </w:r>
    </w:p>
    <w:p w14:paraId="10E29218">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填写的“折扣率”应为小数且最多保留至小数点后两位；如 0.98、0.95、0.90 </w:t>
      </w:r>
    </w:p>
    <w:p w14:paraId="7841CFFD">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投标人参与投标只允许填报一个“折扣率”，不允许填报两个（或以上）的“折扣率”；填报了两个或以上“折扣率”的，其投标将直接作投标无效处理； </w:t>
      </w:r>
    </w:p>
    <w:p w14:paraId="0E513D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“折扣率”缺填、漏填将直接作投标无效处理。</w:t>
      </w:r>
    </w:p>
    <w:p w14:paraId="0B9BEDA8">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被拖客车凭行驶证核定的座位数进行分类，被拖货车凭行驶证核定的核定载质量进行分类结算</w:t>
      </w:r>
      <w:r>
        <w:rPr>
          <w:rFonts w:hint="eastAsia" w:ascii="宋体" w:hAnsi="宋体" w:eastAsia="宋体" w:cs="宋体"/>
          <w:sz w:val="21"/>
          <w:szCs w:val="21"/>
          <w:highlight w:val="none"/>
        </w:rPr>
        <w:t>，对客车、货车以外无核定载质量的其它类型机动车，按行驶证（未注册登记按整车出厂合格证）核定的整备质量，参考货车结算标准进行结算。</w:t>
      </w:r>
      <w:r>
        <w:rPr>
          <w:rFonts w:hint="eastAsia" w:ascii="宋体" w:hAnsi="宋体" w:eastAsia="宋体" w:cs="宋体"/>
          <w:color w:val="000000" w:themeColor="text1"/>
          <w:sz w:val="21"/>
          <w:szCs w:val="21"/>
          <w:highlight w:val="none"/>
          <w14:textFill>
            <w14:solidFill>
              <w14:schemeClr w14:val="tx1"/>
            </w14:solidFill>
          </w14:textFill>
        </w:rPr>
        <w:t>如依据该规则，仍无法归类计费档次，按照“7座以下（含7座）客车、2吨（含2吨）以下货车及四轮（含四轮）以上载人电瓶车”档次计算费用。</w:t>
      </w:r>
    </w:p>
    <w:p w14:paraId="5EA2007A">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36FEA2D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拖吊非采购人派单的其他交通事故车辆、故障车辆及车辆抢修服务等费用，由中标人参照行业收费标准自行与当事人协商收取服务费用。</w:t>
      </w:r>
    </w:p>
    <w:p w14:paraId="53B7FE3D">
      <w:pPr>
        <w:keepNext w:val="0"/>
        <w:keepLines w:val="0"/>
        <w:pageBreakBefore w:val="0"/>
        <w:widowControl w:val="0"/>
        <w:numPr>
          <w:ilvl w:val="-1"/>
          <w:numId w:val="0"/>
        </w:numPr>
        <w:tabs>
          <w:tab w:val="left" w:pos="840"/>
        </w:tabs>
        <w:kinsoku/>
        <w:wordWrap w:val="0"/>
        <w:overflowPunct/>
        <w:topLinePunct w:val="0"/>
        <w:autoSpaceDE/>
        <w:autoSpaceDN/>
        <w:bidi w:val="0"/>
        <w:adjustRightInd/>
        <w:snapToGrid/>
        <w:spacing w:line="240" w:lineRule="auto"/>
        <w:ind w:left="0"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拖吊的汽车含客车、货车等各类型汽车。</w:t>
      </w:r>
    </w:p>
    <w:p w14:paraId="4F348BB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高速公路被拖车辆的过路费由当事人支付（计算终点为扣留车辆现场下游最近出口），拖车自身的过路费由中标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承担（包含在拖吊费用内，不再另外支付）。</w:t>
      </w:r>
    </w:p>
    <w:p w14:paraId="59F29DC8">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拖吊车服务按实际情况派单，中标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根据现场交警指示将车辆拖吊至队部、称重点、治超点或指定地点进行调查取证的，中标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应予以满足，并在完成调查取证后，再将车辆拖吊至指定的停车场仅算一次费用，相关费用不得重复收取。</w:t>
      </w:r>
    </w:p>
    <w:p w14:paraId="6093F46B">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（8）交通大队及各大队服务范围原则上是深圳市内,服务范围是深圳市以外地区的,不分车型在深圳市范围以外按车次加收10元/1公里。</w:t>
      </w:r>
    </w:p>
    <w:p w14:paraId="3F12558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（9）交通大队及各大队涉及全市（包括深汕合作区）各场地车辆转场的，每台作业车报价参照普通公路、城市道路交通违法车辆标准。</w:t>
      </w:r>
    </w:p>
    <w:p w14:paraId="7F834861">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交通保障服务的</w:t>
      </w:r>
      <w:r>
        <w:rPr>
          <w:rFonts w:hint="eastAsia" w:ascii="宋体" w:hAnsi="宋体" w:eastAsia="宋体" w:cs="宋体"/>
          <w:sz w:val="21"/>
          <w:szCs w:val="21"/>
          <w:highlight w:val="none"/>
          <w:lang w:eastAsia="zh-CN"/>
        </w:rPr>
        <w:t>价格</w:t>
      </w:r>
    </w:p>
    <w:p w14:paraId="749D0CC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值守不分车型，包括所有类型、吨位的拖车和吊车。按每台拯救车每参加1小时的备勤（含常态化高峰期备勤、特殊勤务保障工作备勤、交通整治备勤、突发事件处置备勤等）进行报价。</w:t>
      </w:r>
    </w:p>
    <w:p w14:paraId="45D63961">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参加集中整治的拯救车如在行动中没有拖吊车辆的，参照交通保障服务的报价计算及支付服务费。</w:t>
      </w:r>
    </w:p>
    <w:p w14:paraId="15241EF4">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其他清障工作的</w:t>
      </w:r>
      <w:r>
        <w:rPr>
          <w:rFonts w:hint="eastAsia" w:ascii="宋体" w:hAnsi="宋体" w:eastAsia="宋体" w:cs="宋体"/>
          <w:sz w:val="21"/>
          <w:szCs w:val="21"/>
          <w:highlight w:val="none"/>
          <w:lang w:eastAsia="zh-CN"/>
        </w:rPr>
        <w:t>价格</w:t>
      </w:r>
    </w:p>
    <w:p w14:paraId="4AB194A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从事采购人指定的其他清障工作（如拖移非入涉案停车场的车辆、紧急情况下清理路面的绿化、余泥、垃圾等），以出车车次计算，普通公路、城市道路其他清障工作</w:t>
      </w:r>
      <w:r>
        <w:rPr>
          <w:rFonts w:hint="eastAsia" w:ascii="宋体" w:hAnsi="宋体" w:cs="宋体"/>
          <w:sz w:val="21"/>
          <w:szCs w:val="21"/>
          <w:highlight w:val="none"/>
          <w:lang w:eastAsia="zh-CN"/>
        </w:rPr>
        <w:t>。</w:t>
      </w:r>
    </w:p>
    <w:p w14:paraId="7476683D">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空驶的价格</w:t>
      </w:r>
    </w:p>
    <w:p w14:paraId="7F0EE8BE">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发出吊车</w:t>
      </w:r>
      <w:r>
        <w:rPr>
          <w:rFonts w:hint="eastAsia" w:ascii="宋体" w:hAnsi="宋体" w:eastAsia="宋体" w:cs="宋体"/>
          <w:sz w:val="21"/>
          <w:szCs w:val="21"/>
          <w:highlight w:val="none"/>
          <w:lang w:eastAsia="zh-CN"/>
        </w:rPr>
        <w:t>作业</w:t>
      </w:r>
      <w:r>
        <w:rPr>
          <w:rFonts w:hint="eastAsia" w:ascii="宋体" w:hAnsi="宋体" w:eastAsia="宋体" w:cs="宋体"/>
          <w:sz w:val="21"/>
          <w:szCs w:val="21"/>
          <w:highlight w:val="none"/>
        </w:rPr>
        <w:t>和</w:t>
      </w:r>
      <w:r>
        <w:rPr>
          <w:rFonts w:hint="eastAsia" w:ascii="宋体" w:hAnsi="宋体" w:eastAsia="宋体" w:cs="宋体"/>
          <w:sz w:val="21"/>
          <w:szCs w:val="21"/>
          <w:highlight w:val="none"/>
          <w:lang w:eastAsia="zh-CN"/>
        </w:rPr>
        <w:t>其他清障工作</w:t>
      </w:r>
      <w:r>
        <w:rPr>
          <w:rFonts w:hint="eastAsia" w:ascii="宋体" w:hAnsi="宋体" w:eastAsia="宋体" w:cs="宋体"/>
          <w:sz w:val="21"/>
          <w:szCs w:val="21"/>
          <w:highlight w:val="none"/>
        </w:rPr>
        <w:t>指令，中标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已按采购人要求出动拖吊车并已行驶2公里以上（提供</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轨迹作为依据），后采购人取消指令的，称为空驶。空驶以中标价的100%分车型按次支付。</w:t>
      </w:r>
    </w:p>
    <w:p w14:paraId="36580D72">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（13）拖车巡逻价格</w:t>
      </w:r>
    </w:p>
    <w:p w14:paraId="07F3C74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采购人对中标供应商按实际需求进行拖车巡逻派单，中标供应商巡逻班次按采购人的派单计费，1台车巡逻8小时为一个班次（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w:t>
      </w:r>
    </w:p>
    <w:p w14:paraId="477EEBAB">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（14）叉车价格</w:t>
      </w:r>
    </w:p>
    <w:p w14:paraId="03976224">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①采购人对中标供应商按实际需求进行叉车派单，中标供应商的叉车按单次进行计费。</w:t>
      </w:r>
    </w:p>
    <w:p w14:paraId="7759F4B7">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default"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②叉车派出为首次的作业价格，首次作业单价按中标价格进行支付。后续因工作衔接需要延续服务</w:t>
      </w:r>
      <w:r>
        <w:rPr>
          <w:rFonts w:hint="eastAsia" w:ascii="宋体" w:hAnsi="宋体" w:eastAsia="宋体" w:cs="宋体"/>
          <w:b w:val="0"/>
          <w:bCs w:val="0"/>
          <w:kern w:val="2"/>
          <w:sz w:val="21"/>
          <w:szCs w:val="21"/>
          <w:highlight w:val="none"/>
          <w:lang w:val="en-US" w:eastAsia="zh-CN" w:bidi="ar-SA"/>
        </w:rPr>
        <w:t>按实际作业车次进行收费。以小车为基准，</w:t>
      </w:r>
      <w:r>
        <w:rPr>
          <w:rFonts w:hint="eastAsia" w:ascii="宋体" w:hAnsi="宋体" w:eastAsia="宋体" w:cs="宋体"/>
          <w:b/>
          <w:bCs/>
          <w:kern w:val="2"/>
          <w:sz w:val="21"/>
          <w:szCs w:val="21"/>
          <w:highlight w:val="none"/>
          <w:lang w:val="en-US" w:eastAsia="zh-CN" w:bidi="ar-SA"/>
        </w:rPr>
        <w:t>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p>
    <w:p w14:paraId="02AD4C3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投标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报价</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综合考虑各片区实际拖车距离。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4D39CB0F">
      <w:pPr>
        <w:keepNext w:val="0"/>
        <w:keepLines w:val="0"/>
        <w:pageBreakBefore w:val="0"/>
        <w:tabs>
          <w:tab w:val="left" w:pos="840"/>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付款方式：</w:t>
      </w:r>
    </w:p>
    <w:p w14:paraId="1E59625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拖吊费按交警部门的派单计费。</w:t>
      </w:r>
    </w:p>
    <w:p w14:paraId="1D8D485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由采购人按拖吊数量*拖吊基准价*中标折扣率进行结算</w:t>
      </w:r>
      <w:r>
        <w:rPr>
          <w:rFonts w:hint="eastAsia" w:ascii="宋体" w:hAnsi="宋体" w:eastAsia="宋体" w:cs="宋体"/>
          <w:sz w:val="21"/>
          <w:szCs w:val="21"/>
          <w:highlight w:val="none"/>
        </w:rPr>
        <w:t>，由财政负责支付，中标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不得向当事人收取费用。</w:t>
      </w:r>
    </w:p>
    <w:p w14:paraId="41A90A32">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拖吊非采购人派单的其他交通事故车辆、故障车辆及车辆抢修服务等费用计费。</w:t>
      </w:r>
    </w:p>
    <w:p w14:paraId="43DBD2F6">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拖吊其他交通事故、故障车辆及车辆抢修服务等，由中标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自行与当事人协商收取服务费用。</w:t>
      </w:r>
    </w:p>
    <w:p w14:paraId="3BC6EDCE">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针对交警部门不需要扣留查验取证的交通事故车辆，妨碍交通的，中标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 xml:space="preserve">不得强行拖移该车辆。 </w:t>
      </w:r>
    </w:p>
    <w:p w14:paraId="16333041">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③</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不得杜撰服务项目进行收费。</w:t>
      </w:r>
    </w:p>
    <w:p w14:paraId="1E9DA4D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交通保障服务计费。</w:t>
      </w:r>
    </w:p>
    <w:p w14:paraId="6720D7C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交通保障服务按小时计算（不足半小时以0.5小时计算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超过0.5小时不足1小时按1小时计算</w:t>
      </w:r>
      <w:r>
        <w:rPr>
          <w:rFonts w:hint="eastAsia" w:ascii="宋体" w:hAnsi="宋体" w:eastAsia="宋体" w:cs="宋体"/>
          <w:sz w:val="21"/>
          <w:szCs w:val="21"/>
          <w:highlight w:val="none"/>
        </w:rPr>
        <w:t>），以拖车按采购人要求到达指定地点为开始时间，以收到采购人通知结束指令为止。具体以中标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单价及经采购人审核确定的服务时间进行核算。</w:t>
      </w:r>
    </w:p>
    <w:p w14:paraId="0D752ED4">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在提供应急保障准备期间由交警指派实施的拖吊车作业，服务费用另行计算。</w:t>
      </w:r>
      <w:r>
        <w:rPr>
          <w:rFonts w:hint="eastAsia" w:ascii="宋体" w:hAnsi="宋体" w:eastAsia="宋体" w:cs="宋体"/>
          <w:sz w:val="21"/>
          <w:szCs w:val="21"/>
          <w:highlight w:val="none"/>
          <w:lang w:val="en-US" w:eastAsia="zh-CN"/>
        </w:rPr>
        <w:t>如备勤期间按采购人指令进行拖吊作业的，需核减相应的备勤时间。</w:t>
      </w:r>
    </w:p>
    <w:p w14:paraId="4C933DE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其他清障服务计费。</w:t>
      </w:r>
    </w:p>
    <w:p w14:paraId="77B8F50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其他清障服务费用按车次计算支付，具体以中标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单价及经采购人审核确定的服务次数进行核算。</w:t>
      </w:r>
    </w:p>
    <w:p w14:paraId="1DB9FE90">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（5）拖车巡逻计费</w:t>
      </w:r>
    </w:p>
    <w:p w14:paraId="7AE935D2">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w:t>
      </w:r>
      <w:r>
        <w:rPr>
          <w:rFonts w:hint="eastAsia" w:ascii="宋体" w:hAnsi="宋体" w:eastAsia="宋体" w:cs="宋体"/>
          <w:sz w:val="21"/>
          <w:szCs w:val="21"/>
          <w:highlight w:val="none"/>
          <w:lang w:eastAsia="zh-CN"/>
        </w:rPr>
        <w:t>班次</w:t>
      </w:r>
      <w:r>
        <w:rPr>
          <w:rFonts w:hint="eastAsia" w:ascii="宋体" w:hAnsi="宋体" w:eastAsia="宋体" w:cs="宋体"/>
          <w:sz w:val="21"/>
          <w:szCs w:val="21"/>
          <w:highlight w:val="none"/>
        </w:rPr>
        <w:t>进行核算。</w:t>
      </w:r>
    </w:p>
    <w:p w14:paraId="658F0C38">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空驶计费。</w:t>
      </w:r>
    </w:p>
    <w:p w14:paraId="45C057CA">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发出清障指令，中标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已按采购人要求出动拖车并已行驶2公里</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以上，后采购人取消指令的，称为空驶。每一宗空驶费用结算均需提供对应的</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w:t>
      </w:r>
    </w:p>
    <w:p w14:paraId="7DDD4DCF">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除合同中规定的拖吊车</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清障作业</w:t>
      </w:r>
      <w:r>
        <w:rPr>
          <w:rFonts w:hint="eastAsia" w:ascii="宋体" w:hAnsi="宋体" w:eastAsia="宋体" w:cs="宋体"/>
          <w:sz w:val="21"/>
          <w:szCs w:val="21"/>
          <w:highlight w:val="none"/>
          <w:lang w:eastAsia="zh-CN"/>
        </w:rPr>
        <w:t>、交通保障、拖车巡逻、叉车</w:t>
      </w:r>
      <w:r>
        <w:rPr>
          <w:rFonts w:hint="eastAsia" w:ascii="宋体" w:hAnsi="宋体" w:eastAsia="宋体" w:cs="宋体"/>
          <w:sz w:val="21"/>
          <w:szCs w:val="21"/>
          <w:highlight w:val="none"/>
        </w:rPr>
        <w:t>费用外，采购人不再向中标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额外支付任何费用；中标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自行购置清障工作所需的各种设备，以及负责人工费用和各项开支。</w:t>
      </w:r>
    </w:p>
    <w:p w14:paraId="3CC81DD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支付程序。</w:t>
      </w:r>
    </w:p>
    <w:p w14:paraId="43F9CF5D">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按照中标折扣率*各类服务基准价*实际服务工作量进行结算。</w:t>
      </w:r>
    </w:p>
    <w:p w14:paraId="1C08882A">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服务费用按月结算及支付，由采购方所属部门完成支付。双方核对汇总，由供应商向采购人提供完整的结算资料之日起5个工作日内办完确认手续。因供应商提供资料不全导致延误的，则采购人相应顺延办理确认手续。采购人每次付款前，供应商应按照采购人要求给付等额合法的增值税发票，若因供应商原</w:t>
      </w:r>
      <w:r>
        <w:rPr>
          <w:rFonts w:hint="eastAsia" w:ascii="宋体" w:hAnsi="宋体" w:eastAsia="宋体" w:cs="宋体"/>
          <w:b w:val="0"/>
          <w:bCs w:val="0"/>
          <w:kern w:val="0"/>
          <w:sz w:val="21"/>
          <w:szCs w:val="21"/>
          <w:highlight w:val="none"/>
          <w:lang w:val="en-US" w:eastAsia="zh-CN" w:bidi="ar-SA"/>
        </w:rPr>
        <w:t>因迟延给付的，采购人的付款期限相应顺延。采购人向财政部门申请向中标人付款即视为履行付款义务。如遇财政部门拨款延迟、财政审批流程等非采购人原因导致的迟延付款，不视为采购人违约，中标人不得追究采购人的违约责任并以此拒绝履行合同义务。</w:t>
      </w:r>
    </w:p>
    <w:p w14:paraId="1565DED8">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（四）违约责任：</w:t>
      </w:r>
    </w:p>
    <w:p w14:paraId="5BAEB092">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由于中标供应商违约导致采购人提前解除合同的，采购人还有权要求中标供应商偿付合同总价5%的违约金，该违约金直接从中标供应商已缴纳的履约保证金中全额扣除；若履约保证金不足覆盖违约金及弥补采购人所受损失的，中标供应商应按照采购人实际损失承担赔偿责任。</w:t>
      </w:r>
    </w:p>
    <w:p w14:paraId="1176BA9A">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（2）中标供应商需严格按照有关标准向当事人收取交通事故、故障车辆的服务费用，服务期内累计收到3次以上有效投诉，采购人有权解除中标供应商的合同。</w:t>
      </w:r>
    </w:p>
    <w:p w14:paraId="3BFC85A3">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（3）采购人应按照合同规定办理服务费用的支付手续。</w:t>
      </w:r>
    </w:p>
    <w:p w14:paraId="1CE0F366">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合同履约期间，中标供应商不得杜撰服务项目进行收费、不得提供虚假报账材料。否则采购人每发现一次，中标供应商应向采购人支付当月项目结算总额的20%作为违约金，并在每月应付款项中予以扣除。情节严重的，采购人有权单方解除项目合同，并要求中标供应商承担相应的赔偿责任。</w:t>
      </w:r>
    </w:p>
    <w:p w14:paraId="0B796701">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中标供应商若出现违约行为，给采购人造成损失的，若违约金不足以赔偿甲方因此遭受的损失，中标供应商应予以补足；采购人因处理中标供应商违约而产生的合理维权费用（包括但不仅限于律师费、诉讼费、鉴定费、保全费等）均由中标供应商承担。</w:t>
      </w:r>
    </w:p>
    <w:p w14:paraId="6A938247">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当实际发生金额即将达到预算上限时，中标供应商应在3个工作日内书面告知采购人，由双方协商后续履约安排。若实际发生金额累计超过中标金额且未获得采购人书面同意的，本合同自金额超出之日起自动终止，由此产生的一切损失由中标供应商承担。</w:t>
      </w:r>
    </w:p>
    <w:p w14:paraId="553C0FF2">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（7）中标供应商泄露工作秘密、现场照片、视频、数据等信息，造成严重舆情影响以及信访投诉等情形，采购人有权单方解除合同、没收履约保证金，并追究相应法律责任及全部损失。</w:t>
      </w:r>
    </w:p>
    <w:p w14:paraId="29CF9610">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中标供应商有下列行为之一的，经查实，</w:t>
      </w:r>
      <w:r>
        <w:rPr>
          <w:rFonts w:hint="eastAsia" w:ascii="宋体" w:hAnsi="宋体" w:eastAsia="宋体" w:cs="宋体"/>
          <w:color w:val="auto"/>
          <w:sz w:val="21"/>
          <w:szCs w:val="21"/>
          <w:highlight w:val="none"/>
          <w:lang w:val="en-US" w:eastAsia="zh-CN"/>
        </w:rPr>
        <w:t>视为严重违约，采购人有权扣除履约保证金，暂停付款、限期整改；情节严重或累计三次以上的，采购人有权单方解除合同、没收履约保证金，并追究由此造成的全部损失。</w:t>
      </w:r>
    </w:p>
    <w:p w14:paraId="4EAE6506">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①未按要求配备车辆、人员；</w:t>
      </w:r>
    </w:p>
    <w:p w14:paraId="7ED8DEF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②提供车辆不合格、证照不齐、保险无效；</w:t>
      </w:r>
    </w:p>
    <w:p w14:paraId="616C4C9A">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③擅自减少车辆、更换低于约定吨位的车辆；</w:t>
      </w:r>
    </w:p>
    <w:p w14:paraId="31CC8BC7">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④未按要求备勤、擅自撤勤、不执行调度指令；</w:t>
      </w:r>
    </w:p>
    <w:p w14:paraId="1B502F6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⑤无正当理由拒绝执行派单、拒不出车、拖延处置。</w:t>
      </w:r>
    </w:p>
    <w:p w14:paraId="61863070">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（五）其他：</w:t>
      </w:r>
    </w:p>
    <w:p w14:paraId="68C82FE5">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（1）中标供应商应自行按照相关规定与司机签订劳动合同，支付司机人员工资报酬，并为其购买社保以及人身意外商业保险。</w:t>
      </w:r>
    </w:p>
    <w:p w14:paraId="37FB528D">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中标供应商的作业车辆需购买车辆保险（交强险及商业险），中标供应商的作业车辆在作业过程中如发生意外，由中标供应商负责处理并承担责任。赔偿事宜按国家有关规定及有关保险条例执行；若因此造成采购人工作人员人身伤害，中标供应商需承担赔偿责任。</w:t>
      </w:r>
      <w:bookmarkStart w:id="38" w:name="_Hlk81608550"/>
    </w:p>
    <w:p w14:paraId="300A567E">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为加强中标供应商的管理，提高中标供应商质量，鼓励优秀供应商，淘汰不良供应商，对中标供应商的服务质量和履约情况进行管理。</w:t>
      </w:r>
    </w:p>
    <w:p w14:paraId="406B09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中标供应商有下列行为之一的，经查实，依法取消其中标供应商资格：</w:t>
      </w:r>
    </w:p>
    <w:p w14:paraId="5A4714E7">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弄虚作假、隐瞒真实情况骗取中标供应商资格的；</w:t>
      </w:r>
    </w:p>
    <w:p w14:paraId="3B889BA8">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因行贿、受贿、串通投标、转包、挂靠受到有关政府部门处罚的；</w:t>
      </w:r>
    </w:p>
    <w:p w14:paraId="17E9ECC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恶意质疑投诉的；</w:t>
      </w:r>
    </w:p>
    <w:p w14:paraId="7EAD8211">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造成严重后果或恶劣影响的行为；</w:t>
      </w:r>
    </w:p>
    <w:p w14:paraId="6E3ED2A9">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⑤</w:t>
      </w:r>
      <w:r>
        <w:rPr>
          <w:rFonts w:hint="eastAsia" w:ascii="宋体" w:hAnsi="宋体" w:eastAsia="宋体" w:cs="宋体"/>
          <w:color w:val="auto"/>
          <w:sz w:val="21"/>
          <w:szCs w:val="21"/>
          <w:highlight w:val="none"/>
        </w:rPr>
        <w:t>有商业贿赂行为的；</w:t>
      </w:r>
    </w:p>
    <w:p w14:paraId="7029CBC6">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⑥</w:t>
      </w:r>
      <w:r>
        <w:rPr>
          <w:rFonts w:hint="eastAsia" w:ascii="宋体" w:hAnsi="宋体" w:eastAsia="宋体" w:cs="宋体"/>
          <w:color w:val="auto"/>
          <w:sz w:val="21"/>
          <w:szCs w:val="21"/>
          <w:highlight w:val="none"/>
        </w:rPr>
        <w:t>其他违反法律、法规和协议规定的行为。</w:t>
      </w:r>
    </w:p>
    <w:p w14:paraId="1D1C36FF">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)服务供应商在合同执行期间有下列行为之一的，采购单位有权依法解除服务合同：</w:t>
      </w:r>
    </w:p>
    <w:p w14:paraId="720339EC">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选定后无正当理由不与采购单位签订合同的；</w:t>
      </w:r>
    </w:p>
    <w:p w14:paraId="3A3D65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擅自变更或者中止采购服务合同的；</w:t>
      </w:r>
    </w:p>
    <w:p w14:paraId="793BB2A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经采购单位</w:t>
      </w:r>
      <w:r>
        <w:rPr>
          <w:rFonts w:hint="eastAsia" w:ascii="宋体" w:hAnsi="宋体" w:eastAsia="宋体" w:cs="宋体"/>
          <w:color w:val="auto"/>
          <w:sz w:val="21"/>
          <w:szCs w:val="21"/>
          <w:highlight w:val="none"/>
          <w:lang w:eastAsia="zh-CN"/>
        </w:rPr>
        <w:t>具体使用部门</w:t>
      </w:r>
      <w:r>
        <w:rPr>
          <w:rFonts w:hint="eastAsia" w:ascii="宋体" w:hAnsi="宋体" w:eastAsia="宋体" w:cs="宋体"/>
          <w:color w:val="auto"/>
          <w:sz w:val="21"/>
          <w:szCs w:val="21"/>
          <w:highlight w:val="none"/>
        </w:rPr>
        <w:t>《月度考核评</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表》进行打分，根据得分情况</w:t>
      </w:r>
      <w:r>
        <w:rPr>
          <w:rFonts w:hint="eastAsia" w:ascii="宋体" w:hAnsi="宋体" w:eastAsia="宋体" w:cs="宋体"/>
          <w:color w:val="auto"/>
          <w:sz w:val="21"/>
          <w:szCs w:val="21"/>
          <w:highlight w:val="none"/>
          <w:lang w:eastAsia="zh-CN"/>
        </w:rPr>
        <w:t>（连续两个月</w:t>
      </w:r>
      <w:r>
        <w:rPr>
          <w:rFonts w:hint="eastAsia" w:ascii="宋体" w:hAnsi="宋体" w:eastAsia="宋体" w:cs="宋体"/>
          <w:color w:val="auto"/>
          <w:sz w:val="21"/>
          <w:szCs w:val="21"/>
          <w:highlight w:val="none"/>
        </w:rPr>
        <w:t>月度得分低于60分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进行淘汰：</w:t>
      </w:r>
    </w:p>
    <w:p w14:paraId="033A7E6A">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违背《政府采购投标及履约承诺函》承诺事项的。</w:t>
      </w:r>
    </w:p>
    <w:p w14:paraId="2CEC466E">
      <w:pPr>
        <w:keepNext w:val="0"/>
        <w:keepLines w:val="0"/>
        <w:pageBreakBefore w:val="0"/>
        <w:widowControl/>
        <w:kinsoku/>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服务期内</w:t>
      </w:r>
      <w:r>
        <w:rPr>
          <w:rFonts w:hint="eastAsia" w:ascii="宋体" w:hAnsi="宋体" w:eastAsia="宋体" w:cs="宋体"/>
          <w:color w:val="auto"/>
          <w:sz w:val="21"/>
          <w:szCs w:val="21"/>
          <w:highlight w:val="none"/>
          <w:lang w:eastAsia="zh-CN"/>
        </w:rPr>
        <w:t>，若</w:t>
      </w:r>
      <w:r>
        <w:rPr>
          <w:rFonts w:hint="eastAsia" w:ascii="宋体" w:hAnsi="宋体" w:eastAsia="宋体" w:cs="宋体"/>
          <w:color w:val="auto"/>
          <w:sz w:val="21"/>
          <w:szCs w:val="21"/>
          <w:highlight w:val="none"/>
        </w:rPr>
        <w:t>其他片区供应商被取消资格</w:t>
      </w:r>
      <w:r>
        <w:rPr>
          <w:rFonts w:hint="eastAsia" w:ascii="宋体" w:hAnsi="宋体" w:eastAsia="宋体" w:cs="宋体"/>
          <w:color w:val="auto"/>
          <w:sz w:val="21"/>
          <w:szCs w:val="21"/>
          <w:highlight w:val="none"/>
          <w:lang w:eastAsia="zh-CN"/>
        </w:rPr>
        <w:t>或无法履约</w:t>
      </w:r>
      <w:r>
        <w:rPr>
          <w:rFonts w:hint="eastAsia" w:ascii="宋体" w:hAnsi="宋体" w:eastAsia="宋体" w:cs="宋体"/>
          <w:color w:val="auto"/>
          <w:sz w:val="21"/>
          <w:szCs w:val="21"/>
          <w:highlight w:val="none"/>
        </w:rPr>
        <w:t>，在新的供应商</w:t>
      </w:r>
      <w:r>
        <w:rPr>
          <w:rFonts w:hint="eastAsia" w:ascii="宋体" w:hAnsi="宋体" w:eastAsia="宋体" w:cs="宋体"/>
          <w:color w:val="auto"/>
          <w:sz w:val="21"/>
          <w:szCs w:val="21"/>
          <w:highlight w:val="none"/>
          <w:lang w:eastAsia="zh-CN"/>
        </w:rPr>
        <w:t>确定之前，中标供应商应</w:t>
      </w:r>
      <w:r>
        <w:rPr>
          <w:rFonts w:hint="eastAsia" w:ascii="宋体" w:hAnsi="宋体" w:eastAsia="宋体" w:cs="宋体"/>
          <w:color w:val="auto"/>
          <w:sz w:val="21"/>
          <w:szCs w:val="21"/>
          <w:highlight w:val="none"/>
        </w:rPr>
        <w:t>配合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工作。</w:t>
      </w:r>
    </w:p>
    <w:bookmarkEnd w:id="38"/>
    <w:p w14:paraId="4E2649F3">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（六）履约验收</w:t>
      </w:r>
    </w:p>
    <w:p w14:paraId="5A106BAE">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1.验收主体。</w:t>
      </w:r>
    </w:p>
    <w:p w14:paraId="13FBE661">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本项目为集中采购项目，甲方（采购人）作为采购主体牵头组织履约验收工作，各实际使用单位参与配合验收工作。</w:t>
      </w:r>
    </w:p>
    <w:p w14:paraId="5E88D749">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2.验收时间。</w:t>
      </w:r>
    </w:p>
    <w:p w14:paraId="6E55831B">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（1）阶段行验收：甲方（采购人）根据项目开展进度及实际情况不定期开展，验收对应周期内乙方（供应商）已履行的服务。</w:t>
      </w:r>
    </w:p>
    <w:p w14:paraId="53DA7DE4">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（2）整体验收：合同履约期限届满后2个月内开展，验收合同服务期内乙方（（供应商）已履行的服务。</w:t>
      </w:r>
    </w:p>
    <w:p w14:paraId="56D1041F">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3.验收方式和依据</w:t>
      </w:r>
    </w:p>
    <w:p w14:paraId="6193C176">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（1）验收方式：采取资料审核、数据核验等方式开展，对照项目约定条款及招标文件实质性要求，核查乙方（供应商）履约情况。</w:t>
      </w:r>
    </w:p>
    <w:p w14:paraId="7830E2B3">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（2）验收依据：《深圳经济特区政府采购条例》、《深圳经济特区政府采购条例实施细则》、本项目招标/采购文件、乙方（供应商）投标/应答文件、项目合同、月度考核评分表。</w:t>
      </w:r>
    </w:p>
    <w:p w14:paraId="1ADFDD9C">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4.验收对象与内容</w:t>
      </w:r>
    </w:p>
    <w:p w14:paraId="2F93F029">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（1）验收对象：阶段性验收为对应月度内乙方（供应商）提供的拖吊车、清障、交通保障、巡逻等全部服务事项；整体验收为XXXX年XX月XX日至XXXX年XX月XX日合同期内乙方（供应商）全部履约服务内容。</w:t>
      </w:r>
    </w:p>
    <w:p w14:paraId="742BB59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（2）验收内容：核查服务质量，服务进度，人员、设备配备情况，行业、安全标准，是否存在合同转包，是否存在未经采购人允许的合同分包，是否存在以次充好情形7个方面内容。</w:t>
      </w:r>
    </w:p>
    <w:p w14:paraId="7CEEDCC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5.验收标准</w:t>
      </w:r>
    </w:p>
    <w:p w14:paraId="77648CF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（1）服务质量：24小时响应程度、现场到位时效、作业流程合规性、事故清理质量等。按优秀/合格/不合格进行评定；</w:t>
      </w:r>
    </w:p>
    <w:p w14:paraId="45AF1A8F">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（2）服务进度：各类拖吊车服务按甲方（采购人）指令及时完成情况，按优秀/按时/不按时评定；</w:t>
      </w:r>
    </w:p>
    <w:p w14:paraId="4ADD640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（3）人员、设备配备情况：作业人员配置情况、人员资质有效性、相关培训记录情况，拖吊车数量、类型、吨位匹配度，车辆证照/保险有效性等情况，按优秀/合格/不合格进行评定；</w:t>
      </w:r>
    </w:p>
    <w:p w14:paraId="7B00071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（4）行业及安全标准：严格遵守车辆救援服务标准和操作规程规范要求情况，按优秀/合格/不合格进行评定；</w:t>
      </w:r>
    </w:p>
    <w:p w14:paraId="1CBBB52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（5）合同转包情况：是否存在合同转包情况，按是/否判定；</w:t>
      </w:r>
    </w:p>
    <w:p w14:paraId="69BABA8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（6）合同分包情况：是否存在未经采购人允许的合同分包情况，按是/否判定；</w:t>
      </w:r>
    </w:p>
    <w:p w14:paraId="15D7D7A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（7）是否存在以次充好情形：投入项目的人员和设备、提供的服务是否与投标/合同承诺一致，按是/否判定。</w:t>
      </w:r>
    </w:p>
    <w:p w14:paraId="247B297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6.验收程序</w:t>
      </w:r>
    </w:p>
    <w:p w14:paraId="585D218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（1）乙方（供应商）及甲方实际使用部门在验收周期结束后15个工作日内，向甲方（采购人）提交履约验收相关资料；</w:t>
      </w:r>
    </w:p>
    <w:p w14:paraId="4A178017">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（2）甲方收到资料后5个工作日内组织验收小组，确定验收时间及地点，开展验收工作；</w:t>
      </w:r>
    </w:p>
    <w:p w14:paraId="21EC593A">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（3）验收小组对照验收内容及标准，完成资料审核、数据核验等工作；</w:t>
      </w:r>
    </w:p>
    <w:p w14:paraId="7FEBD6B7">
      <w:pPr>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（4）验收小组根据验收情况综合评定验收结果，填写履约验收。</w:t>
      </w:r>
    </w:p>
    <w:p w14:paraId="3C8814AA">
      <w:pPr>
        <w:tabs>
          <w:tab w:val="left" w:pos="2138"/>
        </w:tabs>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七</w:t>
      </w:r>
      <w:r>
        <w:rPr>
          <w:rFonts w:hint="eastAsia" w:ascii="宋体" w:hAnsi="宋体" w:cs="宋体"/>
          <w:szCs w:val="21"/>
          <w:highlight w:val="none"/>
          <w:lang w:eastAsia="zh-CN"/>
        </w:rPr>
        <w:t>）</w:t>
      </w:r>
      <w:r>
        <w:rPr>
          <w:rFonts w:hint="eastAsia" w:ascii="宋体" w:hAnsi="宋体" w:cs="宋体"/>
          <w:szCs w:val="21"/>
          <w:highlight w:val="none"/>
          <w:lang w:val="en-US" w:eastAsia="zh-CN"/>
        </w:rPr>
        <w:t>争议的解决</w:t>
      </w:r>
    </w:p>
    <w:p w14:paraId="1C4E1C87">
      <w:pPr>
        <w:tabs>
          <w:tab w:val="left" w:pos="2138"/>
        </w:tabs>
        <w:spacing w:line="240" w:lineRule="auto"/>
        <w:ind w:firstLine="420" w:firstLineChars="200"/>
        <w:rPr>
          <w:rFonts w:hint="eastAsia" w:ascii="宋体" w:hAnsi="宋体" w:cs="宋体"/>
          <w:szCs w:val="21"/>
          <w:highlight w:val="none"/>
          <w:lang w:val="en-US" w:eastAsia="zh-CN"/>
        </w:rPr>
      </w:pPr>
      <w:r>
        <w:rPr>
          <w:rFonts w:hint="eastAsia" w:ascii="宋体" w:hAnsi="宋体" w:eastAsia="宋体" w:cs="宋体"/>
          <w:b w:val="0"/>
          <w:bCs w:val="0"/>
          <w:kern w:val="2"/>
          <w:sz w:val="21"/>
          <w:szCs w:val="21"/>
          <w:highlight w:val="none"/>
          <w:lang w:val="en-US" w:eastAsia="zh-CN" w:bidi="ar-SA"/>
        </w:rPr>
        <w:t>凡与合同有关的一切争议，双方应通过协商解决；如经协商或调解后仍不能达成协议时，双方同意向</w:t>
      </w:r>
      <w:r>
        <w:rPr>
          <w:rFonts w:hint="eastAsia" w:ascii="宋体" w:hAnsi="宋体" w:cs="宋体"/>
          <w:b w:val="0"/>
          <w:bCs w:val="0"/>
          <w:kern w:val="2"/>
          <w:sz w:val="21"/>
          <w:szCs w:val="21"/>
          <w:highlight w:val="none"/>
          <w:lang w:val="en-US" w:eastAsia="zh-CN" w:bidi="ar-SA"/>
        </w:rPr>
        <w:t>采购人</w:t>
      </w:r>
      <w:r>
        <w:rPr>
          <w:rFonts w:hint="eastAsia" w:ascii="宋体" w:hAnsi="宋体" w:eastAsia="宋体" w:cs="宋体"/>
          <w:b w:val="0"/>
          <w:bCs w:val="0"/>
          <w:kern w:val="2"/>
          <w:sz w:val="21"/>
          <w:szCs w:val="21"/>
          <w:highlight w:val="none"/>
          <w:lang w:val="en-US" w:eastAsia="zh-CN" w:bidi="ar-SA"/>
        </w:rPr>
        <w:t>所在地法院提出诉讼解决。</w:t>
      </w:r>
    </w:p>
    <w:p w14:paraId="1661AF85">
      <w:pPr>
        <w:pStyle w:val="2"/>
        <w:rPr>
          <w:rFonts w:hint="eastAsia"/>
        </w:rPr>
      </w:pPr>
    </w:p>
    <w:p w14:paraId="320F0A4A"/>
    <w:p w14:paraId="24C6C3D1">
      <w:pPr>
        <w:pStyle w:val="7"/>
        <w:spacing w:before="120" w:beforeLines="50" w:after="120" w:afterLines="50"/>
        <w:rPr>
          <w:szCs w:val="24"/>
        </w:rPr>
      </w:pPr>
      <w:r>
        <w:rPr>
          <w:rFonts w:hint="eastAsia"/>
          <w:szCs w:val="24"/>
          <w:lang w:val="en-US" w:eastAsia="zh-CN"/>
        </w:rPr>
        <w:t>七</w:t>
      </w:r>
      <w:r>
        <w:rPr>
          <w:rFonts w:hint="eastAsia"/>
          <w:szCs w:val="24"/>
        </w:rPr>
        <w:t>、其他重要条款</w:t>
      </w:r>
    </w:p>
    <w:p w14:paraId="05ED0D8F">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10B3B4CE">
      <w:pPr>
        <w:pStyle w:val="9"/>
        <w:ind w:firstLine="392" w:firstLineChars="187"/>
        <w:rPr>
          <w:rFonts w:asciiTheme="minorEastAsia" w:hAnsiTheme="minorEastAsia" w:eastAsiaTheme="minorEastAsia"/>
          <w:szCs w:val="21"/>
        </w:rPr>
      </w:pPr>
      <w:r>
        <w:rPr>
          <w:rFonts w:asciiTheme="minorEastAsia" w:hAnsiTheme="minorEastAsia" w:eastAsiaTheme="minorEastAsia"/>
          <w:bCs/>
          <w:szCs w:val="21"/>
        </w:rPr>
        <w:t>2.</w:t>
      </w:r>
      <w:r>
        <w:rPr>
          <w:rFonts w:hint="eastAsia" w:asciiTheme="minorEastAsia" w:hAnsiTheme="minorEastAsia" w:eastAsiaTheme="minorEastAsia"/>
          <w:bCs/>
          <w:szCs w:val="21"/>
        </w:rPr>
        <w:t>投标人应充分了解项目的位置、情况、道路及任何其它足以影响投标报价的情况，任何因忽视或误解项目情况而导致的索赔或服务期限延长申请将不获批准。</w:t>
      </w:r>
    </w:p>
    <w:p w14:paraId="33350984">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50FA045">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4.</w:t>
      </w:r>
      <w:r>
        <w:rPr>
          <w:rFonts w:hint="eastAsia" w:asciiTheme="minorEastAsia" w:hAnsiTheme="minorEastAsia" w:eastAsiaTheme="minorEastAsia"/>
          <w:bCs/>
          <w:szCs w:val="21"/>
        </w:rPr>
        <w:t>除政府采购合同继续履行将损害国家利益和社会公共利益外，双方当事人不得擅自变更、中止或者终止合同。</w:t>
      </w:r>
    </w:p>
    <w:p w14:paraId="6B8BBDBC">
      <w:pPr>
        <w:ind w:firstLine="420" w:firstLineChars="200"/>
        <w:rPr>
          <w:rFonts w:cs="Times New Roman" w:asciiTheme="minorEastAsia" w:hAnsiTheme="minorEastAsia" w:eastAsiaTheme="minorEastAsia"/>
          <w:bCs/>
          <w:szCs w:val="21"/>
        </w:rPr>
      </w:pPr>
      <w:r>
        <w:rPr>
          <w:rFonts w:hint="eastAsia" w:asciiTheme="minorEastAsia" w:hAnsiTheme="minorEastAsia" w:eastAsiaTheme="minorEastAsia"/>
          <w:bCs/>
          <w:szCs w:val="21"/>
        </w:rPr>
        <w:t>5</w:t>
      </w:r>
      <w:r>
        <w:rPr>
          <w:rFonts w:asciiTheme="minorEastAsia" w:hAnsiTheme="minorEastAsia" w:eastAsiaTheme="minorEastAsia"/>
          <w:bCs/>
          <w:szCs w:val="21"/>
        </w:rPr>
        <w:t>.</w:t>
      </w:r>
      <w:r>
        <w:rPr>
          <w:rFonts w:hint="eastAsia" w:asciiTheme="minorEastAsia" w:hAnsiTheme="minorEastAsia" w:eastAsiaTheme="minorEastAsia"/>
          <w:bCs/>
          <w:szCs w:val="21"/>
        </w:rPr>
        <w:t>信用中国”（www.creditchina.gov.cn，“信用服务”栏的“重大税收违法失信主体”“失信被执行人”），“中国政府采购网”（www.ccgp.gov.cn）中的“政府采购严重违法失信行为记录名单”，“深圳市政府采购监管网”（http://zfcg.sz.gov.cn），以及“深圳政府采购智慧</w:t>
      </w:r>
      <w:r>
        <w:rPr>
          <w:rFonts w:hint="eastAsia" w:cs="Times New Roman" w:asciiTheme="minorEastAsia" w:hAnsiTheme="minorEastAsia" w:eastAsiaTheme="minorEastAsia"/>
          <w:bCs/>
          <w:szCs w:val="21"/>
        </w:rPr>
        <w:t>平台信用库”中的严重违法失信信息为供应商信用信息的查询渠道，相关信息以开标当日的查询结果为准。</w:t>
      </w:r>
    </w:p>
    <w:p w14:paraId="3C2B520A">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6.本项目需求涉及的各项规范、标准，如国家和行业有最新的修改版或停用的，则按最新规定执行。</w:t>
      </w:r>
    </w:p>
    <w:p w14:paraId="46ADDA6F">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7.采购文件所要求的证书、资质等材料，如有有效期限制的，供应商所提供的资质、证书等材料均应处于有效期内，否则按无效材料处理。</w:t>
      </w:r>
    </w:p>
    <w:p w14:paraId="07B29147">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br w:type="page"/>
      </w:r>
    </w:p>
    <w:p w14:paraId="283831F1">
      <w:pPr>
        <w:pStyle w:val="7"/>
        <w:rPr>
          <w:sz w:val="28"/>
          <w:szCs w:val="28"/>
        </w:rPr>
      </w:pPr>
      <w:r>
        <w:rPr>
          <w:rFonts w:hint="eastAsia"/>
          <w:sz w:val="28"/>
          <w:szCs w:val="28"/>
        </w:rPr>
        <w:t>第四章 投标文件组成要求及格式</w:t>
      </w:r>
    </w:p>
    <w:p w14:paraId="2D198652">
      <w:pPr>
        <w:rPr>
          <w:rStyle w:val="56"/>
          <w:sz w:val="24"/>
        </w:rPr>
      </w:pPr>
      <w:r>
        <w:rPr>
          <w:rStyle w:val="56"/>
          <w:rFonts w:hint="eastAsia"/>
          <w:sz w:val="24"/>
        </w:rPr>
        <w:t>特别提醒：</w:t>
      </w:r>
    </w:p>
    <w:p w14:paraId="3EEE0425">
      <w:pPr>
        <w:ind w:firstLine="480" w:firstLineChars="200"/>
        <w:rPr>
          <w:rFonts w:ascii="仿宋_GB2312" w:eastAsia="仿宋_GB2312"/>
          <w:sz w:val="24"/>
        </w:rPr>
      </w:pPr>
      <w:r>
        <w:rPr>
          <w:rFonts w:hint="eastAsia" w:ascii="仿宋_GB2312" w:eastAsia="仿宋_GB2312"/>
          <w:sz w:val="24"/>
        </w:rPr>
        <w:t>中标（成交）供应商的投标文件正文将对外公开，投标文件附件不公开；未中标（成交）供应商的投标文件一律不公开。投标人在编辑投标文件时，在投标文件目录中属于本节点内容的必须在本节点中填写，填写到其他节点或附件的将可能导致投标无效，一切后果由供应商自行承担。</w:t>
      </w:r>
    </w:p>
    <w:p w14:paraId="75DD5DD1">
      <w:pPr>
        <w:ind w:firstLine="480" w:firstLineChars="200"/>
        <w:rPr>
          <w:rFonts w:ascii="仿宋_GB2312" w:eastAsia="仿宋_GB2312"/>
          <w:sz w:val="24"/>
        </w:rPr>
      </w:pPr>
      <w:r>
        <w:rPr>
          <w:rFonts w:hint="eastAsia" w:ascii="仿宋_GB2312" w:eastAsia="仿宋_GB2312"/>
          <w:sz w:val="24"/>
        </w:rPr>
        <w:t>投标文件正文（信息公开部分）必须编制于“正文（公开部分）”，投标文件附件（非信息公开部分）必须编制于“附件（不公开部分）”，如下图所示。</w:t>
      </w:r>
    </w:p>
    <w:p w14:paraId="377A4FC2">
      <w:pPr>
        <w:widowControl/>
        <w:jc w:val="left"/>
        <w:rPr>
          <w:rFonts w:ascii="宋体" w:hAnsi="宋体" w:cs="宋体"/>
          <w:kern w:val="0"/>
          <w:sz w:val="24"/>
        </w:rPr>
      </w:pPr>
      <w:r>
        <w:drawing>
          <wp:inline distT="0" distB="0" distL="114300" distR="114300">
            <wp:extent cx="5203190" cy="4043045"/>
            <wp:effectExtent l="0" t="0" r="8890" b="10795"/>
            <wp:docPr id="8" name="图片 1" descr="c66f322b8feee32c1a3f0d48f365c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66f322b8feee32c1a3f0d48f365c82"/>
                    <pic:cNvPicPr>
                      <a:picLocks noChangeAspect="1"/>
                    </pic:cNvPicPr>
                  </pic:nvPicPr>
                  <pic:blipFill>
                    <a:blip r:embed="rId7"/>
                    <a:stretch>
                      <a:fillRect/>
                    </a:stretch>
                  </pic:blipFill>
                  <pic:spPr>
                    <a:xfrm>
                      <a:off x="0" y="0"/>
                      <a:ext cx="5203190" cy="4043045"/>
                    </a:xfrm>
                    <a:prstGeom prst="rect">
                      <a:avLst/>
                    </a:prstGeom>
                  </pic:spPr>
                </pic:pic>
              </a:graphicData>
            </a:graphic>
          </wp:inline>
        </w:drawing>
      </w:r>
    </w:p>
    <w:p w14:paraId="04023E10">
      <w:pPr>
        <w:ind w:firstLine="480" w:firstLineChars="200"/>
        <w:rPr>
          <w:rFonts w:ascii="仿宋_GB2312" w:eastAsia="仿宋_GB2312"/>
          <w:sz w:val="24"/>
        </w:rPr>
      </w:pPr>
      <w:r>
        <w:rPr>
          <w:rFonts w:hint="eastAsia" w:ascii="仿宋_GB2312" w:eastAsia="仿宋_GB2312"/>
          <w:sz w:val="24"/>
        </w:rPr>
        <w:t>政府集中采购机构公布投标文件正文（信息公开部分）时为计算机截取信息自动公布，供应商登录深圳政府采购智慧平台后下载附件。</w:t>
      </w:r>
      <w:r>
        <w:rPr>
          <w:rFonts w:hint="eastAsia" w:ascii="仿宋_GB2312" w:eastAsia="仿宋_GB2312"/>
          <w:b/>
          <w:bCs/>
          <w:sz w:val="24"/>
        </w:rPr>
        <w:t>如投标人误将涉及个人隐私的信息放入投标文件正文，相关后果由投标人自负；</w:t>
      </w:r>
      <w:r>
        <w:rPr>
          <w:rFonts w:hint="eastAsia" w:ascii="仿宋_GB2312" w:eastAsia="仿宋_GB2312"/>
          <w:b/>
          <w:bCs/>
          <w:color w:val="FF0000"/>
          <w:sz w:val="24"/>
        </w:rPr>
        <w:t>如投标人将必须放于投标文件正文（信息公开部分）的内容放入投标文件附件（非信息公开部分），将作投标无效处理。</w:t>
      </w:r>
    </w:p>
    <w:p w14:paraId="727DC083">
      <w:pPr>
        <w:rPr>
          <w:rFonts w:ascii="仿宋_GB2312" w:eastAsia="仿宋_GB2312"/>
          <w:sz w:val="24"/>
        </w:rPr>
      </w:pPr>
      <w:r>
        <w:rPr>
          <w:rFonts w:ascii="仿宋_GB2312" w:eastAsia="仿宋_GB2312"/>
          <w:sz w:val="24"/>
        </w:rPr>
        <w:br w:type="page"/>
      </w:r>
    </w:p>
    <w:p w14:paraId="6C678A98">
      <w:pPr>
        <w:rPr>
          <w:rFonts w:ascii="黑体" w:hAnsi="黑体" w:eastAsia="黑体"/>
          <w:sz w:val="28"/>
        </w:rPr>
      </w:pPr>
      <w:r>
        <w:rPr>
          <w:rFonts w:hint="eastAsia" w:ascii="黑体" w:hAnsi="黑体" w:eastAsia="黑体"/>
          <w:sz w:val="28"/>
        </w:rPr>
        <w:t>投标文件组成：</w:t>
      </w:r>
    </w:p>
    <w:p w14:paraId="25434C66">
      <w:pPr>
        <w:ind w:firstLine="1200" w:firstLineChars="500"/>
        <w:outlineLvl w:val="0"/>
        <w:rPr>
          <w:rFonts w:ascii="宋体" w:hAnsi="宋体"/>
          <w:sz w:val="24"/>
        </w:rPr>
      </w:pPr>
      <w:r>
        <w:rPr>
          <w:rFonts w:hint="eastAsia" w:ascii="宋体" w:hAnsi="宋体"/>
          <w:sz w:val="24"/>
        </w:rPr>
        <w:t>1.投标文件正文</w:t>
      </w:r>
      <w:r>
        <w:rPr>
          <w:rFonts w:hint="eastAsia" w:ascii="宋体" w:hAnsi="宋体"/>
          <w:b/>
          <w:color w:val="FF0000"/>
          <w:sz w:val="24"/>
        </w:rPr>
        <w:t>（信息公开部分）</w:t>
      </w:r>
      <w:r>
        <w:rPr>
          <w:rFonts w:hint="eastAsia" w:ascii="宋体" w:hAnsi="宋体"/>
          <w:sz w:val="24"/>
        </w:rPr>
        <w:t>，主要包括以下内容：</w:t>
      </w:r>
    </w:p>
    <w:p w14:paraId="24E19AE8">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（1）</w:t>
      </w:r>
      <w:bookmarkStart w:id="39" w:name="_Hlk72070784"/>
      <w:r>
        <w:rPr>
          <w:rFonts w:hint="eastAsia" w:asciiTheme="minorEastAsia" w:hAnsiTheme="minorEastAsia" w:eastAsiaTheme="minorEastAsia"/>
          <w:szCs w:val="21"/>
        </w:rPr>
        <w:t>投标函</w:t>
      </w:r>
      <w:bookmarkEnd w:id="39"/>
    </w:p>
    <w:p w14:paraId="4F48720A">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（2）</w:t>
      </w:r>
      <w:bookmarkStart w:id="40" w:name="_Hlk72062521"/>
      <w:r>
        <w:rPr>
          <w:rFonts w:hint="eastAsia" w:asciiTheme="minorEastAsia" w:hAnsiTheme="minorEastAsia" w:eastAsiaTheme="minorEastAsia"/>
          <w:szCs w:val="21"/>
        </w:rPr>
        <w:t>政府采购投标及履约承诺函</w:t>
      </w:r>
      <w:bookmarkEnd w:id="40"/>
    </w:p>
    <w:p w14:paraId="5098351F">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）投标人情况及资格证明文件</w:t>
      </w:r>
    </w:p>
    <w:p w14:paraId="4D815A44">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r>
        <w:rPr>
          <w:rFonts w:hint="eastAsia" w:asciiTheme="minorEastAsia" w:hAnsiTheme="minorEastAsia" w:eastAsiaTheme="minorEastAsia"/>
          <w:szCs w:val="21"/>
          <w:highlight w:val="none"/>
        </w:rPr>
        <w:t>（格式自定）</w:t>
      </w:r>
    </w:p>
    <w:p w14:paraId="4FFEC9CC">
      <w:pPr>
        <w:ind w:left="718" w:leftChars="342" w:firstLine="1417" w:firstLineChars="675"/>
        <w:rPr>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5</w:t>
      </w:r>
      <w:r>
        <w:rPr>
          <w:rFonts w:hint="eastAsia" w:asciiTheme="minorEastAsia" w:hAnsiTheme="minorEastAsia" w:eastAsiaTheme="minorEastAsia"/>
          <w:szCs w:val="21"/>
          <w:highlight w:val="none"/>
        </w:rPr>
        <w:t>）服务网点</w:t>
      </w:r>
    </w:p>
    <w:p w14:paraId="141D1AE1">
      <w:pPr>
        <w:pStyle w:val="2"/>
        <w:rPr>
          <w:highlight w:val="none"/>
        </w:rPr>
      </w:pPr>
    </w:p>
    <w:p w14:paraId="35A5FF64">
      <w:pPr>
        <w:ind w:firstLine="1200" w:firstLineChars="500"/>
        <w:outlineLvl w:val="0"/>
        <w:rPr>
          <w:rFonts w:ascii="宋体" w:hAnsi="宋体"/>
          <w:sz w:val="24"/>
          <w:highlight w:val="none"/>
        </w:rPr>
      </w:pPr>
      <w:r>
        <w:rPr>
          <w:rFonts w:hint="eastAsia" w:ascii="宋体" w:hAnsi="宋体"/>
          <w:sz w:val="24"/>
          <w:highlight w:val="none"/>
        </w:rPr>
        <w:t>2.投标文件附件</w:t>
      </w:r>
      <w:r>
        <w:rPr>
          <w:rFonts w:hint="eastAsia" w:ascii="宋体" w:hAnsi="宋体"/>
          <w:b/>
          <w:color w:val="FF0000"/>
          <w:sz w:val="24"/>
          <w:highlight w:val="none"/>
        </w:rPr>
        <w:t>（信息不公开部分）</w:t>
      </w:r>
      <w:r>
        <w:rPr>
          <w:rFonts w:hint="eastAsia" w:ascii="宋体" w:hAnsi="宋体"/>
          <w:sz w:val="24"/>
          <w:highlight w:val="none"/>
        </w:rPr>
        <w:t>：主要包括以下内容：</w:t>
      </w:r>
    </w:p>
    <w:p w14:paraId="061D23E3">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（1）供应商基本情况表</w:t>
      </w:r>
    </w:p>
    <w:p w14:paraId="0EEF4B3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（2）法定代表人（负责人）证明书</w:t>
      </w:r>
    </w:p>
    <w:p w14:paraId="51C9BE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（3）投标文件签署授权委托书</w:t>
      </w:r>
    </w:p>
    <w:p w14:paraId="7775476B">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r>
        <w:rPr>
          <w:rFonts w:asciiTheme="minorEastAsia" w:hAnsiTheme="minorEastAsia" w:eastAsiaTheme="minorEastAsia"/>
          <w:szCs w:val="21"/>
          <w:highlight w:val="none"/>
        </w:rPr>
        <w:t>实质性条款响应情况表</w:t>
      </w:r>
    </w:p>
    <w:p w14:paraId="0F71DDEE">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（5）项目详细报价</w:t>
      </w:r>
    </w:p>
    <w:p w14:paraId="0DD8F3D3">
      <w:pPr>
        <w:ind w:left="718" w:leftChars="342" w:firstLine="1417" w:firstLineChars="675"/>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实施方案（格式自定）</w:t>
      </w:r>
    </w:p>
    <w:p w14:paraId="78D0A98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7</w:t>
      </w:r>
      <w:r>
        <w:rPr>
          <w:rFonts w:hint="eastAsia" w:asciiTheme="minorEastAsia" w:hAnsiTheme="minorEastAsia" w:eastAsiaTheme="minorEastAsia"/>
          <w:szCs w:val="21"/>
          <w:highlight w:val="none"/>
        </w:rPr>
        <w:t>）安全培训措施（格式自定）</w:t>
      </w:r>
    </w:p>
    <w:p w14:paraId="075B2CFD">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8</w:t>
      </w:r>
      <w:r>
        <w:rPr>
          <w:rFonts w:hint="eastAsia" w:asciiTheme="minorEastAsia" w:hAnsiTheme="minorEastAsia" w:eastAsiaTheme="minorEastAsia"/>
          <w:szCs w:val="21"/>
          <w:highlight w:val="none"/>
        </w:rPr>
        <w:t>）质量保障措施及方案（格式自定）</w:t>
      </w:r>
    </w:p>
    <w:p w14:paraId="10E38B52">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9</w:t>
      </w:r>
      <w:r>
        <w:rPr>
          <w:rFonts w:hint="eastAsia" w:asciiTheme="minorEastAsia" w:hAnsiTheme="minorEastAsia" w:eastAsiaTheme="minorEastAsia"/>
          <w:szCs w:val="21"/>
          <w:highlight w:val="none"/>
        </w:rPr>
        <w:t>）拟安排的项目负责人情况（仅限一人）（格式自定）</w:t>
      </w:r>
    </w:p>
    <w:p w14:paraId="721700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0</w:t>
      </w:r>
      <w:r>
        <w:rPr>
          <w:rFonts w:hint="eastAsia" w:asciiTheme="minorEastAsia" w:hAnsiTheme="minorEastAsia" w:eastAsiaTheme="minorEastAsia"/>
          <w:szCs w:val="21"/>
          <w:highlight w:val="none"/>
        </w:rPr>
        <w:t>）拟安排的项目主要团队成员（主要技术人员）情况（项目负责人除外）（格式自定）</w:t>
      </w:r>
    </w:p>
    <w:p w14:paraId="1999555A">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1</w:t>
      </w:r>
      <w:r>
        <w:rPr>
          <w:rFonts w:hint="eastAsia" w:asciiTheme="minorEastAsia" w:hAnsiTheme="minorEastAsia" w:eastAsiaTheme="minorEastAsia"/>
          <w:szCs w:val="21"/>
          <w:highlight w:val="none"/>
        </w:rPr>
        <w:t>）拟投入本项目设备设施情况（格式自定）</w:t>
      </w:r>
    </w:p>
    <w:p w14:paraId="57E9085B">
      <w:pPr>
        <w:ind w:left="718" w:leftChars="342" w:firstLine="1417" w:firstLineChars="675"/>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履约承诺</w:t>
      </w:r>
    </w:p>
    <w:p w14:paraId="1FCB2132">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lang w:val="en-US" w:eastAsia="zh-CN"/>
        </w:rPr>
        <w:t>（13）投标人</w:t>
      </w:r>
      <w:r>
        <w:rPr>
          <w:rFonts w:hint="eastAsia" w:asciiTheme="minorEastAsia" w:hAnsiTheme="minorEastAsia" w:eastAsiaTheme="minorEastAsia"/>
          <w:szCs w:val="21"/>
        </w:rPr>
        <w:t>同类项目业绩（格式自定）</w:t>
      </w:r>
    </w:p>
    <w:p w14:paraId="1A8DB722">
      <w:pPr>
        <w:ind w:left="718" w:leftChars="342" w:firstLine="1417" w:firstLineChars="675"/>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asciiTheme="minorEastAsia" w:hAnsiTheme="minorEastAsia" w:eastAsiaTheme="minorEastAsia"/>
          <w:szCs w:val="21"/>
        </w:rPr>
        <w:t>）</w:t>
      </w:r>
      <w:r>
        <w:rPr>
          <w:rFonts w:hint="eastAsia" w:asciiTheme="minorEastAsia" w:hAnsiTheme="minorEastAsia" w:eastAsiaTheme="minorEastAsia"/>
          <w:szCs w:val="21"/>
        </w:rPr>
        <w:t>投标人认为需要加以说明的其他内容（格式自定）</w:t>
      </w:r>
    </w:p>
    <w:p w14:paraId="3F77494E">
      <w:pPr>
        <w:rPr>
          <w:rFonts w:ascii="仿宋_GB2312" w:eastAsia="仿宋_GB2312"/>
          <w:sz w:val="24"/>
        </w:rPr>
      </w:pPr>
    </w:p>
    <w:p w14:paraId="5B7E41AD">
      <w:pPr>
        <w:ind w:firstLine="426" w:firstLineChars="202"/>
        <w:rPr>
          <w:rFonts w:ascii="宋体" w:hAnsi="宋体"/>
          <w:b/>
          <w:szCs w:val="21"/>
        </w:rPr>
      </w:pPr>
      <w:r>
        <w:rPr>
          <w:rFonts w:hint="eastAsia" w:ascii="宋体" w:hAnsi="宋体"/>
          <w:b/>
          <w:szCs w:val="21"/>
        </w:rPr>
        <w:t>备注：</w:t>
      </w:r>
    </w:p>
    <w:p w14:paraId="6AD92454">
      <w:pPr>
        <w:ind w:firstLine="426" w:firstLineChars="202"/>
        <w:rPr>
          <w:rFonts w:ascii="宋体" w:hAnsi="宋体"/>
          <w:b/>
          <w:szCs w:val="21"/>
        </w:rPr>
      </w:pPr>
      <w:r>
        <w:rPr>
          <w:rFonts w:hint="eastAsia" w:ascii="宋体" w:hAnsi="宋体"/>
          <w:b/>
          <w:szCs w:val="21"/>
        </w:rPr>
        <w:t>1.本项目为网上电子投标项目，投标文件不需法人或授权委托人另行签字，无需加盖单位公章，招标文件另有规定的除外。</w:t>
      </w:r>
    </w:p>
    <w:p w14:paraId="7867BE1C">
      <w:pPr>
        <w:ind w:firstLine="426" w:firstLineChars="202"/>
        <w:rPr>
          <w:rFonts w:ascii="宋体" w:hAnsi="宋体"/>
          <w:b/>
          <w:szCs w:val="21"/>
        </w:rPr>
      </w:pPr>
      <w:r>
        <w:rPr>
          <w:rFonts w:hint="eastAsia" w:ascii="宋体" w:hAnsi="宋体"/>
          <w:b/>
          <w:szCs w:val="21"/>
        </w:rPr>
        <w:t>2.关于填写“开标一览表”的说明：“开标一览表”中除“投标总价”外，其他信息不作评审依据。</w:t>
      </w:r>
    </w:p>
    <w:p w14:paraId="6A58B98D">
      <w:pPr>
        <w:jc w:val="left"/>
        <w:rPr>
          <w:rFonts w:ascii="宋体" w:hAnsi="宋体"/>
          <w:b/>
          <w:color w:val="FF0000"/>
          <w:sz w:val="36"/>
          <w:szCs w:val="36"/>
        </w:rPr>
      </w:pPr>
      <w:r>
        <w:rPr>
          <w:rFonts w:hint="eastAsia" w:ascii="宋体" w:hAnsi="宋体"/>
          <w:b/>
          <w:color w:val="FF0000"/>
          <w:sz w:val="36"/>
          <w:szCs w:val="36"/>
        </w:rPr>
        <w:br w:type="page"/>
      </w:r>
    </w:p>
    <w:p w14:paraId="13B98A8A">
      <w:pPr>
        <w:outlineLvl w:val="1"/>
        <w:rPr>
          <w:rFonts w:ascii="宋体" w:hAnsi="宋体"/>
          <w:b/>
          <w:color w:val="FF0000"/>
          <w:sz w:val="28"/>
          <w:szCs w:val="28"/>
        </w:rPr>
      </w:pPr>
      <w:r>
        <w:rPr>
          <w:rFonts w:hint="eastAsia" w:ascii="宋体" w:hAnsi="宋体"/>
          <w:b/>
          <w:color w:val="FF0000"/>
          <w:sz w:val="28"/>
          <w:szCs w:val="28"/>
        </w:rPr>
        <w:t>投标文件正文（信息公开部分）</w:t>
      </w:r>
    </w:p>
    <w:p w14:paraId="00BEC39B">
      <w:pPr>
        <w:pStyle w:val="5"/>
        <w:jc w:val="center"/>
        <w:rPr>
          <w:rFonts w:ascii="黑体" w:eastAsia="黑体"/>
          <w:b w:val="0"/>
          <w:kern w:val="0"/>
          <w:sz w:val="24"/>
        </w:rPr>
      </w:pPr>
      <w:r>
        <w:rPr>
          <w:rFonts w:hint="eastAsia" w:ascii="黑体" w:eastAsia="黑体"/>
          <w:b w:val="0"/>
          <w:kern w:val="0"/>
          <w:sz w:val="24"/>
        </w:rPr>
        <w:t>一、投标函</w:t>
      </w:r>
    </w:p>
    <w:p w14:paraId="3BA004E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10D0EC92">
      <w:pPr>
        <w:ind w:firstLine="420" w:firstLineChars="200"/>
        <w:rPr>
          <w:rFonts w:asciiTheme="minorEastAsia" w:hAnsiTheme="minorEastAsia" w:eastAsiaTheme="minorEastAsia"/>
          <w:szCs w:val="21"/>
        </w:rPr>
      </w:pPr>
      <w:bookmarkStart w:id="41" w:name="_Hlk73818812"/>
      <w:r>
        <w:rPr>
          <w:rFonts w:asciiTheme="minorEastAsia" w:hAnsiTheme="minorEastAsia" w:eastAsiaTheme="minorEastAsia"/>
          <w:szCs w:val="21"/>
        </w:rPr>
        <w:t>1.</w:t>
      </w:r>
      <w:r>
        <w:rPr>
          <w:rFonts w:hint="eastAsia" w:asciiTheme="minorEastAsia" w:hAnsiTheme="minorEastAsia" w:eastAsiaTheme="minorEastAsia"/>
          <w:szCs w:val="21"/>
        </w:rPr>
        <w:t>根据已收到贵单位的项目编号为</w:t>
      </w:r>
      <w:r>
        <w:rPr>
          <w:rFonts w:hint="eastAsia" w:asciiTheme="minorEastAsia" w:hAnsiTheme="minorEastAsia" w:eastAsiaTheme="minorEastAsia"/>
          <w:szCs w:val="21"/>
          <w:u w:val="thick"/>
        </w:rPr>
        <w:t xml:space="preserve">        </w:t>
      </w:r>
      <w:r>
        <w:rPr>
          <w:rFonts w:hint="eastAsia" w:asciiTheme="minorEastAsia" w:hAnsiTheme="minorEastAsia" w:eastAsiaTheme="minorEastAsia"/>
          <w:szCs w:val="21"/>
        </w:rPr>
        <w:t>的</w:t>
      </w:r>
      <w:r>
        <w:rPr>
          <w:rFonts w:hint="eastAsia" w:asciiTheme="minorEastAsia" w:hAnsiTheme="minorEastAsia" w:eastAsiaTheme="minorEastAsia"/>
          <w:szCs w:val="21"/>
          <w:u w:val="thick"/>
        </w:rPr>
        <w:t xml:space="preserve">    （项目名称）       </w:t>
      </w:r>
      <w:r>
        <w:rPr>
          <w:rFonts w:hint="eastAsia" w:asciiTheme="minorEastAsia" w:hAnsiTheme="minorEastAsia" w:eastAsiaTheme="minorEastAsia"/>
          <w:szCs w:val="21"/>
        </w:rPr>
        <w:t>项目的招标文件，遵照《深圳经济特区政府采购条例》和《深圳网上政府采购管理暂行办法》等有关规定，我单位经研究上述招标文件的专用条款及通用条款后，</w:t>
      </w:r>
      <w:bookmarkStart w:id="42" w:name="_Hlk72263588"/>
      <w:r>
        <w:rPr>
          <w:rFonts w:hint="eastAsia" w:asciiTheme="minorEastAsia" w:hAnsiTheme="minorEastAsia" w:eastAsiaTheme="minorEastAsia"/>
          <w:szCs w:val="21"/>
        </w:rPr>
        <w:t>愿意按照招标文件要求承包上述项目并修补其任何缺陷。</w:t>
      </w:r>
      <w:bookmarkEnd w:id="42"/>
    </w:p>
    <w:p w14:paraId="79F46F0B">
      <w:pPr>
        <w:ind w:firstLine="420" w:firstLineChars="200"/>
        <w:rPr>
          <w:rFonts w:ascii="宋体" w:hAnsi="宋体"/>
          <w:szCs w:val="21"/>
        </w:rPr>
      </w:pPr>
      <w:r>
        <w:rPr>
          <w:rFonts w:ascii="宋体" w:hAnsi="宋体"/>
          <w:szCs w:val="21"/>
        </w:rPr>
        <w:t>2.</w:t>
      </w:r>
      <w:r>
        <w:rPr>
          <w:rFonts w:hint="eastAsia" w:ascii="宋体" w:hAnsi="宋体"/>
          <w:szCs w:val="21"/>
        </w:rPr>
        <w:t>投标价格见</w:t>
      </w:r>
      <w:r>
        <w:rPr>
          <w:rFonts w:hint="eastAsia"/>
          <w:szCs w:val="21"/>
        </w:rPr>
        <w:t>投标书编制软件中《开标一览表》中填写的投标总价。</w:t>
      </w:r>
    </w:p>
    <w:p w14:paraId="74B93B24">
      <w:pPr>
        <w:ind w:firstLine="420" w:firstLineChars="200"/>
        <w:rPr>
          <w:rFonts w:ascii="宋体" w:hAnsi="宋体"/>
          <w:szCs w:val="21"/>
        </w:rPr>
      </w:pPr>
      <w:r>
        <w:rPr>
          <w:rFonts w:ascii="宋体" w:hAnsi="宋体"/>
          <w:szCs w:val="21"/>
        </w:rPr>
        <w:t>3.</w:t>
      </w:r>
      <w:r>
        <w:rPr>
          <w:rFonts w:hint="eastAsia" w:ascii="宋体" w:hAnsi="宋体"/>
          <w:szCs w:val="21"/>
        </w:rPr>
        <w:t>如果我单位中标，我单位将按照招标文件的要求足额提交履约担保。</w:t>
      </w:r>
    </w:p>
    <w:p w14:paraId="52C56207">
      <w:pPr>
        <w:ind w:firstLine="420" w:firstLineChars="200"/>
        <w:rPr>
          <w:rFonts w:ascii="宋体" w:hAnsi="宋体"/>
          <w:szCs w:val="21"/>
        </w:rPr>
      </w:pPr>
      <w:r>
        <w:rPr>
          <w:rFonts w:ascii="宋体" w:hAnsi="宋体"/>
          <w:szCs w:val="21"/>
        </w:rPr>
        <w:t>4.</w:t>
      </w:r>
      <w:r>
        <w:rPr>
          <w:rFonts w:hint="eastAsia" w:ascii="宋体" w:hAnsi="宋体"/>
          <w:szCs w:val="21"/>
        </w:rPr>
        <w:t>我单位同意所递交的投标文件在“对通用条款的补充内容”中明确的投标有效期内有效，在此期间内我单位的投标有可能中标，我方将受此约束。</w:t>
      </w:r>
    </w:p>
    <w:p w14:paraId="231C7503">
      <w:pPr>
        <w:ind w:firstLine="420" w:firstLineChars="200"/>
        <w:rPr>
          <w:rFonts w:ascii="宋体" w:hAnsi="宋体"/>
          <w:szCs w:val="21"/>
        </w:rPr>
      </w:pPr>
      <w:r>
        <w:rPr>
          <w:rFonts w:ascii="宋体" w:hAnsi="宋体"/>
          <w:szCs w:val="21"/>
        </w:rPr>
        <w:t>5.</w:t>
      </w:r>
      <w:r>
        <w:rPr>
          <w:rFonts w:hint="eastAsia" w:ascii="宋体" w:hAnsi="宋体"/>
          <w:szCs w:val="21"/>
        </w:rPr>
        <w:t>除非另外达成协议并生效，贵单位的中标通知书和本投标文件将构成合同的重要内容。</w:t>
      </w:r>
    </w:p>
    <w:p w14:paraId="333E0F71">
      <w:pPr>
        <w:ind w:firstLine="420" w:firstLineChars="200"/>
        <w:rPr>
          <w:rFonts w:ascii="宋体" w:hAnsi="宋体"/>
          <w:szCs w:val="21"/>
        </w:rPr>
      </w:pPr>
      <w:r>
        <w:rPr>
          <w:rFonts w:ascii="宋体" w:hAnsi="宋体"/>
          <w:szCs w:val="21"/>
        </w:rPr>
        <w:t>6.</w:t>
      </w:r>
      <w:r>
        <w:rPr>
          <w:rFonts w:hint="eastAsia" w:ascii="宋体" w:hAnsi="宋体"/>
          <w:szCs w:val="21"/>
        </w:rPr>
        <w:t>我单位理解贵单位将不受必须接受所收到的最低报价或其它任何投标文件的约束。</w:t>
      </w:r>
      <w:bookmarkEnd w:id="41"/>
    </w:p>
    <w:p w14:paraId="2910B4E8">
      <w:pPr>
        <w:ind w:firstLine="422" w:firstLineChars="200"/>
        <w:rPr>
          <w:rFonts w:ascii="宋体" w:hAnsi="宋体"/>
          <w:szCs w:val="21"/>
        </w:rPr>
      </w:pPr>
      <w:r>
        <w:rPr>
          <w:rFonts w:ascii="宋体" w:hAnsi="宋体"/>
          <w:b/>
          <w:szCs w:val="21"/>
        </w:rPr>
        <w:t>7.如我单位提交样品，且未在规定时间内取回样品的，视同放弃取回，同意深圳公共资源交易中心对我单位提交的样品进行清理。</w:t>
      </w:r>
    </w:p>
    <w:p w14:paraId="69CDCADE">
      <w:pPr>
        <w:ind w:firstLine="420" w:firstLineChars="200"/>
        <w:rPr>
          <w:rFonts w:ascii="宋体" w:hAnsi="宋体"/>
          <w:szCs w:val="21"/>
        </w:rPr>
      </w:pPr>
    </w:p>
    <w:p w14:paraId="61F5A653">
      <w:pPr>
        <w:ind w:firstLine="420" w:firstLineChars="200"/>
        <w:rPr>
          <w:rFonts w:ascii="宋体" w:hAnsi="宋体"/>
          <w:szCs w:val="21"/>
        </w:rPr>
      </w:pPr>
      <w:r>
        <w:rPr>
          <w:rFonts w:hint="eastAsia"/>
          <w:szCs w:val="21"/>
        </w:rPr>
        <w:t>投标人：</w:t>
      </w:r>
      <w:r>
        <w:rPr>
          <w:rFonts w:hint="eastAsia"/>
          <w:szCs w:val="21"/>
          <w:u w:val="thick"/>
        </w:rPr>
        <w:t xml:space="preserve">       </w:t>
      </w:r>
      <w:r>
        <w:rPr>
          <w:rFonts w:hint="eastAsia"/>
          <w:szCs w:val="21"/>
        </w:rPr>
        <w:t>；  单位地址：</w:t>
      </w:r>
      <w:r>
        <w:rPr>
          <w:rFonts w:hint="eastAsia"/>
          <w:szCs w:val="21"/>
          <w:u w:val="thick"/>
        </w:rPr>
        <w:t xml:space="preserve">                    </w:t>
      </w:r>
      <w:r>
        <w:rPr>
          <w:rFonts w:hint="eastAsia"/>
          <w:szCs w:val="21"/>
        </w:rPr>
        <w:t>；</w:t>
      </w:r>
    </w:p>
    <w:p w14:paraId="3B800D7E">
      <w:pPr>
        <w:ind w:firstLine="420" w:firstLineChars="200"/>
        <w:rPr>
          <w:rFonts w:ascii="宋体" w:hAnsi="宋体"/>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14:paraId="38F48733">
      <w:pPr>
        <w:ind w:firstLine="420" w:firstLineChars="200"/>
        <w:rPr>
          <w:rFonts w:ascii="宋体" w:hAnsi="宋体"/>
          <w:szCs w:val="21"/>
        </w:rPr>
      </w:pPr>
      <w:r>
        <w:rPr>
          <w:rFonts w:hint="eastAsia"/>
          <w:szCs w:val="21"/>
        </w:rPr>
        <w:t>开户银行名称：</w:t>
      </w:r>
      <w:r>
        <w:rPr>
          <w:rFonts w:hint="eastAsia"/>
          <w:szCs w:val="21"/>
          <w:u w:val="thick"/>
        </w:rPr>
        <w:t xml:space="preserve">                        </w:t>
      </w:r>
      <w:r>
        <w:rPr>
          <w:rFonts w:hint="eastAsia"/>
          <w:szCs w:val="21"/>
        </w:rPr>
        <w:t>；</w:t>
      </w:r>
    </w:p>
    <w:p w14:paraId="2E07043C">
      <w:pPr>
        <w:ind w:firstLine="420" w:firstLineChars="200"/>
        <w:rPr>
          <w:rFonts w:ascii="宋体" w:hAnsi="宋体"/>
          <w:szCs w:val="21"/>
        </w:rPr>
      </w:pPr>
      <w:r>
        <w:rPr>
          <w:rFonts w:hint="eastAsia"/>
          <w:szCs w:val="21"/>
        </w:rPr>
        <w:t>开户银行账号：</w:t>
      </w:r>
      <w:r>
        <w:rPr>
          <w:rFonts w:hint="eastAsia"/>
          <w:szCs w:val="21"/>
          <w:u w:val="thick"/>
        </w:rPr>
        <w:t xml:space="preserve">                        </w:t>
      </w:r>
      <w:r>
        <w:rPr>
          <w:rFonts w:hint="eastAsia"/>
          <w:szCs w:val="21"/>
        </w:rPr>
        <w:t>；</w:t>
      </w:r>
    </w:p>
    <w:p w14:paraId="59ED2CA4">
      <w:pPr>
        <w:ind w:firstLine="420" w:firstLineChars="200"/>
        <w:rPr>
          <w:szCs w:val="21"/>
        </w:rPr>
      </w:pPr>
      <w:r>
        <w:rPr>
          <w:rFonts w:hint="eastAsia"/>
          <w:szCs w:val="21"/>
        </w:rPr>
        <w:t>邮政编码：</w:t>
      </w:r>
      <w:r>
        <w:rPr>
          <w:rFonts w:hint="eastAsia"/>
          <w:szCs w:val="21"/>
          <w:u w:val="thick"/>
        </w:rPr>
        <w:t xml:space="preserve">          </w:t>
      </w:r>
      <w:r>
        <w:rPr>
          <w:rFonts w:hint="eastAsia"/>
          <w:szCs w:val="21"/>
        </w:rPr>
        <w:t xml:space="preserve">  电话：</w:t>
      </w:r>
      <w:r>
        <w:rPr>
          <w:rFonts w:hint="eastAsia"/>
          <w:szCs w:val="21"/>
          <w:u w:val="thick"/>
        </w:rPr>
        <w:t xml:space="preserve">         </w:t>
      </w:r>
      <w:r>
        <w:rPr>
          <w:rFonts w:hint="eastAsia"/>
          <w:szCs w:val="21"/>
        </w:rPr>
        <w:t xml:space="preserve"> 传真：</w:t>
      </w:r>
      <w:r>
        <w:rPr>
          <w:rFonts w:hint="eastAsia"/>
          <w:szCs w:val="21"/>
          <w:u w:val="thick"/>
        </w:rPr>
        <w:t xml:space="preserve">     </w:t>
      </w:r>
      <w:r>
        <w:rPr>
          <w:rFonts w:hint="eastAsia"/>
          <w:szCs w:val="21"/>
        </w:rPr>
        <w:t>；</w:t>
      </w:r>
    </w:p>
    <w:p w14:paraId="43C4C687">
      <w:pPr>
        <w:ind w:firstLine="420" w:firstLineChars="200"/>
        <w:rPr>
          <w:rFonts w:ascii="宋体" w:hAnsi="宋体"/>
          <w:szCs w:val="21"/>
        </w:rPr>
      </w:pPr>
    </w:p>
    <w:p w14:paraId="4C21DB54">
      <w:pPr>
        <w:ind w:firstLine="420" w:firstLineChars="200"/>
        <w:rPr>
          <w:rFonts w:ascii="宋体" w:hAnsi="宋体"/>
          <w:szCs w:val="21"/>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032E2431">
      <w:pPr>
        <w:rPr>
          <w:rFonts w:ascii="宋体" w:hAnsi="宋体"/>
          <w:szCs w:val="21"/>
        </w:rPr>
      </w:pPr>
    </w:p>
    <w:p w14:paraId="5F6897A5">
      <w:pPr>
        <w:pStyle w:val="5"/>
        <w:jc w:val="center"/>
        <w:rPr>
          <w:rFonts w:ascii="黑体" w:eastAsia="黑体"/>
          <w:b w:val="0"/>
          <w:kern w:val="0"/>
          <w:sz w:val="24"/>
        </w:rPr>
      </w:pPr>
      <w:r>
        <w:rPr>
          <w:rFonts w:hint="eastAsia" w:ascii="黑体" w:eastAsia="黑体"/>
          <w:b w:val="0"/>
          <w:kern w:val="0"/>
          <w:sz w:val="24"/>
        </w:rPr>
        <w:t>二、政府采购投标及履约承诺函</w:t>
      </w:r>
    </w:p>
    <w:p w14:paraId="1A109744">
      <w:pPr>
        <w:rPr>
          <w:rFonts w:asciiTheme="minorEastAsia" w:hAnsiTheme="minorEastAsia" w:eastAsiaTheme="minorEastAsia"/>
          <w:color w:val="FF0000"/>
          <w:szCs w:val="21"/>
        </w:rPr>
      </w:pPr>
      <w:r>
        <w:rPr>
          <w:rFonts w:hint="eastAsia" w:asciiTheme="minorEastAsia" w:hAnsiTheme="minorEastAsia" w:eastAsiaTheme="minorEastAsia"/>
          <w:color w:val="FF0000"/>
          <w:szCs w:val="21"/>
        </w:rPr>
        <w:t>致：</w:t>
      </w:r>
      <w:r>
        <w:rPr>
          <w:rFonts w:hint="eastAsia" w:asciiTheme="minorEastAsia" w:hAnsiTheme="minorEastAsia" w:eastAsiaTheme="minorEastAsia"/>
          <w:color w:val="FF0000"/>
          <w:szCs w:val="21"/>
          <w:u w:val="single"/>
        </w:rPr>
        <w:t>深圳公共资源交易中心</w:t>
      </w:r>
    </w:p>
    <w:p w14:paraId="20D0C348">
      <w:pPr>
        <w:ind w:right="-815"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我单位承诺：</w:t>
      </w:r>
    </w:p>
    <w:p w14:paraId="29FB592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1.我单位参与本项目</w:t>
      </w:r>
      <w:r>
        <w:rPr>
          <w:rFonts w:hint="eastAsia" w:asciiTheme="minorEastAsia" w:hAnsiTheme="minorEastAsia" w:eastAsiaTheme="minorEastAsia"/>
        </w:rPr>
        <w:t>所投标（响应）的货物、工程或服务，不存在侵犯知识产权的情况。</w:t>
      </w:r>
    </w:p>
    <w:p w14:paraId="7E46F827">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2.我单位参与本项目</w:t>
      </w:r>
      <w:r>
        <w:rPr>
          <w:rFonts w:hint="eastAsia" w:asciiTheme="minorEastAsia" w:hAnsiTheme="minorEastAsia" w:eastAsiaTheme="minorEastAsia"/>
        </w:rPr>
        <w:t>政府采购活动时不存在被有关部门禁止参与政府采购活动且在有效期内的情况。符合招标文件关于联合体及进口产品的相关资格要求。</w:t>
      </w:r>
    </w:p>
    <w:p w14:paraId="5F7918BF">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3.我单位具备《中华人民共和国政府采购法》第二十二条第一款的条件。</w:t>
      </w:r>
    </w:p>
    <w:p w14:paraId="1EA2752B">
      <w:pPr>
        <w:ind w:firstLine="420" w:firstLineChars="200"/>
        <w:rPr>
          <w:rFonts w:asciiTheme="minorEastAsia" w:hAnsiTheme="minorEastAsia" w:eastAsiaTheme="minorEastAsia"/>
        </w:rPr>
      </w:pPr>
      <w:r>
        <w:rPr>
          <w:rFonts w:hint="eastAsia" w:asciiTheme="minorEastAsia" w:hAnsiTheme="minorEastAsia" w:eastAsiaTheme="minorEastAsia"/>
          <w:szCs w:val="21"/>
        </w:rPr>
        <w:t>4.我单位</w:t>
      </w:r>
      <w:r>
        <w:rPr>
          <w:rFonts w:hint="eastAsia" w:asciiTheme="minorEastAsia" w:hAnsiTheme="minorEastAsia" w:eastAsiaTheme="minorEastAsia"/>
        </w:rPr>
        <w:t>未被列入失信被执行人、重大税收违法案件当事人名单、政府采购严重违法失信行为记录名单。</w:t>
      </w:r>
    </w:p>
    <w:p w14:paraId="311BE55C">
      <w:pPr>
        <w:ind w:firstLine="420" w:firstLineChars="200"/>
        <w:rPr>
          <w:rFonts w:asciiTheme="minorEastAsia" w:hAnsiTheme="minorEastAsia" w:eastAsiaTheme="minorEastAsia"/>
        </w:rPr>
      </w:pPr>
      <w:r>
        <w:rPr>
          <w:rFonts w:hint="eastAsia" w:asciiTheme="minorEastAsia" w:hAnsiTheme="minorEastAsia" w:eastAsiaTheme="minorEastAsia"/>
          <w:color w:val="FF0000"/>
        </w:rPr>
        <w:t>5.我单位不存在《深圳市财政局政府采购供应商信用信息管理办法》（深财规〔2023〕3号）列明的严重违法失信行为。</w:t>
      </w:r>
    </w:p>
    <w:p w14:paraId="710566ED">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35D3DA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278C279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25833B1">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r>
        <w:t>如我单位中标，投标文件所提供的材料，如果有效期（包括需要年审、继续教育等完成后才能执业的行政许可、人员证书等情形）未能覆盖项目（包组）合同履行期的，将提前按规定办理延期手续，确保合同顺利履行。</w:t>
      </w:r>
    </w:p>
    <w:p w14:paraId="35E76E3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9.我单位承诺中标后项目不转包，未经采购人同意不进行分包。</w:t>
      </w:r>
    </w:p>
    <w:p w14:paraId="18588909">
      <w:pPr>
        <w:ind w:firstLine="420" w:firstLineChars="200"/>
        <w:rPr>
          <w:rFonts w:asciiTheme="minorEastAsia" w:hAnsiTheme="minorEastAsia" w:eastAsiaTheme="minorEastAsia"/>
        </w:rPr>
      </w:pPr>
      <w:r>
        <w:rPr>
          <w:rFonts w:hint="eastAsia" w:asciiTheme="minorEastAsia" w:hAnsiTheme="minorEastAsia" w:eastAsiaTheme="minorEastAsia"/>
          <w:szCs w:val="21"/>
        </w:rPr>
        <w:t>10</w:t>
      </w:r>
      <w:r>
        <w:rPr>
          <w:rFonts w:asciiTheme="minorEastAsia" w:hAnsiTheme="minorEastAsia" w:eastAsiaTheme="minorEastAsia"/>
          <w:szCs w:val="21"/>
        </w:rPr>
        <w:t>.</w:t>
      </w:r>
      <w:r>
        <w:rPr>
          <w:rFonts w:hint="eastAsia" w:asciiTheme="minorEastAsia" w:hAnsiTheme="minorEastAsia" w:eastAsiaTheme="minorEastAsia"/>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F5780BA">
      <w:pPr>
        <w:ind w:firstLine="420" w:firstLineChars="200"/>
        <w:rPr>
          <w:rFonts w:cs="宋体" w:asciiTheme="minorEastAsia" w:hAnsiTheme="minorEastAsia" w:eastAsiaTheme="minorEastAsia"/>
          <w:b/>
          <w:kern w:val="0"/>
          <w:szCs w:val="21"/>
        </w:rPr>
      </w:pPr>
      <w:r>
        <w:rPr>
          <w:rFonts w:hint="eastAsia" w:asciiTheme="minorEastAsia" w:hAnsiTheme="minorEastAsia" w:eastAsiaTheme="minorEastAsia"/>
        </w:rPr>
        <w:t>11</w:t>
      </w:r>
      <w:r>
        <w:rPr>
          <w:rFonts w:asciiTheme="minorEastAsia" w:hAnsiTheme="minorEastAsia" w:eastAsiaTheme="minorEastAsia"/>
        </w:rPr>
        <w:t>.</w:t>
      </w:r>
      <w:r>
        <w:rPr>
          <w:rFonts w:hint="eastAsia" w:asciiTheme="minorEastAsia" w:hAnsiTheme="minorEastAsia" w:eastAsiaTheme="minorEastAsia"/>
        </w:rPr>
        <w:t>我单位保证，若所投货物涉及</w:t>
      </w:r>
      <w:r>
        <w:rPr>
          <w:rFonts w:asciiTheme="minorEastAsia" w:hAnsiTheme="minorEastAsia" w:eastAsiaTheme="minorEastAsia"/>
        </w:rPr>
        <w:t>《</w:t>
      </w:r>
      <w:r>
        <w:rPr>
          <w:rFonts w:hint="eastAsia" w:asciiTheme="minorEastAsia" w:hAnsiTheme="minorEastAsia" w:eastAsiaTheme="minorEastAsia"/>
        </w:rPr>
        <w:t>财政部 发展改革委 关于印发节能产品政府采购品目清单的通知》（财库〔20</w:t>
      </w:r>
      <w:r>
        <w:rPr>
          <w:rFonts w:asciiTheme="minorEastAsia" w:hAnsiTheme="minorEastAsia" w:eastAsiaTheme="minorEastAsia"/>
        </w:rPr>
        <w:t>19</w:t>
      </w:r>
      <w:r>
        <w:rPr>
          <w:rFonts w:hint="eastAsia" w:asciiTheme="minorEastAsia" w:hAnsiTheme="minorEastAsia" w:eastAsiaTheme="minorEastAsia"/>
        </w:rPr>
        <w:t>〕</w:t>
      </w:r>
      <w:r>
        <w:rPr>
          <w:rFonts w:asciiTheme="minorEastAsia" w:hAnsiTheme="minorEastAsia" w:eastAsiaTheme="minorEastAsia"/>
        </w:rPr>
        <w:t>19</w:t>
      </w:r>
      <w:r>
        <w:rPr>
          <w:rFonts w:hint="eastAsia" w:asciiTheme="minorEastAsia" w:hAnsiTheme="minorEastAsia" w:eastAsiaTheme="minorEastAsia"/>
        </w:rPr>
        <w:t>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工业和信息化部关于印发&lt;绿色数据中心政府采购需求标准（试行）&gt;的通知》（财库〔2023〕7号）要求。若所投产品涉及国家强制性标准的，所投产品应符合国家强制性标准相关要求。</w:t>
      </w:r>
    </w:p>
    <w:p w14:paraId="0441734A">
      <w:pPr>
        <w:ind w:firstLine="420" w:firstLineChars="200"/>
        <w:rPr>
          <w:rFonts w:asciiTheme="minorEastAsia" w:hAnsiTheme="minorEastAsia" w:eastAsiaTheme="minorEastAsia"/>
          <w:bCs/>
        </w:rPr>
      </w:pPr>
      <w:r>
        <w:rPr>
          <w:rFonts w:hint="eastAsia" w:cs="宋体" w:asciiTheme="minorEastAsia" w:hAnsiTheme="minorEastAsia" w:eastAsiaTheme="minorEastAsia"/>
          <w:bCs/>
          <w:kern w:val="0"/>
          <w:szCs w:val="21"/>
        </w:rPr>
        <w:t>12.</w:t>
      </w:r>
      <w:r>
        <w:rPr>
          <w:rFonts w:hint="eastAsia" w:asciiTheme="minorEastAsia" w:hAnsiTheme="minorEastAsia" w:eastAsiaTheme="minorEastAsia"/>
          <w:bCs/>
        </w:rPr>
        <w:t>我单位已知悉并同意中标（成交）结果信息公示（公开）的内容。</w:t>
      </w:r>
    </w:p>
    <w:p w14:paraId="7EEA7453">
      <w:pPr>
        <w:ind w:firstLine="420" w:firstLineChars="200"/>
        <w:rPr>
          <w:rFonts w:asciiTheme="minorEastAsia" w:hAnsiTheme="minorEastAsia" w:eastAsiaTheme="minorEastAsia"/>
          <w:bCs/>
        </w:rPr>
      </w:pPr>
      <w:r>
        <w:rPr>
          <w:rFonts w:hint="eastAsia" w:asciiTheme="minorEastAsia" w:hAnsiTheme="minorEastAsia" w:eastAsiaTheme="minorEastAsia"/>
          <w:bCs/>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Theme="minorEastAsia" w:hAnsiTheme="minorEastAsia" w:eastAsiaTheme="minorEastAsia"/>
          <w:bCs/>
          <w:color w:val="FF0000"/>
        </w:rPr>
        <w:t>若存在“不同供应商的董事、股东或其他高级管理人员为同一人的”情形的，我单位保证不存在串通投标、恶意串通或者视为串通投标的情形。</w:t>
      </w:r>
    </w:p>
    <w:p w14:paraId="4BA746CA">
      <w:pPr>
        <w:ind w:firstLine="422" w:firstLineChars="200"/>
        <w:rPr>
          <w:rFonts w:asciiTheme="minorEastAsia" w:hAnsiTheme="minorEastAsia" w:eastAsiaTheme="minorEastAsia"/>
          <w:b/>
        </w:rPr>
      </w:pPr>
      <w:r>
        <w:rPr>
          <w:rFonts w:hint="eastAsia" w:asciiTheme="minorEastAsia" w:hAnsiTheme="minorEastAsia" w:eastAsiaTheme="minorEastAsia"/>
          <w:b/>
        </w:rPr>
        <w:t>14.我单位清楚，如存在违反投标承诺行为情节严重的，将根据《深圳市财政局关于印发&lt;深圳市财政局政府采购供应商信用信息管理办法&gt;的通知》，依法被列入失信信息。</w:t>
      </w:r>
    </w:p>
    <w:p w14:paraId="62624BE7">
      <w:pPr>
        <w:ind w:firstLine="420" w:firstLineChars="200"/>
        <w:rPr>
          <w:rFonts w:asciiTheme="minorEastAsia" w:hAnsiTheme="minorEastAsia" w:eastAsiaTheme="minorEastAsia"/>
          <w:bCs/>
        </w:rPr>
      </w:pPr>
      <w:r>
        <w:rPr>
          <w:rFonts w:hint="eastAsia" w:asciiTheme="minorEastAsia" w:hAnsiTheme="minorEastAsia" w:eastAsiaTheme="minorEastAsia"/>
          <w:bCs/>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70D3157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324C21C5">
      <w:pPr>
        <w:spacing w:before="60" w:beforeLines="25" w:after="60" w:afterLines="25"/>
        <w:ind w:firstLine="5460" w:firstLineChars="2600"/>
        <w:rPr>
          <w:rFonts w:ascii="宋体" w:hAnsi="宋体"/>
          <w:szCs w:val="21"/>
        </w:rPr>
      </w:pPr>
      <w:r>
        <w:rPr>
          <w:rFonts w:hint="eastAsia" w:ascii="宋体" w:hAnsi="宋体"/>
          <w:szCs w:val="21"/>
        </w:rPr>
        <w:t xml:space="preserve">                                    </w:t>
      </w:r>
    </w:p>
    <w:p w14:paraId="3798B6E0">
      <w:pPr>
        <w:spacing w:before="60" w:beforeLines="25" w:after="60" w:afterLines="25"/>
        <w:ind w:firstLine="5460" w:firstLineChars="2600"/>
        <w:rPr>
          <w:color w:val="FF0000"/>
        </w:rPr>
      </w:pPr>
      <w:r>
        <w:rPr>
          <w:rFonts w:hint="eastAsia"/>
          <w:color w:val="FF0000"/>
          <w:szCs w:val="21"/>
        </w:rPr>
        <w:t>投标人：</w:t>
      </w:r>
      <w:r>
        <w:rPr>
          <w:rFonts w:hint="eastAsia"/>
          <w:color w:val="FF0000"/>
          <w:szCs w:val="21"/>
          <w:u w:val="single"/>
        </w:rPr>
        <w:t xml:space="preserve">              </w:t>
      </w:r>
    </w:p>
    <w:p w14:paraId="21454229">
      <w:pPr>
        <w:ind w:firstLine="645"/>
        <w:rPr>
          <w:rFonts w:ascii="宋体" w:hAnsi="宋体"/>
          <w:color w:val="FF0000"/>
          <w:szCs w:val="21"/>
        </w:rPr>
      </w:pPr>
      <w:r>
        <w:rPr>
          <w:rFonts w:hint="eastAsia" w:ascii="宋体" w:hAnsi="宋体"/>
          <w:color w:val="FF0000"/>
          <w:szCs w:val="21"/>
        </w:rPr>
        <w:t xml:space="preserve">                                              日期：</w:t>
      </w:r>
      <w:r>
        <w:rPr>
          <w:rFonts w:hint="eastAsia" w:ascii="宋体" w:hAnsi="宋体"/>
          <w:color w:val="FF0000"/>
          <w:szCs w:val="21"/>
          <w:u w:val="single"/>
        </w:rPr>
        <w:t xml:space="preserve">    </w:t>
      </w:r>
      <w:r>
        <w:rPr>
          <w:rFonts w:hint="eastAsia" w:ascii="宋体" w:hAnsi="宋体"/>
          <w:color w:val="FF0000"/>
          <w:szCs w:val="21"/>
        </w:rPr>
        <w:t>年</w:t>
      </w:r>
      <w:r>
        <w:rPr>
          <w:rFonts w:hint="eastAsia" w:ascii="宋体" w:hAnsi="宋体"/>
          <w:color w:val="FF0000"/>
          <w:szCs w:val="21"/>
          <w:u w:val="single"/>
        </w:rPr>
        <w:t xml:space="preserve">   </w:t>
      </w:r>
      <w:r>
        <w:rPr>
          <w:rFonts w:hint="eastAsia" w:ascii="宋体" w:hAnsi="宋体"/>
          <w:color w:val="FF0000"/>
          <w:szCs w:val="21"/>
        </w:rPr>
        <w:t>月</w:t>
      </w:r>
      <w:r>
        <w:rPr>
          <w:rFonts w:hint="eastAsia" w:ascii="宋体" w:hAnsi="宋体"/>
          <w:color w:val="FF0000"/>
          <w:szCs w:val="21"/>
          <w:u w:val="single"/>
        </w:rPr>
        <w:t xml:space="preserve">   </w:t>
      </w:r>
      <w:r>
        <w:rPr>
          <w:rFonts w:hint="eastAsia" w:ascii="宋体" w:hAnsi="宋体"/>
          <w:color w:val="FF0000"/>
          <w:szCs w:val="21"/>
        </w:rPr>
        <w:t>日</w:t>
      </w:r>
    </w:p>
    <w:p w14:paraId="700FBF28">
      <w:pPr>
        <w:rPr>
          <w:rFonts w:ascii="宋体" w:hAnsi="宋体"/>
          <w:szCs w:val="21"/>
        </w:rPr>
      </w:pPr>
    </w:p>
    <w:p w14:paraId="1D86031F"/>
    <w:p w14:paraId="3FEEDC48">
      <w:pPr>
        <w:pStyle w:val="5"/>
        <w:jc w:val="center"/>
        <w:rPr>
          <w:rFonts w:ascii="黑体" w:eastAsia="黑体"/>
          <w:b w:val="0"/>
          <w:kern w:val="0"/>
          <w:sz w:val="24"/>
        </w:rPr>
      </w:pPr>
      <w:r>
        <w:rPr>
          <w:rFonts w:hint="eastAsia" w:ascii="黑体" w:eastAsia="黑体"/>
          <w:b w:val="0"/>
          <w:kern w:val="0"/>
          <w:sz w:val="24"/>
        </w:rPr>
        <w:t>三、投标人情况及资格证明文件</w:t>
      </w:r>
    </w:p>
    <w:p w14:paraId="786B14E8">
      <w:pPr>
        <w:ind w:firstLine="2640" w:firstLineChars="1100"/>
        <w:outlineLvl w:val="3"/>
        <w:rPr>
          <w:rFonts w:ascii="黑体" w:hAnsi="宋体" w:eastAsia="黑体"/>
          <w:bCs/>
          <w:kern w:val="0"/>
          <w:sz w:val="24"/>
          <w:szCs w:val="32"/>
        </w:rPr>
      </w:pPr>
      <w:r>
        <w:rPr>
          <w:rFonts w:hint="eastAsia" w:ascii="黑体" w:hAnsi="宋体" w:eastAsia="黑体"/>
          <w:bCs/>
          <w:kern w:val="0"/>
          <w:sz w:val="24"/>
          <w:szCs w:val="32"/>
        </w:rPr>
        <w:t>（一）投标人资格证明文件</w:t>
      </w:r>
    </w:p>
    <w:p w14:paraId="3F4DB8DA">
      <w:pPr>
        <w:spacing w:before="120" w:beforeLines="50"/>
        <w:ind w:firstLine="422" w:firstLineChars="200"/>
        <w:rPr>
          <w:b/>
          <w:bCs/>
          <w:color w:val="FF0000"/>
        </w:rPr>
      </w:pPr>
      <w:r>
        <w:rPr>
          <w:rFonts w:hint="eastAsia"/>
          <w:b/>
          <w:bCs/>
          <w:color w:val="FF0000"/>
        </w:rPr>
        <w:t>（特别提示：投标人须按本招标文件第一册第一章招标公告“申请人的资格要求”（即投标人资格要求）提供相关的资格证明资料，未提供或提供不完整、不符合要求的，将作投标无效处理，其中要求提供《政府采购投标及履约承诺函》且已在“二、政府采购投标及履约承诺函”章节中提供了，此处可不重复提供。《供应商基本情况表》此处不提供，相关内容因涉及企业及个人敏感信息，为不公开内容。）</w:t>
      </w:r>
    </w:p>
    <w:p w14:paraId="51BDA734">
      <w:pPr>
        <w:ind w:firstLine="482" w:firstLineChars="200"/>
        <w:rPr>
          <w:b/>
          <w:sz w:val="24"/>
        </w:rPr>
      </w:pPr>
    </w:p>
    <w:p w14:paraId="104EED7C">
      <w:pPr>
        <w:ind w:firstLine="480" w:firstLineChars="200"/>
        <w:outlineLvl w:val="3"/>
        <w:rPr>
          <w:rFonts w:ascii="黑体" w:hAnsi="宋体" w:eastAsia="黑体"/>
          <w:bCs/>
          <w:kern w:val="0"/>
          <w:sz w:val="24"/>
          <w:szCs w:val="32"/>
        </w:rPr>
      </w:pPr>
      <w:r>
        <w:rPr>
          <w:rFonts w:hint="eastAsia" w:ascii="黑体" w:hAnsi="宋体" w:eastAsia="黑体"/>
          <w:bCs/>
          <w:kern w:val="0"/>
          <w:sz w:val="24"/>
          <w:szCs w:val="32"/>
        </w:rPr>
        <w:t>（二）</w:t>
      </w:r>
      <w:r>
        <w:rPr>
          <w:rFonts w:hint="eastAsia" w:ascii="黑体" w:hAnsi="宋体" w:eastAsia="黑体"/>
          <w:bCs/>
          <w:kern w:val="0"/>
          <w:sz w:val="24"/>
          <w:szCs w:val="32"/>
          <w:lang w:val="en-US" w:eastAsia="zh-CN"/>
        </w:rPr>
        <w:t>小微</w:t>
      </w:r>
      <w:r>
        <w:rPr>
          <w:rFonts w:hint="eastAsia" w:ascii="黑体" w:hAnsi="宋体" w:eastAsia="黑体"/>
          <w:bCs/>
          <w:kern w:val="0"/>
          <w:sz w:val="24"/>
          <w:szCs w:val="32"/>
        </w:rPr>
        <w:t>企业声明函、残疾人福利性单位声明函及监狱企业声明函</w:t>
      </w:r>
    </w:p>
    <w:p w14:paraId="70365F89">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rPr>
        <w:t>投标（响应）供应商对《小微企业声明函》的真实性负责。投标（响应）供应商应当核实投标（响应）的服务承接商的相关信息，如对相关信息了解不充分，或者不能确定相关信息真实、准确的，不建议出具《小微企业声明函》；如供应商提供的《小微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5C11020">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3358CD00">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01EB3E57">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w:t>
      </w:r>
      <w:bookmarkStart w:id="43" w:name="_Hlk71925120"/>
      <w:r>
        <w:rPr>
          <w:rFonts w:hint="eastAsia" w:ascii="黑体" w:hAnsi="黑体" w:eastAsia="黑体"/>
          <w:color w:val="FF0000"/>
          <w:szCs w:val="21"/>
        </w:rPr>
        <w:t>《工业和信息化部、国家统计局、国家发展和改革委员会、财政部关于印发中小企业划型标准规定的通知》（工信部联企业〔2011〕300 号</w:t>
      </w:r>
      <w:bookmarkEnd w:id="43"/>
      <w:r>
        <w:rPr>
          <w:rFonts w:hint="eastAsia" w:ascii="黑体" w:hAnsi="黑体" w:eastAsia="黑体"/>
          <w:color w:val="FF0000"/>
          <w:szCs w:val="21"/>
        </w:rPr>
        <w:t>，以下简称3</w:t>
      </w:r>
      <w:r>
        <w:rPr>
          <w:rFonts w:ascii="黑体" w:hAnsi="黑体" w:eastAsia="黑体"/>
          <w:color w:val="FF0000"/>
          <w:szCs w:val="21"/>
        </w:rPr>
        <w:t>00</w:t>
      </w:r>
      <w:r>
        <w:rPr>
          <w:rFonts w:hint="eastAsia" w:ascii="黑体" w:hAnsi="黑体" w:eastAsia="黑体"/>
          <w:color w:val="FF0000"/>
          <w:szCs w:val="21"/>
        </w:rPr>
        <w:t>号文）</w:t>
      </w:r>
    </w:p>
    <w:p w14:paraId="5E8E320E">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268E4028">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56393695">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5C7B9B7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w:t>
      </w:r>
    </w:p>
    <w:p w14:paraId="145F806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3B40D0D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（1）声明是中小企业须填写《小微企业声明函》的以下内容：</w:t>
      </w:r>
    </w:p>
    <w:p w14:paraId="1A2E0CEC">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12B736F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小微企业采购的项目，应标明小微企业的具体分包内容；对于以联合体方式面向小微企业采购的项目，应标明联合体中的小微企业所承担的具体内容；</w:t>
      </w:r>
    </w:p>
    <w:p w14:paraId="0DFEC3A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小微企业）采购的项目，“标的名称”应填写采购文件中注明的分包给中小企业（小微企业）的采购标的名称；对于以联合体方式面向中小企业（小微企业）采购的项目“标的名称”应填写采购文件中注明的联合体中中小企业（小微企业）承担的采购标的名称。</w:t>
      </w:r>
    </w:p>
    <w:p w14:paraId="7CFFCC0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小微企业）划分标准所属行业（所属行业以招标文件第一册第三章用户需求书“服务需求明细”的“标的所属行业”一栏为准），并应确保与采购标的涉及的服务承接商本身的所属行业保持一致。对于分包方式面向中小企业（小微企业）采购的项目，“采购文件中明确的所属行业”应按照采购文件中注明的分包给中小企业（小微企业）的采购标的所属行业填写，并应确保与该分包部分采购标的涉及的服务承接商本身的所属行业保持一致；对于以联合体方式面向中小企业（小微企业）采购的项目，“采购文件中明确的所属行业”应按照采购文件中注明的联合体中中小企业（小微企业）承担的采购标的所属行业填写，并应确保与该分包部分采购标的涉及的服务承接商本身的所属行业保持一致；</w:t>
      </w:r>
    </w:p>
    <w:p w14:paraId="4F08E73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服务承接商名称。</w:t>
      </w:r>
      <w:r>
        <w:rPr>
          <w:rFonts w:hint="eastAsia" w:ascii="黑体" w:hAnsi="宋体" w:eastAsia="黑体"/>
          <w:bCs/>
          <w:color w:val="FF0000"/>
          <w:kern w:val="0"/>
          <w:szCs w:val="21"/>
        </w:rPr>
        <w:t>对于分包方式面向中小企业（小微企业）采购的项目，“企业名称”应填写分包部分采购标的对应的服务承接商；对于以联合体方式面向中小企业（小微企业）采购的项目，“企业名称”应填写联合体中中小企业（小微企业）承担采购标的对应的服务承接商；</w:t>
      </w:r>
    </w:p>
    <w:p w14:paraId="1BBAF6B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234E882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小型企业、微型企业”下划线处应依据企业上年度从业人员、营业收入、资产总额等指标，按照《中小企业划型标准规定》（工信部联企业〔2011〕300号）、《金融业企业划型标准规定》（银发〔2015〕309号），判断《小微企业声明函》载明的服务承接商是否属于采购文件所属行业的小型企业/微型企业。</w:t>
      </w:r>
    </w:p>
    <w:p w14:paraId="4317E8D3">
      <w:pPr>
        <w:pStyle w:val="193"/>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F2FC93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（3）事业单位、社会组织等非企业主体不享受中小企业（小微企业）扶持政策。</w:t>
      </w:r>
    </w:p>
    <w:p w14:paraId="460878EB">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（4）声明是残疾人福利性单位须填写《残疾人福利性单位声明函》的相关内容，具体参照以上《小微企业声明函》填写要求执行。</w:t>
      </w:r>
    </w:p>
    <w:p w14:paraId="305BEA7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（5）声明是监狱企业须填写《监狱企业声明函》的三项内容（填写位置的字体已加粗），具体参照以上《小微企业声明函》填写要求执行。</w:t>
      </w:r>
    </w:p>
    <w:p w14:paraId="29ED37D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5、本项目属于服务类项目，相关服务承接商应当为中小企业（小微企业）或残疾人福利性单位或监狱企业，如包含硬件设备、产品等货物采购的，不再对其中涉及的货物制造商作出要求。</w:t>
      </w:r>
    </w:p>
    <w:p w14:paraId="0F60323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6、若本项目属于专门面向中小企业（小微企业）、残疾人福利性单位或监狱企业，则声明函有效性由采购人或代理机构判定，如判定声明函无效的，相关供应商将作资格审查不通过处理；若本项目非专门面向中小企业（小微企业）、残疾人福利性单位或监狱企业，声明函的有效性由评审委员会判定，如评审委员会判定声明函无效，相关供应商不享受价格扣除（但不作投标无效处理）。</w:t>
      </w:r>
    </w:p>
    <w:p w14:paraId="50245A79">
      <w:pPr>
        <w:ind w:firstLine="420" w:firstLineChars="200"/>
      </w:pPr>
      <w:r>
        <w:rPr>
          <w:rFonts w:hint="eastAsia" w:ascii="黑体" w:hAnsi="宋体" w:eastAsia="黑体"/>
          <w:bCs/>
          <w:color w:val="FF0000"/>
          <w:kern w:val="0"/>
          <w:szCs w:val="21"/>
        </w:rPr>
        <w:t>7、采购人、代理机构、评审委员会在依法进行资格审查、评审过程中，发现《小微企业声明函》存在明显笔误或含义不明确的，应按规定要求供应商进行澄清、说明或补正。澄清修改后符合中小企业（小微企业）条件的供应商，可以享受中小企业（小微企业）扶持政策。</w:t>
      </w:r>
    </w:p>
    <w:p w14:paraId="4ABB5348">
      <w:pPr>
        <w:ind w:firstLine="420" w:firstLineChars="200"/>
      </w:pPr>
    </w:p>
    <w:p w14:paraId="74D270D1">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w:t>
      </w:r>
      <w:r>
        <w:rPr>
          <w:rFonts w:hint="eastAsia" w:asciiTheme="minorEastAsia" w:hAnsiTheme="minorEastAsia" w:eastAsiaTheme="minorEastAsia"/>
          <w:b/>
          <w:sz w:val="24"/>
        </w:rPr>
        <w:t>小微企业声明函</w:t>
      </w:r>
      <w:r>
        <w:rPr>
          <w:rFonts w:asciiTheme="minorEastAsia" w:hAnsiTheme="minorEastAsia" w:eastAsiaTheme="minorEastAsia"/>
          <w:b/>
          <w:sz w:val="24"/>
        </w:rPr>
        <w:t>（</w:t>
      </w:r>
      <w:r>
        <w:rPr>
          <w:rFonts w:hint="eastAsia" w:asciiTheme="minorEastAsia" w:hAnsiTheme="minorEastAsia" w:eastAsiaTheme="minorEastAsia"/>
          <w:b/>
          <w:sz w:val="24"/>
        </w:rPr>
        <w:t>服务</w:t>
      </w:r>
      <w:r>
        <w:rPr>
          <w:rFonts w:asciiTheme="minorEastAsia" w:hAnsiTheme="minorEastAsia" w:eastAsiaTheme="minorEastAsia"/>
          <w:b/>
          <w:sz w:val="24"/>
        </w:rPr>
        <w:t>）</w:t>
      </w:r>
    </w:p>
    <w:p w14:paraId="18F27942">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采购活动，服务全部由符合政策要求的小微企业承接。相关企业（含联合体中的小微企业、签订分包意向协议的小微企业）的具体情况如下：</w:t>
      </w:r>
    </w:p>
    <w:p w14:paraId="2C05F108">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02A7CFFD">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3474F37C">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03AABA29">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58EFC74E">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本企业对上述声明内容的真实性负责。如有虚假，将依法承担相应责任。</w:t>
      </w:r>
    </w:p>
    <w:p w14:paraId="22D03988">
      <w:pPr>
        <w:spacing w:line="360" w:lineRule="auto"/>
        <w:ind w:firstLine="420" w:firstLineChars="200"/>
        <w:outlineLvl w:val="3"/>
        <w:rPr>
          <w:rFonts w:asciiTheme="minorEastAsia" w:hAnsiTheme="minorEastAsia" w:eastAsiaTheme="minorEastAsia" w:cstheme="minorEastAsia"/>
          <w:szCs w:val="21"/>
        </w:rPr>
      </w:pPr>
      <w:bookmarkStart w:id="44" w:name="_Hlk73562275"/>
      <w:r>
        <w:rPr>
          <w:rFonts w:hint="eastAsia" w:asciiTheme="minorEastAsia" w:hAnsiTheme="minorEastAsia" w:eastAsiaTheme="minorEastAsia" w:cstheme="minorEastAsia"/>
          <w:szCs w:val="21"/>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4"/>
    </w:p>
    <w:p w14:paraId="581626C7">
      <w:pPr>
        <w:ind w:firstLine="420" w:firstLineChars="200"/>
      </w:pPr>
    </w:p>
    <w:p w14:paraId="6E35D47D">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2.残疾人福利性单位声明函（服务类）</w:t>
      </w:r>
    </w:p>
    <w:p w14:paraId="088E66D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项目采购活动由本单位提供服务。</w:t>
      </w:r>
    </w:p>
    <w:p w14:paraId="67E3236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08EA28F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p>
    <w:p w14:paraId="44D9AEB1">
      <w:pPr>
        <w:ind w:firstLine="420" w:firstLineChars="200"/>
        <w:rPr>
          <w:rFonts w:ascii="宋体" w:hAnsi="宋体"/>
          <w:szCs w:val="21"/>
        </w:rPr>
      </w:pPr>
    </w:p>
    <w:p w14:paraId="5910EE64">
      <w:pPr>
        <w:ind w:firstLine="420" w:firstLineChars="200"/>
        <w:rPr>
          <w:rFonts w:ascii="宋体" w:hAnsi="宋体"/>
          <w:szCs w:val="21"/>
        </w:rPr>
      </w:pPr>
    </w:p>
    <w:p w14:paraId="5B3F7473">
      <w:pPr>
        <w:ind w:firstLine="420" w:firstLineChars="200"/>
        <w:rPr>
          <w:rFonts w:ascii="宋体" w:hAnsi="宋体"/>
          <w:szCs w:val="21"/>
        </w:rPr>
      </w:pPr>
    </w:p>
    <w:p w14:paraId="7C1A4EF7">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3.监狱企业声明函【服务类，监狱企业如需享受优惠政策，还须另行提供省级以上监狱管理局、戒毒管理局（含新疆生产建设兵团）出具的监狱企业证明文件】</w:t>
      </w:r>
    </w:p>
    <w:p w14:paraId="256C05D6">
      <w:pPr>
        <w:ind w:firstLine="420" w:firstLineChars="200"/>
        <w:rPr>
          <w:rFonts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cstheme="minorBidi"/>
          <w:szCs w:val="21"/>
        </w:rPr>
        <w:t>参加</w:t>
      </w:r>
      <w:r>
        <w:rPr>
          <w:rFonts w:ascii="宋体" w:hAnsi="宋体"/>
          <w:b/>
          <w:bCs/>
          <w:szCs w:val="21"/>
          <w:u w:val="single"/>
        </w:rPr>
        <w:t>（</w:t>
      </w:r>
      <w:r>
        <w:rPr>
          <w:rFonts w:hint="eastAsia" w:ascii="宋体" w:hAnsi="宋体"/>
          <w:b/>
          <w:bCs/>
          <w:szCs w:val="21"/>
          <w:u w:val="single"/>
        </w:rPr>
        <w:t>采购人</w:t>
      </w:r>
      <w:r>
        <w:rPr>
          <w:rFonts w:ascii="宋体" w:hAnsi="宋体"/>
          <w:b/>
          <w:bCs/>
          <w:szCs w:val="21"/>
          <w:u w:val="single"/>
        </w:rPr>
        <w:t>名称）</w:t>
      </w:r>
      <w:r>
        <w:rPr>
          <w:rFonts w:ascii="宋体" w:hAnsi="宋体"/>
          <w:szCs w:val="21"/>
        </w:rPr>
        <w:t>的</w:t>
      </w:r>
      <w:r>
        <w:rPr>
          <w:rFonts w:ascii="宋体" w:hAnsi="宋体"/>
          <w:b/>
          <w:bCs/>
          <w:szCs w:val="21"/>
          <w:u w:val="single"/>
        </w:rPr>
        <w:t>（项目名称）</w:t>
      </w:r>
      <w:r>
        <w:rPr>
          <w:rFonts w:ascii="宋体" w:hAnsi="宋体"/>
          <w:szCs w:val="21"/>
        </w:rPr>
        <w:t>采购活动，</w:t>
      </w:r>
      <w:r>
        <w:rPr>
          <w:rFonts w:hint="eastAsia" w:ascii="宋体" w:hAnsi="宋体"/>
          <w:szCs w:val="21"/>
        </w:rPr>
        <w:t>服务</w:t>
      </w:r>
      <w:r>
        <w:rPr>
          <w:rFonts w:ascii="宋体" w:hAnsi="宋体"/>
          <w:szCs w:val="21"/>
        </w:rPr>
        <w:t>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1319DF2B">
      <w:pPr>
        <w:ind w:firstLine="420" w:firstLineChars="200"/>
        <w:rPr>
          <w:rFonts w:ascii="宋体" w:hAnsi="宋体"/>
          <w:szCs w:val="21"/>
        </w:rPr>
      </w:pPr>
      <w:r>
        <w:rPr>
          <w:rFonts w:ascii="宋体" w:hAnsi="宋体"/>
          <w:szCs w:val="21"/>
        </w:rPr>
        <w:t>1.</w:t>
      </w:r>
      <w:r>
        <w:rPr>
          <w:rFonts w:ascii="宋体" w:hAnsi="宋体"/>
          <w:b/>
          <w:bCs/>
          <w:szCs w:val="21"/>
          <w:u w:val="single"/>
        </w:rPr>
        <w:t xml:space="preserve"> </w:t>
      </w:r>
      <w:r>
        <w:rPr>
          <w:rFonts w:ascii="宋体" w:hAnsi="宋体"/>
          <w:b/>
          <w:bCs/>
          <w:i/>
          <w:iCs/>
          <w:szCs w:val="21"/>
          <w:u w:val="single"/>
        </w:rPr>
        <w:t>（标的名称</w:t>
      </w:r>
      <w:r>
        <w:rPr>
          <w:rFonts w:ascii="宋体" w:hAnsi="宋体"/>
          <w:b/>
          <w:bCs/>
          <w:szCs w:val="21"/>
          <w:u w:val="single"/>
        </w:rPr>
        <w:t>）</w:t>
      </w:r>
      <w:r>
        <w:rPr>
          <w:rFonts w:ascii="宋体" w:hAnsi="宋体"/>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ascii="宋体" w:hAnsi="宋体"/>
          <w:szCs w:val="21"/>
        </w:rPr>
        <w:t>；</w:t>
      </w:r>
    </w:p>
    <w:p w14:paraId="375A2B5B">
      <w:pPr>
        <w:ind w:firstLine="420" w:firstLineChars="200"/>
        <w:rPr>
          <w:rFonts w:ascii="宋体" w:hAnsi="宋体"/>
          <w:szCs w:val="21"/>
        </w:rPr>
      </w:pPr>
      <w:r>
        <w:rPr>
          <w:rFonts w:ascii="宋体" w:hAnsi="宋体"/>
          <w:szCs w:val="21"/>
        </w:rPr>
        <w:t>2.</w:t>
      </w:r>
      <w:r>
        <w:rPr>
          <w:rFonts w:ascii="宋体" w:hAnsi="宋体"/>
          <w:b/>
          <w:bCs/>
          <w:szCs w:val="21"/>
          <w:u w:val="single"/>
        </w:rPr>
        <w:t xml:space="preserve"> </w:t>
      </w:r>
      <w:r>
        <w:rPr>
          <w:rFonts w:ascii="宋体" w:hAnsi="宋体"/>
          <w:b/>
          <w:bCs/>
          <w:i/>
          <w:iCs/>
          <w:szCs w:val="21"/>
          <w:u w:val="single"/>
        </w:rPr>
        <w:t>（标的名称）</w:t>
      </w:r>
      <w:r>
        <w:rPr>
          <w:rFonts w:ascii="宋体" w:hAnsi="宋体"/>
          <w:i/>
          <w:iCs/>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hint="eastAsia" w:ascii="宋体" w:hAnsi="宋体"/>
          <w:szCs w:val="21"/>
        </w:rPr>
        <w:t>。</w:t>
      </w:r>
    </w:p>
    <w:p w14:paraId="70F8185B">
      <w:pPr>
        <w:ind w:firstLine="420" w:firstLineChars="200"/>
        <w:outlineLvl w:val="3"/>
        <w:rPr>
          <w:rFonts w:ascii="宋体" w:hAnsi="宋体"/>
          <w:szCs w:val="21"/>
        </w:rPr>
      </w:pPr>
      <w:r>
        <w:rPr>
          <w:rFonts w:ascii="宋体" w:hAnsi="宋体"/>
          <w:szCs w:val="21"/>
        </w:rPr>
        <w:t xml:space="preserve">…… </w:t>
      </w:r>
    </w:p>
    <w:p w14:paraId="22F4782C">
      <w:pPr>
        <w:ind w:firstLine="420" w:firstLineChars="200"/>
        <w:rPr>
          <w:rFonts w:ascii="宋体" w:hAnsi="宋体"/>
          <w:szCs w:val="21"/>
        </w:rPr>
      </w:pPr>
      <w:r>
        <w:rPr>
          <w:rFonts w:ascii="宋体" w:hAnsi="宋体" w:cstheme="minorBidi"/>
          <w:szCs w:val="21"/>
        </w:rPr>
        <w:t>本</w:t>
      </w:r>
      <w:r>
        <w:rPr>
          <w:rFonts w:hint="eastAsia" w:ascii="宋体" w:hAnsi="宋体" w:cstheme="minorBidi"/>
          <w:szCs w:val="21"/>
        </w:rPr>
        <w:t>投标人</w:t>
      </w:r>
      <w:r>
        <w:rPr>
          <w:rFonts w:ascii="宋体" w:hAnsi="宋体"/>
          <w:szCs w:val="21"/>
        </w:rPr>
        <w:t>对上述声明内容的真实性负责。如有虚假，将依法承担相应责任。</w:t>
      </w:r>
    </w:p>
    <w:p w14:paraId="45DB8150">
      <w:pPr>
        <w:ind w:firstLine="420" w:firstLineChars="200"/>
        <w:rPr>
          <w:rFonts w:ascii="宋体" w:hAnsi="宋体"/>
          <w:szCs w:val="21"/>
        </w:rPr>
      </w:pPr>
      <w:r>
        <w:rPr>
          <w:rFonts w:hint="eastAsia" w:ascii="宋体" w:hAnsi="宋体"/>
          <w:szCs w:val="21"/>
        </w:rPr>
        <w:t>附：省级以上监狱管理局、戒毒管理局（含新疆生产建设兵团）出具的监狱企业证明文件。</w:t>
      </w:r>
    </w:p>
    <w:p w14:paraId="1F725CB5">
      <w:pPr>
        <w:rPr>
          <w:b/>
          <w:bCs/>
        </w:rPr>
      </w:pPr>
    </w:p>
    <w:p w14:paraId="3256365F">
      <w:pPr>
        <w:ind w:firstLine="420" w:firstLineChars="200"/>
        <w:rPr>
          <w:rFonts w:ascii="宋体" w:hAnsi="宋体"/>
          <w:color w:val="FF0000"/>
          <w:szCs w:val="21"/>
        </w:rPr>
      </w:pPr>
    </w:p>
    <w:p w14:paraId="68D937B7"/>
    <w:p w14:paraId="1948FE11">
      <w:pPr>
        <w:pStyle w:val="5"/>
        <w:jc w:val="center"/>
        <w:rPr>
          <w:rFonts w:ascii="黑体" w:eastAsia="黑体"/>
          <w:b w:val="0"/>
          <w:kern w:val="0"/>
          <w:sz w:val="24"/>
        </w:rPr>
      </w:pPr>
      <w:r>
        <w:rPr>
          <w:rFonts w:hint="eastAsia" w:ascii="黑体" w:eastAsia="黑体"/>
          <w:b w:val="0"/>
          <w:kern w:val="0"/>
          <w:sz w:val="24"/>
        </w:rPr>
        <w:t>四、投标人通过相关认证情况（格式自定）</w:t>
      </w:r>
    </w:p>
    <w:p w14:paraId="1008699A">
      <w:pPr>
        <w:pStyle w:val="2"/>
        <w:rPr>
          <w:b w:val="0"/>
          <w:bCs w:val="0"/>
        </w:rPr>
      </w:pPr>
      <w:r>
        <w:rPr>
          <w:rFonts w:hint="eastAsia"/>
          <w:b w:val="0"/>
          <w:bCs w:val="0"/>
        </w:rPr>
        <w:t>（特别提示：投标人须按本招标文件评标信息中这一评审因素要求，提供证明资料）</w:t>
      </w:r>
    </w:p>
    <w:p w14:paraId="2EFC5592">
      <w:pPr>
        <w:pStyle w:val="5"/>
        <w:jc w:val="center"/>
        <w:rPr>
          <w:rFonts w:ascii="黑体" w:eastAsia="黑体"/>
          <w:b w:val="0"/>
          <w:kern w:val="0"/>
          <w:sz w:val="24"/>
        </w:rPr>
      </w:pPr>
      <w:r>
        <w:rPr>
          <w:rFonts w:hint="eastAsia" w:ascii="黑体" w:eastAsia="黑体"/>
          <w:b w:val="0"/>
          <w:kern w:val="0"/>
          <w:sz w:val="24"/>
        </w:rPr>
        <w:t>五、服务网点</w:t>
      </w:r>
    </w:p>
    <w:p w14:paraId="0D86E380">
      <w:pPr>
        <w:spacing w:line="360" w:lineRule="auto"/>
        <w:jc w:val="center"/>
        <w:rPr>
          <w:sz w:val="24"/>
        </w:rPr>
      </w:pPr>
      <w:r>
        <w:rPr>
          <w:rFonts w:hint="eastAsia"/>
          <w:sz w:val="24"/>
        </w:rPr>
        <w:t>承诺函</w:t>
      </w:r>
    </w:p>
    <w:p w14:paraId="4DBDB940">
      <w:pPr>
        <w:spacing w:line="360" w:lineRule="auto"/>
        <w:rPr>
          <w:sz w:val="24"/>
        </w:rPr>
      </w:pPr>
      <w:r>
        <w:rPr>
          <w:rFonts w:hint="eastAsia"/>
          <w:sz w:val="24"/>
        </w:rPr>
        <w:t>致：深圳公共资源交易中心、采购人</w:t>
      </w:r>
    </w:p>
    <w:p w14:paraId="4F597CA1">
      <w:pPr>
        <w:spacing w:line="360" w:lineRule="auto"/>
        <w:ind w:firstLine="480" w:firstLineChars="200"/>
        <w:rPr>
          <w:sz w:val="24"/>
        </w:rPr>
      </w:pPr>
      <w:r>
        <w:rPr>
          <w:rFonts w:hint="eastAsia"/>
          <w:sz w:val="24"/>
        </w:rPr>
        <w:t>我单位承诺，中标后为本项目提供本地经营（服务）网点，如不遵守相应承诺，愿按违约处理，并承担由此给采购人带来的损失。</w:t>
      </w:r>
    </w:p>
    <w:p w14:paraId="3BC1CD2E">
      <w:pPr>
        <w:spacing w:line="360" w:lineRule="auto"/>
        <w:ind w:right="960" w:firstLine="5520" w:firstLineChars="2300"/>
        <w:rPr>
          <w:sz w:val="24"/>
        </w:rPr>
      </w:pPr>
      <w:r>
        <w:rPr>
          <w:rFonts w:hint="eastAsia"/>
          <w:sz w:val="24"/>
        </w:rPr>
        <w:t xml:space="preserve">投标人：              </w:t>
      </w:r>
    </w:p>
    <w:p w14:paraId="3A16866D">
      <w:pPr>
        <w:spacing w:line="360" w:lineRule="auto"/>
        <w:rPr>
          <w:sz w:val="24"/>
        </w:rPr>
      </w:pPr>
      <w:r>
        <w:rPr>
          <w:rFonts w:hint="eastAsia"/>
          <w:sz w:val="24"/>
        </w:rPr>
        <w:t xml:space="preserve">                                              日期：    年   月   日</w:t>
      </w:r>
    </w:p>
    <w:p w14:paraId="28A8089C">
      <w:pPr>
        <w:spacing w:line="360" w:lineRule="auto"/>
        <w:rPr>
          <w:sz w:val="24"/>
        </w:rPr>
      </w:pPr>
      <w:r>
        <w:rPr>
          <w:b/>
          <w:bCs/>
          <w:sz w:val="24"/>
        </w:rPr>
        <w:t>特别提示：投标人需按以上模板要求提供承诺函，否则将按不得分处理</w:t>
      </w:r>
      <w:r>
        <w:rPr>
          <w:rFonts w:hint="eastAsia"/>
          <w:b/>
          <w:bCs/>
          <w:sz w:val="24"/>
        </w:rPr>
        <w:t>。</w:t>
      </w:r>
    </w:p>
    <w:p w14:paraId="1A95C9F8">
      <w:pPr>
        <w:spacing w:line="360" w:lineRule="auto"/>
        <w:rPr>
          <w:sz w:val="24"/>
        </w:rPr>
      </w:pPr>
      <w:r>
        <w:rPr>
          <w:rFonts w:hint="eastAsia"/>
          <w:sz w:val="24"/>
        </w:rPr>
        <w:t>（特别提示：投标人须按本招标文件评标信息中这一评审因素要求，提供证明资料）</w:t>
      </w:r>
    </w:p>
    <w:p w14:paraId="5E992E3E"/>
    <w:p w14:paraId="7F2B6A1A">
      <w:pPr>
        <w:ind w:firstLine="1446" w:firstLineChars="600"/>
        <w:rPr>
          <w:b/>
          <w:color w:val="FF0000"/>
          <w:sz w:val="24"/>
        </w:rPr>
      </w:pPr>
      <w:r>
        <w:rPr>
          <w:rFonts w:hint="eastAsia"/>
          <w:b/>
          <w:color w:val="FF0000"/>
          <w:sz w:val="24"/>
        </w:rPr>
        <w:t>（信息公开部分的内容到此为止！以下为信息不公开部分。）</w:t>
      </w:r>
    </w:p>
    <w:p w14:paraId="2457A644">
      <w:pPr>
        <w:rPr>
          <w:rFonts w:ascii="仿宋_GB2312" w:eastAsia="仿宋_GB2312"/>
          <w:b/>
          <w:sz w:val="30"/>
          <w:szCs w:val="30"/>
        </w:rPr>
      </w:pPr>
      <w:r>
        <w:rPr>
          <w:rFonts w:hint="eastAsia" w:ascii="仿宋_GB2312" w:eastAsia="仿宋_GB2312"/>
          <w:b/>
          <w:sz w:val="30"/>
          <w:szCs w:val="30"/>
        </w:rPr>
        <w:br w:type="page"/>
      </w:r>
    </w:p>
    <w:p w14:paraId="2DB0F256">
      <w:pPr>
        <w:outlineLvl w:val="1"/>
        <w:rPr>
          <w:rFonts w:ascii="宋体" w:hAnsi="宋体"/>
          <w:b/>
          <w:color w:val="FF0000"/>
          <w:sz w:val="28"/>
          <w:szCs w:val="28"/>
        </w:rPr>
      </w:pPr>
      <w:r>
        <w:rPr>
          <w:rFonts w:hint="eastAsia" w:ascii="宋体" w:hAnsi="宋体"/>
          <w:b/>
          <w:color w:val="FF0000"/>
          <w:sz w:val="28"/>
          <w:szCs w:val="28"/>
        </w:rPr>
        <w:t>投标文件附件（信息不公开部分）</w:t>
      </w:r>
    </w:p>
    <w:p w14:paraId="334813F1">
      <w:pPr>
        <w:pStyle w:val="5"/>
        <w:jc w:val="center"/>
        <w:rPr>
          <w:rFonts w:ascii="黑体" w:eastAsia="黑体"/>
          <w:b w:val="0"/>
          <w:kern w:val="0"/>
          <w:sz w:val="24"/>
        </w:rPr>
      </w:pPr>
      <w:r>
        <w:rPr>
          <w:rFonts w:hint="eastAsia" w:ascii="黑体" w:eastAsia="黑体"/>
          <w:b w:val="0"/>
          <w:kern w:val="0"/>
          <w:sz w:val="24"/>
        </w:rPr>
        <w:t>一、供应商基本情况表</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5"/>
        <w:gridCol w:w="1530"/>
        <w:gridCol w:w="904"/>
        <w:gridCol w:w="752"/>
        <w:gridCol w:w="1146"/>
        <w:gridCol w:w="1429"/>
        <w:gridCol w:w="1420"/>
      </w:tblGrid>
      <w:tr w14:paraId="02A7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9" w:type="pct"/>
            <w:gridSpan w:val="2"/>
            <w:vAlign w:val="center"/>
          </w:tcPr>
          <w:p w14:paraId="379F923E">
            <w:pPr>
              <w:jc w:val="center"/>
              <w:rPr>
                <w:rFonts w:ascii="宋体" w:hAnsi="宋体" w:cs="宋体"/>
                <w:szCs w:val="21"/>
              </w:rPr>
            </w:pPr>
            <w:r>
              <w:rPr>
                <w:rFonts w:hint="eastAsia" w:ascii="宋体" w:hAnsi="宋体" w:cs="宋体"/>
                <w:szCs w:val="21"/>
              </w:rPr>
              <w:t>投标（响应）供应商</w:t>
            </w:r>
          </w:p>
        </w:tc>
        <w:tc>
          <w:tcPr>
            <w:tcW w:w="1427" w:type="pct"/>
            <w:gridSpan w:val="2"/>
            <w:vAlign w:val="center"/>
          </w:tcPr>
          <w:p w14:paraId="7A415843">
            <w:pPr>
              <w:jc w:val="center"/>
              <w:rPr>
                <w:rFonts w:ascii="宋体" w:hAnsi="宋体" w:cs="宋体"/>
                <w:szCs w:val="21"/>
              </w:rPr>
            </w:pPr>
          </w:p>
        </w:tc>
        <w:tc>
          <w:tcPr>
            <w:tcW w:w="1113" w:type="pct"/>
            <w:gridSpan w:val="2"/>
            <w:vAlign w:val="center"/>
          </w:tcPr>
          <w:p w14:paraId="06717B26">
            <w:pPr>
              <w:jc w:val="center"/>
              <w:rPr>
                <w:rFonts w:ascii="宋体" w:hAnsi="宋体" w:cs="宋体"/>
                <w:szCs w:val="21"/>
              </w:rPr>
            </w:pPr>
            <w:r>
              <w:rPr>
                <w:rFonts w:hint="eastAsia" w:ascii="宋体" w:hAnsi="宋体" w:cs="宋体"/>
                <w:szCs w:val="21"/>
              </w:rPr>
              <w:t>项目名称及编号</w:t>
            </w:r>
          </w:p>
        </w:tc>
        <w:tc>
          <w:tcPr>
            <w:tcW w:w="1669" w:type="pct"/>
            <w:gridSpan w:val="2"/>
            <w:vAlign w:val="center"/>
          </w:tcPr>
          <w:p w14:paraId="0260E695">
            <w:pPr>
              <w:jc w:val="center"/>
              <w:rPr>
                <w:rFonts w:ascii="宋体" w:hAnsi="宋体" w:cs="宋体"/>
                <w:szCs w:val="21"/>
              </w:rPr>
            </w:pPr>
          </w:p>
        </w:tc>
      </w:tr>
      <w:tr w14:paraId="7F80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1C39E97">
            <w:pPr>
              <w:jc w:val="center"/>
              <w:rPr>
                <w:rFonts w:ascii="宋体" w:hAnsi="宋体" w:cs="宋体"/>
                <w:szCs w:val="21"/>
              </w:rPr>
            </w:pPr>
            <w:r>
              <w:rPr>
                <w:rFonts w:hint="eastAsia" w:ascii="宋体" w:hAnsi="宋体" w:cs="宋体"/>
                <w:b/>
                <w:bCs/>
                <w:szCs w:val="21"/>
              </w:rPr>
              <w:t>投标（响应）供应商相关人员情况</w:t>
            </w:r>
          </w:p>
        </w:tc>
      </w:tr>
      <w:tr w14:paraId="1F14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7FB1BE7">
            <w:pPr>
              <w:snapToGrid w:val="0"/>
              <w:jc w:val="center"/>
              <w:rPr>
                <w:rFonts w:ascii="宋体" w:hAnsi="宋体" w:cs="宋体"/>
                <w:szCs w:val="21"/>
              </w:rPr>
            </w:pPr>
            <w:r>
              <w:rPr>
                <w:rFonts w:hint="eastAsia" w:ascii="宋体" w:hAnsi="宋体" w:cs="宋体"/>
                <w:szCs w:val="21"/>
              </w:rPr>
              <w:t>序号</w:t>
            </w:r>
          </w:p>
        </w:tc>
        <w:tc>
          <w:tcPr>
            <w:tcW w:w="1275" w:type="pct"/>
            <w:gridSpan w:val="2"/>
            <w:tcBorders>
              <w:bottom w:val="single" w:color="auto" w:sz="4" w:space="0"/>
            </w:tcBorders>
            <w:vAlign w:val="center"/>
          </w:tcPr>
          <w:p w14:paraId="13FD5D12">
            <w:pPr>
              <w:jc w:val="center"/>
              <w:rPr>
                <w:rFonts w:ascii="宋体" w:hAnsi="宋体" w:cs="宋体"/>
                <w:szCs w:val="21"/>
              </w:rPr>
            </w:pPr>
            <w:r>
              <w:rPr>
                <w:rFonts w:hint="eastAsia" w:ascii="宋体" w:hAnsi="宋体" w:cs="宋体"/>
                <w:szCs w:val="21"/>
              </w:rPr>
              <w:t>职务</w:t>
            </w:r>
          </w:p>
        </w:tc>
        <w:tc>
          <w:tcPr>
            <w:tcW w:w="529" w:type="pct"/>
            <w:tcBorders>
              <w:bottom w:val="single" w:color="auto" w:sz="4" w:space="0"/>
            </w:tcBorders>
            <w:vAlign w:val="center"/>
          </w:tcPr>
          <w:p w14:paraId="653BD6C0">
            <w:pPr>
              <w:jc w:val="center"/>
              <w:rPr>
                <w:rFonts w:ascii="宋体" w:hAnsi="宋体" w:cs="宋体"/>
                <w:szCs w:val="21"/>
              </w:rPr>
            </w:pPr>
            <w:r>
              <w:rPr>
                <w:rFonts w:hint="eastAsia" w:ascii="宋体" w:hAnsi="宋体" w:cs="宋体"/>
                <w:szCs w:val="21"/>
              </w:rPr>
              <w:t>姓名</w:t>
            </w:r>
          </w:p>
        </w:tc>
        <w:tc>
          <w:tcPr>
            <w:tcW w:w="1113" w:type="pct"/>
            <w:gridSpan w:val="2"/>
            <w:tcBorders>
              <w:bottom w:val="single" w:color="auto" w:sz="4" w:space="0"/>
            </w:tcBorders>
            <w:vAlign w:val="center"/>
          </w:tcPr>
          <w:p w14:paraId="074397A4">
            <w:pPr>
              <w:jc w:val="center"/>
              <w:rPr>
                <w:rFonts w:ascii="宋体" w:hAnsi="宋体" w:cs="宋体"/>
                <w:szCs w:val="21"/>
              </w:rPr>
            </w:pPr>
            <w:r>
              <w:rPr>
                <w:rFonts w:hint="eastAsia" w:ascii="宋体" w:hAnsi="宋体" w:cs="宋体"/>
                <w:szCs w:val="21"/>
              </w:rPr>
              <w:t>身份证号码</w:t>
            </w:r>
          </w:p>
        </w:tc>
        <w:tc>
          <w:tcPr>
            <w:tcW w:w="838" w:type="pct"/>
            <w:tcBorders>
              <w:bottom w:val="single" w:color="auto" w:sz="4" w:space="0"/>
            </w:tcBorders>
            <w:vAlign w:val="center"/>
          </w:tcPr>
          <w:p w14:paraId="62831F1F">
            <w:pPr>
              <w:snapToGrid w:val="0"/>
              <w:jc w:val="center"/>
              <w:rPr>
                <w:rFonts w:ascii="宋体" w:hAnsi="宋体" w:cs="宋体"/>
                <w:szCs w:val="21"/>
              </w:rPr>
            </w:pPr>
            <w:r>
              <w:rPr>
                <w:rFonts w:hint="eastAsia" w:ascii="宋体" w:hAnsi="宋体" w:cs="宋体"/>
                <w:szCs w:val="21"/>
              </w:rPr>
              <w:t>劳动合同</w:t>
            </w:r>
          </w:p>
          <w:p w14:paraId="22888EE2">
            <w:pPr>
              <w:snapToGrid w:val="0"/>
              <w:jc w:val="center"/>
              <w:rPr>
                <w:rFonts w:ascii="宋体" w:hAnsi="宋体" w:cs="宋体"/>
                <w:szCs w:val="21"/>
              </w:rPr>
            </w:pPr>
            <w:r>
              <w:rPr>
                <w:rFonts w:hint="eastAsia" w:ascii="宋体" w:hAnsi="宋体" w:cs="宋体"/>
                <w:szCs w:val="21"/>
              </w:rPr>
              <w:t>关系单位</w:t>
            </w:r>
          </w:p>
        </w:tc>
        <w:tc>
          <w:tcPr>
            <w:tcW w:w="830" w:type="pct"/>
            <w:tcBorders>
              <w:bottom w:val="single" w:color="auto" w:sz="4" w:space="0"/>
            </w:tcBorders>
            <w:vAlign w:val="center"/>
          </w:tcPr>
          <w:p w14:paraId="7F7AFA1E">
            <w:pPr>
              <w:snapToGrid w:val="0"/>
              <w:jc w:val="center"/>
              <w:rPr>
                <w:rFonts w:ascii="宋体" w:hAnsi="宋体" w:cs="宋体"/>
                <w:szCs w:val="21"/>
              </w:rPr>
            </w:pPr>
            <w:r>
              <w:rPr>
                <w:rFonts w:hint="eastAsia" w:ascii="宋体" w:hAnsi="宋体" w:cs="宋体"/>
                <w:szCs w:val="21"/>
              </w:rPr>
              <w:t>缴纳社会</w:t>
            </w:r>
          </w:p>
          <w:p w14:paraId="20DDDF31">
            <w:pPr>
              <w:snapToGrid w:val="0"/>
              <w:jc w:val="center"/>
              <w:rPr>
                <w:rFonts w:ascii="宋体" w:hAnsi="宋体" w:cs="宋体"/>
                <w:szCs w:val="21"/>
              </w:rPr>
            </w:pPr>
            <w:r>
              <w:rPr>
                <w:rFonts w:hint="eastAsia" w:ascii="宋体" w:hAnsi="宋体" w:cs="宋体"/>
                <w:szCs w:val="21"/>
              </w:rPr>
              <w:t>保险单位</w:t>
            </w:r>
          </w:p>
        </w:tc>
      </w:tr>
      <w:tr w14:paraId="68A5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CE0B7C">
            <w:pPr>
              <w:jc w:val="center"/>
              <w:rPr>
                <w:rFonts w:ascii="宋体" w:hAnsi="宋体" w:cs="宋体"/>
                <w:szCs w:val="21"/>
              </w:rPr>
            </w:pPr>
            <w:r>
              <w:rPr>
                <w:rFonts w:hint="eastAsia" w:ascii="宋体" w:hAnsi="宋体" w:cs="宋体"/>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4CE1341">
            <w:pPr>
              <w:jc w:val="center"/>
              <w:rPr>
                <w:rFonts w:ascii="宋体" w:hAnsi="宋体" w:cs="宋体"/>
                <w:szCs w:val="21"/>
              </w:rPr>
            </w:pPr>
            <w:r>
              <w:rPr>
                <w:rFonts w:hint="eastAsia" w:ascii="宋体" w:hAnsi="宋体" w:cs="宋体"/>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54B20AC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3A508D30">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2BC3C601">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46574FC1">
            <w:pPr>
              <w:jc w:val="center"/>
              <w:rPr>
                <w:rFonts w:ascii="宋体" w:hAnsi="宋体" w:cs="宋体"/>
                <w:szCs w:val="21"/>
              </w:rPr>
            </w:pPr>
          </w:p>
        </w:tc>
      </w:tr>
      <w:tr w14:paraId="127E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8902C5">
            <w:pPr>
              <w:jc w:val="center"/>
              <w:rPr>
                <w:rFonts w:ascii="宋体" w:hAnsi="宋体" w:cs="宋体"/>
                <w:szCs w:val="21"/>
              </w:rPr>
            </w:pPr>
            <w:r>
              <w:rPr>
                <w:rFonts w:hint="eastAsia" w:ascii="宋体" w:hAnsi="宋体" w:cs="宋体"/>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3AC6A1D">
            <w:pPr>
              <w:jc w:val="center"/>
              <w:rPr>
                <w:rFonts w:ascii="宋体" w:hAnsi="宋体" w:cs="宋体"/>
                <w:szCs w:val="21"/>
              </w:rPr>
            </w:pPr>
            <w:r>
              <w:rPr>
                <w:rFonts w:hint="eastAsia" w:ascii="宋体" w:hAnsi="宋体" w:cs="宋体"/>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4961B25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0B2C8B13">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4CBDE3F5">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5A2F9ECC">
            <w:pPr>
              <w:jc w:val="center"/>
              <w:rPr>
                <w:rFonts w:ascii="宋体" w:hAnsi="宋体" w:cs="宋体"/>
                <w:szCs w:val="21"/>
              </w:rPr>
            </w:pPr>
          </w:p>
        </w:tc>
      </w:tr>
      <w:tr w14:paraId="32F0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1" w:type="pct"/>
            <w:tcBorders>
              <w:top w:val="single" w:color="auto" w:sz="4" w:space="0"/>
            </w:tcBorders>
            <w:vAlign w:val="center"/>
          </w:tcPr>
          <w:p w14:paraId="061E3DB3">
            <w:pPr>
              <w:jc w:val="center"/>
              <w:rPr>
                <w:rFonts w:ascii="宋体" w:hAnsi="宋体" w:cs="宋体"/>
                <w:szCs w:val="21"/>
              </w:rPr>
            </w:pPr>
            <w:r>
              <w:rPr>
                <w:rFonts w:hint="eastAsia" w:ascii="宋体" w:hAnsi="宋体" w:cs="宋体"/>
                <w:szCs w:val="21"/>
                <w:lang w:bidi="ar"/>
              </w:rPr>
              <w:t>3</w:t>
            </w:r>
          </w:p>
        </w:tc>
        <w:tc>
          <w:tcPr>
            <w:tcW w:w="1275" w:type="pct"/>
            <w:gridSpan w:val="2"/>
            <w:tcBorders>
              <w:top w:val="single" w:color="auto" w:sz="4" w:space="0"/>
            </w:tcBorders>
            <w:vAlign w:val="center"/>
          </w:tcPr>
          <w:p w14:paraId="001E3DD0">
            <w:pPr>
              <w:jc w:val="center"/>
              <w:rPr>
                <w:rFonts w:ascii="宋体" w:hAnsi="宋体" w:cs="宋体"/>
                <w:szCs w:val="21"/>
              </w:rPr>
            </w:pPr>
            <w:r>
              <w:rPr>
                <w:rFonts w:hint="eastAsia" w:ascii="宋体" w:hAnsi="宋体" w:cs="宋体"/>
                <w:szCs w:val="21"/>
              </w:rPr>
              <w:t>项目负责人</w:t>
            </w:r>
          </w:p>
        </w:tc>
        <w:tc>
          <w:tcPr>
            <w:tcW w:w="529" w:type="pct"/>
            <w:tcBorders>
              <w:top w:val="single" w:color="auto" w:sz="4" w:space="0"/>
            </w:tcBorders>
            <w:vAlign w:val="center"/>
          </w:tcPr>
          <w:p w14:paraId="10BF8757">
            <w:pPr>
              <w:jc w:val="center"/>
              <w:rPr>
                <w:rFonts w:ascii="宋体" w:hAnsi="宋体" w:cs="宋体"/>
                <w:szCs w:val="21"/>
              </w:rPr>
            </w:pPr>
          </w:p>
        </w:tc>
        <w:tc>
          <w:tcPr>
            <w:tcW w:w="1113" w:type="pct"/>
            <w:gridSpan w:val="2"/>
            <w:tcBorders>
              <w:top w:val="single" w:color="auto" w:sz="4" w:space="0"/>
            </w:tcBorders>
            <w:vAlign w:val="center"/>
          </w:tcPr>
          <w:p w14:paraId="467E9C2F">
            <w:pPr>
              <w:jc w:val="center"/>
              <w:rPr>
                <w:rFonts w:ascii="宋体" w:hAnsi="宋体" w:cs="宋体"/>
                <w:szCs w:val="21"/>
              </w:rPr>
            </w:pPr>
          </w:p>
        </w:tc>
        <w:tc>
          <w:tcPr>
            <w:tcW w:w="838" w:type="pct"/>
            <w:tcBorders>
              <w:top w:val="single" w:color="auto" w:sz="4" w:space="0"/>
            </w:tcBorders>
            <w:vAlign w:val="center"/>
          </w:tcPr>
          <w:p w14:paraId="11532ABD">
            <w:pPr>
              <w:jc w:val="center"/>
              <w:rPr>
                <w:rFonts w:ascii="宋体" w:hAnsi="宋体" w:cs="宋体"/>
                <w:szCs w:val="21"/>
              </w:rPr>
            </w:pPr>
          </w:p>
        </w:tc>
        <w:tc>
          <w:tcPr>
            <w:tcW w:w="830" w:type="pct"/>
            <w:tcBorders>
              <w:top w:val="single" w:color="auto" w:sz="4" w:space="0"/>
            </w:tcBorders>
            <w:vAlign w:val="center"/>
          </w:tcPr>
          <w:p w14:paraId="6ACD4786">
            <w:pPr>
              <w:jc w:val="center"/>
              <w:rPr>
                <w:rFonts w:ascii="宋体" w:hAnsi="宋体" w:cs="宋体"/>
                <w:szCs w:val="21"/>
              </w:rPr>
            </w:pPr>
          </w:p>
        </w:tc>
      </w:tr>
      <w:tr w14:paraId="5CE7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5CCF2303">
            <w:pPr>
              <w:jc w:val="center"/>
              <w:rPr>
                <w:rFonts w:ascii="宋体" w:hAnsi="宋体" w:cs="宋体"/>
                <w:szCs w:val="21"/>
              </w:rPr>
            </w:pPr>
            <w:r>
              <w:rPr>
                <w:rFonts w:hint="eastAsia" w:ascii="宋体" w:hAnsi="宋体" w:cs="宋体"/>
                <w:szCs w:val="21"/>
                <w:lang w:bidi="ar"/>
              </w:rPr>
              <w:t>4</w:t>
            </w:r>
          </w:p>
        </w:tc>
        <w:tc>
          <w:tcPr>
            <w:tcW w:w="1275" w:type="pct"/>
            <w:gridSpan w:val="2"/>
            <w:vAlign w:val="center"/>
          </w:tcPr>
          <w:p w14:paraId="232E1E08">
            <w:pPr>
              <w:jc w:val="center"/>
              <w:rPr>
                <w:rFonts w:ascii="宋体" w:hAnsi="宋体" w:cs="宋体"/>
                <w:szCs w:val="21"/>
              </w:rPr>
            </w:pPr>
            <w:r>
              <w:rPr>
                <w:rFonts w:hint="eastAsia" w:ascii="宋体" w:hAnsi="宋体" w:cs="宋体"/>
                <w:szCs w:val="21"/>
              </w:rPr>
              <w:t>主要技术人员</w:t>
            </w:r>
          </w:p>
        </w:tc>
        <w:tc>
          <w:tcPr>
            <w:tcW w:w="529" w:type="pct"/>
            <w:vAlign w:val="center"/>
          </w:tcPr>
          <w:p w14:paraId="26D1925F">
            <w:pPr>
              <w:jc w:val="center"/>
              <w:rPr>
                <w:rFonts w:ascii="宋体" w:hAnsi="宋体" w:cs="宋体"/>
                <w:szCs w:val="21"/>
              </w:rPr>
            </w:pPr>
          </w:p>
        </w:tc>
        <w:tc>
          <w:tcPr>
            <w:tcW w:w="1113" w:type="pct"/>
            <w:gridSpan w:val="2"/>
            <w:vAlign w:val="center"/>
          </w:tcPr>
          <w:p w14:paraId="0A7BF205">
            <w:pPr>
              <w:jc w:val="center"/>
              <w:rPr>
                <w:rFonts w:ascii="宋体" w:hAnsi="宋体" w:cs="宋体"/>
                <w:szCs w:val="21"/>
              </w:rPr>
            </w:pPr>
          </w:p>
        </w:tc>
        <w:tc>
          <w:tcPr>
            <w:tcW w:w="838" w:type="pct"/>
            <w:vAlign w:val="center"/>
          </w:tcPr>
          <w:p w14:paraId="0C8F6A10">
            <w:pPr>
              <w:jc w:val="center"/>
              <w:rPr>
                <w:rFonts w:ascii="宋体" w:hAnsi="宋体" w:cs="宋体"/>
                <w:szCs w:val="21"/>
              </w:rPr>
            </w:pPr>
          </w:p>
        </w:tc>
        <w:tc>
          <w:tcPr>
            <w:tcW w:w="830" w:type="pct"/>
            <w:vAlign w:val="center"/>
          </w:tcPr>
          <w:p w14:paraId="47EB86CA">
            <w:pPr>
              <w:jc w:val="center"/>
              <w:rPr>
                <w:rFonts w:ascii="宋体" w:hAnsi="宋体" w:cs="宋体"/>
                <w:szCs w:val="21"/>
              </w:rPr>
            </w:pPr>
          </w:p>
        </w:tc>
      </w:tr>
      <w:tr w14:paraId="494B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1" w:type="pct"/>
            <w:vAlign w:val="center"/>
          </w:tcPr>
          <w:p w14:paraId="3FFEC0B2">
            <w:pPr>
              <w:jc w:val="center"/>
              <w:rPr>
                <w:rFonts w:ascii="宋体" w:hAnsi="宋体" w:cs="宋体"/>
                <w:szCs w:val="21"/>
              </w:rPr>
            </w:pPr>
            <w:r>
              <w:rPr>
                <w:rFonts w:hint="eastAsia" w:ascii="宋体" w:hAnsi="宋体" w:cs="宋体"/>
                <w:szCs w:val="21"/>
                <w:lang w:bidi="ar"/>
              </w:rPr>
              <w:t>5</w:t>
            </w:r>
          </w:p>
        </w:tc>
        <w:tc>
          <w:tcPr>
            <w:tcW w:w="1275" w:type="pct"/>
            <w:gridSpan w:val="2"/>
            <w:vAlign w:val="center"/>
          </w:tcPr>
          <w:p w14:paraId="6650669F">
            <w:pPr>
              <w:snapToGrid w:val="0"/>
              <w:jc w:val="center"/>
              <w:rPr>
                <w:rFonts w:ascii="宋体" w:hAnsi="宋体" w:cs="宋体"/>
                <w:szCs w:val="21"/>
              </w:rPr>
            </w:pPr>
            <w:r>
              <w:rPr>
                <w:rFonts w:hint="eastAsia" w:ascii="宋体" w:hAnsi="宋体" w:cs="宋体"/>
                <w:szCs w:val="21"/>
              </w:rPr>
              <w:t>投标文件编制人员</w:t>
            </w:r>
          </w:p>
        </w:tc>
        <w:tc>
          <w:tcPr>
            <w:tcW w:w="529" w:type="pct"/>
            <w:vAlign w:val="center"/>
          </w:tcPr>
          <w:p w14:paraId="51942CC4">
            <w:pPr>
              <w:jc w:val="center"/>
              <w:rPr>
                <w:rFonts w:ascii="宋体" w:hAnsi="宋体" w:cs="宋体"/>
                <w:szCs w:val="21"/>
              </w:rPr>
            </w:pPr>
          </w:p>
        </w:tc>
        <w:tc>
          <w:tcPr>
            <w:tcW w:w="1113" w:type="pct"/>
            <w:gridSpan w:val="2"/>
            <w:vAlign w:val="center"/>
          </w:tcPr>
          <w:p w14:paraId="08A40DD7">
            <w:pPr>
              <w:jc w:val="center"/>
              <w:rPr>
                <w:rFonts w:ascii="宋体" w:hAnsi="宋体" w:cs="宋体"/>
                <w:szCs w:val="21"/>
              </w:rPr>
            </w:pPr>
          </w:p>
        </w:tc>
        <w:tc>
          <w:tcPr>
            <w:tcW w:w="838" w:type="pct"/>
            <w:vAlign w:val="center"/>
          </w:tcPr>
          <w:p w14:paraId="1A0157E4">
            <w:pPr>
              <w:jc w:val="center"/>
              <w:rPr>
                <w:rFonts w:ascii="宋体" w:hAnsi="宋体" w:cs="宋体"/>
                <w:szCs w:val="21"/>
              </w:rPr>
            </w:pPr>
          </w:p>
        </w:tc>
        <w:tc>
          <w:tcPr>
            <w:tcW w:w="830" w:type="pct"/>
            <w:vAlign w:val="center"/>
          </w:tcPr>
          <w:p w14:paraId="0C88A115">
            <w:pPr>
              <w:jc w:val="center"/>
              <w:rPr>
                <w:rFonts w:ascii="宋体" w:hAnsi="宋体" w:cs="宋体"/>
                <w:szCs w:val="21"/>
              </w:rPr>
            </w:pPr>
          </w:p>
        </w:tc>
      </w:tr>
      <w:tr w14:paraId="66D4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DC1B698">
            <w:pPr>
              <w:rPr>
                <w:rFonts w:ascii="宋体" w:hAnsi="宋体" w:cs="宋体"/>
                <w:szCs w:val="21"/>
              </w:rPr>
            </w:pPr>
            <w:r>
              <w:rPr>
                <w:rFonts w:hint="eastAsia" w:ascii="宋体" w:hAnsi="宋体" w:cs="宋体"/>
                <w:b/>
                <w:bCs/>
                <w:szCs w:val="21"/>
              </w:rPr>
              <w:t>说明：同一职务有多人担任（如主要技术人员），应分行填写。</w:t>
            </w:r>
          </w:p>
        </w:tc>
      </w:tr>
      <w:tr w14:paraId="6E3F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3E626566">
            <w:pPr>
              <w:jc w:val="center"/>
              <w:rPr>
                <w:rFonts w:ascii="宋体" w:hAnsi="宋体" w:cs="宋体"/>
                <w:b/>
                <w:bCs/>
                <w:szCs w:val="21"/>
              </w:rPr>
            </w:pPr>
            <w:r>
              <w:rPr>
                <w:rFonts w:hint="eastAsia" w:ascii="宋体" w:hAnsi="宋体" w:cs="宋体"/>
                <w:b/>
                <w:bCs/>
                <w:szCs w:val="21"/>
              </w:rPr>
              <w:t>投标（响应）供应商关联关系情况</w:t>
            </w:r>
          </w:p>
        </w:tc>
      </w:tr>
      <w:tr w14:paraId="4762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ABF03F8">
            <w:pPr>
              <w:jc w:val="center"/>
              <w:rPr>
                <w:rFonts w:ascii="宋体" w:hAnsi="宋体" w:cs="宋体"/>
                <w:szCs w:val="21"/>
                <w:lang w:bidi="ar"/>
              </w:rPr>
            </w:pPr>
            <w:r>
              <w:rPr>
                <w:rFonts w:hint="eastAsia" w:ascii="宋体" w:hAnsi="宋体" w:cs="宋体"/>
                <w:szCs w:val="21"/>
                <w:lang w:bidi="ar"/>
              </w:rPr>
              <w:t>序号</w:t>
            </w:r>
          </w:p>
        </w:tc>
        <w:tc>
          <w:tcPr>
            <w:tcW w:w="1275" w:type="pct"/>
            <w:gridSpan w:val="2"/>
            <w:tcBorders>
              <w:bottom w:val="single" w:color="auto" w:sz="4" w:space="0"/>
            </w:tcBorders>
            <w:vAlign w:val="center"/>
          </w:tcPr>
          <w:p w14:paraId="4BA06C02">
            <w:pPr>
              <w:jc w:val="center"/>
              <w:rPr>
                <w:rFonts w:ascii="宋体" w:hAnsi="宋体" w:cs="宋体"/>
                <w:szCs w:val="21"/>
              </w:rPr>
            </w:pPr>
            <w:r>
              <w:rPr>
                <w:rFonts w:hint="eastAsia" w:ascii="宋体" w:hAnsi="宋体" w:cs="宋体"/>
                <w:szCs w:val="21"/>
              </w:rPr>
              <w:t>关联关系类型</w:t>
            </w:r>
          </w:p>
        </w:tc>
        <w:tc>
          <w:tcPr>
            <w:tcW w:w="971" w:type="pct"/>
            <w:gridSpan w:val="2"/>
            <w:tcBorders>
              <w:bottom w:val="single" w:color="auto" w:sz="4" w:space="0"/>
            </w:tcBorders>
            <w:vAlign w:val="center"/>
          </w:tcPr>
          <w:p w14:paraId="0B6E9A90">
            <w:pPr>
              <w:jc w:val="center"/>
              <w:rPr>
                <w:rFonts w:ascii="宋体" w:hAnsi="宋体" w:cs="宋体"/>
                <w:szCs w:val="21"/>
              </w:rPr>
            </w:pPr>
            <w:r>
              <w:rPr>
                <w:rFonts w:hint="eastAsia" w:ascii="宋体" w:hAnsi="宋体" w:cs="宋体"/>
                <w:szCs w:val="21"/>
              </w:rPr>
              <w:t>关联主体名称</w:t>
            </w:r>
          </w:p>
        </w:tc>
        <w:tc>
          <w:tcPr>
            <w:tcW w:w="2340" w:type="pct"/>
            <w:gridSpan w:val="3"/>
            <w:tcBorders>
              <w:bottom w:val="single" w:color="auto" w:sz="4" w:space="0"/>
            </w:tcBorders>
            <w:vAlign w:val="center"/>
          </w:tcPr>
          <w:p w14:paraId="7A791622">
            <w:pPr>
              <w:jc w:val="center"/>
              <w:rPr>
                <w:rFonts w:ascii="宋体" w:hAnsi="宋体" w:cs="宋体"/>
                <w:szCs w:val="21"/>
              </w:rPr>
            </w:pPr>
            <w:r>
              <w:rPr>
                <w:rFonts w:hint="eastAsia" w:ascii="宋体" w:hAnsi="宋体" w:cs="宋体"/>
                <w:szCs w:val="21"/>
              </w:rPr>
              <w:t>备注</w:t>
            </w:r>
          </w:p>
        </w:tc>
      </w:tr>
      <w:tr w14:paraId="1F71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372E73E6">
            <w:pPr>
              <w:jc w:val="center"/>
              <w:rPr>
                <w:rFonts w:ascii="宋体" w:hAnsi="宋体" w:cs="宋体"/>
                <w:szCs w:val="21"/>
                <w:lang w:bidi="ar"/>
              </w:rPr>
            </w:pPr>
            <w:r>
              <w:rPr>
                <w:rFonts w:hint="eastAsia" w:ascii="宋体" w:hAnsi="宋体" w:cs="宋体"/>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7868223">
            <w:pPr>
              <w:jc w:val="center"/>
              <w:rPr>
                <w:rFonts w:ascii="宋体" w:hAnsi="宋体" w:cs="宋体"/>
                <w:szCs w:val="21"/>
              </w:rPr>
            </w:pPr>
            <w:r>
              <w:rPr>
                <w:rFonts w:hint="eastAsia" w:ascii="宋体" w:hAnsi="宋体" w:cs="宋体"/>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3C06EA4">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0EA3326E">
            <w:pPr>
              <w:snapToGrid w:val="0"/>
              <w:rPr>
                <w:rFonts w:ascii="宋体" w:hAnsi="宋体" w:cs="宋体"/>
                <w:szCs w:val="21"/>
              </w:rPr>
            </w:pPr>
            <w:r>
              <w:rPr>
                <w:rFonts w:hint="eastAsia" w:ascii="宋体" w:hAnsi="宋体" w:cs="宋体"/>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C18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6306DBE9">
            <w:pPr>
              <w:jc w:val="center"/>
              <w:rPr>
                <w:rFonts w:ascii="宋体" w:hAnsi="宋体" w:cs="宋体"/>
                <w:szCs w:val="21"/>
                <w:lang w:bidi="ar"/>
              </w:rPr>
            </w:pPr>
            <w:r>
              <w:rPr>
                <w:rFonts w:hint="eastAsia" w:ascii="宋体" w:hAnsi="宋体" w:cs="宋体"/>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D0BDB9B">
            <w:pPr>
              <w:jc w:val="center"/>
              <w:rPr>
                <w:rFonts w:ascii="宋体" w:hAnsi="宋体" w:cs="宋体"/>
                <w:szCs w:val="21"/>
              </w:rPr>
            </w:pPr>
            <w:r>
              <w:rPr>
                <w:rFonts w:hint="eastAsia" w:ascii="宋体" w:hAnsi="宋体" w:cs="宋体"/>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31D36BB8">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2C3556E1">
            <w:pPr>
              <w:snapToGrid w:val="0"/>
              <w:rPr>
                <w:rFonts w:ascii="宋体" w:hAnsi="宋体" w:cs="宋体"/>
                <w:szCs w:val="21"/>
              </w:rPr>
            </w:pPr>
            <w:r>
              <w:rPr>
                <w:rFonts w:hint="eastAsia" w:ascii="宋体" w:hAnsi="宋体" w:cs="宋体"/>
                <w:szCs w:val="21"/>
              </w:rPr>
              <w:t>指对投标（响应）供应商不具有出资持股关系，但对其存在管理关系的主体。</w:t>
            </w:r>
          </w:p>
        </w:tc>
      </w:tr>
      <w:tr w14:paraId="0518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12290F89">
            <w:pPr>
              <w:snapToGrid w:val="0"/>
              <w:rPr>
                <w:rFonts w:ascii="宋体" w:hAnsi="宋体" w:cs="宋体"/>
                <w:szCs w:val="21"/>
              </w:rPr>
            </w:pPr>
            <w:r>
              <w:rPr>
                <w:rFonts w:hint="eastAsia" w:ascii="宋体" w:hAnsi="宋体" w:cs="宋体"/>
                <w:b/>
                <w:bCs/>
                <w:szCs w:val="21"/>
              </w:rPr>
              <w:t>说明：同一关联关系类型有多个主体的，应分行填写。</w:t>
            </w:r>
          </w:p>
        </w:tc>
      </w:tr>
    </w:tbl>
    <w:p w14:paraId="64F43210">
      <w:pPr>
        <w:pStyle w:val="193"/>
        <w:rPr>
          <w:rFonts w:ascii="宋体" w:hAnsi="宋体"/>
          <w:b/>
          <w:color w:val="FF0000"/>
          <w:sz w:val="28"/>
          <w:szCs w:val="28"/>
        </w:rPr>
      </w:pPr>
    </w:p>
    <w:p w14:paraId="5799A448">
      <w:pPr>
        <w:pStyle w:val="5"/>
        <w:jc w:val="center"/>
        <w:rPr>
          <w:rFonts w:ascii="黑体" w:eastAsia="黑体"/>
          <w:b w:val="0"/>
          <w:kern w:val="0"/>
          <w:sz w:val="24"/>
        </w:rPr>
      </w:pPr>
      <w:r>
        <w:rPr>
          <w:rFonts w:hint="eastAsia" w:ascii="黑体" w:eastAsia="黑体"/>
          <w:b w:val="0"/>
          <w:kern w:val="0"/>
          <w:sz w:val="24"/>
        </w:rPr>
        <w:t>二、</w:t>
      </w:r>
      <w:bookmarkStart w:id="45" w:name="_Hlk72092499"/>
      <w:r>
        <w:rPr>
          <w:rFonts w:hint="eastAsia" w:ascii="黑体" w:eastAsia="黑体"/>
          <w:b w:val="0"/>
          <w:kern w:val="0"/>
          <w:sz w:val="24"/>
        </w:rPr>
        <w:t>法定代表人（负责人）证明书</w:t>
      </w:r>
      <w:bookmarkEnd w:id="45"/>
    </w:p>
    <w:p w14:paraId="0BCDC55F">
      <w:pPr>
        <w:spacing w:line="360" w:lineRule="auto"/>
        <w:ind w:firstLine="420" w:firstLineChars="200"/>
        <w:rPr>
          <w:szCs w:val="21"/>
        </w:rPr>
      </w:pPr>
      <w:r>
        <w:rPr>
          <w:rFonts w:hint="eastAsia"/>
          <w:szCs w:val="21"/>
          <w:u w:val="single"/>
        </w:rPr>
        <w:t xml:space="preserve">                 </w:t>
      </w:r>
      <w:r>
        <w:rPr>
          <w:rFonts w:hint="eastAsia"/>
          <w:szCs w:val="21"/>
        </w:rPr>
        <w:t>（姓名），现任我单位</w:t>
      </w:r>
      <w:r>
        <w:rPr>
          <w:rFonts w:hint="eastAsia"/>
          <w:szCs w:val="21"/>
          <w:u w:val="single"/>
        </w:rPr>
        <w:t xml:space="preserve">             </w:t>
      </w:r>
      <w:r>
        <w:rPr>
          <w:rFonts w:hint="eastAsia"/>
          <w:szCs w:val="21"/>
        </w:rPr>
        <w:t>职务，为法定代表人（负责人），身份证件号为：</w:t>
      </w:r>
      <w:r>
        <w:rPr>
          <w:rFonts w:hint="eastAsia"/>
          <w:szCs w:val="21"/>
          <w:u w:val="single"/>
        </w:rPr>
        <w:t xml:space="preserve">                                     </w:t>
      </w:r>
      <w:r>
        <w:rPr>
          <w:rFonts w:hint="eastAsia"/>
          <w:szCs w:val="21"/>
        </w:rPr>
        <w:t>，联系电话：</w:t>
      </w:r>
      <w:r>
        <w:rPr>
          <w:rFonts w:hint="eastAsia"/>
          <w:szCs w:val="21"/>
          <w:u w:val="single"/>
        </w:rPr>
        <w:t xml:space="preserve">                </w:t>
      </w:r>
      <w:r>
        <w:rPr>
          <w:rFonts w:hint="eastAsia"/>
          <w:szCs w:val="21"/>
        </w:rPr>
        <w:t>。</w:t>
      </w:r>
    </w:p>
    <w:p w14:paraId="4981E253">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特此证明。</w:t>
      </w:r>
    </w:p>
    <w:p w14:paraId="45E1D9A0">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说明：</w:t>
      </w:r>
      <w:r>
        <w:rPr>
          <w:rFonts w:asciiTheme="minorEastAsia" w:hAnsiTheme="minorEastAsia" w:eastAsiaTheme="minorEastAsia"/>
          <w:szCs w:val="21"/>
        </w:rPr>
        <w:t>1.</w:t>
      </w:r>
      <w:r>
        <w:rPr>
          <w:rFonts w:hint="eastAsia" w:asciiTheme="minorEastAsia" w:hAnsiTheme="minorEastAsia" w:eastAsiaTheme="minorEastAsia"/>
          <w:szCs w:val="21"/>
        </w:rPr>
        <w:t>法定代表人为投标人（企业事业单位、国家机关、社会团体）的主要行政负责人。</w:t>
      </w:r>
    </w:p>
    <w:p w14:paraId="3D529D5E">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lang w:eastAsia="zh-Hans"/>
        </w:rPr>
        <w:t>本证明书要提供法定代表人（负责人）</w:t>
      </w:r>
      <w:r>
        <w:rPr>
          <w:rFonts w:hint="eastAsia" w:asciiTheme="minorEastAsia" w:hAnsiTheme="minorEastAsia" w:eastAsiaTheme="minorEastAsia"/>
          <w:szCs w:val="21"/>
        </w:rPr>
        <w:t>相关身份证明文件：身份证扫描件（正反两面）；港澳台居民可提供来往通行证扫描件；非中国国籍管辖范围人员，可提供公安部门认可的身份证明材料扫描件。</w:t>
      </w:r>
    </w:p>
    <w:p w14:paraId="5C61EDBA">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lang w:eastAsia="zh-Hans"/>
        </w:rPr>
        <w:t>本项目投标授权代表为法定代表人（负责人）的，无需提供</w:t>
      </w:r>
      <w:r>
        <w:rPr>
          <w:rFonts w:hint="eastAsia" w:asciiTheme="minorEastAsia" w:hAnsiTheme="minorEastAsia" w:eastAsiaTheme="minorEastAsia"/>
          <w:szCs w:val="21"/>
        </w:rPr>
        <w:t>《投标文件签署授权委托书》</w:t>
      </w:r>
      <w:r>
        <w:rPr>
          <w:rFonts w:hint="eastAsia" w:asciiTheme="minorEastAsia" w:hAnsiTheme="minorEastAsia" w:eastAsiaTheme="minorEastAsia"/>
          <w:szCs w:val="21"/>
          <w:lang w:eastAsia="zh-Hans"/>
        </w:rPr>
        <w:t>。</w:t>
      </w:r>
    </w:p>
    <w:p w14:paraId="255DFBDB">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内容必须填写真实、清楚，涂改无效，不得转让、买卖。</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1F4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1885FDA">
            <w:pPr>
              <w:jc w:val="center"/>
            </w:pPr>
            <w:r>
              <w:rPr>
                <w:rFonts w:hint="eastAsia"/>
              </w:rPr>
              <w:t>证件扫描件正面</w:t>
            </w:r>
          </w:p>
          <w:p w14:paraId="3A5376C5">
            <w:pPr>
              <w:pStyle w:val="2"/>
            </w:pPr>
          </w:p>
          <w:p w14:paraId="780A3873">
            <w:pPr>
              <w:pStyle w:val="3"/>
            </w:pPr>
          </w:p>
          <w:p w14:paraId="4E186A27">
            <w:pPr>
              <w:pStyle w:val="3"/>
            </w:pPr>
          </w:p>
          <w:p w14:paraId="3CCAE05E">
            <w:pPr>
              <w:pStyle w:val="3"/>
            </w:pPr>
          </w:p>
        </w:tc>
        <w:tc>
          <w:tcPr>
            <w:tcW w:w="4265" w:type="dxa"/>
          </w:tcPr>
          <w:p w14:paraId="4221578B">
            <w:pPr>
              <w:jc w:val="center"/>
            </w:pPr>
            <w:r>
              <w:rPr>
                <w:rFonts w:hint="eastAsia"/>
              </w:rPr>
              <w:t>证件扫描件反面</w:t>
            </w:r>
          </w:p>
          <w:p w14:paraId="19B04F69">
            <w:pPr>
              <w:pStyle w:val="2"/>
              <w:jc w:val="center"/>
            </w:pPr>
          </w:p>
          <w:p w14:paraId="46D078B8">
            <w:pPr>
              <w:pStyle w:val="3"/>
              <w:jc w:val="center"/>
            </w:pPr>
          </w:p>
        </w:tc>
      </w:tr>
    </w:tbl>
    <w:p w14:paraId="7796D75A">
      <w:pPr>
        <w:pStyle w:val="193"/>
        <w:rPr>
          <w:rFonts w:ascii="黑体" w:hAnsi="黑体" w:eastAsia="黑体" w:cs="黑体"/>
          <w:b/>
          <w:bCs/>
          <w:sz w:val="24"/>
          <w:szCs w:val="24"/>
        </w:rPr>
      </w:pPr>
    </w:p>
    <w:p w14:paraId="232F3CCD">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08089F78">
      <w:pPr>
        <w:rPr>
          <w:sz w:val="24"/>
        </w:rPr>
      </w:pPr>
    </w:p>
    <w:p w14:paraId="45D94FCB">
      <w:pPr>
        <w:pStyle w:val="5"/>
        <w:jc w:val="center"/>
        <w:rPr>
          <w:rFonts w:ascii="黑体" w:eastAsia="黑体"/>
          <w:b w:val="0"/>
          <w:kern w:val="0"/>
          <w:sz w:val="24"/>
        </w:rPr>
      </w:pPr>
      <w:r>
        <w:rPr>
          <w:rFonts w:hint="eastAsia" w:ascii="黑体" w:eastAsia="黑体"/>
          <w:b w:val="0"/>
          <w:kern w:val="0"/>
          <w:sz w:val="24"/>
        </w:rPr>
        <w:t>三、投标文件签署授权委托书</w:t>
      </w:r>
    </w:p>
    <w:p w14:paraId="2D5C7DE6">
      <w:pPr>
        <w:spacing w:line="360" w:lineRule="auto"/>
        <w:ind w:firstLine="420" w:firstLineChars="20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14:paraId="1F5518D3">
      <w:pPr>
        <w:spacing w:line="360" w:lineRule="auto"/>
        <w:ind w:firstLine="420" w:firstLineChars="200"/>
        <w:rPr>
          <w:szCs w:val="21"/>
        </w:rPr>
      </w:pPr>
      <w:r>
        <w:rPr>
          <w:rFonts w:hint="eastAsia"/>
          <w:szCs w:val="21"/>
        </w:rPr>
        <w:t>代理人无转委托权，特此委托。</w:t>
      </w:r>
    </w:p>
    <w:p w14:paraId="5A04F7C3">
      <w:pPr>
        <w:spacing w:line="360" w:lineRule="auto"/>
        <w:ind w:firstLine="420" w:firstLineChars="200"/>
        <w:rPr>
          <w:szCs w:val="21"/>
        </w:rPr>
      </w:pPr>
    </w:p>
    <w:p w14:paraId="7934A5FF">
      <w:pPr>
        <w:spacing w:line="360" w:lineRule="auto"/>
        <w:ind w:firstLine="420" w:firstLineChars="200"/>
        <w:rPr>
          <w:szCs w:val="21"/>
        </w:rPr>
      </w:pPr>
      <w:r>
        <w:rPr>
          <w:rFonts w:hint="eastAsia"/>
          <w:szCs w:val="21"/>
        </w:rPr>
        <w:t>代理人：</w:t>
      </w:r>
      <w:r>
        <w:rPr>
          <w:rFonts w:hint="eastAsia"/>
          <w:szCs w:val="21"/>
          <w:u w:val="single"/>
        </w:rPr>
        <w:t xml:space="preserve">              </w:t>
      </w:r>
      <w:r>
        <w:rPr>
          <w:rFonts w:hint="eastAsia"/>
          <w:szCs w:val="21"/>
        </w:rPr>
        <w:t>；</w:t>
      </w:r>
    </w:p>
    <w:p w14:paraId="18F3B313">
      <w:pPr>
        <w:spacing w:line="360" w:lineRule="auto"/>
        <w:ind w:firstLine="420" w:firstLineChars="200"/>
        <w:rPr>
          <w:szCs w:val="21"/>
        </w:rPr>
      </w:pPr>
      <w:r>
        <w:rPr>
          <w:rFonts w:hint="eastAsia"/>
          <w:szCs w:val="21"/>
        </w:rPr>
        <w:t>身份证件号：</w:t>
      </w:r>
      <w:r>
        <w:rPr>
          <w:rFonts w:hint="eastAsia"/>
          <w:szCs w:val="21"/>
          <w:u w:val="single"/>
        </w:rPr>
        <w:t xml:space="preserve">                        </w:t>
      </w:r>
      <w:r>
        <w:rPr>
          <w:rFonts w:hint="eastAsia"/>
          <w:szCs w:val="21"/>
        </w:rPr>
        <w:t>，职务：</w:t>
      </w:r>
      <w:r>
        <w:rPr>
          <w:rFonts w:hint="eastAsia"/>
          <w:szCs w:val="21"/>
          <w:u w:val="single"/>
        </w:rPr>
        <w:t xml:space="preserve">                </w:t>
      </w:r>
      <w:r>
        <w:rPr>
          <w:rFonts w:hint="eastAsia"/>
          <w:szCs w:val="21"/>
        </w:rPr>
        <w:t>；</w:t>
      </w:r>
    </w:p>
    <w:p w14:paraId="1A537D01">
      <w:pPr>
        <w:spacing w:line="360" w:lineRule="auto"/>
        <w:ind w:firstLine="420" w:firstLineChars="200"/>
        <w:rPr>
          <w:szCs w:val="21"/>
        </w:rPr>
      </w:pPr>
      <w:r>
        <w:rPr>
          <w:rFonts w:hint="eastAsia"/>
          <w:szCs w:val="21"/>
        </w:rPr>
        <w:t>联系电话：</w:t>
      </w:r>
      <w:r>
        <w:rPr>
          <w:rFonts w:hint="eastAsia"/>
          <w:szCs w:val="21"/>
          <w:u w:val="single"/>
        </w:rPr>
        <w:t xml:space="preserve">         </w:t>
      </w:r>
      <w:r>
        <w:rPr>
          <w:rFonts w:hint="eastAsia"/>
          <w:szCs w:val="21"/>
        </w:rPr>
        <w:t>，手机：</w:t>
      </w:r>
      <w:r>
        <w:rPr>
          <w:rFonts w:hint="eastAsia"/>
          <w:szCs w:val="21"/>
          <w:u w:val="single"/>
        </w:rPr>
        <w:t xml:space="preserve">                </w:t>
      </w:r>
      <w:r>
        <w:rPr>
          <w:rFonts w:hint="eastAsia"/>
          <w:szCs w:val="21"/>
        </w:rPr>
        <w:t>，电子邮箱：</w:t>
      </w:r>
      <w:r>
        <w:rPr>
          <w:rFonts w:hint="eastAsia"/>
          <w:szCs w:val="21"/>
          <w:u w:val="single"/>
        </w:rPr>
        <w:t xml:space="preserve">                     </w:t>
      </w:r>
      <w:r>
        <w:rPr>
          <w:rFonts w:hint="eastAsia"/>
          <w:szCs w:val="21"/>
        </w:rPr>
        <w:t>；</w:t>
      </w:r>
    </w:p>
    <w:p w14:paraId="63B0D475">
      <w:pPr>
        <w:spacing w:line="360" w:lineRule="auto"/>
        <w:ind w:firstLine="420" w:firstLineChars="20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p>
    <w:p w14:paraId="70D5155C">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4B34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9DF7218">
            <w:pPr>
              <w:jc w:val="center"/>
            </w:pPr>
            <w:r>
              <w:rPr>
                <w:rFonts w:hint="eastAsia"/>
              </w:rPr>
              <w:t>证件扫描件正面</w:t>
            </w:r>
          </w:p>
          <w:p w14:paraId="6D5017C4">
            <w:pPr>
              <w:pStyle w:val="2"/>
            </w:pPr>
          </w:p>
          <w:p w14:paraId="610457FB">
            <w:pPr>
              <w:pStyle w:val="3"/>
            </w:pPr>
          </w:p>
          <w:p w14:paraId="36CE79D3">
            <w:pPr>
              <w:pStyle w:val="3"/>
            </w:pPr>
          </w:p>
          <w:p w14:paraId="2BB569C8">
            <w:pPr>
              <w:pStyle w:val="3"/>
            </w:pPr>
          </w:p>
        </w:tc>
        <w:tc>
          <w:tcPr>
            <w:tcW w:w="4265" w:type="dxa"/>
          </w:tcPr>
          <w:p w14:paraId="6A8194B5">
            <w:pPr>
              <w:jc w:val="center"/>
            </w:pPr>
            <w:r>
              <w:rPr>
                <w:rFonts w:hint="eastAsia"/>
              </w:rPr>
              <w:t>证件扫描件反面</w:t>
            </w:r>
          </w:p>
          <w:p w14:paraId="51614F8D">
            <w:pPr>
              <w:pStyle w:val="2"/>
              <w:jc w:val="center"/>
            </w:pPr>
          </w:p>
          <w:p w14:paraId="1FAE319A">
            <w:pPr>
              <w:pStyle w:val="3"/>
              <w:jc w:val="center"/>
            </w:pPr>
          </w:p>
        </w:tc>
      </w:tr>
    </w:tbl>
    <w:p w14:paraId="32AD974F">
      <w:pPr>
        <w:pStyle w:val="193"/>
        <w:rPr>
          <w:rFonts w:ascii="黑体" w:hAnsi="黑体" w:eastAsia="黑体" w:cs="黑体"/>
          <w:b/>
          <w:bCs/>
          <w:sz w:val="24"/>
          <w:szCs w:val="24"/>
        </w:rPr>
      </w:pPr>
    </w:p>
    <w:p w14:paraId="468C627A">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2B5B6586">
      <w:pPr>
        <w:pStyle w:val="5"/>
        <w:jc w:val="center"/>
        <w:rPr>
          <w:rFonts w:ascii="黑体" w:eastAsia="黑体"/>
          <w:b w:val="0"/>
          <w:kern w:val="0"/>
          <w:sz w:val="24"/>
        </w:rPr>
      </w:pPr>
      <w:r>
        <w:rPr>
          <w:rFonts w:hint="eastAsia" w:ascii="黑体" w:eastAsia="黑体"/>
          <w:b w:val="0"/>
          <w:kern w:val="0"/>
          <w:sz w:val="24"/>
        </w:rPr>
        <w:t>四、</w:t>
      </w:r>
      <w:bookmarkStart w:id="46" w:name="_Hlk72092634"/>
      <w:r>
        <w:rPr>
          <w:rFonts w:hint="eastAsia" w:ascii="黑体" w:eastAsia="黑体"/>
          <w:b w:val="0"/>
          <w:kern w:val="0"/>
          <w:sz w:val="24"/>
        </w:rPr>
        <w:t>实质性条款响应情况表</w:t>
      </w:r>
      <w:bookmarkEnd w:id="46"/>
    </w:p>
    <w:tbl>
      <w:tblPr>
        <w:tblStyle w:val="4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91"/>
        <w:gridCol w:w="1361"/>
        <w:gridCol w:w="1842"/>
        <w:gridCol w:w="1418"/>
      </w:tblGrid>
      <w:tr w14:paraId="02CE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vAlign w:val="center"/>
          </w:tcPr>
          <w:p w14:paraId="383A1C8B">
            <w:pPr>
              <w:adjustRightInd w:val="0"/>
              <w:snapToGrid w:val="0"/>
              <w:spacing w:line="360" w:lineRule="auto"/>
              <w:jc w:val="center"/>
              <w:rPr>
                <w:rFonts w:ascii="宋体" w:hAnsi="宋体"/>
                <w:kern w:val="0"/>
                <w:szCs w:val="21"/>
              </w:rPr>
            </w:pPr>
            <w:bookmarkStart w:id="47" w:name="_Hlk72092651"/>
            <w:r>
              <w:rPr>
                <w:rFonts w:hint="eastAsia" w:ascii="宋体" w:hAnsi="宋体"/>
                <w:kern w:val="0"/>
                <w:szCs w:val="21"/>
              </w:rPr>
              <w:t>序号</w:t>
            </w:r>
          </w:p>
        </w:tc>
        <w:tc>
          <w:tcPr>
            <w:tcW w:w="2891" w:type="dxa"/>
            <w:vAlign w:val="center"/>
          </w:tcPr>
          <w:p w14:paraId="00E9DE9E">
            <w:pPr>
              <w:adjustRightInd w:val="0"/>
              <w:snapToGrid w:val="0"/>
              <w:spacing w:line="360" w:lineRule="auto"/>
              <w:jc w:val="center"/>
              <w:rPr>
                <w:rFonts w:ascii="宋体" w:hAnsi="宋体"/>
                <w:kern w:val="0"/>
                <w:szCs w:val="21"/>
              </w:rPr>
            </w:pPr>
            <w:r>
              <w:rPr>
                <w:rFonts w:hint="eastAsia" w:ascii="宋体" w:hAnsi="宋体"/>
                <w:kern w:val="0"/>
                <w:szCs w:val="21"/>
              </w:rPr>
              <w:t>实质性条款具体内容</w:t>
            </w:r>
          </w:p>
        </w:tc>
        <w:tc>
          <w:tcPr>
            <w:tcW w:w="1361" w:type="dxa"/>
            <w:vAlign w:val="center"/>
          </w:tcPr>
          <w:p w14:paraId="4827BF67">
            <w:pPr>
              <w:adjustRightInd w:val="0"/>
              <w:snapToGrid w:val="0"/>
              <w:spacing w:line="360" w:lineRule="auto"/>
              <w:jc w:val="center"/>
              <w:rPr>
                <w:rFonts w:ascii="宋体" w:hAnsi="宋体"/>
                <w:kern w:val="0"/>
                <w:szCs w:val="21"/>
              </w:rPr>
            </w:pPr>
            <w:r>
              <w:rPr>
                <w:rFonts w:hint="eastAsia"/>
              </w:rPr>
              <w:t>投标响应</w:t>
            </w:r>
          </w:p>
        </w:tc>
        <w:tc>
          <w:tcPr>
            <w:tcW w:w="1842" w:type="dxa"/>
            <w:vAlign w:val="center"/>
          </w:tcPr>
          <w:p w14:paraId="3B91172F">
            <w:pPr>
              <w:adjustRightInd w:val="0"/>
              <w:snapToGrid w:val="0"/>
              <w:spacing w:line="360" w:lineRule="auto"/>
              <w:jc w:val="center"/>
              <w:rPr>
                <w:rFonts w:ascii="宋体" w:hAnsi="宋体"/>
                <w:kern w:val="0"/>
                <w:szCs w:val="21"/>
              </w:rPr>
            </w:pPr>
            <w:r>
              <w:rPr>
                <w:rFonts w:hint="eastAsia"/>
              </w:rPr>
              <w:t>偏离情况</w:t>
            </w:r>
          </w:p>
        </w:tc>
        <w:tc>
          <w:tcPr>
            <w:tcW w:w="1418" w:type="dxa"/>
            <w:vAlign w:val="center"/>
          </w:tcPr>
          <w:p w14:paraId="2DBFCCF4">
            <w:pPr>
              <w:adjustRightInd w:val="0"/>
              <w:snapToGrid w:val="0"/>
              <w:spacing w:line="360" w:lineRule="auto"/>
              <w:jc w:val="center"/>
              <w:rPr>
                <w:rFonts w:ascii="宋体" w:hAnsi="宋体"/>
                <w:kern w:val="0"/>
                <w:szCs w:val="21"/>
              </w:rPr>
            </w:pPr>
            <w:r>
              <w:rPr>
                <w:rFonts w:hint="eastAsia"/>
              </w:rPr>
              <w:t>说明</w:t>
            </w:r>
          </w:p>
        </w:tc>
      </w:tr>
      <w:bookmarkEnd w:id="47"/>
      <w:tr w14:paraId="3D7E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E9CC70C">
            <w:pPr>
              <w:adjustRightInd w:val="0"/>
              <w:snapToGrid w:val="0"/>
              <w:spacing w:line="360" w:lineRule="auto"/>
              <w:rPr>
                <w:rFonts w:ascii="宋体" w:hAnsi="宋体"/>
                <w:kern w:val="0"/>
                <w:szCs w:val="21"/>
              </w:rPr>
            </w:pPr>
            <w:r>
              <w:rPr>
                <w:rFonts w:hint="eastAsia" w:ascii="宋体" w:hAnsi="宋体"/>
                <w:kern w:val="0"/>
                <w:szCs w:val="21"/>
              </w:rPr>
              <w:t>1</w:t>
            </w:r>
          </w:p>
        </w:tc>
        <w:tc>
          <w:tcPr>
            <w:tcW w:w="2891" w:type="dxa"/>
            <w:vAlign w:val="center"/>
          </w:tcPr>
          <w:p w14:paraId="21C8A997">
            <w:pPr>
              <w:adjustRightInd w:val="0"/>
              <w:snapToGrid w:val="0"/>
              <w:spacing w:line="360" w:lineRule="auto"/>
              <w:jc w:val="center"/>
              <w:rPr>
                <w:rFonts w:hAnsi="宋体"/>
                <w:kern w:val="0"/>
                <w:szCs w:val="21"/>
              </w:rPr>
            </w:pPr>
            <w:r>
              <w:rPr>
                <w:rFonts w:hint="eastAsia"/>
              </w:rPr>
              <w:t>满足本项目标★的条款要求</w:t>
            </w:r>
          </w:p>
        </w:tc>
        <w:tc>
          <w:tcPr>
            <w:tcW w:w="1361" w:type="dxa"/>
          </w:tcPr>
          <w:p w14:paraId="53F874D2">
            <w:pPr>
              <w:adjustRightInd w:val="0"/>
              <w:snapToGrid w:val="0"/>
              <w:spacing w:line="360" w:lineRule="auto"/>
              <w:rPr>
                <w:rFonts w:ascii="宋体" w:hAnsi="宋体"/>
                <w:kern w:val="0"/>
                <w:szCs w:val="21"/>
              </w:rPr>
            </w:pPr>
          </w:p>
        </w:tc>
        <w:tc>
          <w:tcPr>
            <w:tcW w:w="1842" w:type="dxa"/>
          </w:tcPr>
          <w:p w14:paraId="25121290">
            <w:pPr>
              <w:adjustRightInd w:val="0"/>
              <w:snapToGrid w:val="0"/>
              <w:spacing w:line="360" w:lineRule="auto"/>
              <w:rPr>
                <w:rFonts w:ascii="宋体" w:hAnsi="宋体"/>
                <w:kern w:val="0"/>
                <w:szCs w:val="21"/>
              </w:rPr>
            </w:pPr>
          </w:p>
        </w:tc>
        <w:tc>
          <w:tcPr>
            <w:tcW w:w="1418" w:type="dxa"/>
          </w:tcPr>
          <w:p w14:paraId="794FCD1B">
            <w:pPr>
              <w:adjustRightInd w:val="0"/>
              <w:snapToGrid w:val="0"/>
              <w:spacing w:line="360" w:lineRule="auto"/>
              <w:rPr>
                <w:rFonts w:ascii="宋体" w:hAnsi="宋体"/>
                <w:kern w:val="0"/>
                <w:szCs w:val="21"/>
              </w:rPr>
            </w:pPr>
          </w:p>
        </w:tc>
      </w:tr>
    </w:tbl>
    <w:p w14:paraId="3AF7A989">
      <w:pPr>
        <w:ind w:firstLine="482" w:firstLineChars="200"/>
        <w:rPr>
          <w:b/>
          <w:sz w:val="24"/>
          <w:szCs w:val="22"/>
        </w:rPr>
      </w:pPr>
      <w:r>
        <w:rPr>
          <w:rFonts w:hint="eastAsia"/>
          <w:b/>
          <w:sz w:val="24"/>
          <w:szCs w:val="22"/>
        </w:rPr>
        <w:t>注：1.上表所列各项均为不可负偏离条款。</w:t>
      </w:r>
    </w:p>
    <w:p w14:paraId="671E47B5">
      <w:pPr>
        <w:ind w:firstLine="482" w:firstLineChars="200"/>
        <w:rPr>
          <w:b/>
          <w:sz w:val="24"/>
          <w:szCs w:val="22"/>
        </w:rPr>
      </w:pPr>
      <w:r>
        <w:rPr>
          <w:rFonts w:hint="eastAsia"/>
          <w:b/>
          <w:sz w:val="24"/>
          <w:szCs w:val="22"/>
        </w:rPr>
        <w:t>2.“投标响应”一栏应当详细填写投标人自身响应情况，而不能不合理照搬照抄招实质性条款具体内容。</w:t>
      </w:r>
    </w:p>
    <w:p w14:paraId="1BB377C4">
      <w:pPr>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14:paraId="724E81ED">
      <w:pPr>
        <w:ind w:firstLine="482" w:firstLineChars="200"/>
        <w:rPr>
          <w:b/>
          <w:sz w:val="24"/>
        </w:rPr>
      </w:pPr>
      <w:r>
        <w:rPr>
          <w:b/>
          <w:sz w:val="24"/>
        </w:rPr>
        <w:t>4.</w:t>
      </w:r>
      <w:r>
        <w:rPr>
          <w:rFonts w:hint="eastAsia"/>
          <w:b/>
          <w:sz w:val="24"/>
        </w:rPr>
        <w:t>评审委员会有权对投标响应情况作出判断（作出评审结论）。</w:t>
      </w:r>
    </w:p>
    <w:p w14:paraId="548F4A42">
      <w:pPr>
        <w:ind w:firstLine="482" w:firstLineChars="200"/>
        <w:rPr>
          <w:b/>
          <w:sz w:val="24"/>
          <w:szCs w:val="22"/>
        </w:rPr>
      </w:pPr>
      <w:r>
        <w:rPr>
          <w:b/>
          <w:sz w:val="24"/>
          <w:szCs w:val="22"/>
        </w:rPr>
        <w:t>5</w:t>
      </w:r>
      <w:r>
        <w:rPr>
          <w:rFonts w:hint="eastAsia"/>
          <w:b/>
          <w:sz w:val="24"/>
          <w:szCs w:val="22"/>
        </w:rPr>
        <w:t>.实质性响应条款“投标响应情况”与投标文件其它内容冲突的，以实质性响应条款“投标响应情况”为准。</w:t>
      </w:r>
    </w:p>
    <w:p w14:paraId="32A520A3">
      <w:pPr>
        <w:ind w:firstLine="482" w:firstLineChars="200"/>
        <w:rPr>
          <w:b/>
          <w:sz w:val="24"/>
          <w:szCs w:val="22"/>
        </w:rPr>
      </w:pPr>
      <w:r>
        <w:rPr>
          <w:rFonts w:hint="eastAsia"/>
          <w:b/>
          <w:sz w:val="24"/>
          <w:szCs w:val="22"/>
        </w:rPr>
        <w:t>6.要求提供证明资料，在“说明”一栏中列明证明资料的位置,以便评审；未要求提供证明材料的，投标人可以不提供。</w:t>
      </w:r>
    </w:p>
    <w:p w14:paraId="7E4C0033">
      <w:pPr>
        <w:rPr>
          <w:b/>
          <w:bCs/>
          <w:sz w:val="24"/>
        </w:rPr>
      </w:pPr>
    </w:p>
    <w:p w14:paraId="24805651">
      <w:pPr>
        <w:ind w:left="723" w:hanging="723" w:hangingChars="300"/>
        <w:rPr>
          <w:b/>
          <w:sz w:val="24"/>
        </w:rPr>
      </w:pPr>
    </w:p>
    <w:p w14:paraId="533D8AE4">
      <w:pPr>
        <w:pStyle w:val="5"/>
        <w:jc w:val="center"/>
        <w:rPr>
          <w:rFonts w:ascii="黑体" w:eastAsia="黑体"/>
          <w:b w:val="0"/>
          <w:kern w:val="0"/>
          <w:sz w:val="24"/>
        </w:rPr>
      </w:pPr>
      <w:r>
        <w:rPr>
          <w:rFonts w:hint="eastAsia" w:ascii="黑体" w:eastAsia="黑体"/>
          <w:b w:val="0"/>
          <w:kern w:val="0"/>
          <w:sz w:val="24"/>
        </w:rPr>
        <w:t>五、项目详细报价</w:t>
      </w:r>
    </w:p>
    <w:p w14:paraId="32E77186">
      <w:pPr>
        <w:pStyle w:val="3"/>
        <w:jc w:val="center"/>
      </w:pPr>
      <w:r>
        <w:rPr>
          <w:rFonts w:hint="eastAsia"/>
          <w:b/>
          <w:bCs/>
        </w:rPr>
        <w:t>（一）</w:t>
      </w:r>
      <w:r>
        <w:rPr>
          <w:rFonts w:hint="eastAsia"/>
          <w:b/>
        </w:rPr>
        <w:t>分项报价表</w:t>
      </w:r>
    </w:p>
    <w:tbl>
      <w:tblPr>
        <w:tblStyle w:val="43"/>
        <w:tblW w:w="88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2987"/>
        <w:gridCol w:w="2625"/>
        <w:gridCol w:w="2201"/>
      </w:tblGrid>
      <w:tr w14:paraId="4416B9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058" w:type="dxa"/>
            <w:tcBorders>
              <w:top w:val="double" w:color="auto" w:sz="4" w:space="0"/>
              <w:bottom w:val="single" w:color="auto" w:sz="4" w:space="0"/>
            </w:tcBorders>
            <w:vAlign w:val="center"/>
          </w:tcPr>
          <w:p w14:paraId="5A4F20EC">
            <w:pPr>
              <w:widowControl/>
              <w:adjustRightInd w:val="0"/>
              <w:snapToGrid w:val="0"/>
              <w:spacing w:line="300" w:lineRule="auto"/>
              <w:jc w:val="center"/>
              <w:rPr>
                <w:rFonts w:hint="default" w:ascii="宋体" w:hAnsi="宋体" w:eastAsia="宋体"/>
                <w:snapToGrid w:val="0"/>
                <w:kern w:val="0"/>
                <w:sz w:val="24"/>
                <w:szCs w:val="21"/>
                <w:lang w:val="en-US" w:eastAsia="zh-CN"/>
              </w:rPr>
            </w:pPr>
            <w:r>
              <w:rPr>
                <w:rFonts w:hint="eastAsia" w:ascii="宋体" w:hAnsi="宋体"/>
                <w:snapToGrid w:val="0"/>
                <w:kern w:val="0"/>
                <w:sz w:val="24"/>
                <w:szCs w:val="21"/>
                <w:lang w:val="en-US" w:eastAsia="zh-CN"/>
              </w:rPr>
              <w:t>包号</w:t>
            </w:r>
          </w:p>
        </w:tc>
        <w:tc>
          <w:tcPr>
            <w:tcW w:w="2987" w:type="dxa"/>
            <w:tcBorders>
              <w:top w:val="double" w:color="auto" w:sz="4" w:space="0"/>
              <w:bottom w:val="single" w:color="auto" w:sz="4" w:space="0"/>
            </w:tcBorders>
            <w:vAlign w:val="center"/>
          </w:tcPr>
          <w:p w14:paraId="68026D56">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项目名称</w:t>
            </w:r>
          </w:p>
        </w:tc>
        <w:tc>
          <w:tcPr>
            <w:tcW w:w="2625" w:type="dxa"/>
            <w:tcBorders>
              <w:top w:val="double" w:color="auto" w:sz="4" w:space="0"/>
              <w:bottom w:val="single" w:color="auto" w:sz="4" w:space="0"/>
            </w:tcBorders>
            <w:vAlign w:val="center"/>
          </w:tcPr>
          <w:p w14:paraId="7733AAF9">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投标折扣率</w:t>
            </w:r>
          </w:p>
        </w:tc>
        <w:tc>
          <w:tcPr>
            <w:tcW w:w="2201" w:type="dxa"/>
            <w:tcBorders>
              <w:top w:val="double" w:color="auto" w:sz="4" w:space="0"/>
              <w:bottom w:val="single" w:color="auto" w:sz="4" w:space="0"/>
            </w:tcBorders>
            <w:vAlign w:val="center"/>
          </w:tcPr>
          <w:p w14:paraId="4F4AFDB5">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备注</w:t>
            </w:r>
          </w:p>
        </w:tc>
      </w:tr>
      <w:tr w14:paraId="75F5D6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058" w:type="dxa"/>
            <w:tcBorders>
              <w:top w:val="single" w:color="auto" w:sz="4" w:space="0"/>
            </w:tcBorders>
            <w:vAlign w:val="center"/>
          </w:tcPr>
          <w:p w14:paraId="3CE28B98">
            <w:pPr>
              <w:widowControl/>
              <w:adjustRightInd w:val="0"/>
              <w:snapToGrid w:val="0"/>
              <w:spacing w:line="300" w:lineRule="auto"/>
              <w:jc w:val="center"/>
              <w:rPr>
                <w:rFonts w:hint="eastAsia" w:ascii="宋体" w:hAnsi="宋体" w:eastAsia="宋体"/>
                <w:snapToGrid w:val="0"/>
                <w:kern w:val="0"/>
                <w:sz w:val="24"/>
                <w:szCs w:val="21"/>
                <w:u w:val="single"/>
                <w:lang w:val="en-US" w:eastAsia="zh-CN"/>
              </w:rPr>
            </w:pPr>
            <w:r>
              <w:rPr>
                <w:rFonts w:hint="eastAsia" w:ascii="宋体" w:hAnsi="宋体"/>
                <w:snapToGrid w:val="0"/>
                <w:kern w:val="0"/>
                <w:sz w:val="24"/>
                <w:szCs w:val="21"/>
                <w:u w:val="single"/>
                <w:lang w:val="en-US" w:eastAsia="zh-CN"/>
              </w:rPr>
              <w:t>B</w:t>
            </w:r>
          </w:p>
        </w:tc>
        <w:tc>
          <w:tcPr>
            <w:tcW w:w="2987" w:type="dxa"/>
            <w:tcBorders>
              <w:top w:val="single" w:color="auto" w:sz="4" w:space="0"/>
            </w:tcBorders>
            <w:vAlign w:val="center"/>
          </w:tcPr>
          <w:p w14:paraId="3C5B09E4">
            <w:pPr>
              <w:widowControl/>
              <w:adjustRightInd w:val="0"/>
              <w:snapToGrid w:val="0"/>
              <w:spacing w:line="300" w:lineRule="auto"/>
              <w:jc w:val="center"/>
              <w:rPr>
                <w:rFonts w:ascii="宋体" w:hAnsi="宋体"/>
                <w:snapToGrid w:val="0"/>
                <w:kern w:val="0"/>
                <w:sz w:val="24"/>
                <w:szCs w:val="21"/>
                <w:u w:val="single"/>
              </w:rPr>
            </w:pPr>
            <w:r>
              <w:rPr>
                <w:rFonts w:hint="eastAsia" w:ascii="宋体" w:hAnsi="宋体"/>
                <w:snapToGrid w:val="0"/>
                <w:kern w:val="0"/>
                <w:sz w:val="24"/>
                <w:szCs w:val="21"/>
                <w:u w:val="single"/>
              </w:rPr>
              <w:t xml:space="preserve">                 项目</w:t>
            </w:r>
          </w:p>
        </w:tc>
        <w:tc>
          <w:tcPr>
            <w:tcW w:w="2625" w:type="dxa"/>
            <w:tcBorders>
              <w:top w:val="single" w:color="auto" w:sz="4" w:space="0"/>
            </w:tcBorders>
            <w:vAlign w:val="center"/>
          </w:tcPr>
          <w:p w14:paraId="098FF821">
            <w:pPr>
              <w:widowControl/>
              <w:adjustRightInd w:val="0"/>
              <w:snapToGrid w:val="0"/>
              <w:spacing w:line="300" w:lineRule="auto"/>
              <w:jc w:val="left"/>
            </w:pPr>
          </w:p>
        </w:tc>
        <w:tc>
          <w:tcPr>
            <w:tcW w:w="2201" w:type="dxa"/>
            <w:tcBorders>
              <w:top w:val="single" w:color="auto" w:sz="4" w:space="0"/>
            </w:tcBorders>
            <w:vAlign w:val="center"/>
          </w:tcPr>
          <w:p w14:paraId="7B6F1429">
            <w:pPr>
              <w:widowControl/>
              <w:adjustRightInd w:val="0"/>
              <w:snapToGrid w:val="0"/>
              <w:spacing w:line="300" w:lineRule="auto"/>
              <w:jc w:val="center"/>
              <w:rPr>
                <w:rFonts w:ascii="宋体" w:hAnsi="宋体"/>
                <w:snapToGrid w:val="0"/>
                <w:kern w:val="0"/>
                <w:sz w:val="24"/>
                <w:szCs w:val="21"/>
              </w:rPr>
            </w:pPr>
          </w:p>
        </w:tc>
      </w:tr>
    </w:tbl>
    <w:p w14:paraId="29C655D4">
      <w:pPr>
        <w:ind w:firstLine="422" w:firstLineChars="200"/>
        <w:rPr>
          <w:rFonts w:ascii="宋体" w:hAnsi="宋体" w:cs="宋体"/>
          <w:szCs w:val="21"/>
        </w:rPr>
      </w:pPr>
      <w:r>
        <w:rPr>
          <w:rFonts w:hint="eastAsia"/>
          <w:b/>
          <w:color w:val="0000FF"/>
          <w:szCs w:val="21"/>
        </w:rPr>
        <w:t>注：</w:t>
      </w:r>
      <w:r>
        <w:rPr>
          <w:rFonts w:hint="eastAsia" w:ascii="宋体" w:hAnsi="宋体" w:cs="宋体"/>
          <w:szCs w:val="21"/>
        </w:rPr>
        <w:t>“折扣率”填写要求：</w:t>
      </w:r>
    </w:p>
    <w:p w14:paraId="41EDDA3D">
      <w:pPr>
        <w:ind w:firstLine="420" w:firstLineChars="200"/>
        <w:rPr>
          <w:rFonts w:ascii="宋体" w:hAnsi="宋体" w:cs="宋体"/>
          <w:szCs w:val="21"/>
        </w:rPr>
      </w:pPr>
      <w:r>
        <w:rPr>
          <w:rFonts w:hint="eastAsia" w:ascii="宋体" w:hAnsi="宋体" w:cs="宋体"/>
          <w:szCs w:val="21"/>
        </w:rPr>
        <w:t>（1）填写要求：0＜折扣率≤1，未按此要求填写将作投标无效处理；</w:t>
      </w:r>
    </w:p>
    <w:p w14:paraId="467B9DEA">
      <w:pPr>
        <w:ind w:firstLine="420" w:firstLineChars="200"/>
        <w:rPr>
          <w:rFonts w:ascii="宋体" w:hAnsi="宋体" w:cs="宋体"/>
          <w:szCs w:val="21"/>
        </w:rPr>
      </w:pPr>
      <w:r>
        <w:rPr>
          <w:rFonts w:hint="eastAsia" w:ascii="宋体" w:hAnsi="宋体" w:cs="宋体"/>
          <w:szCs w:val="21"/>
        </w:rPr>
        <w:t>（2）填写的“折扣率”应为小数，且最多保留小数点后两位，如0.95、0.80、0.78，未按此要求填写将作投标无效处理；</w:t>
      </w:r>
    </w:p>
    <w:p w14:paraId="39CD0FD1">
      <w:pPr>
        <w:ind w:firstLine="420" w:firstLineChars="200"/>
        <w:rPr>
          <w:rFonts w:ascii="宋体" w:hAnsi="宋体" w:cs="宋体"/>
          <w:szCs w:val="21"/>
        </w:rPr>
      </w:pPr>
      <w:r>
        <w:rPr>
          <w:rFonts w:hint="eastAsia" w:ascii="宋体" w:hAnsi="宋体" w:cs="宋体"/>
          <w:szCs w:val="21"/>
        </w:rPr>
        <w:t>（3）投标人参与投标只允许填报唯一1个“折扣率”，不允许填报2个（或以上）的“折扣率”；填报了2个或以上“折扣率”的，其投标将直接作投标无效处理；</w:t>
      </w:r>
    </w:p>
    <w:p w14:paraId="3BB678FA">
      <w:pPr>
        <w:ind w:firstLine="420" w:firstLineChars="200"/>
        <w:rPr>
          <w:rFonts w:ascii="宋体" w:hAnsi="宋体" w:cs="宋体"/>
          <w:szCs w:val="21"/>
        </w:rPr>
      </w:pPr>
      <w:r>
        <w:rPr>
          <w:rFonts w:hint="eastAsia" w:ascii="宋体" w:hAnsi="宋体" w:cs="宋体"/>
          <w:szCs w:val="21"/>
        </w:rPr>
        <w:t>（4）“折扣率”缺填、漏填、错填将直接作投标无效处理；</w:t>
      </w:r>
    </w:p>
    <w:p w14:paraId="232E5AF6">
      <w:pPr>
        <w:widowControl/>
        <w:snapToGrid w:val="0"/>
        <w:ind w:firstLine="420" w:firstLineChars="200"/>
        <w:jc w:val="left"/>
        <w:rPr>
          <w:rFonts w:hAnsi="宋体"/>
          <w:b/>
          <w:bCs/>
          <w:color w:val="FF0000"/>
          <w:szCs w:val="21"/>
        </w:rPr>
      </w:pPr>
      <w:r>
        <w:rPr>
          <w:rFonts w:hint="eastAsia" w:ascii="宋体" w:hAnsi="宋体" w:cs="宋体"/>
          <w:szCs w:val="21"/>
        </w:rPr>
        <w:t>（5）</w:t>
      </w:r>
      <w:r>
        <w:rPr>
          <w:rFonts w:hint="eastAsia" w:hAnsi="宋体"/>
          <w:b/>
          <w:bCs/>
          <w:color w:val="FF0000"/>
          <w:szCs w:val="21"/>
        </w:rPr>
        <w:t>投标人在投标文件制作专用软件“标书信息确认”的投标报价中须填写上表中的折扣率，投标人填写的投标报价将生成为“开标一览表”的投标报价，并将作为价格分的计算依据，请投标人仔细填写并核对!</w:t>
      </w:r>
    </w:p>
    <w:p w14:paraId="3CF7B967">
      <w:pPr>
        <w:tabs>
          <w:tab w:val="left" w:pos="720"/>
        </w:tabs>
        <w:jc w:val="center"/>
        <w:rPr>
          <w:b/>
          <w:sz w:val="24"/>
        </w:rPr>
      </w:pPr>
      <w:r>
        <w:rPr>
          <w:rFonts w:hAnsi="宋体"/>
          <w:b/>
          <w:bCs/>
          <w:color w:val="FF0000"/>
          <w:sz w:val="24"/>
        </w:rPr>
        <w:drawing>
          <wp:inline distT="0" distB="0" distL="0" distR="0">
            <wp:extent cx="5274310" cy="2720975"/>
            <wp:effectExtent l="0" t="0" r="2540" b="3175"/>
            <wp:docPr id="372943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943347"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74310" cy="2720975"/>
                    </a:xfrm>
                    <a:prstGeom prst="rect">
                      <a:avLst/>
                    </a:prstGeom>
                    <a:noFill/>
                    <a:ln>
                      <a:noFill/>
                    </a:ln>
                  </pic:spPr>
                </pic:pic>
              </a:graphicData>
            </a:graphic>
          </wp:inline>
        </w:drawing>
      </w:r>
    </w:p>
    <w:p w14:paraId="05A2195C">
      <w:pPr>
        <w:tabs>
          <w:tab w:val="left" w:pos="720"/>
        </w:tabs>
        <w:jc w:val="center"/>
        <w:rPr>
          <w:b/>
          <w:sz w:val="24"/>
        </w:rPr>
      </w:pPr>
      <w:r>
        <w:rPr>
          <w:rFonts w:hint="eastAsia"/>
          <w:b/>
          <w:sz w:val="24"/>
        </w:rPr>
        <w:t>（二）投标人认为需要涉及的其他内容报价清单</w:t>
      </w:r>
    </w:p>
    <w:p w14:paraId="54091853">
      <w:pPr>
        <w:rPr>
          <w:b/>
          <w:bCs/>
        </w:rPr>
      </w:pPr>
    </w:p>
    <w:p w14:paraId="772649C2">
      <w:pPr>
        <w:rPr>
          <w:b/>
          <w:bCs/>
          <w:sz w:val="24"/>
        </w:rPr>
      </w:pPr>
    </w:p>
    <w:p w14:paraId="594DC7BC">
      <w:pPr>
        <w:pStyle w:val="5"/>
        <w:jc w:val="center"/>
        <w:rPr>
          <w:rFonts w:ascii="黑体" w:eastAsia="黑体"/>
          <w:b w:val="0"/>
          <w:kern w:val="0"/>
          <w:sz w:val="24"/>
        </w:rPr>
      </w:pPr>
      <w:r>
        <w:rPr>
          <w:rFonts w:hint="eastAsia" w:ascii="黑体" w:eastAsia="黑体"/>
          <w:b w:val="0"/>
          <w:kern w:val="0"/>
          <w:sz w:val="24"/>
        </w:rPr>
        <w:t>六、实施方案（格式自定）</w:t>
      </w:r>
    </w:p>
    <w:p w14:paraId="4BA2A846">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CB78EFE">
      <w:pPr>
        <w:pStyle w:val="9"/>
        <w:ind w:firstLine="0"/>
        <w:rPr>
          <w:rFonts w:asciiTheme="minorEastAsia" w:hAnsiTheme="minorEastAsia" w:eastAsiaTheme="minorEastAsia" w:cstheme="minorEastAsia"/>
          <w:sz w:val="24"/>
        </w:rPr>
      </w:pPr>
    </w:p>
    <w:p w14:paraId="49D267E5">
      <w:pPr>
        <w:pStyle w:val="5"/>
        <w:jc w:val="center"/>
        <w:rPr>
          <w:rFonts w:ascii="黑体" w:eastAsia="黑体"/>
          <w:b w:val="0"/>
          <w:kern w:val="0"/>
          <w:sz w:val="24"/>
          <w:szCs w:val="24"/>
        </w:rPr>
      </w:pPr>
      <w:r>
        <w:rPr>
          <w:rFonts w:hint="eastAsia" w:ascii="黑体" w:eastAsia="黑体"/>
          <w:b w:val="0"/>
          <w:kern w:val="0"/>
          <w:sz w:val="24"/>
          <w:szCs w:val="24"/>
        </w:rPr>
        <w:t>七、安全培训措施（格式自定）</w:t>
      </w:r>
    </w:p>
    <w:p w14:paraId="45189F72">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73772079">
      <w:pPr>
        <w:pStyle w:val="9"/>
        <w:ind w:firstLine="0"/>
        <w:rPr>
          <w:rFonts w:asciiTheme="minorEastAsia" w:hAnsiTheme="minorEastAsia" w:eastAsiaTheme="minorEastAsia" w:cstheme="minorEastAsia"/>
          <w:sz w:val="24"/>
        </w:rPr>
      </w:pPr>
    </w:p>
    <w:p w14:paraId="56795526">
      <w:pPr>
        <w:pStyle w:val="5"/>
        <w:jc w:val="center"/>
        <w:rPr>
          <w:rFonts w:ascii="黑体" w:eastAsia="黑体"/>
          <w:b w:val="0"/>
          <w:kern w:val="0"/>
          <w:sz w:val="24"/>
          <w:szCs w:val="24"/>
        </w:rPr>
      </w:pPr>
      <w:r>
        <w:rPr>
          <w:rFonts w:hint="eastAsia" w:ascii="黑体" w:eastAsia="黑体"/>
          <w:b w:val="0"/>
          <w:kern w:val="0"/>
          <w:sz w:val="24"/>
          <w:szCs w:val="24"/>
        </w:rPr>
        <w:t>八、质量保障措施及方案（格式自定）</w:t>
      </w:r>
    </w:p>
    <w:p w14:paraId="7574F161">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520B739">
      <w:pPr>
        <w:pStyle w:val="9"/>
        <w:ind w:firstLine="0"/>
        <w:rPr>
          <w:rFonts w:asciiTheme="minorEastAsia" w:hAnsiTheme="minorEastAsia" w:eastAsiaTheme="minorEastAsia" w:cstheme="minorEastAsia"/>
          <w:sz w:val="24"/>
        </w:rPr>
      </w:pPr>
    </w:p>
    <w:p w14:paraId="391DC6B9">
      <w:pPr>
        <w:pStyle w:val="5"/>
        <w:jc w:val="center"/>
        <w:rPr>
          <w:rFonts w:ascii="黑体" w:eastAsia="黑体"/>
          <w:b w:val="0"/>
          <w:kern w:val="0"/>
          <w:sz w:val="24"/>
          <w:szCs w:val="24"/>
        </w:rPr>
      </w:pPr>
      <w:r>
        <w:rPr>
          <w:rFonts w:hint="eastAsia" w:ascii="黑体" w:eastAsia="黑体"/>
          <w:b w:val="0"/>
          <w:kern w:val="0"/>
          <w:sz w:val="24"/>
          <w:szCs w:val="24"/>
        </w:rPr>
        <w:t>九、拟安排的项目负责人情况（仅限一人）（格式自定）</w:t>
      </w:r>
    </w:p>
    <w:p w14:paraId="601945DF">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3EAC2A00">
      <w:pPr>
        <w:pStyle w:val="9"/>
        <w:spacing w:before="60" w:beforeLines="25" w:after="60" w:afterLines="25"/>
        <w:ind w:firstLine="0"/>
        <w:rPr>
          <w:rFonts w:asciiTheme="minorEastAsia" w:hAnsiTheme="minorEastAsia" w:eastAsiaTheme="minorEastAsia" w:cstheme="minorEastAsia"/>
          <w:sz w:val="24"/>
        </w:rPr>
      </w:pPr>
    </w:p>
    <w:p w14:paraId="2D58EAF9">
      <w:pPr>
        <w:pStyle w:val="5"/>
        <w:jc w:val="center"/>
        <w:rPr>
          <w:rFonts w:ascii="黑体" w:eastAsia="黑体"/>
          <w:b w:val="0"/>
          <w:kern w:val="0"/>
          <w:sz w:val="24"/>
          <w:szCs w:val="24"/>
        </w:rPr>
      </w:pPr>
      <w:r>
        <w:rPr>
          <w:rFonts w:hint="eastAsia" w:ascii="黑体" w:eastAsia="黑体"/>
          <w:b w:val="0"/>
          <w:kern w:val="0"/>
          <w:sz w:val="24"/>
          <w:szCs w:val="24"/>
        </w:rPr>
        <w:t>十、拟安排的项目主要团队成员（主要技术人员）情况（项目负责人除外）（格式自定）</w:t>
      </w:r>
    </w:p>
    <w:p w14:paraId="4BCF92AC">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4EA0B740">
      <w:pPr>
        <w:pStyle w:val="9"/>
        <w:spacing w:before="60" w:beforeLines="25" w:after="60" w:afterLines="25"/>
        <w:ind w:firstLine="0"/>
        <w:rPr>
          <w:rFonts w:asciiTheme="minorEastAsia" w:hAnsiTheme="minorEastAsia" w:eastAsiaTheme="minorEastAsia" w:cstheme="minorEastAsia"/>
          <w:sz w:val="24"/>
        </w:rPr>
      </w:pPr>
    </w:p>
    <w:p w14:paraId="57CC328D">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一</w:t>
      </w:r>
      <w:r>
        <w:rPr>
          <w:rFonts w:hint="eastAsia" w:ascii="黑体" w:eastAsia="黑体"/>
          <w:b w:val="0"/>
          <w:kern w:val="0"/>
          <w:sz w:val="24"/>
          <w:szCs w:val="24"/>
        </w:rPr>
        <w:t>、拟投入本项目设备设施情况（格式自定）</w:t>
      </w:r>
    </w:p>
    <w:p w14:paraId="2CA59192">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ECC30E4">
      <w:pPr>
        <w:pStyle w:val="2"/>
      </w:pPr>
    </w:p>
    <w:p w14:paraId="213FC271">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二</w:t>
      </w:r>
      <w:r>
        <w:rPr>
          <w:rFonts w:hint="eastAsia" w:ascii="黑体" w:eastAsia="黑体"/>
          <w:b w:val="0"/>
          <w:kern w:val="0"/>
          <w:sz w:val="24"/>
          <w:szCs w:val="24"/>
        </w:rPr>
        <w:t>、投标人同类项目业绩（格式自定）</w:t>
      </w:r>
    </w:p>
    <w:p w14:paraId="28F45E71">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5B7E180">
      <w:pPr>
        <w:pStyle w:val="3"/>
      </w:pPr>
    </w:p>
    <w:p w14:paraId="3219D3B6">
      <w:pPr>
        <w:pStyle w:val="5"/>
        <w:numPr>
          <w:ilvl w:val="0"/>
          <w:numId w:val="7"/>
        </w:numPr>
        <w:jc w:val="center"/>
        <w:rPr>
          <w:rFonts w:hint="eastAsia" w:ascii="黑体" w:eastAsia="黑体"/>
          <w:b w:val="0"/>
          <w:bCs w:val="0"/>
          <w:sz w:val="24"/>
          <w:szCs w:val="20"/>
          <w:lang w:val="en-US" w:eastAsia="zh-CN"/>
        </w:rPr>
      </w:pPr>
      <w:bookmarkStart w:id="48" w:name="_Hlk72062872"/>
      <w:r>
        <w:rPr>
          <w:rFonts w:hint="eastAsia" w:ascii="黑体" w:eastAsia="黑体"/>
          <w:b w:val="0"/>
          <w:bCs w:val="0"/>
          <w:sz w:val="24"/>
          <w:szCs w:val="20"/>
          <w:lang w:val="en-US" w:eastAsia="zh-CN"/>
        </w:rPr>
        <w:t>履约承诺（格式自定）</w:t>
      </w:r>
    </w:p>
    <w:p w14:paraId="24AD8B97">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018BE1A2">
      <w:pPr>
        <w:rPr>
          <w:rFonts w:hint="eastAsia"/>
          <w:lang w:val="en-US" w:eastAsia="zh-CN"/>
        </w:rPr>
      </w:pPr>
    </w:p>
    <w:p w14:paraId="7312B78C">
      <w:pPr>
        <w:pStyle w:val="5"/>
        <w:jc w:val="center"/>
        <w:rPr>
          <w:rFonts w:ascii="黑体" w:eastAsia="黑体"/>
          <w:b w:val="0"/>
          <w:bCs w:val="0"/>
          <w:sz w:val="24"/>
          <w:szCs w:val="20"/>
        </w:rPr>
      </w:pPr>
      <w:r>
        <w:rPr>
          <w:rFonts w:hint="eastAsia" w:ascii="黑体" w:eastAsia="黑体"/>
          <w:b w:val="0"/>
          <w:bCs w:val="0"/>
          <w:sz w:val="24"/>
          <w:szCs w:val="20"/>
          <w:lang w:val="en-US" w:eastAsia="zh-CN"/>
        </w:rPr>
        <w:t>十四、</w:t>
      </w:r>
      <w:r>
        <w:rPr>
          <w:rFonts w:hint="eastAsia" w:ascii="黑体" w:eastAsia="黑体"/>
          <w:b w:val="0"/>
          <w:bCs w:val="0"/>
          <w:sz w:val="24"/>
          <w:szCs w:val="20"/>
        </w:rPr>
        <w:t>投标人认为需要加以说明的其他内容</w:t>
      </w:r>
      <w:bookmarkEnd w:id="48"/>
    </w:p>
    <w:p w14:paraId="32F45CCE">
      <w:pPr>
        <w:widowControl/>
        <w:jc w:val="center"/>
        <w:rPr>
          <w:rFonts w:ascii="黑体" w:hAnsi="宋体" w:eastAsia="黑体"/>
          <w:kern w:val="0"/>
          <w:sz w:val="24"/>
          <w:szCs w:val="20"/>
        </w:rPr>
      </w:pPr>
      <w:r>
        <w:rPr>
          <w:rFonts w:hint="eastAsia" w:ascii="黑体" w:hAnsi="宋体" w:eastAsia="黑体"/>
          <w:kern w:val="0"/>
          <w:sz w:val="24"/>
          <w:szCs w:val="20"/>
        </w:rPr>
        <w:t>（一）政府采购违法行为风险知悉确认书</w:t>
      </w:r>
    </w:p>
    <w:p w14:paraId="07D789CF">
      <w:pPr>
        <w:spacing w:after="120"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960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79B4733B">
            <w:pPr>
              <w:spacing w:line="400" w:lineRule="exact"/>
              <w:jc w:val="center"/>
              <w:rPr>
                <w:rFonts w:ascii="宋体" w:hAnsi="宋体" w:cs="宋体"/>
                <w:szCs w:val="21"/>
              </w:rPr>
            </w:pPr>
            <w:r>
              <w:rPr>
                <w:rFonts w:hint="eastAsia" w:ascii="宋体" w:hAnsi="宋体" w:cs="宋体"/>
                <w:szCs w:val="21"/>
              </w:rPr>
              <w:t>序号</w:t>
            </w:r>
          </w:p>
        </w:tc>
        <w:tc>
          <w:tcPr>
            <w:tcW w:w="7811" w:type="dxa"/>
          </w:tcPr>
          <w:p w14:paraId="2053FE49">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40AB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5C58DB3">
            <w:pPr>
              <w:spacing w:line="400" w:lineRule="exact"/>
              <w:jc w:val="center"/>
              <w:rPr>
                <w:rFonts w:ascii="宋体" w:hAnsi="宋体" w:cs="宋体"/>
                <w:szCs w:val="21"/>
              </w:rPr>
            </w:pPr>
            <w:r>
              <w:rPr>
                <w:rFonts w:hint="eastAsia" w:ascii="宋体" w:hAnsi="宋体" w:cs="宋体"/>
                <w:szCs w:val="21"/>
              </w:rPr>
              <w:t>1</w:t>
            </w:r>
          </w:p>
        </w:tc>
        <w:tc>
          <w:tcPr>
            <w:tcW w:w="7811" w:type="dxa"/>
            <w:vAlign w:val="center"/>
          </w:tcPr>
          <w:p w14:paraId="20C4D104">
            <w:pPr>
              <w:spacing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49A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3CD61FAE">
            <w:pPr>
              <w:spacing w:line="400" w:lineRule="exact"/>
              <w:jc w:val="center"/>
              <w:rPr>
                <w:rFonts w:ascii="宋体" w:hAnsi="宋体" w:cs="宋体"/>
                <w:szCs w:val="21"/>
              </w:rPr>
            </w:pPr>
            <w:r>
              <w:rPr>
                <w:rFonts w:hint="eastAsia" w:ascii="宋体" w:hAnsi="宋体" w:cs="宋体"/>
                <w:szCs w:val="21"/>
              </w:rPr>
              <w:t>2</w:t>
            </w:r>
          </w:p>
        </w:tc>
        <w:tc>
          <w:tcPr>
            <w:tcW w:w="7811" w:type="dxa"/>
            <w:vAlign w:val="center"/>
          </w:tcPr>
          <w:p w14:paraId="5524BE25">
            <w:pPr>
              <w:spacing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51C3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9421A24">
            <w:pPr>
              <w:spacing w:line="400" w:lineRule="exact"/>
              <w:jc w:val="center"/>
              <w:rPr>
                <w:rFonts w:ascii="宋体" w:hAnsi="宋体" w:cs="宋体"/>
                <w:szCs w:val="21"/>
              </w:rPr>
            </w:pPr>
            <w:r>
              <w:rPr>
                <w:rFonts w:hint="eastAsia" w:ascii="宋体" w:hAnsi="宋体" w:cs="宋体"/>
                <w:szCs w:val="21"/>
              </w:rPr>
              <w:t>3</w:t>
            </w:r>
          </w:p>
        </w:tc>
        <w:tc>
          <w:tcPr>
            <w:tcW w:w="7811" w:type="dxa"/>
            <w:vAlign w:val="center"/>
          </w:tcPr>
          <w:p w14:paraId="2B703E03">
            <w:pPr>
              <w:spacing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1FE2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81CED74">
            <w:pPr>
              <w:spacing w:line="400" w:lineRule="exact"/>
              <w:jc w:val="center"/>
              <w:rPr>
                <w:rFonts w:ascii="宋体" w:hAnsi="宋体" w:cs="宋体"/>
                <w:szCs w:val="21"/>
              </w:rPr>
            </w:pPr>
            <w:r>
              <w:rPr>
                <w:rFonts w:hint="eastAsia" w:ascii="宋体" w:hAnsi="宋体" w:cs="宋体"/>
                <w:szCs w:val="21"/>
              </w:rPr>
              <w:t>4</w:t>
            </w:r>
          </w:p>
        </w:tc>
        <w:tc>
          <w:tcPr>
            <w:tcW w:w="7811" w:type="dxa"/>
            <w:vAlign w:val="center"/>
          </w:tcPr>
          <w:p w14:paraId="7C782DD4">
            <w:pPr>
              <w:spacing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33B7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42CF860">
            <w:pPr>
              <w:spacing w:line="400" w:lineRule="exact"/>
              <w:jc w:val="center"/>
              <w:rPr>
                <w:rFonts w:ascii="宋体" w:hAnsi="宋体" w:cs="宋体"/>
                <w:szCs w:val="21"/>
              </w:rPr>
            </w:pPr>
            <w:r>
              <w:rPr>
                <w:rFonts w:hint="eastAsia" w:ascii="宋体" w:hAnsi="宋体" w:cs="宋体"/>
                <w:szCs w:val="21"/>
              </w:rPr>
              <w:t>5</w:t>
            </w:r>
          </w:p>
        </w:tc>
        <w:tc>
          <w:tcPr>
            <w:tcW w:w="7811" w:type="dxa"/>
            <w:vAlign w:val="center"/>
          </w:tcPr>
          <w:p w14:paraId="4C61C28D">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0903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DB05534">
            <w:pPr>
              <w:spacing w:line="400" w:lineRule="exact"/>
              <w:jc w:val="center"/>
              <w:rPr>
                <w:rFonts w:ascii="宋体" w:hAnsi="宋体" w:cs="宋体"/>
                <w:szCs w:val="21"/>
              </w:rPr>
            </w:pPr>
            <w:r>
              <w:rPr>
                <w:rFonts w:hint="eastAsia" w:ascii="宋体" w:hAnsi="宋体" w:cs="宋体"/>
                <w:szCs w:val="21"/>
              </w:rPr>
              <w:t>6</w:t>
            </w:r>
          </w:p>
        </w:tc>
        <w:tc>
          <w:tcPr>
            <w:tcW w:w="7811" w:type="dxa"/>
            <w:vAlign w:val="center"/>
          </w:tcPr>
          <w:p w14:paraId="403A752A">
            <w:pPr>
              <w:spacing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73F79EE3">
      <w:pPr>
        <w:spacing w:before="120"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2C746B97">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70DC3802">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0171E077">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3C7FA317">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1D0E8845">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765EA9E3">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21617D0D">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2E8E6D59">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58EC3C83">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3A1A3CC5">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3B4CEC90">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516148A4">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0831CAA9">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2EC77F06">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009C2BA8">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2DF93FB3">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2D772A0B">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5F5979A2">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3D4575C9">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67B475E5">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7F794CF4">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2302A06D">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tbl>
      <w:tblPr>
        <w:tblStyle w:val="191"/>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B2864B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12D3A45">
            <w:pPr>
              <w:autoSpaceDE w:val="0"/>
              <w:autoSpaceDN w:val="0"/>
              <w:spacing w:line="340" w:lineRule="exact"/>
              <w:ind w:firstLine="1866"/>
              <w:rPr>
                <w:rFonts w:ascii="宋体" w:hAnsi="宋体" w:cs="宋体" w:eastAsiaTheme="minorEastAsia"/>
                <w:spacing w:val="-4"/>
                <w:kern w:val="0"/>
                <w:szCs w:val="21"/>
              </w:rPr>
            </w:pPr>
          </w:p>
        </w:tc>
      </w:tr>
      <w:tr w14:paraId="26EDCE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592D8A0">
            <w:pPr>
              <w:autoSpaceDE w:val="0"/>
              <w:autoSpaceDN w:val="0"/>
              <w:spacing w:line="340" w:lineRule="exact"/>
              <w:ind w:firstLine="1866"/>
              <w:rPr>
                <w:rFonts w:ascii="宋体" w:hAnsi="宋体" w:cs="宋体" w:eastAsiaTheme="minorEastAsia"/>
                <w:spacing w:val="-4"/>
                <w:kern w:val="0"/>
                <w:szCs w:val="21"/>
              </w:rPr>
            </w:pPr>
          </w:p>
        </w:tc>
      </w:tr>
      <w:tr w14:paraId="7E00F67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C4276C3">
            <w:pPr>
              <w:autoSpaceDE w:val="0"/>
              <w:autoSpaceDN w:val="0"/>
              <w:spacing w:line="340" w:lineRule="exact"/>
              <w:ind w:firstLine="1866"/>
              <w:rPr>
                <w:rFonts w:ascii="宋体" w:hAnsi="宋体" w:cs="宋体" w:eastAsiaTheme="minorEastAsia"/>
                <w:spacing w:val="-4"/>
                <w:kern w:val="0"/>
                <w:szCs w:val="21"/>
              </w:rPr>
            </w:pPr>
          </w:p>
        </w:tc>
      </w:tr>
      <w:tr w14:paraId="1D2CB4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63F51EDE">
            <w:pPr>
              <w:autoSpaceDE w:val="0"/>
              <w:autoSpaceDN w:val="0"/>
              <w:spacing w:line="340" w:lineRule="exact"/>
              <w:ind w:firstLine="1866"/>
              <w:rPr>
                <w:rFonts w:ascii="宋体" w:hAnsi="宋体" w:cs="宋体" w:eastAsiaTheme="minorEastAsia"/>
                <w:spacing w:val="-4"/>
                <w:kern w:val="0"/>
                <w:szCs w:val="21"/>
              </w:rPr>
            </w:pPr>
          </w:p>
        </w:tc>
      </w:tr>
    </w:tbl>
    <w:p w14:paraId="53D4539B">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31B985B0">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054EEF15">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7D596937">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D700169">
      <w:pPr>
        <w:widowControl/>
        <w:autoSpaceDE w:val="0"/>
        <w:autoSpaceDN w:val="0"/>
        <w:spacing w:line="340" w:lineRule="exact"/>
        <w:ind w:firstLine="406" w:firstLineChars="200"/>
        <w:jc w:val="left"/>
        <w:rPr>
          <w:rFonts w:ascii="宋体" w:hAnsi="宋体" w:cs="宋体"/>
          <w:b/>
          <w:bCs/>
          <w:spacing w:val="-4"/>
          <w:kern w:val="0"/>
          <w:szCs w:val="21"/>
        </w:rPr>
      </w:pPr>
    </w:p>
    <w:p w14:paraId="37C62374">
      <w:pPr>
        <w:widowControl/>
        <w:autoSpaceDE w:val="0"/>
        <w:autoSpaceDN w:val="0"/>
        <w:spacing w:line="340" w:lineRule="exact"/>
        <w:ind w:firstLine="406" w:firstLineChars="200"/>
        <w:jc w:val="left"/>
        <w:rPr>
          <w:rFonts w:ascii="宋体" w:hAnsi="宋体" w:cs="宋体"/>
          <w:b/>
          <w:bCs/>
          <w:spacing w:val="-4"/>
          <w:kern w:val="0"/>
          <w:szCs w:val="21"/>
        </w:rPr>
      </w:pPr>
      <w:r>
        <w:rPr>
          <w:rFonts w:hint="eastAsia" w:ascii="宋体" w:hAnsi="宋体" w:cs="宋体"/>
          <w:b/>
          <w:bCs/>
          <w:spacing w:val="-4"/>
          <w:kern w:val="0"/>
          <w:szCs w:val="21"/>
        </w:rPr>
        <w:t>注：1.《政府采购违法行为风险知悉确认书》需由投标供应商负责人签字并加盖单位公章后，扫描上传至投标文件一并提交。</w:t>
      </w:r>
    </w:p>
    <w:p w14:paraId="5434651D">
      <w:pPr>
        <w:pStyle w:val="193"/>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0A44D67A">
      <w:pPr>
        <w:widowControl/>
        <w:autoSpaceDE w:val="0"/>
        <w:autoSpaceDN w:val="0"/>
        <w:spacing w:line="400" w:lineRule="exact"/>
        <w:ind w:right="1414"/>
        <w:rPr>
          <w:rFonts w:eastAsiaTheme="minorEastAsia"/>
          <w:kern w:val="0"/>
          <w:sz w:val="24"/>
        </w:rPr>
      </w:pPr>
    </w:p>
    <w:p w14:paraId="629C3570">
      <w:pPr>
        <w:jc w:val="center"/>
        <w:rPr>
          <w:rFonts w:ascii="黑体" w:eastAsia="黑体"/>
          <w:sz w:val="24"/>
          <w:szCs w:val="20"/>
        </w:rPr>
      </w:pPr>
      <w:r>
        <w:rPr>
          <w:rFonts w:hint="eastAsia" w:ascii="黑体" w:eastAsia="黑体"/>
          <w:sz w:val="24"/>
          <w:szCs w:val="20"/>
        </w:rPr>
        <w:t>（二）订单融资情况</w:t>
      </w:r>
    </w:p>
    <w:p w14:paraId="6B9D1FA0">
      <w:pPr>
        <w:ind w:firstLine="422" w:firstLineChars="200"/>
        <w:rPr>
          <w:rFonts w:ascii="宋体" w:hAnsi="宋体" w:cs="宋体"/>
          <w:b/>
          <w:bCs/>
        </w:rPr>
      </w:pPr>
      <w:r>
        <w:rPr>
          <w:rFonts w:ascii="宋体" w:hAnsi="宋体" w:cs="宋体"/>
          <w:b/>
          <w:bCs/>
        </w:rPr>
        <w:t>1.</w:t>
      </w:r>
      <w:r>
        <w:rPr>
          <w:rFonts w:hint="eastAsia" w:ascii="宋体" w:hAnsi="宋体" w:cs="宋体"/>
          <w:b/>
          <w:bCs/>
        </w:rPr>
        <w:t>关于政府采购订单融资政策</w:t>
      </w:r>
    </w:p>
    <w:p w14:paraId="5DFF2500">
      <w:pPr>
        <w:pStyle w:val="2"/>
        <w:spacing w:line="240" w:lineRule="auto"/>
        <w:ind w:firstLine="420" w:firstLineChars="200"/>
        <w:rPr>
          <w:b w:val="0"/>
          <w:sz w:val="21"/>
          <w:szCs w:val="21"/>
        </w:rPr>
      </w:pPr>
      <w:r>
        <w:rPr>
          <w:rFonts w:hint="eastAsia"/>
          <w:b w:val="0"/>
          <w:sz w:val="21"/>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252FF597">
      <w:pPr>
        <w:ind w:firstLine="422" w:firstLineChars="200"/>
        <w:rPr>
          <w:rFonts w:ascii="宋体" w:hAnsi="宋体" w:cs="宋体"/>
          <w:b/>
          <w:bCs/>
        </w:rPr>
      </w:pPr>
      <w:r>
        <w:rPr>
          <w:rFonts w:ascii="宋体" w:hAnsi="宋体" w:cs="宋体"/>
          <w:b/>
          <w:bCs/>
        </w:rPr>
        <w:t>2.</w:t>
      </w:r>
      <w:r>
        <w:rPr>
          <w:rFonts w:hint="eastAsia" w:ascii="宋体" w:hAnsi="宋体" w:cs="宋体"/>
          <w:b/>
          <w:bCs/>
        </w:rPr>
        <w:t>供应商账户信息</w:t>
      </w:r>
    </w:p>
    <w:p w14:paraId="15C49564">
      <w:pPr>
        <w:ind w:firstLine="420" w:firstLineChars="200"/>
        <w:rPr>
          <w:szCs w:val="21"/>
        </w:rPr>
      </w:pPr>
      <w:r>
        <w:rPr>
          <w:rFonts w:hint="eastAsia"/>
          <w:szCs w:val="21"/>
        </w:rPr>
        <w:t>投标人（单位全称）：</w:t>
      </w:r>
      <w:r>
        <w:rPr>
          <w:rFonts w:hint="eastAsia"/>
          <w:szCs w:val="21"/>
          <w:u w:val="thick"/>
        </w:rPr>
        <w:t xml:space="preserve">                           </w:t>
      </w:r>
      <w:r>
        <w:rPr>
          <w:rFonts w:hint="eastAsia"/>
          <w:szCs w:val="21"/>
        </w:rPr>
        <w:t>；</w:t>
      </w:r>
    </w:p>
    <w:p w14:paraId="76698DCA">
      <w:pPr>
        <w:ind w:firstLine="420" w:firstLineChars="200"/>
        <w:rPr>
          <w:rFonts w:ascii="宋体" w:hAnsi="宋体" w:cs="宋体"/>
          <w:b/>
          <w:bCs/>
        </w:rPr>
      </w:pPr>
      <w:r>
        <w:rPr>
          <w:rFonts w:hint="eastAsia"/>
          <w:szCs w:val="21"/>
        </w:rPr>
        <w:t>投标人单位地址：</w:t>
      </w:r>
      <w:r>
        <w:rPr>
          <w:rFonts w:hint="eastAsia"/>
          <w:szCs w:val="21"/>
          <w:u w:val="thick"/>
        </w:rPr>
        <w:t xml:space="preserve">                    </w:t>
      </w:r>
      <w:r>
        <w:rPr>
          <w:rFonts w:hint="eastAsia"/>
          <w:szCs w:val="21"/>
        </w:rPr>
        <w:t>；</w:t>
      </w:r>
    </w:p>
    <w:p w14:paraId="717FCF2D">
      <w:pPr>
        <w:ind w:firstLine="420" w:firstLineChars="200"/>
        <w:rPr>
          <w:rFonts w:ascii="宋体" w:hAnsi="宋体" w:cs="宋体"/>
          <w:b/>
          <w:bCs/>
        </w:rPr>
      </w:pPr>
      <w:r>
        <w:rPr>
          <w:rFonts w:hint="eastAsia"/>
          <w:szCs w:val="21"/>
        </w:rPr>
        <w:t>法定代表人（负责人）或其授权委托代理人：</w:t>
      </w:r>
      <w:r>
        <w:rPr>
          <w:rFonts w:hint="eastAsia"/>
          <w:szCs w:val="21"/>
          <w:u w:val="thick"/>
        </w:rPr>
        <w:t xml:space="preserve">                      </w:t>
      </w:r>
      <w:r>
        <w:rPr>
          <w:rFonts w:hint="eastAsia"/>
          <w:szCs w:val="21"/>
        </w:rPr>
        <w:t>；</w:t>
      </w:r>
    </w:p>
    <w:p w14:paraId="7E413571">
      <w:pPr>
        <w:ind w:firstLine="420" w:firstLineChars="200"/>
        <w:rPr>
          <w:rFonts w:ascii="宋体" w:hAnsi="宋体" w:cs="宋体"/>
          <w:b/>
          <w:bCs/>
        </w:rPr>
      </w:pPr>
      <w:r>
        <w:rPr>
          <w:rFonts w:hint="eastAsia"/>
          <w:szCs w:val="21"/>
        </w:rPr>
        <w:t>联系电话：</w:t>
      </w:r>
      <w:r>
        <w:rPr>
          <w:rFonts w:hint="eastAsia"/>
          <w:szCs w:val="21"/>
          <w:u w:val="thick"/>
        </w:rPr>
        <w:t xml:space="preserve">                     </w:t>
      </w:r>
      <w:r>
        <w:rPr>
          <w:rFonts w:hint="eastAsia"/>
          <w:szCs w:val="21"/>
        </w:rPr>
        <w:t>；</w:t>
      </w:r>
    </w:p>
    <w:p w14:paraId="3F61A4B5">
      <w:pPr>
        <w:ind w:firstLine="420" w:firstLineChars="200"/>
        <w:rPr>
          <w:rFonts w:ascii="宋体" w:hAnsi="宋体" w:cs="宋体"/>
          <w:b/>
          <w:bCs/>
        </w:rPr>
      </w:pPr>
      <w:r>
        <w:rPr>
          <w:rFonts w:hint="eastAsia"/>
          <w:szCs w:val="21"/>
        </w:rPr>
        <w:t>开户银行名称：</w:t>
      </w:r>
      <w:r>
        <w:rPr>
          <w:rFonts w:hint="eastAsia"/>
          <w:szCs w:val="21"/>
          <w:u w:val="thick"/>
        </w:rPr>
        <w:t xml:space="preserve">                                                 </w:t>
      </w:r>
      <w:r>
        <w:rPr>
          <w:rFonts w:hint="eastAsia"/>
          <w:szCs w:val="21"/>
        </w:rPr>
        <w:t>；</w:t>
      </w:r>
    </w:p>
    <w:p w14:paraId="62A66FAD">
      <w:pPr>
        <w:ind w:firstLine="420" w:firstLineChars="200"/>
        <w:rPr>
          <w:rFonts w:ascii="宋体" w:hAnsi="宋体" w:cs="宋体"/>
          <w:b/>
          <w:bCs/>
        </w:rPr>
      </w:pPr>
      <w:r>
        <w:rPr>
          <w:rFonts w:hint="eastAsia"/>
          <w:szCs w:val="21"/>
        </w:rPr>
        <w:t>开户银行账号：</w:t>
      </w:r>
      <w:r>
        <w:rPr>
          <w:rFonts w:hint="eastAsia"/>
          <w:szCs w:val="21"/>
          <w:u w:val="thick"/>
        </w:rPr>
        <w:t xml:space="preserve">                                                  </w:t>
      </w:r>
      <w:r>
        <w:rPr>
          <w:rFonts w:hint="eastAsia"/>
          <w:szCs w:val="21"/>
        </w:rPr>
        <w:t>；</w:t>
      </w:r>
    </w:p>
    <w:p w14:paraId="2CBA546D">
      <w:pPr>
        <w:ind w:firstLine="420" w:firstLineChars="200"/>
        <w:rPr>
          <w:rFonts w:ascii="宋体" w:hAnsi="宋体" w:cs="宋体"/>
          <w:b/>
          <w:bCs/>
        </w:rPr>
      </w:pPr>
      <w:r>
        <w:rPr>
          <w:rFonts w:hint="eastAsia"/>
          <w:szCs w:val="21"/>
        </w:rPr>
        <w:t>开户银行地址：</w:t>
      </w:r>
      <w:r>
        <w:rPr>
          <w:rFonts w:hint="eastAsia"/>
          <w:szCs w:val="21"/>
          <w:u w:val="thick"/>
        </w:rPr>
        <w:t xml:space="preserve">                                                  </w:t>
      </w:r>
      <w:r>
        <w:rPr>
          <w:rFonts w:hint="eastAsia"/>
          <w:szCs w:val="21"/>
        </w:rPr>
        <w:t>。</w:t>
      </w:r>
    </w:p>
    <w:p w14:paraId="5257DDAF">
      <w:pPr>
        <w:ind w:firstLine="406" w:firstLineChars="200"/>
        <w:rPr>
          <w:rFonts w:ascii="宋体" w:hAnsi="宋体" w:cs="宋体"/>
          <w:b/>
          <w:bCs/>
        </w:rPr>
      </w:pPr>
      <w:r>
        <w:rPr>
          <w:rFonts w:hint="eastAsia" w:ascii="宋体" w:hAnsi="宋体" w:eastAsiaTheme="minorEastAsia"/>
          <w:b/>
          <w:bCs/>
          <w:color w:val="FF0000"/>
          <w:spacing w:val="-4"/>
          <w:kern w:val="0"/>
          <w:szCs w:val="21"/>
        </w:rPr>
        <w:t>注：本项填写内容作为订单融资开展的参考信息，不作为供应商资格性审查及符合性审查条件。</w:t>
      </w:r>
    </w:p>
    <w:p w14:paraId="676C2050">
      <w:pPr>
        <w:widowControl/>
        <w:spacing w:line="360" w:lineRule="auto"/>
        <w:jc w:val="left"/>
        <w:rPr>
          <w:rFonts w:eastAsiaTheme="minorEastAsia"/>
          <w:b/>
          <w:bCs/>
          <w:kern w:val="0"/>
          <w:sz w:val="24"/>
        </w:rPr>
      </w:pPr>
    </w:p>
    <w:p w14:paraId="4EC4C6CB">
      <w:pPr>
        <w:widowControl/>
        <w:jc w:val="center"/>
        <w:rPr>
          <w:rFonts w:ascii="黑体" w:hAnsi="宋体" w:eastAsia="黑体"/>
          <w:kern w:val="0"/>
          <w:sz w:val="24"/>
          <w:szCs w:val="20"/>
        </w:rPr>
      </w:pPr>
      <w:r>
        <w:rPr>
          <w:rFonts w:hint="eastAsia" w:ascii="黑体" w:hAnsi="宋体" w:eastAsia="黑体"/>
          <w:kern w:val="0"/>
          <w:sz w:val="24"/>
          <w:szCs w:val="20"/>
        </w:rPr>
        <w:t>（三）投标人认为需要加以说明的其他内容（格式自定）</w:t>
      </w:r>
    </w:p>
    <w:p w14:paraId="5202BAA4">
      <w:pPr>
        <w:widowControl/>
        <w:jc w:val="left"/>
      </w:pPr>
      <w:r>
        <w:br w:type="page"/>
      </w:r>
    </w:p>
    <w:p w14:paraId="14F20075">
      <w:pPr>
        <w:pStyle w:val="7"/>
        <w:rPr>
          <w:sz w:val="28"/>
          <w:szCs w:val="28"/>
        </w:rPr>
      </w:pPr>
      <w:r>
        <w:rPr>
          <w:rFonts w:hint="eastAsia"/>
          <w:sz w:val="28"/>
          <w:szCs w:val="28"/>
        </w:rPr>
        <w:t>第五章  合同条款及格式</w:t>
      </w:r>
    </w:p>
    <w:p w14:paraId="27563E1D">
      <w:pPr>
        <w:ind w:firstLine="411" w:firstLineChars="196"/>
      </w:pPr>
    </w:p>
    <w:p w14:paraId="6D211F7B">
      <w:pPr>
        <w:pStyle w:val="2"/>
        <w:keepNext w:val="0"/>
        <w:keepLines w:val="0"/>
        <w:pageBreakBefore w:val="0"/>
        <w:kinsoku/>
        <w:wordWrap/>
        <w:overflowPunct/>
        <w:topLinePunct w:val="0"/>
        <w:autoSpaceDE/>
        <w:autoSpaceDN/>
        <w:bidi w:val="0"/>
        <w:spacing w:line="240" w:lineRule="auto"/>
        <w:jc w:val="center"/>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深圳市公安局交通</w:t>
      </w:r>
      <w:r>
        <w:rPr>
          <w:rFonts w:hint="eastAsia" w:ascii="方正小标宋简体" w:hAnsi="方正小标宋简体" w:eastAsia="方正小标宋简体" w:cs="方正小标宋简体"/>
          <w:b w:val="0"/>
          <w:bCs w:val="0"/>
          <w:sz w:val="44"/>
          <w:szCs w:val="44"/>
          <w:lang w:eastAsia="zh-CN"/>
        </w:rPr>
        <w:t>管理</w:t>
      </w:r>
      <w:r>
        <w:rPr>
          <w:rFonts w:hint="eastAsia" w:ascii="方正小标宋简体" w:hAnsi="方正小标宋简体" w:eastAsia="方正小标宋简体" w:cs="方正小标宋简体"/>
          <w:b w:val="0"/>
          <w:bCs w:val="0"/>
          <w:sz w:val="44"/>
          <w:szCs w:val="44"/>
        </w:rPr>
        <w:t>局</w:t>
      </w:r>
    </w:p>
    <w:p w14:paraId="0063B413">
      <w:pPr>
        <w:pStyle w:val="2"/>
        <w:keepNext w:val="0"/>
        <w:keepLines w:val="0"/>
        <w:pageBreakBefore w:val="0"/>
        <w:kinsoku/>
        <w:wordWrap/>
        <w:overflowPunct/>
        <w:topLinePunct w:val="0"/>
        <w:autoSpaceDE/>
        <w:autoSpaceDN/>
        <w:bidi w:val="0"/>
        <w:spacing w:line="240" w:lineRule="auto"/>
        <w:jc w:val="center"/>
        <w:rPr>
          <w:rFonts w:ascii="仿宋" w:hAnsi="仿宋" w:cs="仿宋"/>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2026年外请拖车服务</w:t>
      </w:r>
      <w:r>
        <w:rPr>
          <w:rFonts w:hint="eastAsia" w:ascii="方正小标宋简体" w:hAnsi="方正小标宋简体" w:eastAsia="方正小标宋简体" w:cs="方正小标宋简体"/>
          <w:b w:val="0"/>
          <w:bCs w:val="0"/>
          <w:sz w:val="44"/>
          <w:szCs w:val="44"/>
        </w:rPr>
        <w:t>项目合同</w:t>
      </w:r>
    </w:p>
    <w:p w14:paraId="7C5F9428">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859C07A">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222BA2A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A2570FE">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76787409">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5EEF6F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1359D50D">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4E7EC3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CA52DE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3FEF3E07">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38A74C4">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48B5EBB2">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15FF4244">
      <w:pPr>
        <w:keepNext w:val="0"/>
        <w:keepLines w:val="0"/>
        <w:pageBreakBefore w:val="0"/>
        <w:kinsoku/>
        <w:wordWrap/>
        <w:overflowPunct/>
        <w:topLinePunct w:val="0"/>
        <w:autoSpaceDE/>
        <w:autoSpaceDN/>
        <w:bidi w:val="0"/>
        <w:spacing w:line="240" w:lineRule="auto"/>
        <w:ind w:left="3092" w:hanging="3092" w:hangingChars="1100"/>
        <w:jc w:val="left"/>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rPr>
        <w:t>项目名称：</w:t>
      </w:r>
      <w:r>
        <w:rPr>
          <w:rFonts w:hint="eastAsia" w:ascii="仿宋_GB2312" w:hAnsi="仿宋_GB2312" w:eastAsia="仿宋_GB2312" w:cs="仿宋_GB2312"/>
          <w:b/>
          <w:bCs/>
          <w:sz w:val="28"/>
          <w:szCs w:val="28"/>
          <w:u w:val="single"/>
        </w:rPr>
        <w:t>深</w:t>
      </w:r>
      <w:r>
        <w:rPr>
          <w:rFonts w:hint="eastAsia" w:ascii="仿宋_GB2312" w:hAnsi="仿宋_GB2312" w:eastAsia="仿宋_GB2312" w:cs="仿宋_GB2312"/>
          <w:b/>
          <w:bCs/>
          <w:sz w:val="28"/>
          <w:szCs w:val="28"/>
          <w:highlight w:val="none"/>
          <w:u w:val="single"/>
        </w:rPr>
        <w:t>圳市公安局交通</w:t>
      </w:r>
      <w:r>
        <w:rPr>
          <w:rFonts w:hint="eastAsia" w:ascii="仿宋_GB2312" w:hAnsi="仿宋_GB2312" w:eastAsia="仿宋_GB2312" w:cs="仿宋_GB2312"/>
          <w:b/>
          <w:bCs/>
          <w:sz w:val="28"/>
          <w:szCs w:val="28"/>
          <w:highlight w:val="none"/>
          <w:u w:val="single"/>
          <w:lang w:eastAsia="zh-CN"/>
        </w:rPr>
        <w:t>管理</w:t>
      </w:r>
      <w:r>
        <w:rPr>
          <w:rFonts w:hint="eastAsia" w:ascii="仿宋_GB2312" w:hAnsi="仿宋_GB2312" w:eastAsia="仿宋_GB2312" w:cs="仿宋_GB2312"/>
          <w:b/>
          <w:bCs/>
          <w:sz w:val="28"/>
          <w:szCs w:val="28"/>
          <w:highlight w:val="none"/>
          <w:u w:val="single"/>
        </w:rPr>
        <w:t>局</w:t>
      </w:r>
      <w:r>
        <w:rPr>
          <w:rFonts w:hint="eastAsia" w:ascii="仿宋_GB2312" w:hAnsi="仿宋_GB2312" w:eastAsia="仿宋_GB2312" w:cs="仿宋_GB2312"/>
          <w:b/>
          <w:bCs/>
          <w:sz w:val="28"/>
          <w:szCs w:val="28"/>
          <w:highlight w:val="none"/>
          <w:u w:val="single"/>
          <w:lang w:val="en-US" w:eastAsia="zh-CN"/>
        </w:rPr>
        <w:t>2026年外请拖车服务</w:t>
      </w:r>
      <w:r>
        <w:rPr>
          <w:rFonts w:hint="eastAsia" w:ascii="仿宋_GB2312" w:hAnsi="仿宋_GB2312" w:eastAsia="仿宋_GB2312" w:cs="仿宋_GB2312"/>
          <w:b/>
          <w:bCs/>
          <w:sz w:val="28"/>
          <w:szCs w:val="28"/>
          <w:highlight w:val="none"/>
          <w:u w:val="single"/>
        </w:rPr>
        <w:t>项目</w:t>
      </w:r>
    </w:p>
    <w:p w14:paraId="5F9BC35E">
      <w:pPr>
        <w:pStyle w:val="2"/>
        <w:keepNext w:val="0"/>
        <w:keepLines w:val="0"/>
        <w:pageBreakBefore w:val="0"/>
        <w:kinsoku/>
        <w:wordWrap/>
        <w:overflowPunct/>
        <w:topLinePunct w:val="0"/>
        <w:autoSpaceDE/>
        <w:autoSpaceDN/>
        <w:bidi w:val="0"/>
        <w:spacing w:line="240" w:lineRule="auto"/>
        <w:rPr>
          <w:rFonts w:hint="default" w:eastAsia="仿宋_GB2312"/>
          <w:highlight w:val="none"/>
          <w:lang w:val="en-US" w:eastAsia="zh-CN"/>
        </w:rPr>
      </w:pPr>
      <w:r>
        <w:rPr>
          <w:rFonts w:hint="eastAsia" w:ascii="仿宋_GB2312" w:hAnsi="仿宋_GB2312" w:eastAsia="仿宋_GB2312" w:cs="仿宋_GB2312"/>
          <w:b/>
          <w:bCs/>
          <w:sz w:val="28"/>
          <w:szCs w:val="28"/>
          <w:highlight w:val="none"/>
          <w:u w:val="none"/>
          <w:lang w:eastAsia="zh-CN"/>
        </w:rPr>
        <w:t>包组：</w:t>
      </w:r>
      <w:r>
        <w:rPr>
          <w:rFonts w:hint="eastAsia" w:ascii="仿宋_GB2312" w:hAnsi="仿宋_GB2312" w:eastAsia="仿宋_GB2312" w:cs="仿宋_GB2312"/>
          <w:b/>
          <w:bCs/>
          <w:sz w:val="28"/>
          <w:szCs w:val="28"/>
          <w:highlight w:val="none"/>
          <w:u w:val="single"/>
          <w:lang w:val="en-US" w:eastAsia="zh-CN"/>
        </w:rPr>
        <w:t xml:space="preserve">  </w:t>
      </w:r>
    </w:p>
    <w:p w14:paraId="76AE7A6E">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甲方：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7AC14825">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乙方：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070BEE4A">
      <w:pPr>
        <w:keepNext w:val="0"/>
        <w:keepLines w:val="0"/>
        <w:pageBreakBefore w:val="0"/>
        <w:kinsoku/>
        <w:wordWrap/>
        <w:overflowPunct/>
        <w:topLinePunct w:val="0"/>
        <w:autoSpaceDE/>
        <w:autoSpaceDN/>
        <w:bidi w:val="0"/>
        <w:spacing w:line="240" w:lineRule="auto"/>
        <w:jc w:val="center"/>
        <w:rPr>
          <w:b/>
          <w:sz w:val="24"/>
          <w:szCs w:val="24"/>
        </w:rPr>
      </w:pPr>
    </w:p>
    <w:p w14:paraId="432D247D">
      <w:pPr>
        <w:keepNext w:val="0"/>
        <w:keepLines w:val="0"/>
        <w:pageBreakBefore w:val="0"/>
        <w:kinsoku/>
        <w:wordWrap/>
        <w:overflowPunct/>
        <w:topLinePunct w:val="0"/>
        <w:autoSpaceDE/>
        <w:autoSpaceDN/>
        <w:bidi w:val="0"/>
        <w:spacing w:line="240" w:lineRule="auto"/>
        <w:rPr>
          <w:b/>
          <w:sz w:val="24"/>
          <w:szCs w:val="24"/>
        </w:rPr>
      </w:pPr>
      <w:r>
        <w:rPr>
          <w:b/>
          <w:sz w:val="24"/>
          <w:szCs w:val="24"/>
        </w:rPr>
        <w:br w:type="page"/>
      </w:r>
    </w:p>
    <w:p w14:paraId="1B57DAF2">
      <w:pPr>
        <w:pStyle w:val="9"/>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val="0"/>
          <w:bCs w:val="0"/>
          <w:color w:val="auto"/>
          <w:kern w:val="2"/>
          <w:sz w:val="28"/>
          <w:szCs w:val="28"/>
          <w:highlight w:val="none"/>
          <w:lang w:val="en-US" w:eastAsia="zh-CN" w:bidi="ar-SA"/>
        </w:rPr>
      </w:pPr>
    </w:p>
    <w:p w14:paraId="58900E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napToGrid w:val="0"/>
          <w:kern w:val="0"/>
          <w:sz w:val="21"/>
          <w:szCs w:val="21"/>
          <w:highlight w:val="none"/>
          <w:lang w:val="en-US" w:eastAsia="zh-CN"/>
        </w:rPr>
      </w:pPr>
      <w:r>
        <w:rPr>
          <w:rFonts w:hint="eastAsia" w:ascii="宋体" w:hAnsi="宋体" w:eastAsia="宋体" w:cs="宋体"/>
          <w:b w:val="0"/>
          <w:bCs w:val="0"/>
          <w:snapToGrid w:val="0"/>
          <w:kern w:val="0"/>
          <w:sz w:val="21"/>
          <w:szCs w:val="21"/>
          <w:highlight w:val="none"/>
          <w:lang w:eastAsia="zh-CN"/>
        </w:rPr>
        <w:t>深圳市公安局交通管理局202</w:t>
      </w:r>
      <w:r>
        <w:rPr>
          <w:rFonts w:hint="eastAsia" w:ascii="宋体" w:hAnsi="宋体" w:eastAsia="宋体" w:cs="宋体"/>
          <w:b w:val="0"/>
          <w:bCs w:val="0"/>
          <w:snapToGrid w:val="0"/>
          <w:kern w:val="0"/>
          <w:sz w:val="21"/>
          <w:szCs w:val="21"/>
          <w:highlight w:val="none"/>
          <w:lang w:val="en-US" w:eastAsia="zh-CN"/>
        </w:rPr>
        <w:t>6</w:t>
      </w:r>
      <w:r>
        <w:rPr>
          <w:rFonts w:hint="eastAsia" w:ascii="宋体" w:hAnsi="宋体" w:eastAsia="宋体" w:cs="宋体"/>
          <w:b w:val="0"/>
          <w:bCs w:val="0"/>
          <w:snapToGrid w:val="0"/>
          <w:kern w:val="0"/>
          <w:sz w:val="21"/>
          <w:szCs w:val="21"/>
          <w:highlight w:val="none"/>
          <w:lang w:eastAsia="zh-CN"/>
        </w:rPr>
        <w:t>年外请拖车服务项目</w:t>
      </w:r>
      <w:r>
        <w:rPr>
          <w:rFonts w:hint="eastAsia" w:ascii="宋体" w:hAnsi="宋体" w:eastAsia="宋体" w:cs="宋体"/>
          <w:b w:val="0"/>
          <w:bCs w:val="0"/>
          <w:snapToGrid w:val="0"/>
          <w:kern w:val="0"/>
          <w:sz w:val="21"/>
          <w:szCs w:val="21"/>
          <w:highlight w:val="none"/>
          <w:lang w:val="en-US" w:eastAsia="zh-CN"/>
        </w:rPr>
        <w:t>合同</w:t>
      </w:r>
    </w:p>
    <w:p w14:paraId="68FCFFA1">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6722C59D">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甲方：</w:t>
      </w:r>
      <w:r>
        <w:rPr>
          <w:rFonts w:hint="eastAsia" w:ascii="宋体" w:hAnsi="宋体" w:eastAsia="宋体" w:cs="宋体"/>
          <w:b w:val="0"/>
          <w:bCs w:val="0"/>
          <w:color w:val="auto"/>
          <w:sz w:val="21"/>
          <w:szCs w:val="21"/>
          <w:highlight w:val="none"/>
          <w:lang w:val="en-US" w:eastAsia="zh-CN"/>
        </w:rPr>
        <w:t xml:space="preserve"> </w:t>
      </w:r>
    </w:p>
    <w:p w14:paraId="025FB54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6703889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4982A8B4">
      <w:pPr>
        <w:pStyle w:val="2"/>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56E079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乙方：</w:t>
      </w:r>
      <w:r>
        <w:rPr>
          <w:rFonts w:hint="eastAsia" w:ascii="宋体" w:hAnsi="宋体" w:eastAsia="宋体" w:cs="宋体"/>
          <w:b w:val="0"/>
          <w:bCs w:val="0"/>
          <w:color w:val="auto"/>
          <w:sz w:val="21"/>
          <w:szCs w:val="21"/>
          <w:highlight w:val="none"/>
          <w:lang w:val="en-US" w:eastAsia="zh-CN"/>
        </w:rPr>
        <w:t xml:space="preserve"> </w:t>
      </w:r>
    </w:p>
    <w:p w14:paraId="225AA25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1C8C0D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748EAB1C">
      <w:pPr>
        <w:pStyle w:val="2"/>
        <w:keepNext w:val="0"/>
        <w:keepLines w:val="0"/>
        <w:pageBreakBefore w:val="0"/>
        <w:kinsoku/>
        <w:wordWrap/>
        <w:overflowPunct/>
        <w:topLinePunct w:val="0"/>
        <w:autoSpaceDE/>
        <w:autoSpaceDN/>
        <w:bidi w:val="0"/>
        <w:spacing w:line="240" w:lineRule="auto"/>
        <w:rPr>
          <w:rFonts w:hint="eastAsia" w:ascii="宋体" w:hAnsi="宋体" w:eastAsia="宋体" w:cs="宋体"/>
          <w:sz w:val="21"/>
          <w:szCs w:val="21"/>
          <w:highlight w:val="none"/>
          <w:lang w:val="en-US" w:eastAsia="zh-CN"/>
        </w:rPr>
      </w:pPr>
    </w:p>
    <w:p w14:paraId="284ACEE1">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公司就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（编号：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）的招标采购结果，由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单位为中标（成交）方。按照《中华人民共和国民法典》和《深圳经济特区政府采购条例》</w:t>
      </w:r>
      <w:r>
        <w:rPr>
          <w:rFonts w:hint="eastAsia" w:ascii="宋体" w:hAnsi="宋体" w:eastAsia="宋体" w:cs="宋体"/>
          <w:color w:val="auto"/>
          <w:sz w:val="21"/>
          <w:szCs w:val="21"/>
          <w:highlight w:val="none"/>
          <w:lang w:eastAsia="zh-CN"/>
        </w:rPr>
        <w:t>及相关法律法规规定</w:t>
      </w:r>
      <w:r>
        <w:rPr>
          <w:rFonts w:hint="eastAsia" w:ascii="宋体" w:hAnsi="宋体" w:eastAsia="宋体" w:cs="宋体"/>
          <w:color w:val="auto"/>
          <w:sz w:val="21"/>
          <w:szCs w:val="21"/>
          <w:highlight w:val="none"/>
        </w:rPr>
        <w:t>，依照采购文件和中标（成交）方的响应与承诺，就采购人深圳市公安局交通</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局（以下简称甲方）委托中标（成交）方</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（以下简称乙方）承担</w:t>
      </w:r>
      <w:r>
        <w:rPr>
          <w:rFonts w:hint="eastAsia" w:ascii="宋体" w:hAnsi="宋体" w:eastAsia="宋体" w:cs="宋体"/>
          <w:b/>
          <w:bCs/>
          <w:snapToGrid w:val="0"/>
          <w:color w:val="auto"/>
          <w:sz w:val="21"/>
          <w:szCs w:val="21"/>
          <w:highlight w:val="none"/>
          <w:u w:val="single"/>
          <w:lang w:val="zh-CN"/>
        </w:rPr>
        <w:t xml:space="preserve"> </w:t>
      </w:r>
      <w:r>
        <w:rPr>
          <w:rFonts w:hint="eastAsia" w:ascii="宋体" w:hAnsi="宋体" w:eastAsia="宋体" w:cs="宋体"/>
          <w:b/>
          <w:bCs/>
          <w:snapToGrid w:val="0"/>
          <w:color w:val="auto"/>
          <w:sz w:val="21"/>
          <w:szCs w:val="21"/>
          <w:highlight w:val="none"/>
          <w:u w:val="single"/>
          <w:lang w:val="en-US" w:eastAsia="zh-CN"/>
        </w:rPr>
        <w:t xml:space="preserve">     </w:t>
      </w:r>
      <w:r>
        <w:rPr>
          <w:rFonts w:hint="eastAsia" w:ascii="宋体" w:hAnsi="宋体" w:eastAsia="宋体" w:cs="宋体"/>
          <w:b/>
          <w:bCs/>
          <w:snapToGrid w:val="0"/>
          <w:color w:val="auto"/>
          <w:sz w:val="21"/>
          <w:szCs w:val="21"/>
          <w:highlight w:val="none"/>
          <w:u w:val="single"/>
          <w:lang w:val="zh-CN" w:eastAsia="zh-CN"/>
        </w:rPr>
        <w:t>项目</w:t>
      </w:r>
      <w:r>
        <w:rPr>
          <w:rFonts w:hint="eastAsia" w:ascii="宋体" w:hAnsi="宋体" w:eastAsia="宋体" w:cs="宋体"/>
          <w:color w:val="auto"/>
          <w:sz w:val="21"/>
          <w:szCs w:val="21"/>
          <w:highlight w:val="none"/>
        </w:rPr>
        <w:t>，经甲乙双方协商、确定，达成以下合同条</w:t>
      </w:r>
      <w:r>
        <w:rPr>
          <w:rFonts w:hint="eastAsia" w:ascii="宋体" w:hAnsi="宋体" w:eastAsia="宋体" w:cs="宋体"/>
          <w:color w:val="auto"/>
          <w:sz w:val="21"/>
          <w:szCs w:val="21"/>
          <w:highlight w:val="none"/>
          <w:lang w:eastAsia="zh-CN"/>
        </w:rPr>
        <w:t>款：</w:t>
      </w:r>
    </w:p>
    <w:p w14:paraId="6DF55103">
      <w:pPr>
        <w:keepNext w:val="0"/>
        <w:keepLines w:val="0"/>
        <w:pageBreakBefore w:val="0"/>
        <w:widowControl w:val="0"/>
        <w:kinsoku/>
        <w:wordWrap/>
        <w:overflowPunct/>
        <w:topLinePunct w:val="0"/>
        <w:autoSpaceDE/>
        <w:autoSpaceDN/>
        <w:bidi w:val="0"/>
        <w:adjustRightInd w:val="0"/>
        <w:snapToGrid/>
        <w:spacing w:line="240" w:lineRule="auto"/>
        <w:ind w:firstLine="422" w:firstLineChars="200"/>
        <w:jc w:val="left"/>
        <w:textAlignment w:val="baseline"/>
        <w:outlineLvl w:val="9"/>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一、服务费标准（货币单位：人民币元）</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2293"/>
        <w:gridCol w:w="1361"/>
        <w:gridCol w:w="1759"/>
        <w:gridCol w:w="1108"/>
        <w:gridCol w:w="745"/>
        <w:gridCol w:w="800"/>
      </w:tblGrid>
      <w:tr w14:paraId="51D4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0" w:type="auto"/>
            <w:vAlign w:val="center"/>
          </w:tcPr>
          <w:p w14:paraId="2F67BB86">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0" w:type="auto"/>
            <w:vAlign w:val="center"/>
          </w:tcPr>
          <w:p w14:paraId="230C92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0" w:type="auto"/>
            <w:vAlign w:val="center"/>
          </w:tcPr>
          <w:p w14:paraId="60E71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p>
        </w:tc>
        <w:tc>
          <w:tcPr>
            <w:tcW w:w="0" w:type="auto"/>
            <w:vAlign w:val="center"/>
          </w:tcPr>
          <w:p w14:paraId="25F340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p>
        </w:tc>
        <w:tc>
          <w:tcPr>
            <w:tcW w:w="0" w:type="auto"/>
            <w:vAlign w:val="center"/>
          </w:tcPr>
          <w:p w14:paraId="74A33E0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p>
        </w:tc>
        <w:tc>
          <w:tcPr>
            <w:tcW w:w="0" w:type="auto"/>
            <w:vAlign w:val="center"/>
          </w:tcPr>
          <w:p w14:paraId="5E51832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p>
        </w:tc>
        <w:tc>
          <w:tcPr>
            <w:tcW w:w="0" w:type="auto"/>
            <w:vAlign w:val="center"/>
          </w:tcPr>
          <w:p w14:paraId="6C40111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bCs w:val="0"/>
                <w:color w:val="auto"/>
                <w:kern w:val="0"/>
                <w:sz w:val="21"/>
                <w:szCs w:val="21"/>
                <w:highlight w:val="none"/>
                <w:vertAlign w:val="baseline"/>
                <w:lang w:val="en-US" w:eastAsia="zh-CN"/>
              </w:rPr>
              <w:t>折扣率/服务费</w:t>
            </w:r>
          </w:p>
        </w:tc>
      </w:tr>
      <w:tr w14:paraId="1AA2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0" w:type="auto"/>
            <w:vAlign w:val="center"/>
          </w:tcPr>
          <w:p w14:paraId="01E6A8E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0" w:type="auto"/>
            <w:vAlign w:val="center"/>
          </w:tcPr>
          <w:p w14:paraId="39FB15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0" w:type="auto"/>
            <w:vAlign w:val="center"/>
          </w:tcPr>
          <w:p w14:paraId="5DC8B5E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3AAF8FD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03BFD5D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549D19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restart"/>
            <w:vAlign w:val="center"/>
          </w:tcPr>
          <w:p w14:paraId="3218E79B">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b w:val="0"/>
                <w:bCs w:val="0"/>
                <w:kern w:val="0"/>
                <w:sz w:val="21"/>
                <w:szCs w:val="21"/>
                <w:highlight w:val="none"/>
                <w:lang w:val="en-US" w:eastAsia="zh-CN"/>
              </w:rPr>
              <w:t>中标</w:t>
            </w:r>
            <w:r>
              <w:rPr>
                <w:rFonts w:hint="eastAsia" w:ascii="宋体" w:hAnsi="宋体" w:eastAsia="宋体" w:cs="宋体"/>
                <w:b w:val="0"/>
                <w:bCs/>
                <w:color w:val="auto"/>
                <w:kern w:val="0"/>
                <w:sz w:val="21"/>
                <w:szCs w:val="21"/>
                <w:highlight w:val="none"/>
                <w:vertAlign w:val="baseline"/>
                <w:lang w:val="en-US" w:eastAsia="zh-CN"/>
              </w:rPr>
              <w:t>折扣率</w:t>
            </w:r>
            <w:r>
              <w:rPr>
                <w:rFonts w:hint="eastAsia" w:ascii="宋体" w:hAnsi="宋体" w:eastAsia="宋体" w:cs="宋体"/>
                <w:b w:val="0"/>
                <w:bCs w:val="0"/>
                <w:kern w:val="0"/>
                <w:sz w:val="21"/>
                <w:szCs w:val="21"/>
                <w:highlight w:val="none"/>
                <w:lang w:val="en-US" w:eastAsia="zh-CN"/>
              </w:rPr>
              <w:t>：</w:t>
            </w:r>
          </w:p>
        </w:tc>
      </w:tr>
      <w:tr w14:paraId="235E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39F4FCA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0" w:type="auto"/>
            <w:vAlign w:val="center"/>
          </w:tcPr>
          <w:p w14:paraId="45D3C86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0" w:type="auto"/>
            <w:vAlign w:val="center"/>
          </w:tcPr>
          <w:p w14:paraId="592F795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2EC12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1D7B739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070DD38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05BA52B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3779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0" w:type="auto"/>
            <w:vAlign w:val="center"/>
          </w:tcPr>
          <w:p w14:paraId="07D0F2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0" w:type="auto"/>
            <w:vAlign w:val="center"/>
          </w:tcPr>
          <w:p w14:paraId="543437E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0" w:type="auto"/>
            <w:vAlign w:val="center"/>
          </w:tcPr>
          <w:p w14:paraId="5894447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0CD956C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6ED620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3041F62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3A4BC677">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65F6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0" w:type="auto"/>
            <w:vAlign w:val="center"/>
          </w:tcPr>
          <w:p w14:paraId="08DC9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0" w:type="auto"/>
            <w:vAlign w:val="center"/>
          </w:tcPr>
          <w:p w14:paraId="7D90AEB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0" w:type="auto"/>
            <w:vAlign w:val="center"/>
          </w:tcPr>
          <w:p w14:paraId="7F363F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0" w:type="auto"/>
            <w:vAlign w:val="center"/>
          </w:tcPr>
          <w:p w14:paraId="53634A7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0" w:type="auto"/>
            <w:vAlign w:val="center"/>
          </w:tcPr>
          <w:p w14:paraId="358466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0" w:type="auto"/>
            <w:vAlign w:val="center"/>
          </w:tcPr>
          <w:p w14:paraId="6E3C06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c>
          <w:tcPr>
            <w:tcW w:w="0" w:type="auto"/>
            <w:vMerge w:val="continue"/>
            <w:vAlign w:val="center"/>
          </w:tcPr>
          <w:p w14:paraId="1C4EFC2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9D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Align w:val="center"/>
          </w:tcPr>
          <w:p w14:paraId="0FA1544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0" w:type="auto"/>
            <w:vAlign w:val="center"/>
          </w:tcPr>
          <w:p w14:paraId="571752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0" w:type="auto"/>
            <w:vAlign w:val="center"/>
          </w:tcPr>
          <w:p w14:paraId="72EB17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0" w:type="auto"/>
            <w:vAlign w:val="center"/>
          </w:tcPr>
          <w:p w14:paraId="00792F4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0" w:type="auto"/>
            <w:vAlign w:val="center"/>
          </w:tcPr>
          <w:p w14:paraId="19B639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0" w:type="auto"/>
            <w:vAlign w:val="center"/>
          </w:tcPr>
          <w:p w14:paraId="518164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Merge w:val="continue"/>
            <w:vAlign w:val="center"/>
          </w:tcPr>
          <w:p w14:paraId="77F6802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1D3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0" w:type="auto"/>
            <w:vAlign w:val="center"/>
          </w:tcPr>
          <w:p w14:paraId="448ECCB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0" w:type="auto"/>
            <w:vAlign w:val="center"/>
          </w:tcPr>
          <w:p w14:paraId="70E10E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0" w:type="auto"/>
            <w:vAlign w:val="center"/>
          </w:tcPr>
          <w:p w14:paraId="4A35766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0" w:type="auto"/>
            <w:vAlign w:val="center"/>
          </w:tcPr>
          <w:p w14:paraId="5BCBD53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0" w:type="auto"/>
            <w:vAlign w:val="center"/>
          </w:tcPr>
          <w:p w14:paraId="483EB8D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0" w:type="auto"/>
            <w:vAlign w:val="center"/>
          </w:tcPr>
          <w:p w14:paraId="5EC6D7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c>
          <w:tcPr>
            <w:tcW w:w="0" w:type="auto"/>
            <w:vMerge w:val="continue"/>
            <w:vAlign w:val="center"/>
          </w:tcPr>
          <w:p w14:paraId="5769FFA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506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0" w:type="auto"/>
            <w:vAlign w:val="center"/>
          </w:tcPr>
          <w:p w14:paraId="019467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0" w:type="auto"/>
            <w:vAlign w:val="center"/>
          </w:tcPr>
          <w:p w14:paraId="52A33B8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0" w:type="auto"/>
            <w:vAlign w:val="center"/>
          </w:tcPr>
          <w:p w14:paraId="7EF0BA9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0" w:type="auto"/>
            <w:vAlign w:val="center"/>
          </w:tcPr>
          <w:p w14:paraId="12B5D5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0" w:type="auto"/>
            <w:vAlign w:val="center"/>
          </w:tcPr>
          <w:p w14:paraId="5D251FF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0" w:type="auto"/>
            <w:vAlign w:val="center"/>
          </w:tcPr>
          <w:p w14:paraId="2315DDC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c>
          <w:tcPr>
            <w:tcW w:w="0" w:type="auto"/>
            <w:vMerge w:val="continue"/>
            <w:vAlign w:val="center"/>
          </w:tcPr>
          <w:p w14:paraId="0FEFEDF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ADE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0" w:type="auto"/>
            <w:vAlign w:val="center"/>
          </w:tcPr>
          <w:p w14:paraId="0E032C1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0" w:type="auto"/>
            <w:vAlign w:val="center"/>
          </w:tcPr>
          <w:p w14:paraId="62074A7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0" w:type="auto"/>
            <w:vAlign w:val="center"/>
          </w:tcPr>
          <w:p w14:paraId="5010DB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0" w:type="auto"/>
            <w:vAlign w:val="center"/>
          </w:tcPr>
          <w:p w14:paraId="7275D6B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0" w:type="auto"/>
            <w:vAlign w:val="center"/>
          </w:tcPr>
          <w:p w14:paraId="727870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0" w:type="auto"/>
            <w:vAlign w:val="center"/>
          </w:tcPr>
          <w:p w14:paraId="76D31AE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c>
          <w:tcPr>
            <w:tcW w:w="0" w:type="auto"/>
            <w:vMerge w:val="continue"/>
            <w:vAlign w:val="center"/>
          </w:tcPr>
          <w:p w14:paraId="3CED9EA0">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471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BE3C0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0" w:type="auto"/>
            <w:vAlign w:val="center"/>
          </w:tcPr>
          <w:p w14:paraId="4D8D32D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0" w:type="auto"/>
            <w:vAlign w:val="center"/>
          </w:tcPr>
          <w:p w14:paraId="29C4408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0" w:type="auto"/>
            <w:vAlign w:val="center"/>
          </w:tcPr>
          <w:p w14:paraId="5A6263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0" w:type="auto"/>
            <w:vAlign w:val="center"/>
          </w:tcPr>
          <w:p w14:paraId="6C2EEEE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Align w:val="center"/>
          </w:tcPr>
          <w:p w14:paraId="2D7ED3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c>
          <w:tcPr>
            <w:tcW w:w="0" w:type="auto"/>
            <w:vMerge w:val="continue"/>
            <w:vAlign w:val="center"/>
          </w:tcPr>
          <w:p w14:paraId="60C868B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0CC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1F0F4D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0" w:type="auto"/>
            <w:vAlign w:val="center"/>
          </w:tcPr>
          <w:p w14:paraId="19FAF4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0" w:type="auto"/>
            <w:gridSpan w:val="4"/>
            <w:vAlign w:val="center"/>
          </w:tcPr>
          <w:p w14:paraId="7D0198B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c>
          <w:tcPr>
            <w:tcW w:w="0" w:type="auto"/>
            <w:vMerge w:val="continue"/>
            <w:vAlign w:val="center"/>
          </w:tcPr>
          <w:p w14:paraId="735FB5E9">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451A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3083F3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0" w:type="auto"/>
            <w:vAlign w:val="center"/>
          </w:tcPr>
          <w:p w14:paraId="1E1B488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0" w:type="auto"/>
            <w:gridSpan w:val="4"/>
            <w:vAlign w:val="center"/>
          </w:tcPr>
          <w:p w14:paraId="6B1F31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c>
          <w:tcPr>
            <w:tcW w:w="0" w:type="auto"/>
            <w:vMerge w:val="continue"/>
            <w:vAlign w:val="center"/>
          </w:tcPr>
          <w:p w14:paraId="1639EF3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259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5587BF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0" w:type="auto"/>
            <w:vAlign w:val="center"/>
          </w:tcPr>
          <w:p w14:paraId="0ACDA6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0" w:type="auto"/>
            <w:gridSpan w:val="4"/>
            <w:vAlign w:val="center"/>
          </w:tcPr>
          <w:p w14:paraId="628AE8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c>
          <w:tcPr>
            <w:tcW w:w="0" w:type="auto"/>
            <w:vMerge w:val="continue"/>
            <w:vAlign w:val="center"/>
          </w:tcPr>
          <w:p w14:paraId="01004556">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959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C088C0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0" w:type="auto"/>
            <w:vAlign w:val="center"/>
          </w:tcPr>
          <w:p w14:paraId="2CC430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0" w:type="auto"/>
            <w:gridSpan w:val="4"/>
            <w:vAlign w:val="center"/>
          </w:tcPr>
          <w:p w14:paraId="0DF2CB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c>
          <w:tcPr>
            <w:tcW w:w="0" w:type="auto"/>
            <w:vMerge w:val="continue"/>
            <w:vAlign w:val="center"/>
          </w:tcPr>
          <w:p w14:paraId="2900B37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052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4756EC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0" w:type="auto"/>
            <w:vAlign w:val="center"/>
          </w:tcPr>
          <w:p w14:paraId="5E10462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0" w:type="auto"/>
            <w:gridSpan w:val="4"/>
            <w:vAlign w:val="center"/>
          </w:tcPr>
          <w:p w14:paraId="08B657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c>
          <w:tcPr>
            <w:tcW w:w="0" w:type="auto"/>
            <w:vMerge w:val="continue"/>
            <w:vAlign w:val="center"/>
          </w:tcPr>
          <w:p w14:paraId="7D68D1E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1D23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688BF5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0" w:type="auto"/>
            <w:vAlign w:val="center"/>
          </w:tcPr>
          <w:p w14:paraId="6EEE2F0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0" w:type="auto"/>
            <w:gridSpan w:val="4"/>
            <w:vAlign w:val="center"/>
          </w:tcPr>
          <w:p w14:paraId="40E8B4A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c>
          <w:tcPr>
            <w:tcW w:w="0" w:type="auto"/>
            <w:vMerge w:val="continue"/>
            <w:vAlign w:val="center"/>
          </w:tcPr>
          <w:p w14:paraId="43CDF2C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bl>
    <w:p w14:paraId="16A8360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说明：</w:t>
      </w:r>
    </w:p>
    <w:p w14:paraId="3DE70FB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1、实付单价＝基准价×中标折扣率。</w:t>
      </w:r>
    </w:p>
    <w:p w14:paraId="3918E1A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被拖客车凭行驶证核定的座位数进行分类，被拖货车凭行驶证核定的核定载质量进行分类结算，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14:paraId="5E74FA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3、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4F6D17C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4、拖吊非甲方派单的其他交通事故车辆、故障车辆及车辆抢修服务等费用，由乙方参照行业收费标准自行与当事人协商收取服务费用。</w:t>
      </w:r>
    </w:p>
    <w:p w14:paraId="7A2FD9A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5、拖吊的汽车含客车、货车等各类型汽车。</w:t>
      </w:r>
    </w:p>
    <w:p w14:paraId="76DD3B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6、高速公路被拖车辆的过路费由当事人支付（计算终点为扣留车辆现场下游最近出口），拖车自身的过路费由乙方承担（包含在拖吊费用内，不再另外支付）。</w:t>
      </w:r>
    </w:p>
    <w:p w14:paraId="4E2088C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7、拖吊车服务按实际情况派单，乙方根据现场交警指示将车辆拖吊至队部、称重点、治超点或指定地点进行调查取证的，乙方应予以满足，并在完成调查取证后，再将车辆拖吊至指定的停车场仅算一次费用，相关费用不得重复收取。</w:t>
      </w:r>
    </w:p>
    <w:p w14:paraId="1EE8821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8、交通大队及各大队服务范围原则上是深圳市内,服务范围是深圳市以外地区的,不分车型在深圳市范围以外按车次加收10元/1公里。</w:t>
      </w:r>
    </w:p>
    <w:p w14:paraId="7978BA5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9、交通大队及各大队涉及全市（包括深汕合作区）各场地车辆转场的，每台作业车报价参照普通公路、城市道路交通违法车辆标准。</w:t>
      </w:r>
    </w:p>
    <w:p w14:paraId="1692F1A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10、交通保障服务的价格</w:t>
      </w:r>
    </w:p>
    <w:p w14:paraId="0F77FB1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值守不分车型，包括所有类型、吨位的拖车和吊车。按每台拯救车每参加1小时的备勤（含常态化高峰期备勤、特殊勤务保障工作备勤、交通整治备勤、突发事件处置备勤等）进行。普通公路、城市道路交通保障服务基准价为90元/小时•车；高速公路交通保障服务基准价为160元/小时•车。</w:t>
      </w:r>
    </w:p>
    <w:p w14:paraId="2EE2DAB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（2）参加集中整治的拯救车如在行动中没有拖吊车辆的，参照交通保障服务的报价计算及支付服务费。</w:t>
      </w:r>
    </w:p>
    <w:p w14:paraId="3C646E3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11、其他清障工作的价格</w:t>
      </w:r>
    </w:p>
    <w:p w14:paraId="2BD9B1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乙方从事甲方指定的其他清障工作（如拖移非入涉案停车场的车辆、紧急情况下清理路面的绿化、余泥、垃圾等），以出车车次计算，普通公路、城市道路其他清障工作基准价为160元/次•车；高速公路其他清障工作报价基准价为200元/次•车。</w:t>
      </w:r>
    </w:p>
    <w:p w14:paraId="662FCA2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12、空驶的价格</w:t>
      </w:r>
    </w:p>
    <w:p w14:paraId="4704063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甲方对乙方发出吊车作业和其他清障工作指令，乙方已按甲方要求出动拖吊车并已行驶2公里以上（提供车辆行驶轨迹作为依据），后甲方取消指令的，称为空驶。空驶以中标价的100%分车型按次支付。</w:t>
      </w:r>
    </w:p>
    <w:p w14:paraId="4BC21BCF">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13、拖车巡逻价格</w:t>
      </w:r>
    </w:p>
    <w:p w14:paraId="311AC76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甲方对乙方按实际需求进行拖车巡逻派单，乙方巡逻班次按甲方的派单计费，1台车巡逻8小时为一个班次（每班次巡逻里程不少于80公里）），拖车巡逻工作基准价为800元/车•台班。</w:t>
      </w:r>
    </w:p>
    <w:p w14:paraId="7BE92E7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14、叉车价格</w:t>
      </w:r>
    </w:p>
    <w:p w14:paraId="17AFBFB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（1）甲方对乙方按实际需求进行叉车派单，乙方的叉车按单次进行计费。叉车服务基准价为600元/车•台班。</w:t>
      </w:r>
    </w:p>
    <w:p w14:paraId="2D83656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中标价格进行支付。后续因工作衔接需要延续服务按实际作业车次进行收费。以小车为基准，每作业多一台小车加收100元/次，加收部分按照中标折扣率进行按次计费支付。</w:t>
      </w:r>
    </w:p>
    <w:p w14:paraId="48D35A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15、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33AC88C6">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二、服务期限</w:t>
      </w:r>
    </w:p>
    <w:p w14:paraId="1A8F82BD">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服务期限为一年，自XXXX年XX月XX日起至XXXX年XX月XX日止。本项目为长期服务项目，合同期满可以续签，但合同履行期限最长不得超过三十六个月。采购单位可根据项目需要和中标供应商的年度履约考评情况确定合同期限是否延长，如采购单位对履约情况不满意，不再续约。</w:t>
      </w:r>
    </w:p>
    <w:p w14:paraId="3A5C67E5">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当项目实际发生的总服务费用累计达到本项目总限价支付上限XXX万元（项目的服务结算金额达到该包的预算金额/支付上限时）本合同自然终止。</w:t>
      </w:r>
    </w:p>
    <w:p w14:paraId="65609830">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三、合同总价及结算方式</w:t>
      </w:r>
    </w:p>
    <w:p w14:paraId="5F57E526">
      <w:pPr>
        <w:pStyle w:val="2"/>
        <w:keepNext w:val="0"/>
        <w:keepLines w:val="0"/>
        <w:pageBreakBefore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（一）本项目合同总价为人民币</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元整（¥</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）。合同所产生的服务费用在本项目总限价内按实结算，结算总金额不超过本项目合同金额。</w:t>
      </w:r>
    </w:p>
    <w:p w14:paraId="57FA4613">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（二）乙方服务费支付比例和月度考核情况挂钩</w:t>
      </w:r>
    </w:p>
    <w:p w14:paraId="4B0618F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 按当月总评分数支付相同比例的服务费。例如当月得分为85.2分的，则按85.2%支付当月服务费，依此类推；</w:t>
      </w:r>
    </w:p>
    <w:p w14:paraId="58F8325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 当月总评100分或100分以上的，按100％支付当月服务费。</w:t>
      </w:r>
    </w:p>
    <w:p w14:paraId="1CBCC8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（三）付款方式</w:t>
      </w:r>
    </w:p>
    <w:p w14:paraId="0C28F5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1、拖吊费按交警部门的派单计费。</w:t>
      </w:r>
    </w:p>
    <w:p w14:paraId="08CCDB8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由甲方按拖吊数量*拖吊基准价*中标折扣率进行结算，由财政负责支付，乙方不得向当事人收取费用。</w:t>
      </w:r>
    </w:p>
    <w:p w14:paraId="56BDD9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2、拖吊非甲方派单的其他交通事故车辆、故障车辆及车辆抢修服务等费用计费。</w:t>
      </w:r>
    </w:p>
    <w:p w14:paraId="78041A2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（1）拖吊其他交通事故、故障车辆及车辆抢修服务等，由乙方自行与当事人协商收取服务费用。</w:t>
      </w:r>
    </w:p>
    <w:p w14:paraId="63ADD4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2）针对交警部门不需要扣留查验取证的交通事故车辆，妨碍交通的，乙方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乙方不得强行拖移该车辆。 </w:t>
      </w:r>
    </w:p>
    <w:p w14:paraId="56E9CFF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（3）乙方不得杜撰服务项目进行收费。</w:t>
      </w:r>
    </w:p>
    <w:p w14:paraId="4727617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3、交通保障服务计费。</w:t>
      </w:r>
    </w:p>
    <w:p w14:paraId="4DB7A81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交通保障服务按小时计算（不足半小时以0.5小时计算，超过0.5小时不足1小时按1小时计算），以拖车按甲方要求到达指定地点为开始时间，以收到甲方通知结束指令为止。具体以乙方的中标折扣率*交通保障服务基准价及经甲方审核确定的服务时间进行核算。</w:t>
      </w:r>
    </w:p>
    <w:p w14:paraId="338BAB3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（2）在提供应急保障准备期间由交警指派实施的拖吊车作业，服务费用另行计算。如备勤期间按甲方指令进行拖吊作业的，需核减相应的备勤时间。</w:t>
      </w:r>
    </w:p>
    <w:p w14:paraId="67BF5E9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4、其他清障服务计费。</w:t>
      </w:r>
    </w:p>
    <w:p w14:paraId="1B3C9BAB">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其他清障服务费用按车次计算支付，具体以乙方的中标折扣率*其他清障服务基准价价及经甲方审核确定的服务次数进行核算。</w:t>
      </w:r>
    </w:p>
    <w:p w14:paraId="243CD54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5、拖车巡逻计费</w:t>
      </w:r>
    </w:p>
    <w:p w14:paraId="084DE7E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巡逻班次按甲方的派单计费，1台车巡逻8小时为一个班次（每班次巡逻里程不少于80公里），以乙方的中标折扣率*拖车巡逻基准价及经甲方审核确定的服务班次进行核算。</w:t>
      </w:r>
    </w:p>
    <w:p w14:paraId="68655D2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6、叉车计费</w:t>
      </w:r>
    </w:p>
    <w:p w14:paraId="3C31046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w:t>
      </w:r>
      <w:r>
        <w:rPr>
          <w:rFonts w:hint="eastAsia" w:ascii="宋体" w:hAnsi="宋体" w:eastAsia="宋体" w:cs="宋体"/>
          <w:b w:val="0"/>
          <w:bCs w:val="0"/>
          <w:kern w:val="0"/>
          <w:sz w:val="21"/>
          <w:szCs w:val="21"/>
          <w:highlight w:val="none"/>
          <w:lang w:val="en-US" w:eastAsia="zh-CN" w:bidi="ar-SA"/>
        </w:rPr>
        <w:t>以乙方的中标折扣率*叉车基准价及经甲方审核确定的服务班次进行核算。</w:t>
      </w:r>
    </w:p>
    <w:p w14:paraId="54BE464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（2）叉车派出为首次的作业价格，首次作业单价按单次中标价格进行计费。后续因工作衔接需要延续服务按实际作业车次进行收费。以小车为基准，每作业多一台小车加收100元/次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r>
        <w:rPr>
          <w:rFonts w:hint="eastAsia" w:ascii="宋体" w:hAnsi="宋体" w:eastAsia="宋体" w:cs="宋体"/>
          <w:b w:val="0"/>
          <w:bCs w:val="0"/>
          <w:kern w:val="0"/>
          <w:sz w:val="21"/>
          <w:szCs w:val="21"/>
          <w:highlight w:val="none"/>
          <w:lang w:val="en-US" w:eastAsia="zh-CN"/>
        </w:rPr>
        <w:t>。</w:t>
      </w:r>
    </w:p>
    <w:p w14:paraId="65DB391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7、空驶计费。</w:t>
      </w:r>
    </w:p>
    <w:p w14:paraId="1490B87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甲方对乙方发出清障指令，乙方已按甲方要求出动拖车并已行驶2公里或以上，后甲方取消指令的，称为空驶。每一宗空驶费用结算均需提供对应的车辆行驶轨迹作为依据。</w:t>
      </w:r>
    </w:p>
    <w:p w14:paraId="3A44422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8.在非中标片区服务的结算方式</w:t>
      </w:r>
    </w:p>
    <w:p w14:paraId="44052B6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乙方在整治或大型保障活动中，受甲方指派到非中标片区实施清障作业的，服务费用按照该乙方中标价进行结算。</w:t>
      </w:r>
    </w:p>
    <w:p w14:paraId="2724E2D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9、除合同中规定的拖吊车、清障作业、交通保障、拖车巡逻、叉车费用外，甲方不再向乙方额外支付任何费用；乙方自行购置清障工作所需的各种设备，以及负责人工费用和各项开支。</w:t>
      </w:r>
    </w:p>
    <w:p w14:paraId="65707C1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（四）支付程序</w:t>
      </w:r>
    </w:p>
    <w:p w14:paraId="09BBAD64">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1.按照中标折扣率*各类服务基准价*实际服务工作量进行结算。</w:t>
      </w:r>
    </w:p>
    <w:p w14:paraId="40C6E87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服务费用按月结算及支付，由甲方所属部门完成支付。双方核对汇总，由乙方向甲方提供完整的结算资料之日起5个工作日内办完确认手续。因乙方提供资料不全导致延误的，则甲方相应顺延办理确认手续。甲方每次付款前，乙方应按照甲方要求给付等额合法的增值税发票，</w:t>
      </w:r>
      <w:r>
        <w:rPr>
          <w:rFonts w:hint="eastAsia" w:ascii="宋体" w:hAnsi="宋体" w:eastAsia="宋体" w:cs="宋体"/>
          <w:b w:val="0"/>
          <w:bCs w:val="0"/>
          <w:kern w:val="2"/>
          <w:sz w:val="21"/>
          <w:szCs w:val="21"/>
          <w:highlight w:val="none"/>
          <w:lang w:val="en-US" w:eastAsia="zh-CN" w:bidi="ar-SA"/>
        </w:rPr>
        <w:t>若因乙方原</w:t>
      </w:r>
      <w:r>
        <w:rPr>
          <w:rFonts w:hint="eastAsia" w:ascii="宋体" w:hAnsi="宋体" w:eastAsia="宋体" w:cs="宋体"/>
          <w:b w:val="0"/>
          <w:bCs w:val="0"/>
          <w:kern w:val="0"/>
          <w:sz w:val="21"/>
          <w:szCs w:val="21"/>
          <w:highlight w:val="none"/>
          <w:lang w:val="en-US" w:eastAsia="zh-CN" w:bidi="ar-SA"/>
        </w:rPr>
        <w:t>因迟延给付的，甲方的付款期限相应顺延。甲方向财政部门申请向乙方付款即视为履行付款义务。如遇财政部门拨款延迟、财政审批流程等非甲方原因导致的迟延付款，不视为甲方违约，乙方不得追究甲方的违约责任并以此拒绝履行合同义务。</w:t>
      </w:r>
    </w:p>
    <w:p w14:paraId="58F5BDF3">
      <w:pPr>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3.结算付款时限：甲方在结算完成之日起15个日历天内，为乙方办理已结算的支付手续。</w:t>
      </w:r>
    </w:p>
    <w:p w14:paraId="10A67BAC">
      <w:pPr>
        <w:pStyle w:val="2"/>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乙方收款账户信息</w:t>
      </w:r>
    </w:p>
    <w:p w14:paraId="79DC212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开户名：      </w:t>
      </w:r>
    </w:p>
    <w:p w14:paraId="702BC934">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开户行： </w:t>
      </w:r>
    </w:p>
    <w:p w14:paraId="18137CD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账号： </w:t>
      </w:r>
    </w:p>
    <w:p w14:paraId="034D9FBA">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保证上述账户信息的准确性、真实性，如因账户信息错误导致乙方无法收到货款或迟延收到货款的，甲方不承担责任。如有更改，乙方必须提前书面通知甲方，否则一切后果由供方承担。甲乙双方约定确认，如甲方因财政拨款原因、不可抗力、乙方迟延给付发票等原因不能按时付款，付款期限顺延，不视为甲方违约，甲方不承担迟延付款的违约责任。</w:t>
      </w:r>
    </w:p>
    <w:p w14:paraId="2D5427AE">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四、服务范围及服务内容</w:t>
      </w:r>
    </w:p>
    <w:p w14:paraId="0D870D04">
      <w:pPr>
        <w:pStyle w:val="42"/>
        <w:keepNext w:val="0"/>
        <w:keepLines w:val="0"/>
        <w:pageBreakBefore w:val="0"/>
        <w:widowControl w:val="0"/>
        <w:kinsoku/>
        <w:wordWrap/>
        <w:overflowPunct/>
        <w:topLinePunct w:val="0"/>
        <w:autoSpaceDE/>
        <w:autoSpaceDN/>
        <w:bidi w:val="0"/>
        <w:adjustRightInd/>
        <w:snapToGrid/>
        <w:spacing w:after="0" w:line="240" w:lineRule="auto"/>
        <w:ind w:left="0" w:leftChars="0" w:firstLine="420" w:firstLineChars="200"/>
        <w:textAlignment w:val="auto"/>
        <w:outlineLvl w:val="1"/>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lang w:val="en-US" w:eastAsia="zh-CN"/>
        </w:rPr>
        <w:t>（一）乙方提供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single"/>
          <w:lang w:eastAsia="zh-CN"/>
        </w:rPr>
        <w:t>大队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none"/>
          <w:lang w:val="en-US" w:eastAsia="zh-CN"/>
        </w:rPr>
        <w:t>范围内的查扣交通违法车辆的拖吊服务、交警部门查验取证需要扣留的事故车辆的拖吊服务，交通保障，各类非法占道物品的清理及车辆拖吊等其他清障工作，专业拯救车辆巡逻、叉车等服务。</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1"/>
        <w:gridCol w:w="1912"/>
        <w:gridCol w:w="1912"/>
        <w:gridCol w:w="1777"/>
        <w:gridCol w:w="1777"/>
      </w:tblGrid>
      <w:tr w14:paraId="0A34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9D0FF2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1F67E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542B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91CF7">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C111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4B7A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001CA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C4AA5F">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B648BC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2B86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B551ED">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r>
      <w:tr w14:paraId="0833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801A2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A包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EE93B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E510D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7517414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A037A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r>
      <w:tr w14:paraId="3B1E3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84C68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397D1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5D7C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47FDFE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A3AD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34DED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813B1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40506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85553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0EAE0860">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28562">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684A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EBF87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CD7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FD0C4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5DC5340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5904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48964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2BA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4E32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BDC3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76C371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7055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1C6B1DC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 w:val="21"/>
          <w:szCs w:val="21"/>
          <w:highlight w:val="none"/>
          <w:lang w:val="en-US" w:eastAsia="zh-CN"/>
        </w:rPr>
        <w:t>（二）</w:t>
      </w:r>
      <w:r>
        <w:rPr>
          <w:rFonts w:hint="eastAsia" w:ascii="宋体" w:hAnsi="宋体" w:eastAsia="宋体" w:cs="宋体"/>
          <w:b w:val="0"/>
          <w:bCs w:val="0"/>
          <w:kern w:val="0"/>
          <w:sz w:val="21"/>
          <w:szCs w:val="21"/>
          <w:highlight w:val="none"/>
          <w:lang w:val="en-US" w:eastAsia="zh-CN"/>
        </w:rPr>
        <w:t>服务范围以各大队管辖范围为准，大队辖区出现变化的，服务范围以变化后的为准，如出现其它变化则由甲方确定服务范围。</w:t>
      </w:r>
    </w:p>
    <w:p w14:paraId="13AD1D1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（三）遇有大型专项行动、重特大交通事故、突发事件及其它工作需求，甲方有权统筹安排。</w:t>
      </w:r>
    </w:p>
    <w:p w14:paraId="77262D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sz w:val="21"/>
          <w:szCs w:val="21"/>
          <w:highlight w:val="none"/>
          <w:u w:val="none"/>
          <w:lang w:val="en-US" w:eastAsia="zh-CN"/>
        </w:rPr>
      </w:pPr>
      <w:r>
        <w:rPr>
          <w:rFonts w:hint="eastAsia" w:ascii="宋体" w:hAnsi="宋体" w:eastAsia="宋体" w:cs="宋体"/>
          <w:b w:val="0"/>
          <w:bCs w:val="0"/>
          <w:kern w:val="0"/>
          <w:sz w:val="21"/>
          <w:szCs w:val="21"/>
          <w:highlight w:val="none"/>
          <w:lang w:val="en-US" w:eastAsia="zh-CN"/>
        </w:rPr>
        <w:t>（四）国家法律法规或上级管理部门有新规定的从其规定</w:t>
      </w:r>
      <w:r>
        <w:rPr>
          <w:rFonts w:hint="eastAsia" w:ascii="宋体" w:hAnsi="宋体" w:eastAsia="宋体" w:cs="宋体"/>
          <w:b w:val="0"/>
          <w:bCs/>
          <w:sz w:val="21"/>
          <w:szCs w:val="21"/>
          <w:highlight w:val="none"/>
        </w:rPr>
        <w:t>。</w:t>
      </w:r>
    </w:p>
    <w:p w14:paraId="4C39F6B3">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五、甲方的权利和义务</w:t>
      </w:r>
    </w:p>
    <w:p w14:paraId="1DDD6458">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（一）服务期内，甲方可全天24小时随时向乙方发出指令，要求乙方在规定的服务区域内提供交通违法车辆、事故车辆、故障车辆、交通保障以及其他清障工作的拖车服务，拖车巡逻及叉车服务。</w:t>
      </w:r>
    </w:p>
    <w:p w14:paraId="31D64B91">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（二）遇有大型专项行动、重特大交通事故、突发事件及其它工作需求，甲方有权统筹安排，调配各签约乙方跨约定服务区域开展拖吊车服务，每个子包可跨区统筹调配的服务量不超过该子包合同价的20%。</w:t>
      </w:r>
    </w:p>
    <w:p w14:paraId="50BD2DA4">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（三）甲方不承担乙方利用服务车辆从事合同约定服务内容以外的活动所导致的后果。</w:t>
      </w:r>
    </w:p>
    <w:p w14:paraId="02033477">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（四）按时办理财政集中支付手续</w:t>
      </w:r>
    </w:p>
    <w:p w14:paraId="094019F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（五）若上级政府部门对拖车拯救管理有其他规定的，从其规定。</w:t>
      </w:r>
    </w:p>
    <w:p w14:paraId="6AB1A9FB">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六、乙方的权利和义务</w:t>
      </w:r>
    </w:p>
    <w:p w14:paraId="71412E63">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（一）车辆数量要求</w:t>
      </w:r>
    </w:p>
    <w:p w14:paraId="1ABF016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1.根据“甲方需求”乙方须提供  辆拖吊车用于本项目：  辆25吨（含25吨）以上大型吊机，  辆25吨（含25吨）以上大型专项作业车，  辆15吨（含15吨）以上大型专项作业车，  辆2吨（含2吨）至5吨中小型专项作业车，  辆防撞车。</w:t>
      </w:r>
    </w:p>
    <w:p w14:paraId="0ED95E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val="en-US" w:eastAsia="zh-CN" w:bidi="ar-SA"/>
        </w:rPr>
        <w:t>2.乙方</w:t>
      </w:r>
      <w:r>
        <w:rPr>
          <w:rFonts w:hint="eastAsia" w:ascii="宋体" w:hAnsi="宋体" w:eastAsia="宋体" w:cs="宋体"/>
          <w:sz w:val="21"/>
          <w:szCs w:val="21"/>
          <w:highlight w:val="none"/>
          <w:lang w:eastAsia="zh-CN"/>
        </w:rPr>
        <w:t>投入自有或租赁车辆供</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指挥调度使用，乙方</w:t>
      </w:r>
      <w:r>
        <w:rPr>
          <w:rFonts w:hint="eastAsia" w:ascii="宋体" w:hAnsi="宋体" w:eastAsia="宋体" w:cs="宋体"/>
          <w:sz w:val="21"/>
          <w:szCs w:val="21"/>
          <w:highlight w:val="none"/>
          <w:lang w:val="en-US" w:eastAsia="zh-CN"/>
        </w:rPr>
        <w:t>额外向本项目增投</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lang w:val="en-US" w:eastAsia="zh-CN"/>
        </w:rPr>
        <w:t>各类车辆，</w:t>
      </w:r>
      <w:r>
        <w:rPr>
          <w:rFonts w:hint="eastAsia" w:ascii="宋体" w:hAnsi="宋体" w:eastAsia="宋体" w:cs="宋体"/>
          <w:sz w:val="21"/>
          <w:szCs w:val="21"/>
          <w:highlight w:val="none"/>
          <w:lang w:eastAsia="zh-CN"/>
        </w:rPr>
        <w:t>甲方</w:t>
      </w:r>
      <w:r>
        <w:rPr>
          <w:rFonts w:hint="eastAsia" w:ascii="宋体" w:hAnsi="宋体" w:eastAsia="宋体" w:cs="宋体"/>
          <w:sz w:val="21"/>
          <w:szCs w:val="21"/>
          <w:highlight w:val="none"/>
          <w:lang w:val="en-US" w:eastAsia="zh-CN"/>
        </w:rPr>
        <w:t>可进行</w:t>
      </w:r>
      <w:r>
        <w:rPr>
          <w:rFonts w:hint="eastAsia" w:ascii="宋体" w:hAnsi="宋体" w:eastAsia="宋体" w:cs="宋体"/>
          <w:sz w:val="21"/>
          <w:szCs w:val="21"/>
          <w:highlight w:val="none"/>
          <w:lang w:eastAsia="zh-CN"/>
        </w:rPr>
        <w:t>指挥调度使用。</w:t>
      </w:r>
    </w:p>
    <w:p w14:paraId="0872DE28">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按服务片区及各片区需求投入的提供足够的车辆（车辆允许租赁），不限于上述的车辆类型和数量以满足甲方的拖吊车要求，如甲方有特殊安排（如提供铲车、叉车、转运车、重型半挂牵引车、低平板半挂车等），乙方应予以满足并提供相应服务。并按甲方要求指定的所属片区相应单位地点处停放，无要求的自行安排所属片区内地点停放。</w:t>
      </w:r>
    </w:p>
    <w:p w14:paraId="54E9917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乙方中标后自有车辆不能满足该片区要求投入的数量、需租赁的，于接到中标通知书之日起15天内，向甲方提交拖吊车服务合同生效起期限为1年的车辆租赁合同原件及车辆行驶证复印件；未按要求提交或提供失效证件的，甲方有权终止合同并追究其相关责任。</w:t>
      </w:r>
    </w:p>
    <w:p w14:paraId="197CF65C">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5.服务期内，因车辆报废、更新等原因，经甲方批准（需书面报备），可以更换或增配车辆（吨位不得小于原车辆）。</w:t>
      </w:r>
    </w:p>
    <w:p w14:paraId="11E3016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（二）车辆状况要求</w:t>
      </w:r>
    </w:p>
    <w:p w14:paraId="1C3C49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提供的车辆须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F542B8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2.提供的车辆须购买相应的保险，除交强险外，还应购买保险理赔金额不少于20万的第三者责任险，且保险理赔时限在本项目服务期限内持续有效。</w:t>
      </w:r>
    </w:p>
    <w:p w14:paraId="3E8706AC">
      <w:pPr>
        <w:pStyle w:val="2"/>
        <w:keepNext w:val="0"/>
        <w:keepLines w:val="0"/>
        <w:pageBreakBefore w:val="0"/>
        <w:widowControl w:val="0"/>
        <w:kinsoku/>
        <w:wordWrap/>
        <w:overflowPunct/>
        <w:topLinePunct w:val="0"/>
        <w:autoSpaceDE/>
        <w:autoSpaceDN/>
        <w:bidi w:val="0"/>
        <w:snapToGrid/>
        <w:spacing w:line="240" w:lineRule="auto"/>
        <w:ind w:firstLine="420" w:firstLineChars="20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如果甲方开发出相关的监管平台，乙方必须配合使用，加强对本项目监管，按甲方要求配备相应的硬件设备、操作人员，培训相关操作人员熟练使用系统，建立信息化系统使用手册等技术资料，按采甲方规定使用和管理。系统应用后，相关纸质台账的建立、保管要求以甲方新要求为准。</w:t>
      </w:r>
    </w:p>
    <w:p w14:paraId="43F5FF8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提供的车辆必须安装行车记录仪，行车记录仪必须配备三个摄像头，满足日间、夜晚的记录要求，能清晰摄录从</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将扣留车辆移交给</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起至</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将扣留车辆拖移至</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指定停车场并移交完毕的整个过程，具体安装要求由</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指定，摄录数据至少保存三个月。</w:t>
      </w:r>
    </w:p>
    <w:p w14:paraId="21F738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5.提供的车辆应喷涂中标人单位名称、公示收费标准（如车辆属租赁的，中标人应在车辆明显位置标示出单位名称及投诉电话）。</w:t>
      </w:r>
    </w:p>
    <w:p w14:paraId="5A8242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6.服务期内，投入的车辆</w:t>
      </w:r>
      <w:r>
        <w:rPr>
          <w:rFonts w:hint="eastAsia" w:ascii="宋体" w:hAnsi="宋体" w:eastAsia="宋体" w:cs="宋体"/>
          <w:kern w:val="0"/>
          <w:sz w:val="21"/>
          <w:szCs w:val="21"/>
          <w:highlight w:val="none"/>
        </w:rPr>
        <w:t>必须</w:t>
      </w:r>
      <w:r>
        <w:rPr>
          <w:rFonts w:hint="eastAsia" w:ascii="宋体" w:hAnsi="宋体" w:eastAsia="宋体" w:cs="宋体"/>
          <w:kern w:val="0"/>
          <w:sz w:val="21"/>
          <w:szCs w:val="21"/>
          <w:highlight w:val="none"/>
          <w:lang w:val="en-US" w:eastAsia="zh-CN"/>
        </w:rPr>
        <w:t>在有效期内，对提供服务的车辆进行维修保养、年检等，在原服务车辆不能按时到场服务的情况下，须提供同车型、同吨位的备用车辆（具有合格、完备证照）替代服务，并事前告知甲方。</w:t>
      </w:r>
    </w:p>
    <w:p w14:paraId="4FFF612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提供的车辆，应具备</w:t>
      </w:r>
      <w:r>
        <w:rPr>
          <w:rFonts w:hint="eastAsia" w:ascii="宋体" w:hAnsi="宋体" w:eastAsia="宋体" w:cs="宋体"/>
          <w:kern w:val="0"/>
          <w:sz w:val="21"/>
          <w:szCs w:val="21"/>
          <w:highlight w:val="none"/>
          <w:lang w:eastAsia="zh-CN"/>
        </w:rPr>
        <w:t>在各种情形和环境下</w:t>
      </w:r>
      <w:r>
        <w:rPr>
          <w:rFonts w:hint="eastAsia" w:ascii="宋体" w:hAnsi="宋体" w:eastAsia="宋体" w:cs="宋体"/>
          <w:kern w:val="0"/>
          <w:sz w:val="21"/>
          <w:szCs w:val="21"/>
          <w:highlight w:val="none"/>
        </w:rPr>
        <w:t>拖吊大型客车、重型货车、新能源车（含电动公交车</w:t>
      </w:r>
      <w:r>
        <w:rPr>
          <w:rFonts w:hint="eastAsia" w:ascii="宋体" w:hAnsi="宋体" w:eastAsia="宋体" w:cs="宋体"/>
          <w:kern w:val="0"/>
          <w:sz w:val="21"/>
          <w:szCs w:val="21"/>
          <w:highlight w:val="none"/>
          <w:lang w:eastAsia="zh-CN"/>
        </w:rPr>
        <w:t>、电动泥头车</w:t>
      </w:r>
      <w:r>
        <w:rPr>
          <w:rFonts w:hint="eastAsia" w:ascii="宋体" w:hAnsi="宋体" w:eastAsia="宋体" w:cs="宋体"/>
          <w:kern w:val="0"/>
          <w:sz w:val="21"/>
          <w:szCs w:val="21"/>
          <w:highlight w:val="none"/>
        </w:rPr>
        <w:t>等特种车辆）</w:t>
      </w:r>
      <w:r>
        <w:rPr>
          <w:rFonts w:hint="eastAsia" w:ascii="宋体" w:hAnsi="宋体" w:eastAsia="宋体" w:cs="宋体"/>
          <w:kern w:val="0"/>
          <w:sz w:val="21"/>
          <w:szCs w:val="21"/>
          <w:highlight w:val="none"/>
          <w:lang w:eastAsia="zh-CN"/>
        </w:rPr>
        <w:t>、重型半挂车</w:t>
      </w:r>
      <w:r>
        <w:rPr>
          <w:rFonts w:hint="eastAsia" w:ascii="宋体" w:hAnsi="宋体" w:eastAsia="宋体" w:cs="宋体"/>
          <w:kern w:val="0"/>
          <w:sz w:val="21"/>
          <w:szCs w:val="21"/>
          <w:highlight w:val="none"/>
        </w:rPr>
        <w:t>等车辆的能力，到达现场拖吊作业的车辆必须能够承担并完成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指定的拖吊任务。</w:t>
      </w:r>
    </w:p>
    <w:p w14:paraId="3054C2E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（三）</w:t>
      </w:r>
      <w:r>
        <w:rPr>
          <w:rFonts w:hint="eastAsia" w:ascii="宋体" w:hAnsi="宋体" w:eastAsia="宋体" w:cs="宋体"/>
          <w:kern w:val="0"/>
          <w:sz w:val="21"/>
          <w:szCs w:val="21"/>
          <w:highlight w:val="none"/>
        </w:rPr>
        <w:t>作业人员要求</w:t>
      </w:r>
    </w:p>
    <w:p w14:paraId="0400D22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lang w:eastAsia="zh-CN"/>
        </w:rPr>
        <w:t>乙方作业人员须具备交通清障作业工作经验。</w:t>
      </w:r>
    </w:p>
    <w:p w14:paraId="1F067D4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2.乙方应加强作业人员交通拖吊操作技能的培训、安全培训。</w:t>
      </w:r>
    </w:p>
    <w:p w14:paraId="0878911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3.实施清障作业的每辆车，须根据甲方要求配备作业人员（参与交通整治时，如甲方要求每台作业车辆配备两名或以上熟悉业务作业人员的，乙方应予以满足），以保证交通拖吊任务顺利完成。</w:t>
      </w:r>
    </w:p>
    <w:p w14:paraId="50AFCE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作业人员</w:t>
      </w:r>
      <w:r>
        <w:rPr>
          <w:rFonts w:hint="eastAsia" w:ascii="宋体" w:hAnsi="宋体" w:eastAsia="宋体" w:cs="宋体"/>
          <w:kern w:val="0"/>
          <w:sz w:val="21"/>
          <w:szCs w:val="21"/>
          <w:highlight w:val="none"/>
          <w:lang w:eastAsia="zh-CN"/>
        </w:rPr>
        <w:t>须</w:t>
      </w:r>
      <w:r>
        <w:rPr>
          <w:rFonts w:hint="eastAsia" w:ascii="宋体" w:hAnsi="宋体" w:eastAsia="宋体" w:cs="宋体"/>
          <w:kern w:val="0"/>
          <w:sz w:val="21"/>
          <w:szCs w:val="21"/>
          <w:highlight w:val="none"/>
        </w:rPr>
        <w:t>统一着装，按规范流程操作，同时必须听从交警的指挥。</w:t>
      </w:r>
    </w:p>
    <w:p w14:paraId="6BC15F8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每台作业车辆配备一名以上驾驶员。</w:t>
      </w:r>
    </w:p>
    <w:p w14:paraId="5824E218">
      <w:pPr>
        <w:pStyle w:val="2"/>
        <w:keepNext w:val="0"/>
        <w:keepLines w:val="0"/>
        <w:pageBreakBefore w:val="0"/>
        <w:widowControl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w:t>
      </w:r>
      <w:r>
        <w:rPr>
          <w:rFonts w:hint="eastAsia" w:ascii="宋体" w:hAnsi="宋体" w:eastAsia="宋体" w:cs="宋体"/>
          <w:b w:val="0"/>
          <w:bCs w:val="0"/>
          <w:kern w:val="0"/>
          <w:sz w:val="21"/>
          <w:szCs w:val="21"/>
          <w:highlight w:val="none"/>
        </w:rPr>
        <w:t>清障作业的服务要求</w:t>
      </w:r>
    </w:p>
    <w:p w14:paraId="78A5695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1.服务时间要求</w:t>
      </w:r>
    </w:p>
    <w:p w14:paraId="73B5FAD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提供全天24小时的各类拖吊作业。</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接到</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发出的拖吊指令起计，在规定时间（见下表）到达现场提供服务。</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273"/>
        <w:gridCol w:w="1408"/>
        <w:gridCol w:w="5196"/>
      </w:tblGrid>
      <w:tr w14:paraId="43A2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7A85B204">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时段</w:t>
            </w:r>
          </w:p>
        </w:tc>
        <w:tc>
          <w:tcPr>
            <w:tcW w:w="1273" w:type="dxa"/>
            <w:vAlign w:val="center"/>
          </w:tcPr>
          <w:p w14:paraId="1D7E17FC">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一般城市路段到位时间</w:t>
            </w:r>
          </w:p>
        </w:tc>
        <w:tc>
          <w:tcPr>
            <w:tcW w:w="1408" w:type="dxa"/>
            <w:vAlign w:val="center"/>
          </w:tcPr>
          <w:p w14:paraId="0FE8DC3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高速公路路段到位时间</w:t>
            </w:r>
          </w:p>
        </w:tc>
        <w:tc>
          <w:tcPr>
            <w:tcW w:w="5196" w:type="dxa"/>
            <w:vAlign w:val="center"/>
          </w:tcPr>
          <w:p w14:paraId="7E72E83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备注</w:t>
            </w:r>
          </w:p>
        </w:tc>
      </w:tr>
      <w:tr w14:paraId="2780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3E97C833">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8时-19时</w:t>
            </w:r>
          </w:p>
        </w:tc>
        <w:tc>
          <w:tcPr>
            <w:tcW w:w="1273" w:type="dxa"/>
            <w:vAlign w:val="center"/>
          </w:tcPr>
          <w:p w14:paraId="67554264">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08" w:type="dxa"/>
            <w:vAlign w:val="center"/>
          </w:tcPr>
          <w:p w14:paraId="74149AD3">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196" w:type="dxa"/>
            <w:vMerge w:val="restart"/>
          </w:tcPr>
          <w:p w14:paraId="0D243C28">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835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25A983F6">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19时-8时</w:t>
            </w:r>
          </w:p>
        </w:tc>
        <w:tc>
          <w:tcPr>
            <w:tcW w:w="1273" w:type="dxa"/>
            <w:vAlign w:val="center"/>
          </w:tcPr>
          <w:p w14:paraId="6308663B">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08" w:type="dxa"/>
            <w:vAlign w:val="center"/>
          </w:tcPr>
          <w:p w14:paraId="083AABC1">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196" w:type="dxa"/>
            <w:vMerge w:val="continue"/>
          </w:tcPr>
          <w:p w14:paraId="1798998D">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p>
        </w:tc>
      </w:tr>
    </w:tbl>
    <w:p w14:paraId="3F40156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2.现场作业要求</w:t>
      </w:r>
    </w:p>
    <w:p w14:paraId="64FFC72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制订的拖吊车作业规范实施作业，包括对被拖吊车辆的检查和清点、按要求填写拖车作业单，以及按规范流程进行作业等。</w:t>
      </w:r>
    </w:p>
    <w:p w14:paraId="3602D0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（2）拖车作业人员应服从现场交警的指挥。</w:t>
      </w:r>
    </w:p>
    <w:p w14:paraId="1E6603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（3）作业过程中应遵守各项交通规则及相关规定，规范作业，不影响交通。</w:t>
      </w:r>
    </w:p>
    <w:p w14:paraId="2376B8B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实施拖吊作业时，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有交通警察在场并取得委托（拖车作业单应由在场交通警察签名确认）。</w:t>
      </w:r>
    </w:p>
    <w:p w14:paraId="7D5F21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严格遵守道路交通管理规定，不得因作业而造成交通堵塞或损坏市政设施；</w:t>
      </w:r>
    </w:p>
    <w:p w14:paraId="2BB94C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（6）15吨（含15吨）以上大型专项作业车应配备2名或以上工作人员。</w:t>
      </w:r>
    </w:p>
    <w:p w14:paraId="1EB78C75">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3"/>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（7）作业期间如因乙方操作不当等原因造成当事人车辆或财务受损的，乙方应承担全部赔偿责任。</w:t>
      </w:r>
    </w:p>
    <w:p w14:paraId="46430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3.车上物品的处理要求</w:t>
      </w:r>
    </w:p>
    <w:p w14:paraId="7AD5644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规定的程序及规范处置被拖吊车辆的随车物品。未经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或当事人同意，</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不得进入被拖吊车辆的车辆内部（包括驾驶乘坐舱、乘坐室以及车尾箱等）。</w:t>
      </w:r>
    </w:p>
    <w:p w14:paraId="6997F8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4.拖吊进场的要求</w:t>
      </w:r>
    </w:p>
    <w:p w14:paraId="1681C51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应在扣留车辆规定时间内（原则上4小时），按规定路线将被拖吊车辆拖吊至</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指定的停车场，并按规定与停车场做好交接；如因特殊情况不能于规定时间拖吊进场的，报情指分中心登记处理。因</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违反拖吊车作业规范，导致车辆（含随车物品）进场时与扣留时登记的实际状态不符的，停车场可以拒绝接收车辆，由此造成的法律及经济责任由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承担。</w:t>
      </w:r>
    </w:p>
    <w:p w14:paraId="0FE6699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5.如交通警察要求将涉案</w:t>
      </w:r>
      <w:r>
        <w:rPr>
          <w:rFonts w:hint="eastAsia" w:ascii="宋体" w:hAnsi="宋体" w:eastAsia="宋体" w:cs="宋体"/>
          <w:b w:val="0"/>
          <w:bCs w:val="0"/>
          <w:kern w:val="0"/>
          <w:sz w:val="21"/>
          <w:szCs w:val="21"/>
          <w:highlight w:val="none"/>
          <w:lang w:eastAsia="zh-CN"/>
        </w:rPr>
        <w:t>车辆</w:t>
      </w:r>
      <w:r>
        <w:rPr>
          <w:rFonts w:hint="eastAsia" w:ascii="宋体" w:hAnsi="宋体" w:eastAsia="宋体" w:cs="宋体"/>
          <w:b w:val="0"/>
          <w:bCs w:val="0"/>
          <w:kern w:val="0"/>
          <w:sz w:val="21"/>
          <w:szCs w:val="21"/>
          <w:highlight w:val="none"/>
        </w:rPr>
        <w:t>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w:t>
      </w:r>
      <w:r>
        <w:rPr>
          <w:rFonts w:hint="eastAsia" w:ascii="宋体" w:hAnsi="宋体" w:eastAsia="宋体" w:cs="宋体"/>
          <w:b w:val="0"/>
          <w:bCs w:val="0"/>
          <w:kern w:val="0"/>
          <w:sz w:val="21"/>
          <w:szCs w:val="21"/>
          <w:highlight w:val="none"/>
          <w:lang w:eastAsia="zh-CN"/>
        </w:rPr>
        <w:t>队部、</w:t>
      </w:r>
      <w:r>
        <w:rPr>
          <w:rFonts w:hint="eastAsia" w:ascii="宋体" w:hAnsi="宋体" w:eastAsia="宋体" w:cs="宋体"/>
          <w:b w:val="0"/>
          <w:bCs w:val="0"/>
          <w:kern w:val="0"/>
          <w:sz w:val="21"/>
          <w:szCs w:val="21"/>
          <w:highlight w:val="none"/>
        </w:rPr>
        <w:t>称重点</w:t>
      </w:r>
      <w:r>
        <w:rPr>
          <w:rFonts w:hint="eastAsia" w:ascii="宋体" w:hAnsi="宋体" w:eastAsia="宋体" w:cs="宋体"/>
          <w:b w:val="0"/>
          <w:bCs w:val="0"/>
          <w:kern w:val="0"/>
          <w:sz w:val="21"/>
          <w:szCs w:val="21"/>
          <w:highlight w:val="none"/>
          <w:lang w:eastAsia="zh-CN"/>
        </w:rPr>
        <w:t>、</w:t>
      </w:r>
      <w:r>
        <w:rPr>
          <w:rFonts w:hint="eastAsia" w:ascii="宋体" w:hAnsi="宋体" w:eastAsia="宋体" w:cs="宋体"/>
          <w:b w:val="0"/>
          <w:bCs w:val="0"/>
          <w:kern w:val="0"/>
          <w:sz w:val="21"/>
          <w:szCs w:val="21"/>
          <w:highlight w:val="none"/>
        </w:rPr>
        <w:t>治超点或</w:t>
      </w:r>
      <w:r>
        <w:rPr>
          <w:rFonts w:hint="eastAsia" w:ascii="宋体" w:hAnsi="宋体" w:eastAsia="宋体" w:cs="宋体"/>
          <w:b w:val="0"/>
          <w:bCs w:val="0"/>
          <w:kern w:val="0"/>
          <w:sz w:val="21"/>
          <w:szCs w:val="21"/>
          <w:highlight w:val="none"/>
          <w:lang w:eastAsia="zh-CN"/>
        </w:rPr>
        <w:t>指定地点</w:t>
      </w:r>
      <w:r>
        <w:rPr>
          <w:rFonts w:hint="eastAsia" w:ascii="宋体" w:hAnsi="宋体" w:eastAsia="宋体" w:cs="宋体"/>
          <w:b w:val="0"/>
          <w:bCs w:val="0"/>
          <w:kern w:val="0"/>
          <w:sz w:val="21"/>
          <w:szCs w:val="21"/>
          <w:highlight w:val="none"/>
        </w:rPr>
        <w:t>进行</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应予以满足，并在完成</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后</w:t>
      </w:r>
      <w:r>
        <w:rPr>
          <w:rFonts w:hint="eastAsia" w:ascii="宋体" w:hAnsi="宋体" w:eastAsia="宋体" w:cs="宋体"/>
          <w:b w:val="0"/>
          <w:bCs w:val="0"/>
          <w:kern w:val="0"/>
          <w:sz w:val="21"/>
          <w:szCs w:val="21"/>
          <w:highlight w:val="none"/>
          <w:lang w:val="en-US" w:eastAsia="zh-CN"/>
        </w:rPr>
        <w:t>（自派单时间起24小时内）</w:t>
      </w:r>
      <w:r>
        <w:rPr>
          <w:rFonts w:hint="eastAsia" w:ascii="宋体" w:hAnsi="宋体" w:eastAsia="宋体" w:cs="宋体"/>
          <w:b w:val="0"/>
          <w:bCs w:val="0"/>
          <w:kern w:val="0"/>
          <w:sz w:val="21"/>
          <w:szCs w:val="21"/>
          <w:highlight w:val="none"/>
        </w:rPr>
        <w:t>，再将车辆拖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至指定的停车场。</w:t>
      </w:r>
    </w:p>
    <w:p w14:paraId="6E428D8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w:t>
      </w:r>
      <w:r>
        <w:rPr>
          <w:rFonts w:hint="eastAsia" w:ascii="宋体" w:hAnsi="宋体" w:eastAsia="宋体" w:cs="宋体"/>
          <w:b w:val="0"/>
          <w:bCs w:val="0"/>
          <w:kern w:val="0"/>
          <w:sz w:val="21"/>
          <w:szCs w:val="21"/>
          <w:highlight w:val="none"/>
          <w:lang w:eastAsia="zh-CN"/>
        </w:rPr>
        <w:t>乙方须</w:t>
      </w:r>
      <w:r>
        <w:rPr>
          <w:rFonts w:hint="eastAsia" w:ascii="宋体" w:hAnsi="宋体" w:eastAsia="宋体" w:cs="宋体"/>
          <w:b w:val="0"/>
          <w:bCs w:val="0"/>
          <w:kern w:val="0"/>
          <w:sz w:val="21"/>
          <w:szCs w:val="21"/>
          <w:highlight w:val="none"/>
        </w:rPr>
        <w:t>对“清障作业”所拖吊车辆数据进行分类登记，并每月定期向</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及片区所属部门报备。</w:t>
      </w:r>
    </w:p>
    <w:p w14:paraId="4CEB21D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五</w:t>
      </w:r>
      <w:r>
        <w:rPr>
          <w:rFonts w:hint="eastAsia" w:ascii="宋体" w:hAnsi="宋体" w:eastAsia="宋体" w:cs="宋体"/>
          <w:b w:val="0"/>
          <w:bCs w:val="0"/>
          <w:kern w:val="0"/>
          <w:sz w:val="21"/>
          <w:szCs w:val="21"/>
          <w:highlight w:val="none"/>
        </w:rPr>
        <w:t>）交通违法车辆的拖吊服务</w:t>
      </w:r>
    </w:p>
    <w:p w14:paraId="44A9368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开展交通整治时，</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要求提供拖吊车服务。</w:t>
      </w:r>
    </w:p>
    <w:p w14:paraId="3F5D14D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应将被拖吊车辆的停放地点及联系方式等，通过文字标示或者其它方式告知当事人。</w:t>
      </w:r>
    </w:p>
    <w:p w14:paraId="39CE286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作业过程中应遵守有关法律法规、部门规章关于拖吊交通违法车辆的规定。</w:t>
      </w:r>
    </w:p>
    <w:p w14:paraId="1C85664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六</w:t>
      </w:r>
      <w:r>
        <w:rPr>
          <w:rFonts w:hint="eastAsia" w:ascii="宋体" w:hAnsi="宋体" w:eastAsia="宋体" w:cs="宋体"/>
          <w:b w:val="0"/>
          <w:bCs w:val="0"/>
          <w:kern w:val="0"/>
          <w:sz w:val="21"/>
          <w:szCs w:val="21"/>
          <w:highlight w:val="none"/>
        </w:rPr>
        <w:t>）交通事故、故障车辆的拖吊服务</w:t>
      </w:r>
    </w:p>
    <w:p w14:paraId="1C2B112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1.清理现场时间要求</w:t>
      </w:r>
    </w:p>
    <w:p w14:paraId="60D3ED6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0F4EF5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提供服务的车辆应配备消防器材、水、木屑、沙及破拆器材等，并负责清理事故现场的血迹、油污、泥土等残留物。</w:t>
      </w:r>
    </w:p>
    <w:p w14:paraId="75BFAC9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3.在特殊勤务保障或备勤期间，拖移故障车辆时如当事人要求拖移至其指定地点的，参与特殊勤务保障或备勤的拯救车负责将故障车辆拖移至不影响交通处，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另外指派其他拯救车完成后续作业。</w:t>
      </w:r>
    </w:p>
    <w:p w14:paraId="21EDF81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七</w:t>
      </w:r>
      <w:r>
        <w:rPr>
          <w:rFonts w:hint="eastAsia" w:ascii="宋体" w:hAnsi="宋体" w:eastAsia="宋体" w:cs="宋体"/>
          <w:b w:val="0"/>
          <w:bCs w:val="0"/>
          <w:kern w:val="0"/>
          <w:sz w:val="21"/>
          <w:szCs w:val="21"/>
          <w:highlight w:val="none"/>
        </w:rPr>
        <w:t>）交通保障服务</w:t>
      </w:r>
    </w:p>
    <w:p w14:paraId="642F940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1.交通保障服务指各项特殊勤务保障、大型群体性活动以及中心城区重点路段的拯救车应急清障准备，以及在此过程中按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要求的拖移车辆服务。一般有特殊勤务保障备勤及中心城区重点路段的常规备勤。</w:t>
      </w:r>
    </w:p>
    <w:p w14:paraId="11B16F5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提供备勤服务的拯救车应按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指定时间及地点进行备勤，并按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要求进行拖移车辆。如备勤期间按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指令进行拖吊车作业的，需核减相应的备勤时间。备勤拯救车必须在</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发出收勤指令后方可撤离。</w:t>
      </w:r>
    </w:p>
    <w:p w14:paraId="42D963C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应优先确保交通保障服务，经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同意，可以调配正在执行</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其他服务指令的拯救车参与交通保障工作。</w:t>
      </w:r>
    </w:p>
    <w:p w14:paraId="41080B0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4.备勤期间拖吊车辆非交警扣留的，仅将车辆拖吊就近至不影响交通的位置；如当事人要求要拖吊进入停车场或其他场所的，由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与当事人协商费用，收费不得高于公示的</w:t>
      </w:r>
      <w:r>
        <w:rPr>
          <w:rFonts w:hint="eastAsia" w:ascii="宋体" w:hAnsi="宋体" w:eastAsia="宋体" w:cs="宋体"/>
          <w:b w:val="0"/>
          <w:bCs w:val="0"/>
          <w:kern w:val="0"/>
          <w:sz w:val="21"/>
          <w:szCs w:val="21"/>
          <w:highlight w:val="none"/>
          <w:lang w:eastAsia="zh-CN"/>
        </w:rPr>
        <w:t>标准</w:t>
      </w:r>
      <w:r>
        <w:rPr>
          <w:rFonts w:hint="eastAsia" w:ascii="宋体" w:hAnsi="宋体" w:eastAsia="宋体" w:cs="宋体"/>
          <w:b w:val="0"/>
          <w:bCs w:val="0"/>
          <w:kern w:val="0"/>
          <w:sz w:val="21"/>
          <w:szCs w:val="21"/>
          <w:highlight w:val="none"/>
        </w:rPr>
        <w:t>。</w:t>
      </w:r>
    </w:p>
    <w:p w14:paraId="3AFD5CC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八</w:t>
      </w:r>
      <w:r>
        <w:rPr>
          <w:rFonts w:hint="eastAsia" w:ascii="宋体" w:hAnsi="宋体" w:eastAsia="宋体" w:cs="宋体"/>
          <w:b w:val="0"/>
          <w:bCs w:val="0"/>
          <w:kern w:val="0"/>
          <w:sz w:val="21"/>
          <w:szCs w:val="21"/>
          <w:highlight w:val="none"/>
        </w:rPr>
        <w:t>）拖吊其他（指非因交警部门需要派单的）交通事故车辆及故障车辆计费</w:t>
      </w:r>
    </w:p>
    <w:p w14:paraId="7D0B782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1.拖吊其他交通事故车辆、故障车辆，由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与当事人协商收取服务费用（需在车身上公示收费标准）。</w:t>
      </w:r>
    </w:p>
    <w:p w14:paraId="563ABA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不得杜撰服务项目进行收费。</w:t>
      </w:r>
    </w:p>
    <w:p w14:paraId="24EC5ED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九</w:t>
      </w:r>
      <w:r>
        <w:rPr>
          <w:rFonts w:hint="eastAsia" w:ascii="宋体" w:hAnsi="宋体" w:eastAsia="宋体" w:cs="宋体"/>
          <w:b w:val="0"/>
          <w:bCs w:val="0"/>
          <w:kern w:val="0"/>
          <w:sz w:val="21"/>
          <w:szCs w:val="21"/>
          <w:highlight w:val="none"/>
        </w:rPr>
        <w:t>）其他清障工作</w:t>
      </w:r>
    </w:p>
    <w:p w14:paraId="45760A3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从事</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指定的其他清障工作（如拖移非涉案停车场的车辆、紧急情况下简单清理路面的绿化、余泥、垃圾等），应40分钟内完成现场清理，由</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支付费用；在非</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指定的清障工作的情形下，如需大型吊车、专业力量等清理的复杂现场、货物转运的，由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与当事人协商收取费用，当事人不在现场的，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可事后向当事人追偿费用。</w:t>
      </w:r>
    </w:p>
    <w:p w14:paraId="1C4012B3">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（十）专业拯救车辆巡逻</w:t>
      </w:r>
    </w:p>
    <w:p w14:paraId="67DC5B25">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乙方按甲方派单需求（时长/台次/班次）进行巡逻，以1台拖车巡逻8小时为1个班次，每班次巡逻里程不少于80公里，具体以实际产生为准，巡逻过程中发现有车辆故障、交通事故、发现路面障碍、交通设施损毁、行人非机动车及摩托车上高快速时乙方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48C0CB34">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2.如遇紧急情况，交警部门需临时调动服务车辆对服务路段外其他地点开展拖移故障、事故车辆或其他任务时，乙方应当无条件服从且不另行收费。</w:t>
      </w:r>
    </w:p>
    <w:p w14:paraId="68B263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十一</w:t>
      </w:r>
      <w:r>
        <w:rPr>
          <w:rFonts w:hint="eastAsia" w:ascii="宋体" w:hAnsi="宋体" w:eastAsia="宋体" w:cs="宋体"/>
          <w:b w:val="0"/>
          <w:bCs w:val="0"/>
          <w:kern w:val="0"/>
          <w:sz w:val="21"/>
          <w:szCs w:val="21"/>
          <w:highlight w:val="none"/>
        </w:rPr>
        <w:t>）台账资料保管要求</w:t>
      </w:r>
    </w:p>
    <w:p w14:paraId="6979F3D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应做好各类台账资料的保管（拖吊作业单、扣留车辆登记明细表、记录仪和GPS轨迹等），以备核查，并至少保管至项目服务期结束后三个月。</w:t>
      </w:r>
    </w:p>
    <w:p w14:paraId="4D940097">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（十二）建立完善的调度体系，建设相应的调度系统，并应甲方需求将相关调度、派单、GPS等数据传至甲方的统一后台。</w:t>
      </w:r>
    </w:p>
    <w:p w14:paraId="57C4772E">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七、项目管理及考评办法</w:t>
      </w:r>
    </w:p>
    <w:p w14:paraId="3FFA227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（一）项目管理要求</w:t>
      </w:r>
    </w:p>
    <w:p w14:paraId="072AB91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甲方及其下属部门</w:t>
      </w:r>
      <w:r>
        <w:rPr>
          <w:rFonts w:hint="eastAsia" w:ascii="宋体" w:hAnsi="宋体" w:eastAsia="宋体" w:cs="宋体"/>
          <w:kern w:val="0"/>
          <w:sz w:val="21"/>
          <w:szCs w:val="21"/>
          <w:highlight w:val="none"/>
        </w:rPr>
        <w:t>将不定期对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的作业情况及台帐登记情况进行检查。</w:t>
      </w:r>
    </w:p>
    <w:p w14:paraId="6D8C09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每月的服务费与当月的考核总评挂钩。</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清障任务完成的质量情况进行考评并制作月度考评表；如发生违规事件的，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将扣减</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月度考核分数，并按照月度考核总评分数扣减相应的服务费用。</w:t>
      </w:r>
    </w:p>
    <w:p w14:paraId="384112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如违反作业规范造成较大责任事故的，或在考评处罚办法中月度考核分数连续两个月低于60分的，甲方有权终止合同，且由此造成的损失由乙方负责。</w:t>
      </w:r>
    </w:p>
    <w:p w14:paraId="5EC65BC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（二）考评办法</w:t>
      </w:r>
    </w:p>
    <w:p w14:paraId="05DA317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有权将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在合同服务期内违反合同规定的各种情况进行登记，建立诚信档案，制作月度考评表，按考评表分数比例扣减当月服务费用。</w:t>
      </w:r>
    </w:p>
    <w:p w14:paraId="745DCEE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2.考评表评分按百分制，每一个月为一个计分周期。</w:t>
      </w:r>
    </w:p>
    <w:p w14:paraId="574A833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3.本考评处罚办法中所指“当月服务费用”为</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具体服务的某个片区所属部门的月度服务费用，非</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所中片区的总服务费用。</w:t>
      </w:r>
    </w:p>
    <w:p w14:paraId="594CA02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每月制作月度考评总表，作为结算依据之一。</w:t>
      </w:r>
    </w:p>
    <w:p w14:paraId="69F36B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（三）考评条款</w:t>
      </w:r>
    </w:p>
    <w:p w14:paraId="21CF180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提供拖吊车及清障服务时，如违反《拖吊车服务项目采购人需求》及《拖吊车服务合同》中任意一项要求的（下述单列出的扣分标准除外），每次扣1分。</w:t>
      </w:r>
    </w:p>
    <w:p w14:paraId="237DBD8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在清障工作中发生重大失误或被当事人投诉至相关部门的，每次扣10分；被当事人起诉的，扣20分；被新闻媒体曝光造成负面舆情的，扣30分。本扣分条款与其他扣分条款可累加。</w:t>
      </w:r>
    </w:p>
    <w:p w14:paraId="1F4A9E5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乙方提供拖吊车及清障服务时，到达现场超过规定时间的，按超时的时长扣分，具体标准如下表：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07D8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0BCAF3C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7980F4F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1D4A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FAD3F1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61EF0A32">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63DB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687C30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5F78B43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7D8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40525A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4AA4BAA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34751F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注：“造成明显影响”是指：（1）造成堵塞2公里以上；（2）在重要特殊勤务保障中发生的；（3）导致同路段拥堵警情超5宗。</w:t>
      </w:r>
    </w:p>
    <w:p w14:paraId="3BA9A89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如由于事故、严重堵塞或其他客观原因导致无法准时到达现场的，经发出指令的交警所属部门确认，可免予扣分。</w:t>
      </w:r>
    </w:p>
    <w:p w14:paraId="73E058D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接到委托人服务指令后，拒不提供服务在接到指令未派车的，每次扣5分</w:t>
      </w:r>
    </w:p>
    <w:p w14:paraId="7C69DE5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实施清障作业没有按规范流程操作的，或没有按规定时间及路线进场的，每次扣2分，造成损失的每次扣5分。</w:t>
      </w:r>
    </w:p>
    <w:p w14:paraId="1DA24ED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盗窃或置换被拖吊车辆零配件或车上物品的，每次扣20分；数量或金额较大的（如盗窃或置换整车、一次盗窃或置换电池10个以上、盗窃车上物品估计价值超过1千元的），每次扣30分</w:t>
      </w:r>
      <w:r>
        <w:rPr>
          <w:rFonts w:hint="eastAsia" w:ascii="宋体" w:hAnsi="宋体" w:eastAsia="宋体" w:cs="宋体"/>
          <w:kern w:val="0"/>
          <w:sz w:val="21"/>
          <w:szCs w:val="21"/>
          <w:highlight w:val="none"/>
        </w:rPr>
        <w:t>，同时追究</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法律责任，且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w:t>
      </w:r>
    </w:p>
    <w:p w14:paraId="5E7CCB5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7.因</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原因造成被拖吊车辆、车上物品、车辆零部件等遗失或严重损坏（无法修复）的，造成损失由乙方负责，每次扣20分，同时追究乙方法律责任。</w:t>
      </w:r>
    </w:p>
    <w:p w14:paraId="6354A83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私自使用被拖吊车辆或车上物品的，每次扣5分。</w:t>
      </w:r>
    </w:p>
    <w:p w14:paraId="133C5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违规收费经调查确认属实的，每次扣30分。</w:t>
      </w:r>
    </w:p>
    <w:p w14:paraId="44AEB9E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（1）根据相关规定无需向当事人收取费用而违规向当事人收取费用的；</w:t>
      </w:r>
    </w:p>
    <w:p w14:paraId="377EE08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（2）超标准收取拖吊车费；</w:t>
      </w:r>
    </w:p>
    <w:p w14:paraId="0BA017B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（3）杜撰服务项目进行收费的；</w:t>
      </w:r>
    </w:p>
    <w:p w14:paraId="254F9FE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（4）当事人投诉至相关部门的或当事人起诉的；</w:t>
      </w:r>
    </w:p>
    <w:p w14:paraId="60F5D76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（5）被网络、报纸以及电视等媒介曝光造成恶劣影响的。</w:t>
      </w:r>
    </w:p>
    <w:p w14:paraId="6F8BD75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10．如由拖车作业员填写拖车作业单且出现填写错漏的：</w:t>
      </w:r>
    </w:p>
    <w:p w14:paraId="1CFE8E0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（1）经</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检查发现的，拖吊该辆车的该次服务费用不予支付，同时每张扣1分；</w:t>
      </w:r>
    </w:p>
    <w:p w14:paraId="49FB303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（2）填写错漏且被拖吊车辆出现财物被盗窃或置换的，认定为拖车作业员主观故意，每宗扣10分。</w:t>
      </w:r>
    </w:p>
    <w:p w14:paraId="0D8D3F6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未能及时完成清障的：</w:t>
      </w:r>
    </w:p>
    <w:p w14:paraId="794C81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（1）在一般工作或特殊勤务保障工作中，每次扣5分；</w:t>
      </w:r>
    </w:p>
    <w:p w14:paraId="1396B4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（2）造成重大堵塞（市区主干道堵塞300米以上，高快速路堵塞1公里以上）的，每次扣10分；</w:t>
      </w:r>
    </w:p>
    <w:p w14:paraId="23419B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（3）在高级别特殊勤务保障或重大群体性活动中，造成堵塞的（50米以上或影响快速通行），每次扣15分；</w:t>
      </w:r>
    </w:p>
    <w:p w14:paraId="25B8863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（4）造成特殊勤务保障车队无法正常通过的，每次扣30分，且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可单方面解除合同，同时保留追究相应责任的权利。</w:t>
      </w:r>
    </w:p>
    <w:p w14:paraId="0ED2A9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要求使用</w:t>
      </w:r>
      <w:r>
        <w:rPr>
          <w:rFonts w:hint="eastAsia" w:ascii="宋体" w:hAnsi="宋体" w:eastAsia="宋体" w:cs="宋体"/>
          <w:kern w:val="0"/>
          <w:sz w:val="21"/>
          <w:szCs w:val="21"/>
          <w:highlight w:val="none"/>
          <w:lang w:val="en-US" w:eastAsia="zh-CN"/>
        </w:rPr>
        <w:t>车载定位系统</w:t>
      </w:r>
      <w:r>
        <w:rPr>
          <w:rFonts w:hint="eastAsia" w:ascii="宋体" w:hAnsi="宋体" w:eastAsia="宋体" w:cs="宋体"/>
          <w:kern w:val="0"/>
          <w:sz w:val="21"/>
          <w:szCs w:val="21"/>
          <w:highlight w:val="none"/>
        </w:rPr>
        <w:t>、驾驶员作业未全程佩戴使用记录仪记录、行车记录仪以及未实时将定位系统</w:t>
      </w:r>
      <w:r>
        <w:rPr>
          <w:rFonts w:hint="eastAsia" w:ascii="宋体" w:hAnsi="宋体" w:eastAsia="宋体" w:cs="宋体"/>
          <w:kern w:val="0"/>
          <w:sz w:val="21"/>
          <w:szCs w:val="21"/>
          <w:highlight w:val="none"/>
          <w:lang w:eastAsia="zh-CN"/>
        </w:rPr>
        <w:t>的</w:t>
      </w:r>
      <w:r>
        <w:rPr>
          <w:rFonts w:hint="eastAsia" w:ascii="宋体" w:hAnsi="宋体" w:eastAsia="宋体" w:cs="宋体"/>
          <w:kern w:val="0"/>
          <w:sz w:val="21"/>
          <w:szCs w:val="21"/>
          <w:highlight w:val="none"/>
        </w:rPr>
        <w:t>车辆定位数据提供给</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的，或不按要求保存相关数据的，每次扣5分并限期整改；未按要求整改的，每延迟一天扣1分，至整改至符合</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要求为止。</w:t>
      </w:r>
    </w:p>
    <w:p w14:paraId="622D796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要求备勤的（包括未按规定时间、地点、车型、人员配备备勤和自行收勤），每次扣2分；备勤车辆在接到指令后10分钟之内未开动的，每次扣2分；如造成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工作失误的，每次扣5分；如在高级别特殊勤务保障或重大群体性活动中造成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失误的，每次扣10分。</w:t>
      </w:r>
    </w:p>
    <w:p w14:paraId="2C63D6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执行交警部门派工期间未及时发现交通事故、故障车辆或障碍物及高快速公路上未及时发现行人和非机动车的，每宗扣1分。</w:t>
      </w:r>
    </w:p>
    <w:p w14:paraId="741FEB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不按时提交项目结算资料的，每延迟一天扣0.2分；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项目结算资料出现2处及2处以上错误的，每增加1处扣0.2分。</w:t>
      </w:r>
    </w:p>
    <w:p w14:paraId="2191C8D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要求派车（例如要求派大车的派了小车，要求带拖轮、拖车绳等物品未带）或车辆状况不正常（不能正常作业、无号牌或故意遮挡号牌等）的，每次扣2分，造成严重影响的，每次扣5分。</w:t>
      </w:r>
    </w:p>
    <w:p w14:paraId="36AABC68">
      <w:pPr>
        <w:pStyle w:val="2"/>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17.乙方未</w:t>
      </w:r>
      <w:r>
        <w:rPr>
          <w:rFonts w:hint="eastAsia" w:ascii="宋体" w:hAnsi="宋体" w:eastAsia="宋体" w:cs="宋体"/>
          <w:b w:val="0"/>
          <w:bCs w:val="0"/>
          <w:sz w:val="21"/>
          <w:szCs w:val="21"/>
          <w:highlight w:val="none"/>
        </w:rPr>
        <w:t>与停车场做好交接</w:t>
      </w:r>
      <w:r>
        <w:rPr>
          <w:rFonts w:hint="eastAsia" w:ascii="宋体" w:hAnsi="宋体" w:eastAsia="宋体" w:cs="宋体"/>
          <w:b w:val="0"/>
          <w:bCs w:val="0"/>
          <w:sz w:val="21"/>
          <w:szCs w:val="21"/>
          <w:highlight w:val="none"/>
          <w:lang w:eastAsia="zh-CN"/>
        </w:rPr>
        <w:t>或</w:t>
      </w:r>
      <w:r>
        <w:rPr>
          <w:rFonts w:hint="eastAsia" w:ascii="宋体" w:hAnsi="宋体" w:eastAsia="宋体" w:cs="宋体"/>
          <w:b w:val="0"/>
          <w:bCs w:val="0"/>
          <w:sz w:val="21"/>
          <w:szCs w:val="21"/>
          <w:highlight w:val="none"/>
          <w:lang w:val="en-US" w:eastAsia="zh-CN"/>
        </w:rPr>
        <w:t>不按</w:t>
      </w:r>
      <w:r>
        <w:rPr>
          <w:rFonts w:hint="eastAsia" w:ascii="宋体" w:hAnsi="宋体" w:eastAsia="宋体" w:cs="宋体"/>
          <w:b w:val="0"/>
          <w:bCs w:val="0"/>
          <w:sz w:val="21"/>
          <w:szCs w:val="21"/>
          <w:highlight w:val="none"/>
          <w:lang w:eastAsia="zh-CN"/>
        </w:rPr>
        <w:t>甲方</w:t>
      </w:r>
      <w:r>
        <w:rPr>
          <w:rFonts w:hint="eastAsia" w:ascii="宋体" w:hAnsi="宋体" w:eastAsia="宋体" w:cs="宋体"/>
          <w:b w:val="0"/>
          <w:bCs w:val="0"/>
          <w:sz w:val="21"/>
          <w:szCs w:val="21"/>
          <w:highlight w:val="none"/>
          <w:lang w:val="en-US" w:eastAsia="zh-CN"/>
        </w:rPr>
        <w:t>的要求</w:t>
      </w:r>
      <w:r>
        <w:rPr>
          <w:rFonts w:hint="eastAsia" w:ascii="宋体" w:hAnsi="宋体" w:eastAsia="宋体" w:cs="宋体"/>
          <w:b w:val="0"/>
          <w:bCs w:val="0"/>
          <w:sz w:val="21"/>
          <w:szCs w:val="21"/>
          <w:highlight w:val="none"/>
          <w:lang w:eastAsia="zh-CN"/>
        </w:rPr>
        <w:t>管理规范</w:t>
      </w:r>
      <w:r>
        <w:rPr>
          <w:rFonts w:hint="eastAsia" w:ascii="宋体" w:hAnsi="宋体" w:eastAsia="宋体" w:cs="宋体"/>
          <w:b w:val="0"/>
          <w:bCs w:val="0"/>
          <w:sz w:val="21"/>
          <w:szCs w:val="21"/>
          <w:highlight w:val="none"/>
          <w:lang w:val="en-US" w:eastAsia="zh-CN"/>
        </w:rPr>
        <w:t>摆放扣留车辆的，每次扣2分，造成严重影响的，每次扣5分。</w:t>
      </w:r>
    </w:p>
    <w:p w14:paraId="2451119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8</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故意提供虚假报账材料的，每次扣20分，并限期整改，已支付相关费用的，限期退还多余费用。情节严重的，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可以单方解除服务合同。</w:t>
      </w:r>
    </w:p>
    <w:p w14:paraId="0C26F50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9</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不按规定操作造成二次事故的，每次扣10分。</w:t>
      </w:r>
    </w:p>
    <w:p w14:paraId="266054B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.相关保密要求：涉及</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的工作情况，包括现场图片、视频、数据等工作内容不得对外发布，违反规定的，每次扣20分，造成影响的，扣30分解除合同</w:t>
      </w:r>
      <w:r>
        <w:rPr>
          <w:rFonts w:hint="eastAsia" w:ascii="宋体" w:hAnsi="宋体" w:eastAsia="宋体" w:cs="宋体"/>
          <w:kern w:val="0"/>
          <w:sz w:val="21"/>
          <w:szCs w:val="21"/>
          <w:highlight w:val="none"/>
          <w:lang w:eastAsia="zh-CN"/>
        </w:rPr>
        <w:t>并且乙方不可再参与该项目</w:t>
      </w:r>
      <w:r>
        <w:rPr>
          <w:rFonts w:hint="eastAsia" w:ascii="宋体" w:hAnsi="宋体" w:eastAsia="宋体" w:cs="宋体"/>
          <w:kern w:val="0"/>
          <w:sz w:val="21"/>
          <w:szCs w:val="21"/>
          <w:highlight w:val="none"/>
        </w:rPr>
        <w:t>。</w:t>
      </w:r>
    </w:p>
    <w:p w14:paraId="1466259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.奖分办法</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奖分加至月度总评超过100分时，服务费按100%支付。</w:t>
      </w:r>
    </w:p>
    <w:p w14:paraId="1A78FF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不在执行交警部门派工期间发现交通事故、故障车辆或障碍物及高快速公路上发现行人和非机动车并及时上报且经片区所属部门确认后在现场处置的，每宗奖励1分（须经片区所属部门书面确认）；</w:t>
      </w:r>
    </w:p>
    <w:p w14:paraId="737EC9C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作业及时、服务好或效果佳，被新闻媒体表扬的，每宗奖励5分。每月奖分5分封顶；</w:t>
      </w:r>
    </w:p>
    <w:p w14:paraId="46A39D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在消防人员和救护人员未到达现场前主动开展合理救援的，每宗奖励2分（须经片区所属部门书面确认）。</w:t>
      </w:r>
    </w:p>
    <w:p w14:paraId="7CAC4E7D">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八、保密需求：</w:t>
      </w:r>
      <w:r>
        <w:rPr>
          <w:rFonts w:hint="eastAsia" w:ascii="宋体" w:hAnsi="宋体" w:eastAsia="宋体" w:cs="宋体"/>
          <w:b w:val="0"/>
          <w:bCs w:val="0"/>
          <w:sz w:val="21"/>
          <w:szCs w:val="21"/>
          <w:highlight w:val="none"/>
          <w:lang w:eastAsia="zh-CN"/>
        </w:rPr>
        <w:t>相关警情、图片、拖扣车信息不得外传，不得发送至自媒体互联网，非经甲方同意，不得将项目内容用于企业宣传。</w:t>
      </w:r>
    </w:p>
    <w:p w14:paraId="474F767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九、违约责任</w:t>
      </w:r>
    </w:p>
    <w:p w14:paraId="49184C3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由于乙方违约导致甲方提前解除合同的，甲方还有权要求乙方偿付合同总价5%的违约金，该违约金直接从乙方已缴纳的履约保证金中全额扣除；若履约保证金不足覆盖违约金及弥补甲方所受损失的，乙方应按照甲方实际损失承担赔偿责任。</w:t>
      </w:r>
    </w:p>
    <w:p w14:paraId="5F00931D">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（二）乙方必须严格按照有关标准向当事人收取交通事故、故障车辆的服务费用，服务期内累计收到3次以上有效投诉，甲方有权解除乙方的合同。</w:t>
      </w:r>
    </w:p>
    <w:p w14:paraId="5EA1B58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（三）甲方应按照合同规定办理服务费用的支付手续。</w:t>
      </w:r>
    </w:p>
    <w:p w14:paraId="4FF50B16">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合同履约期间，乙方不得杜撰服务项目进行收费、不得故意提供虚假报账材料。否则甲方每发现一次，乙方应向甲方支付当月项目结算总额的20%作为违约金，并在每月应付款项中予以扣除。情节严重的，甲方有权单方解除项目合同，并要求乙方承担相应的赔偿责任。</w:t>
      </w:r>
    </w:p>
    <w:p w14:paraId="628274AA">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乙方若出现违约行为，给甲方造成损失的，若违约金不足以赔偿甲方因此遭受的损失，乙方应予以补足；甲方因处理乙方违约而产生的合理维权费用（包括但不仅限于律师费、诉讼费、鉴定费、保全费等）均由乙方承担。</w:t>
      </w:r>
    </w:p>
    <w:p w14:paraId="6F8E2EB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当实际发生金额即将达到预算上限时，乙方应在3个工作日内书面告知甲方，由双方协商后续履约安排。若实际发生金额累计超过中标金额且未获得甲方书面同意的，本合同自金额超出之日起自动终止，由此产生的一切损失由乙方承担。</w:t>
      </w:r>
    </w:p>
    <w:p w14:paraId="6C06F953">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（七）乙方泄露工作秘密、现场照片、视频、数据等信息，造成严重舆情影响以及信访投诉等情形，甲方有权单方解除合同、没收履约保证金，并追究相应法律责</w:t>
      </w:r>
      <w:r>
        <w:rPr>
          <w:rFonts w:hint="eastAsia" w:ascii="宋体" w:hAnsi="宋体" w:eastAsia="宋体" w:cs="宋体"/>
          <w:b w:val="0"/>
          <w:bCs w:val="0"/>
          <w:kern w:val="0"/>
          <w:sz w:val="21"/>
          <w:szCs w:val="21"/>
          <w:highlight w:val="none"/>
          <w:lang w:val="en-US" w:eastAsia="zh-CN" w:bidi="ar-SA"/>
        </w:rPr>
        <w:t>任及全部损失。</w:t>
      </w:r>
    </w:p>
    <w:p w14:paraId="2502E542">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（八）乙方有下列行为之一的，经查实，视为严重违约，甲方有权扣除履约保证金，暂停付款、限期整改；情节严重或累计三次以上的，甲方有权单方解除合同、没收履约保证金，并追究由此造成的全部损失。</w:t>
      </w:r>
    </w:p>
    <w:p w14:paraId="53AF0A9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1.未按要求配备车辆、人员；</w:t>
      </w:r>
    </w:p>
    <w:p w14:paraId="6AF7C3AA">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2.提供车辆不合格、证照不齐、保险无效；</w:t>
      </w:r>
    </w:p>
    <w:p w14:paraId="40A5AEA8">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3.擅自减少车辆、更换低于约定吨位的车辆；</w:t>
      </w:r>
    </w:p>
    <w:p w14:paraId="162E92B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4.未按要求备勤、擅自撤勤、不执行调度指令；</w:t>
      </w:r>
    </w:p>
    <w:p w14:paraId="7C0AFAAB">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5.无正当理由拒绝执行派单、拒不出车、拖延处置。</w:t>
      </w:r>
    </w:p>
    <w:p w14:paraId="23D33CDE">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1"/>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十、其他</w:t>
      </w:r>
    </w:p>
    <w:p w14:paraId="34C083F3">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（一）乙方应自行按照相关规定与司机签订劳动合同，支付司机人员工资报酬，并为其购买社保以及人身意外商业保险。</w:t>
      </w:r>
    </w:p>
    <w:p w14:paraId="2BEB273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的作业车辆需购买车辆保险（交强险及商业险），乙方的作业车辆在作业过程中如发生意外，由乙方负责处理并承担责任。赔偿事宜按国家有关规定及有关保险条例执行；若因此造成甲方工作人员人身伤害，乙方需承担赔偿责任。</w:t>
      </w:r>
    </w:p>
    <w:p w14:paraId="21F3DD7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（三）为加强乙方的管理，提高乙方质量，鼓励优秀供应商，淘汰不良供应商，对乙方的服务质量和履约情况进行管理。</w:t>
      </w:r>
    </w:p>
    <w:p w14:paraId="33A974E6">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乙方有下列行为之一的，经查实，依法取消其乙方资格：</w:t>
      </w:r>
    </w:p>
    <w:p w14:paraId="471C568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1.弄虚作假、隐瞒真实情况骗取乙方资格的；</w:t>
      </w:r>
    </w:p>
    <w:p w14:paraId="0D0764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2.因行贿、受贿、串通投标、转包、挂靠受到有关政府部门处罚的；</w:t>
      </w:r>
    </w:p>
    <w:p w14:paraId="5B69198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3.恶意质疑投诉的；</w:t>
      </w:r>
    </w:p>
    <w:p w14:paraId="5807D00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4.造成严重后果或恶劣影响的行为；</w:t>
      </w:r>
    </w:p>
    <w:p w14:paraId="22CB22E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5.有商业贿赂行为的；</w:t>
      </w:r>
    </w:p>
    <w:p w14:paraId="2C0A3D4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6.其他违反法律、法规和协议规定的行为。</w:t>
      </w:r>
    </w:p>
    <w:p w14:paraId="36F86A4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(四)服务供应商在合同执行期间有下列行为之一的，甲方有权依法解除服务合同：</w:t>
      </w:r>
    </w:p>
    <w:p w14:paraId="08CF7B6C">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1.选定后无正当理由不与采购单位签订合同的；</w:t>
      </w:r>
    </w:p>
    <w:p w14:paraId="343DDE3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2.擅自变更或者中止采购服务合同的；</w:t>
      </w:r>
    </w:p>
    <w:p w14:paraId="5BDEAAD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3.经甲方具体使用部门《月度考核评分表》进行打分，根据得分情况（连续两个月月度得分低于60分）进行淘汰：</w:t>
      </w:r>
    </w:p>
    <w:p w14:paraId="285220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4.违背《政府采购投标及履约承诺函》承诺事项的。</w:t>
      </w:r>
    </w:p>
    <w:p w14:paraId="2A410DC4">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服务期内，若其他片区供应商被取消资格或无法履约，在新的供应商确定之前，乙方应配合采购人工作，在过渡期内按约定接替被取消服务资格供应商提供对应片区的相应服务。接替规则为：由其他三个片区的服务供应商中按片区序号顺序递补配送（如：第四片区服务供应商被取消服务资格，由第一片区中标供应商接替服务；第一片区服务供应商被取消服务资格，由第二片区中标供应商接替服务；以此类推）。</w:t>
      </w:r>
    </w:p>
    <w:p w14:paraId="54B32D4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十一、履约保证金</w:t>
      </w:r>
    </w:p>
    <w:p w14:paraId="243FEAD2">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在取得中标通知书的十个工作日内须向甲方提交履约保证金，并签订服务合同。履约保证金为本合同总金额5%，供应商自主选择以支票、汇票、本票、保函等非现金形式缴纳或提交。履约保证金在乙方履行完成合同约定权利义务事项在合同期满之日起30日内按原方式退还，不计利息。</w:t>
      </w:r>
    </w:p>
    <w:p w14:paraId="66B2134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（二）乙方出现违约行为，被依法取消其供应商资格和依法解除服务合同的，履约保证金不退还。</w:t>
      </w:r>
    </w:p>
    <w:p w14:paraId="149B64B6">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十二、争议的解决方法</w:t>
      </w:r>
    </w:p>
    <w:p w14:paraId="3B4FCCCE">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（一）凡与本合同有关的一切争议，甲乙双方应通过协商解决；如经协商或调解后仍不能达成协议时，双方同意向甲方所在地法院提出诉讼解决。</w:t>
      </w:r>
    </w:p>
    <w:p w14:paraId="1DFA09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本合同的诉讼管辖地为甲方所在地的人民法院。双方因履行本合同发生争议而提起诉讼产生的合理费用，包括但不限于律师费、诉讼费、差旅费、评估费、拍卖费、公证费、公告费、查询费、鉴定费、保全费等由败诉乙方承担。</w:t>
      </w:r>
    </w:p>
    <w:p w14:paraId="4E2F801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（三）在诉讼期间，除有争议部分的事项外，合同其他部分仍继续履行。</w:t>
      </w:r>
    </w:p>
    <w:p w14:paraId="07AA6E51">
      <w:pPr>
        <w:pStyle w:val="42"/>
        <w:keepNext w:val="0"/>
        <w:keepLines w:val="0"/>
        <w:pageBreakBefore w:val="0"/>
        <w:widowControl w:val="0"/>
        <w:kinsoku/>
        <w:wordWrap/>
        <w:overflowPunct/>
        <w:topLinePunct w:val="0"/>
        <w:autoSpaceDE/>
        <w:autoSpaceDN/>
        <w:bidi w:val="0"/>
        <w:adjustRightInd/>
        <w:snapToGrid/>
        <w:spacing w:after="0" w:line="240" w:lineRule="auto"/>
        <w:ind w:firstLine="422" w:firstLineChars="200"/>
        <w:textAlignment w:val="auto"/>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十三、合同生效</w:t>
      </w:r>
    </w:p>
    <w:p w14:paraId="24AE765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（一）服务期内如遇国家重大政策变化，经双方协商，可对本合同的条款进行补充，并以书面形式签订补充协议，补充协议与本合同具有同等法律效力。</w:t>
      </w:r>
    </w:p>
    <w:p w14:paraId="646FCC5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（二）下列文件均为本合同的组成部分：</w:t>
      </w:r>
    </w:p>
    <w:p w14:paraId="332074B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1.本项目招标（采购）文件；</w:t>
      </w:r>
    </w:p>
    <w:p w14:paraId="336283F9">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2.乙方的投标（应答）文件；</w:t>
      </w:r>
    </w:p>
    <w:p w14:paraId="6CD5ED1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3.本合同一式肆份，甲、乙双方各执贰份，具有同等法律效力。</w:t>
      </w:r>
    </w:p>
    <w:p w14:paraId="1D52E46B">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（三）本合同自双方法定代表人或授权代表（需持授权委托书）签字并盖单位公章或合同专用章之日起生效。</w:t>
      </w:r>
    </w:p>
    <w:p w14:paraId="76736E6F">
      <w:pPr>
        <w:pStyle w:val="42"/>
        <w:keepNext w:val="0"/>
        <w:keepLines w:val="0"/>
        <w:pageBreakBefore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b w:val="0"/>
          <w:bCs w:val="0"/>
          <w:color w:val="auto"/>
          <w:sz w:val="21"/>
          <w:szCs w:val="21"/>
          <w:highlight w:val="none"/>
          <w:lang w:eastAsia="zh-CN"/>
        </w:rPr>
      </w:pPr>
    </w:p>
    <w:p w14:paraId="4B26F313">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br w:type="page"/>
      </w:r>
    </w:p>
    <w:p w14:paraId="3D8E0C2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【本页为合同签署页，无正文】</w:t>
      </w:r>
    </w:p>
    <w:p w14:paraId="5D4B200C">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4506E5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甲方（盖章）：</w:t>
      </w:r>
    </w:p>
    <w:p w14:paraId="26041DF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62E71B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法定代表人（负责人）或授权代表： </w:t>
      </w:r>
    </w:p>
    <w:p w14:paraId="7E6DC7D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14:paraId="24D1FB6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签订日期：</w:t>
      </w:r>
    </w:p>
    <w:p w14:paraId="6E1C826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93433BF">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5D8C8F8D">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D065AA6">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0E086D0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w:t>
      </w:r>
      <w:r>
        <w:rPr>
          <w:rFonts w:hint="eastAsia" w:ascii="宋体" w:hAnsi="宋体" w:eastAsia="宋体" w:cs="宋体"/>
          <w:sz w:val="21"/>
          <w:szCs w:val="21"/>
        </w:rPr>
        <w:t>盖章</w:t>
      </w:r>
      <w:r>
        <w:rPr>
          <w:rFonts w:hint="eastAsia" w:ascii="宋体" w:hAnsi="宋体" w:eastAsia="宋体" w:cs="宋体"/>
          <w:sz w:val="21"/>
          <w:szCs w:val="21"/>
          <w:lang w:val="en-US" w:eastAsia="zh-CN"/>
        </w:rPr>
        <w:t>）：</w:t>
      </w:r>
    </w:p>
    <w:p w14:paraId="3916802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2C4C6CF2">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法定代表人（负责人）或授权代表</w:t>
      </w:r>
      <w:r>
        <w:rPr>
          <w:rFonts w:hint="eastAsia" w:ascii="宋体" w:hAnsi="宋体" w:eastAsia="宋体" w:cs="宋体"/>
          <w:sz w:val="21"/>
          <w:szCs w:val="21"/>
          <w:lang w:val="en-US" w:eastAsia="zh-CN"/>
        </w:rPr>
        <w:t xml:space="preserve">: </w:t>
      </w:r>
    </w:p>
    <w:p w14:paraId="7F36656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7EEF5C95">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sz w:val="21"/>
          <w:szCs w:val="21"/>
          <w:lang w:val="en-US" w:eastAsia="zh-CN"/>
        </w:rPr>
        <w:t>签订日期：</w:t>
      </w:r>
    </w:p>
    <w:p w14:paraId="390F9B1B">
      <w:pPr>
        <w:widowControl/>
        <w:jc w:val="left"/>
        <w:rPr>
          <w:rFonts w:ascii="宋体" w:hAnsi="宋体"/>
          <w:szCs w:val="21"/>
        </w:rPr>
      </w:pPr>
      <w:r>
        <w:rPr>
          <w:rFonts w:ascii="宋体" w:hAnsi="宋体"/>
          <w:szCs w:val="21"/>
        </w:rPr>
        <w:br w:type="page"/>
      </w:r>
    </w:p>
    <w:p w14:paraId="23B241E6">
      <w:pPr>
        <w:widowControl/>
        <w:jc w:val="left"/>
        <w:rPr>
          <w:rFonts w:ascii="宋体" w:hAnsi="宋体"/>
          <w:szCs w:val="21"/>
        </w:rPr>
      </w:pPr>
    </w:p>
    <w:p w14:paraId="0A551668">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第二册  通用条款（公开招标）</w:t>
      </w:r>
    </w:p>
    <w:p w14:paraId="7DAB148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总则</w:t>
      </w:r>
    </w:p>
    <w:p w14:paraId="763BDD79">
      <w:pPr>
        <w:rPr>
          <w:rFonts w:ascii="黑体" w:hAnsi="宋体" w:eastAsia="黑体"/>
          <w:sz w:val="24"/>
        </w:rPr>
      </w:pPr>
      <w:r>
        <w:rPr>
          <w:rFonts w:hint="eastAsia" w:ascii="黑体" w:hAnsi="宋体" w:eastAsia="黑体"/>
          <w:sz w:val="24"/>
        </w:rPr>
        <w:t>1. 通用条款说明</w:t>
      </w:r>
    </w:p>
    <w:p w14:paraId="70F05422">
      <w:pPr>
        <w:ind w:firstLine="411" w:firstLineChars="196"/>
        <w:rPr>
          <w:rFonts w:ascii="宋体" w:hAnsi="宋体"/>
          <w:szCs w:val="21"/>
        </w:rPr>
      </w:pPr>
      <w:r>
        <w:rPr>
          <w:rFonts w:hint="eastAsia" w:ascii="宋体" w:hAnsi="宋体"/>
          <w:szCs w:val="21"/>
        </w:rPr>
        <w:t>1.1政府集中采购机构发出招标文件通用条款版本，列出深圳市政府采购项目进行招标采购所适用的通用条款内容。如有需要，政府集中采购机构可以对通用条款的内容进行补充。</w:t>
      </w:r>
    </w:p>
    <w:p w14:paraId="30C14FC9">
      <w:pPr>
        <w:ind w:firstLine="411" w:firstLineChars="196"/>
        <w:rPr>
          <w:rFonts w:ascii="宋体" w:hAnsi="宋体"/>
          <w:szCs w:val="21"/>
        </w:rPr>
      </w:pPr>
      <w:r>
        <w:rPr>
          <w:rFonts w:hint="eastAsia" w:ascii="宋体" w:hAnsi="宋体"/>
          <w:szCs w:val="21"/>
        </w:rPr>
        <w:t>1.2招标文件分为第一册“专用条款”和第二册“通用条款”。</w:t>
      </w:r>
    </w:p>
    <w:p w14:paraId="5F3B0893">
      <w:pPr>
        <w:ind w:firstLine="411" w:firstLineChars="196"/>
        <w:rPr>
          <w:rFonts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14:paraId="329DC8C5">
      <w:pPr>
        <w:ind w:firstLine="411" w:firstLineChars="196"/>
        <w:rPr>
          <w:rFonts w:ascii="宋体" w:hAnsi="宋体"/>
          <w:szCs w:val="21"/>
        </w:rPr>
      </w:pPr>
      <w:r>
        <w:rPr>
          <w:rFonts w:hint="eastAsia" w:ascii="宋体" w:hAnsi="宋体"/>
          <w:szCs w:val="21"/>
        </w:rPr>
        <w:t>1.4“通用条款”是适用于政府采购公开招标项目的基础性条款，具有普遍性和通用性。</w:t>
      </w:r>
    </w:p>
    <w:p w14:paraId="14ADCB09">
      <w:pPr>
        <w:ind w:firstLine="411" w:firstLineChars="196"/>
        <w:rPr>
          <w:rFonts w:ascii="宋体" w:hAnsi="宋体"/>
          <w:szCs w:val="21"/>
        </w:rPr>
      </w:pPr>
      <w:r>
        <w:rPr>
          <w:rFonts w:hint="eastAsia" w:ascii="宋体" w:hAnsi="宋体"/>
          <w:szCs w:val="21"/>
        </w:rPr>
        <w:t>1.5 “专用条款”和“通用条款”表述不一致或有冲突时，以“专用条款”为准。</w:t>
      </w:r>
    </w:p>
    <w:p w14:paraId="3A61F4C5">
      <w:pPr>
        <w:rPr>
          <w:rFonts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14:paraId="54D4835B">
      <w:pPr>
        <w:ind w:firstLine="411" w:firstLineChars="196"/>
        <w:rPr>
          <w:rFonts w:ascii="宋体" w:hAnsi="宋体"/>
          <w:szCs w:val="21"/>
        </w:rPr>
      </w:pPr>
      <w:r>
        <w:rPr>
          <w:rFonts w:hint="eastAsia" w:ascii="宋体" w:hAnsi="宋体"/>
          <w:szCs w:val="21"/>
        </w:rPr>
        <w:t>本项目按照《深圳经济特区政府采购条例》、《深圳经济特区政府采购条例实施细则》及政府采购其他法律法规，通过公开招标方式确定中标供应商。</w:t>
      </w:r>
    </w:p>
    <w:p w14:paraId="3595CB51">
      <w:pPr>
        <w:rPr>
          <w:rFonts w:ascii="黑体" w:hAnsi="宋体" w:eastAsia="黑体"/>
          <w:sz w:val="24"/>
        </w:rPr>
      </w:pPr>
      <w:r>
        <w:rPr>
          <w:rFonts w:hint="eastAsia" w:ascii="黑体" w:hAnsi="宋体" w:eastAsia="黑体"/>
          <w:sz w:val="24"/>
        </w:rPr>
        <w:t>3．定义</w:t>
      </w:r>
    </w:p>
    <w:p w14:paraId="58C48EEE">
      <w:pPr>
        <w:ind w:firstLine="420" w:firstLineChars="200"/>
        <w:rPr>
          <w:rFonts w:ascii="宋体" w:hAnsi="宋体"/>
          <w:szCs w:val="21"/>
        </w:rPr>
      </w:pPr>
      <w:r>
        <w:rPr>
          <w:rFonts w:ascii="宋体" w:hAnsi="宋体"/>
          <w:szCs w:val="21"/>
        </w:rPr>
        <w:t>招标文件中下列术语应解释为：</w:t>
      </w:r>
    </w:p>
    <w:p w14:paraId="48607F3A">
      <w:pPr>
        <w:ind w:firstLine="411" w:firstLineChars="196"/>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14:paraId="07859797">
      <w:pPr>
        <w:ind w:firstLine="411" w:firstLineChars="196"/>
        <w:rPr>
          <w:rFonts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14:paraId="3212E783">
      <w:pPr>
        <w:ind w:firstLine="411" w:firstLineChars="196"/>
        <w:rPr>
          <w:rFonts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14:paraId="0AEC643F">
      <w:pPr>
        <w:ind w:firstLine="411" w:firstLineChars="196"/>
        <w:rPr>
          <w:rFonts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14:paraId="4C7BF829">
      <w:pPr>
        <w:ind w:firstLine="411" w:firstLineChars="196"/>
        <w:rPr>
          <w:rFonts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14:paraId="58F8EC31">
      <w:pPr>
        <w:ind w:firstLine="411" w:firstLineChars="196"/>
        <w:rPr>
          <w:rFonts w:ascii="宋体" w:hAnsi="宋体"/>
          <w:szCs w:val="21"/>
        </w:rPr>
      </w:pPr>
      <w:r>
        <w:rPr>
          <w:rFonts w:hint="eastAsia" w:ascii="宋体" w:hAnsi="宋体"/>
          <w:szCs w:val="21"/>
        </w:rPr>
        <w:t>3.6“合同”指由本次招标所产生的合同或合约文件；</w:t>
      </w:r>
    </w:p>
    <w:p w14:paraId="5A25269A">
      <w:pPr>
        <w:ind w:firstLine="411" w:firstLineChars="196"/>
        <w:rPr>
          <w:rFonts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14:paraId="3407EA4D">
      <w:pPr>
        <w:ind w:firstLine="411" w:firstLineChars="196"/>
        <w:rPr>
          <w:rFonts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网站上传电子投标文件；</w:t>
      </w:r>
    </w:p>
    <w:p w14:paraId="339B14E5">
      <w:pPr>
        <w:ind w:firstLine="411" w:firstLineChars="196"/>
        <w:rPr>
          <w:rFonts w:ascii="宋体" w:hAnsi="宋体"/>
          <w:szCs w:val="21"/>
        </w:rPr>
      </w:pPr>
      <w:r>
        <w:rPr>
          <w:rFonts w:hint="eastAsia" w:ascii="宋体" w:hAnsi="宋体"/>
          <w:szCs w:val="21"/>
        </w:rPr>
        <w:t>3.9招标文件中的标题或题名仅起引导作用，而不应视为对招标文件内容的理解和解释；</w:t>
      </w:r>
    </w:p>
    <w:p w14:paraId="3B09417A">
      <w:pPr>
        <w:ind w:firstLine="420" w:firstLineChars="200"/>
        <w:rPr>
          <w:rFonts w:ascii="宋体" w:hAnsi="宋体"/>
          <w:color w:val="FF0000"/>
          <w:szCs w:val="21"/>
        </w:rPr>
      </w:pPr>
      <w:r>
        <w:rPr>
          <w:rFonts w:hint="eastAsia" w:ascii="宋体" w:hAnsi="宋体"/>
          <w:color w:val="FF0000"/>
          <w:szCs w:val="21"/>
        </w:rPr>
        <w:t>3.10“深圳政府采购智慧平台</w:t>
      </w:r>
      <w:r>
        <w:rPr>
          <w:rFonts w:ascii="宋体" w:hAnsi="宋体"/>
          <w:color w:val="FF0000"/>
          <w:szCs w:val="21"/>
        </w:rPr>
        <w:t>”</w:t>
      </w:r>
      <w:r>
        <w:rPr>
          <w:rFonts w:hint="eastAsia" w:ascii="宋体" w:hAnsi="宋体"/>
          <w:color w:val="FF0000"/>
          <w:szCs w:val="21"/>
        </w:rPr>
        <w:t>，即“深圳政府采购智慧(监管)平台”。</w:t>
      </w:r>
    </w:p>
    <w:p w14:paraId="0DC012E0">
      <w:pPr>
        <w:rPr>
          <w:rFonts w:ascii="黑体" w:hAnsi="宋体" w:eastAsia="黑体"/>
          <w:sz w:val="24"/>
        </w:rPr>
      </w:pPr>
      <w:r>
        <w:rPr>
          <w:rFonts w:hint="eastAsia" w:ascii="黑体" w:hAnsi="宋体" w:eastAsia="黑体"/>
          <w:sz w:val="24"/>
        </w:rPr>
        <w:t>4. 政府采购供应商责任</w:t>
      </w:r>
    </w:p>
    <w:p w14:paraId="0F51799D">
      <w:pPr>
        <w:ind w:firstLine="411" w:firstLineChars="196"/>
        <w:rPr>
          <w:rFonts w:ascii="宋体" w:hAnsi="宋体"/>
          <w:szCs w:val="21"/>
        </w:rPr>
      </w:pPr>
      <w:r>
        <w:rPr>
          <w:rFonts w:hint="eastAsia" w:ascii="宋体" w:hAnsi="宋体"/>
          <w:szCs w:val="21"/>
        </w:rPr>
        <w:t>4.1欢迎诚信、有实力和有社会责任心的供应商参与政府采购事业。</w:t>
      </w:r>
    </w:p>
    <w:p w14:paraId="6F4A4EE7">
      <w:pPr>
        <w:ind w:firstLine="411" w:firstLineChars="196"/>
        <w:rPr>
          <w:rFonts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14:paraId="609A5C5D">
      <w:pPr>
        <w:rPr>
          <w:rFonts w:ascii="黑体" w:hAnsi="宋体" w:eastAsia="黑体"/>
          <w:sz w:val="24"/>
        </w:rPr>
      </w:pPr>
      <w:r>
        <w:rPr>
          <w:rFonts w:hint="eastAsia" w:ascii="黑体" w:hAnsi="宋体" w:eastAsia="黑体"/>
          <w:sz w:val="24"/>
        </w:rPr>
        <w:t>5．投标人参加政府采购的条件</w:t>
      </w:r>
    </w:p>
    <w:p w14:paraId="70B6F5DA">
      <w:pPr>
        <w:ind w:firstLine="411" w:firstLineChars="196"/>
        <w:jc w:val="left"/>
        <w:rPr>
          <w:rFonts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p>
    <w:p w14:paraId="75AEF3AC">
      <w:pPr>
        <w:ind w:firstLine="411" w:firstLineChars="196"/>
        <w:rPr>
          <w:rFonts w:ascii="宋体" w:hAnsi="宋体"/>
          <w:szCs w:val="21"/>
        </w:rPr>
      </w:pPr>
      <w:r>
        <w:rPr>
          <w:rFonts w:hint="eastAsia" w:ascii="宋体" w:hAnsi="宋体"/>
          <w:szCs w:val="21"/>
        </w:rPr>
        <w:t>5.2投标人资格要求</w:t>
      </w:r>
    </w:p>
    <w:p w14:paraId="5D52BE1E">
      <w:pPr>
        <w:ind w:firstLine="411" w:firstLineChars="196"/>
        <w:rPr>
          <w:rFonts w:ascii="宋体" w:hAnsi="宋体"/>
          <w:szCs w:val="21"/>
        </w:rPr>
      </w:pPr>
      <w:r>
        <w:rPr>
          <w:rFonts w:hint="eastAsia" w:ascii="宋体" w:hAnsi="宋体"/>
          <w:szCs w:val="21"/>
        </w:rPr>
        <w:t>参加本项目的投标人应具备的资格条件详见本项目招标公告中“投标人资格要求”（即申请人的资格要求）的内容。</w:t>
      </w:r>
    </w:p>
    <w:p w14:paraId="25E9F78C">
      <w:pPr>
        <w:ind w:firstLine="411" w:firstLineChars="196"/>
        <w:rPr>
          <w:rFonts w:ascii="宋体" w:hAnsi="宋体"/>
          <w:szCs w:val="21"/>
        </w:rPr>
      </w:pPr>
      <w:r>
        <w:rPr>
          <w:rFonts w:hint="eastAsia" w:ascii="宋体" w:hAnsi="宋体"/>
          <w:szCs w:val="21"/>
        </w:rPr>
        <w:t>5.3联合体投标</w:t>
      </w:r>
    </w:p>
    <w:p w14:paraId="64E8CCD1">
      <w:pPr>
        <w:ind w:firstLine="411" w:firstLineChars="196"/>
        <w:rPr>
          <w:rFonts w:ascii="宋体" w:hAnsi="宋体"/>
          <w:szCs w:val="21"/>
        </w:rPr>
      </w:pPr>
      <w:r>
        <w:rPr>
          <w:rFonts w:hint="eastAsia" w:ascii="宋体" w:hAnsi="宋体"/>
          <w:szCs w:val="21"/>
        </w:rPr>
        <w:t>5.3.1　以下有关联合体投标的条款仅适用于允许投标人组成联合体投标的项目。</w:t>
      </w:r>
    </w:p>
    <w:p w14:paraId="4F5C54E8">
      <w:pPr>
        <w:ind w:firstLine="411" w:firstLineChars="196"/>
        <w:rPr>
          <w:rFonts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14:paraId="3919D986">
      <w:pPr>
        <w:ind w:firstLine="411" w:firstLineChars="196"/>
        <w:rPr>
          <w:rFonts w:ascii="宋体" w:hAnsi="宋体"/>
        </w:rPr>
      </w:pPr>
      <w:r>
        <w:rPr>
          <w:rFonts w:hint="eastAsia" w:ascii="宋体" w:hAnsi="宋体"/>
        </w:rPr>
        <w:t>（1）投标联合体各方参加政府采购活动应当具备下列条件：</w:t>
      </w:r>
      <w:r>
        <w:rPr>
          <w:rFonts w:ascii="宋体" w:hAnsi="宋体"/>
        </w:rPr>
        <w:t xml:space="preserve"> </w:t>
      </w:r>
    </w:p>
    <w:p w14:paraId="6C1257BF">
      <w:pPr>
        <w:ind w:left="420" w:leftChars="200" w:firstLine="411" w:firstLineChars="196"/>
        <w:rPr>
          <w:rFonts w:ascii="宋体" w:hAnsi="宋体"/>
        </w:rPr>
      </w:pPr>
      <w:r>
        <w:rPr>
          <w:rFonts w:hint="eastAsia" w:ascii="宋体" w:hAnsi="宋体"/>
        </w:rPr>
        <w:t>1、具有独立承担民事责任的能力；</w:t>
      </w:r>
      <w:r>
        <w:rPr>
          <w:rFonts w:ascii="宋体" w:hAnsi="宋体"/>
        </w:rPr>
        <w:t xml:space="preserve"> </w:t>
      </w:r>
    </w:p>
    <w:p w14:paraId="60FE233E">
      <w:pPr>
        <w:ind w:left="420" w:firstLine="411" w:firstLineChars="196"/>
        <w:rPr>
          <w:rFonts w:ascii="宋体" w:hAnsi="宋体"/>
        </w:rPr>
      </w:pPr>
      <w:r>
        <w:rPr>
          <w:rFonts w:hint="eastAsia" w:ascii="宋体" w:hAnsi="宋体"/>
        </w:rPr>
        <w:t>2、有良好的商业信誉和健全的财务会计制度；</w:t>
      </w:r>
      <w:r>
        <w:rPr>
          <w:rFonts w:ascii="宋体" w:hAnsi="宋体"/>
        </w:rPr>
        <w:t xml:space="preserve"> </w:t>
      </w:r>
    </w:p>
    <w:p w14:paraId="1F7CF3B3">
      <w:pPr>
        <w:ind w:left="420" w:leftChars="200" w:firstLine="411" w:firstLineChars="196"/>
        <w:rPr>
          <w:rFonts w:ascii="宋体" w:hAnsi="宋体"/>
        </w:rPr>
      </w:pPr>
      <w:r>
        <w:rPr>
          <w:rFonts w:hint="eastAsia" w:ascii="宋体" w:hAnsi="宋体"/>
        </w:rPr>
        <w:t>3、具有履行合同所必需的设备和专业技术能力；</w:t>
      </w:r>
      <w:r>
        <w:rPr>
          <w:rFonts w:ascii="宋体" w:hAnsi="宋体"/>
        </w:rPr>
        <w:t xml:space="preserve"> </w:t>
      </w:r>
    </w:p>
    <w:p w14:paraId="4AA036E9">
      <w:pPr>
        <w:ind w:left="420" w:leftChars="200" w:firstLine="411" w:firstLineChars="196"/>
        <w:rPr>
          <w:rFonts w:ascii="宋体" w:hAnsi="宋体"/>
        </w:rPr>
      </w:pPr>
      <w:r>
        <w:rPr>
          <w:rFonts w:hint="eastAsia" w:ascii="宋体" w:hAnsi="宋体"/>
        </w:rPr>
        <w:t>4、有依法缴纳税收和社会保障资金的良好记录；</w:t>
      </w:r>
      <w:r>
        <w:rPr>
          <w:rFonts w:ascii="宋体" w:hAnsi="宋体"/>
        </w:rPr>
        <w:t xml:space="preserve"> </w:t>
      </w:r>
    </w:p>
    <w:p w14:paraId="79A868EB">
      <w:pPr>
        <w:ind w:left="420" w:leftChars="200" w:firstLine="411" w:firstLineChars="196"/>
        <w:rPr>
          <w:rFonts w:ascii="宋体" w:hAnsi="宋体"/>
        </w:rPr>
      </w:pPr>
      <w:r>
        <w:rPr>
          <w:rFonts w:hint="eastAsia" w:ascii="宋体" w:hAnsi="宋体"/>
        </w:rPr>
        <w:t>5、参加政府采购活动前三年内，在经营活动中没有重大违法记录；</w:t>
      </w:r>
      <w:r>
        <w:rPr>
          <w:rFonts w:ascii="宋体" w:hAnsi="宋体"/>
        </w:rPr>
        <w:t xml:space="preserve"> </w:t>
      </w:r>
    </w:p>
    <w:p w14:paraId="043CFE85">
      <w:pPr>
        <w:ind w:left="420" w:leftChars="200" w:firstLine="411" w:firstLineChars="196"/>
        <w:rPr>
          <w:rFonts w:ascii="宋体" w:hAnsi="宋体"/>
        </w:rPr>
      </w:pPr>
      <w:r>
        <w:rPr>
          <w:rFonts w:hint="eastAsia" w:ascii="宋体" w:hAnsi="宋体"/>
        </w:rPr>
        <w:t>6、法律、行政法规规定的其他条件。</w:t>
      </w:r>
      <w:r>
        <w:rPr>
          <w:rFonts w:ascii="宋体" w:hAnsi="宋体"/>
        </w:rPr>
        <w:t xml:space="preserve"> </w:t>
      </w:r>
    </w:p>
    <w:p w14:paraId="0BC4121D">
      <w:pPr>
        <w:ind w:firstLine="411" w:firstLineChars="196"/>
        <w:rPr>
          <w:rFonts w:ascii="宋体" w:hAnsi="宋体"/>
        </w:rPr>
      </w:pPr>
      <w:r>
        <w:rPr>
          <w:rFonts w:hint="eastAsia" w:ascii="宋体" w:hAnsi="宋体"/>
        </w:rPr>
        <w:t>（2）在投标截止前，投标联合体各方均应注册成政府集中采购机构供应商；</w:t>
      </w:r>
    </w:p>
    <w:p w14:paraId="378FB96E">
      <w:pPr>
        <w:ind w:firstLine="411" w:firstLineChars="196"/>
        <w:rPr>
          <w:rFonts w:ascii="宋体" w:hAnsi="宋体"/>
        </w:rPr>
      </w:pPr>
      <w:r>
        <w:rPr>
          <w:rFonts w:hint="eastAsia" w:ascii="宋体" w:hAnsi="宋体"/>
        </w:rPr>
        <w:t>（3）联合体中有同类资质的供应商按照联合体分工承担相同工作的，应当按照资质等级较低的供应商确定资质等级；</w:t>
      </w:r>
    </w:p>
    <w:p w14:paraId="5E467A37">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14:paraId="643F7430">
      <w:pPr>
        <w:ind w:firstLine="411" w:firstLineChars="196"/>
        <w:rPr>
          <w:rFonts w:ascii="宋体" w:hAnsi="宋体"/>
        </w:rPr>
      </w:pPr>
      <w:r>
        <w:rPr>
          <w:rFonts w:hint="eastAsia" w:ascii="宋体" w:hAnsi="宋体"/>
        </w:rPr>
        <w:t>（5）投标人的投标文件及中标后签署的合同协议对联合体各方均具法律约束力；</w:t>
      </w:r>
    </w:p>
    <w:p w14:paraId="090954F4">
      <w:pPr>
        <w:ind w:firstLine="411" w:firstLineChars="196"/>
        <w:rPr>
          <w:rFonts w:ascii="宋体" w:hAnsi="宋体"/>
        </w:rPr>
      </w:pPr>
      <w:r>
        <w:rPr>
          <w:rFonts w:hint="eastAsia" w:ascii="宋体" w:hAnsi="宋体"/>
        </w:rPr>
        <w:t>（6）联合体各方应当签订联合体投标协议，明确约定各方拟承担的工作和责任，并将该协议随投标文件一并递交给政府集中采购机构；</w:t>
      </w:r>
    </w:p>
    <w:p w14:paraId="36B5621A">
      <w:pPr>
        <w:ind w:firstLine="411" w:firstLineChars="196"/>
        <w:rPr>
          <w:rFonts w:ascii="宋体" w:hAnsi="宋体"/>
        </w:rPr>
      </w:pPr>
      <w:r>
        <w:rPr>
          <w:rFonts w:hint="eastAsia" w:ascii="宋体" w:hAnsi="宋体"/>
        </w:rPr>
        <w:t>（7）联合体中标后，联合体各方应当共同与采购人签订合同，就中标项目向采购人承担连带责任；</w:t>
      </w:r>
    </w:p>
    <w:p w14:paraId="38B0A2F3">
      <w:pPr>
        <w:ind w:firstLine="411" w:firstLineChars="196"/>
        <w:rPr>
          <w:rFonts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94F449C">
      <w:pPr>
        <w:ind w:firstLine="411" w:firstLineChars="196"/>
        <w:rPr>
          <w:rFonts w:ascii="宋体" w:hAnsi="宋体"/>
          <w:szCs w:val="21"/>
        </w:rPr>
      </w:pPr>
      <w:r>
        <w:rPr>
          <w:rFonts w:hint="eastAsia" w:ascii="宋体" w:hAnsi="宋体"/>
        </w:rPr>
        <w:t>（9）本通用条款中“投标人”一词亦指联合体各方，专用条款另有规定或说明的除外。</w:t>
      </w:r>
    </w:p>
    <w:p w14:paraId="75CFE7CF">
      <w:pPr>
        <w:rPr>
          <w:rFonts w:ascii="黑体" w:hAnsi="宋体" w:eastAsia="黑体"/>
          <w:sz w:val="24"/>
        </w:rPr>
      </w:pPr>
      <w:r>
        <w:rPr>
          <w:rFonts w:hint="eastAsia" w:ascii="黑体" w:hAnsi="宋体" w:eastAsia="黑体"/>
          <w:sz w:val="24"/>
        </w:rPr>
        <w:t>6．政策导向</w:t>
      </w:r>
    </w:p>
    <w:p w14:paraId="3D862526">
      <w:pPr>
        <w:ind w:firstLine="411" w:firstLineChars="196"/>
        <w:rPr>
          <w:rFonts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14:paraId="0EC87BF2">
      <w:pPr>
        <w:ind w:firstLine="405"/>
        <w:rPr>
          <w:rFonts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14:paraId="509A38C8">
      <w:pPr>
        <w:ind w:firstLine="405"/>
      </w:pPr>
      <w:r>
        <w:rPr>
          <w:rFonts w:hint="eastAsia" w:ascii="宋体" w:hAnsi="宋体"/>
        </w:rPr>
        <w:t>6.3  本项目支持投标人性别平等的相关政策。</w:t>
      </w:r>
    </w:p>
    <w:p w14:paraId="4C82C496">
      <w:pPr>
        <w:rPr>
          <w:rFonts w:ascii="黑体" w:hAnsi="宋体" w:eastAsia="黑体"/>
          <w:sz w:val="24"/>
        </w:rPr>
      </w:pPr>
      <w:r>
        <w:rPr>
          <w:rFonts w:hint="eastAsia" w:ascii="黑体" w:hAnsi="宋体" w:eastAsia="黑体"/>
          <w:sz w:val="24"/>
        </w:rPr>
        <w:t>7. 本项目若涉及采购货物，则合格的货物及相应服务应满足以下要求：</w:t>
      </w:r>
    </w:p>
    <w:p w14:paraId="5B44CB7F">
      <w:pPr>
        <w:ind w:firstLine="411" w:firstLineChars="196"/>
        <w:rPr>
          <w:rFonts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14:paraId="29D4DFA9">
      <w:pPr>
        <w:ind w:firstLine="411" w:firstLineChars="196"/>
        <w:rPr>
          <w:rFonts w:ascii="宋体" w:hAnsi="宋体"/>
        </w:rPr>
      </w:pPr>
      <w:r>
        <w:rPr>
          <w:rFonts w:hint="eastAsia" w:ascii="宋体" w:hAnsi="宋体"/>
        </w:rPr>
        <w:t>7.2  国产的货物及其有关服务必须符合中华人民共和国的设计、制造生产标准及行业标准。招标公告有其他要求的，亦应符合其要求。</w:t>
      </w:r>
    </w:p>
    <w:p w14:paraId="07BCFD39">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E055DC8">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310918">
      <w:pPr>
        <w:ind w:firstLine="411" w:firstLineChars="196"/>
        <w:rPr>
          <w:rFonts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6EFECD3">
      <w:pPr>
        <w:ind w:firstLine="411" w:firstLineChars="196"/>
        <w:rPr>
          <w:rFonts w:ascii="宋体" w:hAnsi="宋体"/>
        </w:rPr>
      </w:pPr>
      <w:r>
        <w:rPr>
          <w:rFonts w:hint="eastAsia" w:ascii="宋体" w:hAnsi="宋体"/>
        </w:rPr>
        <w:t>7.6  工期要求：投标人在投标时对其所投项目应提交交货进度、交货计划等，在合同规定的时间内完成项目实施工作。</w:t>
      </w:r>
    </w:p>
    <w:p w14:paraId="6F9176B6">
      <w:pPr>
        <w:ind w:firstLine="411" w:firstLineChars="196"/>
        <w:rPr>
          <w:rFonts w:ascii="宋体" w:hAnsi="宋体"/>
        </w:rPr>
      </w:pPr>
      <w:r>
        <w:rPr>
          <w:rFonts w:hint="eastAsia" w:ascii="宋体" w:hAnsi="宋体"/>
        </w:rPr>
        <w:t>7.7  投标人必须承担的设备运输、安装调试、验收检测和提供设备操作说明书、图纸等其他相关及类似的义务。</w:t>
      </w:r>
    </w:p>
    <w:p w14:paraId="4E21E509">
      <w:pPr>
        <w:rPr>
          <w:rFonts w:ascii="黑体" w:hAnsi="宋体" w:eastAsia="黑体"/>
          <w:sz w:val="24"/>
        </w:rPr>
      </w:pPr>
      <w:r>
        <w:rPr>
          <w:rFonts w:hint="eastAsia" w:ascii="黑体" w:hAnsi="宋体" w:eastAsia="黑体"/>
          <w:sz w:val="24"/>
        </w:rPr>
        <w:t>8．投标费用</w:t>
      </w:r>
    </w:p>
    <w:p w14:paraId="16EFFEAE">
      <w:pPr>
        <w:ind w:firstLine="411" w:firstLineChars="196"/>
        <w:rPr>
          <w:rFonts w:ascii="宋体" w:hAnsi="宋体"/>
          <w:szCs w:val="21"/>
        </w:rPr>
      </w:pPr>
      <w:r>
        <w:rPr>
          <w:rFonts w:hint="eastAsia" w:ascii="宋体" w:hAnsi="宋体"/>
          <w:szCs w:val="21"/>
        </w:rPr>
        <w:t>不论投标结果如何，投标人应承担其编制投标文件与递交投标文件所涉及的一切费用。</w:t>
      </w:r>
    </w:p>
    <w:p w14:paraId="0C2FD490">
      <w:pPr>
        <w:rPr>
          <w:rFonts w:ascii="黑体" w:hAnsi="宋体" w:eastAsia="黑体"/>
          <w:sz w:val="24"/>
        </w:rPr>
      </w:pPr>
      <w:r>
        <w:rPr>
          <w:rFonts w:hint="eastAsia" w:ascii="黑体" w:hAnsi="宋体" w:eastAsia="黑体"/>
          <w:sz w:val="24"/>
        </w:rPr>
        <w:t>9．踏勘现场</w:t>
      </w:r>
    </w:p>
    <w:p w14:paraId="49A5A2AE">
      <w:pPr>
        <w:ind w:firstLine="411" w:firstLineChars="196"/>
        <w:rPr>
          <w:rFonts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3833539">
      <w:pPr>
        <w:ind w:firstLine="411" w:firstLineChars="196"/>
        <w:rPr>
          <w:rFonts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14:paraId="0EAE31FA">
      <w:pPr>
        <w:ind w:firstLine="411" w:firstLineChars="196"/>
        <w:rPr>
          <w:rFonts w:ascii="宋体" w:hAnsi="宋体"/>
        </w:rPr>
      </w:pPr>
      <w:r>
        <w:rPr>
          <w:rFonts w:hint="eastAsia" w:ascii="宋体" w:hAnsi="宋体"/>
        </w:rPr>
        <w:t>9.3采购人应当通过政府集中采购机构向投标人提供有关现场的书面资料和数据。</w:t>
      </w:r>
    </w:p>
    <w:p w14:paraId="0C557230">
      <w:pPr>
        <w:ind w:firstLine="411" w:firstLineChars="196"/>
        <w:rPr>
          <w:rFonts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14:paraId="7FD9285A">
      <w:pPr>
        <w:ind w:firstLine="411" w:firstLineChars="196"/>
        <w:rPr>
          <w:rFonts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14:paraId="46E71F87">
      <w:pPr>
        <w:rPr>
          <w:rFonts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14:paraId="14DBB22C">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10F9F241">
      <w:pPr>
        <w:ind w:firstLine="411" w:firstLineChars="196"/>
        <w:rPr>
          <w:rFonts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14:paraId="61A9BD3A">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p w14:paraId="4428DEC0">
      <w:pPr>
        <w:ind w:firstLine="411" w:firstLineChars="196"/>
        <w:rPr>
          <w:rFonts w:ascii="宋体" w:hAnsi="宋体"/>
        </w:rPr>
      </w:pPr>
    </w:p>
    <w:p w14:paraId="1E7FA25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招标文件</w:t>
      </w:r>
    </w:p>
    <w:p w14:paraId="1FDCB889">
      <w:pPr>
        <w:rPr>
          <w:rFonts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．招标文件的编制与组成</w:t>
      </w:r>
    </w:p>
    <w:p w14:paraId="04EC435C">
      <w:pPr>
        <w:snapToGrid w:val="0"/>
        <w:ind w:firstLine="420" w:firstLineChars="200"/>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14:paraId="4240DF8E">
      <w:pPr>
        <w:ind w:firstLine="411" w:firstLineChars="196"/>
        <w:rPr>
          <w:rFonts w:ascii="宋体" w:hAnsi="宋体"/>
          <w:szCs w:val="21"/>
        </w:rPr>
      </w:pPr>
      <w:r>
        <w:rPr>
          <w:rFonts w:hint="eastAsia" w:ascii="宋体" w:hAnsi="宋体"/>
          <w:szCs w:val="21"/>
        </w:rPr>
        <w:t>招标文件包括下列内容：</w:t>
      </w:r>
    </w:p>
    <w:p w14:paraId="4213D346">
      <w:pPr>
        <w:ind w:left="420" w:leftChars="200" w:firstLine="413" w:firstLineChars="196"/>
        <w:rPr>
          <w:rFonts w:ascii="宋体" w:hAnsi="宋体"/>
          <w:b/>
          <w:szCs w:val="21"/>
        </w:rPr>
      </w:pPr>
      <w:r>
        <w:rPr>
          <w:rFonts w:hint="eastAsia" w:ascii="宋体" w:hAnsi="宋体"/>
          <w:b/>
          <w:szCs w:val="21"/>
        </w:rPr>
        <w:t>第一册  专用条款</w:t>
      </w:r>
    </w:p>
    <w:p w14:paraId="583F431E">
      <w:pPr>
        <w:ind w:left="1079" w:leftChars="514"/>
        <w:rPr>
          <w:rFonts w:ascii="宋体" w:hAnsi="宋体"/>
          <w:b/>
          <w:szCs w:val="21"/>
        </w:rPr>
      </w:pPr>
      <w:r>
        <w:rPr>
          <w:rFonts w:hint="eastAsia" w:ascii="宋体" w:hAnsi="宋体"/>
          <w:b/>
          <w:szCs w:val="21"/>
        </w:rPr>
        <w:t>关键信息</w:t>
      </w:r>
    </w:p>
    <w:p w14:paraId="27E19A13">
      <w:pPr>
        <w:ind w:left="630" w:leftChars="300" w:firstLine="411" w:firstLineChars="196"/>
        <w:rPr>
          <w:rFonts w:ascii="宋体" w:hAnsi="宋体"/>
          <w:szCs w:val="21"/>
        </w:rPr>
      </w:pPr>
      <w:r>
        <w:rPr>
          <w:rFonts w:hint="eastAsia" w:ascii="宋体" w:hAnsi="宋体"/>
          <w:szCs w:val="21"/>
        </w:rPr>
        <w:t>第一章  招标公告</w:t>
      </w:r>
    </w:p>
    <w:p w14:paraId="13D60BCE">
      <w:pPr>
        <w:ind w:left="630" w:leftChars="300" w:firstLine="411" w:firstLineChars="196"/>
        <w:rPr>
          <w:rFonts w:ascii="宋体" w:hAnsi="宋体"/>
          <w:szCs w:val="21"/>
        </w:rPr>
      </w:pPr>
      <w:r>
        <w:rPr>
          <w:rFonts w:hint="eastAsia" w:ascii="宋体" w:hAnsi="宋体"/>
          <w:szCs w:val="21"/>
        </w:rPr>
        <w:t>第二章  对通用条款的补充内容及其他关键信息</w:t>
      </w:r>
    </w:p>
    <w:p w14:paraId="288406DA">
      <w:pPr>
        <w:ind w:left="630" w:leftChars="300" w:firstLine="411" w:firstLineChars="196"/>
        <w:rPr>
          <w:rFonts w:ascii="宋体" w:hAnsi="宋体"/>
          <w:szCs w:val="21"/>
        </w:rPr>
      </w:pPr>
      <w:r>
        <w:rPr>
          <w:rFonts w:hint="eastAsia" w:ascii="宋体" w:hAnsi="宋体"/>
          <w:szCs w:val="21"/>
        </w:rPr>
        <w:t>第三章  用户需求书</w:t>
      </w:r>
    </w:p>
    <w:p w14:paraId="6FE1D1DB">
      <w:pPr>
        <w:ind w:left="630" w:leftChars="300" w:firstLine="411" w:firstLineChars="196"/>
        <w:rPr>
          <w:rFonts w:ascii="宋体" w:hAnsi="宋体"/>
          <w:szCs w:val="21"/>
        </w:rPr>
      </w:pPr>
      <w:r>
        <w:rPr>
          <w:rFonts w:hint="eastAsia"/>
        </w:rPr>
        <w:t xml:space="preserve">第四章 </w:t>
      </w:r>
      <w:r>
        <w:t xml:space="preserve"> </w:t>
      </w:r>
      <w:r>
        <w:rPr>
          <w:rFonts w:hint="eastAsia"/>
        </w:rPr>
        <w:t>投标文件格式及附件</w:t>
      </w:r>
    </w:p>
    <w:p w14:paraId="7EC2FF63">
      <w:pPr>
        <w:ind w:left="630" w:leftChars="300" w:firstLine="411" w:firstLineChars="196"/>
        <w:rPr>
          <w:rFonts w:ascii="宋体" w:hAnsi="宋体"/>
          <w:szCs w:val="21"/>
        </w:rPr>
      </w:pPr>
      <w:r>
        <w:rPr>
          <w:rFonts w:hint="eastAsia" w:ascii="宋体" w:hAnsi="宋体"/>
          <w:szCs w:val="21"/>
        </w:rPr>
        <w:t>第五章  合同条款及格式</w:t>
      </w:r>
    </w:p>
    <w:p w14:paraId="51C84555">
      <w:pPr>
        <w:ind w:left="420" w:leftChars="200" w:firstLine="413" w:firstLineChars="196"/>
        <w:rPr>
          <w:rFonts w:ascii="宋体" w:hAnsi="宋体"/>
          <w:b/>
          <w:szCs w:val="21"/>
        </w:rPr>
      </w:pPr>
      <w:r>
        <w:rPr>
          <w:rFonts w:hint="eastAsia" w:ascii="宋体" w:hAnsi="宋体"/>
          <w:b/>
          <w:szCs w:val="21"/>
        </w:rPr>
        <w:t>第二册  通用条款</w:t>
      </w:r>
    </w:p>
    <w:p w14:paraId="6099148A">
      <w:pPr>
        <w:ind w:left="630" w:leftChars="300" w:firstLine="411" w:firstLineChars="196"/>
        <w:rPr>
          <w:rFonts w:ascii="宋体" w:hAnsi="宋体"/>
          <w:szCs w:val="21"/>
        </w:rPr>
      </w:pPr>
      <w:r>
        <w:rPr>
          <w:rFonts w:hint="eastAsia" w:ascii="宋体" w:hAnsi="宋体"/>
          <w:szCs w:val="21"/>
        </w:rPr>
        <w:t>第一章  总则</w:t>
      </w:r>
    </w:p>
    <w:p w14:paraId="7345AE37">
      <w:pPr>
        <w:ind w:left="630" w:leftChars="300" w:firstLine="411" w:firstLineChars="196"/>
        <w:rPr>
          <w:rFonts w:ascii="宋体" w:hAnsi="宋体"/>
          <w:szCs w:val="21"/>
        </w:rPr>
      </w:pPr>
      <w:r>
        <w:rPr>
          <w:rFonts w:hint="eastAsia" w:ascii="宋体" w:hAnsi="宋体"/>
          <w:szCs w:val="21"/>
        </w:rPr>
        <w:t>第二章  招标文件</w:t>
      </w:r>
    </w:p>
    <w:p w14:paraId="294D7DE4">
      <w:pPr>
        <w:ind w:left="630" w:leftChars="300" w:firstLine="411" w:firstLineChars="196"/>
        <w:rPr>
          <w:rFonts w:ascii="宋体" w:hAnsi="宋体"/>
          <w:szCs w:val="21"/>
        </w:rPr>
      </w:pPr>
      <w:r>
        <w:rPr>
          <w:rFonts w:hint="eastAsia" w:ascii="宋体" w:hAnsi="宋体"/>
          <w:szCs w:val="21"/>
        </w:rPr>
        <w:t>第三章  投标文件的编制</w:t>
      </w:r>
    </w:p>
    <w:p w14:paraId="1F2A71F8">
      <w:pPr>
        <w:ind w:left="630" w:leftChars="300" w:firstLine="411" w:firstLineChars="196"/>
        <w:rPr>
          <w:rFonts w:ascii="宋体" w:hAnsi="宋体"/>
          <w:szCs w:val="21"/>
        </w:rPr>
      </w:pPr>
      <w:r>
        <w:rPr>
          <w:rFonts w:hint="eastAsia" w:ascii="宋体" w:hAnsi="宋体"/>
          <w:szCs w:val="21"/>
        </w:rPr>
        <w:t>第四章  投标文件的递交</w:t>
      </w:r>
    </w:p>
    <w:p w14:paraId="6E605289">
      <w:pPr>
        <w:ind w:left="630" w:leftChars="300" w:firstLine="411" w:firstLineChars="196"/>
        <w:rPr>
          <w:rFonts w:ascii="宋体" w:hAnsi="宋体"/>
          <w:szCs w:val="21"/>
        </w:rPr>
      </w:pPr>
      <w:r>
        <w:rPr>
          <w:rFonts w:hint="eastAsia" w:ascii="宋体" w:hAnsi="宋体"/>
          <w:szCs w:val="21"/>
        </w:rPr>
        <w:t>第五章  开标</w:t>
      </w:r>
    </w:p>
    <w:p w14:paraId="7A73E42B">
      <w:pPr>
        <w:ind w:left="630" w:leftChars="300" w:firstLine="411" w:firstLineChars="196"/>
        <w:rPr>
          <w:rFonts w:ascii="宋体" w:hAnsi="宋体"/>
          <w:szCs w:val="21"/>
        </w:rPr>
      </w:pPr>
      <w:r>
        <w:rPr>
          <w:rFonts w:hint="eastAsia" w:ascii="宋体" w:hAnsi="宋体"/>
          <w:szCs w:val="21"/>
        </w:rPr>
        <w:t>第六章  评审要求</w:t>
      </w:r>
    </w:p>
    <w:p w14:paraId="1F985B02">
      <w:pPr>
        <w:ind w:left="630" w:leftChars="300" w:firstLine="411" w:firstLineChars="196"/>
        <w:rPr>
          <w:rFonts w:ascii="宋体" w:hAnsi="宋体"/>
          <w:szCs w:val="21"/>
        </w:rPr>
      </w:pPr>
      <w:r>
        <w:rPr>
          <w:rFonts w:hint="eastAsia" w:ascii="宋体" w:hAnsi="宋体"/>
          <w:szCs w:val="21"/>
        </w:rPr>
        <w:t>第七章  评审程序及评审方法</w:t>
      </w:r>
    </w:p>
    <w:p w14:paraId="49B57962">
      <w:pPr>
        <w:ind w:left="630" w:leftChars="300" w:firstLine="411" w:firstLineChars="196"/>
        <w:rPr>
          <w:rFonts w:ascii="宋体" w:hAnsi="宋体"/>
          <w:szCs w:val="21"/>
        </w:rPr>
      </w:pPr>
      <w:r>
        <w:rPr>
          <w:rFonts w:hint="eastAsia" w:ascii="宋体" w:hAnsi="宋体"/>
          <w:szCs w:val="21"/>
        </w:rPr>
        <w:t>第八章  定标及公示</w:t>
      </w:r>
    </w:p>
    <w:p w14:paraId="657E0973">
      <w:pPr>
        <w:ind w:left="630" w:leftChars="300" w:firstLine="411" w:firstLineChars="196"/>
        <w:rPr>
          <w:rFonts w:ascii="宋体" w:hAnsi="宋体"/>
          <w:szCs w:val="21"/>
        </w:rPr>
      </w:pPr>
      <w:r>
        <w:rPr>
          <w:rFonts w:hint="eastAsia" w:ascii="宋体" w:hAnsi="宋体"/>
          <w:szCs w:val="21"/>
        </w:rPr>
        <w:t>第九章  公开招标失败的后续处理</w:t>
      </w:r>
    </w:p>
    <w:p w14:paraId="135CA3FB">
      <w:pPr>
        <w:ind w:left="630" w:leftChars="300" w:firstLine="411" w:firstLineChars="196"/>
        <w:rPr>
          <w:rFonts w:ascii="宋体" w:hAnsi="宋体"/>
          <w:szCs w:val="21"/>
        </w:rPr>
      </w:pPr>
      <w:r>
        <w:rPr>
          <w:rFonts w:hint="eastAsia" w:ascii="宋体" w:hAnsi="宋体"/>
          <w:szCs w:val="21"/>
        </w:rPr>
        <w:t>第十章  合同的授予与备案</w:t>
      </w:r>
    </w:p>
    <w:p w14:paraId="7CEEC74D">
      <w:pPr>
        <w:ind w:left="630" w:leftChars="300" w:firstLine="411" w:firstLineChars="196"/>
        <w:rPr>
          <w:rFonts w:ascii="宋体" w:hAnsi="宋体"/>
          <w:szCs w:val="21"/>
        </w:rPr>
      </w:pPr>
      <w:r>
        <w:rPr>
          <w:rFonts w:hint="eastAsia" w:ascii="宋体" w:hAnsi="宋体"/>
          <w:szCs w:val="21"/>
        </w:rPr>
        <w:t>第十一章  质疑处理</w:t>
      </w:r>
    </w:p>
    <w:p w14:paraId="47729B82">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登录深圳政府采购智慧平台（http://zfcg.szggzy.com:8081/）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208D85D">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4C9F3980">
      <w:pPr>
        <w:rPr>
          <w:rFonts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14:paraId="5CD71B1A">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14:paraId="759251F8">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14:paraId="1E041E99">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14:paraId="4F514198">
      <w:pPr>
        <w:rPr>
          <w:rFonts w:ascii="黑体" w:hAnsi="宋体" w:eastAsia="黑体"/>
          <w:sz w:val="24"/>
        </w:rPr>
      </w:pPr>
      <w:r>
        <w:rPr>
          <w:rFonts w:ascii="黑体" w:hAnsi="宋体" w:eastAsia="黑体"/>
          <w:sz w:val="24"/>
        </w:rPr>
        <w:t>1</w:t>
      </w:r>
      <w:r>
        <w:rPr>
          <w:rFonts w:hint="eastAsia" w:ascii="黑体" w:hAnsi="宋体" w:eastAsia="黑体"/>
          <w:sz w:val="24"/>
        </w:rPr>
        <w:t>3．招标文件的修改</w:t>
      </w:r>
    </w:p>
    <w:p w14:paraId="005DE7A0">
      <w:pPr>
        <w:ind w:firstLine="411" w:firstLineChars="196"/>
        <w:rPr>
          <w:rFonts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14:paraId="7070E573">
      <w:pPr>
        <w:ind w:firstLine="411" w:firstLineChars="196"/>
        <w:rPr>
          <w:rFonts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14:paraId="38E63E21">
      <w:pPr>
        <w:ind w:firstLine="411" w:firstLineChars="196"/>
        <w:rPr>
          <w:rFonts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投标人应当登录深圳政府采购智慧平台（http://zfcg.szggzy.com:8081/）下载最新的招标文件。当招标文件、修改补充通知、招标文件澄清答复内容相互矛盾时，以最后发出的内容为准。</w:t>
      </w:r>
    </w:p>
    <w:p w14:paraId="68010616">
      <w:pPr>
        <w:ind w:firstLine="411" w:firstLineChars="196"/>
        <w:rPr>
          <w:rFonts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p>
    <w:p w14:paraId="056B0915">
      <w:pPr>
        <w:rPr>
          <w:rFonts w:ascii="宋体" w:hAnsi="宋体"/>
          <w:szCs w:val="21"/>
        </w:rPr>
      </w:pPr>
    </w:p>
    <w:p w14:paraId="0AB1829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投标文件的编制</w:t>
      </w:r>
    </w:p>
    <w:p w14:paraId="6EA8A31C">
      <w:pPr>
        <w:rPr>
          <w:rFonts w:ascii="黑体" w:hAnsi="宋体" w:eastAsia="黑体"/>
          <w:sz w:val="24"/>
        </w:rPr>
      </w:pPr>
      <w:r>
        <w:rPr>
          <w:rFonts w:hint="eastAsia" w:ascii="黑体" w:hAnsi="宋体" w:eastAsia="黑体"/>
          <w:sz w:val="24"/>
        </w:rPr>
        <w:t>14．投标文件的语言及度量单位</w:t>
      </w:r>
    </w:p>
    <w:p w14:paraId="290B072A">
      <w:pPr>
        <w:ind w:firstLine="411" w:firstLineChars="196"/>
        <w:rPr>
          <w:rFonts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w:t>
      </w:r>
    </w:p>
    <w:p w14:paraId="5E6CC03B">
      <w:pPr>
        <w:ind w:firstLine="411" w:firstLineChars="196"/>
        <w:rPr>
          <w:rFonts w:ascii="宋体" w:hAnsi="宋体"/>
          <w:szCs w:val="21"/>
        </w:rPr>
      </w:pPr>
      <w:r>
        <w:rPr>
          <w:rFonts w:hint="eastAsia" w:ascii="宋体" w:hAnsi="宋体"/>
          <w:szCs w:val="21"/>
        </w:rPr>
        <w:t>14.2 除技术规范另有规定外，投标文件使用的度量单位，均采用中华人民共和国法定计量单位。</w:t>
      </w:r>
    </w:p>
    <w:p w14:paraId="11AD217E">
      <w:pPr>
        <w:rPr>
          <w:rFonts w:ascii="黑体" w:hAnsi="宋体" w:eastAsia="黑体"/>
          <w:sz w:val="24"/>
        </w:rPr>
      </w:pPr>
      <w:r>
        <w:rPr>
          <w:rFonts w:hint="eastAsia" w:ascii="黑体" w:hAnsi="宋体" w:eastAsia="黑体"/>
          <w:sz w:val="24"/>
        </w:rPr>
        <w:t>15．投标文件的组成</w:t>
      </w:r>
    </w:p>
    <w:p w14:paraId="04E4DCBC">
      <w:pPr>
        <w:ind w:firstLine="411" w:firstLineChars="196"/>
        <w:rPr>
          <w:rFonts w:ascii="宋体" w:hAnsi="宋体"/>
          <w:szCs w:val="21"/>
        </w:rPr>
      </w:pPr>
      <w:r>
        <w:rPr>
          <w:rFonts w:hint="eastAsia" w:ascii="宋体" w:hAnsi="宋体"/>
          <w:szCs w:val="21"/>
        </w:rPr>
        <w:t>具体内容在招标文件专用条款中进行规定。</w:t>
      </w:r>
    </w:p>
    <w:p w14:paraId="4EC5916D">
      <w:pPr>
        <w:rPr>
          <w:rFonts w:ascii="黑体" w:hAnsi="宋体" w:eastAsia="黑体"/>
          <w:sz w:val="24"/>
        </w:rPr>
      </w:pPr>
      <w:r>
        <w:rPr>
          <w:rFonts w:ascii="黑体" w:hAnsi="宋体" w:eastAsia="黑体"/>
          <w:sz w:val="24"/>
        </w:rPr>
        <w:t>16．投标文件格式</w:t>
      </w:r>
    </w:p>
    <w:p w14:paraId="0831D7D8">
      <w:pPr>
        <w:ind w:firstLine="411" w:firstLineChars="196"/>
        <w:rPr>
          <w:rFonts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14:paraId="45CFE0E5">
      <w:pPr>
        <w:rPr>
          <w:rFonts w:ascii="黑体" w:hAnsi="宋体" w:eastAsia="黑体"/>
          <w:sz w:val="24"/>
        </w:rPr>
      </w:pPr>
      <w:r>
        <w:rPr>
          <w:rFonts w:hint="eastAsia" w:ascii="黑体" w:hAnsi="宋体" w:eastAsia="黑体"/>
          <w:sz w:val="24"/>
        </w:rPr>
        <w:t>17．投标货币</w:t>
      </w:r>
    </w:p>
    <w:p w14:paraId="290F1F6C">
      <w:pPr>
        <w:ind w:firstLine="411" w:firstLineChars="196"/>
        <w:rPr>
          <w:rFonts w:ascii="宋体" w:hAnsi="宋体"/>
          <w:szCs w:val="21"/>
        </w:rPr>
      </w:pPr>
      <w:r>
        <w:rPr>
          <w:rFonts w:hint="eastAsia" w:ascii="宋体" w:hAnsi="宋体"/>
          <w:szCs w:val="21"/>
        </w:rPr>
        <w:t>本项目的投标报价应以人民币计。</w:t>
      </w:r>
    </w:p>
    <w:p w14:paraId="5B2E7525">
      <w:pPr>
        <w:rPr>
          <w:rFonts w:ascii="黑体" w:hAnsi="宋体" w:eastAsia="黑体"/>
          <w:sz w:val="24"/>
        </w:rPr>
      </w:pPr>
      <w:r>
        <w:rPr>
          <w:rFonts w:hint="eastAsia" w:ascii="黑体" w:hAnsi="宋体" w:eastAsia="黑体"/>
          <w:sz w:val="24"/>
        </w:rPr>
        <w:t>18．证明投标文件投标技术方案的合格性和符合招标文件规定的文件要求</w:t>
      </w:r>
    </w:p>
    <w:p w14:paraId="1FCE1AAC">
      <w:pPr>
        <w:ind w:firstLine="411" w:firstLineChars="196"/>
        <w:rPr>
          <w:rFonts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14:paraId="2B45AABA">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27C4468">
      <w:pPr>
        <w:ind w:firstLine="411" w:firstLineChars="196"/>
        <w:rPr>
          <w:rFonts w:ascii="宋体" w:hAnsi="宋体"/>
          <w:szCs w:val="21"/>
        </w:rPr>
      </w:pPr>
      <w:r>
        <w:rPr>
          <w:rFonts w:hint="eastAsia" w:ascii="宋体" w:hAnsi="宋体"/>
          <w:szCs w:val="21"/>
        </w:rPr>
        <w:t>18.2.1主要技术指标和性能的详细说明。</w:t>
      </w:r>
    </w:p>
    <w:p w14:paraId="59E27505">
      <w:pPr>
        <w:ind w:firstLine="411" w:firstLineChars="196"/>
        <w:rPr>
          <w:rFonts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14:paraId="31E1F9F1">
      <w:pPr>
        <w:ind w:firstLine="411" w:firstLineChars="196"/>
        <w:rPr>
          <w:rFonts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39D638E">
      <w:pPr>
        <w:ind w:firstLine="411" w:firstLineChars="196"/>
        <w:rPr>
          <w:rFonts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14:paraId="78F8E9F9">
      <w:pPr>
        <w:ind w:firstLine="411" w:firstLineChars="196"/>
        <w:rPr>
          <w:rFonts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4B1D293">
      <w:pPr>
        <w:ind w:firstLine="411" w:firstLineChars="196"/>
        <w:rPr>
          <w:rFonts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14:paraId="16C28E72">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14:paraId="5B8ABE80">
      <w:pPr>
        <w:ind w:firstLine="411" w:firstLineChars="196"/>
        <w:rPr>
          <w:rFonts w:ascii="宋体" w:hAnsi="宋体"/>
          <w:szCs w:val="21"/>
        </w:rPr>
      </w:pPr>
      <w:r>
        <w:rPr>
          <w:rFonts w:hint="eastAsia" w:ascii="宋体" w:hAnsi="宋体"/>
          <w:szCs w:val="21"/>
        </w:rPr>
        <w:t>18.5除非另有规定或说明，投标人对同一项目投标时，不得同时提供两套或两套以上的投标方案。</w:t>
      </w:r>
    </w:p>
    <w:p w14:paraId="747E3CF9">
      <w:pPr>
        <w:rPr>
          <w:rFonts w:ascii="黑体" w:hAnsi="宋体" w:eastAsia="黑体"/>
          <w:sz w:val="24"/>
        </w:rPr>
      </w:pPr>
      <w:r>
        <w:rPr>
          <w:rFonts w:hint="eastAsia" w:ascii="黑体" w:hAnsi="宋体" w:eastAsia="黑体"/>
          <w:sz w:val="24"/>
        </w:rPr>
        <w:t>19．投标文件其他证明文件的要求</w:t>
      </w:r>
    </w:p>
    <w:p w14:paraId="0BF66692">
      <w:pPr>
        <w:rPr>
          <w:rFonts w:ascii="宋体" w:hAnsi="宋体"/>
          <w:color w:val="FF0000"/>
          <w:szCs w:val="21"/>
        </w:rPr>
      </w:pPr>
      <w:r>
        <w:rPr>
          <w:rFonts w:hint="eastAsia" w:ascii="黑体" w:hAnsi="宋体" w:eastAsia="黑体"/>
          <w:sz w:val="24"/>
        </w:rPr>
        <w:t xml:space="preserve">    </w:t>
      </w:r>
      <w:r>
        <w:rPr>
          <w:rFonts w:hint="eastAsia" w:ascii="宋体" w:hAnsi="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p w14:paraId="0E1574DD">
      <w:pPr>
        <w:ind w:firstLine="411" w:firstLineChars="196"/>
        <w:rPr>
          <w:rFonts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E008247">
      <w:pPr>
        <w:rPr>
          <w:rFonts w:ascii="黑体" w:hAnsi="宋体" w:eastAsia="黑体"/>
          <w:sz w:val="24"/>
        </w:rPr>
      </w:pPr>
      <w:r>
        <w:rPr>
          <w:rFonts w:hint="eastAsia" w:ascii="黑体" w:hAnsi="宋体" w:eastAsia="黑体"/>
          <w:sz w:val="24"/>
        </w:rPr>
        <w:t>20．投标有效期</w:t>
      </w:r>
    </w:p>
    <w:p w14:paraId="7F364F87">
      <w:pPr>
        <w:ind w:firstLine="411" w:firstLineChars="196"/>
        <w:rPr>
          <w:rFonts w:ascii="宋体" w:hAnsi="宋体"/>
          <w:szCs w:val="21"/>
        </w:rPr>
      </w:pPr>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14:paraId="46BDF79B">
      <w:pPr>
        <w:ind w:firstLine="411" w:firstLineChars="196"/>
        <w:rPr>
          <w:rFonts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34B8EEC4">
      <w:pPr>
        <w:ind w:firstLine="411" w:firstLineChars="196"/>
        <w:rPr>
          <w:rFonts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p w14:paraId="24B0B641">
      <w:pPr>
        <w:rPr>
          <w:rFonts w:ascii="黑体" w:hAnsi="宋体" w:eastAsia="黑体"/>
          <w:sz w:val="24"/>
        </w:rPr>
      </w:pPr>
      <w:r>
        <w:rPr>
          <w:rFonts w:hint="eastAsia" w:ascii="黑体" w:hAnsi="宋体" w:eastAsia="黑体"/>
          <w:sz w:val="24"/>
        </w:rPr>
        <w:t xml:space="preserve">21．关于投标保证金 </w:t>
      </w:r>
    </w:p>
    <w:p w14:paraId="0EEA39A1">
      <w:pPr>
        <w:rPr>
          <w:rFonts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14:paraId="210F2191">
      <w:pPr>
        <w:rPr>
          <w:rFonts w:ascii="黑体" w:hAnsi="宋体" w:eastAsia="黑体"/>
          <w:sz w:val="24"/>
        </w:rPr>
      </w:pPr>
      <w:r>
        <w:rPr>
          <w:rFonts w:hint="eastAsia" w:ascii="黑体" w:hAnsi="宋体" w:eastAsia="黑体"/>
          <w:sz w:val="24"/>
        </w:rPr>
        <w:t>22．投标人的替代方案</w:t>
      </w:r>
    </w:p>
    <w:p w14:paraId="19780121">
      <w:pPr>
        <w:ind w:firstLine="411" w:firstLineChars="196"/>
        <w:rPr>
          <w:rFonts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5096856">
      <w:pPr>
        <w:ind w:firstLine="411" w:firstLineChars="196"/>
        <w:rPr>
          <w:rFonts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C7164B">
      <w:pPr>
        <w:rPr>
          <w:rFonts w:ascii="黑体" w:hAnsi="宋体" w:eastAsia="黑体"/>
          <w:sz w:val="24"/>
        </w:rPr>
      </w:pPr>
      <w:r>
        <w:rPr>
          <w:rFonts w:hint="eastAsia" w:ascii="黑体" w:hAnsi="宋体" w:eastAsia="黑体"/>
          <w:sz w:val="24"/>
        </w:rPr>
        <w:t>23．</w:t>
      </w:r>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14:paraId="415C2F17">
      <w:pPr>
        <w:ind w:firstLine="411" w:firstLineChars="196"/>
        <w:rPr>
          <w:rFonts w:ascii="宋体" w:hAnsi="宋体"/>
        </w:rPr>
      </w:pPr>
      <w:r>
        <w:rPr>
          <w:rFonts w:hint="eastAsia" w:ascii="宋体" w:hAnsi="宋体"/>
        </w:rPr>
        <w:t>23.1投标人应准备所投项目的电子投标文件一份。此电子投标文件须由投标人根据政府集中采购机构提供的后缀名为.</w:t>
      </w:r>
      <w:r>
        <w:t xml:space="preserve"> </w:t>
      </w:r>
      <w:r>
        <w:rPr>
          <w:rFonts w:ascii="宋体" w:hAnsi="宋体"/>
        </w:rPr>
        <w:t>szczf</w:t>
      </w:r>
      <w:r>
        <w:rPr>
          <w:rFonts w:hint="eastAsia" w:ascii="宋体" w:hAnsi="宋体"/>
        </w:rPr>
        <w:t>的电子招标文件，下载并使用相应的深圳智慧采购平台投标文件制作专用软件打开招标文件（.szczf格式）【下载地址：</w:t>
      </w:r>
      <w:r>
        <w:rPr>
          <w:rFonts w:ascii="宋体" w:hAnsi="宋体"/>
        </w:rPr>
        <w:t>http://zfcg.szggzy.com:8081/cgxy/013002/list.html</w:t>
      </w:r>
      <w:r>
        <w:rPr>
          <w:rFonts w:hint="eastAsia" w:ascii="宋体" w:hAnsi="宋体"/>
        </w:rPr>
        <w:t>】。</w:t>
      </w:r>
    </w:p>
    <w:p w14:paraId="10073BDB">
      <w:pPr>
        <w:ind w:firstLine="411" w:firstLineChars="196"/>
        <w:rPr>
          <w:rFonts w:ascii="宋体" w:hAnsi="宋体"/>
        </w:rPr>
      </w:pPr>
      <w:r>
        <w:rPr>
          <w:rFonts w:hint="eastAsia" w:ascii="宋体" w:hAnsi="宋体"/>
        </w:rPr>
        <w:t>23.2投标人在使用《投标书编制软件》编制投标书时须注意：</w:t>
      </w:r>
    </w:p>
    <w:p w14:paraId="2D361F3E">
      <w:pPr>
        <w:ind w:firstLine="411" w:firstLineChars="196"/>
        <w:rPr>
          <w:rFonts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14:paraId="79D0ACBE">
      <w:pPr>
        <w:ind w:firstLine="411" w:firstLineChars="196"/>
        <w:rPr>
          <w:rFonts w:ascii="宋体" w:hAnsi="宋体"/>
        </w:rPr>
      </w:pPr>
      <w:r>
        <w:rPr>
          <w:rFonts w:hint="eastAsia" w:ascii="宋体" w:hAnsi="宋体"/>
        </w:rPr>
        <w:t>23.2.2不能用非本公司的电子密钥加密本公司的投标文件，或者用其它公司的登录用户上传本公司的投标文件。</w:t>
      </w:r>
    </w:p>
    <w:p w14:paraId="1CB714A3">
      <w:pPr>
        <w:ind w:firstLine="411" w:firstLineChars="196"/>
        <w:rPr>
          <w:rFonts w:ascii="宋体" w:hAnsi="宋体"/>
        </w:rPr>
      </w:pPr>
      <w:r>
        <w:rPr>
          <w:rFonts w:hint="eastAsia" w:ascii="宋体" w:hAnsi="宋体"/>
        </w:rPr>
        <w:t>23.2.3要求用《投标书编制软件》编制投标书的包，不能用其它方式编制投标书。编制投标文件时，电脑须连通互联网。</w:t>
      </w:r>
    </w:p>
    <w:p w14:paraId="36671521">
      <w:pPr>
        <w:ind w:firstLine="411" w:firstLineChars="196"/>
        <w:rPr>
          <w:rFonts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14:paraId="49B0A899">
      <w:pPr>
        <w:ind w:firstLine="411" w:firstLineChars="196"/>
        <w:rPr>
          <w:rFonts w:ascii="宋体" w:hAnsi="宋体"/>
        </w:rPr>
      </w:pPr>
      <w:r>
        <w:rPr>
          <w:rFonts w:hint="eastAsia" w:ascii="宋体" w:hAnsi="宋体"/>
        </w:rPr>
        <w:t>23.2.5完整填写“投标关键信息”，如下图所示：</w:t>
      </w:r>
    </w:p>
    <w:p w14:paraId="5A5E5FDD">
      <w:pPr>
        <w:rPr>
          <w:rFonts w:ascii="宋体" w:hAnsi="宋体"/>
        </w:rPr>
      </w:pPr>
      <w:r>
        <w:rPr>
          <w:rFonts w:ascii="宋体" w:hAnsi="宋体"/>
        </w:rPr>
        <w:drawing>
          <wp:inline distT="0" distB="0" distL="0" distR="0">
            <wp:extent cx="5278755" cy="2721610"/>
            <wp:effectExtent l="0" t="0" r="0" b="0"/>
            <wp:docPr id="16" name="图片 1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380C235">
      <w:pPr>
        <w:ind w:firstLine="413" w:firstLineChars="196"/>
        <w:rPr>
          <w:rFonts w:ascii="宋体" w:hAnsi="宋体"/>
          <w:b/>
        </w:rPr>
      </w:pPr>
      <w:r>
        <w:rPr>
          <w:rFonts w:hint="eastAsia" w:ascii="宋体" w:hAnsi="宋体"/>
          <w:b/>
        </w:rPr>
        <w:t>备注：上述“开标一览表”中的“投标报价”将作为价格分计算依据；其它信息仅是对投标文件相关内容的概括性表述，不作为评审依据。</w:t>
      </w:r>
    </w:p>
    <w:p w14:paraId="07C773FD">
      <w:pPr>
        <w:ind w:firstLine="411" w:firstLineChars="196"/>
        <w:rPr>
          <w:rFonts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14:paraId="6D27DBC4">
      <w:pPr>
        <w:ind w:firstLine="411" w:firstLineChars="196"/>
        <w:rPr>
          <w:rFonts w:ascii="宋体" w:hAnsi="宋体"/>
        </w:rPr>
      </w:pPr>
      <w:r>
        <w:rPr>
          <w:rFonts w:hint="eastAsia" w:ascii="宋体" w:hAnsi="宋体"/>
        </w:rPr>
        <w:t>23.2.7投标文件编写完成后，</w:t>
      </w:r>
      <w:r>
        <w:rPr>
          <w:rFonts w:hint="eastAsia" w:ascii="宋体" w:hAnsi="宋体"/>
          <w:b/>
        </w:rPr>
        <w:t>必须用属于投标人的电子密钥或电子营业执照进行加密，否则视同未盖公章，将导致投标文件无效。</w:t>
      </w:r>
    </w:p>
    <w:p w14:paraId="0D7531D4">
      <w:pPr>
        <w:ind w:firstLine="411" w:firstLineChars="196"/>
        <w:rPr>
          <w:rFonts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6BEF166A">
      <w:pPr>
        <w:ind w:firstLine="411" w:firstLineChars="196"/>
        <w:rPr>
          <w:rFonts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14:paraId="455C5C19">
      <w:pPr>
        <w:ind w:firstLine="411" w:firstLineChars="196"/>
        <w:rPr>
          <w:rFonts w:ascii="宋体" w:hAnsi="宋体"/>
        </w:rPr>
      </w:pPr>
      <w:r>
        <w:rPr>
          <w:rFonts w:hint="eastAsia" w:ascii="宋体" w:hAnsi="宋体"/>
        </w:rPr>
        <w:t>23.3电报、电话、传真形式的投标概不接受。</w:t>
      </w:r>
    </w:p>
    <w:p w14:paraId="59C8B38D">
      <w:pPr>
        <w:ind w:firstLine="413" w:firstLineChars="196"/>
        <w:rPr>
          <w:rFonts w:ascii="宋体" w:hAnsi="宋体"/>
          <w:b/>
        </w:rPr>
      </w:pPr>
      <w:r>
        <w:rPr>
          <w:rFonts w:hint="eastAsia" w:ascii="宋体" w:hAnsi="宋体"/>
          <w:b/>
        </w:rPr>
        <w:t>23.4经投标人电子密钥或电子营业执照加密的投标文件无须盖章或签字，</w:t>
      </w:r>
      <w:r>
        <w:rPr>
          <w:rFonts w:hint="eastAsia" w:ascii="宋体" w:hAnsi="宋体"/>
        </w:rPr>
        <w:t>专用条款另有要求的除外。</w:t>
      </w:r>
    </w:p>
    <w:p w14:paraId="38BF0944">
      <w:pPr>
        <w:ind w:firstLine="413" w:firstLineChars="196"/>
        <w:rPr>
          <w:rFonts w:ascii="宋体" w:hAnsi="宋体"/>
        </w:rPr>
      </w:pPr>
      <w:r>
        <w:rPr>
          <w:rFonts w:hint="eastAsia" w:ascii="宋体" w:hAnsi="宋体"/>
          <w:b/>
        </w:rPr>
        <w:t>23.5</w:t>
      </w:r>
      <w:r>
        <w:rPr>
          <w:rFonts w:hint="eastAsia" w:ascii="宋体" w:hAnsi="宋体"/>
        </w:rPr>
        <w:t xml:space="preserve"> 各类资格（资质）文件提供扫描件，专用条款另有要求的除外。</w:t>
      </w:r>
    </w:p>
    <w:p w14:paraId="7538C901">
      <w:pPr>
        <w:ind w:firstLine="411" w:firstLineChars="196"/>
        <w:rPr>
          <w:rFonts w:ascii="宋体" w:hAnsi="宋体"/>
          <w:szCs w:val="21"/>
        </w:rPr>
      </w:pPr>
    </w:p>
    <w:p w14:paraId="4B5CA85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投标文件的递交</w:t>
      </w:r>
    </w:p>
    <w:p w14:paraId="32EB122C">
      <w:pPr>
        <w:rPr>
          <w:rFonts w:ascii="黑体" w:hAnsi="宋体" w:eastAsia="黑体"/>
          <w:sz w:val="24"/>
        </w:rPr>
      </w:pPr>
      <w:r>
        <w:rPr>
          <w:rFonts w:hint="eastAsia" w:ascii="黑体" w:hAnsi="宋体" w:eastAsia="黑体"/>
          <w:sz w:val="24"/>
        </w:rPr>
        <w:t>24．投标文件的保密</w:t>
      </w:r>
    </w:p>
    <w:p w14:paraId="7F8C1A79">
      <w:pPr>
        <w:ind w:firstLine="411" w:firstLineChars="196"/>
        <w:rPr>
          <w:rFonts w:ascii="宋体" w:hAnsi="宋体"/>
        </w:rPr>
      </w:pPr>
      <w:r>
        <w:rPr>
          <w:rFonts w:hint="eastAsia" w:ascii="宋体" w:hAnsi="宋体"/>
        </w:rPr>
        <w:t>24.1在投标文件制作完成后，在投标书编制软件点击【生成标书】按钮进入【填写开标一览表界面】界面，在该界面填写完开标一览表信息后点击【确定】，进入投标文件生成环节。投标文件制作软件会在投标文件生成过程中，提示用户输入密码，输入密码后对投标文件自动进行加密，此加密程序确保投标文件在到达投标截止时间后才能解密查看。在加密过程中，请按照软件提示进行操作。加密界面如下图所示：</w:t>
      </w:r>
    </w:p>
    <w:p w14:paraId="72DE5B1E">
      <w:pPr>
        <w:widowControl/>
        <w:jc w:val="left"/>
        <w:rPr>
          <w:rFonts w:ascii="宋体" w:hAnsi="宋体" w:cs="宋体"/>
          <w:kern w:val="0"/>
          <w:sz w:val="24"/>
        </w:rPr>
      </w:pPr>
      <w:r>
        <w:rPr>
          <w:rFonts w:ascii="宋体" w:hAnsi="宋体"/>
        </w:rPr>
        <w:drawing>
          <wp:inline distT="0" distB="0" distL="0" distR="0">
            <wp:extent cx="5278755" cy="2721610"/>
            <wp:effectExtent l="0" t="0" r="0" b="0"/>
            <wp:docPr id="17" name="图片 1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C618B48">
      <w:pPr>
        <w:ind w:firstLine="480" w:firstLineChars="200"/>
        <w:rPr>
          <w:sz w:val="24"/>
        </w:rPr>
      </w:pPr>
    </w:p>
    <w:p w14:paraId="04BA7E09">
      <w:pPr>
        <w:rPr>
          <w:sz w:val="24"/>
        </w:rPr>
      </w:pPr>
      <w:r>
        <w:rPr>
          <w:rFonts w:ascii="宋体" w:hAnsi="宋体"/>
        </w:rPr>
        <w:drawing>
          <wp:inline distT="0" distB="0" distL="0" distR="0">
            <wp:extent cx="5278755" cy="2732405"/>
            <wp:effectExtent l="0" t="0" r="0" b="0"/>
            <wp:docPr id="18" name="图片 1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764197B">
      <w:pPr>
        <w:ind w:firstLine="411" w:firstLineChars="196"/>
        <w:rPr>
          <w:rFonts w:ascii="宋体" w:hAnsi="宋体"/>
        </w:rPr>
      </w:pPr>
    </w:p>
    <w:p w14:paraId="2D8408B3">
      <w:pPr>
        <w:rPr>
          <w:rFonts w:ascii="宋体" w:hAnsi="宋体"/>
          <w:b/>
        </w:rPr>
      </w:pPr>
      <w:r>
        <w:rPr>
          <w:rFonts w:hint="eastAsia" w:ascii="宋体" w:hAnsi="宋体"/>
          <w:b/>
        </w:rPr>
        <w:t>24.2若采购项目出现延期情况：</w:t>
      </w:r>
    </w:p>
    <w:p w14:paraId="513C985D">
      <w:pPr>
        <w:ind w:firstLine="422" w:firstLineChars="200"/>
        <w:rPr>
          <w:rFonts w:ascii="黑体" w:hAnsi="宋体" w:eastAsia="黑体"/>
          <w:b/>
          <w:sz w:val="24"/>
        </w:rPr>
      </w:pPr>
      <w:r>
        <w:rPr>
          <w:rFonts w:hint="eastAsia" w:ascii="宋体" w:hAnsi="宋体"/>
          <w:b/>
        </w:rPr>
        <w:t>如果供下载的招标文件（后缀名为.</w:t>
      </w:r>
      <w:r>
        <w:t xml:space="preserve"> </w:t>
      </w:r>
      <w:r>
        <w:rPr>
          <w:rFonts w:ascii="宋体" w:hAnsi="宋体"/>
          <w:b/>
        </w:rPr>
        <w:t>szczf</w:t>
      </w:r>
      <w:r>
        <w:rPr>
          <w:rFonts w:hint="eastAsia" w:ascii="宋体" w:hAnsi="宋体"/>
          <w:b/>
        </w:rPr>
        <w:t>）有更新，投标人必须重新下载招标文件、重新制作投标文件、重新加密投标文件、重新上传投标文件；如果供下载的招标文件（后缀名为.</w:t>
      </w:r>
      <w:r>
        <w:t xml:space="preserve"> </w:t>
      </w:r>
      <w:r>
        <w:rPr>
          <w:rFonts w:ascii="宋体" w:hAnsi="宋体"/>
          <w:b/>
        </w:rPr>
        <w:t>szczf</w:t>
      </w:r>
      <w:r>
        <w:rPr>
          <w:rFonts w:hint="eastAsia" w:ascii="宋体" w:hAnsi="宋体"/>
          <w:b/>
        </w:rPr>
        <w:t>）没有更新，投标人必须重新加密投标文件、重新上传投标文件（是否重新制作投标文件根据项目实际情况定）。否则，投标人自行承担投标文件无法解密导致投标无效的后果。</w:t>
      </w:r>
    </w:p>
    <w:p w14:paraId="0BDADB31">
      <w:pPr>
        <w:rPr>
          <w:rFonts w:ascii="黑体" w:hAnsi="宋体" w:eastAsia="黑体"/>
          <w:sz w:val="24"/>
        </w:rPr>
      </w:pPr>
      <w:r>
        <w:rPr>
          <w:rFonts w:hint="eastAsia" w:ascii="黑体" w:hAnsi="宋体" w:eastAsia="黑体"/>
          <w:sz w:val="24"/>
        </w:rPr>
        <w:t>25．上传投标文件及投标截止日期</w:t>
      </w:r>
    </w:p>
    <w:p w14:paraId="72965775">
      <w:pPr>
        <w:wordWrap w:val="0"/>
        <w:ind w:firstLine="411" w:firstLineChars="196"/>
        <w:rPr>
          <w:rFonts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政府采购智慧平台用户网上办事子系统（http://zfcg.szggzy.com:8081/TPBidder/memberLogin）”，用“【我的项目】→【项目流程】→【递交投标(应答)文件】”功能点上传投标文件。如上传过程中遇到问题，可拨打采购公告中的技术支持电话。如多次上传均告失败，请在投标截止时间之前携带加密后的电子投标文件送达至</w:t>
      </w:r>
      <w:r>
        <w:rPr>
          <w:rFonts w:hint="eastAsia" w:ascii="宋体" w:hAnsi="宋体"/>
          <w:b/>
          <w:bCs/>
          <w:szCs w:val="21"/>
        </w:rPr>
        <w:t>深圳公共资源交易中心（深圳交易集团有限公司政府采购业务分公司）</w:t>
      </w:r>
      <w:r>
        <w:rPr>
          <w:rFonts w:hint="eastAsia" w:ascii="宋体" w:hAnsi="宋体"/>
          <w:b/>
          <w:bCs/>
        </w:rPr>
        <w:t>（地址：深圳市南山区沙河西路3185号南山智谷A座（深圳交易集团总部大楼）3楼）</w:t>
      </w:r>
      <w:r>
        <w:rPr>
          <w:rFonts w:ascii="宋体" w:hAnsi="宋体"/>
          <w:b/>
          <w:bCs/>
        </w:rPr>
        <w:t>协助上传</w:t>
      </w:r>
      <w:r>
        <w:rPr>
          <w:rFonts w:hint="eastAsia" w:ascii="宋体" w:hAnsi="宋体"/>
          <w:b/>
          <w:bCs/>
        </w:rPr>
        <w:t>，</w:t>
      </w:r>
      <w:r>
        <w:rPr>
          <w:rFonts w:ascii="宋体" w:hAnsi="宋体"/>
          <w:b/>
          <w:bCs/>
        </w:rPr>
        <w:t>但上传过程</w:t>
      </w:r>
      <w:r>
        <w:rPr>
          <w:rFonts w:hint="eastAsia" w:ascii="宋体" w:hAnsi="宋体"/>
          <w:b/>
          <w:bCs/>
        </w:rPr>
        <w:t>中</w:t>
      </w:r>
      <w:r>
        <w:rPr>
          <w:rFonts w:ascii="宋体" w:hAnsi="宋体"/>
          <w:b/>
          <w:bCs/>
        </w:rPr>
        <w:t>投标截止时间到达仍无法上传成功的，由投标人自行负责</w:t>
      </w:r>
      <w:r>
        <w:rPr>
          <w:rFonts w:hint="eastAsia" w:ascii="宋体" w:hAnsi="宋体"/>
        </w:rPr>
        <w:t>。</w:t>
      </w:r>
    </w:p>
    <w:p w14:paraId="5FF15FA2">
      <w:pPr>
        <w:ind w:firstLine="411" w:firstLineChars="196"/>
        <w:rPr>
          <w:rFonts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53165F2B">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14:paraId="504D8003">
      <w:pPr>
        <w:ind w:firstLine="411" w:firstLineChars="196"/>
        <w:rPr>
          <w:rFonts w:ascii="宋体" w:hAnsi="宋体"/>
        </w:rPr>
      </w:pPr>
    </w:p>
    <w:p w14:paraId="627AD48B">
      <w:pPr>
        <w:rPr>
          <w:rFonts w:ascii="黑体" w:hAnsi="宋体" w:eastAsia="黑体"/>
          <w:sz w:val="24"/>
        </w:rPr>
      </w:pPr>
      <w:r>
        <w:rPr>
          <w:rFonts w:hint="eastAsia" w:ascii="黑体" w:hAnsi="宋体" w:eastAsia="黑体"/>
          <w:sz w:val="24"/>
        </w:rPr>
        <w:t>26. 样品、现场演示、方案讲解</w:t>
      </w:r>
    </w:p>
    <w:p w14:paraId="2B3FDE51">
      <w:pPr>
        <w:ind w:firstLine="411" w:firstLineChars="196"/>
        <w:rPr>
          <w:rFonts w:ascii="宋体" w:hAnsi="宋体"/>
          <w:szCs w:val="21"/>
        </w:rPr>
      </w:pPr>
      <w:r>
        <w:rPr>
          <w:rFonts w:hint="eastAsia" w:ascii="宋体" w:hAnsi="宋体"/>
          <w:szCs w:val="21"/>
        </w:rPr>
        <w:t>26.1 样品、现场演示、方案讲解等事项在招标文件专用条款中进行规定。</w:t>
      </w:r>
    </w:p>
    <w:p w14:paraId="722135EB">
      <w:pPr>
        <w:rPr>
          <w:rFonts w:ascii="黑体" w:hAnsi="宋体" w:eastAsia="黑体"/>
          <w:sz w:val="24"/>
        </w:rPr>
      </w:pPr>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14:paraId="4B4D986C">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14:paraId="5418FA10">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14:paraId="791C2A12">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14:paraId="2F4416EF">
      <w:pPr>
        <w:ind w:firstLine="411" w:firstLineChars="196"/>
        <w:rPr>
          <w:rFonts w:ascii="宋体" w:hAnsi="宋体"/>
          <w:szCs w:val="21"/>
        </w:rPr>
      </w:pPr>
      <w:r>
        <w:rPr>
          <w:rFonts w:hint="eastAsia" w:ascii="宋体" w:hAnsi="宋体"/>
          <w:szCs w:val="21"/>
        </w:rPr>
        <w:t>27.4政府集中采购机构不退还投标文件，专用条款另有规定的除外。</w:t>
      </w:r>
    </w:p>
    <w:p w14:paraId="6B02288C">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开标</w:t>
      </w:r>
    </w:p>
    <w:p w14:paraId="74694965">
      <w:pPr>
        <w:rPr>
          <w:rFonts w:ascii="黑体" w:hAnsi="宋体" w:eastAsia="黑体"/>
          <w:sz w:val="24"/>
        </w:rPr>
      </w:pPr>
      <w:r>
        <w:rPr>
          <w:rFonts w:hint="eastAsia" w:ascii="黑体" w:hAnsi="宋体" w:eastAsia="黑体"/>
          <w:sz w:val="24"/>
        </w:rPr>
        <w:t>28．开标</w:t>
      </w:r>
    </w:p>
    <w:p w14:paraId="374C46E9">
      <w:pPr>
        <w:ind w:firstLine="359" w:firstLineChars="171"/>
        <w:rPr>
          <w:rFonts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1投标人须在开标当日的开标时间至解密截止时间内进行解密，逾期未解密的作无效处理。解密方法：登录“深圳政府采购智慧平台用户网上办事子系统（</w:t>
      </w:r>
      <w:r>
        <w:rPr>
          <w:rFonts w:hint="eastAsia" w:ascii="宋体" w:hAnsi="宋体"/>
        </w:rPr>
        <w:t>http://zfcg.szggzy.com:8081/TPBidder/memberLogin</w:t>
      </w:r>
      <w:r>
        <w:rPr>
          <w:rFonts w:hint="eastAsia" w:ascii="宋体" w:hAnsi="宋体"/>
          <w:szCs w:val="21"/>
        </w:rPr>
        <w:t>）”，使用本单位制作电子投标文件同一个电子密钥，在“【我的项目】→【项目流程】→【开标及解密】”进行在线解密、查询开标情况。</w:t>
      </w:r>
    </w:p>
    <w:p w14:paraId="3F31235A">
      <w:pPr>
        <w:ind w:firstLine="315" w:firstLineChars="150"/>
        <w:rPr>
          <w:rFonts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14:paraId="76483F91">
      <w:pPr>
        <w:ind w:firstLine="315" w:firstLineChars="150"/>
        <w:rPr>
          <w:rFonts w:ascii="宋体" w:hAnsi="宋体"/>
          <w:szCs w:val="21"/>
        </w:rPr>
      </w:pPr>
    </w:p>
    <w:p w14:paraId="66DFEBD9">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评审要求</w:t>
      </w:r>
    </w:p>
    <w:p w14:paraId="14BF10BE">
      <w:pPr>
        <w:rPr>
          <w:rFonts w:ascii="黑体" w:hAnsi="宋体" w:eastAsia="黑体"/>
          <w:sz w:val="24"/>
        </w:rPr>
      </w:pPr>
      <w:r>
        <w:rPr>
          <w:rFonts w:hint="eastAsia" w:ascii="黑体" w:hAnsi="宋体" w:eastAsia="黑体"/>
          <w:sz w:val="24"/>
        </w:rPr>
        <w:t>29．评审委员会组成</w:t>
      </w:r>
    </w:p>
    <w:p w14:paraId="31B757CB">
      <w:pPr>
        <w:ind w:firstLine="411" w:firstLineChars="196"/>
        <w:rPr>
          <w:rFonts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14:paraId="4AF06C6D">
      <w:pPr>
        <w:ind w:firstLine="411" w:firstLineChars="196"/>
        <w:rPr>
          <w:rFonts w:ascii="宋体" w:hAnsi="宋体"/>
        </w:rPr>
      </w:pPr>
      <w:r>
        <w:rPr>
          <w:rFonts w:hint="eastAsia" w:ascii="宋体" w:hAnsi="宋体"/>
        </w:rPr>
        <w:t>评审委员会由采购人代表和评审专家组成，成员人数应当为5人以上单数（部分条件下为7人以上单数），其中评审专家不得少于成员总数的三分之二。评定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14:paraId="60916144">
      <w:pPr>
        <w:ind w:firstLine="411" w:firstLineChars="196"/>
        <w:rPr>
          <w:rFonts w:ascii="宋体" w:hAnsi="宋体"/>
        </w:rPr>
      </w:pPr>
      <w:r>
        <w:rPr>
          <w:rFonts w:hint="eastAsia" w:ascii="宋体" w:hAnsi="宋体"/>
        </w:rPr>
        <w:t>29.2评审定标应当遵循公平、公正、科学、择优的原则。</w:t>
      </w:r>
    </w:p>
    <w:p w14:paraId="05085ADD">
      <w:pPr>
        <w:ind w:firstLine="411" w:firstLineChars="196"/>
        <w:rPr>
          <w:rFonts w:ascii="宋体" w:hAnsi="宋体"/>
        </w:rPr>
      </w:pPr>
      <w:r>
        <w:rPr>
          <w:rFonts w:hint="eastAsia" w:ascii="宋体" w:hAnsi="宋体"/>
        </w:rPr>
        <w:t>29.3评审活动依法进行，任何单位和个人不得非法干预评标过程和结果。</w:t>
      </w:r>
    </w:p>
    <w:p w14:paraId="18329D28">
      <w:pPr>
        <w:ind w:firstLine="411" w:firstLineChars="196"/>
        <w:rPr>
          <w:rFonts w:ascii="宋体" w:hAnsi="宋体"/>
        </w:rPr>
      </w:pPr>
      <w:r>
        <w:rPr>
          <w:rFonts w:hint="eastAsia" w:ascii="宋体" w:hAnsi="宋体"/>
        </w:rPr>
        <w:t>29.4评审过程中不允许违背评标程序或采用招标文件未载明的评标方法或评标因素进行评标。</w:t>
      </w:r>
    </w:p>
    <w:p w14:paraId="2937A507">
      <w:pPr>
        <w:ind w:firstLine="411" w:firstLineChars="196"/>
        <w:rPr>
          <w:rFonts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14:paraId="2D2224BD">
      <w:pPr>
        <w:rPr>
          <w:rFonts w:ascii="黑体" w:hAnsi="宋体" w:eastAsia="黑体"/>
          <w:sz w:val="24"/>
        </w:rPr>
      </w:pPr>
      <w:r>
        <w:rPr>
          <w:rFonts w:hint="eastAsia" w:ascii="黑体" w:hAnsi="宋体" w:eastAsia="黑体"/>
          <w:sz w:val="24"/>
        </w:rPr>
        <w:t>30．向评审委员会提供的资料</w:t>
      </w:r>
    </w:p>
    <w:p w14:paraId="6F62349A">
      <w:pPr>
        <w:ind w:firstLine="411" w:firstLineChars="196"/>
        <w:rPr>
          <w:rFonts w:ascii="宋体" w:hAnsi="宋体"/>
        </w:rPr>
      </w:pPr>
      <w:r>
        <w:rPr>
          <w:rFonts w:hint="eastAsia" w:ascii="宋体" w:hAnsi="宋体"/>
        </w:rPr>
        <w:t>30.1公开发布的招标文件，包括图纸、服务清单、答疑文件等；</w:t>
      </w:r>
    </w:p>
    <w:p w14:paraId="14F78546">
      <w:pPr>
        <w:ind w:firstLine="411" w:firstLineChars="196"/>
        <w:rPr>
          <w:rFonts w:ascii="宋体" w:hAnsi="宋体"/>
        </w:rPr>
      </w:pPr>
      <w:r>
        <w:rPr>
          <w:rFonts w:hint="eastAsia" w:ascii="宋体" w:hAnsi="宋体"/>
        </w:rPr>
        <w:t>30.2其他评标必须的资料。</w:t>
      </w:r>
    </w:p>
    <w:p w14:paraId="444BA657">
      <w:pPr>
        <w:ind w:firstLine="411" w:firstLineChars="196"/>
        <w:rPr>
          <w:rFonts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14:paraId="759C683B">
      <w:pPr>
        <w:ind w:firstLine="411" w:firstLineChars="196"/>
        <w:rPr>
          <w:rFonts w:ascii="宋体" w:hAnsi="宋体"/>
        </w:rPr>
      </w:pPr>
      <w:r>
        <w:rPr>
          <w:rFonts w:hint="eastAsia" w:ascii="宋体" w:hAnsi="宋体"/>
        </w:rPr>
        <w:t>（1）招标的目的；</w:t>
      </w:r>
    </w:p>
    <w:p w14:paraId="324C2F62">
      <w:pPr>
        <w:ind w:firstLine="411" w:firstLineChars="196"/>
        <w:rPr>
          <w:rFonts w:ascii="宋体" w:hAnsi="宋体"/>
        </w:rPr>
      </w:pPr>
      <w:r>
        <w:rPr>
          <w:rFonts w:hint="eastAsia" w:ascii="宋体" w:hAnsi="宋体"/>
        </w:rPr>
        <w:t>（2）招标项目需求的范围和性质；</w:t>
      </w:r>
    </w:p>
    <w:p w14:paraId="6217395E">
      <w:pPr>
        <w:ind w:firstLine="411" w:firstLineChars="196"/>
        <w:rPr>
          <w:rFonts w:ascii="宋体" w:hAnsi="宋体"/>
        </w:rPr>
      </w:pPr>
      <w:r>
        <w:rPr>
          <w:rFonts w:hint="eastAsia" w:ascii="宋体" w:hAnsi="宋体"/>
        </w:rPr>
        <w:t>（3）招标文件规定的投标人的资格、预算金额、商务条款；</w:t>
      </w:r>
    </w:p>
    <w:p w14:paraId="4881C1F5">
      <w:pPr>
        <w:ind w:firstLine="411" w:firstLineChars="196"/>
        <w:rPr>
          <w:rFonts w:ascii="宋体" w:hAnsi="宋体"/>
        </w:rPr>
      </w:pPr>
      <w:r>
        <w:rPr>
          <w:rFonts w:hint="eastAsia" w:ascii="宋体" w:hAnsi="宋体"/>
        </w:rPr>
        <w:t>（4）招标文件规定的评标程序、评标方法和评标因素；</w:t>
      </w:r>
    </w:p>
    <w:p w14:paraId="693F918A">
      <w:pPr>
        <w:ind w:firstLine="411" w:firstLineChars="196"/>
        <w:rPr>
          <w:rFonts w:ascii="宋体" w:hAnsi="宋体"/>
        </w:rPr>
      </w:pPr>
      <w:r>
        <w:rPr>
          <w:rFonts w:hint="eastAsia" w:ascii="宋体" w:hAnsi="宋体"/>
        </w:rPr>
        <w:t>（5）招标文件所列示的资格性审查表及符合性审查表。</w:t>
      </w:r>
    </w:p>
    <w:p w14:paraId="62528281">
      <w:pPr>
        <w:rPr>
          <w:rFonts w:ascii="黑体" w:hAnsi="宋体" w:eastAsia="黑体"/>
          <w:sz w:val="24"/>
        </w:rPr>
      </w:pPr>
      <w:r>
        <w:rPr>
          <w:rFonts w:hint="eastAsia" w:ascii="黑体" w:hAnsi="宋体" w:eastAsia="黑体"/>
          <w:sz w:val="24"/>
        </w:rPr>
        <w:t>31．独立评审</w:t>
      </w:r>
    </w:p>
    <w:p w14:paraId="57B7C737">
      <w:pPr>
        <w:ind w:firstLine="411" w:firstLineChars="196"/>
        <w:rPr>
          <w:rFonts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14:paraId="38117499">
      <w:pPr>
        <w:ind w:firstLine="411" w:firstLineChars="196"/>
        <w:rPr>
          <w:rFonts w:ascii="宋体" w:hAnsi="宋体"/>
          <w:bCs/>
          <w:szCs w:val="21"/>
        </w:rPr>
      </w:pPr>
    </w:p>
    <w:p w14:paraId="57BAC4E3">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评审程序及评审方法</w:t>
      </w:r>
    </w:p>
    <w:p w14:paraId="59F0DB77">
      <w:pPr>
        <w:rPr>
          <w:rFonts w:ascii="黑体" w:hAnsi="宋体" w:eastAsia="黑体"/>
          <w:sz w:val="24"/>
        </w:rPr>
      </w:pPr>
      <w:r>
        <w:rPr>
          <w:rFonts w:hint="eastAsia" w:ascii="黑体" w:hAnsi="宋体" w:eastAsia="黑体"/>
          <w:sz w:val="24"/>
        </w:rPr>
        <w:t>32．投标文件初审</w:t>
      </w:r>
    </w:p>
    <w:p w14:paraId="13CBC82D">
      <w:pPr>
        <w:ind w:firstLine="411" w:firstLineChars="196"/>
        <w:rPr>
          <w:rFonts w:ascii="宋体" w:hAnsi="宋体"/>
        </w:rPr>
      </w:pPr>
      <w:r>
        <w:rPr>
          <w:rFonts w:hint="eastAsia" w:ascii="宋体" w:hAnsi="宋体"/>
        </w:rPr>
        <w:t>32.1投标文件初审包括资格性审查和符合性审查。</w:t>
      </w:r>
    </w:p>
    <w:p w14:paraId="57029997">
      <w:pPr>
        <w:ind w:firstLine="411" w:firstLineChars="196"/>
        <w:rPr>
          <w:rFonts w:ascii="宋体" w:hAnsi="宋体"/>
        </w:rPr>
      </w:pPr>
      <w:r>
        <w:rPr>
          <w:rFonts w:hint="eastAsia" w:ascii="宋体" w:hAnsi="宋体"/>
        </w:rPr>
        <w:t>资格性审查：依据法律法规和招标文件的规定，对投标文件中的资格证明等进行审查，以确定投标供应商是否具备投标资格。</w:t>
      </w:r>
    </w:p>
    <w:p w14:paraId="0E347798">
      <w:pPr>
        <w:ind w:firstLine="411" w:firstLineChars="196"/>
        <w:rPr>
          <w:rFonts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14:paraId="06A4E57E">
      <w:pPr>
        <w:ind w:firstLine="411" w:firstLineChars="196"/>
        <w:rPr>
          <w:rFonts w:ascii="宋体" w:hAnsi="宋体"/>
        </w:rPr>
      </w:pPr>
      <w:r>
        <w:rPr>
          <w:rFonts w:hint="eastAsia" w:ascii="宋体" w:hAnsi="宋体"/>
        </w:rPr>
        <w:t>32.2 投标文件初审内容请详见《资格性审查表》和《符合性审查表》部分。投标人若有一条审查不通过则按投标无效处理。</w:t>
      </w:r>
    </w:p>
    <w:p w14:paraId="68C848D4">
      <w:pPr>
        <w:ind w:firstLine="411" w:firstLineChars="196"/>
        <w:rPr>
          <w:rFonts w:ascii="宋体" w:hAnsi="宋体"/>
          <w:bCs/>
        </w:rPr>
      </w:pPr>
      <w:r>
        <w:rPr>
          <w:rFonts w:hint="eastAsia" w:ascii="宋体" w:hAnsi="宋体"/>
          <w:bCs/>
        </w:rPr>
        <w:t>32.3 投标文件初审中关于供应商家数的计算:</w:t>
      </w:r>
    </w:p>
    <w:p w14:paraId="2AC06A2A">
      <w:pPr>
        <w:ind w:firstLine="411" w:firstLineChars="196"/>
        <w:rPr>
          <w:rFonts w:ascii="宋体" w:hAnsi="宋体"/>
          <w:bCs/>
        </w:rPr>
      </w:pPr>
      <w:r>
        <w:rPr>
          <w:rFonts w:hint="eastAsia" w:ascii="宋体" w:hAnsi="宋体"/>
          <w:bCs/>
        </w:rPr>
        <w:t>32.3.1采用最低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D4048A5">
      <w:pPr>
        <w:ind w:firstLine="411" w:firstLineChars="196"/>
        <w:rPr>
          <w:rFonts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14:paraId="5237E371">
      <w:pPr>
        <w:ind w:firstLine="411" w:firstLineChars="196"/>
        <w:rPr>
          <w:rFonts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14:paraId="37A03972">
      <w:pPr>
        <w:ind w:firstLine="411" w:firstLineChars="196"/>
        <w:rPr>
          <w:rFonts w:ascii="宋体" w:hAnsi="宋体"/>
        </w:rPr>
      </w:pPr>
      <w:r>
        <w:rPr>
          <w:rFonts w:hint="eastAsia" w:ascii="宋体" w:hAnsi="宋体"/>
        </w:rPr>
        <w:t>32.4投标人投标文件出现以下情形之一的作无效处理，具体包括：</w:t>
      </w:r>
    </w:p>
    <w:p w14:paraId="5448601F">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14:paraId="699D827C">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14:paraId="0E70DC70">
      <w:pPr>
        <w:ind w:firstLine="411" w:firstLineChars="196"/>
        <w:rPr>
          <w:rFonts w:ascii="宋体" w:hAnsi="宋体"/>
        </w:rPr>
      </w:pPr>
      <w:r>
        <w:rPr>
          <w:rFonts w:hint="eastAsia" w:ascii="宋体" w:hAnsi="宋体"/>
        </w:rPr>
        <w:t>32.4.3不同投标人的投标文件载明的项目管理成员或者联系人员为同一人；</w:t>
      </w:r>
    </w:p>
    <w:p w14:paraId="5D2413E6">
      <w:pPr>
        <w:ind w:firstLine="411" w:firstLineChars="196"/>
        <w:rPr>
          <w:rFonts w:ascii="宋体" w:hAnsi="宋体"/>
        </w:rPr>
      </w:pPr>
      <w:r>
        <w:rPr>
          <w:rFonts w:hint="eastAsia" w:ascii="宋体" w:hAnsi="宋体"/>
        </w:rPr>
        <w:t>32.4.4不同投标人的投标文件异常一致或者投标报价呈规律性差异；</w:t>
      </w:r>
    </w:p>
    <w:p w14:paraId="141D2A40">
      <w:pPr>
        <w:ind w:firstLine="411" w:firstLineChars="196"/>
        <w:rPr>
          <w:rFonts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14:paraId="298F9C0D">
      <w:pPr>
        <w:ind w:firstLine="411" w:firstLineChars="196"/>
        <w:rPr>
          <w:rFonts w:ascii="宋体" w:hAnsi="宋体"/>
        </w:rPr>
      </w:pPr>
      <w:r>
        <w:rPr>
          <w:rFonts w:hint="eastAsia" w:ascii="宋体" w:hAnsi="宋体"/>
        </w:rPr>
        <w:t>32.4.6投标供应商之间相互约定给予未中标的供应商利益补偿；</w:t>
      </w:r>
    </w:p>
    <w:p w14:paraId="7A0D6334">
      <w:pPr>
        <w:ind w:firstLine="411" w:firstLineChars="196"/>
        <w:rPr>
          <w:rFonts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14:paraId="0AE2F1FA">
      <w:pPr>
        <w:ind w:firstLine="411" w:firstLineChars="196"/>
        <w:rPr>
          <w:rFonts w:ascii="宋体" w:hAnsi="宋体"/>
        </w:rPr>
      </w:pPr>
      <w:r>
        <w:rPr>
          <w:rFonts w:hint="eastAsia" w:ascii="宋体" w:hAnsi="宋体"/>
        </w:rPr>
        <w:t>32.4.8不同投标供应商的投标文件内容存在非正常一致；</w:t>
      </w:r>
    </w:p>
    <w:p w14:paraId="7C552040">
      <w:pPr>
        <w:ind w:firstLine="411" w:firstLineChars="196"/>
        <w:rPr>
          <w:rFonts w:ascii="宋体" w:hAnsi="宋体"/>
        </w:rPr>
      </w:pPr>
      <w:r>
        <w:rPr>
          <w:rFonts w:hint="eastAsia" w:ascii="宋体" w:hAnsi="宋体"/>
        </w:rPr>
        <w:t>32.4.9在同一单位工作人员为两家以上（含两家）供应商进行同一项投标活动；</w:t>
      </w:r>
    </w:p>
    <w:p w14:paraId="706FBA2C">
      <w:pPr>
        <w:ind w:firstLine="411" w:firstLineChars="196"/>
        <w:rPr>
          <w:rFonts w:ascii="宋体" w:hAnsi="宋体"/>
        </w:rPr>
      </w:pPr>
      <w:r>
        <w:rPr>
          <w:rFonts w:hint="eastAsia" w:ascii="宋体" w:hAnsi="宋体"/>
        </w:rPr>
        <w:t>32.4.10主管部门依照法律、法规认定的其他情形。</w:t>
      </w:r>
    </w:p>
    <w:p w14:paraId="71C7466A">
      <w:pPr>
        <w:ind w:firstLine="420" w:firstLineChars="200"/>
        <w:rPr>
          <w:rFonts w:ascii="宋体" w:hAnsi="宋体"/>
          <w:color w:val="FF0000"/>
        </w:rPr>
      </w:pPr>
      <w:r>
        <w:rPr>
          <w:rFonts w:hint="eastAsia" w:ascii="宋体" w:hAnsi="宋体"/>
          <w:color w:val="FF0000"/>
        </w:rPr>
        <w:t>32.5政府采购异常低价审查对的程序及要求：</w:t>
      </w:r>
    </w:p>
    <w:p w14:paraId="07EAEDD6">
      <w:pPr>
        <w:ind w:firstLine="420" w:firstLineChars="200"/>
        <w:rPr>
          <w:rFonts w:ascii="宋体" w:hAnsi="宋体"/>
          <w:color w:val="FF0000"/>
        </w:rPr>
      </w:pPr>
      <w:r>
        <w:rPr>
          <w:rFonts w:hint="eastAsia" w:ascii="宋体" w:hAnsi="宋体"/>
          <w:color w:val="FF0000"/>
        </w:rPr>
        <w:t>32.5.1政府采购评审中出现下列情形之一的，评审委员会应当启动异常低价投标（响应）审查程序：</w:t>
      </w:r>
    </w:p>
    <w:p w14:paraId="75420B80">
      <w:pPr>
        <w:ind w:firstLine="420" w:firstLineChars="200"/>
        <w:rPr>
          <w:rFonts w:ascii="宋体" w:hAnsi="宋体"/>
          <w:color w:val="FF0000"/>
        </w:rPr>
      </w:pPr>
      <w:r>
        <w:rPr>
          <w:rFonts w:hint="eastAsia" w:ascii="宋体" w:hAnsi="宋体"/>
          <w:color w:val="FF0000"/>
        </w:rPr>
        <w:t>（1）投标（响应）报价低于全部通过符合性审查供应商投标（响应）报价平均值50%的，即投标（响应）报价＜全部通过符合性审查供应商投标（响应）报价平均值×50%；</w:t>
      </w:r>
    </w:p>
    <w:p w14:paraId="1F780159">
      <w:pPr>
        <w:ind w:firstLine="420" w:firstLineChars="200"/>
        <w:rPr>
          <w:rFonts w:ascii="宋体" w:hAnsi="宋体"/>
          <w:color w:val="FF0000"/>
        </w:rPr>
      </w:pPr>
      <w:r>
        <w:rPr>
          <w:rFonts w:hint="eastAsia" w:ascii="宋体" w:hAnsi="宋体"/>
          <w:color w:val="FF0000"/>
        </w:rPr>
        <w:t>（2）投标（响应）报价低于通过符合性审查的次低报价供应商投标（响应）报价50%的，即投标（响应）报价＜通过符合性审查的次低报价供应商投标（响应）报价×50%；</w:t>
      </w:r>
    </w:p>
    <w:p w14:paraId="3C3757D3">
      <w:pPr>
        <w:ind w:firstLine="420" w:firstLineChars="200"/>
        <w:rPr>
          <w:rFonts w:ascii="宋体" w:hAnsi="宋体"/>
          <w:color w:val="FF0000"/>
        </w:rPr>
      </w:pPr>
      <w:r>
        <w:rPr>
          <w:rFonts w:hint="eastAsia" w:ascii="宋体" w:hAnsi="宋体"/>
          <w:color w:val="FF0000"/>
        </w:rPr>
        <w:t>（3）投标（响应）报价低于采购项目最高限价45%的，即投标（响应）报价＜采购项目最高限价×45%；</w:t>
      </w:r>
    </w:p>
    <w:p w14:paraId="0B7075BC">
      <w:pPr>
        <w:ind w:firstLine="420" w:firstLineChars="200"/>
        <w:rPr>
          <w:rFonts w:ascii="宋体" w:hAnsi="宋体"/>
          <w:color w:val="FF0000"/>
        </w:rPr>
      </w:pPr>
      <w:r>
        <w:rPr>
          <w:rFonts w:hint="eastAsia" w:ascii="宋体" w:hAnsi="宋体"/>
          <w:color w:val="FF0000"/>
        </w:rPr>
        <w:t>（4）评审委员会基于专业判断，认为供应商报价过低，有可能影响产品质量或者不能诚信履约的其他情形。</w:t>
      </w:r>
    </w:p>
    <w:p w14:paraId="2272546B">
      <w:pPr>
        <w:ind w:firstLine="420" w:firstLineChars="200"/>
        <w:rPr>
          <w:rFonts w:ascii="宋体" w:hAnsi="宋体"/>
          <w:color w:val="FF0000"/>
        </w:rPr>
      </w:pPr>
      <w:r>
        <w:rPr>
          <w:rFonts w:hint="eastAsia" w:ascii="宋体" w:hAnsi="宋体"/>
          <w:color w:val="FF0000"/>
        </w:rPr>
        <w:t>采购人可以结合具体项目实际情况，提高上述第（1）项至第（3）项中启动异常低价投标（响应）审查的数值标准，但是最高不得超过65%，具体以采购文件《符合性审查表》为准。</w:t>
      </w:r>
    </w:p>
    <w:p w14:paraId="15546E1F">
      <w:pPr>
        <w:ind w:firstLine="420" w:firstLineChars="200"/>
        <w:rPr>
          <w:rFonts w:ascii="宋体" w:hAnsi="宋体"/>
          <w:color w:val="FF0000"/>
        </w:rPr>
      </w:pPr>
      <w:r>
        <w:rPr>
          <w:rFonts w:hint="eastAsia" w:ascii="宋体" w:hAnsi="宋体"/>
          <w:color w:val="FF0000"/>
        </w:rPr>
        <w:t>相关法律法规对供应商报价有规定的，从其规定。</w:t>
      </w:r>
    </w:p>
    <w:p w14:paraId="7B60F2B8">
      <w:pPr>
        <w:ind w:firstLine="420" w:firstLineChars="200"/>
        <w:rPr>
          <w:rFonts w:ascii="宋体" w:hAnsi="宋体"/>
          <w:color w:val="FF0000"/>
        </w:rPr>
      </w:pPr>
      <w:r>
        <w:rPr>
          <w:rFonts w:hint="eastAsia" w:ascii="宋体" w:hAnsi="宋体"/>
          <w:color w:val="FF0000"/>
        </w:rPr>
        <w:t>32.5.2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563BD2D">
      <w:pPr>
        <w:ind w:firstLine="420" w:firstLineChars="200"/>
        <w:rPr>
          <w:rFonts w:ascii="宋体" w:hAnsi="宋体"/>
          <w:color w:val="FF0000"/>
        </w:rPr>
      </w:pPr>
      <w:r>
        <w:rPr>
          <w:rFonts w:hint="eastAsia" w:ascii="宋体" w:hAnsi="宋体"/>
          <w:color w:val="FF0000"/>
        </w:rPr>
        <w:t>32.5.3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337FC3E">
      <w:pPr>
        <w:ind w:firstLine="420" w:firstLineChars="200"/>
        <w:rPr>
          <w:rFonts w:ascii="宋体" w:hAnsi="宋体"/>
          <w:color w:val="FF0000"/>
        </w:rPr>
      </w:pPr>
      <w:r>
        <w:rPr>
          <w:rFonts w:hint="eastAsia" w:ascii="宋体" w:hAnsi="宋体"/>
          <w:color w:val="FF0000"/>
        </w:rPr>
        <w:t>32.5.4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531A5889">
      <w:pPr>
        <w:ind w:firstLine="420" w:firstLineChars="200"/>
        <w:rPr>
          <w:rFonts w:ascii="宋体" w:hAnsi="宋体"/>
        </w:rPr>
      </w:pPr>
      <w:r>
        <w:rPr>
          <w:rFonts w:hint="eastAsia" w:ascii="宋体" w:hAnsi="宋体"/>
          <w:color w:val="FF0000"/>
        </w:rPr>
        <w:t>32.5.5异常低价投标（响应）审查的启动原因、审查意见和审查结果应当在评审报告中记录，并随供应商提供的相关书面说明及证明材料，以及评审委员会有关互联网浏览、查询历史一并归档。</w:t>
      </w:r>
    </w:p>
    <w:p w14:paraId="31A0EE00">
      <w:pPr>
        <w:ind w:firstLine="420" w:firstLineChars="200"/>
        <w:rPr>
          <w:rFonts w:ascii="宋体" w:hAnsi="宋体"/>
        </w:rPr>
      </w:pPr>
      <w:r>
        <w:rPr>
          <w:rFonts w:hint="eastAsia" w:ascii="宋体" w:hAnsi="宋体"/>
        </w:rPr>
        <w:t>32.6对不属于《资格性审查表》和《符合性审查表》所列的其他情形，除专用条款另有规定和32.4条款所列情形外，不得作为投标无效的理由。</w:t>
      </w:r>
    </w:p>
    <w:p w14:paraId="7519DD24">
      <w:pPr>
        <w:rPr>
          <w:rFonts w:ascii="黑体" w:hAnsi="宋体" w:eastAsia="黑体"/>
          <w:sz w:val="24"/>
        </w:rPr>
      </w:pPr>
      <w:r>
        <w:rPr>
          <w:rFonts w:hint="eastAsia" w:ascii="黑体" w:hAnsi="宋体" w:eastAsia="黑体"/>
          <w:sz w:val="24"/>
        </w:rPr>
        <w:t>33．澄清有关问题</w:t>
      </w:r>
    </w:p>
    <w:p w14:paraId="6493B074">
      <w:pPr>
        <w:ind w:firstLine="411" w:firstLineChars="196"/>
        <w:rPr>
          <w:rFonts w:ascii="宋体" w:hAnsi="宋体"/>
        </w:rPr>
      </w:pPr>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p>
    <w:p w14:paraId="71CD2F8B">
      <w:pPr>
        <w:ind w:firstLine="411" w:firstLineChars="196"/>
        <w:rPr>
          <w:rFonts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14:paraId="68C40F7D">
      <w:pPr>
        <w:ind w:firstLine="411" w:firstLineChars="196"/>
        <w:rPr>
          <w:rFonts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14:paraId="49953634">
      <w:pPr>
        <w:ind w:firstLine="411" w:firstLineChars="196"/>
        <w:rPr>
          <w:rFonts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5F39355C">
      <w:pPr>
        <w:ind w:firstLine="411" w:firstLineChars="196"/>
        <w:rPr>
          <w:rFonts w:ascii="宋体" w:hAnsi="宋体"/>
          <w:szCs w:val="21"/>
        </w:rPr>
      </w:pPr>
      <w:r>
        <w:rPr>
          <w:rFonts w:hint="eastAsia" w:ascii="宋体" w:hAnsi="宋体"/>
          <w:szCs w:val="21"/>
        </w:rPr>
        <w:t>根据本通用条款第34条，凡属于评审委员会在评审中发现的算术错误进行核实的修改不在此列。</w:t>
      </w:r>
    </w:p>
    <w:p w14:paraId="3CF32A2B">
      <w:pPr>
        <w:rPr>
          <w:rFonts w:ascii="黑体" w:hAnsi="宋体" w:eastAsia="黑体"/>
          <w:sz w:val="24"/>
        </w:rPr>
      </w:pPr>
      <w:r>
        <w:rPr>
          <w:rFonts w:hint="eastAsia" w:ascii="黑体" w:hAnsi="宋体" w:eastAsia="黑体"/>
          <w:sz w:val="24"/>
        </w:rPr>
        <w:t>34．错误的修正</w:t>
      </w:r>
    </w:p>
    <w:p w14:paraId="4B44D647">
      <w:pPr>
        <w:ind w:firstLine="411" w:firstLineChars="196"/>
        <w:rPr>
          <w:rFonts w:ascii="宋体" w:hAnsi="宋体"/>
          <w:szCs w:val="21"/>
        </w:rPr>
      </w:pPr>
      <w:r>
        <w:rPr>
          <w:rFonts w:hint="eastAsia" w:ascii="宋体" w:hAnsi="宋体"/>
          <w:szCs w:val="21"/>
        </w:rPr>
        <w:t>投标文件报价出现前后不一致的，除专用条款另有规定外，按照下列规定修正：</w:t>
      </w:r>
    </w:p>
    <w:p w14:paraId="3C404735">
      <w:pPr>
        <w:ind w:firstLine="411" w:firstLineChars="196"/>
        <w:rPr>
          <w:rFonts w:ascii="宋体" w:hAnsi="宋体"/>
          <w:szCs w:val="21"/>
        </w:rPr>
      </w:pPr>
      <w:r>
        <w:rPr>
          <w:rFonts w:hint="eastAsia" w:ascii="宋体" w:hAnsi="宋体"/>
          <w:szCs w:val="21"/>
        </w:rPr>
        <w:t>34.1投标文件中开标一览表投标报价内容与投标文件中投标报价相应内容不一致的，以开标一览表为准；</w:t>
      </w:r>
    </w:p>
    <w:p w14:paraId="550C7FE4">
      <w:pPr>
        <w:ind w:firstLine="411" w:firstLineChars="196"/>
        <w:rPr>
          <w:rFonts w:ascii="宋体" w:hAnsi="宋体"/>
          <w:szCs w:val="21"/>
        </w:rPr>
      </w:pPr>
      <w:r>
        <w:rPr>
          <w:rFonts w:hint="eastAsia" w:ascii="宋体" w:hAnsi="宋体"/>
          <w:szCs w:val="21"/>
        </w:rPr>
        <w:t>34.2大写金额和小写金额不一致的，以大写金额为准；</w:t>
      </w:r>
    </w:p>
    <w:p w14:paraId="33CCB622">
      <w:pPr>
        <w:ind w:firstLine="411" w:firstLineChars="196"/>
        <w:rPr>
          <w:rFonts w:ascii="宋体" w:hAnsi="宋体"/>
          <w:szCs w:val="21"/>
        </w:rPr>
      </w:pPr>
      <w:r>
        <w:rPr>
          <w:rFonts w:hint="eastAsia" w:ascii="宋体" w:hAnsi="宋体"/>
          <w:szCs w:val="21"/>
        </w:rPr>
        <w:t>34.3单价金额小数点或者百分比有明显错位，以开标一览表的总价为准，并修改单价；</w:t>
      </w:r>
    </w:p>
    <w:p w14:paraId="0F46335F">
      <w:pPr>
        <w:ind w:firstLine="411" w:firstLineChars="196"/>
        <w:rPr>
          <w:rFonts w:ascii="宋体" w:hAnsi="宋体"/>
          <w:szCs w:val="21"/>
        </w:rPr>
      </w:pPr>
      <w:r>
        <w:rPr>
          <w:rFonts w:hint="eastAsia" w:ascii="宋体" w:hAnsi="宋体"/>
          <w:szCs w:val="21"/>
        </w:rPr>
        <w:t>34.4总价金额与按单价汇总金额不一致的，以单价金额计算结果为准。</w:t>
      </w:r>
    </w:p>
    <w:p w14:paraId="101436F4">
      <w:pPr>
        <w:ind w:firstLine="411" w:firstLineChars="196"/>
        <w:rPr>
          <w:rFonts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14:paraId="49FE40B8">
      <w:pPr>
        <w:rPr>
          <w:rFonts w:ascii="黑体" w:hAnsi="宋体" w:eastAsia="黑体"/>
          <w:sz w:val="24"/>
        </w:rPr>
      </w:pPr>
      <w:r>
        <w:rPr>
          <w:rFonts w:hint="eastAsia" w:ascii="黑体" w:hAnsi="宋体" w:eastAsia="黑体"/>
          <w:sz w:val="24"/>
        </w:rPr>
        <w:t>35．投标文件的比较与评价</w:t>
      </w:r>
    </w:p>
    <w:p w14:paraId="774334BA">
      <w:pPr>
        <w:ind w:firstLine="411" w:firstLineChars="196"/>
        <w:rPr>
          <w:rFonts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721909D">
      <w:pPr>
        <w:ind w:firstLine="411" w:firstLineChars="196"/>
        <w:rPr>
          <w:rFonts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14:paraId="30A012DB">
      <w:pPr>
        <w:rPr>
          <w:rFonts w:ascii="黑体" w:hAnsi="宋体" w:eastAsia="黑体"/>
          <w:sz w:val="24"/>
        </w:rPr>
      </w:pPr>
      <w:r>
        <w:rPr>
          <w:rFonts w:hint="eastAsia" w:ascii="黑体" w:hAnsi="宋体" w:eastAsia="黑体"/>
          <w:sz w:val="24"/>
        </w:rPr>
        <w:t>36. 实地考察或资料查验</w:t>
      </w:r>
    </w:p>
    <w:p w14:paraId="5EEE173D">
      <w:pPr>
        <w:ind w:firstLine="411" w:firstLineChars="196"/>
        <w:rPr>
          <w:rFonts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14:paraId="5CCF81B2">
      <w:pPr>
        <w:rPr>
          <w:rFonts w:ascii="黑体" w:hAnsi="宋体" w:eastAsia="黑体"/>
          <w:sz w:val="24"/>
        </w:rPr>
      </w:pPr>
      <w:r>
        <w:rPr>
          <w:rFonts w:hint="eastAsia" w:ascii="黑体" w:hAnsi="宋体" w:eastAsia="黑体"/>
          <w:sz w:val="24"/>
        </w:rPr>
        <w:t>37．评审方法</w:t>
      </w:r>
    </w:p>
    <w:p w14:paraId="12982B87">
      <w:pPr>
        <w:ind w:firstLine="413" w:firstLineChars="196"/>
        <w:rPr>
          <w:rFonts w:ascii="宋体" w:hAnsi="宋体"/>
          <w:b/>
          <w:bCs/>
          <w:szCs w:val="21"/>
        </w:rPr>
      </w:pPr>
      <w:r>
        <w:rPr>
          <w:rFonts w:hint="eastAsia" w:ascii="宋体" w:hAnsi="宋体"/>
          <w:b/>
          <w:bCs/>
          <w:szCs w:val="21"/>
        </w:rPr>
        <w:t>37.1.1最低价法</w:t>
      </w:r>
    </w:p>
    <w:p w14:paraId="2353848D">
      <w:pPr>
        <w:ind w:firstLine="411" w:firstLineChars="196"/>
        <w:rPr>
          <w:rFonts w:ascii="ˎ̥" w:hAnsi="ˎ̥"/>
        </w:rPr>
      </w:pPr>
      <w:r>
        <w:rPr>
          <w:rFonts w:ascii="ˎ̥" w:hAnsi="ˎ̥"/>
        </w:rPr>
        <w:t>最低价法，</w:t>
      </w:r>
      <w:r>
        <w:rPr>
          <w:rFonts w:hint="eastAsia" w:ascii="ˎ̥" w:hAnsi="ˎ̥"/>
        </w:rPr>
        <w:t>是指投标文件满足招标文件全部实质性要求，且投标报价最低的投标人为中标候选人的评标方法。</w:t>
      </w:r>
    </w:p>
    <w:p w14:paraId="2175214B">
      <w:pPr>
        <w:ind w:firstLine="411" w:firstLineChars="196"/>
        <w:rPr>
          <w:rFonts w:ascii="ˎ̥" w:hAnsi="ˎ̥"/>
        </w:rPr>
      </w:pPr>
      <w:r>
        <w:rPr>
          <w:rFonts w:hint="eastAsia" w:ascii="ˎ̥" w:hAnsi="ˎ̥"/>
        </w:rPr>
        <w:t>采用最低价法的，评标结果按投标报价由低到高顺序排列。投标报价相同的并列。投标文件满足招标文件全部实质性要求且投标报价最低的投标人为排名第一的中标候选人。中标候选人并列的，由采购人或者采购人委托评标委员会按照招标文件规定的方式确定中标人；招标文件未规定的，采取随机抽取的方式确定。</w:t>
      </w:r>
    </w:p>
    <w:p w14:paraId="12FB0ED0">
      <w:pPr>
        <w:ind w:firstLine="413" w:firstLineChars="196"/>
        <w:rPr>
          <w:rFonts w:ascii="宋体" w:hAnsi="宋体"/>
          <w:b/>
          <w:bCs/>
          <w:szCs w:val="21"/>
        </w:rPr>
      </w:pPr>
      <w:r>
        <w:rPr>
          <w:rFonts w:hint="eastAsia" w:ascii="宋体" w:hAnsi="宋体"/>
          <w:b/>
          <w:bCs/>
          <w:szCs w:val="21"/>
        </w:rPr>
        <w:t>37.1.2综合评分法</w:t>
      </w:r>
    </w:p>
    <w:p w14:paraId="6107FB69">
      <w:pPr>
        <w:ind w:firstLine="411" w:firstLineChars="196"/>
        <w:rPr>
          <w:rFonts w:ascii="ˎ̥" w:hAnsi="ˎ̥"/>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p>
    <w:p w14:paraId="0185746B">
      <w:pPr>
        <w:ind w:firstLine="411" w:firstLineChars="196"/>
        <w:rPr>
          <w:rFonts w:ascii="ˎ̥" w:hAnsi="ˎ̥"/>
        </w:rPr>
      </w:pPr>
      <w:r>
        <w:rPr>
          <w:rFonts w:hint="eastAsia"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中标候选人并列的，由采购人或者采购人委托评标委员会按照招标文件规定的方式确定中标人；招标文件未规定的，采取随机抽取的方式确定。</w:t>
      </w:r>
    </w:p>
    <w:p w14:paraId="5041AC72">
      <w:pPr>
        <w:ind w:firstLine="413" w:firstLineChars="196"/>
        <w:rPr>
          <w:rFonts w:ascii="宋体" w:hAnsi="宋体"/>
          <w:b/>
          <w:bCs/>
          <w:szCs w:val="21"/>
        </w:rPr>
      </w:pPr>
      <w:r>
        <w:rPr>
          <w:rFonts w:hint="eastAsia" w:ascii="宋体" w:hAnsi="宋体"/>
          <w:b/>
          <w:bCs/>
          <w:szCs w:val="21"/>
        </w:rPr>
        <w:t>37.2本项目采用的评审方法见本项目招标文件第一册“专用条款”的相关内容。</w:t>
      </w:r>
    </w:p>
    <w:p w14:paraId="6A6831BD">
      <w:pPr>
        <w:ind w:firstLine="413" w:firstLineChars="196"/>
        <w:rPr>
          <w:rFonts w:ascii="宋体" w:hAnsi="宋体"/>
          <w:b/>
          <w:bCs/>
          <w:szCs w:val="21"/>
        </w:rPr>
      </w:pPr>
      <w:r>
        <w:rPr>
          <w:rFonts w:hint="eastAsia" w:ascii="宋体" w:hAnsi="宋体"/>
          <w:b/>
          <w:bCs/>
          <w:szCs w:val="21"/>
        </w:rPr>
        <w:t>37.3重新评审的情形</w:t>
      </w:r>
    </w:p>
    <w:p w14:paraId="28B3BC44">
      <w:pPr>
        <w:ind w:firstLine="411" w:firstLineChars="196"/>
        <w:rPr>
          <w:rFonts w:ascii="宋体" w:hAnsi="宋体"/>
          <w:b/>
          <w:bCs/>
          <w:szCs w:val="21"/>
        </w:rPr>
      </w:pPr>
      <w:r>
        <w:rPr>
          <w:rFonts w:hint="eastAsia" w:ascii="宋体" w:hAnsi="宋体" w:cs="宋体"/>
          <w:kern w:val="0"/>
          <w:szCs w:val="21"/>
        </w:rPr>
        <w:t>评审结果汇总完成后，除下列情形外，任何人不得修改评审结果：</w:t>
      </w:r>
    </w:p>
    <w:p w14:paraId="301685B5">
      <w:pPr>
        <w:ind w:firstLine="411" w:firstLineChars="196"/>
        <w:rPr>
          <w:rFonts w:ascii="宋体" w:hAnsi="宋体" w:cs="宋体"/>
          <w:kern w:val="0"/>
          <w:szCs w:val="21"/>
        </w:rPr>
      </w:pPr>
      <w:r>
        <w:rPr>
          <w:rFonts w:hint="eastAsia" w:ascii="宋体" w:hAnsi="宋体" w:cs="宋体"/>
          <w:kern w:val="0"/>
          <w:szCs w:val="21"/>
        </w:rPr>
        <w:t>37.3.1分值汇总计算错误的；</w:t>
      </w:r>
    </w:p>
    <w:p w14:paraId="61B6DCDB">
      <w:pPr>
        <w:ind w:firstLine="411" w:firstLineChars="196"/>
        <w:rPr>
          <w:rFonts w:ascii="宋体" w:hAnsi="宋体" w:cs="宋体"/>
          <w:kern w:val="0"/>
          <w:szCs w:val="21"/>
        </w:rPr>
      </w:pPr>
      <w:r>
        <w:rPr>
          <w:rFonts w:hint="eastAsia" w:ascii="宋体" w:hAnsi="宋体" w:cs="宋体"/>
          <w:kern w:val="0"/>
          <w:szCs w:val="21"/>
        </w:rPr>
        <w:t>37.3.2分项评分超出评分标准范围的；</w:t>
      </w:r>
    </w:p>
    <w:p w14:paraId="289EDBA3">
      <w:pPr>
        <w:ind w:firstLine="411" w:firstLineChars="196"/>
        <w:rPr>
          <w:rFonts w:ascii="宋体" w:hAnsi="宋体" w:cs="宋体"/>
          <w:kern w:val="0"/>
          <w:szCs w:val="21"/>
        </w:rPr>
      </w:pPr>
      <w:r>
        <w:rPr>
          <w:rFonts w:hint="eastAsia" w:ascii="宋体" w:hAnsi="宋体" w:cs="宋体"/>
          <w:kern w:val="0"/>
          <w:szCs w:val="21"/>
        </w:rPr>
        <w:t>37.3.3评审委员会成员对客观评审因素评分不一致的；</w:t>
      </w:r>
    </w:p>
    <w:p w14:paraId="40C115A7">
      <w:pPr>
        <w:ind w:firstLine="411" w:firstLineChars="196"/>
        <w:rPr>
          <w:rFonts w:ascii="宋体" w:hAnsi="宋体" w:cs="宋体"/>
          <w:kern w:val="0"/>
          <w:szCs w:val="21"/>
        </w:rPr>
      </w:pPr>
      <w:r>
        <w:rPr>
          <w:rFonts w:hint="eastAsia" w:ascii="宋体" w:hAnsi="宋体" w:cs="宋体"/>
          <w:kern w:val="0"/>
          <w:szCs w:val="21"/>
        </w:rPr>
        <w:t>37.3.4经评审委员会认定评分畸高、畸低的。</w:t>
      </w:r>
    </w:p>
    <w:p w14:paraId="54FF0020">
      <w:pPr>
        <w:ind w:firstLine="411" w:firstLineChars="196"/>
        <w:rPr>
          <w:rFonts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287F61F">
      <w:pPr>
        <w:ind w:firstLine="411" w:firstLineChars="196"/>
        <w:rPr>
          <w:rFonts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14:paraId="08474955">
      <w:pPr>
        <w:ind w:firstLine="413" w:firstLineChars="196"/>
        <w:rPr>
          <w:rFonts w:ascii="宋体" w:hAnsi="宋体"/>
          <w:b/>
          <w:bCs/>
          <w:szCs w:val="21"/>
        </w:rPr>
      </w:pPr>
      <w:r>
        <w:rPr>
          <w:rFonts w:hint="eastAsia" w:ascii="宋体" w:hAnsi="宋体"/>
          <w:b/>
          <w:bCs/>
          <w:szCs w:val="21"/>
        </w:rPr>
        <w:t>37.4重新组建评审委员会的情形</w:t>
      </w:r>
    </w:p>
    <w:p w14:paraId="57E55C44">
      <w:pPr>
        <w:ind w:firstLine="411" w:firstLineChars="196"/>
        <w:rPr>
          <w:rFonts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14:paraId="42C39666">
      <w:pPr>
        <w:ind w:firstLine="411" w:firstLineChars="196"/>
        <w:rPr>
          <w:rFonts w:ascii="宋体" w:hAnsi="宋体" w:cs="宋体"/>
          <w:kern w:val="0"/>
          <w:szCs w:val="21"/>
        </w:rPr>
      </w:pPr>
      <w:r>
        <w:rPr>
          <w:rFonts w:hint="eastAsia" w:ascii="宋体" w:hAnsi="宋体" w:cs="宋体"/>
          <w:kern w:val="0"/>
          <w:szCs w:val="21"/>
        </w:rPr>
        <w:t>37.4.1评审委员会组成不符合《政府采购货物和服务招标投标管理办法》规定的；</w:t>
      </w:r>
    </w:p>
    <w:p w14:paraId="052D48EB">
      <w:pPr>
        <w:ind w:firstLine="411" w:firstLineChars="196"/>
        <w:rPr>
          <w:rFonts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14:paraId="232C994E">
      <w:pPr>
        <w:ind w:firstLine="411" w:firstLineChars="196"/>
        <w:rPr>
          <w:rFonts w:ascii="宋体" w:hAnsi="宋体" w:cs="宋体"/>
          <w:kern w:val="0"/>
          <w:szCs w:val="21"/>
        </w:rPr>
      </w:pPr>
      <w:r>
        <w:rPr>
          <w:rFonts w:hint="eastAsia" w:ascii="宋体" w:hAnsi="宋体" w:cs="宋体"/>
          <w:kern w:val="0"/>
          <w:szCs w:val="21"/>
        </w:rPr>
        <w:t>37.4.3评审委员会及其成员独立评标受到非法干预的；</w:t>
      </w:r>
    </w:p>
    <w:p w14:paraId="26A85406">
      <w:pPr>
        <w:ind w:firstLine="411" w:firstLineChars="196"/>
        <w:rPr>
          <w:rFonts w:ascii="宋体" w:hAnsi="宋体" w:cs="宋体"/>
          <w:kern w:val="0"/>
          <w:szCs w:val="21"/>
        </w:rPr>
      </w:pPr>
      <w:r>
        <w:rPr>
          <w:rFonts w:hint="eastAsia" w:ascii="宋体" w:hAnsi="宋体" w:cs="宋体"/>
          <w:kern w:val="0"/>
          <w:szCs w:val="21"/>
        </w:rPr>
        <w:t>37.4.4有政府采购法实施条例第七十五条规定的违法行为的。</w:t>
      </w:r>
    </w:p>
    <w:p w14:paraId="2DC8963F">
      <w:pPr>
        <w:ind w:firstLine="411" w:firstLineChars="196"/>
        <w:rPr>
          <w:rFonts w:ascii="宋体" w:hAnsi="宋体" w:cs="宋体"/>
          <w:kern w:val="0"/>
          <w:szCs w:val="21"/>
        </w:rPr>
      </w:pPr>
      <w:r>
        <w:rPr>
          <w:rFonts w:hint="eastAsia" w:ascii="宋体" w:hAnsi="宋体" w:cs="宋体"/>
          <w:kern w:val="0"/>
          <w:szCs w:val="21"/>
        </w:rPr>
        <w:t>有违法违规行为的原评审委员会成员不得参加重新组建的评审委员会。</w:t>
      </w:r>
    </w:p>
    <w:p w14:paraId="652C9BBE">
      <w:pPr>
        <w:ind w:firstLine="411" w:firstLineChars="196"/>
        <w:rPr>
          <w:rFonts w:ascii="宋体" w:hAnsi="宋体"/>
          <w:szCs w:val="21"/>
        </w:rPr>
      </w:pPr>
    </w:p>
    <w:p w14:paraId="072DF5B0">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定标及公示</w:t>
      </w:r>
    </w:p>
    <w:p w14:paraId="2E672A51">
      <w:pPr>
        <w:rPr>
          <w:rFonts w:ascii="黑体" w:hAnsi="宋体" w:eastAsia="黑体"/>
          <w:sz w:val="24"/>
        </w:rPr>
      </w:pPr>
      <w:r>
        <w:rPr>
          <w:rFonts w:hint="eastAsia" w:ascii="黑体" w:hAnsi="宋体" w:eastAsia="黑体"/>
          <w:sz w:val="24"/>
        </w:rPr>
        <w:t>38．定标方法</w:t>
      </w:r>
    </w:p>
    <w:p w14:paraId="5442A811">
      <w:pPr>
        <w:ind w:firstLine="411" w:firstLineChars="196"/>
        <w:rPr>
          <w:rFonts w:ascii="宋体" w:hAnsi="宋体"/>
          <w:szCs w:val="21"/>
        </w:rPr>
      </w:pPr>
      <w:bookmarkStart w:id="49" w:name="_Hlk73782795"/>
      <w:r>
        <w:rPr>
          <w:rFonts w:hint="eastAsia" w:ascii="宋体" w:hAnsi="宋体"/>
          <w:szCs w:val="21"/>
        </w:rPr>
        <w:t>38.1非评定分离项目定标方法</w:t>
      </w:r>
    </w:p>
    <w:p w14:paraId="2618E53F">
      <w:pPr>
        <w:ind w:firstLine="411" w:firstLineChars="196"/>
        <w:rPr>
          <w:rFonts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14:paraId="0A585717">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1.2</w:t>
      </w:r>
      <w:r>
        <w:rPr>
          <w:rFonts w:ascii="ˎ̥" w:hAnsi="ˎ̥"/>
        </w:rPr>
        <w:t>采用最低价法的，评</w:t>
      </w:r>
      <w:r>
        <w:rPr>
          <w:rFonts w:hint="eastAsia" w:ascii="ˎ̥" w:hAnsi="ˎ̥"/>
        </w:rPr>
        <w:t>审</w:t>
      </w:r>
      <w:r>
        <w:rPr>
          <w:rFonts w:ascii="ˎ̥" w:hAnsi="ˎ̥"/>
        </w:rPr>
        <w:t>结果按投标报价由低到高顺序排列。投标报价相同的并列。投标文件满足招标文件全部实质性要求且投标报价最低的</w:t>
      </w:r>
      <w:r>
        <w:rPr>
          <w:rFonts w:hint="eastAsia" w:ascii="ˎ̥" w:hAnsi="ˎ̥"/>
        </w:rPr>
        <w:t>投标人为</w:t>
      </w:r>
      <w:bookmarkStart w:id="50" w:name="_Hlk73821177"/>
      <w:r>
        <w:rPr>
          <w:rFonts w:hint="eastAsia" w:ascii="ˎ̥" w:hAnsi="ˎ̥"/>
        </w:rPr>
        <w:t>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bookmarkEnd w:id="50"/>
      <w:r>
        <w:rPr>
          <w:rFonts w:ascii="ˎ̥" w:hAnsi="ˎ̥"/>
        </w:rPr>
        <w:t>）。</w:t>
      </w:r>
    </w:p>
    <w:p w14:paraId="6AA95EBD">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ˎ̥" w:hAnsi="ˎ̥"/>
        </w:rPr>
        <w:t>为中标供应商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r>
        <w:rPr>
          <w:rFonts w:ascii="ˎ̥" w:hAnsi="ˎ̥"/>
        </w:rPr>
        <w:t>）。</w:t>
      </w:r>
      <w:r>
        <w:rPr>
          <w:rFonts w:hint="eastAsia" w:ascii="ˎ̥" w:hAnsi="ˎ̥"/>
        </w:rPr>
        <w:t>出现</w:t>
      </w:r>
      <w:r>
        <w:rPr>
          <w:rFonts w:ascii="ˎ̥" w:hAnsi="ˎ̥"/>
        </w:rPr>
        <w:t>得分且投标报价相同的并列</w:t>
      </w:r>
      <w:r>
        <w:rPr>
          <w:rFonts w:hint="eastAsia" w:ascii="ˎ̥" w:hAnsi="ˎ̥"/>
        </w:rPr>
        <w:t>情况时，采取随机抽取的方式确定，具体操作办法及流程由评审委员会确定。</w:t>
      </w:r>
    </w:p>
    <w:p w14:paraId="4C171CEC">
      <w:pPr>
        <w:ind w:firstLine="411" w:firstLineChars="196"/>
        <w:rPr>
          <w:rFonts w:ascii="宋体" w:hAnsi="宋体"/>
          <w:szCs w:val="21"/>
        </w:rPr>
      </w:pPr>
      <w:r>
        <w:rPr>
          <w:rFonts w:hint="eastAsia" w:ascii="宋体" w:hAnsi="宋体"/>
          <w:szCs w:val="21"/>
        </w:rPr>
        <w:t>38.2评定分离项目定标方法</w:t>
      </w:r>
    </w:p>
    <w:p w14:paraId="40458737">
      <w:pPr>
        <w:ind w:firstLine="411" w:firstLineChars="196"/>
        <w:rPr>
          <w:rFonts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4201E6B0">
      <w:pPr>
        <w:ind w:firstLine="411" w:firstLineChars="196"/>
      </w:pPr>
      <w:r>
        <w:rPr>
          <w:rFonts w:ascii="宋体" w:hAnsi="宋体"/>
          <w:szCs w:val="21"/>
        </w:rPr>
        <w:t xml:space="preserve">38.2.2 </w:t>
      </w:r>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14:paraId="1816F443">
      <w:pPr>
        <w:ind w:firstLine="411" w:firstLineChars="196"/>
        <w:rPr>
          <w:rFonts w:ascii="宋体" w:hAnsi="宋体"/>
          <w:szCs w:val="21"/>
        </w:rPr>
      </w:pPr>
      <w:r>
        <w:rPr>
          <w:rFonts w:hint="eastAsia" w:ascii="宋体" w:hAnsi="宋体"/>
          <w:szCs w:val="21"/>
        </w:rPr>
        <w:t>38.2.3</w:t>
      </w:r>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p>
    <w:p w14:paraId="73A01B96">
      <w:pPr>
        <w:ind w:firstLine="411" w:firstLineChars="196"/>
        <w:rPr>
          <w:rFonts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政府集中采购机构。具体定标程序及相关要求以按照《深圳市财政局关于&lt;深圳市政府采购评标定标分离管理办法&gt;续期的通知》（深财规〔2023〕1号）执行。</w:t>
      </w:r>
    </w:p>
    <w:p w14:paraId="325665F8">
      <w:pPr>
        <w:ind w:firstLine="411" w:firstLineChars="196"/>
        <w:rPr>
          <w:rFonts w:ascii="宋体" w:hAnsi="宋体"/>
          <w:szCs w:val="21"/>
        </w:rPr>
      </w:pPr>
      <w:r>
        <w:rPr>
          <w:rFonts w:hint="eastAsia" w:ascii="宋体" w:hAnsi="宋体"/>
          <w:szCs w:val="21"/>
        </w:rPr>
        <w:t>说明：采购人及投标供应商应按照上述方法提前做好相关准备。</w:t>
      </w:r>
    </w:p>
    <w:p w14:paraId="669D6D04">
      <w:pPr>
        <w:ind w:firstLine="411" w:firstLineChars="196"/>
        <w:rPr>
          <w:rFonts w:ascii="宋体" w:hAnsi="宋体"/>
          <w:szCs w:val="21"/>
        </w:rPr>
      </w:pPr>
      <w:r>
        <w:rPr>
          <w:rFonts w:hint="eastAsia" w:ascii="宋体" w:hAnsi="宋体"/>
          <w:szCs w:val="21"/>
        </w:rPr>
        <w:t>38.3专用条款另有规定的，按专用条款相关要求定标。</w:t>
      </w:r>
      <w:bookmarkEnd w:id="49"/>
    </w:p>
    <w:p w14:paraId="3F9EACE9">
      <w:pPr>
        <w:rPr>
          <w:rFonts w:ascii="黑体" w:hAnsi="宋体" w:eastAsia="黑体"/>
          <w:sz w:val="24"/>
        </w:rPr>
      </w:pPr>
      <w:r>
        <w:rPr>
          <w:rFonts w:hint="eastAsia" w:ascii="黑体" w:hAnsi="宋体" w:eastAsia="黑体"/>
          <w:sz w:val="24"/>
        </w:rPr>
        <w:t>39．编写评审报告</w:t>
      </w:r>
    </w:p>
    <w:p w14:paraId="55952FA9">
      <w:pPr>
        <w:ind w:firstLine="411" w:firstLineChars="196"/>
        <w:rPr>
          <w:rFonts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004AFF5C">
      <w:pPr>
        <w:rPr>
          <w:rFonts w:ascii="黑体" w:hAnsi="宋体" w:eastAsia="黑体"/>
          <w:sz w:val="24"/>
        </w:rPr>
      </w:pPr>
      <w:r>
        <w:rPr>
          <w:rFonts w:hint="eastAsia" w:ascii="黑体" w:hAnsi="宋体" w:eastAsia="黑体"/>
          <w:sz w:val="24"/>
        </w:rPr>
        <w:t>40．中标公告</w:t>
      </w:r>
    </w:p>
    <w:p w14:paraId="62479AB6">
      <w:pPr>
        <w:ind w:firstLine="411" w:firstLineChars="196"/>
        <w:rPr>
          <w:rFonts w:ascii="宋体" w:hAnsi="宋体"/>
          <w:szCs w:val="21"/>
        </w:rPr>
      </w:pPr>
      <w:r>
        <w:rPr>
          <w:rFonts w:hint="eastAsia" w:ascii="宋体" w:hAnsi="宋体"/>
          <w:szCs w:val="21"/>
        </w:rPr>
        <w:t>40.1为体现“公开、公平、公正”的原则，评审结束后经采购人确认（确定）评审结果，政府集中采购机构将在</w:t>
      </w:r>
      <w:r>
        <w:rPr>
          <w:rFonts w:hint="eastAsia" w:ascii="宋体" w:hAnsi="宋体"/>
          <w:b/>
          <w:bCs/>
          <w:szCs w:val="21"/>
        </w:rPr>
        <w:t>深圳公共资源交易网（https://szggzy.com/）</w:t>
      </w:r>
      <w:r>
        <w:rPr>
          <w:rFonts w:hint="eastAsia" w:ascii="宋体" w:hAnsi="宋体"/>
          <w:szCs w:val="21"/>
        </w:rPr>
        <w:t>上发布中标结果公告。供应商如对评审结果有异议，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提出。监督电话：0755-83948143。</w:t>
      </w:r>
      <w:r>
        <w:rPr>
          <w:rFonts w:hint="eastAsia" w:ascii="宋体" w:hAnsi="宋体"/>
          <w:szCs w:val="21"/>
        </w:rPr>
        <w:t>若在法定质疑期内未提出质疑，则视为认同该评审结果。</w:t>
      </w:r>
    </w:p>
    <w:p w14:paraId="57F83C8B">
      <w:pPr>
        <w:ind w:firstLine="411" w:firstLineChars="196"/>
        <w:rPr>
          <w:rFonts w:ascii="宋体" w:hAnsi="宋体"/>
          <w:szCs w:val="21"/>
        </w:rPr>
      </w:pPr>
      <w:r>
        <w:rPr>
          <w:rFonts w:hint="eastAsia" w:ascii="宋体" w:hAnsi="宋体"/>
          <w:szCs w:val="21"/>
        </w:rPr>
        <w:t>40.2质疑、投诉供应商应保证质疑、投诉内容的真实性和可靠性，并承担相应的法律责任。</w:t>
      </w:r>
    </w:p>
    <w:p w14:paraId="7C74A25E">
      <w:pPr>
        <w:rPr>
          <w:rFonts w:ascii="黑体" w:hAnsi="宋体" w:eastAsia="黑体"/>
          <w:sz w:val="24"/>
        </w:rPr>
      </w:pPr>
      <w:r>
        <w:rPr>
          <w:rFonts w:hint="eastAsia" w:ascii="黑体" w:hAnsi="宋体" w:eastAsia="黑体"/>
          <w:sz w:val="24"/>
        </w:rPr>
        <w:t>41．中标通知书</w:t>
      </w:r>
    </w:p>
    <w:p w14:paraId="3EA9201F">
      <w:pPr>
        <w:ind w:firstLine="411" w:firstLineChars="196"/>
        <w:rPr>
          <w:rFonts w:ascii="宋体" w:hAnsi="宋体"/>
          <w:szCs w:val="21"/>
        </w:rPr>
      </w:pPr>
      <w:r>
        <w:rPr>
          <w:rFonts w:hint="eastAsia" w:ascii="宋体" w:hAnsi="宋体"/>
          <w:szCs w:val="21"/>
        </w:rPr>
        <w:t>41</w:t>
      </w:r>
      <w:r>
        <w:rPr>
          <w:rFonts w:ascii="宋体" w:hAnsi="宋体"/>
          <w:szCs w:val="21"/>
        </w:rPr>
        <w:t>.</w:t>
      </w:r>
      <w:r>
        <w:rPr>
          <w:rFonts w:hint="eastAsia" w:ascii="宋体" w:hAnsi="宋体"/>
          <w:szCs w:val="21"/>
        </w:rPr>
        <w:t>1中标公告公布以后无异常的情况下,中标供应商和采购人可自行在</w:t>
      </w:r>
      <w:r>
        <w:rPr>
          <w:rFonts w:hint="eastAsia" w:ascii="宋体" w:hAnsi="宋体"/>
          <w:b/>
          <w:bCs/>
          <w:szCs w:val="21"/>
        </w:rPr>
        <w:t>“深圳政府采购智慧平台（http://zfcg.szggzy.com/）”</w:t>
      </w:r>
      <w:r>
        <w:rPr>
          <w:rFonts w:hint="eastAsia" w:ascii="宋体" w:hAnsi="宋体"/>
          <w:szCs w:val="21"/>
        </w:rPr>
        <w:t>上打印</w:t>
      </w:r>
      <w:r>
        <w:rPr>
          <w:rFonts w:hint="eastAsia" w:ascii="宋体" w:hAnsi="宋体"/>
          <w:b/>
          <w:szCs w:val="21"/>
        </w:rPr>
        <w:t>《中标通知书》</w:t>
      </w:r>
      <w:r>
        <w:rPr>
          <w:rFonts w:hint="eastAsia" w:ascii="宋体" w:hAnsi="宋体"/>
          <w:szCs w:val="21"/>
        </w:rPr>
        <w:t>。</w:t>
      </w:r>
    </w:p>
    <w:p w14:paraId="31B75E7F">
      <w:pPr>
        <w:ind w:firstLine="411" w:firstLineChars="196"/>
        <w:rPr>
          <w:rFonts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14:paraId="18AF29AD">
      <w:pPr>
        <w:ind w:firstLine="411" w:firstLineChars="196"/>
        <w:rPr>
          <w:rFonts w:ascii="宋体" w:hAnsi="宋体"/>
          <w:szCs w:val="21"/>
        </w:rPr>
      </w:pPr>
      <w:r>
        <w:rPr>
          <w:rFonts w:hint="eastAsia" w:ascii="宋体" w:hAnsi="宋体"/>
          <w:szCs w:val="21"/>
        </w:rPr>
        <w:t>41.3因质疑投诉或其它原因导致项目结果变更或采购终止的，政府集中采购机构有权撤销中标通知书。</w:t>
      </w:r>
    </w:p>
    <w:p w14:paraId="2C6544A3">
      <w:pPr>
        <w:ind w:firstLine="411" w:firstLineChars="196"/>
        <w:rPr>
          <w:rFonts w:ascii="宋体" w:hAnsi="宋体"/>
          <w:szCs w:val="21"/>
        </w:rPr>
      </w:pPr>
    </w:p>
    <w:p w14:paraId="0A1F7D4E">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公开招标失败的后续处理</w:t>
      </w:r>
    </w:p>
    <w:p w14:paraId="0DEF2F04">
      <w:pPr>
        <w:rPr>
          <w:rFonts w:ascii="黑体" w:hAnsi="宋体" w:eastAsia="黑体"/>
          <w:sz w:val="24"/>
        </w:rPr>
      </w:pPr>
      <w:r>
        <w:rPr>
          <w:rFonts w:hint="eastAsia" w:ascii="黑体" w:hAnsi="宋体" w:eastAsia="黑体"/>
          <w:sz w:val="24"/>
        </w:rPr>
        <w:t>42．公开招标失败的处理</w:t>
      </w:r>
    </w:p>
    <w:p w14:paraId="6678C359">
      <w:pPr>
        <w:ind w:firstLine="411" w:firstLineChars="196"/>
        <w:rPr>
          <w:rFonts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14:paraId="2B2E0638">
      <w:pPr>
        <w:ind w:firstLine="411" w:firstLineChars="196"/>
        <w:rPr>
          <w:rFonts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14:paraId="1AC7A1EB">
      <w:pPr>
        <w:ind w:firstLine="411" w:firstLineChars="196"/>
        <w:rPr>
          <w:rFonts w:ascii="宋体" w:hAnsi="宋体"/>
          <w:szCs w:val="21"/>
        </w:rPr>
      </w:pPr>
      <w:r>
        <w:rPr>
          <w:rFonts w:hint="eastAsia" w:ascii="宋体" w:hAnsi="宋体"/>
          <w:szCs w:val="21"/>
        </w:rPr>
        <w:t>42.3重新组织采购有以下两种组织形式：</w:t>
      </w:r>
    </w:p>
    <w:p w14:paraId="1F9EBFA1">
      <w:pPr>
        <w:ind w:firstLine="411" w:firstLineChars="196"/>
        <w:rPr>
          <w:rFonts w:ascii="宋体" w:hAnsi="宋体"/>
        </w:rPr>
      </w:pPr>
      <w:r>
        <w:rPr>
          <w:rFonts w:hint="eastAsia" w:ascii="宋体" w:hAnsi="宋体"/>
        </w:rPr>
        <w:t>（1）由政府集中采购机构重新组织公开招标；</w:t>
      </w:r>
    </w:p>
    <w:p w14:paraId="5748AE53">
      <w:pPr>
        <w:ind w:firstLine="411" w:firstLineChars="196"/>
        <w:rPr>
          <w:rFonts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14:paraId="784409C8">
      <w:pPr>
        <w:ind w:firstLine="411" w:firstLineChars="196"/>
        <w:rPr>
          <w:rFonts w:ascii="宋体" w:hAnsi="宋体"/>
        </w:rPr>
      </w:pPr>
      <w:r>
        <w:rPr>
          <w:rFonts w:hint="eastAsia" w:ascii="宋体" w:hAnsi="宋体"/>
        </w:rPr>
        <w:t>42.4公开招标失败的采购项目重新组织公开招标，由政府集中采购机构重新按公开招标流程组织采购活动。</w:t>
      </w:r>
    </w:p>
    <w:p w14:paraId="5184B3A8">
      <w:pPr>
        <w:rPr>
          <w:rFonts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14:paraId="0A34DF47">
      <w:pPr>
        <w:rPr>
          <w:rFonts w:ascii="黑体" w:hAnsi="宋体" w:eastAsia="黑体"/>
          <w:sz w:val="24"/>
        </w:rPr>
      </w:pPr>
    </w:p>
    <w:p w14:paraId="22575BC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合同的授予与备案</w:t>
      </w:r>
    </w:p>
    <w:p w14:paraId="10FD3BF1">
      <w:pPr>
        <w:rPr>
          <w:rFonts w:ascii="黑体" w:hAnsi="宋体" w:eastAsia="黑体"/>
          <w:sz w:val="24"/>
        </w:rPr>
      </w:pPr>
      <w:r>
        <w:rPr>
          <w:rFonts w:hint="eastAsia" w:ascii="黑体" w:hAnsi="宋体" w:eastAsia="黑体"/>
          <w:sz w:val="24"/>
        </w:rPr>
        <w:t>43．合同授予标准</w:t>
      </w:r>
    </w:p>
    <w:p w14:paraId="001DF58A">
      <w:pPr>
        <w:ind w:firstLine="411" w:firstLineChars="196"/>
        <w:rPr>
          <w:rFonts w:ascii="宋体" w:hAnsi="宋体"/>
          <w:szCs w:val="21"/>
        </w:rPr>
      </w:pPr>
      <w:r>
        <w:rPr>
          <w:rFonts w:hint="eastAsia" w:ascii="宋体" w:hAnsi="宋体"/>
          <w:szCs w:val="21"/>
        </w:rPr>
        <w:t>本项目的合同将授予经本招标文件规定评审确定的中标供应商。</w:t>
      </w:r>
    </w:p>
    <w:p w14:paraId="63814AB4">
      <w:pPr>
        <w:rPr>
          <w:rFonts w:ascii="黑体" w:hAnsi="宋体" w:eastAsia="黑体"/>
          <w:sz w:val="24"/>
        </w:rPr>
      </w:pPr>
      <w:r>
        <w:rPr>
          <w:rFonts w:hint="eastAsia" w:ascii="黑体" w:hAnsi="宋体" w:eastAsia="黑体"/>
          <w:sz w:val="24"/>
        </w:rPr>
        <w:t>44．接受和拒绝任何或所有投标的权力</w:t>
      </w:r>
    </w:p>
    <w:p w14:paraId="79892D38">
      <w:pPr>
        <w:ind w:firstLine="411" w:firstLineChars="196"/>
        <w:rPr>
          <w:rFonts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1C41AD14">
      <w:pPr>
        <w:rPr>
          <w:rFonts w:ascii="黑体" w:hAnsi="宋体" w:eastAsia="黑体"/>
          <w:sz w:val="24"/>
        </w:rPr>
      </w:pPr>
      <w:r>
        <w:rPr>
          <w:rFonts w:hint="eastAsia" w:ascii="黑体" w:hAnsi="宋体" w:eastAsia="黑体"/>
          <w:sz w:val="24"/>
        </w:rPr>
        <w:t>45．合同的签订</w:t>
      </w:r>
    </w:p>
    <w:p w14:paraId="67544594">
      <w:pPr>
        <w:ind w:firstLine="411" w:firstLineChars="196"/>
        <w:rPr>
          <w:rFonts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14:paraId="29328473">
      <w:pPr>
        <w:ind w:firstLine="411" w:firstLineChars="196"/>
        <w:rPr>
          <w:rFonts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14:paraId="20B7AF19">
      <w:pPr>
        <w:ind w:firstLine="411" w:firstLineChars="196"/>
        <w:rPr>
          <w:rFonts w:ascii="宋体" w:hAnsi="宋体"/>
          <w:szCs w:val="21"/>
        </w:rPr>
      </w:pPr>
      <w:r>
        <w:rPr>
          <w:rFonts w:hint="eastAsia" w:ascii="宋体" w:hAnsi="宋体"/>
          <w:szCs w:val="21"/>
        </w:rPr>
        <w:t>45.3中标人应当按照合同约定履行义务，完成中标项目，不得将中标项目转让（转包）给他人。</w:t>
      </w:r>
    </w:p>
    <w:p w14:paraId="441F1CEE">
      <w:pPr>
        <w:rPr>
          <w:rFonts w:ascii="黑体" w:hAnsi="宋体" w:eastAsia="黑体"/>
          <w:sz w:val="24"/>
        </w:rPr>
      </w:pPr>
      <w:r>
        <w:rPr>
          <w:rFonts w:hint="eastAsia" w:ascii="黑体" w:hAnsi="宋体" w:eastAsia="黑体"/>
          <w:sz w:val="24"/>
        </w:rPr>
        <w:t>46．履约担保</w:t>
      </w:r>
    </w:p>
    <w:p w14:paraId="1E74636C">
      <w:pPr>
        <w:ind w:firstLine="411" w:firstLineChars="196"/>
        <w:rPr>
          <w:rFonts w:ascii="宋体" w:hAnsi="宋体"/>
          <w:szCs w:val="21"/>
        </w:rPr>
      </w:pPr>
      <w:r>
        <w:rPr>
          <w:rFonts w:hint="eastAsia" w:ascii="宋体" w:hAnsi="宋体"/>
          <w:szCs w:val="21"/>
        </w:rPr>
        <w:t>46.1在签订项目合同的同时，中标人应按“对通用条款的补充内容”中规定的金额向采购人提交履约担保；</w:t>
      </w:r>
    </w:p>
    <w:p w14:paraId="6AB0C0CF">
      <w:pPr>
        <w:ind w:firstLine="411" w:firstLineChars="196"/>
        <w:rPr>
          <w:rFonts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14:paraId="4E4AB85C">
      <w:pPr>
        <w:rPr>
          <w:rFonts w:ascii="黑体" w:hAnsi="宋体" w:eastAsia="黑体"/>
          <w:sz w:val="24"/>
        </w:rPr>
      </w:pPr>
      <w:r>
        <w:rPr>
          <w:rFonts w:hint="eastAsia" w:ascii="黑体" w:hAnsi="宋体" w:eastAsia="黑体"/>
          <w:sz w:val="24"/>
        </w:rPr>
        <w:t>47. 合同备案</w:t>
      </w:r>
    </w:p>
    <w:p w14:paraId="619868B2">
      <w:pPr>
        <w:ind w:firstLine="420" w:firstLineChars="200"/>
        <w:rPr>
          <w:rFonts w:ascii="宋体" w:hAnsi="宋体"/>
          <w:szCs w:val="21"/>
        </w:rPr>
      </w:pPr>
      <w:r>
        <w:rPr>
          <w:rFonts w:hint="eastAsia" w:ascii="宋体" w:hAnsi="宋体"/>
          <w:szCs w:val="21"/>
          <w:lang w:eastAsia="zh-Hans"/>
        </w:rPr>
        <w:t>采购人与中标供应商自中标通知书发出之日起10个工作日内签订政府采购合同，</w:t>
      </w:r>
      <w:r>
        <w:rPr>
          <w:rFonts w:hint="eastAsia" w:ascii="宋体" w:hAnsi="宋体"/>
          <w:szCs w:val="21"/>
        </w:rPr>
        <w:t>并按财政部门规定提交备案。</w:t>
      </w:r>
    </w:p>
    <w:p w14:paraId="57BFD73E">
      <w:pPr>
        <w:rPr>
          <w:rFonts w:ascii="黑体" w:hAnsi="宋体" w:eastAsia="黑体"/>
          <w:sz w:val="24"/>
        </w:rPr>
      </w:pPr>
      <w:r>
        <w:rPr>
          <w:rFonts w:hint="eastAsia" w:ascii="黑体" w:hAnsi="宋体" w:eastAsia="黑体"/>
          <w:sz w:val="24"/>
        </w:rPr>
        <w:t>48. 合同变更</w:t>
      </w:r>
    </w:p>
    <w:p w14:paraId="63AABCAA">
      <w:pPr>
        <w:ind w:firstLine="411" w:firstLineChars="196"/>
        <w:rPr>
          <w:rFonts w:ascii="宋体" w:hAnsi="宋体"/>
          <w:szCs w:val="21"/>
        </w:rPr>
      </w:pPr>
      <w:r>
        <w:rPr>
          <w:rFonts w:hint="eastAsia" w:ascii="宋体" w:hAnsi="宋体"/>
          <w:szCs w:val="21"/>
        </w:rPr>
        <w:t>合同变更事宜按《深圳市财政局关于优化政府采购合同备案的通知》（深财发保〔2022〕2号）相关规定执行。</w:t>
      </w:r>
    </w:p>
    <w:p w14:paraId="228522E4">
      <w:pPr>
        <w:rPr>
          <w:rFonts w:ascii="黑体" w:hAnsi="宋体" w:eastAsia="黑体"/>
          <w:sz w:val="24"/>
        </w:rPr>
      </w:pPr>
      <w:r>
        <w:rPr>
          <w:rFonts w:hint="eastAsia" w:ascii="黑体" w:hAnsi="宋体" w:eastAsia="黑体"/>
          <w:sz w:val="24"/>
        </w:rPr>
        <w:t>49. 项目验收</w:t>
      </w:r>
    </w:p>
    <w:p w14:paraId="3FBDE12E">
      <w:pPr>
        <w:widowControl/>
        <w:ind w:right="176" w:firstLine="420"/>
        <w:jc w:val="left"/>
        <w:rPr>
          <w:rFonts w:ascii="宋体" w:hAnsi="宋体"/>
        </w:rPr>
      </w:pPr>
      <w:r>
        <w:rPr>
          <w:rFonts w:hint="eastAsia" w:ascii="宋体" w:hAnsi="宋体"/>
        </w:rPr>
        <w:t>49.1采购人应当按照招标文件和合同规定的标准和方法，及时组织验收。</w:t>
      </w:r>
      <w:r>
        <w:rPr>
          <w:rFonts w:ascii="宋体" w:hAnsi="宋体"/>
        </w:rPr>
        <w:t xml:space="preserve"> </w:t>
      </w:r>
    </w:p>
    <w:p w14:paraId="154B0BE1">
      <w:pPr>
        <w:rPr>
          <w:rFonts w:ascii="黑体" w:hAnsi="宋体" w:eastAsia="黑体"/>
          <w:sz w:val="24"/>
        </w:rPr>
      </w:pPr>
      <w:r>
        <w:rPr>
          <w:rFonts w:hint="eastAsia" w:ascii="黑体" w:hAnsi="宋体" w:eastAsia="黑体"/>
          <w:sz w:val="24"/>
        </w:rPr>
        <w:t>50. 宣传</w:t>
      </w:r>
    </w:p>
    <w:p w14:paraId="53238CF6">
      <w:pPr>
        <w:ind w:left="210" w:leftChars="100" w:firstLine="411" w:firstLineChars="196"/>
        <w:rPr>
          <w:rFonts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14:paraId="3B617C44">
      <w:pPr>
        <w:ind w:left="210" w:leftChars="100" w:firstLine="411" w:firstLineChars="196"/>
        <w:rPr>
          <w:rFonts w:ascii="宋体" w:hAnsi="宋体"/>
        </w:rPr>
      </w:pPr>
      <w:r>
        <w:rPr>
          <w:rFonts w:ascii="宋体" w:hAnsi="宋体"/>
        </w:rPr>
        <w:t>a.名片、宣传册、广告标语等；</w:t>
      </w:r>
    </w:p>
    <w:p w14:paraId="695DB3A1">
      <w:pPr>
        <w:ind w:left="210" w:leftChars="100" w:firstLine="411" w:firstLineChars="196"/>
        <w:rPr>
          <w:rFonts w:ascii="宋体" w:hAnsi="宋体"/>
        </w:rPr>
      </w:pPr>
      <w:r>
        <w:rPr>
          <w:rFonts w:ascii="宋体" w:hAnsi="宋体"/>
        </w:rPr>
        <w:t>b.案例介绍、推广等；</w:t>
      </w:r>
    </w:p>
    <w:p w14:paraId="336FD4B0">
      <w:pPr>
        <w:ind w:left="210" w:leftChars="100" w:firstLine="411" w:firstLineChars="196"/>
        <w:rPr>
          <w:rFonts w:ascii="宋体" w:hAnsi="宋体"/>
        </w:rPr>
      </w:pPr>
      <w:r>
        <w:rPr>
          <w:rFonts w:hint="eastAsia" w:ascii="宋体" w:hAnsi="宋体"/>
        </w:rPr>
        <w:t>c.工作</w:t>
      </w:r>
      <w:r>
        <w:rPr>
          <w:rFonts w:ascii="宋体" w:hAnsi="宋体"/>
        </w:rPr>
        <w:t>人员向其他消费群体宣传。</w:t>
      </w:r>
    </w:p>
    <w:p w14:paraId="2E946976">
      <w:pPr>
        <w:rPr>
          <w:rFonts w:ascii="黑体" w:hAnsi="宋体" w:eastAsia="黑体"/>
          <w:sz w:val="24"/>
        </w:rPr>
      </w:pPr>
      <w:r>
        <w:rPr>
          <w:rFonts w:hint="eastAsia" w:ascii="黑体" w:hAnsi="宋体" w:eastAsia="黑体"/>
          <w:sz w:val="24"/>
        </w:rPr>
        <w:t>51. 供应商违法责任</w:t>
      </w:r>
    </w:p>
    <w:p w14:paraId="056DE303">
      <w:pPr>
        <w:ind w:firstLine="411" w:firstLineChars="196"/>
        <w:rPr>
          <w:rFonts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7492B716">
      <w:pPr>
        <w:ind w:firstLine="411" w:firstLineChars="196"/>
        <w:rPr>
          <w:rFonts w:ascii="宋体" w:hAnsi="宋体"/>
          <w:szCs w:val="21"/>
        </w:rPr>
      </w:pPr>
      <w:r>
        <w:rPr>
          <w:rFonts w:hint="eastAsia" w:ascii="宋体" w:hAnsi="宋体"/>
          <w:szCs w:val="21"/>
        </w:rPr>
        <w:t>（1）在采购活动中应当回避而未回避的；</w:t>
      </w:r>
    </w:p>
    <w:p w14:paraId="0310FB77">
      <w:pPr>
        <w:ind w:firstLine="411" w:firstLineChars="196"/>
        <w:rPr>
          <w:rFonts w:ascii="宋体" w:hAnsi="宋体"/>
          <w:szCs w:val="21"/>
        </w:rPr>
      </w:pPr>
      <w:r>
        <w:rPr>
          <w:rFonts w:hint="eastAsia" w:ascii="宋体" w:hAnsi="宋体"/>
          <w:szCs w:val="21"/>
        </w:rPr>
        <w:t>（2）未按本条例规定签订、履行采购合同，造成严重后果的；</w:t>
      </w:r>
    </w:p>
    <w:p w14:paraId="07353E55">
      <w:pPr>
        <w:ind w:firstLine="411" w:firstLineChars="196"/>
        <w:rPr>
          <w:rFonts w:ascii="宋体" w:hAnsi="宋体"/>
          <w:szCs w:val="21"/>
        </w:rPr>
      </w:pPr>
      <w:r>
        <w:rPr>
          <w:rFonts w:hint="eastAsia" w:ascii="宋体" w:hAnsi="宋体"/>
          <w:szCs w:val="21"/>
        </w:rPr>
        <w:t>（3）隐瞒真实情况，提供虚假资料的；</w:t>
      </w:r>
    </w:p>
    <w:p w14:paraId="03E3D756">
      <w:pPr>
        <w:ind w:firstLine="411" w:firstLineChars="196"/>
        <w:rPr>
          <w:rFonts w:ascii="宋体" w:hAnsi="宋体"/>
          <w:szCs w:val="21"/>
        </w:rPr>
      </w:pPr>
      <w:r>
        <w:rPr>
          <w:rFonts w:hint="eastAsia" w:ascii="宋体" w:hAnsi="宋体"/>
          <w:szCs w:val="21"/>
        </w:rPr>
        <w:t>（4）以非法手段排斥其他供应商参与竞争的；</w:t>
      </w:r>
    </w:p>
    <w:p w14:paraId="501BF221">
      <w:pPr>
        <w:ind w:firstLine="411" w:firstLineChars="196"/>
        <w:rPr>
          <w:rFonts w:ascii="宋体" w:hAnsi="宋体"/>
          <w:szCs w:val="21"/>
        </w:rPr>
      </w:pPr>
      <w:r>
        <w:rPr>
          <w:rFonts w:hint="eastAsia" w:ascii="宋体" w:hAnsi="宋体"/>
          <w:szCs w:val="21"/>
        </w:rPr>
        <w:t>（5）与其他采购参加人串通投标的；</w:t>
      </w:r>
    </w:p>
    <w:p w14:paraId="7DB2A455">
      <w:pPr>
        <w:ind w:firstLine="411" w:firstLineChars="196"/>
        <w:rPr>
          <w:rFonts w:ascii="宋体" w:hAnsi="宋体"/>
          <w:szCs w:val="21"/>
        </w:rPr>
      </w:pPr>
      <w:r>
        <w:rPr>
          <w:rFonts w:hint="eastAsia" w:ascii="宋体" w:hAnsi="宋体"/>
          <w:szCs w:val="21"/>
        </w:rPr>
        <w:t>（6）恶意投诉的；</w:t>
      </w:r>
    </w:p>
    <w:p w14:paraId="37208F88">
      <w:pPr>
        <w:ind w:firstLine="411" w:firstLineChars="196"/>
        <w:rPr>
          <w:rFonts w:ascii="宋体" w:hAnsi="宋体"/>
          <w:szCs w:val="21"/>
        </w:rPr>
      </w:pPr>
      <w:r>
        <w:rPr>
          <w:rFonts w:hint="eastAsia" w:ascii="宋体" w:hAnsi="宋体"/>
          <w:szCs w:val="21"/>
        </w:rPr>
        <w:t>（7）向采购项目相关人行贿或者提供其他不当利益的；</w:t>
      </w:r>
    </w:p>
    <w:p w14:paraId="6E5F205F">
      <w:pPr>
        <w:ind w:firstLine="411" w:firstLineChars="196"/>
        <w:rPr>
          <w:rFonts w:ascii="宋体" w:hAnsi="宋体"/>
          <w:szCs w:val="21"/>
        </w:rPr>
      </w:pPr>
      <w:r>
        <w:rPr>
          <w:rFonts w:hint="eastAsia" w:ascii="宋体" w:hAnsi="宋体"/>
          <w:szCs w:val="21"/>
        </w:rPr>
        <w:t>（8）阻碍、抗拒主管部门监督检查的；</w:t>
      </w:r>
    </w:p>
    <w:p w14:paraId="745D2F81">
      <w:pPr>
        <w:ind w:firstLine="411" w:firstLineChars="196"/>
        <w:rPr>
          <w:rFonts w:ascii="宋体" w:hAnsi="宋体"/>
          <w:szCs w:val="21"/>
        </w:rPr>
      </w:pPr>
      <w:r>
        <w:rPr>
          <w:rFonts w:hint="eastAsia" w:ascii="宋体" w:hAnsi="宋体"/>
          <w:szCs w:val="21"/>
        </w:rPr>
        <w:t>（9）其他违反本条例规定的行为。</w:t>
      </w:r>
    </w:p>
    <w:p w14:paraId="30CB7CD2">
      <w:pPr>
        <w:ind w:firstLine="411" w:firstLineChars="196"/>
        <w:rPr>
          <w:rFonts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政府集中采购机构或采购人不予退还其交纳的谈判保证金，情节严重的，并由主管部门记入供应商诚信档案，予以通报：</w:t>
      </w:r>
    </w:p>
    <w:p w14:paraId="0D7BA028">
      <w:pPr>
        <w:ind w:firstLine="411" w:firstLineChars="196"/>
        <w:rPr>
          <w:rFonts w:ascii="宋体" w:hAnsi="宋体"/>
          <w:szCs w:val="21"/>
        </w:rPr>
      </w:pPr>
      <w:r>
        <w:rPr>
          <w:rFonts w:hint="eastAsia" w:ascii="宋体" w:hAnsi="宋体"/>
          <w:szCs w:val="21"/>
        </w:rPr>
        <w:t>（1</w:t>
      </w:r>
      <w:r>
        <w:rPr>
          <w:rFonts w:ascii="宋体" w:hAnsi="宋体"/>
          <w:szCs w:val="21"/>
        </w:rPr>
        <w:t>）投标截止后，撤销投标的；</w:t>
      </w:r>
    </w:p>
    <w:p w14:paraId="61040947">
      <w:pPr>
        <w:ind w:firstLine="411" w:firstLineChars="196"/>
        <w:rPr>
          <w:rFonts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14:paraId="0D5131F0">
      <w:pPr>
        <w:ind w:firstLine="411" w:firstLineChars="196"/>
        <w:rPr>
          <w:rFonts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14:paraId="4F4A19CD">
      <w:pPr>
        <w:ind w:firstLine="411" w:firstLineChars="196"/>
        <w:rPr>
          <w:rFonts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p w14:paraId="4A4A62A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质疑处理</w:t>
      </w:r>
    </w:p>
    <w:p w14:paraId="19CC8A03">
      <w:pPr>
        <w:rPr>
          <w:rFonts w:ascii="黑体" w:hAnsi="宋体" w:eastAsia="黑体"/>
          <w:sz w:val="24"/>
        </w:rPr>
      </w:pPr>
      <w:r>
        <w:rPr>
          <w:rFonts w:hint="eastAsia" w:ascii="黑体" w:hAnsi="宋体" w:eastAsia="黑体"/>
          <w:sz w:val="24"/>
        </w:rPr>
        <w:t>52.质疑提出与答复</w:t>
      </w:r>
    </w:p>
    <w:p w14:paraId="0BCAB374">
      <w:pPr>
        <w:ind w:firstLine="420" w:firstLineChars="200"/>
        <w:rPr>
          <w:rFonts w:ascii="宋体" w:hAnsi="宋体"/>
          <w:szCs w:val="21"/>
        </w:rPr>
      </w:pPr>
      <w:r>
        <w:rPr>
          <w:rFonts w:hint="eastAsia" w:ascii="宋体" w:hAnsi="宋体"/>
          <w:szCs w:val="21"/>
        </w:rPr>
        <w:t>52.1提出质疑</w:t>
      </w:r>
    </w:p>
    <w:p w14:paraId="61F21524">
      <w:pPr>
        <w:ind w:firstLine="420" w:firstLineChars="200"/>
        <w:rPr>
          <w:rFonts w:ascii="宋体" w:hAnsi="宋体"/>
          <w:szCs w:val="21"/>
        </w:rPr>
      </w:pPr>
      <w:r>
        <w:rPr>
          <w:rFonts w:hint="eastAsia" w:ascii="宋体" w:hAnsi="宋体"/>
          <w:szCs w:val="21"/>
        </w:rPr>
        <w:t>参与政府采购活动的供应商认为自己的权益在采购活动中受到损害的，应当自知道或者应当知道其权益受到损害之日起七个工作日内向采购人、政府集中采购机构以书面形式提出质疑。</w:t>
      </w:r>
    </w:p>
    <w:p w14:paraId="20D3678E">
      <w:pPr>
        <w:ind w:firstLine="420" w:firstLineChars="200"/>
        <w:rPr>
          <w:rFonts w:ascii="宋体" w:hAnsi="宋体"/>
          <w:szCs w:val="21"/>
        </w:rPr>
      </w:pPr>
      <w:r>
        <w:rPr>
          <w:rFonts w:hint="eastAsia" w:ascii="宋体" w:hAnsi="宋体"/>
          <w:szCs w:val="21"/>
        </w:rPr>
        <w:t>52.2</w:t>
      </w:r>
      <w:r>
        <w:rPr>
          <w:rFonts w:ascii="宋体" w:hAnsi="宋体"/>
          <w:szCs w:val="21"/>
        </w:rPr>
        <w:t>法律依据</w:t>
      </w:r>
    </w:p>
    <w:p w14:paraId="00E9C274">
      <w:pPr>
        <w:ind w:firstLine="420" w:firstLineChars="200"/>
        <w:rPr>
          <w:rFonts w:ascii="宋体" w:hAnsi="宋体"/>
          <w:szCs w:val="21"/>
        </w:rPr>
      </w:pPr>
      <w:r>
        <w:rPr>
          <w:rFonts w:hint="eastAsia" w:ascii="宋体" w:hAnsi="宋体"/>
          <w:szCs w:val="21"/>
        </w:rPr>
        <w:t>《中华人民共和国政府采购法》、《中华人民共和国政府采购法实施条例》、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14:paraId="6F226421">
      <w:pPr>
        <w:ind w:firstLine="420" w:firstLineChars="200"/>
        <w:rPr>
          <w:rFonts w:ascii="宋体" w:hAnsi="宋体"/>
          <w:szCs w:val="21"/>
        </w:rPr>
      </w:pPr>
      <w:r>
        <w:rPr>
          <w:rFonts w:hint="eastAsia" w:ascii="宋体" w:hAnsi="宋体"/>
          <w:szCs w:val="21"/>
        </w:rPr>
        <w:t>52.3质疑条件</w:t>
      </w:r>
    </w:p>
    <w:p w14:paraId="6426D474">
      <w:pPr>
        <w:ind w:firstLine="420" w:firstLineChars="200"/>
        <w:rPr>
          <w:rFonts w:ascii="宋体" w:hAnsi="宋体"/>
          <w:szCs w:val="21"/>
        </w:rPr>
      </w:pPr>
      <w:r>
        <w:rPr>
          <w:rFonts w:hint="eastAsia" w:ascii="宋体" w:hAnsi="宋体"/>
          <w:szCs w:val="21"/>
        </w:rPr>
        <w:t>52.3.1提出质疑的供应商应当是参与所质疑项目采购活动的供应商；</w:t>
      </w:r>
      <w:bookmarkStart w:id="51" w:name="_Hlk75374941"/>
      <w:r>
        <w:rPr>
          <w:rFonts w:hint="eastAsia" w:ascii="宋体" w:hAnsi="宋体"/>
          <w:szCs w:val="21"/>
        </w:rPr>
        <w:t>以联合体形式参与的，质疑应当由组成联合体的所有成员共同提出</w:t>
      </w:r>
      <w:bookmarkEnd w:id="51"/>
      <w:r>
        <w:rPr>
          <w:rFonts w:hint="eastAsia" w:ascii="宋体" w:hAnsi="宋体"/>
          <w:szCs w:val="21"/>
        </w:rPr>
        <w:t>（如供应商采用线上提交质疑方式的，由牵头单位在系统发起，根据本采购文件第52.3.3条、52.4条的要求，提供所有联合体成员共同签字盖章的质疑函、授权委托书，所有联合体成员的营业执照或者其他证明文件（如事业单位法人证书等）、法定代表人（负责人）证明书）；</w:t>
      </w:r>
    </w:p>
    <w:p w14:paraId="1D60C9E1">
      <w:pPr>
        <w:ind w:firstLine="420" w:firstLineChars="200"/>
        <w:rPr>
          <w:rFonts w:ascii="宋体" w:hAnsi="宋体"/>
          <w:szCs w:val="21"/>
        </w:rPr>
      </w:pPr>
      <w:r>
        <w:rPr>
          <w:rFonts w:hint="eastAsia" w:ascii="宋体" w:hAnsi="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084CF161">
      <w:pPr>
        <w:ind w:firstLine="420"/>
        <w:rPr>
          <w:rFonts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14:paraId="36A99977">
      <w:pPr>
        <w:ind w:firstLine="420"/>
        <w:rPr>
          <w:rFonts w:ascii="宋体" w:hAnsi="宋体"/>
          <w:szCs w:val="21"/>
        </w:rPr>
      </w:pPr>
      <w:r>
        <w:rPr>
          <w:rFonts w:hint="eastAsia" w:ascii="宋体" w:hAnsi="宋体"/>
          <w:szCs w:val="21"/>
        </w:rPr>
        <w:t>（1）供应商的名称（或者姓名）、地址、邮编、邮箱、联系人及联系电话；</w:t>
      </w:r>
    </w:p>
    <w:p w14:paraId="77FB6FFD">
      <w:pPr>
        <w:ind w:firstLine="420" w:firstLineChars="200"/>
        <w:rPr>
          <w:rFonts w:ascii="宋体" w:hAnsi="宋体"/>
          <w:szCs w:val="21"/>
        </w:rPr>
      </w:pPr>
      <w:r>
        <w:rPr>
          <w:rFonts w:hint="eastAsia" w:ascii="宋体" w:hAnsi="宋体"/>
          <w:szCs w:val="21"/>
        </w:rPr>
        <w:t>（2）质疑项目的名称、编号；</w:t>
      </w:r>
    </w:p>
    <w:p w14:paraId="2A227FB6">
      <w:pPr>
        <w:ind w:firstLine="420" w:firstLineChars="200"/>
        <w:rPr>
          <w:rFonts w:ascii="宋体" w:hAnsi="宋体"/>
          <w:szCs w:val="21"/>
        </w:rPr>
      </w:pPr>
      <w:r>
        <w:rPr>
          <w:rFonts w:hint="eastAsia" w:ascii="宋体" w:hAnsi="宋体"/>
          <w:szCs w:val="21"/>
        </w:rPr>
        <w:t>（3）具体、明确的质疑对象、质疑事项和质疑请求；</w:t>
      </w:r>
    </w:p>
    <w:p w14:paraId="30300167">
      <w:pPr>
        <w:ind w:firstLine="420" w:firstLineChars="200"/>
        <w:rPr>
          <w:rFonts w:ascii="宋体" w:hAnsi="宋体"/>
          <w:szCs w:val="21"/>
        </w:rPr>
      </w:pPr>
      <w:r>
        <w:rPr>
          <w:rFonts w:hint="eastAsia" w:ascii="宋体" w:hAnsi="宋体"/>
          <w:szCs w:val="21"/>
        </w:rPr>
        <w:t>（4）因质疑事项而受损害的权益；</w:t>
      </w:r>
    </w:p>
    <w:p w14:paraId="682C0635">
      <w:pPr>
        <w:ind w:firstLine="420" w:firstLineChars="200"/>
        <w:rPr>
          <w:rFonts w:ascii="宋体" w:hAnsi="宋体"/>
          <w:szCs w:val="21"/>
        </w:rPr>
      </w:pPr>
      <w:r>
        <w:rPr>
          <w:rFonts w:hint="eastAsia" w:ascii="宋体" w:hAnsi="宋体"/>
          <w:szCs w:val="21"/>
        </w:rPr>
        <w:t>（5）事实依据；</w:t>
      </w:r>
    </w:p>
    <w:p w14:paraId="1D02E89E">
      <w:pPr>
        <w:ind w:firstLine="420" w:firstLineChars="200"/>
        <w:rPr>
          <w:rFonts w:ascii="宋体" w:hAnsi="宋体"/>
          <w:szCs w:val="21"/>
        </w:rPr>
      </w:pPr>
      <w:r>
        <w:rPr>
          <w:rFonts w:hint="eastAsia" w:ascii="宋体" w:hAnsi="宋体"/>
          <w:szCs w:val="21"/>
        </w:rPr>
        <w:t>（6）必要的法律依据；</w:t>
      </w:r>
    </w:p>
    <w:p w14:paraId="016F0767">
      <w:pPr>
        <w:ind w:firstLine="420" w:firstLineChars="200"/>
        <w:rPr>
          <w:rFonts w:ascii="宋体" w:hAnsi="宋体"/>
          <w:szCs w:val="21"/>
        </w:rPr>
      </w:pPr>
      <w:r>
        <w:rPr>
          <w:rFonts w:hint="eastAsia" w:ascii="宋体" w:hAnsi="宋体"/>
          <w:szCs w:val="21"/>
        </w:rPr>
        <w:t>（7）提出质疑的日期。</w:t>
      </w:r>
    </w:p>
    <w:p w14:paraId="04518816">
      <w:pPr>
        <w:ind w:firstLine="420" w:firstLineChars="200"/>
        <w:rPr>
          <w:rFonts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14:paraId="10882E67">
      <w:pPr>
        <w:ind w:firstLine="420" w:firstLineChars="200"/>
        <w:rPr>
          <w:rFonts w:ascii="宋体" w:hAnsi="宋体"/>
          <w:szCs w:val="21"/>
        </w:rPr>
      </w:pPr>
      <w:r>
        <w:rPr>
          <w:rFonts w:hint="eastAsia" w:ascii="宋体" w:hAnsi="宋体"/>
          <w:szCs w:val="21"/>
        </w:rPr>
        <w:t>52.4提交</w:t>
      </w:r>
      <w:r>
        <w:rPr>
          <w:rFonts w:ascii="宋体" w:hAnsi="宋体"/>
          <w:szCs w:val="21"/>
        </w:rPr>
        <w:t>材料</w:t>
      </w:r>
    </w:p>
    <w:p w14:paraId="0B723309">
      <w:pPr>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加盖公章的营业执照复印件或者其他证明文件（如事业单位法人证书等）复印件、加盖公章的法定代表人(负责人)证明书及法定代表人(负责人)身份证复印件。</w:t>
      </w:r>
    </w:p>
    <w:p w14:paraId="09A344BB">
      <w:pPr>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w:t>
      </w:r>
      <w:r>
        <w:rPr>
          <w:rFonts w:hint="eastAsia" w:ascii="宋体" w:hAnsi="宋体"/>
          <w:szCs w:val="21"/>
        </w:rPr>
        <w:t>，并附上加盖公章的代理人身份证复印件</w:t>
      </w:r>
      <w:r>
        <w:rPr>
          <w:rFonts w:ascii="宋体" w:hAnsi="宋体"/>
          <w:szCs w:val="21"/>
        </w:rPr>
        <w:t>。供应商为自然人的，应当由本人签字；供应商为法人或者其他组织的，应当由法定代表人、主要负责人签字或者盖章，并加盖公章。</w:t>
      </w:r>
    </w:p>
    <w:p w14:paraId="650D94CC">
      <w:pPr>
        <w:ind w:firstLine="420" w:firstLineChars="200"/>
        <w:rPr>
          <w:rFonts w:ascii="宋体" w:hAnsi="宋体"/>
          <w:szCs w:val="21"/>
        </w:rPr>
      </w:pPr>
      <w:r>
        <w:rPr>
          <w:rFonts w:hint="eastAsia" w:ascii="宋体" w:hAnsi="宋体"/>
          <w:szCs w:val="21"/>
        </w:rPr>
        <w:t>52.5提交方式</w:t>
      </w:r>
    </w:p>
    <w:p w14:paraId="615CB419">
      <w:pPr>
        <w:ind w:firstLine="420" w:firstLineChars="200"/>
        <w:rPr>
          <w:rFonts w:ascii="宋体" w:hAnsi="宋体"/>
          <w:szCs w:val="21"/>
        </w:rPr>
      </w:pPr>
      <w:r>
        <w:rPr>
          <w:rFonts w:hint="eastAsia" w:ascii="宋体" w:hAnsi="宋体"/>
          <w:szCs w:val="21"/>
        </w:rPr>
        <w:t>针对采购公告、结果公告或者更正结果公告的质疑，质疑提交可以采用现场或邮寄或线上方式。供应商选择其中一种方式提交。若采用多种方式提交的，以我中心第一次收到完整无误的质疑材料的日期为收文日期。采用邮寄方式提交的，交邮时间应在公告发布之日起七个工作日内。</w:t>
      </w:r>
    </w:p>
    <w:p w14:paraId="304CAD16">
      <w:pPr>
        <w:ind w:firstLine="422" w:firstLineChars="200"/>
        <w:rPr>
          <w:rFonts w:ascii="宋体" w:hAnsi="宋体"/>
          <w:b/>
          <w:bCs/>
          <w:szCs w:val="21"/>
        </w:rPr>
      </w:pPr>
      <w:r>
        <w:rPr>
          <w:rFonts w:hint="eastAsia" w:ascii="宋体" w:hAnsi="宋体"/>
          <w:b/>
          <w:bCs/>
          <w:szCs w:val="21"/>
        </w:rPr>
        <w:t>地址：深圳公共资源交易中心（深圳交易集团有限公司政府采购业务分公司）深圳市南山区沙河西路3185号南山智谷A座（深圳交易集团总部大楼）27楼，质疑咨询电话：0755-86500050。</w:t>
      </w:r>
    </w:p>
    <w:p w14:paraId="78A30D55">
      <w:pPr>
        <w:ind w:firstLine="420" w:firstLineChars="200"/>
        <w:rPr>
          <w:rFonts w:ascii="宋体" w:hAnsi="宋体"/>
          <w:szCs w:val="21"/>
        </w:rPr>
      </w:pPr>
      <w:r>
        <w:rPr>
          <w:rFonts w:hint="eastAsia" w:ascii="宋体" w:hAnsi="宋体"/>
          <w:szCs w:val="21"/>
        </w:rPr>
        <w:t>52.5.1现场或邮寄提交</w:t>
      </w:r>
    </w:p>
    <w:p w14:paraId="4ECC08F6">
      <w:pPr>
        <w:ind w:firstLine="420" w:firstLineChars="200"/>
        <w:rPr>
          <w:rFonts w:ascii="宋体" w:hAnsi="宋体"/>
          <w:szCs w:val="21"/>
        </w:rPr>
      </w:pPr>
      <w:r>
        <w:rPr>
          <w:rFonts w:hint="eastAsia" w:ascii="宋体" w:hAnsi="宋体"/>
          <w:szCs w:val="21"/>
        </w:rPr>
        <w:t>收文地址：深圳公共资源交易中心（深圳交易集团有限公司政府采购业务分公司）深圳市南山区沙河西路3185号南山智谷A座（深圳交易集团总部大楼）27楼，质疑咨询电话：0755-86500050、0755-86500054。</w:t>
      </w:r>
    </w:p>
    <w:p w14:paraId="1B8C50EE">
      <w:pPr>
        <w:ind w:firstLine="420" w:firstLineChars="200"/>
        <w:rPr>
          <w:rFonts w:ascii="宋体" w:hAnsi="宋体"/>
          <w:szCs w:val="21"/>
        </w:rPr>
      </w:pPr>
      <w:r>
        <w:rPr>
          <w:rFonts w:hint="eastAsia" w:ascii="宋体" w:hAnsi="宋体"/>
          <w:szCs w:val="21"/>
        </w:rPr>
        <w:t>请质疑供应商根据深圳公共资源交易中心网页（https://www.szggzy.com/globalSearch/details.html?contentId=1211037）所发布的质疑指引、质疑函模板填写质疑函并提交质疑材料。</w:t>
      </w:r>
    </w:p>
    <w:p w14:paraId="7B291B7D">
      <w:pPr>
        <w:ind w:firstLine="420" w:firstLineChars="200"/>
        <w:rPr>
          <w:rFonts w:ascii="宋体" w:hAnsi="宋体"/>
          <w:szCs w:val="21"/>
        </w:rPr>
      </w:pPr>
      <w:r>
        <w:rPr>
          <w:rFonts w:hint="eastAsia" w:ascii="宋体" w:hAnsi="宋体"/>
          <w:szCs w:val="21"/>
        </w:rPr>
        <w:t>52.5.2线上提交</w:t>
      </w:r>
    </w:p>
    <w:p w14:paraId="11B3E1C6">
      <w:pPr>
        <w:ind w:firstLine="420" w:firstLineChars="200"/>
        <w:rPr>
          <w:rFonts w:ascii="宋体" w:hAnsi="宋体"/>
          <w:szCs w:val="21"/>
        </w:rPr>
      </w:pPr>
      <w:r>
        <w:rPr>
          <w:rFonts w:hint="eastAsia" w:ascii="宋体" w:hAnsi="宋体"/>
          <w:szCs w:val="21"/>
        </w:rPr>
        <w:t>登录深圳政府采购智慧(监管)平台（http://zfcg.szggzy.com:8081/）→“深圳政府采购智慧(监管)平台用户网上办事子系统（http://zfcg.szggzy.com:8081/TPBidder/memberLogin）”，在“【我的项目】→【项目流程】→【质疑】”功能点中提交质疑。</w:t>
      </w:r>
    </w:p>
    <w:p w14:paraId="7A13CAE4">
      <w:pPr>
        <w:ind w:firstLine="422" w:firstLineChars="200"/>
        <w:rPr>
          <w:rFonts w:ascii="宋体" w:hAnsi="宋体"/>
          <w:b/>
          <w:color w:val="FF0000"/>
          <w:szCs w:val="21"/>
        </w:rPr>
      </w:pPr>
      <w:r>
        <w:rPr>
          <w:rFonts w:hint="eastAsia" w:ascii="宋体" w:hAnsi="宋体"/>
          <w:b/>
          <w:color w:val="FF0000"/>
          <w:szCs w:val="21"/>
        </w:rPr>
        <w:t>该功能为试运行功能，如遇问题，请及时联系0755-36568999 转1转1、0755-86500050、0755-86500054。如因系统原因无法提交质疑，且未及时选择其他质疑途径导致质疑超期的，相关不利后果由供应商自行承担。</w:t>
      </w:r>
    </w:p>
    <w:p w14:paraId="4CEAE5D4">
      <w:pPr>
        <w:ind w:firstLine="420" w:firstLineChars="200"/>
        <w:rPr>
          <w:rFonts w:ascii="宋体" w:hAnsi="宋体"/>
          <w:szCs w:val="21"/>
        </w:rPr>
      </w:pPr>
      <w:r>
        <w:rPr>
          <w:rFonts w:hint="eastAsia" w:ascii="宋体" w:hAnsi="宋体"/>
          <w:szCs w:val="21"/>
        </w:rPr>
        <w:t>52.6收文办理</w:t>
      </w:r>
      <w:r>
        <w:rPr>
          <w:rFonts w:ascii="宋体" w:hAnsi="宋体"/>
          <w:szCs w:val="21"/>
        </w:rPr>
        <w:t>程序</w:t>
      </w:r>
    </w:p>
    <w:p w14:paraId="5CBD19E8">
      <w:pPr>
        <w:ind w:firstLine="420" w:firstLineChars="200"/>
        <w:rPr>
          <w:rFonts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44DFB1C9">
      <w:pPr>
        <w:ind w:firstLine="420" w:firstLineChars="200"/>
        <w:rPr>
          <w:rFonts w:ascii="仿宋" w:hAnsi="仿宋" w:eastAsia="仿宋"/>
          <w:sz w:val="28"/>
          <w:szCs w:val="28"/>
        </w:rPr>
      </w:pPr>
      <w:r>
        <w:rPr>
          <w:rFonts w:hint="eastAsia" w:ascii="宋体" w:hAnsi="宋体"/>
          <w:szCs w:val="21"/>
        </w:rPr>
        <w:t>52.6.2供应商提交的质疑材料不符合质疑条件的，视情况处理：</w:t>
      </w:r>
    </w:p>
    <w:p w14:paraId="22CDAF5E">
      <w:pPr>
        <w:ind w:firstLine="420" w:firstLineChars="200"/>
        <w:rPr>
          <w:rFonts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14:paraId="02501783">
      <w:pPr>
        <w:ind w:firstLine="420" w:firstLineChars="200"/>
        <w:rPr>
          <w:rFonts w:ascii="宋体" w:hAnsi="宋体"/>
          <w:szCs w:val="21"/>
        </w:rPr>
      </w:pPr>
      <w:r>
        <w:rPr>
          <w:rFonts w:hint="eastAsia" w:ascii="宋体" w:hAnsi="宋体"/>
          <w:szCs w:val="21"/>
        </w:rPr>
        <w:t>供应商提交的质疑存在下列情形之一的，不予受理：</w:t>
      </w:r>
    </w:p>
    <w:p w14:paraId="7F9928B4">
      <w:pPr>
        <w:ind w:firstLine="420" w:firstLineChars="200"/>
        <w:rPr>
          <w:rFonts w:ascii="宋体" w:hAnsi="宋体"/>
          <w:szCs w:val="21"/>
        </w:rPr>
      </w:pPr>
      <w:r>
        <w:rPr>
          <w:rFonts w:hint="eastAsia" w:ascii="宋体" w:hAnsi="宋体"/>
          <w:szCs w:val="21"/>
        </w:rPr>
        <w:t>（1）质疑主体不满足要求的；</w:t>
      </w:r>
    </w:p>
    <w:p w14:paraId="7BA66E36">
      <w:pPr>
        <w:ind w:firstLine="420" w:firstLineChars="200"/>
        <w:rPr>
          <w:rFonts w:ascii="宋体" w:hAnsi="宋体"/>
          <w:szCs w:val="21"/>
        </w:rPr>
      </w:pPr>
      <w:r>
        <w:rPr>
          <w:rFonts w:hint="eastAsia" w:ascii="宋体" w:hAnsi="宋体"/>
          <w:szCs w:val="21"/>
        </w:rPr>
        <w:t>（2）供应商自身权益未受到损害的；</w:t>
      </w:r>
    </w:p>
    <w:p w14:paraId="68C2B330">
      <w:pPr>
        <w:ind w:firstLine="420" w:firstLineChars="200"/>
        <w:rPr>
          <w:rFonts w:ascii="宋体" w:hAnsi="宋体"/>
          <w:szCs w:val="21"/>
        </w:rPr>
      </w:pPr>
      <w:r>
        <w:rPr>
          <w:rFonts w:hint="eastAsia" w:ascii="宋体" w:hAnsi="宋体"/>
          <w:szCs w:val="21"/>
        </w:rPr>
        <w:t>（3）供应商未在法定质疑期限内提出质疑的；</w:t>
      </w:r>
    </w:p>
    <w:p w14:paraId="7C026963">
      <w:pPr>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14:paraId="539F232E">
      <w:pPr>
        <w:ind w:firstLine="420" w:firstLineChars="200"/>
        <w:rPr>
          <w:rFonts w:ascii="宋体" w:hAnsi="宋体"/>
          <w:szCs w:val="21"/>
        </w:rPr>
      </w:pPr>
      <w:r>
        <w:rPr>
          <w:rFonts w:hint="eastAsia" w:ascii="宋体" w:hAnsi="宋体"/>
          <w:szCs w:val="21"/>
        </w:rPr>
        <w:t>（5）其他不符合受理条件情形的。</w:t>
      </w:r>
    </w:p>
    <w:p w14:paraId="256B9B35">
      <w:pPr>
        <w:ind w:firstLine="420" w:firstLineChars="200"/>
        <w:rPr>
          <w:rFonts w:ascii="宋体" w:hAnsi="宋体"/>
          <w:szCs w:val="21"/>
        </w:rPr>
      </w:pPr>
      <w:r>
        <w:rPr>
          <w:rFonts w:hint="eastAsia" w:ascii="宋体" w:hAnsi="宋体"/>
          <w:szCs w:val="21"/>
        </w:rPr>
        <w:t>质疑事项不予受理的，政府集中采购机构应当向供应商出具不符合质疑条件告知书或系统中说明不符合质疑条件的理由。</w:t>
      </w:r>
    </w:p>
    <w:p w14:paraId="703D935D">
      <w:pPr>
        <w:ind w:firstLine="420" w:firstLineChars="200"/>
        <w:rPr>
          <w:rFonts w:ascii="宋体" w:hAnsi="宋体"/>
          <w:szCs w:val="21"/>
        </w:rPr>
      </w:pPr>
      <w:r>
        <w:rPr>
          <w:rFonts w:hint="eastAsia" w:ascii="宋体" w:hAnsi="宋体"/>
          <w:szCs w:val="21"/>
        </w:rPr>
        <w:t>52.7质疑答复时限</w:t>
      </w:r>
    </w:p>
    <w:p w14:paraId="0C2E1827">
      <w:pPr>
        <w:ind w:firstLine="420" w:firstLineChars="200"/>
        <w:rPr>
          <w:rFonts w:ascii="宋体" w:hAnsi="宋体"/>
          <w:szCs w:val="21"/>
        </w:rPr>
      </w:pPr>
      <w:r>
        <w:rPr>
          <w:rFonts w:hint="eastAsia" w:ascii="宋体" w:hAnsi="宋体"/>
          <w:szCs w:val="21"/>
        </w:rPr>
        <w:t>自收文之日起七个工作日内。</w:t>
      </w:r>
    </w:p>
    <w:p w14:paraId="717978E5">
      <w:pPr>
        <w:ind w:firstLine="420" w:firstLineChars="200"/>
        <w:rPr>
          <w:rFonts w:ascii="宋体" w:hAnsi="宋体"/>
          <w:szCs w:val="21"/>
        </w:rPr>
      </w:pPr>
      <w:r>
        <w:rPr>
          <w:rFonts w:hint="eastAsia" w:ascii="宋体" w:hAnsi="宋体"/>
          <w:szCs w:val="21"/>
        </w:rPr>
        <w:t>52.8投诉</w:t>
      </w:r>
    </w:p>
    <w:p w14:paraId="59EF8A57">
      <w:pPr>
        <w:ind w:firstLine="420" w:firstLineChars="200"/>
        <w:rPr>
          <w:rFonts w:ascii="宋体" w:hAnsi="宋体"/>
          <w:szCs w:val="21"/>
        </w:rPr>
      </w:pPr>
      <w:r>
        <w:rPr>
          <w:rFonts w:hint="eastAsia" w:ascii="宋体" w:hAnsi="宋体"/>
          <w:szCs w:val="21"/>
        </w:rPr>
        <w:t>对质疑答复不满意或者未在规定时间内答复的，提出质疑的供应商可以在答复期满后15个工作日内向同级财政部门投诉。</w:t>
      </w:r>
    </w:p>
    <w:p w14:paraId="2E17F4D6">
      <w:pPr>
        <w:ind w:firstLine="420" w:firstLineChars="200"/>
        <w:rPr>
          <w:rFonts w:ascii="宋体" w:hAnsi="宋体"/>
          <w:szCs w:val="21"/>
        </w:rPr>
      </w:pPr>
      <w:r>
        <w:rPr>
          <w:rFonts w:hint="eastAsia" w:ascii="宋体" w:hAnsi="宋体"/>
          <w:szCs w:val="21"/>
        </w:rPr>
        <w:t>如供应商采用线上提交质疑方式的，可以登录深圳政府采购智慧(监管)平台（http://zfcg.szggzy.com:8081/）→“深圳政府采购智慧(监管)平台用户网上办事子系统（http://zfcg.szggzy.com:8081/TPBidder/memberLogin）”，在“【我的项目】→【项目流程】→【投诉】”功能点中提交投诉。</w:t>
      </w:r>
    </w:p>
    <w:p w14:paraId="7703B704">
      <w:pPr>
        <w:rPr>
          <w:rFonts w:ascii="黑体" w:hAnsi="宋体" w:eastAsia="黑体"/>
          <w:sz w:val="24"/>
        </w:rPr>
      </w:pPr>
      <w:r>
        <w:rPr>
          <w:rFonts w:hint="eastAsia" w:ascii="黑体" w:hAnsi="宋体" w:eastAsia="黑体"/>
          <w:sz w:val="24"/>
        </w:rPr>
        <w:t>53. 质疑后续处理</w:t>
      </w:r>
    </w:p>
    <w:p w14:paraId="04BEBA18">
      <w:pPr>
        <w:ind w:firstLine="420" w:firstLineChars="200"/>
        <w:rPr>
          <w:rFonts w:ascii="宋体" w:hAnsi="宋体"/>
          <w:szCs w:val="21"/>
        </w:rPr>
      </w:pPr>
      <w:r>
        <w:rPr>
          <w:rFonts w:hint="eastAsia" w:ascii="宋体" w:hAnsi="宋体"/>
          <w:szCs w:val="21"/>
        </w:rPr>
        <w:t>53.1供应商质疑不成立，或者成立但未对中标、成交结果构成影响的，继续开展采购活动。</w:t>
      </w:r>
    </w:p>
    <w:p w14:paraId="6F1D34AB">
      <w:pPr>
        <w:ind w:firstLine="420"/>
        <w:rPr>
          <w:rFonts w:ascii="宋体" w:hAnsi="宋体"/>
          <w:szCs w:val="21"/>
        </w:rPr>
      </w:pPr>
      <w:r>
        <w:rPr>
          <w:rFonts w:hint="eastAsia" w:ascii="宋体" w:hAnsi="宋体"/>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1915F37A">
      <w:pPr>
        <w:jc w:val="center"/>
      </w:pPr>
      <w:bookmarkStart w:id="52" w:name="_Hlk72439706"/>
      <w:r>
        <w:t>---- END ----</w:t>
      </w:r>
      <w:bookmarkEnd w:id="52"/>
    </w:p>
    <w:sectPr>
      <w:headerReference r:id="rId3" w:type="first"/>
      <w:footerReference r:id="rId4" w:type="default"/>
      <w:footerReference r:id="rId5" w:type="even"/>
      <w:pgSz w:w="11907" w:h="16840"/>
      <w:pgMar w:top="1440" w:right="1797" w:bottom="1440" w:left="1797"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ABD3">
    <w:pPr>
      <w:pStyle w:val="29"/>
      <w:framePr w:wrap="around" w:vAnchor="text" w:hAnchor="margin" w:xAlign="center" w:y="1"/>
      <w:rPr>
        <w:rStyle w:val="47"/>
        <w:sz w:val="22"/>
      </w:rPr>
    </w:pPr>
    <w:r>
      <w:rPr>
        <w:sz w:val="22"/>
      </w:rPr>
      <w:t xml:space="preserve">- </w:t>
    </w:r>
    <w:r>
      <w:rPr>
        <w:sz w:val="22"/>
      </w:rPr>
      <w:fldChar w:fldCharType="begin"/>
    </w:r>
    <w:r>
      <w:rPr>
        <w:sz w:val="22"/>
      </w:rPr>
      <w:instrText xml:space="preserve"> PAGE </w:instrText>
    </w:r>
    <w:r>
      <w:rPr>
        <w:sz w:val="22"/>
      </w:rPr>
      <w:fldChar w:fldCharType="separate"/>
    </w:r>
    <w:r>
      <w:rPr>
        <w:sz w:val="22"/>
      </w:rPr>
      <w:t>20</w:t>
    </w:r>
    <w:r>
      <w:rPr>
        <w:sz w:val="22"/>
      </w:rPr>
      <w:fldChar w:fldCharType="end"/>
    </w:r>
    <w:r>
      <w:rPr>
        <w:sz w:val="22"/>
      </w:rPr>
      <w:t xml:space="preserve"> -</w:t>
    </w:r>
  </w:p>
  <w:p w14:paraId="414BBF5D">
    <w:pPr>
      <w:pStyle w:val="29"/>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D7C6">
    <w:pPr>
      <w:pStyle w:val="29"/>
      <w:framePr w:wrap="around" w:vAnchor="text" w:hAnchor="margin" w:xAlign="center" w:y="1"/>
      <w:rPr>
        <w:rStyle w:val="47"/>
      </w:rPr>
    </w:pPr>
    <w:r>
      <w:rPr>
        <w:rStyle w:val="47"/>
      </w:rPr>
      <w:fldChar w:fldCharType="begin"/>
    </w:r>
    <w:r>
      <w:rPr>
        <w:rStyle w:val="47"/>
      </w:rPr>
      <w:instrText xml:space="preserve">PAGE  </w:instrText>
    </w:r>
    <w:r>
      <w:rPr>
        <w:rStyle w:val="47"/>
      </w:rPr>
      <w:fldChar w:fldCharType="separate"/>
    </w:r>
    <w:r>
      <w:rPr>
        <w:rStyle w:val="47"/>
      </w:rPr>
      <w:t>20</w:t>
    </w:r>
    <w:r>
      <w:rPr>
        <w:rStyle w:val="47"/>
      </w:rPr>
      <w:fldChar w:fldCharType="end"/>
    </w:r>
  </w:p>
  <w:p w14:paraId="1523F413">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129B">
    <w:pPr>
      <w:pStyle w:val="3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6"/>
      <w:lvlText w:val=""/>
      <w:lvlJc w:val="left"/>
      <w:pPr>
        <w:tabs>
          <w:tab w:val="left" w:pos="360"/>
        </w:tabs>
        <w:ind w:left="360" w:hanging="360" w:hangingChars="200"/>
      </w:pPr>
      <w:rPr>
        <w:rFonts w:hint="default" w:ascii="Wingdings" w:hAnsi="Wingdings"/>
      </w:rPr>
    </w:lvl>
  </w:abstractNum>
  <w:abstractNum w:abstractNumId="2">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1FE2D8B7"/>
    <w:multiLevelType w:val="singleLevel"/>
    <w:tmpl w:val="1FE2D8B7"/>
    <w:lvl w:ilvl="0" w:tentative="0">
      <w:start w:val="13"/>
      <w:numFmt w:val="chineseCounting"/>
      <w:suff w:val="nothing"/>
      <w:lvlText w:val="%1、"/>
      <w:lvlJc w:val="left"/>
      <w:rPr>
        <w:rFonts w:hint="eastAsia"/>
      </w:rPr>
    </w:lvl>
  </w:abstractNum>
  <w:abstractNum w:abstractNumId="6">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6C5683"/>
    <w:rsid w:val="00000AD9"/>
    <w:rsid w:val="000041AD"/>
    <w:rsid w:val="000043C0"/>
    <w:rsid w:val="000050CA"/>
    <w:rsid w:val="000051C6"/>
    <w:rsid w:val="00005215"/>
    <w:rsid w:val="00005A10"/>
    <w:rsid w:val="00005D3D"/>
    <w:rsid w:val="00006F7B"/>
    <w:rsid w:val="00007355"/>
    <w:rsid w:val="00007951"/>
    <w:rsid w:val="00007DB0"/>
    <w:rsid w:val="00010063"/>
    <w:rsid w:val="00010102"/>
    <w:rsid w:val="00011C52"/>
    <w:rsid w:val="00011EA6"/>
    <w:rsid w:val="00012B21"/>
    <w:rsid w:val="0001300F"/>
    <w:rsid w:val="00013262"/>
    <w:rsid w:val="0001480D"/>
    <w:rsid w:val="00014A5C"/>
    <w:rsid w:val="00015388"/>
    <w:rsid w:val="00015BDD"/>
    <w:rsid w:val="00015C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ACA"/>
    <w:rsid w:val="00032B0A"/>
    <w:rsid w:val="0003315D"/>
    <w:rsid w:val="00033DE7"/>
    <w:rsid w:val="0003541F"/>
    <w:rsid w:val="00035991"/>
    <w:rsid w:val="00035CD1"/>
    <w:rsid w:val="00036A2B"/>
    <w:rsid w:val="000377D2"/>
    <w:rsid w:val="00040D3C"/>
    <w:rsid w:val="00040E5A"/>
    <w:rsid w:val="00042897"/>
    <w:rsid w:val="00042C84"/>
    <w:rsid w:val="00043739"/>
    <w:rsid w:val="00043A89"/>
    <w:rsid w:val="00044A53"/>
    <w:rsid w:val="00045739"/>
    <w:rsid w:val="00046D30"/>
    <w:rsid w:val="000510B6"/>
    <w:rsid w:val="00051133"/>
    <w:rsid w:val="00051F3F"/>
    <w:rsid w:val="000521D8"/>
    <w:rsid w:val="00052BC1"/>
    <w:rsid w:val="00053A89"/>
    <w:rsid w:val="00054D1F"/>
    <w:rsid w:val="0005582B"/>
    <w:rsid w:val="00056247"/>
    <w:rsid w:val="00056292"/>
    <w:rsid w:val="00056C11"/>
    <w:rsid w:val="00057302"/>
    <w:rsid w:val="00057332"/>
    <w:rsid w:val="0005785A"/>
    <w:rsid w:val="00057D00"/>
    <w:rsid w:val="00057DC0"/>
    <w:rsid w:val="00060B1F"/>
    <w:rsid w:val="00062516"/>
    <w:rsid w:val="0006267A"/>
    <w:rsid w:val="0006335B"/>
    <w:rsid w:val="00063C25"/>
    <w:rsid w:val="00064231"/>
    <w:rsid w:val="00064892"/>
    <w:rsid w:val="00064C7A"/>
    <w:rsid w:val="00066026"/>
    <w:rsid w:val="000661FF"/>
    <w:rsid w:val="00066537"/>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0D4"/>
    <w:rsid w:val="00084857"/>
    <w:rsid w:val="00084F26"/>
    <w:rsid w:val="0008503C"/>
    <w:rsid w:val="000850AF"/>
    <w:rsid w:val="000852EB"/>
    <w:rsid w:val="00086539"/>
    <w:rsid w:val="000869D8"/>
    <w:rsid w:val="00086CA6"/>
    <w:rsid w:val="00090213"/>
    <w:rsid w:val="000903AC"/>
    <w:rsid w:val="00092FC7"/>
    <w:rsid w:val="00093133"/>
    <w:rsid w:val="0009395E"/>
    <w:rsid w:val="00094603"/>
    <w:rsid w:val="000954D5"/>
    <w:rsid w:val="00095723"/>
    <w:rsid w:val="0009618D"/>
    <w:rsid w:val="0009709B"/>
    <w:rsid w:val="000975E3"/>
    <w:rsid w:val="00097DDA"/>
    <w:rsid w:val="000A1DD1"/>
    <w:rsid w:val="000A21A5"/>
    <w:rsid w:val="000A3908"/>
    <w:rsid w:val="000A4C29"/>
    <w:rsid w:val="000A5EA4"/>
    <w:rsid w:val="000A6E2B"/>
    <w:rsid w:val="000A79D3"/>
    <w:rsid w:val="000B05E2"/>
    <w:rsid w:val="000B0C99"/>
    <w:rsid w:val="000B0F8B"/>
    <w:rsid w:val="000B2213"/>
    <w:rsid w:val="000B2568"/>
    <w:rsid w:val="000B41BB"/>
    <w:rsid w:val="000B5357"/>
    <w:rsid w:val="000B5853"/>
    <w:rsid w:val="000B597F"/>
    <w:rsid w:val="000B634D"/>
    <w:rsid w:val="000B7465"/>
    <w:rsid w:val="000C14CB"/>
    <w:rsid w:val="000C18BC"/>
    <w:rsid w:val="000C1EE4"/>
    <w:rsid w:val="000C1FF9"/>
    <w:rsid w:val="000C21C4"/>
    <w:rsid w:val="000C4151"/>
    <w:rsid w:val="000C4425"/>
    <w:rsid w:val="000C4B12"/>
    <w:rsid w:val="000C4FCB"/>
    <w:rsid w:val="000C57A8"/>
    <w:rsid w:val="000C5EA0"/>
    <w:rsid w:val="000C5FA7"/>
    <w:rsid w:val="000C7E71"/>
    <w:rsid w:val="000D16AA"/>
    <w:rsid w:val="000D1A7D"/>
    <w:rsid w:val="000D2309"/>
    <w:rsid w:val="000D2CCA"/>
    <w:rsid w:val="000D366B"/>
    <w:rsid w:val="000D38F9"/>
    <w:rsid w:val="000D5D6B"/>
    <w:rsid w:val="000D62C8"/>
    <w:rsid w:val="000D7A20"/>
    <w:rsid w:val="000E0BFC"/>
    <w:rsid w:val="000E161C"/>
    <w:rsid w:val="000E266E"/>
    <w:rsid w:val="000E2B61"/>
    <w:rsid w:val="000E470B"/>
    <w:rsid w:val="000E4DE8"/>
    <w:rsid w:val="000E50F5"/>
    <w:rsid w:val="000E5906"/>
    <w:rsid w:val="000E5CEF"/>
    <w:rsid w:val="000E5E99"/>
    <w:rsid w:val="000E73D9"/>
    <w:rsid w:val="000F0C3B"/>
    <w:rsid w:val="000F0E9F"/>
    <w:rsid w:val="000F1540"/>
    <w:rsid w:val="000F2065"/>
    <w:rsid w:val="000F256D"/>
    <w:rsid w:val="000F2A88"/>
    <w:rsid w:val="000F2C23"/>
    <w:rsid w:val="000F2D1B"/>
    <w:rsid w:val="000F3658"/>
    <w:rsid w:val="000F3697"/>
    <w:rsid w:val="000F3B37"/>
    <w:rsid w:val="000F3F12"/>
    <w:rsid w:val="000F4478"/>
    <w:rsid w:val="000F565B"/>
    <w:rsid w:val="000F5C6C"/>
    <w:rsid w:val="000F5F3F"/>
    <w:rsid w:val="00100425"/>
    <w:rsid w:val="00100570"/>
    <w:rsid w:val="0010184B"/>
    <w:rsid w:val="00101CE5"/>
    <w:rsid w:val="00101DD0"/>
    <w:rsid w:val="00102555"/>
    <w:rsid w:val="001029C0"/>
    <w:rsid w:val="00102B4B"/>
    <w:rsid w:val="00103AB9"/>
    <w:rsid w:val="00103E80"/>
    <w:rsid w:val="00104CC6"/>
    <w:rsid w:val="001061A4"/>
    <w:rsid w:val="00107187"/>
    <w:rsid w:val="00107272"/>
    <w:rsid w:val="00107D54"/>
    <w:rsid w:val="00110B62"/>
    <w:rsid w:val="001110F0"/>
    <w:rsid w:val="00111581"/>
    <w:rsid w:val="00111CEB"/>
    <w:rsid w:val="00111F8F"/>
    <w:rsid w:val="0011245C"/>
    <w:rsid w:val="00114BCB"/>
    <w:rsid w:val="0011500F"/>
    <w:rsid w:val="00115A55"/>
    <w:rsid w:val="0011665D"/>
    <w:rsid w:val="00116AAC"/>
    <w:rsid w:val="0011754F"/>
    <w:rsid w:val="00117D55"/>
    <w:rsid w:val="001204B2"/>
    <w:rsid w:val="001212EF"/>
    <w:rsid w:val="001217DC"/>
    <w:rsid w:val="00121F81"/>
    <w:rsid w:val="0012203F"/>
    <w:rsid w:val="001223E3"/>
    <w:rsid w:val="00123CC6"/>
    <w:rsid w:val="00125689"/>
    <w:rsid w:val="00125C8A"/>
    <w:rsid w:val="001261FC"/>
    <w:rsid w:val="00126CD7"/>
    <w:rsid w:val="001306FE"/>
    <w:rsid w:val="001307C6"/>
    <w:rsid w:val="00130827"/>
    <w:rsid w:val="001308A2"/>
    <w:rsid w:val="00131140"/>
    <w:rsid w:val="00132FD3"/>
    <w:rsid w:val="00133A61"/>
    <w:rsid w:val="001341E8"/>
    <w:rsid w:val="001362BD"/>
    <w:rsid w:val="0013673A"/>
    <w:rsid w:val="00137F86"/>
    <w:rsid w:val="001410EB"/>
    <w:rsid w:val="00141B41"/>
    <w:rsid w:val="00142846"/>
    <w:rsid w:val="00143554"/>
    <w:rsid w:val="00143653"/>
    <w:rsid w:val="00143934"/>
    <w:rsid w:val="00143B3A"/>
    <w:rsid w:val="00143E43"/>
    <w:rsid w:val="00143FFC"/>
    <w:rsid w:val="001453B3"/>
    <w:rsid w:val="00146ABB"/>
    <w:rsid w:val="00147338"/>
    <w:rsid w:val="00147A48"/>
    <w:rsid w:val="00150143"/>
    <w:rsid w:val="001509AB"/>
    <w:rsid w:val="00152E91"/>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6F71"/>
    <w:rsid w:val="00170A9E"/>
    <w:rsid w:val="0017121A"/>
    <w:rsid w:val="00171401"/>
    <w:rsid w:val="00171777"/>
    <w:rsid w:val="001719FB"/>
    <w:rsid w:val="001724D5"/>
    <w:rsid w:val="00172664"/>
    <w:rsid w:val="0017270B"/>
    <w:rsid w:val="00172B65"/>
    <w:rsid w:val="00172EF5"/>
    <w:rsid w:val="001732E1"/>
    <w:rsid w:val="00175189"/>
    <w:rsid w:val="00175D12"/>
    <w:rsid w:val="0017613E"/>
    <w:rsid w:val="00177167"/>
    <w:rsid w:val="00177F97"/>
    <w:rsid w:val="00181A71"/>
    <w:rsid w:val="0018261B"/>
    <w:rsid w:val="001834A7"/>
    <w:rsid w:val="0018373B"/>
    <w:rsid w:val="00183B40"/>
    <w:rsid w:val="00183C79"/>
    <w:rsid w:val="00183C8B"/>
    <w:rsid w:val="00183E75"/>
    <w:rsid w:val="001845CF"/>
    <w:rsid w:val="00185A98"/>
    <w:rsid w:val="001865BB"/>
    <w:rsid w:val="00187518"/>
    <w:rsid w:val="00187743"/>
    <w:rsid w:val="00187CEC"/>
    <w:rsid w:val="0019096C"/>
    <w:rsid w:val="00191EA7"/>
    <w:rsid w:val="00192164"/>
    <w:rsid w:val="00193EB7"/>
    <w:rsid w:val="00194ACA"/>
    <w:rsid w:val="00194C98"/>
    <w:rsid w:val="00194FB7"/>
    <w:rsid w:val="00196B4E"/>
    <w:rsid w:val="001975A1"/>
    <w:rsid w:val="00197AD8"/>
    <w:rsid w:val="001A027A"/>
    <w:rsid w:val="001A08E4"/>
    <w:rsid w:val="001A0D2C"/>
    <w:rsid w:val="001A11D8"/>
    <w:rsid w:val="001A12B5"/>
    <w:rsid w:val="001A174B"/>
    <w:rsid w:val="001A1C72"/>
    <w:rsid w:val="001A2976"/>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BB2"/>
    <w:rsid w:val="001B6FAD"/>
    <w:rsid w:val="001C04B2"/>
    <w:rsid w:val="001C1FDE"/>
    <w:rsid w:val="001C2063"/>
    <w:rsid w:val="001C21E1"/>
    <w:rsid w:val="001C3426"/>
    <w:rsid w:val="001C4768"/>
    <w:rsid w:val="001C5839"/>
    <w:rsid w:val="001C6431"/>
    <w:rsid w:val="001C6AF6"/>
    <w:rsid w:val="001C7129"/>
    <w:rsid w:val="001C7783"/>
    <w:rsid w:val="001C77E1"/>
    <w:rsid w:val="001C7ADA"/>
    <w:rsid w:val="001D0FD3"/>
    <w:rsid w:val="001D121D"/>
    <w:rsid w:val="001D1439"/>
    <w:rsid w:val="001D1C29"/>
    <w:rsid w:val="001D3543"/>
    <w:rsid w:val="001D35FD"/>
    <w:rsid w:val="001D3B85"/>
    <w:rsid w:val="001D3DF1"/>
    <w:rsid w:val="001D4151"/>
    <w:rsid w:val="001D4B71"/>
    <w:rsid w:val="001D4BB9"/>
    <w:rsid w:val="001D501B"/>
    <w:rsid w:val="001D58E5"/>
    <w:rsid w:val="001D5EAE"/>
    <w:rsid w:val="001E07AA"/>
    <w:rsid w:val="001E0FAB"/>
    <w:rsid w:val="001E2502"/>
    <w:rsid w:val="001E292F"/>
    <w:rsid w:val="001E351C"/>
    <w:rsid w:val="001E38F8"/>
    <w:rsid w:val="001E474D"/>
    <w:rsid w:val="001E506D"/>
    <w:rsid w:val="001E5194"/>
    <w:rsid w:val="001E5A81"/>
    <w:rsid w:val="001E62FB"/>
    <w:rsid w:val="001E6A0B"/>
    <w:rsid w:val="001E6B23"/>
    <w:rsid w:val="001E77DA"/>
    <w:rsid w:val="001E7A2F"/>
    <w:rsid w:val="001E7AB0"/>
    <w:rsid w:val="001E7DD0"/>
    <w:rsid w:val="001F0349"/>
    <w:rsid w:val="001F077B"/>
    <w:rsid w:val="001F0B74"/>
    <w:rsid w:val="001F22C6"/>
    <w:rsid w:val="001F2648"/>
    <w:rsid w:val="001F41B9"/>
    <w:rsid w:val="001F4BE8"/>
    <w:rsid w:val="001F4EB8"/>
    <w:rsid w:val="001F560A"/>
    <w:rsid w:val="001F6318"/>
    <w:rsid w:val="001F65B1"/>
    <w:rsid w:val="001F6B83"/>
    <w:rsid w:val="001F6F6A"/>
    <w:rsid w:val="001F7595"/>
    <w:rsid w:val="001F7FE7"/>
    <w:rsid w:val="002000B8"/>
    <w:rsid w:val="00200B4C"/>
    <w:rsid w:val="0020303B"/>
    <w:rsid w:val="00203267"/>
    <w:rsid w:val="00203897"/>
    <w:rsid w:val="0020391D"/>
    <w:rsid w:val="00205CDC"/>
    <w:rsid w:val="00205F9C"/>
    <w:rsid w:val="002060F7"/>
    <w:rsid w:val="00207BC6"/>
    <w:rsid w:val="00210771"/>
    <w:rsid w:val="00210C22"/>
    <w:rsid w:val="00211885"/>
    <w:rsid w:val="00212ADF"/>
    <w:rsid w:val="00212B9E"/>
    <w:rsid w:val="002134CF"/>
    <w:rsid w:val="00213A60"/>
    <w:rsid w:val="0021429B"/>
    <w:rsid w:val="0021542F"/>
    <w:rsid w:val="00215699"/>
    <w:rsid w:val="002159DE"/>
    <w:rsid w:val="00215B1C"/>
    <w:rsid w:val="00215E99"/>
    <w:rsid w:val="0021667D"/>
    <w:rsid w:val="002166A1"/>
    <w:rsid w:val="002166A6"/>
    <w:rsid w:val="00216BB6"/>
    <w:rsid w:val="0022048B"/>
    <w:rsid w:val="002207EE"/>
    <w:rsid w:val="0022175C"/>
    <w:rsid w:val="00221D76"/>
    <w:rsid w:val="00222261"/>
    <w:rsid w:val="00223AB6"/>
    <w:rsid w:val="00223AC8"/>
    <w:rsid w:val="00223C96"/>
    <w:rsid w:val="00224852"/>
    <w:rsid w:val="00225935"/>
    <w:rsid w:val="0022634D"/>
    <w:rsid w:val="00226437"/>
    <w:rsid w:val="0022711A"/>
    <w:rsid w:val="00227512"/>
    <w:rsid w:val="0022766E"/>
    <w:rsid w:val="002278D5"/>
    <w:rsid w:val="00227C13"/>
    <w:rsid w:val="00227D49"/>
    <w:rsid w:val="00227FC7"/>
    <w:rsid w:val="00230C3C"/>
    <w:rsid w:val="00230F66"/>
    <w:rsid w:val="00233A54"/>
    <w:rsid w:val="00234440"/>
    <w:rsid w:val="002347C9"/>
    <w:rsid w:val="00235A73"/>
    <w:rsid w:val="00236E72"/>
    <w:rsid w:val="002411BD"/>
    <w:rsid w:val="00244711"/>
    <w:rsid w:val="00244AE4"/>
    <w:rsid w:val="00245EBE"/>
    <w:rsid w:val="00246C63"/>
    <w:rsid w:val="002472C1"/>
    <w:rsid w:val="002473F4"/>
    <w:rsid w:val="00250600"/>
    <w:rsid w:val="002506E1"/>
    <w:rsid w:val="00250F42"/>
    <w:rsid w:val="00252934"/>
    <w:rsid w:val="00252EBA"/>
    <w:rsid w:val="0025361A"/>
    <w:rsid w:val="002545EF"/>
    <w:rsid w:val="00254B44"/>
    <w:rsid w:val="00254E99"/>
    <w:rsid w:val="00255B9B"/>
    <w:rsid w:val="002562E9"/>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2AC"/>
    <w:rsid w:val="00266F39"/>
    <w:rsid w:val="002707F2"/>
    <w:rsid w:val="00270B4E"/>
    <w:rsid w:val="00271500"/>
    <w:rsid w:val="00272E57"/>
    <w:rsid w:val="002734A9"/>
    <w:rsid w:val="00273C48"/>
    <w:rsid w:val="00274663"/>
    <w:rsid w:val="00275641"/>
    <w:rsid w:val="0027569A"/>
    <w:rsid w:val="002767D9"/>
    <w:rsid w:val="0027757E"/>
    <w:rsid w:val="00280167"/>
    <w:rsid w:val="00280184"/>
    <w:rsid w:val="00280F4B"/>
    <w:rsid w:val="00281152"/>
    <w:rsid w:val="002821E9"/>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4E82"/>
    <w:rsid w:val="002951FD"/>
    <w:rsid w:val="0029530C"/>
    <w:rsid w:val="00296020"/>
    <w:rsid w:val="0029693F"/>
    <w:rsid w:val="002969C6"/>
    <w:rsid w:val="00296F46"/>
    <w:rsid w:val="00296F8A"/>
    <w:rsid w:val="00297AD1"/>
    <w:rsid w:val="00297CCD"/>
    <w:rsid w:val="002A11CE"/>
    <w:rsid w:val="002A13E2"/>
    <w:rsid w:val="002A180F"/>
    <w:rsid w:val="002A199B"/>
    <w:rsid w:val="002A1B36"/>
    <w:rsid w:val="002A2BC2"/>
    <w:rsid w:val="002A37E6"/>
    <w:rsid w:val="002A409A"/>
    <w:rsid w:val="002A4BFA"/>
    <w:rsid w:val="002A4D7B"/>
    <w:rsid w:val="002A4DFC"/>
    <w:rsid w:val="002B0660"/>
    <w:rsid w:val="002B1286"/>
    <w:rsid w:val="002B18D6"/>
    <w:rsid w:val="002B1B98"/>
    <w:rsid w:val="002B22D4"/>
    <w:rsid w:val="002B3259"/>
    <w:rsid w:val="002B3984"/>
    <w:rsid w:val="002B4595"/>
    <w:rsid w:val="002B45EE"/>
    <w:rsid w:val="002B4BF3"/>
    <w:rsid w:val="002B55C8"/>
    <w:rsid w:val="002B5E4B"/>
    <w:rsid w:val="002B660D"/>
    <w:rsid w:val="002B701D"/>
    <w:rsid w:val="002B7969"/>
    <w:rsid w:val="002C0031"/>
    <w:rsid w:val="002C0485"/>
    <w:rsid w:val="002C0762"/>
    <w:rsid w:val="002C0C86"/>
    <w:rsid w:val="002C1397"/>
    <w:rsid w:val="002C257A"/>
    <w:rsid w:val="002C2BEC"/>
    <w:rsid w:val="002C30C0"/>
    <w:rsid w:val="002C4F4B"/>
    <w:rsid w:val="002C6EC0"/>
    <w:rsid w:val="002C7A58"/>
    <w:rsid w:val="002D0356"/>
    <w:rsid w:val="002D07C0"/>
    <w:rsid w:val="002D0F98"/>
    <w:rsid w:val="002D1DFB"/>
    <w:rsid w:val="002D45BF"/>
    <w:rsid w:val="002D4A85"/>
    <w:rsid w:val="002D4B65"/>
    <w:rsid w:val="002D6162"/>
    <w:rsid w:val="002D64DF"/>
    <w:rsid w:val="002D71EF"/>
    <w:rsid w:val="002E00F3"/>
    <w:rsid w:val="002E242E"/>
    <w:rsid w:val="002E255F"/>
    <w:rsid w:val="002E2CED"/>
    <w:rsid w:val="002E2FEC"/>
    <w:rsid w:val="002E38DB"/>
    <w:rsid w:val="002E4AB1"/>
    <w:rsid w:val="002E4F8A"/>
    <w:rsid w:val="002E505D"/>
    <w:rsid w:val="002E73B8"/>
    <w:rsid w:val="002F0823"/>
    <w:rsid w:val="002F0F0F"/>
    <w:rsid w:val="002F113B"/>
    <w:rsid w:val="002F2471"/>
    <w:rsid w:val="002F2B7A"/>
    <w:rsid w:val="002F3105"/>
    <w:rsid w:val="002F4864"/>
    <w:rsid w:val="002F5E6C"/>
    <w:rsid w:val="002F6DD7"/>
    <w:rsid w:val="002F72FF"/>
    <w:rsid w:val="002F7987"/>
    <w:rsid w:val="002F79D4"/>
    <w:rsid w:val="003005C9"/>
    <w:rsid w:val="00300BF3"/>
    <w:rsid w:val="0030143F"/>
    <w:rsid w:val="00301BCD"/>
    <w:rsid w:val="003024C7"/>
    <w:rsid w:val="00303636"/>
    <w:rsid w:val="00303ACF"/>
    <w:rsid w:val="0030463E"/>
    <w:rsid w:val="003047AB"/>
    <w:rsid w:val="00304ED6"/>
    <w:rsid w:val="0030661C"/>
    <w:rsid w:val="00306D5D"/>
    <w:rsid w:val="00306FF4"/>
    <w:rsid w:val="003074C6"/>
    <w:rsid w:val="00307A08"/>
    <w:rsid w:val="0031060A"/>
    <w:rsid w:val="00310EE1"/>
    <w:rsid w:val="003122B0"/>
    <w:rsid w:val="00312390"/>
    <w:rsid w:val="003138EB"/>
    <w:rsid w:val="003139DD"/>
    <w:rsid w:val="0031450D"/>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827"/>
    <w:rsid w:val="00324A1D"/>
    <w:rsid w:val="00324C55"/>
    <w:rsid w:val="003250B4"/>
    <w:rsid w:val="00325607"/>
    <w:rsid w:val="00325742"/>
    <w:rsid w:val="0032631C"/>
    <w:rsid w:val="00327AB3"/>
    <w:rsid w:val="00327F9E"/>
    <w:rsid w:val="00330527"/>
    <w:rsid w:val="003318A6"/>
    <w:rsid w:val="00331D51"/>
    <w:rsid w:val="003321A8"/>
    <w:rsid w:val="00332EB1"/>
    <w:rsid w:val="003331BB"/>
    <w:rsid w:val="00333E63"/>
    <w:rsid w:val="00334044"/>
    <w:rsid w:val="0033497C"/>
    <w:rsid w:val="00334C1F"/>
    <w:rsid w:val="00334FA0"/>
    <w:rsid w:val="00335188"/>
    <w:rsid w:val="00335234"/>
    <w:rsid w:val="003365C4"/>
    <w:rsid w:val="003373B8"/>
    <w:rsid w:val="00340402"/>
    <w:rsid w:val="003413F4"/>
    <w:rsid w:val="00342DC1"/>
    <w:rsid w:val="00342EF7"/>
    <w:rsid w:val="003432B6"/>
    <w:rsid w:val="00343F41"/>
    <w:rsid w:val="0034427F"/>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2E52"/>
    <w:rsid w:val="00353860"/>
    <w:rsid w:val="00353C7B"/>
    <w:rsid w:val="00354CD9"/>
    <w:rsid w:val="003556C1"/>
    <w:rsid w:val="00355EEE"/>
    <w:rsid w:val="00356B23"/>
    <w:rsid w:val="00360494"/>
    <w:rsid w:val="00360C00"/>
    <w:rsid w:val="00360E7E"/>
    <w:rsid w:val="00361935"/>
    <w:rsid w:val="003626AE"/>
    <w:rsid w:val="003632AA"/>
    <w:rsid w:val="0036508D"/>
    <w:rsid w:val="003651C8"/>
    <w:rsid w:val="0036548D"/>
    <w:rsid w:val="00366321"/>
    <w:rsid w:val="003669F1"/>
    <w:rsid w:val="00366F10"/>
    <w:rsid w:val="003700A3"/>
    <w:rsid w:val="003706AA"/>
    <w:rsid w:val="00370B40"/>
    <w:rsid w:val="00371C15"/>
    <w:rsid w:val="003720AD"/>
    <w:rsid w:val="00372CDF"/>
    <w:rsid w:val="0037330D"/>
    <w:rsid w:val="00373411"/>
    <w:rsid w:val="00373D40"/>
    <w:rsid w:val="00373F52"/>
    <w:rsid w:val="003741F6"/>
    <w:rsid w:val="00374A29"/>
    <w:rsid w:val="00374FA4"/>
    <w:rsid w:val="003756C6"/>
    <w:rsid w:val="00375EFF"/>
    <w:rsid w:val="00376E35"/>
    <w:rsid w:val="003773E4"/>
    <w:rsid w:val="00377F6C"/>
    <w:rsid w:val="00380094"/>
    <w:rsid w:val="00380256"/>
    <w:rsid w:val="0038165D"/>
    <w:rsid w:val="00381812"/>
    <w:rsid w:val="00383071"/>
    <w:rsid w:val="00383BBC"/>
    <w:rsid w:val="0038418D"/>
    <w:rsid w:val="003849DF"/>
    <w:rsid w:val="00385444"/>
    <w:rsid w:val="00385717"/>
    <w:rsid w:val="00385C8D"/>
    <w:rsid w:val="00385F39"/>
    <w:rsid w:val="00386070"/>
    <w:rsid w:val="003900A5"/>
    <w:rsid w:val="00390941"/>
    <w:rsid w:val="003917AD"/>
    <w:rsid w:val="00391FAB"/>
    <w:rsid w:val="00392539"/>
    <w:rsid w:val="00392677"/>
    <w:rsid w:val="00393431"/>
    <w:rsid w:val="00393633"/>
    <w:rsid w:val="00393B41"/>
    <w:rsid w:val="003945E2"/>
    <w:rsid w:val="00394981"/>
    <w:rsid w:val="00394B49"/>
    <w:rsid w:val="003953A8"/>
    <w:rsid w:val="003958E6"/>
    <w:rsid w:val="00395D76"/>
    <w:rsid w:val="00396F7B"/>
    <w:rsid w:val="00396FA3"/>
    <w:rsid w:val="00397077"/>
    <w:rsid w:val="0039788E"/>
    <w:rsid w:val="00397BCF"/>
    <w:rsid w:val="00397F0D"/>
    <w:rsid w:val="003A0DC3"/>
    <w:rsid w:val="003A1CF5"/>
    <w:rsid w:val="003A2812"/>
    <w:rsid w:val="003A2D0C"/>
    <w:rsid w:val="003A3298"/>
    <w:rsid w:val="003A3304"/>
    <w:rsid w:val="003A3551"/>
    <w:rsid w:val="003A38F0"/>
    <w:rsid w:val="003A443D"/>
    <w:rsid w:val="003A4708"/>
    <w:rsid w:val="003A4BAB"/>
    <w:rsid w:val="003A6A5A"/>
    <w:rsid w:val="003A72E9"/>
    <w:rsid w:val="003B06AD"/>
    <w:rsid w:val="003B06B9"/>
    <w:rsid w:val="003B0979"/>
    <w:rsid w:val="003B15E9"/>
    <w:rsid w:val="003B175A"/>
    <w:rsid w:val="003B3231"/>
    <w:rsid w:val="003B357A"/>
    <w:rsid w:val="003B4714"/>
    <w:rsid w:val="003B499C"/>
    <w:rsid w:val="003B4CCD"/>
    <w:rsid w:val="003B53D4"/>
    <w:rsid w:val="003B5976"/>
    <w:rsid w:val="003B7298"/>
    <w:rsid w:val="003C0036"/>
    <w:rsid w:val="003C0FF8"/>
    <w:rsid w:val="003C3ABB"/>
    <w:rsid w:val="003C43DA"/>
    <w:rsid w:val="003C4FD5"/>
    <w:rsid w:val="003C5585"/>
    <w:rsid w:val="003C57DD"/>
    <w:rsid w:val="003C582B"/>
    <w:rsid w:val="003C614D"/>
    <w:rsid w:val="003C77E9"/>
    <w:rsid w:val="003D152F"/>
    <w:rsid w:val="003D19EE"/>
    <w:rsid w:val="003D2333"/>
    <w:rsid w:val="003D2374"/>
    <w:rsid w:val="003D2B3A"/>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6E11"/>
    <w:rsid w:val="003E6EE2"/>
    <w:rsid w:val="003E7BA8"/>
    <w:rsid w:val="003F0536"/>
    <w:rsid w:val="003F10D3"/>
    <w:rsid w:val="003F1548"/>
    <w:rsid w:val="003F2B3D"/>
    <w:rsid w:val="003F2EDF"/>
    <w:rsid w:val="003F3105"/>
    <w:rsid w:val="003F3BBA"/>
    <w:rsid w:val="003F3C44"/>
    <w:rsid w:val="003F4172"/>
    <w:rsid w:val="003F4249"/>
    <w:rsid w:val="003F4E3B"/>
    <w:rsid w:val="003F5086"/>
    <w:rsid w:val="003F5108"/>
    <w:rsid w:val="003F5D2C"/>
    <w:rsid w:val="003F64BC"/>
    <w:rsid w:val="003F6CAF"/>
    <w:rsid w:val="003F7679"/>
    <w:rsid w:val="004001D3"/>
    <w:rsid w:val="00400C13"/>
    <w:rsid w:val="00401A86"/>
    <w:rsid w:val="00401E65"/>
    <w:rsid w:val="00402311"/>
    <w:rsid w:val="0040239F"/>
    <w:rsid w:val="00402C97"/>
    <w:rsid w:val="00403364"/>
    <w:rsid w:val="00403411"/>
    <w:rsid w:val="004038BE"/>
    <w:rsid w:val="0040415C"/>
    <w:rsid w:val="00404AA4"/>
    <w:rsid w:val="00404C61"/>
    <w:rsid w:val="004050C9"/>
    <w:rsid w:val="004051F0"/>
    <w:rsid w:val="00406314"/>
    <w:rsid w:val="00406376"/>
    <w:rsid w:val="00406389"/>
    <w:rsid w:val="004063C0"/>
    <w:rsid w:val="00406896"/>
    <w:rsid w:val="00411B37"/>
    <w:rsid w:val="004125ED"/>
    <w:rsid w:val="00412B4D"/>
    <w:rsid w:val="00413B39"/>
    <w:rsid w:val="00413D4D"/>
    <w:rsid w:val="0041450E"/>
    <w:rsid w:val="0041456E"/>
    <w:rsid w:val="00414BE5"/>
    <w:rsid w:val="00415370"/>
    <w:rsid w:val="00415781"/>
    <w:rsid w:val="00416485"/>
    <w:rsid w:val="0041682D"/>
    <w:rsid w:val="00416F40"/>
    <w:rsid w:val="00417769"/>
    <w:rsid w:val="00417F0D"/>
    <w:rsid w:val="00421795"/>
    <w:rsid w:val="00421EF2"/>
    <w:rsid w:val="00422668"/>
    <w:rsid w:val="004252CD"/>
    <w:rsid w:val="0042602D"/>
    <w:rsid w:val="00427004"/>
    <w:rsid w:val="0042772E"/>
    <w:rsid w:val="00430CF3"/>
    <w:rsid w:val="00431AC1"/>
    <w:rsid w:val="00431DE1"/>
    <w:rsid w:val="004329C9"/>
    <w:rsid w:val="00432CD5"/>
    <w:rsid w:val="00433CDB"/>
    <w:rsid w:val="00435D29"/>
    <w:rsid w:val="00435E5A"/>
    <w:rsid w:val="004363FA"/>
    <w:rsid w:val="004364CC"/>
    <w:rsid w:val="00436829"/>
    <w:rsid w:val="00436C29"/>
    <w:rsid w:val="00437141"/>
    <w:rsid w:val="004405B0"/>
    <w:rsid w:val="00441905"/>
    <w:rsid w:val="00441FF9"/>
    <w:rsid w:val="0044382F"/>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F8A"/>
    <w:rsid w:val="00454597"/>
    <w:rsid w:val="004548E6"/>
    <w:rsid w:val="0045543A"/>
    <w:rsid w:val="00455880"/>
    <w:rsid w:val="00455D1D"/>
    <w:rsid w:val="004561F9"/>
    <w:rsid w:val="0045637C"/>
    <w:rsid w:val="004569A3"/>
    <w:rsid w:val="00456A7F"/>
    <w:rsid w:val="004578ED"/>
    <w:rsid w:val="004611B6"/>
    <w:rsid w:val="00461997"/>
    <w:rsid w:val="00463F8B"/>
    <w:rsid w:val="004649AD"/>
    <w:rsid w:val="004650E7"/>
    <w:rsid w:val="0046687B"/>
    <w:rsid w:val="004674FB"/>
    <w:rsid w:val="00470418"/>
    <w:rsid w:val="004704DA"/>
    <w:rsid w:val="004704EA"/>
    <w:rsid w:val="0047056A"/>
    <w:rsid w:val="0047071D"/>
    <w:rsid w:val="00471464"/>
    <w:rsid w:val="004727C4"/>
    <w:rsid w:val="00472C7F"/>
    <w:rsid w:val="00473579"/>
    <w:rsid w:val="00474E5A"/>
    <w:rsid w:val="004754AE"/>
    <w:rsid w:val="0047558F"/>
    <w:rsid w:val="0047561A"/>
    <w:rsid w:val="00475FD5"/>
    <w:rsid w:val="0047770B"/>
    <w:rsid w:val="00477AFC"/>
    <w:rsid w:val="004812F4"/>
    <w:rsid w:val="0048231B"/>
    <w:rsid w:val="00482BD9"/>
    <w:rsid w:val="004838D4"/>
    <w:rsid w:val="004845AC"/>
    <w:rsid w:val="00484C31"/>
    <w:rsid w:val="00485E3C"/>
    <w:rsid w:val="00486F09"/>
    <w:rsid w:val="004877FB"/>
    <w:rsid w:val="004906DB"/>
    <w:rsid w:val="00490C0F"/>
    <w:rsid w:val="00491FF2"/>
    <w:rsid w:val="00492582"/>
    <w:rsid w:val="004925EE"/>
    <w:rsid w:val="00492735"/>
    <w:rsid w:val="004945E8"/>
    <w:rsid w:val="004946D8"/>
    <w:rsid w:val="00494FC9"/>
    <w:rsid w:val="00495228"/>
    <w:rsid w:val="004963B6"/>
    <w:rsid w:val="00497252"/>
    <w:rsid w:val="0049795E"/>
    <w:rsid w:val="004A1808"/>
    <w:rsid w:val="004A2013"/>
    <w:rsid w:val="004A201B"/>
    <w:rsid w:val="004A2B7A"/>
    <w:rsid w:val="004A3EB3"/>
    <w:rsid w:val="004A4377"/>
    <w:rsid w:val="004A4A51"/>
    <w:rsid w:val="004A57EB"/>
    <w:rsid w:val="004A5824"/>
    <w:rsid w:val="004A59D3"/>
    <w:rsid w:val="004A6D7C"/>
    <w:rsid w:val="004A6F11"/>
    <w:rsid w:val="004A74DD"/>
    <w:rsid w:val="004A7855"/>
    <w:rsid w:val="004B00D1"/>
    <w:rsid w:val="004B0B57"/>
    <w:rsid w:val="004B1278"/>
    <w:rsid w:val="004B1CAB"/>
    <w:rsid w:val="004B2FF9"/>
    <w:rsid w:val="004B3506"/>
    <w:rsid w:val="004B36ED"/>
    <w:rsid w:val="004B3D73"/>
    <w:rsid w:val="004B40DB"/>
    <w:rsid w:val="004B4EF6"/>
    <w:rsid w:val="004B612E"/>
    <w:rsid w:val="004B623B"/>
    <w:rsid w:val="004B6554"/>
    <w:rsid w:val="004B6655"/>
    <w:rsid w:val="004B6B22"/>
    <w:rsid w:val="004B6C50"/>
    <w:rsid w:val="004B77CB"/>
    <w:rsid w:val="004C0DA0"/>
    <w:rsid w:val="004C38BA"/>
    <w:rsid w:val="004C3E02"/>
    <w:rsid w:val="004C422D"/>
    <w:rsid w:val="004C4CEB"/>
    <w:rsid w:val="004C5CBA"/>
    <w:rsid w:val="004C60AC"/>
    <w:rsid w:val="004C6C09"/>
    <w:rsid w:val="004C6EA3"/>
    <w:rsid w:val="004C7C1E"/>
    <w:rsid w:val="004D000F"/>
    <w:rsid w:val="004D055D"/>
    <w:rsid w:val="004D1240"/>
    <w:rsid w:val="004D133B"/>
    <w:rsid w:val="004D49EE"/>
    <w:rsid w:val="004D4AE0"/>
    <w:rsid w:val="004D4C0B"/>
    <w:rsid w:val="004D512D"/>
    <w:rsid w:val="004D6042"/>
    <w:rsid w:val="004D62C0"/>
    <w:rsid w:val="004D63E8"/>
    <w:rsid w:val="004D69FC"/>
    <w:rsid w:val="004D7477"/>
    <w:rsid w:val="004D77BD"/>
    <w:rsid w:val="004D77DE"/>
    <w:rsid w:val="004D7BF4"/>
    <w:rsid w:val="004D7C92"/>
    <w:rsid w:val="004E0D46"/>
    <w:rsid w:val="004E295C"/>
    <w:rsid w:val="004E38B2"/>
    <w:rsid w:val="004E3936"/>
    <w:rsid w:val="004E4277"/>
    <w:rsid w:val="004E490B"/>
    <w:rsid w:val="004E57F7"/>
    <w:rsid w:val="004E5D9C"/>
    <w:rsid w:val="004E6707"/>
    <w:rsid w:val="004E6985"/>
    <w:rsid w:val="004E6B8E"/>
    <w:rsid w:val="004F0543"/>
    <w:rsid w:val="004F126D"/>
    <w:rsid w:val="004F2385"/>
    <w:rsid w:val="004F3A97"/>
    <w:rsid w:val="004F486D"/>
    <w:rsid w:val="004F5591"/>
    <w:rsid w:val="004F5D14"/>
    <w:rsid w:val="004F68DC"/>
    <w:rsid w:val="004F7FAD"/>
    <w:rsid w:val="00500F7A"/>
    <w:rsid w:val="005012AD"/>
    <w:rsid w:val="005016E5"/>
    <w:rsid w:val="00501A56"/>
    <w:rsid w:val="00501ACA"/>
    <w:rsid w:val="00502317"/>
    <w:rsid w:val="005027BB"/>
    <w:rsid w:val="00503415"/>
    <w:rsid w:val="005037E1"/>
    <w:rsid w:val="00503B5C"/>
    <w:rsid w:val="0050456A"/>
    <w:rsid w:val="005068E1"/>
    <w:rsid w:val="005077C5"/>
    <w:rsid w:val="00507F3A"/>
    <w:rsid w:val="0051168A"/>
    <w:rsid w:val="005117D2"/>
    <w:rsid w:val="005118A6"/>
    <w:rsid w:val="005122F4"/>
    <w:rsid w:val="0051292D"/>
    <w:rsid w:val="005131DC"/>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393"/>
    <w:rsid w:val="00531D28"/>
    <w:rsid w:val="005328A8"/>
    <w:rsid w:val="0053385A"/>
    <w:rsid w:val="00533920"/>
    <w:rsid w:val="00534F16"/>
    <w:rsid w:val="00535141"/>
    <w:rsid w:val="00535324"/>
    <w:rsid w:val="005363B4"/>
    <w:rsid w:val="0053712D"/>
    <w:rsid w:val="00537DA5"/>
    <w:rsid w:val="005403F4"/>
    <w:rsid w:val="00540D86"/>
    <w:rsid w:val="00541136"/>
    <w:rsid w:val="00541C39"/>
    <w:rsid w:val="0054216F"/>
    <w:rsid w:val="00542F18"/>
    <w:rsid w:val="00544853"/>
    <w:rsid w:val="00544CA5"/>
    <w:rsid w:val="005450E2"/>
    <w:rsid w:val="00545B19"/>
    <w:rsid w:val="005470DD"/>
    <w:rsid w:val="00547484"/>
    <w:rsid w:val="005476CE"/>
    <w:rsid w:val="0055035F"/>
    <w:rsid w:val="005507FD"/>
    <w:rsid w:val="005511C0"/>
    <w:rsid w:val="0055232C"/>
    <w:rsid w:val="0055278E"/>
    <w:rsid w:val="005533E8"/>
    <w:rsid w:val="00553C8A"/>
    <w:rsid w:val="00555488"/>
    <w:rsid w:val="0055549A"/>
    <w:rsid w:val="00555B18"/>
    <w:rsid w:val="00555C9C"/>
    <w:rsid w:val="0055641F"/>
    <w:rsid w:val="00556543"/>
    <w:rsid w:val="00556A4D"/>
    <w:rsid w:val="00556B00"/>
    <w:rsid w:val="00556E87"/>
    <w:rsid w:val="00556F16"/>
    <w:rsid w:val="00557319"/>
    <w:rsid w:val="0055764E"/>
    <w:rsid w:val="00560528"/>
    <w:rsid w:val="00561923"/>
    <w:rsid w:val="005622F8"/>
    <w:rsid w:val="0056310A"/>
    <w:rsid w:val="00563236"/>
    <w:rsid w:val="0056336F"/>
    <w:rsid w:val="005636C6"/>
    <w:rsid w:val="00565366"/>
    <w:rsid w:val="00565AF7"/>
    <w:rsid w:val="00570C34"/>
    <w:rsid w:val="00571020"/>
    <w:rsid w:val="0057189C"/>
    <w:rsid w:val="00571BD2"/>
    <w:rsid w:val="00571CD7"/>
    <w:rsid w:val="00571D59"/>
    <w:rsid w:val="00572E3E"/>
    <w:rsid w:val="005732E0"/>
    <w:rsid w:val="005738F7"/>
    <w:rsid w:val="0057420B"/>
    <w:rsid w:val="005756C1"/>
    <w:rsid w:val="0057593B"/>
    <w:rsid w:val="0057799B"/>
    <w:rsid w:val="00580280"/>
    <w:rsid w:val="00580B9E"/>
    <w:rsid w:val="0058135A"/>
    <w:rsid w:val="00583358"/>
    <w:rsid w:val="005839BF"/>
    <w:rsid w:val="00584058"/>
    <w:rsid w:val="005844A5"/>
    <w:rsid w:val="005846B4"/>
    <w:rsid w:val="005850E5"/>
    <w:rsid w:val="005851E0"/>
    <w:rsid w:val="00585571"/>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34E"/>
    <w:rsid w:val="005A0A5B"/>
    <w:rsid w:val="005A0B9F"/>
    <w:rsid w:val="005A0EFC"/>
    <w:rsid w:val="005A1692"/>
    <w:rsid w:val="005A286E"/>
    <w:rsid w:val="005A28BD"/>
    <w:rsid w:val="005A3DC0"/>
    <w:rsid w:val="005A44E7"/>
    <w:rsid w:val="005A5337"/>
    <w:rsid w:val="005A5D8E"/>
    <w:rsid w:val="005A63D8"/>
    <w:rsid w:val="005A6CC1"/>
    <w:rsid w:val="005A7C14"/>
    <w:rsid w:val="005A7C48"/>
    <w:rsid w:val="005A7DBE"/>
    <w:rsid w:val="005A7E1A"/>
    <w:rsid w:val="005B0476"/>
    <w:rsid w:val="005B1482"/>
    <w:rsid w:val="005B152C"/>
    <w:rsid w:val="005B1C64"/>
    <w:rsid w:val="005B1DE8"/>
    <w:rsid w:val="005B2590"/>
    <w:rsid w:val="005B25BC"/>
    <w:rsid w:val="005B2807"/>
    <w:rsid w:val="005B3606"/>
    <w:rsid w:val="005B3BFF"/>
    <w:rsid w:val="005B3E08"/>
    <w:rsid w:val="005B49B6"/>
    <w:rsid w:val="005B54D0"/>
    <w:rsid w:val="005B56EE"/>
    <w:rsid w:val="005B672C"/>
    <w:rsid w:val="005B747D"/>
    <w:rsid w:val="005B7733"/>
    <w:rsid w:val="005B7A22"/>
    <w:rsid w:val="005C0602"/>
    <w:rsid w:val="005C0D5D"/>
    <w:rsid w:val="005C0D70"/>
    <w:rsid w:val="005C191A"/>
    <w:rsid w:val="005C2AA9"/>
    <w:rsid w:val="005C330D"/>
    <w:rsid w:val="005C40C7"/>
    <w:rsid w:val="005C4114"/>
    <w:rsid w:val="005C4B98"/>
    <w:rsid w:val="005C4EFF"/>
    <w:rsid w:val="005C4F43"/>
    <w:rsid w:val="005D0B55"/>
    <w:rsid w:val="005D160D"/>
    <w:rsid w:val="005D356C"/>
    <w:rsid w:val="005D4A04"/>
    <w:rsid w:val="005D4CF7"/>
    <w:rsid w:val="005D5347"/>
    <w:rsid w:val="005D5CC5"/>
    <w:rsid w:val="005D5FE6"/>
    <w:rsid w:val="005D61EA"/>
    <w:rsid w:val="005D787B"/>
    <w:rsid w:val="005E031D"/>
    <w:rsid w:val="005E03AC"/>
    <w:rsid w:val="005E04B5"/>
    <w:rsid w:val="005E0D5C"/>
    <w:rsid w:val="005E12BE"/>
    <w:rsid w:val="005E191A"/>
    <w:rsid w:val="005E2C81"/>
    <w:rsid w:val="005E384C"/>
    <w:rsid w:val="005E4D3C"/>
    <w:rsid w:val="005E7158"/>
    <w:rsid w:val="005E7ECB"/>
    <w:rsid w:val="005E7F63"/>
    <w:rsid w:val="005F0C00"/>
    <w:rsid w:val="005F1037"/>
    <w:rsid w:val="005F2BF8"/>
    <w:rsid w:val="005F2EA8"/>
    <w:rsid w:val="005F5573"/>
    <w:rsid w:val="005F5D1D"/>
    <w:rsid w:val="005F60C9"/>
    <w:rsid w:val="005F64C6"/>
    <w:rsid w:val="005F6F05"/>
    <w:rsid w:val="006008F1"/>
    <w:rsid w:val="00601714"/>
    <w:rsid w:val="00601735"/>
    <w:rsid w:val="006029B8"/>
    <w:rsid w:val="00602BD2"/>
    <w:rsid w:val="00604980"/>
    <w:rsid w:val="00605BDB"/>
    <w:rsid w:val="0060614D"/>
    <w:rsid w:val="0061005A"/>
    <w:rsid w:val="006101C5"/>
    <w:rsid w:val="00610871"/>
    <w:rsid w:val="00610E48"/>
    <w:rsid w:val="0061160D"/>
    <w:rsid w:val="0061286C"/>
    <w:rsid w:val="00612E83"/>
    <w:rsid w:val="00613C47"/>
    <w:rsid w:val="00615086"/>
    <w:rsid w:val="00615B0A"/>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1"/>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50F81"/>
    <w:rsid w:val="00650FC7"/>
    <w:rsid w:val="006531B0"/>
    <w:rsid w:val="00653C24"/>
    <w:rsid w:val="00653D68"/>
    <w:rsid w:val="00654275"/>
    <w:rsid w:val="0065446D"/>
    <w:rsid w:val="00654894"/>
    <w:rsid w:val="00656067"/>
    <w:rsid w:val="00657381"/>
    <w:rsid w:val="0065746B"/>
    <w:rsid w:val="00660693"/>
    <w:rsid w:val="00660D86"/>
    <w:rsid w:val="006611D6"/>
    <w:rsid w:val="00661918"/>
    <w:rsid w:val="00662A5A"/>
    <w:rsid w:val="0066335C"/>
    <w:rsid w:val="006636D0"/>
    <w:rsid w:val="00663834"/>
    <w:rsid w:val="006647D7"/>
    <w:rsid w:val="00664F1B"/>
    <w:rsid w:val="006653D7"/>
    <w:rsid w:val="00665BFF"/>
    <w:rsid w:val="006665BA"/>
    <w:rsid w:val="00666A4F"/>
    <w:rsid w:val="00666B7F"/>
    <w:rsid w:val="00666DEC"/>
    <w:rsid w:val="00667477"/>
    <w:rsid w:val="006703D9"/>
    <w:rsid w:val="00670ADE"/>
    <w:rsid w:val="00672DFC"/>
    <w:rsid w:val="00672F5B"/>
    <w:rsid w:val="00673BD7"/>
    <w:rsid w:val="00673DEE"/>
    <w:rsid w:val="00674E69"/>
    <w:rsid w:val="00675144"/>
    <w:rsid w:val="00675A33"/>
    <w:rsid w:val="0067602A"/>
    <w:rsid w:val="006763ED"/>
    <w:rsid w:val="00676433"/>
    <w:rsid w:val="006767FD"/>
    <w:rsid w:val="0067720F"/>
    <w:rsid w:val="0067738E"/>
    <w:rsid w:val="00677F23"/>
    <w:rsid w:val="00680936"/>
    <w:rsid w:val="00680BBE"/>
    <w:rsid w:val="00680D8C"/>
    <w:rsid w:val="00680D99"/>
    <w:rsid w:val="006821B2"/>
    <w:rsid w:val="00682725"/>
    <w:rsid w:val="00682A1B"/>
    <w:rsid w:val="00682D73"/>
    <w:rsid w:val="00682ED3"/>
    <w:rsid w:val="006846E8"/>
    <w:rsid w:val="0068541E"/>
    <w:rsid w:val="00685E9D"/>
    <w:rsid w:val="00685EBD"/>
    <w:rsid w:val="0068605C"/>
    <w:rsid w:val="006861C3"/>
    <w:rsid w:val="00686AF3"/>
    <w:rsid w:val="00690F1F"/>
    <w:rsid w:val="006915BD"/>
    <w:rsid w:val="00691A6B"/>
    <w:rsid w:val="00692582"/>
    <w:rsid w:val="00692592"/>
    <w:rsid w:val="00692A2F"/>
    <w:rsid w:val="0069322C"/>
    <w:rsid w:val="00693652"/>
    <w:rsid w:val="006939E7"/>
    <w:rsid w:val="00693D3E"/>
    <w:rsid w:val="006942F7"/>
    <w:rsid w:val="006956FB"/>
    <w:rsid w:val="00695BC7"/>
    <w:rsid w:val="006969AD"/>
    <w:rsid w:val="00696F7B"/>
    <w:rsid w:val="006A01FB"/>
    <w:rsid w:val="006A07DF"/>
    <w:rsid w:val="006A1093"/>
    <w:rsid w:val="006A1D3D"/>
    <w:rsid w:val="006A2150"/>
    <w:rsid w:val="006A2216"/>
    <w:rsid w:val="006A241D"/>
    <w:rsid w:val="006A3288"/>
    <w:rsid w:val="006A43E6"/>
    <w:rsid w:val="006A4AEE"/>
    <w:rsid w:val="006A526F"/>
    <w:rsid w:val="006A70BE"/>
    <w:rsid w:val="006A7934"/>
    <w:rsid w:val="006B0001"/>
    <w:rsid w:val="006B04AF"/>
    <w:rsid w:val="006B059F"/>
    <w:rsid w:val="006B0A56"/>
    <w:rsid w:val="006B2048"/>
    <w:rsid w:val="006B20A6"/>
    <w:rsid w:val="006B32D5"/>
    <w:rsid w:val="006B342E"/>
    <w:rsid w:val="006B3812"/>
    <w:rsid w:val="006B3B80"/>
    <w:rsid w:val="006B6870"/>
    <w:rsid w:val="006B6F32"/>
    <w:rsid w:val="006B7130"/>
    <w:rsid w:val="006B73CC"/>
    <w:rsid w:val="006B7695"/>
    <w:rsid w:val="006C0176"/>
    <w:rsid w:val="006C2994"/>
    <w:rsid w:val="006C35EC"/>
    <w:rsid w:val="006C4150"/>
    <w:rsid w:val="006C4382"/>
    <w:rsid w:val="006C5683"/>
    <w:rsid w:val="006C5E33"/>
    <w:rsid w:val="006C5E48"/>
    <w:rsid w:val="006C6434"/>
    <w:rsid w:val="006C6984"/>
    <w:rsid w:val="006C6CD8"/>
    <w:rsid w:val="006C70BB"/>
    <w:rsid w:val="006C7528"/>
    <w:rsid w:val="006C7823"/>
    <w:rsid w:val="006C7EB1"/>
    <w:rsid w:val="006D013F"/>
    <w:rsid w:val="006D017F"/>
    <w:rsid w:val="006D08BD"/>
    <w:rsid w:val="006D0F8E"/>
    <w:rsid w:val="006D1416"/>
    <w:rsid w:val="006D1D3F"/>
    <w:rsid w:val="006D253B"/>
    <w:rsid w:val="006D325A"/>
    <w:rsid w:val="006D407B"/>
    <w:rsid w:val="006D4242"/>
    <w:rsid w:val="006D44E6"/>
    <w:rsid w:val="006D45F0"/>
    <w:rsid w:val="006D4C8F"/>
    <w:rsid w:val="006D52A0"/>
    <w:rsid w:val="006D57CB"/>
    <w:rsid w:val="006D5819"/>
    <w:rsid w:val="006D5E6F"/>
    <w:rsid w:val="006D693F"/>
    <w:rsid w:val="006D6CDD"/>
    <w:rsid w:val="006D7604"/>
    <w:rsid w:val="006D765E"/>
    <w:rsid w:val="006E01A9"/>
    <w:rsid w:val="006E03D1"/>
    <w:rsid w:val="006E0455"/>
    <w:rsid w:val="006E150D"/>
    <w:rsid w:val="006E3289"/>
    <w:rsid w:val="006E33E4"/>
    <w:rsid w:val="006E4238"/>
    <w:rsid w:val="006E5F01"/>
    <w:rsid w:val="006E5F88"/>
    <w:rsid w:val="006E7404"/>
    <w:rsid w:val="006E7B97"/>
    <w:rsid w:val="006F1DE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4BF"/>
    <w:rsid w:val="00706A58"/>
    <w:rsid w:val="00707517"/>
    <w:rsid w:val="007078ED"/>
    <w:rsid w:val="00710187"/>
    <w:rsid w:val="007110E1"/>
    <w:rsid w:val="00711B18"/>
    <w:rsid w:val="00714394"/>
    <w:rsid w:val="00714ED6"/>
    <w:rsid w:val="007151B7"/>
    <w:rsid w:val="00715E8D"/>
    <w:rsid w:val="00716D8A"/>
    <w:rsid w:val="00717854"/>
    <w:rsid w:val="00721C26"/>
    <w:rsid w:val="00721F7E"/>
    <w:rsid w:val="00722C0F"/>
    <w:rsid w:val="00722E29"/>
    <w:rsid w:val="00723ECB"/>
    <w:rsid w:val="00724606"/>
    <w:rsid w:val="00724A36"/>
    <w:rsid w:val="00724A60"/>
    <w:rsid w:val="00724E85"/>
    <w:rsid w:val="00725113"/>
    <w:rsid w:val="0072525D"/>
    <w:rsid w:val="00725A26"/>
    <w:rsid w:val="00726E8A"/>
    <w:rsid w:val="00727047"/>
    <w:rsid w:val="00734510"/>
    <w:rsid w:val="00734887"/>
    <w:rsid w:val="007365B6"/>
    <w:rsid w:val="007373C8"/>
    <w:rsid w:val="007401E2"/>
    <w:rsid w:val="00740205"/>
    <w:rsid w:val="00740D67"/>
    <w:rsid w:val="007411E5"/>
    <w:rsid w:val="00741605"/>
    <w:rsid w:val="00742AD3"/>
    <w:rsid w:val="00742F72"/>
    <w:rsid w:val="007436F2"/>
    <w:rsid w:val="0074436D"/>
    <w:rsid w:val="007446DA"/>
    <w:rsid w:val="007462C2"/>
    <w:rsid w:val="00746772"/>
    <w:rsid w:val="00746951"/>
    <w:rsid w:val="00746F65"/>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0C9"/>
    <w:rsid w:val="00762BB6"/>
    <w:rsid w:val="0076341D"/>
    <w:rsid w:val="0076446D"/>
    <w:rsid w:val="007647EF"/>
    <w:rsid w:val="0076542B"/>
    <w:rsid w:val="00765DD8"/>
    <w:rsid w:val="00766B33"/>
    <w:rsid w:val="00766D36"/>
    <w:rsid w:val="007671DC"/>
    <w:rsid w:val="00767607"/>
    <w:rsid w:val="00767ACD"/>
    <w:rsid w:val="00767C0D"/>
    <w:rsid w:val="00767E70"/>
    <w:rsid w:val="007705B5"/>
    <w:rsid w:val="00770B08"/>
    <w:rsid w:val="007720B8"/>
    <w:rsid w:val="0077270D"/>
    <w:rsid w:val="00773874"/>
    <w:rsid w:val="00774B47"/>
    <w:rsid w:val="00775D3B"/>
    <w:rsid w:val="0077615A"/>
    <w:rsid w:val="00777483"/>
    <w:rsid w:val="007806A0"/>
    <w:rsid w:val="00782346"/>
    <w:rsid w:val="007828DB"/>
    <w:rsid w:val="00783675"/>
    <w:rsid w:val="007838CD"/>
    <w:rsid w:val="007840F3"/>
    <w:rsid w:val="00784EC7"/>
    <w:rsid w:val="00785491"/>
    <w:rsid w:val="007858C0"/>
    <w:rsid w:val="00785C4E"/>
    <w:rsid w:val="0078679A"/>
    <w:rsid w:val="007871FE"/>
    <w:rsid w:val="007902AD"/>
    <w:rsid w:val="00790606"/>
    <w:rsid w:val="007908ED"/>
    <w:rsid w:val="00790F74"/>
    <w:rsid w:val="007912E8"/>
    <w:rsid w:val="00792288"/>
    <w:rsid w:val="00792447"/>
    <w:rsid w:val="007928C6"/>
    <w:rsid w:val="007929C0"/>
    <w:rsid w:val="00794F7C"/>
    <w:rsid w:val="007951F4"/>
    <w:rsid w:val="0079694C"/>
    <w:rsid w:val="00797AF9"/>
    <w:rsid w:val="00797FBD"/>
    <w:rsid w:val="007A0187"/>
    <w:rsid w:val="007A19AC"/>
    <w:rsid w:val="007A2640"/>
    <w:rsid w:val="007A268F"/>
    <w:rsid w:val="007A4A53"/>
    <w:rsid w:val="007A4C93"/>
    <w:rsid w:val="007A4E17"/>
    <w:rsid w:val="007A5AC6"/>
    <w:rsid w:val="007A6A01"/>
    <w:rsid w:val="007A7D0A"/>
    <w:rsid w:val="007A7F6D"/>
    <w:rsid w:val="007B0799"/>
    <w:rsid w:val="007B0FBD"/>
    <w:rsid w:val="007B1025"/>
    <w:rsid w:val="007B1BAF"/>
    <w:rsid w:val="007B2393"/>
    <w:rsid w:val="007B2DF8"/>
    <w:rsid w:val="007B2FE8"/>
    <w:rsid w:val="007B30DB"/>
    <w:rsid w:val="007B35F7"/>
    <w:rsid w:val="007B4DD5"/>
    <w:rsid w:val="007B4F72"/>
    <w:rsid w:val="007B5148"/>
    <w:rsid w:val="007B5A16"/>
    <w:rsid w:val="007B660D"/>
    <w:rsid w:val="007B7219"/>
    <w:rsid w:val="007C03FE"/>
    <w:rsid w:val="007C0E04"/>
    <w:rsid w:val="007C17D3"/>
    <w:rsid w:val="007C1E98"/>
    <w:rsid w:val="007C1FA2"/>
    <w:rsid w:val="007C2827"/>
    <w:rsid w:val="007C3A26"/>
    <w:rsid w:val="007C4032"/>
    <w:rsid w:val="007C4CE1"/>
    <w:rsid w:val="007C537A"/>
    <w:rsid w:val="007C57D1"/>
    <w:rsid w:val="007C6B3E"/>
    <w:rsid w:val="007C6F13"/>
    <w:rsid w:val="007C7130"/>
    <w:rsid w:val="007C74E5"/>
    <w:rsid w:val="007C7DAB"/>
    <w:rsid w:val="007C7F57"/>
    <w:rsid w:val="007D0348"/>
    <w:rsid w:val="007D0E43"/>
    <w:rsid w:val="007D13E7"/>
    <w:rsid w:val="007D153B"/>
    <w:rsid w:val="007D1E37"/>
    <w:rsid w:val="007D2256"/>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BF"/>
    <w:rsid w:val="007E12DC"/>
    <w:rsid w:val="007E1760"/>
    <w:rsid w:val="007E21FB"/>
    <w:rsid w:val="007E2474"/>
    <w:rsid w:val="007E3B9D"/>
    <w:rsid w:val="007E420B"/>
    <w:rsid w:val="007E46BC"/>
    <w:rsid w:val="007E4932"/>
    <w:rsid w:val="007E4CAD"/>
    <w:rsid w:val="007E502C"/>
    <w:rsid w:val="007E516A"/>
    <w:rsid w:val="007E5BD7"/>
    <w:rsid w:val="007E6761"/>
    <w:rsid w:val="007E709E"/>
    <w:rsid w:val="007E75F0"/>
    <w:rsid w:val="007E7968"/>
    <w:rsid w:val="007E7992"/>
    <w:rsid w:val="007E79C4"/>
    <w:rsid w:val="007F013A"/>
    <w:rsid w:val="007F0730"/>
    <w:rsid w:val="007F1D54"/>
    <w:rsid w:val="007F20A0"/>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3A4"/>
    <w:rsid w:val="00807C6C"/>
    <w:rsid w:val="00807C7A"/>
    <w:rsid w:val="008115ED"/>
    <w:rsid w:val="00811A42"/>
    <w:rsid w:val="0081254B"/>
    <w:rsid w:val="008132BB"/>
    <w:rsid w:val="0081340B"/>
    <w:rsid w:val="00813788"/>
    <w:rsid w:val="00813F40"/>
    <w:rsid w:val="00814FED"/>
    <w:rsid w:val="00815822"/>
    <w:rsid w:val="00815B93"/>
    <w:rsid w:val="00815BA2"/>
    <w:rsid w:val="00816585"/>
    <w:rsid w:val="00817364"/>
    <w:rsid w:val="00817BB4"/>
    <w:rsid w:val="00817E4F"/>
    <w:rsid w:val="00820F5B"/>
    <w:rsid w:val="00821021"/>
    <w:rsid w:val="008214BB"/>
    <w:rsid w:val="00821B58"/>
    <w:rsid w:val="00822136"/>
    <w:rsid w:val="00822D4E"/>
    <w:rsid w:val="00822FBA"/>
    <w:rsid w:val="0082398C"/>
    <w:rsid w:val="00824FAD"/>
    <w:rsid w:val="00824FF1"/>
    <w:rsid w:val="00825196"/>
    <w:rsid w:val="00826F4C"/>
    <w:rsid w:val="00831573"/>
    <w:rsid w:val="00833B1C"/>
    <w:rsid w:val="00833C51"/>
    <w:rsid w:val="008349A6"/>
    <w:rsid w:val="00835271"/>
    <w:rsid w:val="00835679"/>
    <w:rsid w:val="008360DF"/>
    <w:rsid w:val="0083614B"/>
    <w:rsid w:val="0083731C"/>
    <w:rsid w:val="008377DA"/>
    <w:rsid w:val="00837BD7"/>
    <w:rsid w:val="00840591"/>
    <w:rsid w:val="00841F21"/>
    <w:rsid w:val="00842991"/>
    <w:rsid w:val="008429B0"/>
    <w:rsid w:val="00843900"/>
    <w:rsid w:val="00844C5B"/>
    <w:rsid w:val="0084581F"/>
    <w:rsid w:val="00845898"/>
    <w:rsid w:val="00845A15"/>
    <w:rsid w:val="0084632F"/>
    <w:rsid w:val="00852528"/>
    <w:rsid w:val="008541F1"/>
    <w:rsid w:val="008543F7"/>
    <w:rsid w:val="008545DC"/>
    <w:rsid w:val="00854A7E"/>
    <w:rsid w:val="00854A98"/>
    <w:rsid w:val="00855209"/>
    <w:rsid w:val="00855B06"/>
    <w:rsid w:val="00855B6B"/>
    <w:rsid w:val="00856B95"/>
    <w:rsid w:val="00856D1A"/>
    <w:rsid w:val="00857D29"/>
    <w:rsid w:val="0086161C"/>
    <w:rsid w:val="0086225C"/>
    <w:rsid w:val="008629A8"/>
    <w:rsid w:val="00863225"/>
    <w:rsid w:val="00863ADA"/>
    <w:rsid w:val="00864063"/>
    <w:rsid w:val="00864BF6"/>
    <w:rsid w:val="00865266"/>
    <w:rsid w:val="00865BAA"/>
    <w:rsid w:val="008677CB"/>
    <w:rsid w:val="0087056E"/>
    <w:rsid w:val="00870CB6"/>
    <w:rsid w:val="00870CC5"/>
    <w:rsid w:val="00870DD7"/>
    <w:rsid w:val="008737AE"/>
    <w:rsid w:val="00873F17"/>
    <w:rsid w:val="00873FEA"/>
    <w:rsid w:val="0087419B"/>
    <w:rsid w:val="00874592"/>
    <w:rsid w:val="0087467E"/>
    <w:rsid w:val="0087515E"/>
    <w:rsid w:val="008751C1"/>
    <w:rsid w:val="00875AAD"/>
    <w:rsid w:val="00876C1B"/>
    <w:rsid w:val="00876E70"/>
    <w:rsid w:val="008804E1"/>
    <w:rsid w:val="00880E30"/>
    <w:rsid w:val="008815B6"/>
    <w:rsid w:val="008818F6"/>
    <w:rsid w:val="00881D45"/>
    <w:rsid w:val="008829F8"/>
    <w:rsid w:val="0088398E"/>
    <w:rsid w:val="00885182"/>
    <w:rsid w:val="0088647E"/>
    <w:rsid w:val="00887E02"/>
    <w:rsid w:val="00890382"/>
    <w:rsid w:val="0089046A"/>
    <w:rsid w:val="00891106"/>
    <w:rsid w:val="00892833"/>
    <w:rsid w:val="00893479"/>
    <w:rsid w:val="0089375D"/>
    <w:rsid w:val="008943CB"/>
    <w:rsid w:val="008946B9"/>
    <w:rsid w:val="008960A2"/>
    <w:rsid w:val="008979BC"/>
    <w:rsid w:val="008A056E"/>
    <w:rsid w:val="008A0882"/>
    <w:rsid w:val="008A10C1"/>
    <w:rsid w:val="008A181A"/>
    <w:rsid w:val="008A1C47"/>
    <w:rsid w:val="008A2289"/>
    <w:rsid w:val="008A3766"/>
    <w:rsid w:val="008A4F66"/>
    <w:rsid w:val="008A5290"/>
    <w:rsid w:val="008A593A"/>
    <w:rsid w:val="008A6A60"/>
    <w:rsid w:val="008A6C5A"/>
    <w:rsid w:val="008A6CCA"/>
    <w:rsid w:val="008B1B85"/>
    <w:rsid w:val="008B1B8C"/>
    <w:rsid w:val="008B2518"/>
    <w:rsid w:val="008B25B1"/>
    <w:rsid w:val="008B2C59"/>
    <w:rsid w:val="008B2DF3"/>
    <w:rsid w:val="008B353B"/>
    <w:rsid w:val="008B376A"/>
    <w:rsid w:val="008B444E"/>
    <w:rsid w:val="008B4E0E"/>
    <w:rsid w:val="008B569F"/>
    <w:rsid w:val="008B7220"/>
    <w:rsid w:val="008C0669"/>
    <w:rsid w:val="008C08A5"/>
    <w:rsid w:val="008C1DD7"/>
    <w:rsid w:val="008C200D"/>
    <w:rsid w:val="008C26FA"/>
    <w:rsid w:val="008C36BB"/>
    <w:rsid w:val="008C4566"/>
    <w:rsid w:val="008C46B6"/>
    <w:rsid w:val="008C46C3"/>
    <w:rsid w:val="008C522A"/>
    <w:rsid w:val="008C5E71"/>
    <w:rsid w:val="008C64E3"/>
    <w:rsid w:val="008C6A8B"/>
    <w:rsid w:val="008C77F7"/>
    <w:rsid w:val="008D00EA"/>
    <w:rsid w:val="008D0D1E"/>
    <w:rsid w:val="008D1175"/>
    <w:rsid w:val="008D13C7"/>
    <w:rsid w:val="008D1627"/>
    <w:rsid w:val="008D1DA0"/>
    <w:rsid w:val="008D284E"/>
    <w:rsid w:val="008D4D90"/>
    <w:rsid w:val="008D4ED3"/>
    <w:rsid w:val="008D54BF"/>
    <w:rsid w:val="008D5DC6"/>
    <w:rsid w:val="008D6A11"/>
    <w:rsid w:val="008E0D4B"/>
    <w:rsid w:val="008E1A5C"/>
    <w:rsid w:val="008E1C27"/>
    <w:rsid w:val="008E1E54"/>
    <w:rsid w:val="008E2057"/>
    <w:rsid w:val="008E264D"/>
    <w:rsid w:val="008E2DA6"/>
    <w:rsid w:val="008E31EC"/>
    <w:rsid w:val="008E3512"/>
    <w:rsid w:val="008E3C88"/>
    <w:rsid w:val="008E4E17"/>
    <w:rsid w:val="008E5337"/>
    <w:rsid w:val="008E610D"/>
    <w:rsid w:val="008E6F8D"/>
    <w:rsid w:val="008E78F2"/>
    <w:rsid w:val="008E7B12"/>
    <w:rsid w:val="008F022C"/>
    <w:rsid w:val="008F2A60"/>
    <w:rsid w:val="008F310D"/>
    <w:rsid w:val="008F3888"/>
    <w:rsid w:val="008F3A90"/>
    <w:rsid w:val="008F3B22"/>
    <w:rsid w:val="008F43C7"/>
    <w:rsid w:val="008F4823"/>
    <w:rsid w:val="008F551B"/>
    <w:rsid w:val="008F606D"/>
    <w:rsid w:val="008F6597"/>
    <w:rsid w:val="008F7150"/>
    <w:rsid w:val="008F71CC"/>
    <w:rsid w:val="008F721C"/>
    <w:rsid w:val="008F757D"/>
    <w:rsid w:val="00900662"/>
    <w:rsid w:val="00900E35"/>
    <w:rsid w:val="00901953"/>
    <w:rsid w:val="00901DF8"/>
    <w:rsid w:val="00902166"/>
    <w:rsid w:val="00902A0C"/>
    <w:rsid w:val="009040A1"/>
    <w:rsid w:val="009043AA"/>
    <w:rsid w:val="0090473B"/>
    <w:rsid w:val="0090487F"/>
    <w:rsid w:val="00905282"/>
    <w:rsid w:val="00905908"/>
    <w:rsid w:val="00906C96"/>
    <w:rsid w:val="009075A4"/>
    <w:rsid w:val="009101AF"/>
    <w:rsid w:val="00910400"/>
    <w:rsid w:val="00911808"/>
    <w:rsid w:val="00912F37"/>
    <w:rsid w:val="009131C8"/>
    <w:rsid w:val="009145FB"/>
    <w:rsid w:val="00914811"/>
    <w:rsid w:val="00915283"/>
    <w:rsid w:val="00915786"/>
    <w:rsid w:val="00917141"/>
    <w:rsid w:val="0091746C"/>
    <w:rsid w:val="00917B7C"/>
    <w:rsid w:val="00917D06"/>
    <w:rsid w:val="009207DB"/>
    <w:rsid w:val="00921879"/>
    <w:rsid w:val="00922024"/>
    <w:rsid w:val="009233CE"/>
    <w:rsid w:val="00923C3F"/>
    <w:rsid w:val="00924853"/>
    <w:rsid w:val="009252E0"/>
    <w:rsid w:val="00925501"/>
    <w:rsid w:val="00926982"/>
    <w:rsid w:val="00926B5A"/>
    <w:rsid w:val="00926D4C"/>
    <w:rsid w:val="009270C4"/>
    <w:rsid w:val="00931743"/>
    <w:rsid w:val="009325F7"/>
    <w:rsid w:val="00932BCF"/>
    <w:rsid w:val="00933396"/>
    <w:rsid w:val="00933761"/>
    <w:rsid w:val="00934D73"/>
    <w:rsid w:val="00935042"/>
    <w:rsid w:val="00936CC6"/>
    <w:rsid w:val="0093740F"/>
    <w:rsid w:val="00937B4A"/>
    <w:rsid w:val="00937BE9"/>
    <w:rsid w:val="00937C1D"/>
    <w:rsid w:val="00940804"/>
    <w:rsid w:val="00940E9B"/>
    <w:rsid w:val="00940FC3"/>
    <w:rsid w:val="009410B3"/>
    <w:rsid w:val="0094131D"/>
    <w:rsid w:val="0094166C"/>
    <w:rsid w:val="00942120"/>
    <w:rsid w:val="009425F7"/>
    <w:rsid w:val="00943827"/>
    <w:rsid w:val="00943BC0"/>
    <w:rsid w:val="00944BF0"/>
    <w:rsid w:val="00946136"/>
    <w:rsid w:val="00946CD9"/>
    <w:rsid w:val="00947046"/>
    <w:rsid w:val="00947A00"/>
    <w:rsid w:val="009505F4"/>
    <w:rsid w:val="00951216"/>
    <w:rsid w:val="0095279B"/>
    <w:rsid w:val="0095316C"/>
    <w:rsid w:val="00954282"/>
    <w:rsid w:val="00954427"/>
    <w:rsid w:val="009545B9"/>
    <w:rsid w:val="009564ED"/>
    <w:rsid w:val="00956CA2"/>
    <w:rsid w:val="00960385"/>
    <w:rsid w:val="0096079B"/>
    <w:rsid w:val="00960CA9"/>
    <w:rsid w:val="0096218D"/>
    <w:rsid w:val="00964509"/>
    <w:rsid w:val="00964525"/>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8E"/>
    <w:rsid w:val="0098177A"/>
    <w:rsid w:val="00982633"/>
    <w:rsid w:val="00983583"/>
    <w:rsid w:val="00983EFD"/>
    <w:rsid w:val="009855B0"/>
    <w:rsid w:val="009859A8"/>
    <w:rsid w:val="00985A7D"/>
    <w:rsid w:val="00986257"/>
    <w:rsid w:val="0098658A"/>
    <w:rsid w:val="00986861"/>
    <w:rsid w:val="00987CBC"/>
    <w:rsid w:val="00990E34"/>
    <w:rsid w:val="00991EB0"/>
    <w:rsid w:val="0099212B"/>
    <w:rsid w:val="0099245F"/>
    <w:rsid w:val="009928FA"/>
    <w:rsid w:val="009937B4"/>
    <w:rsid w:val="00994B5F"/>
    <w:rsid w:val="00995768"/>
    <w:rsid w:val="00996326"/>
    <w:rsid w:val="00996B7D"/>
    <w:rsid w:val="00996F95"/>
    <w:rsid w:val="00997745"/>
    <w:rsid w:val="00997EA5"/>
    <w:rsid w:val="009A07D5"/>
    <w:rsid w:val="009A1303"/>
    <w:rsid w:val="009A1BC9"/>
    <w:rsid w:val="009A1FE7"/>
    <w:rsid w:val="009A2967"/>
    <w:rsid w:val="009A36B7"/>
    <w:rsid w:val="009A3720"/>
    <w:rsid w:val="009A42CF"/>
    <w:rsid w:val="009A44E8"/>
    <w:rsid w:val="009A4A49"/>
    <w:rsid w:val="009A581E"/>
    <w:rsid w:val="009A679E"/>
    <w:rsid w:val="009B0460"/>
    <w:rsid w:val="009B13AF"/>
    <w:rsid w:val="009B1DA5"/>
    <w:rsid w:val="009B1E1D"/>
    <w:rsid w:val="009B2602"/>
    <w:rsid w:val="009B28FD"/>
    <w:rsid w:val="009B2AD6"/>
    <w:rsid w:val="009B3172"/>
    <w:rsid w:val="009B4575"/>
    <w:rsid w:val="009B461D"/>
    <w:rsid w:val="009B5594"/>
    <w:rsid w:val="009B59ED"/>
    <w:rsid w:val="009B6EE8"/>
    <w:rsid w:val="009B729E"/>
    <w:rsid w:val="009B7498"/>
    <w:rsid w:val="009C1EED"/>
    <w:rsid w:val="009C264B"/>
    <w:rsid w:val="009C34F1"/>
    <w:rsid w:val="009C381A"/>
    <w:rsid w:val="009C3B80"/>
    <w:rsid w:val="009C3D84"/>
    <w:rsid w:val="009C48C6"/>
    <w:rsid w:val="009C5D76"/>
    <w:rsid w:val="009C5DFB"/>
    <w:rsid w:val="009C5FDE"/>
    <w:rsid w:val="009C7B1D"/>
    <w:rsid w:val="009C7F10"/>
    <w:rsid w:val="009C7FF8"/>
    <w:rsid w:val="009D03F1"/>
    <w:rsid w:val="009D07CE"/>
    <w:rsid w:val="009D0921"/>
    <w:rsid w:val="009D101B"/>
    <w:rsid w:val="009D118E"/>
    <w:rsid w:val="009D1CF4"/>
    <w:rsid w:val="009D2A26"/>
    <w:rsid w:val="009D2C21"/>
    <w:rsid w:val="009D380F"/>
    <w:rsid w:val="009D57A7"/>
    <w:rsid w:val="009D6546"/>
    <w:rsid w:val="009D65EE"/>
    <w:rsid w:val="009D6FE7"/>
    <w:rsid w:val="009E04BB"/>
    <w:rsid w:val="009E0525"/>
    <w:rsid w:val="009E05A9"/>
    <w:rsid w:val="009E1370"/>
    <w:rsid w:val="009E20A6"/>
    <w:rsid w:val="009E233F"/>
    <w:rsid w:val="009E2F30"/>
    <w:rsid w:val="009E323A"/>
    <w:rsid w:val="009E328B"/>
    <w:rsid w:val="009E4130"/>
    <w:rsid w:val="009E6122"/>
    <w:rsid w:val="009E6DD0"/>
    <w:rsid w:val="009E6DEE"/>
    <w:rsid w:val="009E6E87"/>
    <w:rsid w:val="009E700C"/>
    <w:rsid w:val="009E7F79"/>
    <w:rsid w:val="009F082A"/>
    <w:rsid w:val="009F0BD9"/>
    <w:rsid w:val="009F12B4"/>
    <w:rsid w:val="009F33FA"/>
    <w:rsid w:val="009F347C"/>
    <w:rsid w:val="009F4D19"/>
    <w:rsid w:val="009F54D7"/>
    <w:rsid w:val="009F6619"/>
    <w:rsid w:val="009F68FF"/>
    <w:rsid w:val="009F6FEE"/>
    <w:rsid w:val="009F768E"/>
    <w:rsid w:val="009F7F88"/>
    <w:rsid w:val="00A00E77"/>
    <w:rsid w:val="00A01A4C"/>
    <w:rsid w:val="00A01C1F"/>
    <w:rsid w:val="00A01C98"/>
    <w:rsid w:val="00A04B6F"/>
    <w:rsid w:val="00A054CB"/>
    <w:rsid w:val="00A05E8F"/>
    <w:rsid w:val="00A0690B"/>
    <w:rsid w:val="00A06A54"/>
    <w:rsid w:val="00A0787D"/>
    <w:rsid w:val="00A07FC4"/>
    <w:rsid w:val="00A10423"/>
    <w:rsid w:val="00A10498"/>
    <w:rsid w:val="00A10A6F"/>
    <w:rsid w:val="00A118B4"/>
    <w:rsid w:val="00A12269"/>
    <w:rsid w:val="00A129C6"/>
    <w:rsid w:val="00A14BDD"/>
    <w:rsid w:val="00A15A52"/>
    <w:rsid w:val="00A16698"/>
    <w:rsid w:val="00A1706F"/>
    <w:rsid w:val="00A1721D"/>
    <w:rsid w:val="00A17791"/>
    <w:rsid w:val="00A17A42"/>
    <w:rsid w:val="00A17F01"/>
    <w:rsid w:val="00A20EDD"/>
    <w:rsid w:val="00A210DB"/>
    <w:rsid w:val="00A21667"/>
    <w:rsid w:val="00A220FB"/>
    <w:rsid w:val="00A223A5"/>
    <w:rsid w:val="00A22536"/>
    <w:rsid w:val="00A244A1"/>
    <w:rsid w:val="00A24BC5"/>
    <w:rsid w:val="00A2504C"/>
    <w:rsid w:val="00A26E5D"/>
    <w:rsid w:val="00A276A6"/>
    <w:rsid w:val="00A276FF"/>
    <w:rsid w:val="00A30C82"/>
    <w:rsid w:val="00A3104A"/>
    <w:rsid w:val="00A31A01"/>
    <w:rsid w:val="00A32211"/>
    <w:rsid w:val="00A3287C"/>
    <w:rsid w:val="00A33758"/>
    <w:rsid w:val="00A33FDC"/>
    <w:rsid w:val="00A34114"/>
    <w:rsid w:val="00A34C81"/>
    <w:rsid w:val="00A34E19"/>
    <w:rsid w:val="00A34FF0"/>
    <w:rsid w:val="00A35165"/>
    <w:rsid w:val="00A35BE0"/>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6B"/>
    <w:rsid w:val="00A45B90"/>
    <w:rsid w:val="00A462F7"/>
    <w:rsid w:val="00A46659"/>
    <w:rsid w:val="00A46F1A"/>
    <w:rsid w:val="00A47029"/>
    <w:rsid w:val="00A477C3"/>
    <w:rsid w:val="00A50299"/>
    <w:rsid w:val="00A5067A"/>
    <w:rsid w:val="00A533D5"/>
    <w:rsid w:val="00A53A31"/>
    <w:rsid w:val="00A53C68"/>
    <w:rsid w:val="00A5510E"/>
    <w:rsid w:val="00A559F4"/>
    <w:rsid w:val="00A56308"/>
    <w:rsid w:val="00A56547"/>
    <w:rsid w:val="00A57079"/>
    <w:rsid w:val="00A570E0"/>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968"/>
    <w:rsid w:val="00A7040E"/>
    <w:rsid w:val="00A70D5A"/>
    <w:rsid w:val="00A734F2"/>
    <w:rsid w:val="00A73DEE"/>
    <w:rsid w:val="00A74678"/>
    <w:rsid w:val="00A75AEA"/>
    <w:rsid w:val="00A75EA3"/>
    <w:rsid w:val="00A76063"/>
    <w:rsid w:val="00A767EB"/>
    <w:rsid w:val="00A771BF"/>
    <w:rsid w:val="00A77299"/>
    <w:rsid w:val="00A803C1"/>
    <w:rsid w:val="00A805F1"/>
    <w:rsid w:val="00A815B6"/>
    <w:rsid w:val="00A81953"/>
    <w:rsid w:val="00A827C9"/>
    <w:rsid w:val="00A83BF3"/>
    <w:rsid w:val="00A85B31"/>
    <w:rsid w:val="00A860FD"/>
    <w:rsid w:val="00A861F3"/>
    <w:rsid w:val="00A86C48"/>
    <w:rsid w:val="00A90DB1"/>
    <w:rsid w:val="00A9147B"/>
    <w:rsid w:val="00A9177F"/>
    <w:rsid w:val="00A91BA8"/>
    <w:rsid w:val="00A91EF1"/>
    <w:rsid w:val="00A91EF2"/>
    <w:rsid w:val="00A9325C"/>
    <w:rsid w:val="00A93680"/>
    <w:rsid w:val="00A9430B"/>
    <w:rsid w:val="00A94483"/>
    <w:rsid w:val="00A94529"/>
    <w:rsid w:val="00A94C42"/>
    <w:rsid w:val="00A959CA"/>
    <w:rsid w:val="00A96FC6"/>
    <w:rsid w:val="00A97A16"/>
    <w:rsid w:val="00A97B61"/>
    <w:rsid w:val="00A97C2E"/>
    <w:rsid w:val="00A97CE3"/>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71A"/>
    <w:rsid w:val="00AA5EB3"/>
    <w:rsid w:val="00AA5F1A"/>
    <w:rsid w:val="00AA6916"/>
    <w:rsid w:val="00AB022F"/>
    <w:rsid w:val="00AB110E"/>
    <w:rsid w:val="00AB11CF"/>
    <w:rsid w:val="00AB1287"/>
    <w:rsid w:val="00AB1CE8"/>
    <w:rsid w:val="00AB2470"/>
    <w:rsid w:val="00AB3FCD"/>
    <w:rsid w:val="00AB4506"/>
    <w:rsid w:val="00AB5190"/>
    <w:rsid w:val="00AB5513"/>
    <w:rsid w:val="00AB6DFC"/>
    <w:rsid w:val="00AB6E0F"/>
    <w:rsid w:val="00AB7354"/>
    <w:rsid w:val="00AB75DD"/>
    <w:rsid w:val="00AB7C46"/>
    <w:rsid w:val="00AC071C"/>
    <w:rsid w:val="00AC2076"/>
    <w:rsid w:val="00AC3637"/>
    <w:rsid w:val="00AC3D4F"/>
    <w:rsid w:val="00AC3DB7"/>
    <w:rsid w:val="00AC4699"/>
    <w:rsid w:val="00AC57CD"/>
    <w:rsid w:val="00AC59DF"/>
    <w:rsid w:val="00AC72C7"/>
    <w:rsid w:val="00AC7899"/>
    <w:rsid w:val="00AD13D6"/>
    <w:rsid w:val="00AD2C42"/>
    <w:rsid w:val="00AD4087"/>
    <w:rsid w:val="00AD5BEE"/>
    <w:rsid w:val="00AD6466"/>
    <w:rsid w:val="00AD6A21"/>
    <w:rsid w:val="00AD6BE0"/>
    <w:rsid w:val="00AD752F"/>
    <w:rsid w:val="00AE05DD"/>
    <w:rsid w:val="00AE0C8D"/>
    <w:rsid w:val="00AE0E2A"/>
    <w:rsid w:val="00AE1131"/>
    <w:rsid w:val="00AE1411"/>
    <w:rsid w:val="00AE2330"/>
    <w:rsid w:val="00AE27D6"/>
    <w:rsid w:val="00AE55BC"/>
    <w:rsid w:val="00AE5A99"/>
    <w:rsid w:val="00AE62E7"/>
    <w:rsid w:val="00AE686D"/>
    <w:rsid w:val="00AE6B27"/>
    <w:rsid w:val="00AE77AC"/>
    <w:rsid w:val="00AF0DC0"/>
    <w:rsid w:val="00AF0F96"/>
    <w:rsid w:val="00AF17E4"/>
    <w:rsid w:val="00AF21D7"/>
    <w:rsid w:val="00AF282C"/>
    <w:rsid w:val="00AF28EB"/>
    <w:rsid w:val="00AF31BA"/>
    <w:rsid w:val="00AF36B6"/>
    <w:rsid w:val="00AF4803"/>
    <w:rsid w:val="00AF4D10"/>
    <w:rsid w:val="00AF58CB"/>
    <w:rsid w:val="00AF7217"/>
    <w:rsid w:val="00AF726F"/>
    <w:rsid w:val="00AF783F"/>
    <w:rsid w:val="00B00506"/>
    <w:rsid w:val="00B00673"/>
    <w:rsid w:val="00B008E6"/>
    <w:rsid w:val="00B00ED5"/>
    <w:rsid w:val="00B02315"/>
    <w:rsid w:val="00B02BF0"/>
    <w:rsid w:val="00B034DD"/>
    <w:rsid w:val="00B03AB4"/>
    <w:rsid w:val="00B04C3C"/>
    <w:rsid w:val="00B05B91"/>
    <w:rsid w:val="00B06ED4"/>
    <w:rsid w:val="00B077CC"/>
    <w:rsid w:val="00B07A28"/>
    <w:rsid w:val="00B1123F"/>
    <w:rsid w:val="00B13397"/>
    <w:rsid w:val="00B1400D"/>
    <w:rsid w:val="00B144AA"/>
    <w:rsid w:val="00B147C9"/>
    <w:rsid w:val="00B15BB2"/>
    <w:rsid w:val="00B1666B"/>
    <w:rsid w:val="00B16EBE"/>
    <w:rsid w:val="00B20655"/>
    <w:rsid w:val="00B21443"/>
    <w:rsid w:val="00B21D0E"/>
    <w:rsid w:val="00B22C57"/>
    <w:rsid w:val="00B23C76"/>
    <w:rsid w:val="00B23EEE"/>
    <w:rsid w:val="00B25E1E"/>
    <w:rsid w:val="00B27298"/>
    <w:rsid w:val="00B27384"/>
    <w:rsid w:val="00B276E4"/>
    <w:rsid w:val="00B27A6D"/>
    <w:rsid w:val="00B309F9"/>
    <w:rsid w:val="00B30DAD"/>
    <w:rsid w:val="00B31593"/>
    <w:rsid w:val="00B31782"/>
    <w:rsid w:val="00B34709"/>
    <w:rsid w:val="00B34F80"/>
    <w:rsid w:val="00B36928"/>
    <w:rsid w:val="00B37293"/>
    <w:rsid w:val="00B4076A"/>
    <w:rsid w:val="00B413EB"/>
    <w:rsid w:val="00B426B6"/>
    <w:rsid w:val="00B42C20"/>
    <w:rsid w:val="00B43AD9"/>
    <w:rsid w:val="00B443D5"/>
    <w:rsid w:val="00B44482"/>
    <w:rsid w:val="00B45012"/>
    <w:rsid w:val="00B450D9"/>
    <w:rsid w:val="00B45D36"/>
    <w:rsid w:val="00B4674B"/>
    <w:rsid w:val="00B46FF2"/>
    <w:rsid w:val="00B539EB"/>
    <w:rsid w:val="00B54B76"/>
    <w:rsid w:val="00B55AE3"/>
    <w:rsid w:val="00B560E5"/>
    <w:rsid w:val="00B576E1"/>
    <w:rsid w:val="00B6088D"/>
    <w:rsid w:val="00B608F1"/>
    <w:rsid w:val="00B60A96"/>
    <w:rsid w:val="00B60F79"/>
    <w:rsid w:val="00B617E2"/>
    <w:rsid w:val="00B6252C"/>
    <w:rsid w:val="00B62653"/>
    <w:rsid w:val="00B62CBE"/>
    <w:rsid w:val="00B62EFD"/>
    <w:rsid w:val="00B63999"/>
    <w:rsid w:val="00B63B4A"/>
    <w:rsid w:val="00B63DA0"/>
    <w:rsid w:val="00B64F8D"/>
    <w:rsid w:val="00B6533C"/>
    <w:rsid w:val="00B6731A"/>
    <w:rsid w:val="00B673CA"/>
    <w:rsid w:val="00B678A4"/>
    <w:rsid w:val="00B70316"/>
    <w:rsid w:val="00B70903"/>
    <w:rsid w:val="00B70930"/>
    <w:rsid w:val="00B7108D"/>
    <w:rsid w:val="00B7117A"/>
    <w:rsid w:val="00B7128A"/>
    <w:rsid w:val="00B713F0"/>
    <w:rsid w:val="00B71BD7"/>
    <w:rsid w:val="00B72053"/>
    <w:rsid w:val="00B73D1E"/>
    <w:rsid w:val="00B74530"/>
    <w:rsid w:val="00B74E4D"/>
    <w:rsid w:val="00B75D3F"/>
    <w:rsid w:val="00B75D4C"/>
    <w:rsid w:val="00B76F2C"/>
    <w:rsid w:val="00B774EE"/>
    <w:rsid w:val="00B77723"/>
    <w:rsid w:val="00B77863"/>
    <w:rsid w:val="00B80008"/>
    <w:rsid w:val="00B801AC"/>
    <w:rsid w:val="00B809E2"/>
    <w:rsid w:val="00B815D3"/>
    <w:rsid w:val="00B8270D"/>
    <w:rsid w:val="00B82B33"/>
    <w:rsid w:val="00B8384C"/>
    <w:rsid w:val="00B84030"/>
    <w:rsid w:val="00B843A1"/>
    <w:rsid w:val="00B854BE"/>
    <w:rsid w:val="00B85704"/>
    <w:rsid w:val="00B868D6"/>
    <w:rsid w:val="00B86965"/>
    <w:rsid w:val="00B86D0A"/>
    <w:rsid w:val="00B8748B"/>
    <w:rsid w:val="00B87B3F"/>
    <w:rsid w:val="00B91818"/>
    <w:rsid w:val="00B922D6"/>
    <w:rsid w:val="00B93E18"/>
    <w:rsid w:val="00B93E2C"/>
    <w:rsid w:val="00B94BE5"/>
    <w:rsid w:val="00B94D8E"/>
    <w:rsid w:val="00B9556B"/>
    <w:rsid w:val="00B96069"/>
    <w:rsid w:val="00B968F3"/>
    <w:rsid w:val="00BA0A76"/>
    <w:rsid w:val="00BA11A9"/>
    <w:rsid w:val="00BA30C2"/>
    <w:rsid w:val="00BA31C6"/>
    <w:rsid w:val="00BA4B0A"/>
    <w:rsid w:val="00BA699B"/>
    <w:rsid w:val="00BA76AB"/>
    <w:rsid w:val="00BB0225"/>
    <w:rsid w:val="00BB0423"/>
    <w:rsid w:val="00BB0F8B"/>
    <w:rsid w:val="00BB1D73"/>
    <w:rsid w:val="00BB2CE4"/>
    <w:rsid w:val="00BB3C27"/>
    <w:rsid w:val="00BB4008"/>
    <w:rsid w:val="00BB42D2"/>
    <w:rsid w:val="00BB5449"/>
    <w:rsid w:val="00BB5770"/>
    <w:rsid w:val="00BB5C00"/>
    <w:rsid w:val="00BB6ECF"/>
    <w:rsid w:val="00BB74B3"/>
    <w:rsid w:val="00BB777A"/>
    <w:rsid w:val="00BB7E0B"/>
    <w:rsid w:val="00BC06FE"/>
    <w:rsid w:val="00BC1221"/>
    <w:rsid w:val="00BC1765"/>
    <w:rsid w:val="00BC1FD6"/>
    <w:rsid w:val="00BC25D7"/>
    <w:rsid w:val="00BC320C"/>
    <w:rsid w:val="00BC43C2"/>
    <w:rsid w:val="00BC464D"/>
    <w:rsid w:val="00BC4883"/>
    <w:rsid w:val="00BC5454"/>
    <w:rsid w:val="00BC5F7F"/>
    <w:rsid w:val="00BC72BA"/>
    <w:rsid w:val="00BC74EE"/>
    <w:rsid w:val="00BC777E"/>
    <w:rsid w:val="00BC7E23"/>
    <w:rsid w:val="00BD219A"/>
    <w:rsid w:val="00BD2C42"/>
    <w:rsid w:val="00BD2EF9"/>
    <w:rsid w:val="00BD2F1D"/>
    <w:rsid w:val="00BD3997"/>
    <w:rsid w:val="00BD5D7E"/>
    <w:rsid w:val="00BD62E5"/>
    <w:rsid w:val="00BD68BB"/>
    <w:rsid w:val="00BD6EF9"/>
    <w:rsid w:val="00BD754C"/>
    <w:rsid w:val="00BD78C6"/>
    <w:rsid w:val="00BD7F54"/>
    <w:rsid w:val="00BE01E1"/>
    <w:rsid w:val="00BE0849"/>
    <w:rsid w:val="00BE15DA"/>
    <w:rsid w:val="00BE19AD"/>
    <w:rsid w:val="00BE1B2F"/>
    <w:rsid w:val="00BE31FE"/>
    <w:rsid w:val="00BE369C"/>
    <w:rsid w:val="00BE4FBC"/>
    <w:rsid w:val="00BE5338"/>
    <w:rsid w:val="00BE5A5B"/>
    <w:rsid w:val="00BE5B7C"/>
    <w:rsid w:val="00BE61C4"/>
    <w:rsid w:val="00BE72FD"/>
    <w:rsid w:val="00BE733C"/>
    <w:rsid w:val="00BE73D4"/>
    <w:rsid w:val="00BE791F"/>
    <w:rsid w:val="00BE7AF2"/>
    <w:rsid w:val="00BF1EF8"/>
    <w:rsid w:val="00BF25A9"/>
    <w:rsid w:val="00BF2DE5"/>
    <w:rsid w:val="00BF39B7"/>
    <w:rsid w:val="00BF486D"/>
    <w:rsid w:val="00BF4C49"/>
    <w:rsid w:val="00BF4D1A"/>
    <w:rsid w:val="00BF5168"/>
    <w:rsid w:val="00BF5A5B"/>
    <w:rsid w:val="00BF6338"/>
    <w:rsid w:val="00BF6D56"/>
    <w:rsid w:val="00BF7CE1"/>
    <w:rsid w:val="00C00D03"/>
    <w:rsid w:val="00C00D9C"/>
    <w:rsid w:val="00C01DFC"/>
    <w:rsid w:val="00C02513"/>
    <w:rsid w:val="00C0270E"/>
    <w:rsid w:val="00C0282B"/>
    <w:rsid w:val="00C044E4"/>
    <w:rsid w:val="00C047A4"/>
    <w:rsid w:val="00C05013"/>
    <w:rsid w:val="00C053B5"/>
    <w:rsid w:val="00C067E0"/>
    <w:rsid w:val="00C06B55"/>
    <w:rsid w:val="00C071C7"/>
    <w:rsid w:val="00C0773D"/>
    <w:rsid w:val="00C1025D"/>
    <w:rsid w:val="00C110C7"/>
    <w:rsid w:val="00C11733"/>
    <w:rsid w:val="00C12CC1"/>
    <w:rsid w:val="00C12D93"/>
    <w:rsid w:val="00C12EE2"/>
    <w:rsid w:val="00C13103"/>
    <w:rsid w:val="00C139DE"/>
    <w:rsid w:val="00C13B55"/>
    <w:rsid w:val="00C13CB8"/>
    <w:rsid w:val="00C14CD4"/>
    <w:rsid w:val="00C151CE"/>
    <w:rsid w:val="00C15BBB"/>
    <w:rsid w:val="00C16439"/>
    <w:rsid w:val="00C2092E"/>
    <w:rsid w:val="00C20F37"/>
    <w:rsid w:val="00C211AE"/>
    <w:rsid w:val="00C213FD"/>
    <w:rsid w:val="00C21C42"/>
    <w:rsid w:val="00C23520"/>
    <w:rsid w:val="00C23FE1"/>
    <w:rsid w:val="00C24AE3"/>
    <w:rsid w:val="00C25082"/>
    <w:rsid w:val="00C2570A"/>
    <w:rsid w:val="00C25B91"/>
    <w:rsid w:val="00C265D4"/>
    <w:rsid w:val="00C26DC6"/>
    <w:rsid w:val="00C27447"/>
    <w:rsid w:val="00C275FC"/>
    <w:rsid w:val="00C2772B"/>
    <w:rsid w:val="00C30615"/>
    <w:rsid w:val="00C30715"/>
    <w:rsid w:val="00C30D84"/>
    <w:rsid w:val="00C3131B"/>
    <w:rsid w:val="00C317A7"/>
    <w:rsid w:val="00C33383"/>
    <w:rsid w:val="00C33614"/>
    <w:rsid w:val="00C33AEC"/>
    <w:rsid w:val="00C35493"/>
    <w:rsid w:val="00C35C8E"/>
    <w:rsid w:val="00C361E9"/>
    <w:rsid w:val="00C3671E"/>
    <w:rsid w:val="00C36B1D"/>
    <w:rsid w:val="00C3742C"/>
    <w:rsid w:val="00C410D2"/>
    <w:rsid w:val="00C41363"/>
    <w:rsid w:val="00C42209"/>
    <w:rsid w:val="00C429D5"/>
    <w:rsid w:val="00C42A78"/>
    <w:rsid w:val="00C42DC9"/>
    <w:rsid w:val="00C437D6"/>
    <w:rsid w:val="00C45897"/>
    <w:rsid w:val="00C4601D"/>
    <w:rsid w:val="00C470F6"/>
    <w:rsid w:val="00C47B1C"/>
    <w:rsid w:val="00C504EF"/>
    <w:rsid w:val="00C509D2"/>
    <w:rsid w:val="00C51CCA"/>
    <w:rsid w:val="00C53131"/>
    <w:rsid w:val="00C54473"/>
    <w:rsid w:val="00C55945"/>
    <w:rsid w:val="00C55D94"/>
    <w:rsid w:val="00C55DCB"/>
    <w:rsid w:val="00C55FBB"/>
    <w:rsid w:val="00C57582"/>
    <w:rsid w:val="00C608EF"/>
    <w:rsid w:val="00C60E9C"/>
    <w:rsid w:val="00C612BB"/>
    <w:rsid w:val="00C612BF"/>
    <w:rsid w:val="00C61338"/>
    <w:rsid w:val="00C6207E"/>
    <w:rsid w:val="00C6324D"/>
    <w:rsid w:val="00C63D22"/>
    <w:rsid w:val="00C64773"/>
    <w:rsid w:val="00C64FAE"/>
    <w:rsid w:val="00C653CC"/>
    <w:rsid w:val="00C66344"/>
    <w:rsid w:val="00C66EDC"/>
    <w:rsid w:val="00C674F7"/>
    <w:rsid w:val="00C67D05"/>
    <w:rsid w:val="00C714EE"/>
    <w:rsid w:val="00C72D6B"/>
    <w:rsid w:val="00C731E1"/>
    <w:rsid w:val="00C7335A"/>
    <w:rsid w:val="00C741A7"/>
    <w:rsid w:val="00C745D7"/>
    <w:rsid w:val="00C74F7C"/>
    <w:rsid w:val="00C75F87"/>
    <w:rsid w:val="00C7702A"/>
    <w:rsid w:val="00C773C8"/>
    <w:rsid w:val="00C806B8"/>
    <w:rsid w:val="00C80A25"/>
    <w:rsid w:val="00C80E5E"/>
    <w:rsid w:val="00C80E80"/>
    <w:rsid w:val="00C82930"/>
    <w:rsid w:val="00C82C9E"/>
    <w:rsid w:val="00C83945"/>
    <w:rsid w:val="00C841BF"/>
    <w:rsid w:val="00C84BF3"/>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499"/>
    <w:rsid w:val="00C9491A"/>
    <w:rsid w:val="00C94BE9"/>
    <w:rsid w:val="00C95DD7"/>
    <w:rsid w:val="00C95ED6"/>
    <w:rsid w:val="00C965B2"/>
    <w:rsid w:val="00C96BBB"/>
    <w:rsid w:val="00CA04D5"/>
    <w:rsid w:val="00CA1AC8"/>
    <w:rsid w:val="00CA1FB0"/>
    <w:rsid w:val="00CA24D1"/>
    <w:rsid w:val="00CA381C"/>
    <w:rsid w:val="00CA39CC"/>
    <w:rsid w:val="00CA403D"/>
    <w:rsid w:val="00CA4743"/>
    <w:rsid w:val="00CA4818"/>
    <w:rsid w:val="00CA57FE"/>
    <w:rsid w:val="00CA5FF6"/>
    <w:rsid w:val="00CA6F32"/>
    <w:rsid w:val="00CA735E"/>
    <w:rsid w:val="00CA7BEE"/>
    <w:rsid w:val="00CB01B1"/>
    <w:rsid w:val="00CB0B34"/>
    <w:rsid w:val="00CB0EE0"/>
    <w:rsid w:val="00CB138F"/>
    <w:rsid w:val="00CB13CF"/>
    <w:rsid w:val="00CB13E0"/>
    <w:rsid w:val="00CB2343"/>
    <w:rsid w:val="00CB2F02"/>
    <w:rsid w:val="00CB387F"/>
    <w:rsid w:val="00CB44CC"/>
    <w:rsid w:val="00CB4506"/>
    <w:rsid w:val="00CB4522"/>
    <w:rsid w:val="00CB4741"/>
    <w:rsid w:val="00CB7145"/>
    <w:rsid w:val="00CB76B8"/>
    <w:rsid w:val="00CB7703"/>
    <w:rsid w:val="00CB77EE"/>
    <w:rsid w:val="00CB783B"/>
    <w:rsid w:val="00CB7AE2"/>
    <w:rsid w:val="00CB7DE4"/>
    <w:rsid w:val="00CC1C1E"/>
    <w:rsid w:val="00CC2611"/>
    <w:rsid w:val="00CC2803"/>
    <w:rsid w:val="00CC2813"/>
    <w:rsid w:val="00CC295E"/>
    <w:rsid w:val="00CC48D6"/>
    <w:rsid w:val="00CC544C"/>
    <w:rsid w:val="00CC559E"/>
    <w:rsid w:val="00CC63FC"/>
    <w:rsid w:val="00CC707F"/>
    <w:rsid w:val="00CC708A"/>
    <w:rsid w:val="00CC79CD"/>
    <w:rsid w:val="00CD0E5B"/>
    <w:rsid w:val="00CD1841"/>
    <w:rsid w:val="00CD1BF1"/>
    <w:rsid w:val="00CD27CD"/>
    <w:rsid w:val="00CD34A5"/>
    <w:rsid w:val="00CD42CF"/>
    <w:rsid w:val="00CD4BF8"/>
    <w:rsid w:val="00CD52CD"/>
    <w:rsid w:val="00CD58F5"/>
    <w:rsid w:val="00CD644F"/>
    <w:rsid w:val="00CD6525"/>
    <w:rsid w:val="00CD652E"/>
    <w:rsid w:val="00CD68DD"/>
    <w:rsid w:val="00CD6A0A"/>
    <w:rsid w:val="00CD6EF2"/>
    <w:rsid w:val="00CD786B"/>
    <w:rsid w:val="00CD7B8B"/>
    <w:rsid w:val="00CE01F8"/>
    <w:rsid w:val="00CE08BB"/>
    <w:rsid w:val="00CE1168"/>
    <w:rsid w:val="00CE24B9"/>
    <w:rsid w:val="00CE2ADD"/>
    <w:rsid w:val="00CE2B04"/>
    <w:rsid w:val="00CE2C27"/>
    <w:rsid w:val="00CE3E8B"/>
    <w:rsid w:val="00CE47DC"/>
    <w:rsid w:val="00CE492F"/>
    <w:rsid w:val="00CE5298"/>
    <w:rsid w:val="00CE5322"/>
    <w:rsid w:val="00CE58EB"/>
    <w:rsid w:val="00CE69E4"/>
    <w:rsid w:val="00CF0041"/>
    <w:rsid w:val="00CF02F9"/>
    <w:rsid w:val="00CF0D4B"/>
    <w:rsid w:val="00CF2605"/>
    <w:rsid w:val="00CF2804"/>
    <w:rsid w:val="00CF35B2"/>
    <w:rsid w:val="00CF38D4"/>
    <w:rsid w:val="00CF3D4C"/>
    <w:rsid w:val="00CF5C07"/>
    <w:rsid w:val="00CF5CFC"/>
    <w:rsid w:val="00D00655"/>
    <w:rsid w:val="00D00AF5"/>
    <w:rsid w:val="00D00E75"/>
    <w:rsid w:val="00D01917"/>
    <w:rsid w:val="00D01EBC"/>
    <w:rsid w:val="00D03DE1"/>
    <w:rsid w:val="00D03EDD"/>
    <w:rsid w:val="00D03EEF"/>
    <w:rsid w:val="00D03F69"/>
    <w:rsid w:val="00D04F08"/>
    <w:rsid w:val="00D050BB"/>
    <w:rsid w:val="00D07087"/>
    <w:rsid w:val="00D07A1B"/>
    <w:rsid w:val="00D07ACD"/>
    <w:rsid w:val="00D07E2A"/>
    <w:rsid w:val="00D07EA6"/>
    <w:rsid w:val="00D11582"/>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9E0"/>
    <w:rsid w:val="00D27131"/>
    <w:rsid w:val="00D31AD0"/>
    <w:rsid w:val="00D31B9E"/>
    <w:rsid w:val="00D31BBD"/>
    <w:rsid w:val="00D32165"/>
    <w:rsid w:val="00D32658"/>
    <w:rsid w:val="00D34E83"/>
    <w:rsid w:val="00D35189"/>
    <w:rsid w:val="00D352D0"/>
    <w:rsid w:val="00D3701D"/>
    <w:rsid w:val="00D37354"/>
    <w:rsid w:val="00D404B1"/>
    <w:rsid w:val="00D40C33"/>
    <w:rsid w:val="00D4104F"/>
    <w:rsid w:val="00D4313E"/>
    <w:rsid w:val="00D43988"/>
    <w:rsid w:val="00D4707E"/>
    <w:rsid w:val="00D47238"/>
    <w:rsid w:val="00D4762C"/>
    <w:rsid w:val="00D47867"/>
    <w:rsid w:val="00D47EAF"/>
    <w:rsid w:val="00D50B2A"/>
    <w:rsid w:val="00D5132A"/>
    <w:rsid w:val="00D51517"/>
    <w:rsid w:val="00D52D7F"/>
    <w:rsid w:val="00D53034"/>
    <w:rsid w:val="00D53103"/>
    <w:rsid w:val="00D541A8"/>
    <w:rsid w:val="00D54E13"/>
    <w:rsid w:val="00D54F79"/>
    <w:rsid w:val="00D55A05"/>
    <w:rsid w:val="00D562A8"/>
    <w:rsid w:val="00D56D22"/>
    <w:rsid w:val="00D5724E"/>
    <w:rsid w:val="00D60210"/>
    <w:rsid w:val="00D61A9F"/>
    <w:rsid w:val="00D61EDD"/>
    <w:rsid w:val="00D628AF"/>
    <w:rsid w:val="00D6294B"/>
    <w:rsid w:val="00D62A4A"/>
    <w:rsid w:val="00D65202"/>
    <w:rsid w:val="00D654F8"/>
    <w:rsid w:val="00D66697"/>
    <w:rsid w:val="00D676B3"/>
    <w:rsid w:val="00D6787A"/>
    <w:rsid w:val="00D67ACA"/>
    <w:rsid w:val="00D67F69"/>
    <w:rsid w:val="00D708F1"/>
    <w:rsid w:val="00D71103"/>
    <w:rsid w:val="00D71213"/>
    <w:rsid w:val="00D713E4"/>
    <w:rsid w:val="00D72FAD"/>
    <w:rsid w:val="00D7314F"/>
    <w:rsid w:val="00D73259"/>
    <w:rsid w:val="00D73AF1"/>
    <w:rsid w:val="00D73E64"/>
    <w:rsid w:val="00D74504"/>
    <w:rsid w:val="00D74639"/>
    <w:rsid w:val="00D74926"/>
    <w:rsid w:val="00D74E38"/>
    <w:rsid w:val="00D75449"/>
    <w:rsid w:val="00D770D5"/>
    <w:rsid w:val="00D809B7"/>
    <w:rsid w:val="00D812A9"/>
    <w:rsid w:val="00D813B0"/>
    <w:rsid w:val="00D8141C"/>
    <w:rsid w:val="00D81A57"/>
    <w:rsid w:val="00D82664"/>
    <w:rsid w:val="00D8269A"/>
    <w:rsid w:val="00D82962"/>
    <w:rsid w:val="00D82A4C"/>
    <w:rsid w:val="00D83726"/>
    <w:rsid w:val="00D83A65"/>
    <w:rsid w:val="00D846CF"/>
    <w:rsid w:val="00D85683"/>
    <w:rsid w:val="00D86320"/>
    <w:rsid w:val="00D86D21"/>
    <w:rsid w:val="00D86D72"/>
    <w:rsid w:val="00D8772B"/>
    <w:rsid w:val="00D90114"/>
    <w:rsid w:val="00D90679"/>
    <w:rsid w:val="00D90F8A"/>
    <w:rsid w:val="00D91621"/>
    <w:rsid w:val="00D9180B"/>
    <w:rsid w:val="00D925BC"/>
    <w:rsid w:val="00D929B7"/>
    <w:rsid w:val="00D9330D"/>
    <w:rsid w:val="00D94EB6"/>
    <w:rsid w:val="00D95111"/>
    <w:rsid w:val="00D954B6"/>
    <w:rsid w:val="00D9553A"/>
    <w:rsid w:val="00D958D2"/>
    <w:rsid w:val="00D95A4C"/>
    <w:rsid w:val="00D95C5C"/>
    <w:rsid w:val="00D9623F"/>
    <w:rsid w:val="00D964B0"/>
    <w:rsid w:val="00D96B91"/>
    <w:rsid w:val="00D9740F"/>
    <w:rsid w:val="00D97545"/>
    <w:rsid w:val="00D9770C"/>
    <w:rsid w:val="00D9787B"/>
    <w:rsid w:val="00D97BA1"/>
    <w:rsid w:val="00D97F28"/>
    <w:rsid w:val="00DA09FC"/>
    <w:rsid w:val="00DA28A7"/>
    <w:rsid w:val="00DA2BB0"/>
    <w:rsid w:val="00DA2BCC"/>
    <w:rsid w:val="00DA2FCA"/>
    <w:rsid w:val="00DA348E"/>
    <w:rsid w:val="00DA373A"/>
    <w:rsid w:val="00DA5162"/>
    <w:rsid w:val="00DA59D2"/>
    <w:rsid w:val="00DA5A9C"/>
    <w:rsid w:val="00DA5F60"/>
    <w:rsid w:val="00DA6E9D"/>
    <w:rsid w:val="00DA6FF3"/>
    <w:rsid w:val="00DB1595"/>
    <w:rsid w:val="00DB297D"/>
    <w:rsid w:val="00DB2B7E"/>
    <w:rsid w:val="00DB2BA7"/>
    <w:rsid w:val="00DB2F6C"/>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547"/>
    <w:rsid w:val="00DD3316"/>
    <w:rsid w:val="00DD3E02"/>
    <w:rsid w:val="00DD5654"/>
    <w:rsid w:val="00DD594C"/>
    <w:rsid w:val="00DD5E57"/>
    <w:rsid w:val="00DD5F57"/>
    <w:rsid w:val="00DD60E3"/>
    <w:rsid w:val="00DD7F9B"/>
    <w:rsid w:val="00DE3385"/>
    <w:rsid w:val="00DE3503"/>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77B"/>
    <w:rsid w:val="00E00898"/>
    <w:rsid w:val="00E029E1"/>
    <w:rsid w:val="00E03634"/>
    <w:rsid w:val="00E050B6"/>
    <w:rsid w:val="00E0557E"/>
    <w:rsid w:val="00E05D14"/>
    <w:rsid w:val="00E0628E"/>
    <w:rsid w:val="00E06460"/>
    <w:rsid w:val="00E073CF"/>
    <w:rsid w:val="00E074A3"/>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F5A"/>
    <w:rsid w:val="00E234C7"/>
    <w:rsid w:val="00E24EC1"/>
    <w:rsid w:val="00E25124"/>
    <w:rsid w:val="00E25A4F"/>
    <w:rsid w:val="00E261F8"/>
    <w:rsid w:val="00E26B25"/>
    <w:rsid w:val="00E26BD5"/>
    <w:rsid w:val="00E26E25"/>
    <w:rsid w:val="00E27DF3"/>
    <w:rsid w:val="00E3099C"/>
    <w:rsid w:val="00E3110A"/>
    <w:rsid w:val="00E319CB"/>
    <w:rsid w:val="00E319DC"/>
    <w:rsid w:val="00E324AD"/>
    <w:rsid w:val="00E3342D"/>
    <w:rsid w:val="00E33683"/>
    <w:rsid w:val="00E33734"/>
    <w:rsid w:val="00E34AA9"/>
    <w:rsid w:val="00E368F3"/>
    <w:rsid w:val="00E36A4F"/>
    <w:rsid w:val="00E37D5F"/>
    <w:rsid w:val="00E40942"/>
    <w:rsid w:val="00E4125E"/>
    <w:rsid w:val="00E41E22"/>
    <w:rsid w:val="00E4239D"/>
    <w:rsid w:val="00E429A0"/>
    <w:rsid w:val="00E42D39"/>
    <w:rsid w:val="00E4337B"/>
    <w:rsid w:val="00E44CD4"/>
    <w:rsid w:val="00E45B91"/>
    <w:rsid w:val="00E46804"/>
    <w:rsid w:val="00E46C57"/>
    <w:rsid w:val="00E470BF"/>
    <w:rsid w:val="00E47A7B"/>
    <w:rsid w:val="00E513EE"/>
    <w:rsid w:val="00E5176B"/>
    <w:rsid w:val="00E51813"/>
    <w:rsid w:val="00E527C9"/>
    <w:rsid w:val="00E528BA"/>
    <w:rsid w:val="00E53497"/>
    <w:rsid w:val="00E534DF"/>
    <w:rsid w:val="00E537A9"/>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964"/>
    <w:rsid w:val="00E64D55"/>
    <w:rsid w:val="00E64EEE"/>
    <w:rsid w:val="00E66F49"/>
    <w:rsid w:val="00E67F4F"/>
    <w:rsid w:val="00E721A9"/>
    <w:rsid w:val="00E72ABF"/>
    <w:rsid w:val="00E73549"/>
    <w:rsid w:val="00E74861"/>
    <w:rsid w:val="00E748DD"/>
    <w:rsid w:val="00E74EC9"/>
    <w:rsid w:val="00E750A5"/>
    <w:rsid w:val="00E75733"/>
    <w:rsid w:val="00E75A9D"/>
    <w:rsid w:val="00E76B19"/>
    <w:rsid w:val="00E8023E"/>
    <w:rsid w:val="00E80CF7"/>
    <w:rsid w:val="00E81B8E"/>
    <w:rsid w:val="00E81ED7"/>
    <w:rsid w:val="00E82FC0"/>
    <w:rsid w:val="00E8369B"/>
    <w:rsid w:val="00E8377F"/>
    <w:rsid w:val="00E83850"/>
    <w:rsid w:val="00E85244"/>
    <w:rsid w:val="00E86159"/>
    <w:rsid w:val="00E86741"/>
    <w:rsid w:val="00E87AE4"/>
    <w:rsid w:val="00E90C1F"/>
    <w:rsid w:val="00E9124A"/>
    <w:rsid w:val="00E91A8F"/>
    <w:rsid w:val="00E9222C"/>
    <w:rsid w:val="00E92AA5"/>
    <w:rsid w:val="00E9314A"/>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B016F"/>
    <w:rsid w:val="00EB04F4"/>
    <w:rsid w:val="00EB1EAC"/>
    <w:rsid w:val="00EB2216"/>
    <w:rsid w:val="00EB27D1"/>
    <w:rsid w:val="00EB33F4"/>
    <w:rsid w:val="00EB3B9C"/>
    <w:rsid w:val="00EB3CFC"/>
    <w:rsid w:val="00EB4C04"/>
    <w:rsid w:val="00EB55AF"/>
    <w:rsid w:val="00EB57BD"/>
    <w:rsid w:val="00EB623E"/>
    <w:rsid w:val="00EB6502"/>
    <w:rsid w:val="00EB7D9C"/>
    <w:rsid w:val="00EC1076"/>
    <w:rsid w:val="00EC1406"/>
    <w:rsid w:val="00EC1526"/>
    <w:rsid w:val="00EC16C0"/>
    <w:rsid w:val="00EC23F3"/>
    <w:rsid w:val="00EC2677"/>
    <w:rsid w:val="00EC2AB5"/>
    <w:rsid w:val="00EC36F2"/>
    <w:rsid w:val="00EC46CC"/>
    <w:rsid w:val="00EC4856"/>
    <w:rsid w:val="00EC4B79"/>
    <w:rsid w:val="00EC4F33"/>
    <w:rsid w:val="00EC5115"/>
    <w:rsid w:val="00EC7E82"/>
    <w:rsid w:val="00EC7E91"/>
    <w:rsid w:val="00ED0B81"/>
    <w:rsid w:val="00ED166B"/>
    <w:rsid w:val="00ED1A64"/>
    <w:rsid w:val="00ED28DD"/>
    <w:rsid w:val="00ED2E31"/>
    <w:rsid w:val="00ED3133"/>
    <w:rsid w:val="00ED35A0"/>
    <w:rsid w:val="00ED43A6"/>
    <w:rsid w:val="00ED69B3"/>
    <w:rsid w:val="00ED6FB9"/>
    <w:rsid w:val="00ED7371"/>
    <w:rsid w:val="00ED7E2F"/>
    <w:rsid w:val="00ED7EA8"/>
    <w:rsid w:val="00EE02A3"/>
    <w:rsid w:val="00EE0650"/>
    <w:rsid w:val="00EE1313"/>
    <w:rsid w:val="00EE1F82"/>
    <w:rsid w:val="00EE2126"/>
    <w:rsid w:val="00EE3363"/>
    <w:rsid w:val="00EE4C7E"/>
    <w:rsid w:val="00EE556D"/>
    <w:rsid w:val="00EE6184"/>
    <w:rsid w:val="00EE641E"/>
    <w:rsid w:val="00EE7A2C"/>
    <w:rsid w:val="00EF09D3"/>
    <w:rsid w:val="00EF108A"/>
    <w:rsid w:val="00EF1240"/>
    <w:rsid w:val="00EF1F75"/>
    <w:rsid w:val="00EF2240"/>
    <w:rsid w:val="00EF263B"/>
    <w:rsid w:val="00EF3069"/>
    <w:rsid w:val="00EF31A5"/>
    <w:rsid w:val="00EF3700"/>
    <w:rsid w:val="00EF3EB5"/>
    <w:rsid w:val="00EF4939"/>
    <w:rsid w:val="00EF57B9"/>
    <w:rsid w:val="00EF57DF"/>
    <w:rsid w:val="00EF6556"/>
    <w:rsid w:val="00EF71DF"/>
    <w:rsid w:val="00F0252E"/>
    <w:rsid w:val="00F02BAD"/>
    <w:rsid w:val="00F0319D"/>
    <w:rsid w:val="00F07063"/>
    <w:rsid w:val="00F11635"/>
    <w:rsid w:val="00F12D86"/>
    <w:rsid w:val="00F131AA"/>
    <w:rsid w:val="00F131FD"/>
    <w:rsid w:val="00F1350B"/>
    <w:rsid w:val="00F13B05"/>
    <w:rsid w:val="00F13B5A"/>
    <w:rsid w:val="00F13EA5"/>
    <w:rsid w:val="00F13EED"/>
    <w:rsid w:val="00F14263"/>
    <w:rsid w:val="00F15AF2"/>
    <w:rsid w:val="00F1673D"/>
    <w:rsid w:val="00F21290"/>
    <w:rsid w:val="00F220D3"/>
    <w:rsid w:val="00F2299F"/>
    <w:rsid w:val="00F2310A"/>
    <w:rsid w:val="00F231F0"/>
    <w:rsid w:val="00F24152"/>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4012"/>
    <w:rsid w:val="00F343A3"/>
    <w:rsid w:val="00F34C99"/>
    <w:rsid w:val="00F3531A"/>
    <w:rsid w:val="00F36350"/>
    <w:rsid w:val="00F36E97"/>
    <w:rsid w:val="00F4055E"/>
    <w:rsid w:val="00F4173F"/>
    <w:rsid w:val="00F41DB0"/>
    <w:rsid w:val="00F42D15"/>
    <w:rsid w:val="00F439BB"/>
    <w:rsid w:val="00F43CEB"/>
    <w:rsid w:val="00F449D7"/>
    <w:rsid w:val="00F461AE"/>
    <w:rsid w:val="00F467F9"/>
    <w:rsid w:val="00F4703C"/>
    <w:rsid w:val="00F50A96"/>
    <w:rsid w:val="00F5184D"/>
    <w:rsid w:val="00F51B88"/>
    <w:rsid w:val="00F51CB2"/>
    <w:rsid w:val="00F526F5"/>
    <w:rsid w:val="00F534D3"/>
    <w:rsid w:val="00F53AE5"/>
    <w:rsid w:val="00F5421D"/>
    <w:rsid w:val="00F55022"/>
    <w:rsid w:val="00F55184"/>
    <w:rsid w:val="00F560C9"/>
    <w:rsid w:val="00F56A91"/>
    <w:rsid w:val="00F5704A"/>
    <w:rsid w:val="00F57FA7"/>
    <w:rsid w:val="00F60DF3"/>
    <w:rsid w:val="00F62057"/>
    <w:rsid w:val="00F6264B"/>
    <w:rsid w:val="00F62837"/>
    <w:rsid w:val="00F6290C"/>
    <w:rsid w:val="00F64433"/>
    <w:rsid w:val="00F646C8"/>
    <w:rsid w:val="00F66721"/>
    <w:rsid w:val="00F6773C"/>
    <w:rsid w:val="00F67988"/>
    <w:rsid w:val="00F67C01"/>
    <w:rsid w:val="00F70909"/>
    <w:rsid w:val="00F70D66"/>
    <w:rsid w:val="00F7114B"/>
    <w:rsid w:val="00F714BE"/>
    <w:rsid w:val="00F721EF"/>
    <w:rsid w:val="00F72AAF"/>
    <w:rsid w:val="00F72AC2"/>
    <w:rsid w:val="00F72F17"/>
    <w:rsid w:val="00F73923"/>
    <w:rsid w:val="00F73D91"/>
    <w:rsid w:val="00F74168"/>
    <w:rsid w:val="00F742F1"/>
    <w:rsid w:val="00F7470C"/>
    <w:rsid w:val="00F74942"/>
    <w:rsid w:val="00F76037"/>
    <w:rsid w:val="00F76171"/>
    <w:rsid w:val="00F761E0"/>
    <w:rsid w:val="00F76832"/>
    <w:rsid w:val="00F76B53"/>
    <w:rsid w:val="00F7761D"/>
    <w:rsid w:val="00F77724"/>
    <w:rsid w:val="00F77839"/>
    <w:rsid w:val="00F77AF3"/>
    <w:rsid w:val="00F77CE6"/>
    <w:rsid w:val="00F77DD1"/>
    <w:rsid w:val="00F77E8E"/>
    <w:rsid w:val="00F8023F"/>
    <w:rsid w:val="00F82021"/>
    <w:rsid w:val="00F82080"/>
    <w:rsid w:val="00F82566"/>
    <w:rsid w:val="00F82A7B"/>
    <w:rsid w:val="00F8476C"/>
    <w:rsid w:val="00F850A1"/>
    <w:rsid w:val="00F855B8"/>
    <w:rsid w:val="00F85CBD"/>
    <w:rsid w:val="00F86B84"/>
    <w:rsid w:val="00F905B8"/>
    <w:rsid w:val="00F91164"/>
    <w:rsid w:val="00F91D47"/>
    <w:rsid w:val="00F92B0F"/>
    <w:rsid w:val="00F9354E"/>
    <w:rsid w:val="00F941FC"/>
    <w:rsid w:val="00F96D24"/>
    <w:rsid w:val="00F97093"/>
    <w:rsid w:val="00F97FF3"/>
    <w:rsid w:val="00FA0091"/>
    <w:rsid w:val="00FA0426"/>
    <w:rsid w:val="00FA1AA9"/>
    <w:rsid w:val="00FA2C8B"/>
    <w:rsid w:val="00FA2CE3"/>
    <w:rsid w:val="00FA3E0C"/>
    <w:rsid w:val="00FA4F9B"/>
    <w:rsid w:val="00FA4FBA"/>
    <w:rsid w:val="00FA5118"/>
    <w:rsid w:val="00FA5580"/>
    <w:rsid w:val="00FA5A75"/>
    <w:rsid w:val="00FA655A"/>
    <w:rsid w:val="00FA69C3"/>
    <w:rsid w:val="00FA6AAC"/>
    <w:rsid w:val="00FA6CBC"/>
    <w:rsid w:val="00FA6D48"/>
    <w:rsid w:val="00FA7027"/>
    <w:rsid w:val="00FA7206"/>
    <w:rsid w:val="00FA7EC0"/>
    <w:rsid w:val="00FB1729"/>
    <w:rsid w:val="00FB2DB8"/>
    <w:rsid w:val="00FB30A2"/>
    <w:rsid w:val="00FB429B"/>
    <w:rsid w:val="00FB6970"/>
    <w:rsid w:val="00FC072E"/>
    <w:rsid w:val="00FC3497"/>
    <w:rsid w:val="00FC4323"/>
    <w:rsid w:val="00FC51AE"/>
    <w:rsid w:val="00FC550A"/>
    <w:rsid w:val="00FC551E"/>
    <w:rsid w:val="00FC5790"/>
    <w:rsid w:val="00FC6275"/>
    <w:rsid w:val="00FC66F2"/>
    <w:rsid w:val="00FD039F"/>
    <w:rsid w:val="00FD053B"/>
    <w:rsid w:val="00FD0AF0"/>
    <w:rsid w:val="00FD1234"/>
    <w:rsid w:val="00FD18F3"/>
    <w:rsid w:val="00FD194F"/>
    <w:rsid w:val="00FD1995"/>
    <w:rsid w:val="00FD2333"/>
    <w:rsid w:val="00FD25E1"/>
    <w:rsid w:val="00FD31B5"/>
    <w:rsid w:val="00FD5688"/>
    <w:rsid w:val="00FD5725"/>
    <w:rsid w:val="00FD5AF7"/>
    <w:rsid w:val="00FD5E1C"/>
    <w:rsid w:val="00FD5F36"/>
    <w:rsid w:val="00FD7F6B"/>
    <w:rsid w:val="00FE0948"/>
    <w:rsid w:val="00FE0E33"/>
    <w:rsid w:val="00FE1880"/>
    <w:rsid w:val="00FE2AD1"/>
    <w:rsid w:val="00FE2B7B"/>
    <w:rsid w:val="00FE3256"/>
    <w:rsid w:val="00FE3B9B"/>
    <w:rsid w:val="00FE3F8E"/>
    <w:rsid w:val="00FE47ED"/>
    <w:rsid w:val="00FE5101"/>
    <w:rsid w:val="00FE61DC"/>
    <w:rsid w:val="00FE67D0"/>
    <w:rsid w:val="00FE689B"/>
    <w:rsid w:val="00FE79CE"/>
    <w:rsid w:val="00FF02D0"/>
    <w:rsid w:val="00FF081E"/>
    <w:rsid w:val="00FF1406"/>
    <w:rsid w:val="00FF145C"/>
    <w:rsid w:val="00FF26EE"/>
    <w:rsid w:val="00FF28EC"/>
    <w:rsid w:val="00FF47A3"/>
    <w:rsid w:val="00FF4B3F"/>
    <w:rsid w:val="00FF4B43"/>
    <w:rsid w:val="00FF574F"/>
    <w:rsid w:val="00FF6146"/>
    <w:rsid w:val="00FF7956"/>
    <w:rsid w:val="018F4DD0"/>
    <w:rsid w:val="01DE6093"/>
    <w:rsid w:val="02034A18"/>
    <w:rsid w:val="03613039"/>
    <w:rsid w:val="036202D4"/>
    <w:rsid w:val="03D07714"/>
    <w:rsid w:val="04B94B88"/>
    <w:rsid w:val="05262D76"/>
    <w:rsid w:val="056F462F"/>
    <w:rsid w:val="06270849"/>
    <w:rsid w:val="06552DE0"/>
    <w:rsid w:val="067D4F9E"/>
    <w:rsid w:val="06D71535"/>
    <w:rsid w:val="06DA69AD"/>
    <w:rsid w:val="07034C25"/>
    <w:rsid w:val="07515FD1"/>
    <w:rsid w:val="07991A83"/>
    <w:rsid w:val="084F24D1"/>
    <w:rsid w:val="087B2F8F"/>
    <w:rsid w:val="08CA370B"/>
    <w:rsid w:val="09F07824"/>
    <w:rsid w:val="0A0932C7"/>
    <w:rsid w:val="0A506477"/>
    <w:rsid w:val="0A8A4C86"/>
    <w:rsid w:val="0BC253A2"/>
    <w:rsid w:val="0C8D726E"/>
    <w:rsid w:val="0C8E44C1"/>
    <w:rsid w:val="0CE05750"/>
    <w:rsid w:val="0D1077DD"/>
    <w:rsid w:val="0DFF6C3D"/>
    <w:rsid w:val="0E401002"/>
    <w:rsid w:val="0EA162F1"/>
    <w:rsid w:val="0F4F55B5"/>
    <w:rsid w:val="0F523385"/>
    <w:rsid w:val="108723C9"/>
    <w:rsid w:val="10907D14"/>
    <w:rsid w:val="110658A6"/>
    <w:rsid w:val="114A387E"/>
    <w:rsid w:val="11A5684D"/>
    <w:rsid w:val="120E7E09"/>
    <w:rsid w:val="123D4E07"/>
    <w:rsid w:val="12562AA0"/>
    <w:rsid w:val="12EC36A4"/>
    <w:rsid w:val="14002C3B"/>
    <w:rsid w:val="14682B04"/>
    <w:rsid w:val="156B7273"/>
    <w:rsid w:val="159B504D"/>
    <w:rsid w:val="16086371"/>
    <w:rsid w:val="167F40D4"/>
    <w:rsid w:val="169B65A7"/>
    <w:rsid w:val="16CB4F50"/>
    <w:rsid w:val="177A4959"/>
    <w:rsid w:val="17853B61"/>
    <w:rsid w:val="178C0A2E"/>
    <w:rsid w:val="17CB121D"/>
    <w:rsid w:val="183A1C0C"/>
    <w:rsid w:val="18950986"/>
    <w:rsid w:val="199E5A21"/>
    <w:rsid w:val="1B942A09"/>
    <w:rsid w:val="1BA036AA"/>
    <w:rsid w:val="1BB61013"/>
    <w:rsid w:val="1BCE272A"/>
    <w:rsid w:val="1BDF7E16"/>
    <w:rsid w:val="1C4C11C0"/>
    <w:rsid w:val="1CB82E95"/>
    <w:rsid w:val="1D035455"/>
    <w:rsid w:val="1D2B1804"/>
    <w:rsid w:val="1D2D465B"/>
    <w:rsid w:val="1D86563F"/>
    <w:rsid w:val="1E3950C5"/>
    <w:rsid w:val="1E4808ED"/>
    <w:rsid w:val="204B4CC7"/>
    <w:rsid w:val="20913CBA"/>
    <w:rsid w:val="20DB5404"/>
    <w:rsid w:val="210118AD"/>
    <w:rsid w:val="211F0EDB"/>
    <w:rsid w:val="221C3544"/>
    <w:rsid w:val="24151387"/>
    <w:rsid w:val="2447076B"/>
    <w:rsid w:val="254A0D4A"/>
    <w:rsid w:val="25B12A01"/>
    <w:rsid w:val="27034AD1"/>
    <w:rsid w:val="280C250B"/>
    <w:rsid w:val="28CF69C0"/>
    <w:rsid w:val="28D9041B"/>
    <w:rsid w:val="28DD6E23"/>
    <w:rsid w:val="28FE60D3"/>
    <w:rsid w:val="295B3526"/>
    <w:rsid w:val="2A4F0167"/>
    <w:rsid w:val="2A80627F"/>
    <w:rsid w:val="2ADE7026"/>
    <w:rsid w:val="2CDD21EA"/>
    <w:rsid w:val="2D8206C8"/>
    <w:rsid w:val="2EEC40A0"/>
    <w:rsid w:val="2FD74BE1"/>
    <w:rsid w:val="30346DFC"/>
    <w:rsid w:val="307410C2"/>
    <w:rsid w:val="308D0856"/>
    <w:rsid w:val="31121EF5"/>
    <w:rsid w:val="31EF7704"/>
    <w:rsid w:val="32152093"/>
    <w:rsid w:val="32340DB8"/>
    <w:rsid w:val="32977460"/>
    <w:rsid w:val="32E2246B"/>
    <w:rsid w:val="33305B83"/>
    <w:rsid w:val="338B6C3E"/>
    <w:rsid w:val="341905EA"/>
    <w:rsid w:val="35AF558A"/>
    <w:rsid w:val="37262B51"/>
    <w:rsid w:val="38F85F83"/>
    <w:rsid w:val="39E14173"/>
    <w:rsid w:val="3A1F47FB"/>
    <w:rsid w:val="3A660185"/>
    <w:rsid w:val="3A957436"/>
    <w:rsid w:val="3AEF148E"/>
    <w:rsid w:val="3B3D0F47"/>
    <w:rsid w:val="3BDD4E74"/>
    <w:rsid w:val="3BFC4E54"/>
    <w:rsid w:val="3C7E4EDD"/>
    <w:rsid w:val="3E614CE2"/>
    <w:rsid w:val="3E824310"/>
    <w:rsid w:val="3EB53DB8"/>
    <w:rsid w:val="3F2415CF"/>
    <w:rsid w:val="3F295451"/>
    <w:rsid w:val="3F657DF0"/>
    <w:rsid w:val="3FE165A4"/>
    <w:rsid w:val="405C2C22"/>
    <w:rsid w:val="407A3D21"/>
    <w:rsid w:val="40B97C69"/>
    <w:rsid w:val="41103AB3"/>
    <w:rsid w:val="411A2A57"/>
    <w:rsid w:val="4185067D"/>
    <w:rsid w:val="41A2641C"/>
    <w:rsid w:val="426828AB"/>
    <w:rsid w:val="42A11473"/>
    <w:rsid w:val="42D24149"/>
    <w:rsid w:val="42E51F94"/>
    <w:rsid w:val="43CF0ACF"/>
    <w:rsid w:val="44502E5B"/>
    <w:rsid w:val="44C558EE"/>
    <w:rsid w:val="45E17242"/>
    <w:rsid w:val="45F33475"/>
    <w:rsid w:val="46CF4FC2"/>
    <w:rsid w:val="46EC288D"/>
    <w:rsid w:val="47B6656B"/>
    <w:rsid w:val="48C170B3"/>
    <w:rsid w:val="48FE4B50"/>
    <w:rsid w:val="49574862"/>
    <w:rsid w:val="4A0E69D6"/>
    <w:rsid w:val="4A5406A2"/>
    <w:rsid w:val="4AC519F6"/>
    <w:rsid w:val="4B110B90"/>
    <w:rsid w:val="4B8E10E1"/>
    <w:rsid w:val="4C32662C"/>
    <w:rsid w:val="4C773E82"/>
    <w:rsid w:val="4D4B1098"/>
    <w:rsid w:val="4D624570"/>
    <w:rsid w:val="4DDD543C"/>
    <w:rsid w:val="4E444B87"/>
    <w:rsid w:val="4FB34218"/>
    <w:rsid w:val="50314A57"/>
    <w:rsid w:val="50E35A2B"/>
    <w:rsid w:val="510A2FB8"/>
    <w:rsid w:val="51D24D60"/>
    <w:rsid w:val="522D65B3"/>
    <w:rsid w:val="530772B6"/>
    <w:rsid w:val="53083749"/>
    <w:rsid w:val="5355411C"/>
    <w:rsid w:val="53590226"/>
    <w:rsid w:val="537312E8"/>
    <w:rsid w:val="54007F85"/>
    <w:rsid w:val="54803EF9"/>
    <w:rsid w:val="55FD133D"/>
    <w:rsid w:val="561244DD"/>
    <w:rsid w:val="562B3B54"/>
    <w:rsid w:val="563A27AE"/>
    <w:rsid w:val="566E5313"/>
    <w:rsid w:val="56F15429"/>
    <w:rsid w:val="572936D9"/>
    <w:rsid w:val="573F362D"/>
    <w:rsid w:val="58B205DA"/>
    <w:rsid w:val="590E65FD"/>
    <w:rsid w:val="59562254"/>
    <w:rsid w:val="59A81572"/>
    <w:rsid w:val="5AB92201"/>
    <w:rsid w:val="5B847B74"/>
    <w:rsid w:val="5C011B5A"/>
    <w:rsid w:val="5C4E28F2"/>
    <w:rsid w:val="5C7D5672"/>
    <w:rsid w:val="5CB30A30"/>
    <w:rsid w:val="5CED3FF9"/>
    <w:rsid w:val="5D4476FB"/>
    <w:rsid w:val="5D8B4D17"/>
    <w:rsid w:val="5E8B3C4B"/>
    <w:rsid w:val="5ED8763C"/>
    <w:rsid w:val="5FBF6023"/>
    <w:rsid w:val="5FC96642"/>
    <w:rsid w:val="60032513"/>
    <w:rsid w:val="601574AE"/>
    <w:rsid w:val="60257F58"/>
    <w:rsid w:val="60F566E6"/>
    <w:rsid w:val="61250170"/>
    <w:rsid w:val="614B2DC9"/>
    <w:rsid w:val="61596E45"/>
    <w:rsid w:val="61FD304F"/>
    <w:rsid w:val="62111B39"/>
    <w:rsid w:val="62D433B5"/>
    <w:rsid w:val="634925E3"/>
    <w:rsid w:val="64FD3A92"/>
    <w:rsid w:val="65735661"/>
    <w:rsid w:val="665E5750"/>
    <w:rsid w:val="66840BAF"/>
    <w:rsid w:val="678877B3"/>
    <w:rsid w:val="67E1648C"/>
    <w:rsid w:val="68DA5D31"/>
    <w:rsid w:val="69A9410F"/>
    <w:rsid w:val="6A436D3E"/>
    <w:rsid w:val="6B100175"/>
    <w:rsid w:val="6D0E2679"/>
    <w:rsid w:val="6D4621DE"/>
    <w:rsid w:val="6DE55656"/>
    <w:rsid w:val="6E261BA7"/>
    <w:rsid w:val="6E660432"/>
    <w:rsid w:val="6E681C31"/>
    <w:rsid w:val="6E8D3E82"/>
    <w:rsid w:val="6ED7625C"/>
    <w:rsid w:val="6EF47329"/>
    <w:rsid w:val="6F135292"/>
    <w:rsid w:val="709E4AF1"/>
    <w:rsid w:val="70F50EBA"/>
    <w:rsid w:val="710B1683"/>
    <w:rsid w:val="71266569"/>
    <w:rsid w:val="717C6A58"/>
    <w:rsid w:val="71D60130"/>
    <w:rsid w:val="72A14009"/>
    <w:rsid w:val="73FA5E27"/>
    <w:rsid w:val="741E4FC3"/>
    <w:rsid w:val="7447637A"/>
    <w:rsid w:val="744D5F2C"/>
    <w:rsid w:val="74C667AB"/>
    <w:rsid w:val="74C876B4"/>
    <w:rsid w:val="757440A2"/>
    <w:rsid w:val="75B67782"/>
    <w:rsid w:val="75BD23FE"/>
    <w:rsid w:val="75F73A2A"/>
    <w:rsid w:val="75FC7405"/>
    <w:rsid w:val="769958F2"/>
    <w:rsid w:val="76E96805"/>
    <w:rsid w:val="770266B0"/>
    <w:rsid w:val="77E577FB"/>
    <w:rsid w:val="78007CBA"/>
    <w:rsid w:val="784576F8"/>
    <w:rsid w:val="78767A5E"/>
    <w:rsid w:val="793D0B51"/>
    <w:rsid w:val="7B471C92"/>
    <w:rsid w:val="7CFE3D1B"/>
    <w:rsid w:val="7DEB27D3"/>
    <w:rsid w:val="7E816BC7"/>
    <w:rsid w:val="7EF402AF"/>
    <w:rsid w:val="7F2E3DC9"/>
    <w:rsid w:val="7FF0375A"/>
    <w:rsid w:val="7FF658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54"/>
    <w:qFormat/>
    <w:uiPriority w:val="0"/>
    <w:pPr>
      <w:spacing w:before="340" w:after="330" w:line="360" w:lineRule="auto"/>
      <w:jc w:val="center"/>
      <w:outlineLvl w:val="0"/>
    </w:pPr>
    <w:rPr>
      <w:rFonts w:eastAsia="黑体"/>
      <w:kern w:val="44"/>
      <w:szCs w:val="44"/>
    </w:rPr>
  </w:style>
  <w:style w:type="paragraph" w:styleId="7">
    <w:name w:val="heading 2"/>
    <w:basedOn w:val="5"/>
    <w:next w:val="6"/>
    <w:link w:val="69"/>
    <w:qFormat/>
    <w:uiPriority w:val="0"/>
    <w:pPr>
      <w:adjustRightInd w:val="0"/>
      <w:jc w:val="center"/>
      <w:textAlignment w:val="baseline"/>
      <w:outlineLvl w:val="1"/>
    </w:pPr>
    <w:rPr>
      <w:kern w:val="0"/>
      <w:sz w:val="24"/>
      <w:szCs w:val="20"/>
    </w:rPr>
  </w:style>
  <w:style w:type="paragraph" w:styleId="5">
    <w:name w:val="heading 3"/>
    <w:basedOn w:val="6"/>
    <w:next w:val="1"/>
    <w:link w:val="53"/>
    <w:autoRedefine/>
    <w:qFormat/>
    <w:uiPriority w:val="9"/>
    <w:pPr>
      <w:spacing w:before="260" w:after="260" w:line="240" w:lineRule="auto"/>
      <w:outlineLvl w:val="2"/>
    </w:pPr>
    <w:rPr>
      <w:rFonts w:ascii="宋体" w:hAnsi="宋体" w:eastAsia="宋体"/>
      <w:szCs w:val="32"/>
    </w:rPr>
  </w:style>
  <w:style w:type="paragraph" w:styleId="6">
    <w:name w:val="heading 4"/>
    <w:basedOn w:val="1"/>
    <w:next w:val="1"/>
    <w:link w:val="51"/>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78"/>
    <w:qFormat/>
    <w:uiPriority w:val="0"/>
    <w:pPr>
      <w:keepNext/>
      <w:keepLines/>
      <w:spacing w:before="280" w:after="290" w:line="376" w:lineRule="auto"/>
      <w:outlineLvl w:val="4"/>
    </w:pPr>
    <w:rPr>
      <w:b/>
      <w:sz w:val="28"/>
      <w:szCs w:val="20"/>
    </w:rPr>
  </w:style>
  <w:style w:type="paragraph" w:styleId="10">
    <w:name w:val="heading 6"/>
    <w:basedOn w:val="1"/>
    <w:next w:val="9"/>
    <w:link w:val="81"/>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9"/>
    <w:link w:val="82"/>
    <w:qFormat/>
    <w:uiPriority w:val="0"/>
    <w:pPr>
      <w:keepNext/>
      <w:keepLines/>
      <w:spacing w:before="240" w:after="64" w:line="320" w:lineRule="auto"/>
      <w:outlineLvl w:val="6"/>
    </w:pPr>
    <w:rPr>
      <w:b/>
      <w:sz w:val="24"/>
      <w:szCs w:val="20"/>
    </w:rPr>
  </w:style>
  <w:style w:type="paragraph" w:styleId="12">
    <w:name w:val="heading 8"/>
    <w:basedOn w:val="1"/>
    <w:next w:val="9"/>
    <w:link w:val="83"/>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9"/>
    <w:link w:val="84"/>
    <w:autoRedefine/>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0"/>
    <w:qFormat/>
    <w:uiPriority w:val="0"/>
    <w:pPr>
      <w:spacing w:line="360" w:lineRule="auto"/>
    </w:pPr>
    <w:rPr>
      <w:b/>
      <w:bCs/>
      <w:sz w:val="24"/>
    </w:rPr>
  </w:style>
  <w:style w:type="paragraph" w:styleId="3">
    <w:name w:val="Body Text 2"/>
    <w:basedOn w:val="1"/>
    <w:link w:val="94"/>
    <w:qFormat/>
    <w:uiPriority w:val="0"/>
    <w:pPr>
      <w:spacing w:line="360" w:lineRule="auto"/>
    </w:pPr>
    <w:rPr>
      <w:sz w:val="24"/>
    </w:rPr>
  </w:style>
  <w:style w:type="paragraph" w:styleId="9">
    <w:name w:val="Normal Indent"/>
    <w:basedOn w:val="1"/>
    <w:next w:val="2"/>
    <w:link w:val="55"/>
    <w:qFormat/>
    <w:uiPriority w:val="0"/>
    <w:pPr>
      <w:ind w:firstLine="420"/>
    </w:pPr>
    <w:rPr>
      <w:szCs w:val="20"/>
    </w:rPr>
  </w:style>
  <w:style w:type="paragraph" w:styleId="14">
    <w:name w:val="toc 7"/>
    <w:basedOn w:val="1"/>
    <w:next w:val="1"/>
    <w:semiHidden/>
    <w:qFormat/>
    <w:uiPriority w:val="0"/>
    <w:pPr>
      <w:ind w:left="1260"/>
      <w:jc w:val="left"/>
    </w:pPr>
    <w:rPr>
      <w:szCs w:val="21"/>
    </w:rPr>
  </w:style>
  <w:style w:type="paragraph" w:styleId="15">
    <w:name w:val="caption"/>
    <w:basedOn w:val="1"/>
    <w:next w:val="1"/>
    <w:autoRedefine/>
    <w:qFormat/>
    <w:uiPriority w:val="0"/>
    <w:pPr>
      <w:widowControl/>
      <w:spacing w:line="360" w:lineRule="auto"/>
      <w:ind w:firstLine="1940" w:firstLineChars="920"/>
      <w:jc w:val="left"/>
    </w:pPr>
    <w:rPr>
      <w:rFonts w:ascii="宋体" w:hAnsi="宋体"/>
      <w:b/>
      <w:bCs/>
      <w:kern w:val="0"/>
      <w:sz w:val="20"/>
      <w:szCs w:val="20"/>
    </w:rPr>
  </w:style>
  <w:style w:type="paragraph" w:styleId="16">
    <w:name w:val="List Bullet"/>
    <w:basedOn w:val="1"/>
    <w:qFormat/>
    <w:uiPriority w:val="0"/>
    <w:pPr>
      <w:numPr>
        <w:ilvl w:val="0"/>
        <w:numId w:val="1"/>
      </w:numPr>
    </w:pPr>
    <w:rPr>
      <w:szCs w:val="20"/>
    </w:rPr>
  </w:style>
  <w:style w:type="paragraph" w:styleId="17">
    <w:name w:val="Document Map"/>
    <w:basedOn w:val="1"/>
    <w:semiHidden/>
    <w:qFormat/>
    <w:uiPriority w:val="0"/>
    <w:pPr>
      <w:shd w:val="clear" w:color="auto" w:fill="000080"/>
    </w:pPr>
  </w:style>
  <w:style w:type="paragraph" w:styleId="18">
    <w:name w:val="annotation text"/>
    <w:basedOn w:val="1"/>
    <w:link w:val="182"/>
    <w:qFormat/>
    <w:uiPriority w:val="99"/>
    <w:pPr>
      <w:autoSpaceDE w:val="0"/>
      <w:autoSpaceDN w:val="0"/>
      <w:adjustRightInd w:val="0"/>
      <w:jc w:val="left"/>
      <w:textAlignment w:val="baseline"/>
    </w:pPr>
    <w:rPr>
      <w:rFonts w:ascii="宋体"/>
      <w:kern w:val="0"/>
      <w:sz w:val="34"/>
      <w:szCs w:val="20"/>
    </w:rPr>
  </w:style>
  <w:style w:type="paragraph" w:styleId="19">
    <w:name w:val="Body Text 3"/>
    <w:basedOn w:val="1"/>
    <w:link w:val="96"/>
    <w:qFormat/>
    <w:uiPriority w:val="0"/>
    <w:pPr>
      <w:spacing w:after="120"/>
    </w:pPr>
    <w:rPr>
      <w:sz w:val="16"/>
      <w:szCs w:val="16"/>
    </w:rPr>
  </w:style>
  <w:style w:type="paragraph" w:styleId="20">
    <w:name w:val="Body Text Indent"/>
    <w:basedOn w:val="1"/>
    <w:link w:val="77"/>
    <w:qFormat/>
    <w:uiPriority w:val="0"/>
    <w:pPr>
      <w:spacing w:line="360" w:lineRule="auto"/>
      <w:ind w:firstLine="420" w:firstLineChars="200"/>
    </w:pPr>
  </w:style>
  <w:style w:type="paragraph" w:styleId="21">
    <w:name w:val="Block Text"/>
    <w:basedOn w:val="1"/>
    <w:next w:val="1"/>
    <w:qFormat/>
    <w:uiPriority w:val="0"/>
    <w:pPr>
      <w:spacing w:after="120"/>
      <w:ind w:left="1440" w:leftChars="700" w:right="700" w:rightChars="700"/>
    </w:pPr>
  </w:style>
  <w:style w:type="paragraph" w:styleId="22">
    <w:name w:val="toc 5"/>
    <w:basedOn w:val="1"/>
    <w:next w:val="1"/>
    <w:semiHidden/>
    <w:qFormat/>
    <w:uiPriority w:val="0"/>
    <w:pPr>
      <w:ind w:left="840"/>
      <w:jc w:val="left"/>
    </w:pPr>
    <w:rPr>
      <w:szCs w:val="21"/>
    </w:rPr>
  </w:style>
  <w:style w:type="paragraph" w:styleId="23">
    <w:name w:val="toc 3"/>
    <w:basedOn w:val="1"/>
    <w:next w:val="1"/>
    <w:semiHidden/>
    <w:qFormat/>
    <w:uiPriority w:val="0"/>
    <w:pPr>
      <w:ind w:left="420"/>
      <w:jc w:val="left"/>
    </w:pPr>
    <w:rPr>
      <w:i/>
      <w:iCs/>
    </w:rPr>
  </w:style>
  <w:style w:type="paragraph" w:styleId="24">
    <w:name w:val="Plain Text"/>
    <w:basedOn w:val="1"/>
    <w:link w:val="88"/>
    <w:qFormat/>
    <w:uiPriority w:val="0"/>
    <w:rPr>
      <w:rFonts w:ascii="宋体" w:hAnsi="Courier New"/>
      <w:szCs w:val="20"/>
    </w:rPr>
  </w:style>
  <w:style w:type="paragraph" w:styleId="25">
    <w:name w:val="toc 8"/>
    <w:basedOn w:val="1"/>
    <w:next w:val="1"/>
    <w:semiHidden/>
    <w:qFormat/>
    <w:uiPriority w:val="0"/>
    <w:pPr>
      <w:ind w:left="1470"/>
      <w:jc w:val="left"/>
    </w:pPr>
    <w:rPr>
      <w:szCs w:val="21"/>
    </w:rPr>
  </w:style>
  <w:style w:type="paragraph" w:styleId="26">
    <w:name w:val="Date"/>
    <w:basedOn w:val="1"/>
    <w:next w:val="1"/>
    <w:link w:val="86"/>
    <w:autoRedefine/>
    <w:qFormat/>
    <w:uiPriority w:val="0"/>
    <w:rPr>
      <w:rFonts w:ascii="宋体" w:hAnsi="Courier New"/>
      <w:sz w:val="32"/>
      <w:szCs w:val="20"/>
    </w:rPr>
  </w:style>
  <w:style w:type="paragraph" w:styleId="27">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8">
    <w:name w:val="Balloon Text"/>
    <w:basedOn w:val="1"/>
    <w:link w:val="97"/>
    <w:autoRedefine/>
    <w:semiHidden/>
    <w:qFormat/>
    <w:uiPriority w:val="99"/>
    <w:rPr>
      <w:sz w:val="18"/>
      <w:szCs w:val="18"/>
    </w:rPr>
  </w:style>
  <w:style w:type="paragraph" w:styleId="29">
    <w:name w:val="footer"/>
    <w:basedOn w:val="1"/>
    <w:link w:val="95"/>
    <w:autoRedefine/>
    <w:qFormat/>
    <w:uiPriority w:val="0"/>
    <w:pPr>
      <w:tabs>
        <w:tab w:val="center" w:pos="4153"/>
        <w:tab w:val="right" w:pos="8306"/>
      </w:tabs>
      <w:snapToGrid w:val="0"/>
      <w:jc w:val="left"/>
    </w:pPr>
    <w:rPr>
      <w:sz w:val="18"/>
      <w:szCs w:val="18"/>
    </w:rPr>
  </w:style>
  <w:style w:type="paragraph" w:styleId="30">
    <w:name w:val="header"/>
    <w:basedOn w:val="1"/>
    <w:link w:val="92"/>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0"/>
    <w:pPr>
      <w:spacing w:before="120" w:after="120"/>
      <w:jc w:val="left"/>
    </w:pPr>
    <w:rPr>
      <w:b/>
      <w:bCs/>
      <w:caps/>
    </w:rPr>
  </w:style>
  <w:style w:type="paragraph" w:styleId="32">
    <w:name w:val="toc 4"/>
    <w:basedOn w:val="1"/>
    <w:next w:val="1"/>
    <w:semiHidden/>
    <w:qFormat/>
    <w:uiPriority w:val="0"/>
    <w:pPr>
      <w:ind w:left="630"/>
      <w:jc w:val="left"/>
    </w:pPr>
    <w:rPr>
      <w:szCs w:val="21"/>
    </w:rPr>
  </w:style>
  <w:style w:type="paragraph" w:styleId="33">
    <w:name w:val="toc 6"/>
    <w:basedOn w:val="1"/>
    <w:next w:val="1"/>
    <w:autoRedefine/>
    <w:semiHidden/>
    <w:qFormat/>
    <w:uiPriority w:val="0"/>
    <w:pPr>
      <w:ind w:left="1050"/>
      <w:jc w:val="left"/>
    </w:pPr>
    <w:rPr>
      <w:szCs w:val="21"/>
    </w:rPr>
  </w:style>
  <w:style w:type="paragraph" w:styleId="34">
    <w:name w:val="Body Text Indent 3"/>
    <w:basedOn w:val="1"/>
    <w:link w:val="93"/>
    <w:qFormat/>
    <w:uiPriority w:val="0"/>
    <w:pPr>
      <w:spacing w:line="360" w:lineRule="auto"/>
      <w:ind w:firstLine="482" w:firstLineChars="200"/>
    </w:pPr>
    <w:rPr>
      <w:rFonts w:ascii="宋体"/>
      <w:b/>
      <w:bCs/>
      <w:sz w:val="24"/>
    </w:rPr>
  </w:style>
  <w:style w:type="paragraph" w:styleId="35">
    <w:name w:val="toc 2"/>
    <w:basedOn w:val="1"/>
    <w:next w:val="1"/>
    <w:semiHidden/>
    <w:qFormat/>
    <w:uiPriority w:val="0"/>
    <w:pPr>
      <w:tabs>
        <w:tab w:val="right" w:leader="dot" w:pos="8296"/>
      </w:tabs>
      <w:ind w:left="210"/>
      <w:jc w:val="left"/>
    </w:pPr>
    <w:rPr>
      <w:smallCaps/>
    </w:rPr>
  </w:style>
  <w:style w:type="paragraph" w:styleId="36">
    <w:name w:val="toc 9"/>
    <w:basedOn w:val="1"/>
    <w:next w:val="1"/>
    <w:semiHidden/>
    <w:qFormat/>
    <w:uiPriority w:val="0"/>
    <w:pPr>
      <w:ind w:left="1680"/>
      <w:jc w:val="left"/>
    </w:pPr>
    <w:rPr>
      <w:szCs w:val="21"/>
    </w:rPr>
  </w:style>
  <w:style w:type="paragraph" w:styleId="37">
    <w:name w:val="HTML Preformatted"/>
    <w:basedOn w:val="1"/>
    <w:link w:val="8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link w:val="188"/>
    <w:qFormat/>
    <w:uiPriority w:val="99"/>
    <w:rPr>
      <w:sz w:val="24"/>
    </w:rPr>
  </w:style>
  <w:style w:type="paragraph" w:styleId="39">
    <w:name w:val="index 1"/>
    <w:basedOn w:val="1"/>
    <w:next w:val="1"/>
    <w:autoRedefine/>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0">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1">
    <w:name w:val="annotation subject"/>
    <w:basedOn w:val="18"/>
    <w:next w:val="18"/>
    <w:link w:val="183"/>
    <w:autoRedefine/>
    <w:qFormat/>
    <w:uiPriority w:val="99"/>
    <w:pPr>
      <w:autoSpaceDE/>
      <w:autoSpaceDN/>
      <w:adjustRightInd/>
      <w:textAlignment w:val="auto"/>
    </w:pPr>
    <w:rPr>
      <w:rFonts w:ascii="Times New Roman"/>
      <w:b/>
      <w:bCs/>
      <w:kern w:val="2"/>
      <w:sz w:val="21"/>
      <w:szCs w:val="24"/>
    </w:rPr>
  </w:style>
  <w:style w:type="paragraph" w:styleId="42">
    <w:name w:val="Body Text First Indent"/>
    <w:basedOn w:val="2"/>
    <w:link w:val="128"/>
    <w:autoRedefine/>
    <w:qFormat/>
    <w:uiPriority w:val="0"/>
    <w:pPr>
      <w:spacing w:after="120" w:line="240" w:lineRule="auto"/>
      <w:ind w:firstLine="420" w:firstLineChars="100"/>
    </w:pPr>
    <w:rPr>
      <w:sz w:val="21"/>
    </w:rPr>
  </w:style>
  <w:style w:type="table" w:styleId="44">
    <w:name w:val="Table Grid"/>
    <w:basedOn w:val="4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autoRedefine/>
    <w:qFormat/>
    <w:uiPriority w:val="0"/>
    <w:rPr>
      <w:b/>
      <w:bCs/>
    </w:rPr>
  </w:style>
  <w:style w:type="character" w:styleId="47">
    <w:name w:val="page number"/>
    <w:basedOn w:val="45"/>
    <w:autoRedefine/>
    <w:qFormat/>
    <w:uiPriority w:val="0"/>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basedOn w:val="45"/>
    <w:qFormat/>
    <w:uiPriority w:val="99"/>
    <w:rPr>
      <w:sz w:val="21"/>
      <w:szCs w:val="21"/>
    </w:rPr>
  </w:style>
  <w:style w:type="character" w:customStyle="1" w:styleId="51">
    <w:name w:val="标题 4 Char"/>
    <w:link w:val="6"/>
    <w:autoRedefine/>
    <w:qFormat/>
    <w:uiPriority w:val="9"/>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Char1"/>
    <w:link w:val="5"/>
    <w:autoRedefine/>
    <w:qFormat/>
    <w:uiPriority w:val="9"/>
    <w:rPr>
      <w:rFonts w:ascii="宋体" w:hAnsi="宋体" w:eastAsia="宋体"/>
      <w:b/>
      <w:bCs/>
      <w:kern w:val="2"/>
      <w:sz w:val="28"/>
      <w:szCs w:val="32"/>
      <w:lang w:val="en-US" w:eastAsia="zh-CN" w:bidi="ar-SA"/>
    </w:rPr>
  </w:style>
  <w:style w:type="character" w:customStyle="1" w:styleId="54">
    <w:name w:val="标题 1 Char"/>
    <w:link w:val="4"/>
    <w:autoRedefine/>
    <w:qFormat/>
    <w:uiPriority w:val="0"/>
    <w:rPr>
      <w:rFonts w:ascii="宋体" w:hAnsi="宋体" w:eastAsia="黑体"/>
      <w:b/>
      <w:bCs/>
      <w:kern w:val="44"/>
      <w:sz w:val="28"/>
      <w:szCs w:val="44"/>
      <w:lang w:val="en-US" w:eastAsia="zh-CN" w:bidi="ar-SA"/>
    </w:rPr>
  </w:style>
  <w:style w:type="character" w:customStyle="1" w:styleId="55">
    <w:name w:val="正文缩进 Char"/>
    <w:link w:val="9"/>
    <w:autoRedefine/>
    <w:qFormat/>
    <w:uiPriority w:val="0"/>
    <w:rPr>
      <w:rFonts w:eastAsia="宋体"/>
      <w:kern w:val="2"/>
      <w:sz w:val="21"/>
      <w:lang w:val="en-US" w:eastAsia="zh-CN" w:bidi="ar-SA"/>
    </w:rPr>
  </w:style>
  <w:style w:type="character" w:customStyle="1" w:styleId="56">
    <w:name w:val="标题 3 Char"/>
    <w:autoRedefine/>
    <w:qFormat/>
    <w:uiPriority w:val="0"/>
    <w:rPr>
      <w:rFonts w:ascii="黑体" w:eastAsia="黑体"/>
      <w:bCs/>
      <w:sz w:val="30"/>
    </w:rPr>
  </w:style>
  <w:style w:type="paragraph" w:customStyle="1" w:styleId="57">
    <w:name w:val="样式41"/>
    <w:basedOn w:val="1"/>
    <w:autoRedefine/>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autoRedefine/>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autoRedefine/>
    <w:qFormat/>
    <w:uiPriority w:val="0"/>
    <w:rPr>
      <w:rFonts w:ascii="Tahoma" w:hAnsi="Tahoma"/>
      <w:sz w:val="24"/>
      <w:szCs w:val="20"/>
    </w:rPr>
  </w:style>
  <w:style w:type="paragraph" w:customStyle="1" w:styleId="6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autoRedefine/>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Char"/>
    <w:link w:val="7"/>
    <w:qFormat/>
    <w:uiPriority w:val="0"/>
    <w:rPr>
      <w:rFonts w:ascii="宋体" w:hAnsi="宋体" w:eastAsia="宋体"/>
      <w:b/>
      <w:bCs/>
      <w:sz w:val="24"/>
      <w:lang w:val="en-US" w:eastAsia="zh-CN" w:bidi="ar-SA"/>
    </w:rPr>
  </w:style>
  <w:style w:type="paragraph" w:customStyle="1" w:styleId="70">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autoRedefine/>
    <w:qFormat/>
    <w:uiPriority w:val="34"/>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autoRedefine/>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20"/>
    <w:autoRedefine/>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7"/>
    <w:autoRedefine/>
    <w:qFormat/>
    <w:uiPriority w:val="0"/>
    <w:pPr>
      <w:adjustRightInd/>
      <w:spacing w:before="0" w:after="0"/>
      <w:jc w:val="both"/>
      <w:textAlignment w:val="auto"/>
    </w:pPr>
    <w:rPr>
      <w:rFonts w:ascii="Cambria" w:hAnsi="Cambria" w:cs="宋体"/>
      <w:kern w:val="2"/>
      <w:sz w:val="32"/>
    </w:rPr>
  </w:style>
  <w:style w:type="character" w:customStyle="1" w:styleId="76">
    <w:name w:val="H4 Char2"/>
    <w:autoRedefine/>
    <w:qFormat/>
    <w:uiPriority w:val="0"/>
    <w:rPr>
      <w:rFonts w:ascii="Arial" w:hAnsi="Arial" w:eastAsia="黑体"/>
      <w:b/>
      <w:bCs/>
      <w:kern w:val="2"/>
      <w:sz w:val="28"/>
      <w:szCs w:val="28"/>
      <w:lang w:val="en-US" w:eastAsia="zh-CN" w:bidi="ar-SA"/>
    </w:rPr>
  </w:style>
  <w:style w:type="character" w:customStyle="1" w:styleId="77">
    <w:name w:val="正文文本缩进 Char"/>
    <w:link w:val="20"/>
    <w:qFormat/>
    <w:uiPriority w:val="0"/>
    <w:rPr>
      <w:rFonts w:eastAsia="宋体"/>
      <w:kern w:val="2"/>
      <w:sz w:val="21"/>
      <w:szCs w:val="24"/>
      <w:lang w:val="en-US" w:eastAsia="zh-CN" w:bidi="ar-SA"/>
    </w:rPr>
  </w:style>
  <w:style w:type="character" w:customStyle="1" w:styleId="78">
    <w:name w:val="标题 5 Char"/>
    <w:link w:val="8"/>
    <w:qFormat/>
    <w:uiPriority w:val="0"/>
    <w:rPr>
      <w:rFonts w:eastAsia="宋体"/>
      <w:b/>
      <w:kern w:val="2"/>
      <w:sz w:val="28"/>
      <w:lang w:val="en-US" w:eastAsia="zh-CN" w:bidi="ar-SA"/>
    </w:rPr>
  </w:style>
  <w:style w:type="character" w:customStyle="1" w:styleId="79">
    <w:name w:val="第*章 Char"/>
    <w:autoRedefine/>
    <w:qFormat/>
    <w:uiPriority w:val="0"/>
    <w:rPr>
      <w:rFonts w:ascii="Arial" w:hAnsi="Arial" w:eastAsia="黑体"/>
      <w:b/>
      <w:bCs/>
      <w:kern w:val="2"/>
      <w:sz w:val="32"/>
      <w:szCs w:val="32"/>
    </w:rPr>
  </w:style>
  <w:style w:type="character" w:customStyle="1" w:styleId="80">
    <w:name w:val="章标题1 Char"/>
    <w:autoRedefine/>
    <w:qFormat/>
    <w:uiPriority w:val="0"/>
    <w:rPr>
      <w:rFonts w:eastAsia="宋体"/>
      <w:b/>
      <w:bCs/>
      <w:kern w:val="2"/>
      <w:sz w:val="32"/>
      <w:szCs w:val="32"/>
      <w:lang w:val="en-US" w:eastAsia="zh-CN" w:bidi="ar-SA"/>
    </w:rPr>
  </w:style>
  <w:style w:type="character" w:customStyle="1" w:styleId="81">
    <w:name w:val="标题 6 Char"/>
    <w:link w:val="10"/>
    <w:autoRedefine/>
    <w:qFormat/>
    <w:uiPriority w:val="0"/>
    <w:rPr>
      <w:rFonts w:ascii="Arial" w:hAnsi="Arial" w:eastAsia="黑体"/>
      <w:b/>
      <w:kern w:val="2"/>
      <w:sz w:val="24"/>
      <w:lang w:val="en-US" w:eastAsia="zh-CN" w:bidi="ar-SA"/>
    </w:rPr>
  </w:style>
  <w:style w:type="character" w:customStyle="1" w:styleId="82">
    <w:name w:val="标题 7 Char"/>
    <w:link w:val="11"/>
    <w:autoRedefine/>
    <w:qFormat/>
    <w:uiPriority w:val="0"/>
    <w:rPr>
      <w:rFonts w:eastAsia="宋体"/>
      <w:b/>
      <w:kern w:val="2"/>
      <w:sz w:val="24"/>
      <w:lang w:val="en-US" w:eastAsia="zh-CN" w:bidi="ar-SA"/>
    </w:rPr>
  </w:style>
  <w:style w:type="character" w:customStyle="1" w:styleId="83">
    <w:name w:val="标题 8 Char"/>
    <w:link w:val="12"/>
    <w:qFormat/>
    <w:uiPriority w:val="0"/>
    <w:rPr>
      <w:rFonts w:ascii="Arial" w:hAnsi="Arial" w:eastAsia="黑体"/>
      <w:kern w:val="2"/>
      <w:sz w:val="24"/>
      <w:lang w:val="en-US" w:eastAsia="zh-CN" w:bidi="ar-SA"/>
    </w:rPr>
  </w:style>
  <w:style w:type="character" w:customStyle="1" w:styleId="84">
    <w:name w:val="标题 9 Char"/>
    <w:link w:val="13"/>
    <w:autoRedefine/>
    <w:qFormat/>
    <w:uiPriority w:val="0"/>
    <w:rPr>
      <w:rFonts w:ascii="Arial" w:hAnsi="Arial" w:eastAsia="黑体"/>
      <w:kern w:val="2"/>
      <w:sz w:val="21"/>
      <w:lang w:val="en-US" w:eastAsia="zh-CN" w:bidi="ar-SA"/>
    </w:rPr>
  </w:style>
  <w:style w:type="character" w:customStyle="1" w:styleId="85">
    <w:name w:val="标题 Char"/>
    <w:link w:val="40"/>
    <w:autoRedefine/>
    <w:qFormat/>
    <w:uiPriority w:val="0"/>
    <w:rPr>
      <w:rFonts w:ascii="Arial" w:hAnsi="Arial" w:eastAsia="隶书" w:cs="Arial"/>
      <w:b/>
      <w:bCs/>
      <w:kern w:val="2"/>
      <w:sz w:val="32"/>
      <w:szCs w:val="32"/>
      <w:lang w:val="en-US" w:eastAsia="zh-CN" w:bidi="ar-SA"/>
    </w:rPr>
  </w:style>
  <w:style w:type="character" w:customStyle="1" w:styleId="86">
    <w:name w:val="日期 Char"/>
    <w:link w:val="26"/>
    <w:qFormat/>
    <w:uiPriority w:val="0"/>
    <w:rPr>
      <w:rFonts w:ascii="宋体" w:hAnsi="Courier New" w:eastAsia="宋体"/>
      <w:kern w:val="2"/>
      <w:sz w:val="32"/>
      <w:lang w:val="en-US" w:eastAsia="zh-CN" w:bidi="ar-SA"/>
    </w:rPr>
  </w:style>
  <w:style w:type="character" w:customStyle="1" w:styleId="87">
    <w:name w:val="HTML 预设格式 Char"/>
    <w:link w:val="37"/>
    <w:autoRedefine/>
    <w:qFormat/>
    <w:uiPriority w:val="0"/>
    <w:rPr>
      <w:rFonts w:ascii="Arial Unicode MS" w:hAnsi="Arial Unicode MS" w:eastAsia="Arial Unicode MS"/>
      <w:color w:val="000000"/>
      <w:lang w:val="en-US" w:eastAsia="zh-CN" w:bidi="ar-SA"/>
    </w:rPr>
  </w:style>
  <w:style w:type="character" w:customStyle="1" w:styleId="88">
    <w:name w:val="纯文本 Char"/>
    <w:link w:val="24"/>
    <w:autoRedefine/>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Char"/>
    <w:link w:val="2"/>
    <w:autoRedefine/>
    <w:qFormat/>
    <w:uiPriority w:val="0"/>
    <w:rPr>
      <w:rFonts w:eastAsia="宋体"/>
      <w:b/>
      <w:bCs/>
      <w:kern w:val="2"/>
      <w:sz w:val="24"/>
      <w:szCs w:val="24"/>
      <w:lang w:val="en-US" w:eastAsia="zh-CN" w:bidi="ar-SA"/>
    </w:rPr>
  </w:style>
  <w:style w:type="character" w:customStyle="1" w:styleId="91">
    <w:name w:val="正文文本缩进 2 Char"/>
    <w:link w:val="27"/>
    <w:autoRedefine/>
    <w:qFormat/>
    <w:uiPriority w:val="0"/>
    <w:rPr>
      <w:rFonts w:ascii="宋体" w:hAnsi="宋体" w:eastAsia="宋体"/>
      <w:kern w:val="2"/>
      <w:sz w:val="21"/>
      <w:szCs w:val="24"/>
      <w:lang w:val="en-US" w:eastAsia="zh-CN" w:bidi="ar-SA"/>
    </w:rPr>
  </w:style>
  <w:style w:type="character" w:customStyle="1" w:styleId="92">
    <w:name w:val="页眉 Char"/>
    <w:link w:val="30"/>
    <w:qFormat/>
    <w:uiPriority w:val="99"/>
    <w:rPr>
      <w:rFonts w:eastAsia="宋体"/>
      <w:kern w:val="2"/>
      <w:sz w:val="18"/>
      <w:szCs w:val="18"/>
      <w:lang w:val="en-US" w:eastAsia="zh-CN" w:bidi="ar-SA"/>
    </w:rPr>
  </w:style>
  <w:style w:type="character" w:customStyle="1" w:styleId="93">
    <w:name w:val="正文文本缩进 3 Char"/>
    <w:link w:val="34"/>
    <w:qFormat/>
    <w:uiPriority w:val="0"/>
    <w:rPr>
      <w:rFonts w:ascii="宋体" w:eastAsia="宋体"/>
      <w:b/>
      <w:bCs/>
      <w:kern w:val="2"/>
      <w:sz w:val="24"/>
      <w:szCs w:val="24"/>
      <w:lang w:val="en-US" w:eastAsia="zh-CN" w:bidi="ar-SA"/>
    </w:rPr>
  </w:style>
  <w:style w:type="character" w:customStyle="1" w:styleId="94">
    <w:name w:val="正文文本 2 Char"/>
    <w:link w:val="3"/>
    <w:autoRedefine/>
    <w:qFormat/>
    <w:uiPriority w:val="0"/>
    <w:rPr>
      <w:rFonts w:eastAsia="宋体"/>
      <w:kern w:val="2"/>
      <w:sz w:val="24"/>
      <w:szCs w:val="24"/>
      <w:lang w:val="en-US" w:eastAsia="zh-CN" w:bidi="ar-SA"/>
    </w:rPr>
  </w:style>
  <w:style w:type="character" w:customStyle="1" w:styleId="95">
    <w:name w:val="页脚 Char"/>
    <w:link w:val="29"/>
    <w:autoRedefine/>
    <w:qFormat/>
    <w:uiPriority w:val="0"/>
    <w:rPr>
      <w:rFonts w:eastAsia="宋体"/>
      <w:kern w:val="2"/>
      <w:sz w:val="18"/>
      <w:szCs w:val="18"/>
      <w:lang w:val="en-US" w:eastAsia="zh-CN" w:bidi="ar-SA"/>
    </w:rPr>
  </w:style>
  <w:style w:type="character" w:customStyle="1" w:styleId="96">
    <w:name w:val="正文文本 3 Char"/>
    <w:link w:val="19"/>
    <w:autoRedefine/>
    <w:qFormat/>
    <w:uiPriority w:val="0"/>
    <w:rPr>
      <w:rFonts w:eastAsia="宋体"/>
      <w:kern w:val="2"/>
      <w:sz w:val="16"/>
      <w:szCs w:val="16"/>
      <w:lang w:val="en-US" w:eastAsia="zh-CN" w:bidi="ar-SA"/>
    </w:rPr>
  </w:style>
  <w:style w:type="character" w:customStyle="1" w:styleId="97">
    <w:name w:val="批注框文本 Char"/>
    <w:link w:val="28"/>
    <w:autoRedefine/>
    <w:semiHidden/>
    <w:qFormat/>
    <w:uiPriority w:val="99"/>
    <w:rPr>
      <w:rFonts w:eastAsia="宋体"/>
      <w:kern w:val="2"/>
      <w:sz w:val="18"/>
      <w:szCs w:val="18"/>
      <w:lang w:val="en-US" w:eastAsia="zh-CN" w:bidi="ar-SA"/>
    </w:rPr>
  </w:style>
  <w:style w:type="paragraph" w:customStyle="1" w:styleId="98">
    <w:name w:val="样式1"/>
    <w:basedOn w:val="40"/>
    <w:qFormat/>
    <w:uiPriority w:val="0"/>
    <w:pPr>
      <w:spacing w:before="120" w:after="120"/>
    </w:pPr>
    <w:rPr>
      <w:rFonts w:eastAsia="黑体"/>
      <w:b w:val="0"/>
      <w:sz w:val="30"/>
      <w:szCs w:val="21"/>
    </w:rPr>
  </w:style>
  <w:style w:type="paragraph" w:customStyle="1" w:styleId="99">
    <w:name w:val="样式2"/>
    <w:basedOn w:val="40"/>
    <w:next w:val="98"/>
    <w:qFormat/>
    <w:uiPriority w:val="0"/>
    <w:pPr>
      <w:spacing w:before="120" w:after="120"/>
    </w:pPr>
    <w:rPr>
      <w:rFonts w:eastAsia="黑体"/>
      <w:b w:val="0"/>
      <w:sz w:val="30"/>
      <w:szCs w:val="30"/>
    </w:rPr>
  </w:style>
  <w:style w:type="character" w:customStyle="1" w:styleId="100">
    <w:name w:val="标题 3 Char Char"/>
    <w:autoRedefine/>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autoRedefine/>
    <w:qFormat/>
    <w:uiPriority w:val="0"/>
    <w:pPr>
      <w:spacing w:line="360" w:lineRule="auto"/>
      <w:ind w:firstLine="200" w:firstLineChars="200"/>
    </w:pPr>
    <w:rPr>
      <w:szCs w:val="20"/>
    </w:rPr>
  </w:style>
  <w:style w:type="paragraph" w:customStyle="1" w:styleId="104">
    <w:name w:val="设计依据"/>
    <w:basedOn w:val="2"/>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autoRedefine/>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autoRedefine/>
    <w:qFormat/>
    <w:uiPriority w:val="0"/>
    <w:pPr>
      <w:spacing w:line="240" w:lineRule="auto"/>
      <w:ind w:firstLine="0" w:firstLineChars="0"/>
    </w:pPr>
    <w:rPr>
      <w:sz w:val="20"/>
    </w:rPr>
  </w:style>
  <w:style w:type="paragraph" w:customStyle="1" w:styleId="109">
    <w:name w:val="--规划-表格-居中"/>
    <w:basedOn w:val="103"/>
    <w:autoRedefine/>
    <w:qFormat/>
    <w:uiPriority w:val="0"/>
    <w:pPr>
      <w:spacing w:line="240" w:lineRule="auto"/>
      <w:ind w:firstLine="0" w:firstLineChars="0"/>
      <w:jc w:val="center"/>
    </w:pPr>
    <w:rPr>
      <w:sz w:val="20"/>
    </w:rPr>
  </w:style>
  <w:style w:type="paragraph" w:customStyle="1" w:styleId="110">
    <w:name w:val="--编号内缩进"/>
    <w:basedOn w:val="1"/>
    <w:autoRedefine/>
    <w:qFormat/>
    <w:uiPriority w:val="0"/>
    <w:pPr>
      <w:spacing w:line="360" w:lineRule="auto"/>
      <w:ind w:left="420" w:firstLine="200" w:firstLineChars="200"/>
    </w:pPr>
    <w:rPr>
      <w:szCs w:val="21"/>
    </w:rPr>
  </w:style>
  <w:style w:type="paragraph" w:customStyle="1" w:styleId="111">
    <w:name w:val="--规划-题注"/>
    <w:basedOn w:val="1"/>
    <w:next w:val="103"/>
    <w:autoRedefine/>
    <w:qFormat/>
    <w:uiPriority w:val="0"/>
    <w:pPr>
      <w:spacing w:line="360" w:lineRule="auto"/>
      <w:jc w:val="center"/>
    </w:pPr>
    <w:rPr>
      <w:rFonts w:eastAsia="黑体"/>
    </w:rPr>
  </w:style>
  <w:style w:type="paragraph" w:customStyle="1" w:styleId="112">
    <w:name w:val="--规划-图和表"/>
    <w:next w:val="103"/>
    <w:autoRedefine/>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autoRedefine/>
    <w:qFormat/>
    <w:uiPriority w:val="0"/>
    <w:pPr>
      <w:autoSpaceDE w:val="0"/>
      <w:autoSpaceDN w:val="0"/>
      <w:adjustRightInd w:val="0"/>
      <w:jc w:val="left"/>
    </w:pPr>
    <w:rPr>
      <w:kern w:val="0"/>
    </w:rPr>
  </w:style>
  <w:style w:type="paragraph" w:customStyle="1" w:styleId="116">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autoRedefine/>
    <w:qFormat/>
    <w:uiPriority w:val="0"/>
    <w:rPr>
      <w:rFonts w:eastAsia="宋体"/>
      <w:kern w:val="2"/>
      <w:sz w:val="24"/>
      <w:szCs w:val="24"/>
      <w:lang w:val="en-US" w:eastAsia="zh-CN" w:bidi="ar-SA"/>
    </w:rPr>
  </w:style>
  <w:style w:type="paragraph" w:customStyle="1" w:styleId="118">
    <w:name w:val="样式3"/>
    <w:basedOn w:val="4"/>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autoRedefine/>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122">
    <w:name w:val="content1"/>
    <w:autoRedefine/>
    <w:qFormat/>
    <w:uiPriority w:val="0"/>
    <w:rPr>
      <w:rFonts w:hint="default" w:ascii="??" w:hAnsi="??"/>
      <w:sz w:val="16"/>
      <w:szCs w:val="16"/>
      <w:u w:val="none"/>
    </w:rPr>
  </w:style>
  <w:style w:type="character" w:customStyle="1" w:styleId="123">
    <w:name w:val="unnamed4"/>
    <w:basedOn w:val="45"/>
    <w:autoRedefine/>
    <w:qFormat/>
    <w:uiPriority w:val="0"/>
  </w:style>
  <w:style w:type="character" w:customStyle="1" w:styleId="124">
    <w:name w:val="font2"/>
    <w:basedOn w:val="45"/>
    <w:autoRedefine/>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首行缩进 Char"/>
    <w:link w:val="42"/>
    <w:autoRedefine/>
    <w:qFormat/>
    <w:uiPriority w:val="0"/>
    <w:rPr>
      <w:rFonts w:eastAsia="宋体"/>
      <w:b/>
      <w:bCs/>
      <w:kern w:val="2"/>
      <w:sz w:val="21"/>
      <w:szCs w:val="24"/>
      <w:lang w:val="en-US" w:eastAsia="zh-CN" w:bidi="ar-SA"/>
    </w:rPr>
  </w:style>
  <w:style w:type="paragraph" w:customStyle="1" w:styleId="129">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5"/>
    <w:autoRedefine/>
    <w:qFormat/>
    <w:uiPriority w:val="0"/>
  </w:style>
  <w:style w:type="paragraph" w:customStyle="1" w:styleId="133">
    <w:name w:val="9"/>
    <w:basedOn w:val="1"/>
    <w:next w:val="9"/>
    <w:autoRedefine/>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5"/>
    <w:qFormat/>
    <w:uiPriority w:val="0"/>
  </w:style>
  <w:style w:type="paragraph" w:customStyle="1" w:styleId="135">
    <w:name w:val="8"/>
    <w:basedOn w:val="1"/>
    <w:next w:val="20"/>
    <w:autoRedefine/>
    <w:qFormat/>
    <w:uiPriority w:val="0"/>
    <w:pPr>
      <w:spacing w:after="120"/>
      <w:ind w:left="420" w:leftChars="200"/>
    </w:pPr>
  </w:style>
  <w:style w:type="paragraph" w:customStyle="1" w:styleId="136">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autoRedefine/>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autoRedefine/>
    <w:qFormat/>
    <w:uiPriority w:val="0"/>
    <w:pPr>
      <w:spacing w:line="200" w:lineRule="atLeast"/>
    </w:pPr>
    <w:rPr>
      <w:rFonts w:ascii="Arial" w:hAnsi="Arial" w:eastAsia="宋体" w:cs="Times New Roman"/>
      <w:color w:val="auto"/>
    </w:rPr>
  </w:style>
  <w:style w:type="paragraph" w:customStyle="1" w:styleId="144">
    <w:name w:val="Normal Paragraph"/>
    <w:basedOn w:val="1"/>
    <w:autoRedefine/>
    <w:qFormat/>
    <w:uiPriority w:val="0"/>
    <w:pPr>
      <w:widowControl/>
      <w:spacing w:before="120" w:line="360" w:lineRule="auto"/>
      <w:ind w:firstLine="425"/>
    </w:pPr>
    <w:rPr>
      <w:kern w:val="0"/>
      <w:sz w:val="24"/>
    </w:rPr>
  </w:style>
  <w:style w:type="character" w:customStyle="1" w:styleId="145">
    <w:name w:val="blue"/>
    <w:basedOn w:val="45"/>
    <w:autoRedefine/>
    <w:qFormat/>
    <w:uiPriority w:val="0"/>
  </w:style>
  <w:style w:type="paragraph" w:customStyle="1" w:styleId="146">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5"/>
    <w:qFormat/>
    <w:uiPriority w:val="0"/>
  </w:style>
  <w:style w:type="character" w:customStyle="1" w:styleId="148">
    <w:name w:val="font11"/>
    <w:autoRedefine/>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5"/>
    <w:qFormat/>
    <w:uiPriority w:val="0"/>
  </w:style>
  <w:style w:type="character" w:customStyle="1" w:styleId="151">
    <w:name w:val="prodheadlines"/>
    <w:basedOn w:val="45"/>
    <w:qFormat/>
    <w:uiPriority w:val="0"/>
  </w:style>
  <w:style w:type="character" w:customStyle="1" w:styleId="152">
    <w:name w:val="text"/>
    <w:basedOn w:val="45"/>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4"/>
    <w:qFormat/>
    <w:uiPriority w:val="0"/>
    <w:pPr>
      <w:ind w:firstLine="560" w:firstLineChars="200"/>
    </w:pPr>
    <w:rPr>
      <w:sz w:val="28"/>
    </w:rPr>
  </w:style>
  <w:style w:type="character" w:customStyle="1" w:styleId="159">
    <w:name w:val="gray6"/>
    <w:basedOn w:val="45"/>
    <w:qFormat/>
    <w:uiPriority w:val="0"/>
  </w:style>
  <w:style w:type="character" w:customStyle="1" w:styleId="160">
    <w:name w:val="style9"/>
    <w:basedOn w:val="45"/>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5"/>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adjustRightInd w:val="0"/>
      <w:spacing w:line="300" w:lineRule="auto"/>
      <w:ind w:right="21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5"/>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Char"/>
    <w:basedOn w:val="45"/>
    <w:link w:val="18"/>
    <w:qFormat/>
    <w:uiPriority w:val="99"/>
    <w:rPr>
      <w:rFonts w:ascii="宋体"/>
      <w:sz w:val="34"/>
    </w:rPr>
  </w:style>
  <w:style w:type="character" w:customStyle="1" w:styleId="183">
    <w:name w:val="批注主题 Char"/>
    <w:basedOn w:val="182"/>
    <w:link w:val="41"/>
    <w:qFormat/>
    <w:uiPriority w:val="99"/>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Char"/>
    <w:link w:val="38"/>
    <w:qFormat/>
    <w:uiPriority w:val="0"/>
    <w:rPr>
      <w:kern w:val="2"/>
      <w:sz w:val="24"/>
      <w:szCs w:val="24"/>
    </w:rPr>
  </w:style>
  <w:style w:type="character" w:customStyle="1" w:styleId="189">
    <w:name w:val="批注文字 Char1"/>
    <w:qFormat/>
    <w:uiPriority w:val="99"/>
    <w:rPr>
      <w:rFonts w:ascii="宋体"/>
      <w:sz w:val="34"/>
    </w:rPr>
  </w:style>
  <w:style w:type="character" w:customStyle="1" w:styleId="190">
    <w:name w:val="正文缩进 Char1"/>
    <w:qFormat/>
    <w:uiPriority w:val="0"/>
    <w:rPr>
      <w:rFonts w:eastAsia="宋体"/>
      <w:kern w:val="2"/>
      <w:sz w:val="21"/>
      <w:lang w:val="en-US" w:eastAsia="zh-CN" w:bidi="ar-SA"/>
    </w:rPr>
  </w:style>
  <w:style w:type="table" w:customStyle="1" w:styleId="191">
    <w:name w:val="网格型1"/>
    <w:basedOn w:val="43"/>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2">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19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4080</Words>
  <Characters>4163</Characters>
  <Lines>66</Lines>
  <Paragraphs>119</Paragraphs>
  <TotalTime>0</TotalTime>
  <ScaleCrop>false</ScaleCrop>
  <LinksUpToDate>false</LinksUpToDate>
  <CharactersWithSpaces>4174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2021-04-19T08:29:00Z</dcterms:created>
  <dc:creator>thsware</dc:creator>
  <cp:lastModifiedBy>吴倩娴</cp:lastModifiedBy>
  <cp:lastPrinted>2021-05-09T08:02:00Z</cp:lastPrinted>
  <dcterms:modified xsi:type="dcterms:W3CDTF">2026-05-22T11:12:43Z</dcterms:modified>
  <dc:title>招  标　文　件</dc:title>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C77B037E762040C4A3F38B70DFABC8DB_13</vt:lpwstr>
  </property>
  <property fmtid="{D5CDD505-2E9C-101B-9397-08002B2CF9AE}" pid="4" name="KSOTemplateDocerSaveRecord">
    <vt:lpwstr>eyJoZGlkIjoiOTBmYzVhOTc4YmY4MGI2NTYwZDU1MzU4OTQwOTA3OTUiLCJ1c2VySWQiOiIxNTk5MzU5NzQ2In0=</vt:lpwstr>
  </property>
</Properties>
</file>