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宋体" w:hAnsi="宋体" w:eastAsia="宋体" w:cs="宋体"/>
          <w:color w:val="auto"/>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eastAsia" w:ascii="方正小标宋_GBK" w:hAnsi="方正小标宋_GBK" w:eastAsia="方正小标宋_GBK" w:cs="方正小标宋_GBK"/>
          <w:color w:val="auto"/>
          <w:sz w:val="36"/>
          <w:szCs w:val="36"/>
          <w:lang w:val="en-US" w:eastAsia="zh-CN"/>
        </w:rPr>
      </w:pPr>
      <w:r>
        <w:rPr>
          <w:rFonts w:hint="eastAsia" w:ascii="方正小标宋_GBK" w:hAnsi="方正小标宋_GBK" w:eastAsia="方正小标宋_GBK" w:cs="方正小标宋_GBK"/>
          <w:sz w:val="36"/>
          <w:szCs w:val="36"/>
          <w:lang w:val="en-US" w:eastAsia="zh-CN"/>
        </w:rPr>
        <w:t>深圳市罗湖区文化馆2026年粤港澳大湾区（深圳）青年戏剧月</w:t>
      </w:r>
      <w:r>
        <w:rPr>
          <w:rFonts w:hint="eastAsia" w:ascii="方正小标宋_GBK" w:hAnsi="方正小标宋_GBK" w:eastAsia="方正小标宋_GBK" w:cs="方正小标宋_GBK"/>
          <w:color w:val="auto"/>
          <w:sz w:val="36"/>
          <w:szCs w:val="36"/>
          <w:lang w:val="en-US" w:eastAsia="zh-CN"/>
        </w:rPr>
        <w:t>采购文件</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center"/>
        <w:textAlignment w:val="auto"/>
        <w:outlineLvl w:val="9"/>
        <w:rPr>
          <w:rFonts w:hint="default" w:ascii="宋体" w:hAnsi="宋体" w:eastAsia="宋体" w:cs="宋体"/>
          <w:color w:val="auto"/>
          <w:sz w:val="36"/>
          <w:szCs w:val="36"/>
          <w:lang w:val="en-US" w:eastAsia="zh-CN"/>
        </w:rPr>
      </w:pPr>
    </w:p>
    <w:p>
      <w:pPr>
        <w:keepNext w:val="0"/>
        <w:keepLines w:val="0"/>
        <w:pageBreakBefore w:val="0"/>
        <w:numPr>
          <w:ilvl w:val="0"/>
          <w:numId w:val="0"/>
        </w:numPr>
        <w:kinsoku/>
        <w:wordWrap/>
        <w:overflowPunct/>
        <w:topLinePunct w:val="0"/>
        <w:autoSpaceDE/>
        <w:autoSpaceDN/>
        <w:bidi w:val="0"/>
        <w:spacing w:line="580" w:lineRule="exact"/>
        <w:ind w:left="0" w:leftChars="0" w:right="0" w:rightChars="0" w:firstLine="640" w:firstLineChars="200"/>
        <w:jc w:val="both"/>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一、</w:t>
      </w:r>
      <w:r>
        <w:rPr>
          <w:rFonts w:hint="default" w:ascii="Times New Roman" w:hAnsi="Times New Roman" w:eastAsia="黑体" w:cs="Times New Roman"/>
          <w:sz w:val="32"/>
          <w:szCs w:val="32"/>
        </w:rPr>
        <w:t>采购单位：</w:t>
      </w:r>
    </w:p>
    <w:p>
      <w:pPr>
        <w:keepNext w:val="0"/>
        <w:keepLines w:val="0"/>
        <w:pageBreakBefore w:val="0"/>
        <w:numPr>
          <w:ilvl w:val="0"/>
          <w:numId w:val="0"/>
        </w:numPr>
        <w:kinsoku/>
        <w:wordWrap/>
        <w:overflowPunct/>
        <w:topLinePunct w:val="0"/>
        <w:autoSpaceDE/>
        <w:autoSpaceDN/>
        <w:bidi w:val="0"/>
        <w:spacing w:line="580" w:lineRule="exact"/>
        <w:ind w:left="0" w:leftChars="0" w:right="0" w:rightChars="0" w:firstLine="640" w:firstLineChars="200"/>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罗湖区</w:t>
      </w:r>
      <w:r>
        <w:rPr>
          <w:rFonts w:hint="eastAsia" w:ascii="Times New Roman" w:hAnsi="Times New Roman" w:eastAsia="仿宋_GB2312" w:cs="Times New Roman"/>
          <w:sz w:val="32"/>
          <w:szCs w:val="32"/>
          <w:lang w:val="en-US" w:eastAsia="zh-CN"/>
        </w:rPr>
        <w:t>文化馆</w:t>
      </w:r>
    </w:p>
    <w:p>
      <w:pPr>
        <w:keepNext w:val="0"/>
        <w:keepLines w:val="0"/>
        <w:pageBreakBefore w:val="0"/>
        <w:numPr>
          <w:ilvl w:val="0"/>
          <w:numId w:val="1"/>
        </w:numPr>
        <w:tabs>
          <w:tab w:val="left" w:pos="2781"/>
          <w:tab w:val="center" w:pos="4802"/>
        </w:tabs>
        <w:kinsoku/>
        <w:wordWrap/>
        <w:overflowPunct/>
        <w:topLinePunct w:val="0"/>
        <w:autoSpaceDE/>
        <w:autoSpaceDN/>
        <w:bidi w:val="0"/>
        <w:spacing w:line="580" w:lineRule="exact"/>
        <w:ind w:left="2238" w:leftChars="304" w:right="0" w:rightChars="0" w:hanging="1600" w:hangingChars="500"/>
        <w:jc w:val="lef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项目名称：</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2026年粤港澳大湾区（深圳）青年戏剧月</w:t>
      </w:r>
    </w:p>
    <w:p>
      <w:pPr>
        <w:keepNext w:val="0"/>
        <w:keepLines w:val="0"/>
        <w:pageBreakBefore w:val="0"/>
        <w:numPr>
          <w:ilvl w:val="0"/>
          <w:numId w:val="1"/>
        </w:numPr>
        <w:tabs>
          <w:tab w:val="left" w:pos="2781"/>
          <w:tab w:val="center" w:pos="4802"/>
        </w:tabs>
        <w:kinsoku/>
        <w:wordWrap/>
        <w:overflowPunct/>
        <w:topLinePunct w:val="0"/>
        <w:autoSpaceDE/>
        <w:autoSpaceDN/>
        <w:bidi w:val="0"/>
        <w:spacing w:line="580" w:lineRule="exact"/>
        <w:ind w:left="2238" w:leftChars="304" w:right="0" w:rightChars="0" w:hanging="1600" w:hangingChars="500"/>
        <w:jc w:val="lef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项目预算限额：</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80</w:t>
      </w:r>
      <w:r>
        <w:rPr>
          <w:rFonts w:hint="default" w:ascii="仿宋_GB2312" w:hAnsi="仿宋_GB2312" w:eastAsia="仿宋_GB2312" w:cs="仿宋_GB2312"/>
          <w:color w:val="000000"/>
          <w:sz w:val="32"/>
          <w:szCs w:val="32"/>
          <w:lang w:val="en-US" w:eastAsia="zh-CN"/>
        </w:rPr>
        <w:t>万元</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黑体" w:cs="Times New Roman"/>
          <w:sz w:val="32"/>
          <w:szCs w:val="32"/>
          <w:lang w:eastAsia="zh-CN"/>
        </w:rPr>
        <w:t>四</w:t>
      </w:r>
      <w:r>
        <w:rPr>
          <w:rFonts w:hint="default" w:ascii="Times New Roman" w:hAnsi="Times New Roman" w:eastAsia="黑体" w:cs="Times New Roman"/>
          <w:sz w:val="32"/>
          <w:szCs w:val="32"/>
        </w:rPr>
        <w:t>、</w:t>
      </w:r>
      <w:r>
        <w:rPr>
          <w:rFonts w:hint="eastAsia" w:ascii="Times New Roman" w:hAnsi="Times New Roman" w:eastAsia="黑体" w:cs="Times New Roman"/>
          <w:sz w:val="32"/>
          <w:szCs w:val="32"/>
          <w:lang w:eastAsia="zh-CN"/>
        </w:rPr>
        <w:t>采购项目</w:t>
      </w:r>
      <w:r>
        <w:rPr>
          <w:rFonts w:hint="default" w:ascii="Times New Roman" w:hAnsi="Times New Roman" w:eastAsia="黑体" w:cs="Times New Roman"/>
          <w:sz w:val="32"/>
          <w:szCs w:val="32"/>
        </w:rPr>
        <w:t>内容：</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罗湖区以国家示范项目为抓手，秉持“深入生活、扎根人民”原则，倾力打造“粤港澳大湾区（深圳）青年戏剧月”品牌，有力推动青年原创戏剧发展、搭建交流探索平台。下步，通过凝聚大湾区城市优秀青年戏剧资源，凸显先锋性、年轻性，征集并评选出优秀青年戏剧作品进行演出，重磅引进戏剧大师名作交流展演，推动湾区城市专业文化机构、精英人才协同打造文化交流品牌，携手推进文化相融、民心相通，助力湾区融合发展。2026年粤港澳大湾区（深圳）青年戏剧月展演不少于6场。</w:t>
      </w:r>
    </w:p>
    <w:p>
      <w:pPr>
        <w:keepNext w:val="0"/>
        <w:keepLines w:val="0"/>
        <w:pageBreakBefore w:val="0"/>
        <w:kinsoku/>
        <w:wordWrap/>
        <w:overflowPunct/>
        <w:topLinePunct w:val="0"/>
        <w:autoSpaceDE/>
        <w:autoSpaceDN/>
        <w:bidi w:val="0"/>
        <w:spacing w:line="580" w:lineRule="exact"/>
        <w:ind w:left="0" w:leftChars="0" w:right="0" w:rightChars="0" w:firstLine="640" w:firstLineChars="200"/>
        <w:jc w:val="both"/>
        <w:textAlignment w:val="auto"/>
        <w:rPr>
          <w:rFonts w:hint="default"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五</w:t>
      </w:r>
      <w:r>
        <w:rPr>
          <w:rFonts w:hint="default" w:ascii="Times New Roman" w:hAnsi="Times New Roman" w:eastAsia="黑体" w:cs="Times New Roman"/>
          <w:sz w:val="32"/>
          <w:szCs w:val="32"/>
          <w:lang w:val="en-US" w:eastAsia="zh-CN"/>
        </w:rPr>
        <w:t>、</w:t>
      </w:r>
      <w:r>
        <w:rPr>
          <w:rFonts w:hint="eastAsia" w:ascii="Times New Roman" w:hAnsi="Times New Roman" w:eastAsia="黑体" w:cs="Times New Roman"/>
          <w:sz w:val="32"/>
          <w:szCs w:val="32"/>
          <w:lang w:val="en-US" w:eastAsia="zh-CN"/>
        </w:rPr>
        <w:t>项目</w:t>
      </w:r>
      <w:r>
        <w:rPr>
          <w:rFonts w:hint="default" w:ascii="Times New Roman" w:hAnsi="Times New Roman" w:eastAsia="黑体" w:cs="Times New Roman"/>
          <w:sz w:val="32"/>
          <w:szCs w:val="32"/>
          <w:lang w:val="en-US" w:eastAsia="zh-CN"/>
        </w:rPr>
        <w:t>要求：</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提交2026年粤港澳大湾区（深圳）青年戏剧月方案。</w:t>
      </w:r>
    </w:p>
    <w:p>
      <w:pPr>
        <w:keepNext w:val="0"/>
        <w:keepLines w:val="0"/>
        <w:pageBreakBefore w:val="0"/>
        <w:tabs>
          <w:tab w:val="left" w:pos="426"/>
        </w:tabs>
        <w:kinsoku/>
        <w:wordWrap/>
        <w:overflowPunct/>
        <w:topLinePunct w:val="0"/>
        <w:autoSpaceDE/>
        <w:autoSpaceDN/>
        <w:bidi w:val="0"/>
        <w:spacing w:line="580" w:lineRule="exact"/>
        <w:ind w:left="0" w:leftChars="0" w:right="0" w:righ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eastAsia="zh-CN"/>
        </w:rPr>
        <w:t>六</w:t>
      </w:r>
      <w:r>
        <w:rPr>
          <w:rFonts w:hint="default" w:ascii="Times New Roman" w:hAnsi="Times New Roman" w:eastAsia="黑体" w:cs="Times New Roman"/>
          <w:sz w:val="32"/>
          <w:szCs w:val="32"/>
        </w:rPr>
        <w:t>、招标人资质要求：</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1、报名供应商必须为深圳市政府采购供应商；</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2、报名供应商必须是在国家市场监管部门或民政部门合法注册登记的企事业法人或社会团体，经营范围包括“组织文化艺术交流活动”和戏剧交流等相关业务；</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3、报名供应商必须具有合法的经营范围（须提供有效的证明材料，如具有经营范围的营业执照、税务登记证，或当地工商局、市场监督管理局商事主体登记及备案信息查询单扫描件，原件备查）</w:t>
      </w:r>
      <w:r>
        <w:rPr>
          <w:rFonts w:hint="eastAsia" w:ascii="仿宋_GB2312" w:hAnsi="仿宋_GB2312" w:eastAsia="仿宋_GB2312" w:cs="仿宋_GB2312"/>
          <w:color w:val="000000"/>
          <w:sz w:val="32"/>
          <w:szCs w:val="32"/>
          <w:lang w:val="en-US" w:eastAsia="zh-CN"/>
        </w:rPr>
        <w:t>；</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4、报名供应商必须具有独立法人资格；</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jc w:val="both"/>
        <w:textAlignment w:val="auto"/>
        <w:rPr>
          <w:rFonts w:hint="default" w:ascii="仿宋_GB2312" w:hAnsi="仿宋_GB2312" w:eastAsia="仿宋_GB2312" w:cs="仿宋_GB2312"/>
          <w:color w:val="000000"/>
          <w:sz w:val="32"/>
          <w:szCs w:val="32"/>
          <w:lang w:val="en-US" w:eastAsia="zh-CN"/>
        </w:rPr>
      </w:pPr>
      <w:r>
        <w:rPr>
          <w:rFonts w:hint="default" w:ascii="仿宋_GB2312" w:hAnsi="仿宋_GB2312" w:eastAsia="仿宋_GB2312" w:cs="仿宋_GB2312"/>
          <w:color w:val="000000"/>
          <w:sz w:val="32"/>
          <w:szCs w:val="32"/>
          <w:lang w:val="en-US" w:eastAsia="zh-CN"/>
        </w:rPr>
        <w:t>5、本项目不接受联合体投标，不允许分包、转包；</w:t>
      </w:r>
    </w:p>
    <w:p>
      <w:pPr>
        <w:keepNext w:val="0"/>
        <w:keepLines w:val="0"/>
        <w:pageBreakBefore w:val="0"/>
        <w:kinsoku/>
        <w:wordWrap/>
        <w:overflowPunct/>
        <w:topLinePunct w:val="0"/>
        <w:autoSpaceDE/>
        <w:autoSpaceDN/>
        <w:bidi w:val="0"/>
        <w:spacing w:line="580" w:lineRule="exact"/>
        <w:ind w:right="0" w:righ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eastAsia="zh-CN"/>
        </w:rPr>
        <w:t>七</w:t>
      </w:r>
      <w:r>
        <w:rPr>
          <w:rFonts w:hint="default" w:ascii="Times New Roman" w:hAnsi="Times New Roman" w:eastAsia="黑体" w:cs="Times New Roman"/>
          <w:sz w:val="32"/>
          <w:szCs w:val="32"/>
        </w:rPr>
        <w:t>、评标方式：</w:t>
      </w:r>
    </w:p>
    <w:p>
      <w:pPr>
        <w:keepNext w:val="0"/>
        <w:keepLines w:val="0"/>
        <w:pageBreakBefore w:val="0"/>
        <w:kinsoku/>
        <w:wordWrap/>
        <w:overflowPunct/>
        <w:topLinePunct w:val="0"/>
        <w:autoSpaceDE/>
        <w:autoSpaceDN/>
        <w:bidi w:val="0"/>
        <w:spacing w:line="580" w:lineRule="exact"/>
        <w:ind w:left="0" w:leftChars="0" w:right="0" w:rightChars="0" w:firstLine="640" w:firstLineChars="200"/>
        <w:textAlignment w:val="auto"/>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rPr>
        <w:t>评审定标</w:t>
      </w:r>
    </w:p>
    <w:p>
      <w:pPr>
        <w:keepNext w:val="0"/>
        <w:keepLines w:val="0"/>
        <w:pageBreakBefore w:val="0"/>
        <w:numPr>
          <w:ilvl w:val="0"/>
          <w:numId w:val="0"/>
        </w:numPr>
        <w:kinsoku/>
        <w:wordWrap/>
        <w:overflowPunct/>
        <w:topLinePunct w:val="0"/>
        <w:autoSpaceDE/>
        <w:autoSpaceDN/>
        <w:bidi w:val="0"/>
        <w:spacing w:line="580" w:lineRule="exact"/>
        <w:ind w:right="0" w:righ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eastAsia="zh-CN"/>
        </w:rPr>
        <w:t>八、</w:t>
      </w:r>
      <w:r>
        <w:rPr>
          <w:rFonts w:hint="default" w:ascii="Times New Roman" w:hAnsi="Times New Roman" w:eastAsia="黑体" w:cs="Times New Roman"/>
          <w:sz w:val="32"/>
          <w:szCs w:val="32"/>
        </w:rPr>
        <w:t>评分标准：</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696"/>
        <w:gridCol w:w="1984"/>
        <w:gridCol w:w="4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423" w:type="dxa"/>
            <w:gridSpan w:val="3"/>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评分项</w:t>
            </w:r>
          </w:p>
        </w:tc>
        <w:tc>
          <w:tcPr>
            <w:tcW w:w="40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4423" w:type="dxa"/>
            <w:gridSpan w:val="3"/>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价格</w:t>
            </w:r>
          </w:p>
        </w:tc>
        <w:tc>
          <w:tcPr>
            <w:tcW w:w="40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423" w:type="dxa"/>
            <w:gridSpan w:val="3"/>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技术部分</w:t>
            </w:r>
          </w:p>
        </w:tc>
        <w:tc>
          <w:tcPr>
            <w:tcW w:w="40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3"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序号</w:t>
            </w:r>
          </w:p>
        </w:tc>
        <w:tc>
          <w:tcPr>
            <w:tcW w:w="1696"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评分因素</w:t>
            </w:r>
          </w:p>
        </w:tc>
        <w:tc>
          <w:tcPr>
            <w:tcW w:w="1984"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分值</w:t>
            </w:r>
          </w:p>
        </w:tc>
        <w:tc>
          <w:tcPr>
            <w:tcW w:w="40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评分准则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1696"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w:t>
            </w:r>
            <w:r>
              <w:rPr>
                <w:rFonts w:hint="eastAsia" w:ascii="方正仿宋_GB2312" w:hAnsi="方正仿宋_GB2312" w:eastAsia="方正仿宋_GB2312" w:cs="方正仿宋_GB2312"/>
                <w:sz w:val="24"/>
                <w:szCs w:val="24"/>
                <w:lang w:eastAsia="zh-CN"/>
              </w:rPr>
              <w:t>策划方案</w:t>
            </w:r>
          </w:p>
        </w:tc>
        <w:tc>
          <w:tcPr>
            <w:tcW w:w="1984"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D0D0D"/>
                <w:sz w:val="24"/>
                <w:szCs w:val="24"/>
                <w:lang w:val="en-US" w:eastAsia="zh-CN"/>
              </w:rPr>
              <w:t>20</w:t>
            </w:r>
          </w:p>
        </w:tc>
        <w:tc>
          <w:tcPr>
            <w:tcW w:w="4043" w:type="dxa"/>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460" w:lineRule="exact"/>
              <w:jc w:val="left"/>
              <w:textAlignment w:val="top"/>
              <w:rPr>
                <w:rFonts w:hint="eastAsia" w:ascii="方正仿宋_GB2312" w:hAnsi="方正仿宋_GB2312" w:eastAsia="方正仿宋_GB2312" w:cs="方正仿宋_GB2312"/>
                <w:kern w:val="0"/>
                <w:sz w:val="24"/>
                <w:szCs w:val="24"/>
              </w:rPr>
            </w:pPr>
            <w:r>
              <w:rPr>
                <w:rFonts w:hint="eastAsia" w:ascii="方正仿宋_GB2312" w:hAnsi="方正仿宋_GB2312" w:eastAsia="方正仿宋_GB2312" w:cs="方正仿宋_GB2312"/>
                <w:kern w:val="0"/>
                <w:sz w:val="24"/>
                <w:szCs w:val="24"/>
                <w:lang w:val="en-US" w:eastAsia="zh-CN" w:bidi="ar"/>
              </w:rPr>
              <w:t>根据投标单位对本项目的了解情况以及活动主题、策划方案的合理性、可行性等进行横向比较，分档评分：评价为优得20分；评价为良得15分；评价为中得10分；评价为差得5分；未提供不得分。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1696"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项目保障措施</w:t>
            </w:r>
          </w:p>
        </w:tc>
        <w:tc>
          <w:tcPr>
            <w:tcW w:w="1984"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10</w:t>
            </w:r>
          </w:p>
        </w:tc>
        <w:tc>
          <w:tcPr>
            <w:tcW w:w="4043" w:type="dxa"/>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460" w:lineRule="exact"/>
              <w:jc w:val="left"/>
              <w:textAlignment w:val="top"/>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根据投标单位针对本项目制定的安全应急预案、突发情况处置措施等进行横向比较，分档评分：评价为优得10分；评价为良得7分；评价为中得4分；评价为差得2分；未提供不得分。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1696"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项目重点难点分析、应对措施及相关的合理化建议</w:t>
            </w:r>
          </w:p>
        </w:tc>
        <w:tc>
          <w:tcPr>
            <w:tcW w:w="1984"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10</w:t>
            </w:r>
          </w:p>
        </w:tc>
        <w:tc>
          <w:tcPr>
            <w:tcW w:w="4043" w:type="dxa"/>
            <w:noWrap w:val="0"/>
            <w:vAlign w:val="center"/>
          </w:tcPr>
          <w:p>
            <w:pPr>
              <w:keepNext w:val="0"/>
              <w:keepLines w:val="0"/>
              <w:pageBreakBefore w:val="0"/>
              <w:kinsoku/>
              <w:overflowPunct/>
              <w:topLinePunct w:val="0"/>
              <w:autoSpaceDE/>
              <w:autoSpaceDN/>
              <w:bidi w:val="0"/>
              <w:adjustRightInd/>
              <w:snapToGrid/>
              <w:spacing w:line="460" w:lineRule="exact"/>
              <w:jc w:val="lef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bidi="ar"/>
              </w:rPr>
              <w:t>根据投标单位对本项目</w:t>
            </w:r>
            <w:r>
              <w:rPr>
                <w:rFonts w:hint="eastAsia" w:ascii="方正仿宋_GB2312" w:hAnsi="方正仿宋_GB2312" w:eastAsia="方正仿宋_GB2312" w:cs="方正仿宋_GB2312"/>
                <w:sz w:val="24"/>
                <w:szCs w:val="24"/>
                <w:lang w:val="en-US" w:eastAsia="zh-CN"/>
              </w:rPr>
              <w:t>重点难点分析、应对措施及相关的合理化建议的描述情况，描述是否针对项目情况，应对措施是否具有针对性等，</w:t>
            </w:r>
            <w:r>
              <w:rPr>
                <w:rFonts w:hint="eastAsia" w:ascii="方正仿宋_GB2312" w:hAnsi="方正仿宋_GB2312" w:eastAsia="方正仿宋_GB2312" w:cs="方正仿宋_GB2312"/>
                <w:kern w:val="0"/>
                <w:sz w:val="24"/>
                <w:szCs w:val="24"/>
                <w:lang w:val="en-US" w:eastAsia="zh-CN" w:bidi="ar"/>
              </w:rPr>
              <w:t>进行横向比较，分档评分：评价为优得10分；评价为良得7分；评价为中得4分；评价为差得2分；未提供不得分。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9" w:hRule="atLeast"/>
          <w:jc w:val="center"/>
        </w:trPr>
        <w:tc>
          <w:tcPr>
            <w:tcW w:w="4423" w:type="dxa"/>
            <w:gridSpan w:val="3"/>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商务部分</w:t>
            </w:r>
          </w:p>
        </w:tc>
        <w:tc>
          <w:tcPr>
            <w:tcW w:w="4043" w:type="dxa"/>
            <w:noWrap w:val="0"/>
            <w:vAlign w:val="center"/>
          </w:tcPr>
          <w:p>
            <w:pPr>
              <w:keepNext w:val="0"/>
              <w:keepLines w:val="0"/>
              <w:pageBreakBefore w:val="0"/>
              <w:kinsoku/>
              <w:overflowPunct/>
              <w:topLinePunct w:val="0"/>
              <w:autoSpaceDE/>
              <w:autoSpaceDN/>
              <w:bidi w:val="0"/>
              <w:spacing w:line="460" w:lineRule="exact"/>
              <w:ind w:firstLine="480" w:firstLineChars="200"/>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序号</w:t>
            </w:r>
          </w:p>
        </w:tc>
        <w:tc>
          <w:tcPr>
            <w:tcW w:w="1696"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评分因素</w:t>
            </w:r>
          </w:p>
        </w:tc>
        <w:tc>
          <w:tcPr>
            <w:tcW w:w="1984"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权重</w:t>
            </w:r>
          </w:p>
        </w:tc>
        <w:tc>
          <w:tcPr>
            <w:tcW w:w="4043" w:type="dxa"/>
            <w:noWrap w:val="0"/>
            <w:vAlign w:val="center"/>
          </w:tcPr>
          <w:p>
            <w:pPr>
              <w:keepNext w:val="0"/>
              <w:keepLines w:val="0"/>
              <w:pageBreakBefore w:val="0"/>
              <w:kinsoku/>
              <w:overflowPunct/>
              <w:topLinePunct w:val="0"/>
              <w:autoSpaceDE/>
              <w:autoSpaceDN/>
              <w:bidi w:val="0"/>
              <w:spacing w:line="460" w:lineRule="exact"/>
              <w:ind w:firstLine="481" w:firstLineChars="200"/>
              <w:jc w:val="cente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评分准则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1</w:t>
            </w:r>
          </w:p>
        </w:tc>
        <w:tc>
          <w:tcPr>
            <w:tcW w:w="1696" w:type="dxa"/>
            <w:noWrap w:val="0"/>
            <w:vAlign w:val="center"/>
          </w:tcPr>
          <w:p>
            <w:pPr>
              <w:keepNext w:val="0"/>
              <w:keepLines w:val="0"/>
              <w:pageBreakBefore w:val="0"/>
              <w:kinsoku/>
              <w:wordWrap/>
              <w:overflowPunct/>
              <w:topLinePunct w:val="0"/>
              <w:autoSpaceDE/>
              <w:autoSpaceDN/>
              <w:bidi w:val="0"/>
              <w:adjustRightInd/>
              <w:spacing w:line="460" w:lineRule="exact"/>
              <w:jc w:val="center"/>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kern w:val="2"/>
                <w:sz w:val="24"/>
                <w:szCs w:val="24"/>
                <w:highlight w:val="none"/>
                <w:lang w:val="en-US" w:eastAsia="zh-CN" w:bidi="ar-SA"/>
              </w:rPr>
              <w:t>同类业绩</w:t>
            </w:r>
          </w:p>
        </w:tc>
        <w:tc>
          <w:tcPr>
            <w:tcW w:w="1984"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rPr>
              <w:t>20</w:t>
            </w:r>
          </w:p>
        </w:tc>
        <w:tc>
          <w:tcPr>
            <w:tcW w:w="4043" w:type="dxa"/>
            <w:noWrap w:val="0"/>
            <w:vAlign w:val="center"/>
          </w:tcPr>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方正仿宋_GB2312" w:hAnsi="方正仿宋_GB2312" w:eastAsia="方正仿宋_GB2312" w:cs="方正仿宋_GB2312"/>
                <w:color w:val="auto"/>
                <w:kern w:val="2"/>
                <w:sz w:val="24"/>
                <w:szCs w:val="24"/>
                <w:highlight w:val="none"/>
                <w:lang w:val="en-US" w:eastAsia="zh-CN" w:bidi="ar-SA"/>
              </w:rPr>
            </w:pPr>
            <w:r>
              <w:rPr>
                <w:rFonts w:hint="eastAsia" w:ascii="方正仿宋_GB2312" w:hAnsi="方正仿宋_GB2312" w:eastAsia="方正仿宋_GB2312" w:cs="方正仿宋_GB2312"/>
                <w:color w:val="auto"/>
                <w:kern w:val="2"/>
                <w:sz w:val="24"/>
                <w:szCs w:val="24"/>
                <w:highlight w:val="none"/>
                <w:lang w:val="en-US" w:eastAsia="zh-CN" w:bidi="ar-SA"/>
              </w:rPr>
              <w:t>自2020年1月1日以来，投标单位承办过同类型的大型文化活动的1项得5分，最多不超过4项，最高得20分。</w:t>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kern w:val="2"/>
                <w:sz w:val="24"/>
                <w:szCs w:val="24"/>
                <w:highlight w:val="none"/>
                <w:lang w:val="en-US" w:eastAsia="zh-CN" w:bidi="ar-SA"/>
              </w:rPr>
              <w:t>注：</w:t>
            </w:r>
            <w:r>
              <w:rPr>
                <w:rFonts w:hint="eastAsia" w:ascii="方正仿宋_GB2312" w:hAnsi="方正仿宋_GB2312" w:eastAsia="方正仿宋_GB2312" w:cs="方正仿宋_GB2312"/>
                <w:sz w:val="24"/>
                <w:szCs w:val="24"/>
              </w:rPr>
              <w:t>需提供</w:t>
            </w:r>
            <w:r>
              <w:rPr>
                <w:rFonts w:hint="eastAsia" w:ascii="方正仿宋_GB2312" w:hAnsi="方正仿宋_GB2312" w:eastAsia="方正仿宋_GB2312" w:cs="方正仿宋_GB2312"/>
                <w:sz w:val="24"/>
                <w:szCs w:val="24"/>
                <w:lang w:val="en-US" w:eastAsia="zh-CN"/>
              </w:rPr>
              <w:t>相关证明</w:t>
            </w:r>
            <w:r>
              <w:rPr>
                <w:rFonts w:hint="eastAsia" w:ascii="方正仿宋_GB2312" w:hAnsi="方正仿宋_GB2312" w:eastAsia="方正仿宋_GB2312" w:cs="方正仿宋_GB2312"/>
                <w:sz w:val="24"/>
                <w:szCs w:val="24"/>
              </w:rPr>
              <w:t>扫描件，未提供的不得分。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2</w:t>
            </w:r>
          </w:p>
        </w:tc>
        <w:tc>
          <w:tcPr>
            <w:tcW w:w="1696" w:type="dxa"/>
            <w:noWrap w:val="0"/>
            <w:vAlign w:val="center"/>
          </w:tcPr>
          <w:p>
            <w:pPr>
              <w:keepNext w:val="0"/>
              <w:keepLines w:val="0"/>
              <w:pageBreakBefore w:val="0"/>
              <w:kinsoku/>
              <w:wordWrap/>
              <w:overflowPunct/>
              <w:topLinePunct w:val="0"/>
              <w:autoSpaceDE/>
              <w:autoSpaceDN/>
              <w:bidi w:val="0"/>
              <w:adjustRightInd/>
              <w:spacing w:line="460" w:lineRule="exact"/>
              <w:jc w:val="center"/>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sz w:val="24"/>
                <w:szCs w:val="24"/>
                <w:highlight w:val="none"/>
                <w:lang w:val="en-US" w:eastAsia="zh-CN"/>
              </w:rPr>
              <w:t>团队成员</w:t>
            </w:r>
          </w:p>
        </w:tc>
        <w:tc>
          <w:tcPr>
            <w:tcW w:w="1984"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kern w:val="0"/>
                <w:sz w:val="24"/>
                <w:szCs w:val="24"/>
                <w:lang w:val="en-US" w:eastAsia="zh-CN"/>
              </w:rPr>
              <w:t>10</w:t>
            </w:r>
          </w:p>
        </w:tc>
        <w:tc>
          <w:tcPr>
            <w:tcW w:w="4043"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460" w:lineRule="exact"/>
              <w:ind w:left="0" w:leftChars="0" w:firstLine="0" w:firstLineChars="0"/>
              <w:jc w:val="left"/>
              <w:textAlignment w:val="auto"/>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投标单位拟安排的团队成员中具有中级专业职称的得5分，最高得10分。</w:t>
            </w:r>
          </w:p>
          <w:p>
            <w:pPr>
              <w:pStyle w:val="2"/>
              <w:keepNext w:val="0"/>
              <w:keepLines w:val="0"/>
              <w:pageBreakBefore w:val="0"/>
              <w:widowControl w:val="0"/>
              <w:kinsoku/>
              <w:wordWrap/>
              <w:overflowPunct/>
              <w:topLinePunct w:val="0"/>
              <w:autoSpaceDE/>
              <w:autoSpaceDN/>
              <w:bidi w:val="0"/>
              <w:adjustRightInd/>
              <w:snapToGrid/>
              <w:spacing w:after="0" w:line="460" w:lineRule="exact"/>
              <w:ind w:left="0" w:leftChars="0" w:firstLine="0" w:firstLineChars="0"/>
              <w:jc w:val="left"/>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sz w:val="24"/>
                <w:szCs w:val="24"/>
                <w:highlight w:val="none"/>
                <w:lang w:val="en-US" w:eastAsia="zh-CN"/>
              </w:rPr>
              <w:t>注：</w:t>
            </w:r>
            <w:r>
              <w:rPr>
                <w:rFonts w:hint="eastAsia" w:ascii="方正仿宋_GB2312" w:hAnsi="方正仿宋_GB2312" w:eastAsia="方正仿宋_GB2312" w:cs="方正仿宋_GB2312"/>
                <w:sz w:val="24"/>
                <w:szCs w:val="24"/>
              </w:rPr>
              <w:t>提供相关证明材料，未提供的不得分。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3</w:t>
            </w:r>
          </w:p>
        </w:tc>
        <w:tc>
          <w:tcPr>
            <w:tcW w:w="1696" w:type="dxa"/>
            <w:noWrap w:val="0"/>
            <w:vAlign w:val="center"/>
          </w:tcPr>
          <w:p>
            <w:pPr>
              <w:keepNext w:val="0"/>
              <w:keepLines w:val="0"/>
              <w:pageBreakBefore w:val="0"/>
              <w:kinsoku/>
              <w:wordWrap/>
              <w:overflowPunct/>
              <w:topLinePunct w:val="0"/>
              <w:autoSpaceDE/>
              <w:autoSpaceDN/>
              <w:bidi w:val="0"/>
              <w:adjustRightInd/>
              <w:spacing w:line="460" w:lineRule="exact"/>
              <w:jc w:val="center"/>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获奖情况</w:t>
            </w:r>
          </w:p>
        </w:tc>
        <w:tc>
          <w:tcPr>
            <w:tcW w:w="1984" w:type="dxa"/>
            <w:noWrap w:val="0"/>
            <w:vAlign w:val="center"/>
          </w:tcPr>
          <w:p>
            <w:pPr>
              <w:keepNext w:val="0"/>
              <w:keepLines w:val="0"/>
              <w:pageBreakBefore w:val="0"/>
              <w:kinsoku/>
              <w:overflowPunct/>
              <w:topLinePunct w:val="0"/>
              <w:autoSpaceDE/>
              <w:autoSpaceDN/>
              <w:bidi w:val="0"/>
              <w:adjustRightInd/>
              <w:snapToGrid/>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kern w:val="2"/>
                <w:sz w:val="24"/>
                <w:szCs w:val="24"/>
                <w:highlight w:val="none"/>
                <w:lang w:val="en-US" w:eastAsia="zh-CN" w:bidi="ar-SA"/>
              </w:rPr>
              <w:t>5</w:t>
            </w:r>
          </w:p>
        </w:tc>
        <w:tc>
          <w:tcPr>
            <w:tcW w:w="4043" w:type="dxa"/>
            <w:noWrap w:val="0"/>
            <w:vAlign w:val="center"/>
          </w:tcPr>
          <w:p>
            <w:pPr>
              <w:keepNext w:val="0"/>
              <w:keepLines w:val="0"/>
              <w:pageBreakBefore w:val="0"/>
              <w:widowControl/>
              <w:kinsoku/>
              <w:wordWrap/>
              <w:overflowPunct/>
              <w:topLinePunct w:val="0"/>
              <w:autoSpaceDE/>
              <w:autoSpaceDN/>
              <w:bidi w:val="0"/>
              <w:adjustRightInd w:val="0"/>
              <w:snapToGrid w:val="0"/>
              <w:spacing w:line="460" w:lineRule="exact"/>
              <w:ind w:firstLine="0" w:firstLineChars="0"/>
              <w:jc w:val="left"/>
              <w:textAlignment w:val="auto"/>
              <w:rPr>
                <w:rFonts w:hint="eastAsia" w:ascii="方正仿宋_GB2312" w:hAnsi="方正仿宋_GB2312" w:eastAsia="方正仿宋_GB2312" w:cs="方正仿宋_GB2312"/>
                <w:color w:val="auto"/>
                <w:kern w:val="0"/>
                <w:sz w:val="24"/>
                <w:szCs w:val="24"/>
                <w:highlight w:val="none"/>
                <w:lang w:val="en-US" w:eastAsia="zh-CN"/>
              </w:rPr>
            </w:pPr>
            <w:r>
              <w:rPr>
                <w:rFonts w:hint="eastAsia" w:ascii="方正仿宋_GB2312" w:hAnsi="方正仿宋_GB2312" w:eastAsia="方正仿宋_GB2312" w:cs="方正仿宋_GB2312"/>
                <w:color w:val="auto"/>
                <w:kern w:val="0"/>
                <w:sz w:val="24"/>
                <w:szCs w:val="24"/>
                <w:highlight w:val="none"/>
                <w:lang w:val="en-US" w:eastAsia="zh-CN"/>
              </w:rPr>
              <w:t>荣获国家级、省级艺术类奖项的得5分，最高得5分。</w:t>
            </w:r>
          </w:p>
          <w:p>
            <w:pPr>
              <w:keepNext w:val="0"/>
              <w:keepLines w:val="0"/>
              <w:pageBreakBefore w:val="0"/>
              <w:widowControl/>
              <w:kinsoku/>
              <w:wordWrap/>
              <w:overflowPunct/>
              <w:topLinePunct w:val="0"/>
              <w:autoSpaceDE/>
              <w:autoSpaceDN/>
              <w:bidi w:val="0"/>
              <w:adjustRightInd w:val="0"/>
              <w:snapToGrid w:val="0"/>
              <w:spacing w:line="460" w:lineRule="exact"/>
              <w:ind w:firstLine="0" w:firstLineChars="0"/>
              <w:jc w:val="left"/>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kern w:val="0"/>
                <w:sz w:val="24"/>
                <w:szCs w:val="24"/>
                <w:highlight w:val="none"/>
                <w:lang w:val="en-US" w:eastAsia="zh-CN"/>
              </w:rPr>
              <w:t>注：</w:t>
            </w:r>
            <w:r>
              <w:rPr>
                <w:rFonts w:hint="eastAsia" w:ascii="方正仿宋_GB2312" w:hAnsi="方正仿宋_GB2312" w:eastAsia="方正仿宋_GB2312" w:cs="方正仿宋_GB2312"/>
                <w:sz w:val="24"/>
                <w:szCs w:val="24"/>
              </w:rPr>
              <w:t>提供相关证明材料，未提供的不得分。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43" w:type="dxa"/>
            <w:noWrap w:val="0"/>
            <w:vAlign w:val="center"/>
          </w:tcPr>
          <w:p>
            <w:pPr>
              <w:keepNext w:val="0"/>
              <w:keepLines w:val="0"/>
              <w:pageBreakBefore w:val="0"/>
              <w:kinsoku/>
              <w:overflowPunct/>
              <w:topLinePunct w:val="0"/>
              <w:autoSpaceDE/>
              <w:autoSpaceDN/>
              <w:bidi w:val="0"/>
              <w:spacing w:line="460" w:lineRule="exact"/>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4</w:t>
            </w:r>
          </w:p>
        </w:tc>
        <w:tc>
          <w:tcPr>
            <w:tcW w:w="1696" w:type="dxa"/>
            <w:noWrap w:val="0"/>
            <w:vAlign w:val="center"/>
          </w:tcPr>
          <w:p>
            <w:pPr>
              <w:keepNext w:val="0"/>
              <w:keepLines w:val="0"/>
              <w:pageBreakBefore w:val="0"/>
              <w:kinsoku/>
              <w:wordWrap/>
              <w:overflowPunct/>
              <w:topLinePunct w:val="0"/>
              <w:autoSpaceDE/>
              <w:autoSpaceDN/>
              <w:bidi w:val="0"/>
              <w:spacing w:line="460" w:lineRule="exact"/>
              <w:jc w:val="center"/>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sz w:val="24"/>
                <w:szCs w:val="24"/>
                <w:highlight w:val="none"/>
              </w:rPr>
              <w:t>诚信</w:t>
            </w:r>
          </w:p>
        </w:tc>
        <w:tc>
          <w:tcPr>
            <w:tcW w:w="1984" w:type="dxa"/>
            <w:noWrap w:val="0"/>
            <w:vAlign w:val="center"/>
          </w:tcPr>
          <w:p>
            <w:pPr>
              <w:keepNext w:val="0"/>
              <w:keepLines w:val="0"/>
              <w:pageBreakBefore w:val="0"/>
              <w:kinsoku/>
              <w:wordWrap/>
              <w:overflowPunct/>
              <w:topLinePunct w:val="0"/>
              <w:autoSpaceDE/>
              <w:autoSpaceDN/>
              <w:bidi w:val="0"/>
              <w:spacing w:line="460" w:lineRule="exact"/>
              <w:jc w:val="center"/>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auto"/>
                <w:sz w:val="24"/>
                <w:szCs w:val="24"/>
                <w:highlight w:val="none"/>
                <w:lang w:val="en-US" w:eastAsia="zh-CN"/>
              </w:rPr>
              <w:t>5</w:t>
            </w:r>
          </w:p>
        </w:tc>
        <w:tc>
          <w:tcPr>
            <w:tcW w:w="4043" w:type="dxa"/>
            <w:noWrap w:val="0"/>
            <w:vAlign w:val="center"/>
          </w:tcPr>
          <w:p>
            <w:pPr>
              <w:keepNext w:val="0"/>
              <w:keepLines w:val="0"/>
              <w:pageBreakBefore w:val="0"/>
              <w:kinsoku/>
              <w:overflowPunct/>
              <w:topLinePunct w:val="0"/>
              <w:autoSpaceDE/>
              <w:autoSpaceDN/>
              <w:bidi w:val="0"/>
              <w:snapToGrid/>
              <w:spacing w:line="4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深圳市财政委员会关于加强招投标评审环节诚信管理的通知》（深财购[2013]27号）的要求，投标人在参与政府采购活动中存在诚信相关问题且在主管部门相关处理措施实施期限内的，本项不得分，否则得满分。</w:t>
            </w:r>
          </w:p>
          <w:p>
            <w:pPr>
              <w:keepNext w:val="0"/>
              <w:keepLines w:val="0"/>
              <w:pageBreakBefore w:val="0"/>
              <w:widowControl/>
              <w:kinsoku/>
              <w:wordWrap/>
              <w:overflowPunct/>
              <w:topLinePunct w:val="0"/>
              <w:autoSpaceDE/>
              <w:autoSpaceDN/>
              <w:bidi w:val="0"/>
              <w:adjustRightInd w:val="0"/>
              <w:snapToGrid w:val="0"/>
              <w:spacing w:line="460" w:lineRule="exact"/>
              <w:jc w:val="left"/>
              <w:textAlignment w:val="auto"/>
              <w:rPr>
                <w:rFonts w:hint="eastAsia" w:ascii="方正仿宋_GB2312" w:hAnsi="方正仿宋_GB2312" w:eastAsia="方正仿宋_GB2312" w:cs="方正仿宋_GB2312"/>
                <w:b/>
                <w:bCs/>
                <w:kern w:val="0"/>
                <w:sz w:val="24"/>
                <w:szCs w:val="24"/>
                <w:lang w:bidi="en-US"/>
              </w:rPr>
            </w:pPr>
            <w:r>
              <w:rPr>
                <w:rFonts w:hint="eastAsia" w:ascii="方正仿宋_GB2312" w:hAnsi="方正仿宋_GB2312" w:eastAsia="方正仿宋_GB2312" w:cs="方正仿宋_GB2312"/>
                <w:b w:val="0"/>
                <w:bCs w:val="0"/>
                <w:color w:val="auto"/>
                <w:sz w:val="24"/>
                <w:szCs w:val="24"/>
                <w:highlight w:val="none"/>
              </w:rPr>
              <w:t>注：以提供《</w:t>
            </w:r>
            <w:r>
              <w:rPr>
                <w:rFonts w:hint="eastAsia" w:ascii="方正仿宋_GB2312" w:hAnsi="方正仿宋_GB2312" w:eastAsia="方正仿宋_GB2312" w:cs="方正仿宋_GB2312"/>
                <w:b w:val="0"/>
                <w:bCs w:val="0"/>
                <w:color w:val="auto"/>
                <w:sz w:val="24"/>
                <w:szCs w:val="24"/>
                <w:highlight w:val="none"/>
                <w:lang w:eastAsia="zh-CN"/>
              </w:rPr>
              <w:t>诚信承诺函</w:t>
            </w:r>
            <w:r>
              <w:rPr>
                <w:rFonts w:hint="eastAsia" w:ascii="方正仿宋_GB2312" w:hAnsi="方正仿宋_GB2312" w:eastAsia="方正仿宋_GB2312" w:cs="方正仿宋_GB2312"/>
                <w:b w:val="0"/>
                <w:bCs w:val="0"/>
                <w:color w:val="auto"/>
                <w:sz w:val="24"/>
                <w:szCs w:val="24"/>
                <w:highlight w:val="none"/>
              </w:rPr>
              <w:t>》（按投标文件格式所附格式填写）为准，提供的资料字迹模糊或未按要求提供的不得分。</w:t>
            </w:r>
          </w:p>
        </w:tc>
      </w:tr>
    </w:tbl>
    <w:p>
      <w:pPr>
        <w:keepNext w:val="0"/>
        <w:keepLines w:val="0"/>
        <w:pageBreakBefore w:val="0"/>
        <w:kinsoku/>
        <w:wordWrap/>
        <w:overflowPunct/>
        <w:topLinePunct w:val="0"/>
        <w:autoSpaceDE/>
        <w:autoSpaceDN/>
        <w:bidi w:val="0"/>
        <w:spacing w:line="460" w:lineRule="exact"/>
        <w:textAlignment w:val="auto"/>
        <w:rPr>
          <w:rFonts w:hint="eastAsia" w:ascii="方正仿宋_GB2312" w:hAnsi="方正仿宋_GB2312" w:eastAsia="方正仿宋_GB2312" w:cs="方正仿宋_GB2312"/>
          <w:sz w:val="24"/>
          <w:szCs w:val="24"/>
        </w:rPr>
      </w:pPr>
    </w:p>
    <w:sectPr>
      <w:pgSz w:w="11906" w:h="16838"/>
      <w:pgMar w:top="2098" w:right="1474" w:bottom="1984" w:left="1587" w:header="851" w:footer="992" w:gutter="0"/>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0A0661"/>
    <w:multiLevelType w:val="singleLevel"/>
    <w:tmpl w:val="610A0661"/>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F2DA7"/>
    <w:rsid w:val="0A9A1C80"/>
    <w:rsid w:val="13C25CD5"/>
    <w:rsid w:val="15CC0C58"/>
    <w:rsid w:val="170068D3"/>
    <w:rsid w:val="17ED5671"/>
    <w:rsid w:val="1971594C"/>
    <w:rsid w:val="2DA91111"/>
    <w:rsid w:val="3B734BB6"/>
    <w:rsid w:val="3F46788E"/>
    <w:rsid w:val="409F5F96"/>
    <w:rsid w:val="42CB6B23"/>
    <w:rsid w:val="49094636"/>
    <w:rsid w:val="49FADE1A"/>
    <w:rsid w:val="4A0F4DE2"/>
    <w:rsid w:val="5D3B18F1"/>
    <w:rsid w:val="5DFB5905"/>
    <w:rsid w:val="5FFF0295"/>
    <w:rsid w:val="60D55214"/>
    <w:rsid w:val="65D8947D"/>
    <w:rsid w:val="74933C49"/>
    <w:rsid w:val="758C2EA5"/>
    <w:rsid w:val="7698664D"/>
    <w:rsid w:val="76D58ECC"/>
    <w:rsid w:val="77065830"/>
    <w:rsid w:val="777FD44D"/>
    <w:rsid w:val="77A72FCB"/>
    <w:rsid w:val="7BBF84A5"/>
    <w:rsid w:val="7D3F7C15"/>
    <w:rsid w:val="7D5FDAE6"/>
    <w:rsid w:val="7DBF2DA7"/>
    <w:rsid w:val="7F5E0815"/>
    <w:rsid w:val="7FEB999C"/>
    <w:rsid w:val="9CD6DF66"/>
    <w:rsid w:val="B16EFD63"/>
    <w:rsid w:val="BBFB5B7B"/>
    <w:rsid w:val="BBFFCA40"/>
    <w:rsid w:val="BFAF4E6D"/>
    <w:rsid w:val="BFB6B28C"/>
    <w:rsid w:val="BFBDDF7F"/>
    <w:rsid w:val="DCFF20C2"/>
    <w:rsid w:val="DFE30D50"/>
    <w:rsid w:val="EEFD51A8"/>
    <w:rsid w:val="FEFFC09B"/>
    <w:rsid w:val="FFC6995C"/>
    <w:rsid w:val="FFDF8D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240" w:lineRule="auto"/>
      <w:ind w:left="420" w:leftChars="200"/>
    </w:pPr>
    <w:rPr>
      <w:rFonts w:ascii="Times New Roman" w:hAnsi="Times New Roman"/>
    </w:rPr>
  </w:style>
  <w:style w:type="paragraph" w:styleId="3">
    <w:name w:val="Body Text Indent"/>
    <w:basedOn w:val="1"/>
    <w:qFormat/>
    <w:uiPriority w:val="0"/>
    <w:pPr>
      <w:spacing w:line="360" w:lineRule="auto"/>
      <w:ind w:firstLine="420" w:firstLineChars="200"/>
    </w:pPr>
    <w:rPr>
      <w:rFonts w:ascii="宋体" w:hAnsi="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1273</Words>
  <Characters>1311</Characters>
  <Lines>0</Lines>
  <Paragraphs>0</Paragraphs>
  <TotalTime>6</TotalTime>
  <ScaleCrop>false</ScaleCrop>
  <LinksUpToDate>false</LinksUpToDate>
  <CharactersWithSpaces>1312</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2023-06-04T02:53:00Z</dcterms:created>
  <dc:creator>tyk2214</dc:creator>
  <cp:lastModifiedBy>xiaolixue</cp:lastModifiedBy>
  <cp:lastPrinted>2024-07-25T18:25:00Z</cp:lastPrinted>
  <dcterms:modified xsi:type="dcterms:W3CDTF">2026-03-30T12:28:06Z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46FDB8821659C5AD87FBC969E1265F27</vt:lpwstr>
  </property>
  <property fmtid="{D5CDD505-2E9C-101B-9397-08002B2CF9AE}" pid="4" name="KSOTemplateDocerSaveRecord">
    <vt:lpwstr>eyJoZGlkIjoiNzQ5OGE2NTQ1NWU4YzZkNTllODc4NTAzMzNjYWQyOTkiLCJ1c2VySWQiOiI3NDQyNjgyMjYifQ==</vt:lpwstr>
  </property>
</Properties>
</file>