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CF317">
      <w:pPr>
        <w:ind w:firstLine="3654" w:firstLineChars="1300"/>
        <w:rPr>
          <w:rFonts w:ascii="宋体" w:hAnsi="宋体"/>
          <w:color w:val="FF0000"/>
          <w:szCs w:val="21"/>
        </w:rPr>
      </w:pPr>
      <w:r>
        <w:rPr>
          <w:rFonts w:hint="eastAsia" w:ascii="宋体" w:hAnsi="宋体" w:eastAsia="黑体"/>
          <w:b/>
          <w:bCs/>
          <w:color w:val="FF0000"/>
          <w:kern w:val="44"/>
          <w:sz w:val="28"/>
          <w:szCs w:val="44"/>
        </w:rPr>
        <w:t>特别警示条款</w:t>
      </w:r>
    </w:p>
    <w:p w14:paraId="2DD742E5">
      <w:pPr>
        <w:pBdr>
          <w:top w:val="none" w:color="auto" w:sz="0" w:space="1"/>
          <w:left w:val="none" w:color="auto" w:sz="0" w:space="4"/>
          <w:bottom w:val="none" w:color="auto" w:sz="0" w:space="1"/>
          <w:right w:val="none" w:color="auto" w:sz="0" w:space="4"/>
        </w:pBdr>
        <w:spacing w:after="240" w:afterLines="100" w:line="400" w:lineRule="exact"/>
        <w:ind w:firstLine="422" w:firstLineChars="200"/>
        <w:rPr>
          <w:rFonts w:ascii="宋体" w:hAnsi="宋体" w:cs="宋体"/>
          <w:b/>
          <w:bCs/>
          <w:color w:val="FF0000"/>
          <w:szCs w:val="21"/>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w:t>
      </w:r>
      <w:bookmarkStart w:id="52" w:name="_GoBack"/>
      <w:bookmarkEnd w:id="52"/>
      <w:r>
        <w:rPr>
          <w:rFonts w:hint="eastAsia" w:ascii="宋体" w:hAnsi="宋体" w:cs="宋体"/>
          <w:b/>
          <w:bCs/>
          <w:color w:val="FF0000"/>
          <w:szCs w:val="21"/>
        </w:rPr>
        <w:t>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0F63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5C11D96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序号</w:t>
            </w:r>
          </w:p>
        </w:tc>
        <w:tc>
          <w:tcPr>
            <w:tcW w:w="7711" w:type="dxa"/>
            <w:tcBorders>
              <w:tl2br w:val="nil"/>
              <w:tr2bl w:val="nil"/>
            </w:tcBorders>
            <w:vAlign w:val="center"/>
          </w:tcPr>
          <w:p w14:paraId="7DA23ACA">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b/>
                <w:bCs/>
                <w:color w:val="FF0000"/>
                <w:szCs w:val="21"/>
              </w:rPr>
              <w:t>供应商参与投标禁止情形</w:t>
            </w:r>
          </w:p>
        </w:tc>
      </w:tr>
      <w:tr w14:paraId="05F4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5D94752B">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1</w:t>
            </w:r>
          </w:p>
        </w:tc>
        <w:tc>
          <w:tcPr>
            <w:tcW w:w="7711" w:type="dxa"/>
            <w:tcBorders>
              <w:tl2br w:val="nil"/>
              <w:tr2bl w:val="nil"/>
            </w:tcBorders>
            <w:vAlign w:val="center"/>
          </w:tcPr>
          <w:p w14:paraId="0AB9383F">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47CD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7DE659E4">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2</w:t>
            </w:r>
          </w:p>
        </w:tc>
        <w:tc>
          <w:tcPr>
            <w:tcW w:w="7711" w:type="dxa"/>
            <w:tcBorders>
              <w:tl2br w:val="nil"/>
              <w:tr2bl w:val="nil"/>
            </w:tcBorders>
            <w:vAlign w:val="center"/>
          </w:tcPr>
          <w:p w14:paraId="61E81794">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2695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5447672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3</w:t>
            </w:r>
          </w:p>
        </w:tc>
        <w:tc>
          <w:tcPr>
            <w:tcW w:w="7711" w:type="dxa"/>
            <w:tcBorders>
              <w:tl2br w:val="nil"/>
              <w:tr2bl w:val="nil"/>
            </w:tcBorders>
            <w:vAlign w:val="center"/>
          </w:tcPr>
          <w:p w14:paraId="5E1967D5">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454A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2A26B25D">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4</w:t>
            </w:r>
          </w:p>
        </w:tc>
        <w:tc>
          <w:tcPr>
            <w:tcW w:w="7711" w:type="dxa"/>
            <w:tcBorders>
              <w:tl2br w:val="nil"/>
              <w:tr2bl w:val="nil"/>
            </w:tcBorders>
            <w:vAlign w:val="center"/>
          </w:tcPr>
          <w:p w14:paraId="2F8CF419">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4CF3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40F535B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5</w:t>
            </w:r>
          </w:p>
        </w:tc>
        <w:tc>
          <w:tcPr>
            <w:tcW w:w="7711" w:type="dxa"/>
            <w:tcBorders>
              <w:tl2br w:val="nil"/>
              <w:tr2bl w:val="nil"/>
            </w:tcBorders>
            <w:vAlign w:val="center"/>
          </w:tcPr>
          <w:p w14:paraId="0F0C2520">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271F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6BCD543F">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6</w:t>
            </w:r>
          </w:p>
        </w:tc>
        <w:tc>
          <w:tcPr>
            <w:tcW w:w="7711" w:type="dxa"/>
            <w:tcBorders>
              <w:tl2br w:val="nil"/>
              <w:tr2bl w:val="nil"/>
            </w:tcBorders>
            <w:vAlign w:val="center"/>
          </w:tcPr>
          <w:p w14:paraId="225205D7">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74BA4A8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p>
    <w:p w14:paraId="4BB2AEA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708607B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2507B63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521B5A8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12860DD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12CB3D8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7701D7B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5624D19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0E87F88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2E319AF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4BAFE22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7474D561">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E3E5C6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6F64F857">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0F553F5D">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17FF4C72">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rPr>
        <w:t>、</w:t>
      </w:r>
      <w:r>
        <w:rPr>
          <w:rFonts w:hint="eastAsia" w:ascii="宋体" w:hAnsi="宋体"/>
          <w:color w:val="FF0000"/>
          <w:sz w:val="20"/>
          <w:szCs w:val="20"/>
        </w:rPr>
        <w:t>依法吊销其营业</w:t>
      </w:r>
      <w:r>
        <w:rPr>
          <w:rFonts w:hint="eastAsia" w:hAnsi="宋体"/>
          <w:color w:val="FF0000"/>
          <w:sz w:val="20"/>
          <w:szCs w:val="20"/>
        </w:rPr>
        <w:t>执照等行政处罚，</w:t>
      </w:r>
      <w:r>
        <w:rPr>
          <w:rFonts w:hint="eastAsia" w:ascii="宋体" w:hAnsi="宋体"/>
          <w:color w:val="FF0000"/>
          <w:sz w:val="20"/>
          <w:szCs w:val="20"/>
        </w:rPr>
        <w:t>构成犯罪的，依法追究刑事责任</w:t>
      </w:r>
      <w:r>
        <w:rPr>
          <w:rFonts w:hint="eastAsia"/>
          <w:bCs/>
          <w:color w:val="FF0000"/>
          <w:sz w:val="20"/>
          <w:szCs w:val="20"/>
        </w:rPr>
        <w:t>，请各供应商独立编制、上传投标文件，妥善保管和使用电子</w:t>
      </w:r>
      <w:r>
        <w:rPr>
          <w:rFonts w:hint="eastAsia"/>
          <w:bCs/>
          <w:color w:val="FF0000"/>
          <w:sz w:val="20"/>
          <w:szCs w:val="20"/>
          <w:lang w:eastAsia="zh-CN"/>
        </w:rPr>
        <w:t>密</w:t>
      </w:r>
      <w:r>
        <w:rPr>
          <w:rFonts w:hint="eastAsia"/>
          <w:bCs/>
          <w:color w:val="FF0000"/>
          <w:sz w:val="20"/>
          <w:szCs w:val="20"/>
        </w:rPr>
        <w:t>钥。</w:t>
      </w:r>
    </w:p>
    <w:p w14:paraId="3697DBF8">
      <w:pPr>
        <w:pStyle w:val="18"/>
      </w:pPr>
    </w:p>
    <w:p w14:paraId="6FA51AB3">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756243F3">
      <w:pPr>
        <w:pStyle w:val="18"/>
        <w:numPr>
          <w:ilvl w:val="255"/>
          <w:numId w:val="0"/>
        </w:numPr>
      </w:pPr>
    </w:p>
    <w:p w14:paraId="0C2ED706">
      <w:pPr>
        <w:pBdr>
          <w:top w:val="none" w:color="auto" w:sz="0" w:space="1"/>
          <w:left w:val="none" w:color="auto" w:sz="0" w:space="4"/>
          <w:bottom w:val="none" w:color="auto" w:sz="0" w:space="1"/>
          <w:right w:val="none" w:color="auto" w:sz="0" w:space="4"/>
        </w:pBdr>
        <w:ind w:firstLine="422" w:firstLineChars="200"/>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2A929D2">
      <w:pPr>
        <w:pStyle w:val="59"/>
        <w:pBdr>
          <w:top w:val="none" w:color="auto" w:sz="0" w:space="1"/>
          <w:left w:val="none" w:color="auto" w:sz="0" w:space="4"/>
          <w:bottom w:val="none" w:color="auto" w:sz="0" w:space="1"/>
          <w:right w:val="none" w:color="auto" w:sz="0" w:space="4"/>
        </w:pBdr>
        <w:rPr>
          <w:bCs/>
          <w:color w:val="FF0000"/>
          <w:sz w:val="20"/>
          <w:szCs w:val="20"/>
        </w:rPr>
      </w:pPr>
    </w:p>
    <w:p w14:paraId="55792FB0">
      <w:pPr>
        <w:widowControl/>
        <w:pBdr>
          <w:top w:val="none" w:color="auto" w:sz="0" w:space="1"/>
          <w:left w:val="none" w:color="auto" w:sz="0" w:space="4"/>
          <w:bottom w:val="none" w:color="auto" w:sz="0" w:space="1"/>
          <w:right w:val="none" w:color="auto" w:sz="0" w:space="4"/>
        </w:pBdr>
        <w:spacing w:beforeAutospacing="1" w:afterAutospacing="1"/>
        <w:outlineLvl w:val="1"/>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12C09FB5">
      <w:pPr>
        <w:widowControl/>
        <w:spacing w:beforeAutospacing="1" w:afterAutospacing="1"/>
        <w:jc w:val="center"/>
        <w:outlineLvl w:val="1"/>
        <w:rPr>
          <w:rFonts w:ascii="黑体" w:hAnsi="宋体" w:eastAsia="黑体" w:cs="黑体"/>
          <w:kern w:val="0"/>
          <w:sz w:val="40"/>
          <w:szCs w:val="40"/>
        </w:rPr>
        <w:sectPr>
          <w:headerReference r:id="rId3"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0BDF9AF7">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1FD86A4E">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369228B">
            <w:pPr>
              <w:widowControl/>
              <w:jc w:val="right"/>
              <w:rPr>
                <w:sz w:val="30"/>
                <w:szCs w:val="30"/>
              </w:rPr>
            </w:pPr>
            <w:r>
              <w:rPr>
                <w:rFonts w:ascii="宋体" w:hAnsi="宋体" w:cs="宋体"/>
                <w:kern w:val="0"/>
                <w:sz w:val="30"/>
                <w:szCs w:val="30"/>
                <w:lang w:bidi="ar"/>
              </w:rPr>
              <w:t>项目编号：</w:t>
            </w:r>
          </w:p>
        </w:tc>
        <w:tc>
          <w:tcPr>
            <w:tcW w:w="5220" w:type="dxa"/>
            <w:shd w:val="clear" w:color="auto" w:fill="auto"/>
            <w:vAlign w:val="center"/>
          </w:tcPr>
          <w:p w14:paraId="6F40904D">
            <w:pPr>
              <w:widowControl/>
              <w:jc w:val="left"/>
              <w:rPr>
                <w:sz w:val="30"/>
                <w:szCs w:val="30"/>
              </w:rPr>
            </w:pPr>
            <w:r>
              <w:rPr>
                <w:rFonts w:hint="default"/>
                <w:sz w:val="30"/>
                <w:szCs w:val="30"/>
                <w:lang w:val="en-US" w:eastAsia="zh-CN"/>
              </w:rPr>
              <w:t>SZCG2026000848</w:t>
            </w:r>
          </w:p>
        </w:tc>
      </w:tr>
      <w:tr w14:paraId="43F0BCD8">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6530DA6">
            <w:pPr>
              <w:widowControl/>
              <w:jc w:val="right"/>
              <w:rPr>
                <w:sz w:val="30"/>
                <w:szCs w:val="30"/>
              </w:rPr>
            </w:pPr>
            <w:r>
              <w:rPr>
                <w:rFonts w:ascii="宋体" w:hAnsi="宋体" w:cs="宋体"/>
                <w:kern w:val="0"/>
                <w:sz w:val="30"/>
                <w:szCs w:val="30"/>
                <w:lang w:bidi="ar"/>
              </w:rPr>
              <w:t>项目名称：</w:t>
            </w:r>
          </w:p>
        </w:tc>
        <w:tc>
          <w:tcPr>
            <w:tcW w:w="5220" w:type="dxa"/>
            <w:shd w:val="clear" w:color="auto" w:fill="auto"/>
            <w:vAlign w:val="center"/>
          </w:tcPr>
          <w:p w14:paraId="0C00C6CA">
            <w:pPr>
              <w:widowControl/>
              <w:jc w:val="left"/>
              <w:rPr>
                <w:sz w:val="30"/>
                <w:szCs w:val="30"/>
              </w:rPr>
            </w:pPr>
            <w:r>
              <w:rPr>
                <w:rFonts w:hint="eastAsia"/>
                <w:sz w:val="30"/>
                <w:szCs w:val="30"/>
              </w:rPr>
              <w:t>深圳城市职业学院（深圳技师学院）物业管理服务项目</w:t>
            </w:r>
          </w:p>
        </w:tc>
      </w:tr>
      <w:tr w14:paraId="2EFFF97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FD82A14">
            <w:pPr>
              <w:widowControl/>
              <w:jc w:val="right"/>
              <w:rPr>
                <w:sz w:val="30"/>
                <w:szCs w:val="30"/>
              </w:rPr>
            </w:pPr>
            <w:r>
              <w:rPr>
                <w:rFonts w:ascii="宋体" w:hAnsi="宋体" w:cs="宋体"/>
                <w:kern w:val="0"/>
                <w:sz w:val="30"/>
                <w:szCs w:val="30"/>
                <w:lang w:bidi="ar"/>
              </w:rPr>
              <w:t>包 号：</w:t>
            </w:r>
          </w:p>
        </w:tc>
        <w:tc>
          <w:tcPr>
            <w:tcW w:w="5220" w:type="dxa"/>
            <w:shd w:val="clear" w:color="auto" w:fill="auto"/>
            <w:vAlign w:val="center"/>
          </w:tcPr>
          <w:p w14:paraId="0386F9C4">
            <w:pPr>
              <w:widowControl/>
              <w:jc w:val="left"/>
              <w:rPr>
                <w:sz w:val="30"/>
                <w:szCs w:val="30"/>
              </w:rPr>
            </w:pPr>
            <w:r>
              <w:rPr>
                <w:rFonts w:ascii="宋体" w:hAnsi="宋体" w:cs="宋体"/>
                <w:kern w:val="0"/>
                <w:sz w:val="30"/>
                <w:szCs w:val="30"/>
                <w:lang w:bidi="ar"/>
              </w:rPr>
              <w:t>A</w:t>
            </w:r>
          </w:p>
        </w:tc>
      </w:tr>
      <w:tr w14:paraId="451B7A8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0B568CF">
            <w:pPr>
              <w:widowControl/>
              <w:jc w:val="right"/>
              <w:rPr>
                <w:sz w:val="30"/>
                <w:szCs w:val="30"/>
              </w:rPr>
            </w:pPr>
            <w:r>
              <w:rPr>
                <w:rFonts w:ascii="宋体" w:hAnsi="宋体" w:cs="宋体"/>
                <w:kern w:val="0"/>
                <w:sz w:val="30"/>
                <w:szCs w:val="30"/>
                <w:lang w:bidi="ar"/>
              </w:rPr>
              <w:t>项目类型：</w:t>
            </w:r>
          </w:p>
        </w:tc>
        <w:tc>
          <w:tcPr>
            <w:tcW w:w="5220" w:type="dxa"/>
            <w:shd w:val="clear" w:color="auto" w:fill="auto"/>
            <w:vAlign w:val="center"/>
          </w:tcPr>
          <w:p w14:paraId="3332B689">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14:paraId="526B640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113F39">
            <w:pPr>
              <w:widowControl/>
              <w:jc w:val="right"/>
              <w:rPr>
                <w:sz w:val="30"/>
                <w:szCs w:val="30"/>
              </w:rPr>
            </w:pPr>
            <w:r>
              <w:rPr>
                <w:rFonts w:ascii="宋体" w:hAnsi="宋体" w:cs="宋体"/>
                <w:kern w:val="0"/>
                <w:sz w:val="30"/>
                <w:szCs w:val="30"/>
                <w:lang w:bidi="ar"/>
              </w:rPr>
              <w:t>采购方式：</w:t>
            </w:r>
          </w:p>
        </w:tc>
        <w:tc>
          <w:tcPr>
            <w:tcW w:w="5220" w:type="dxa"/>
            <w:shd w:val="clear" w:color="auto" w:fill="auto"/>
            <w:vAlign w:val="center"/>
          </w:tcPr>
          <w:p w14:paraId="7521D0B4">
            <w:pPr>
              <w:widowControl/>
              <w:jc w:val="left"/>
              <w:rPr>
                <w:sz w:val="30"/>
                <w:szCs w:val="30"/>
              </w:rPr>
            </w:pPr>
            <w:r>
              <w:rPr>
                <w:rFonts w:ascii="宋体" w:hAnsi="宋体" w:cs="宋体"/>
                <w:kern w:val="0"/>
                <w:sz w:val="30"/>
                <w:szCs w:val="30"/>
                <w:lang w:bidi="ar"/>
              </w:rPr>
              <w:t>公开招标</w:t>
            </w:r>
          </w:p>
        </w:tc>
      </w:tr>
      <w:tr w14:paraId="3811685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3C1CC0A">
            <w:pPr>
              <w:widowControl/>
              <w:jc w:val="right"/>
              <w:rPr>
                <w:sz w:val="30"/>
                <w:szCs w:val="30"/>
              </w:rPr>
            </w:pPr>
            <w:r>
              <w:rPr>
                <w:rFonts w:ascii="宋体" w:hAnsi="宋体" w:cs="宋体"/>
                <w:kern w:val="0"/>
                <w:sz w:val="30"/>
                <w:szCs w:val="30"/>
                <w:lang w:bidi="ar"/>
              </w:rPr>
              <w:t>货币类型：</w:t>
            </w:r>
          </w:p>
        </w:tc>
        <w:tc>
          <w:tcPr>
            <w:tcW w:w="5220" w:type="dxa"/>
            <w:shd w:val="clear" w:color="auto" w:fill="auto"/>
            <w:vAlign w:val="center"/>
          </w:tcPr>
          <w:p w14:paraId="5C26DCFE">
            <w:pPr>
              <w:widowControl/>
              <w:jc w:val="left"/>
              <w:rPr>
                <w:sz w:val="30"/>
                <w:szCs w:val="30"/>
              </w:rPr>
            </w:pPr>
            <w:r>
              <w:rPr>
                <w:rFonts w:ascii="宋体" w:hAnsi="宋体" w:cs="宋体"/>
                <w:kern w:val="0"/>
                <w:sz w:val="30"/>
                <w:szCs w:val="30"/>
                <w:lang w:bidi="ar"/>
              </w:rPr>
              <w:t>人民币</w:t>
            </w:r>
          </w:p>
        </w:tc>
      </w:tr>
      <w:tr w14:paraId="7FE5A52F">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B4629BE">
            <w:pPr>
              <w:widowControl/>
              <w:jc w:val="right"/>
              <w:rPr>
                <w:sz w:val="30"/>
                <w:szCs w:val="30"/>
              </w:rPr>
            </w:pPr>
            <w:r>
              <w:rPr>
                <w:rFonts w:ascii="宋体" w:hAnsi="宋体" w:cs="宋体"/>
                <w:kern w:val="0"/>
                <w:sz w:val="30"/>
                <w:szCs w:val="30"/>
                <w:lang w:bidi="ar"/>
              </w:rPr>
              <w:t>评标方法：</w:t>
            </w:r>
          </w:p>
        </w:tc>
        <w:tc>
          <w:tcPr>
            <w:tcW w:w="5220" w:type="dxa"/>
            <w:shd w:val="clear" w:color="auto" w:fill="auto"/>
            <w:vAlign w:val="center"/>
          </w:tcPr>
          <w:p w14:paraId="73B4CA8C">
            <w:pPr>
              <w:widowControl/>
              <w:jc w:val="left"/>
              <w:rPr>
                <w:sz w:val="30"/>
                <w:szCs w:val="30"/>
              </w:rPr>
            </w:pPr>
            <w:r>
              <w:rPr>
                <w:rFonts w:ascii="宋体" w:hAnsi="宋体" w:cs="宋体"/>
                <w:kern w:val="0"/>
                <w:sz w:val="30"/>
                <w:szCs w:val="30"/>
                <w:lang w:bidi="ar"/>
              </w:rPr>
              <w:t>综合评分法</w:t>
            </w:r>
          </w:p>
        </w:tc>
      </w:tr>
    </w:tbl>
    <w:p w14:paraId="751A831A">
      <w:pPr>
        <w:jc w:val="left"/>
        <w:outlineLvl w:val="9"/>
      </w:pPr>
    </w:p>
    <w:p w14:paraId="2345D64D">
      <w:pPr>
        <w:pStyle w:val="37"/>
        <w:jc w:val="center"/>
        <w:outlineLvl w:val="1"/>
        <w:rPr>
          <w:rFonts w:ascii="黑体" w:hAnsi="黑体" w:eastAsia="黑体"/>
          <w:sz w:val="40"/>
          <w:szCs w:val="40"/>
        </w:rPr>
        <w:sectPr>
          <w:pgSz w:w="11907" w:h="16840"/>
          <w:pgMar w:top="1440" w:right="1417" w:bottom="1440" w:left="1417" w:header="851" w:footer="992" w:gutter="0"/>
          <w:cols w:space="425" w:num="1"/>
          <w:titlePg/>
          <w:docGrid w:linePitch="462" w:charSpace="0"/>
        </w:sectPr>
      </w:pPr>
    </w:p>
    <w:p w14:paraId="6B0D325D">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272DD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A2D9058">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7C5B4CF">
            <w:pPr>
              <w:jc w:val="center"/>
              <w:rPr>
                <w:rFonts w:ascii="宋体" w:hAnsi="宋体" w:cs="宋体"/>
                <w:sz w:val="28"/>
                <w:szCs w:val="28"/>
              </w:rPr>
            </w:pPr>
            <w:r>
              <w:rPr>
                <w:sz w:val="28"/>
                <w:szCs w:val="28"/>
              </w:rPr>
              <w:t>内容</w:t>
            </w:r>
          </w:p>
        </w:tc>
      </w:tr>
      <w:tr w14:paraId="212555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3A4A1FE">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3762F23">
            <w:pPr>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0287C30F">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831B0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89960ED">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441D9BF">
            <w:pPr>
              <w:jc w:val="center"/>
              <w:rPr>
                <w:rFonts w:ascii="宋体" w:hAnsi="宋体" w:cs="宋体"/>
                <w:sz w:val="28"/>
                <w:szCs w:val="28"/>
              </w:rPr>
            </w:pPr>
            <w:r>
              <w:rPr>
                <w:sz w:val="28"/>
                <w:szCs w:val="28"/>
              </w:rPr>
              <w:t>内容</w:t>
            </w:r>
          </w:p>
        </w:tc>
      </w:tr>
      <w:tr w14:paraId="35C85E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00C6851">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0B372D06">
            <w:pPr>
              <w:rPr>
                <w:rFonts w:ascii="宋体" w:hAnsi="宋体" w:cs="宋体"/>
                <w:szCs w:val="21"/>
              </w:rPr>
            </w:pPr>
            <w:r>
              <w:rPr>
                <w:rFonts w:hint="eastAsia"/>
              </w:rPr>
              <w:t>不得将一个包的内容拆开投标；</w:t>
            </w:r>
          </w:p>
        </w:tc>
      </w:tr>
      <w:tr w14:paraId="7A4E2D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381079E">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3B5C9342">
            <w:pPr>
              <w:rPr>
                <w:rFonts w:ascii="宋体" w:hAnsi="宋体" w:cs="宋体"/>
                <w:szCs w:val="21"/>
              </w:rPr>
            </w:pPr>
            <w:r>
              <w:rPr>
                <w:rFonts w:hint="eastAsia"/>
              </w:rPr>
              <w:t>对同一项目投标时，不得提供两套以上的投标方案（招标文件另有规定的除外）；</w:t>
            </w:r>
          </w:p>
        </w:tc>
      </w:tr>
      <w:tr w14:paraId="2056CD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9FF6F3D">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25D81809">
            <w:pPr>
              <w:rPr>
                <w:rFonts w:ascii="宋体" w:hAnsi="宋体" w:cs="宋体"/>
                <w:szCs w:val="21"/>
              </w:rPr>
            </w:pPr>
            <w:r>
              <w:rPr>
                <w:rFonts w:hint="eastAsia"/>
              </w:rPr>
              <w:t>分项报价或投标总价不得高于相应预算金额（或设定的预算金额下的最高限价）；</w:t>
            </w:r>
          </w:p>
        </w:tc>
      </w:tr>
      <w:tr w14:paraId="7A8388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CCDDE62">
            <w:pPr>
              <w:jc w:val="center"/>
              <w:rPr>
                <w:rFonts w:hint="eastAsia" w:ascii="宋体" w:hAnsi="宋体" w:eastAsia="宋体" w:cs="宋体"/>
                <w:szCs w:val="21"/>
                <w:lang w:eastAsia="zh-CN"/>
              </w:rPr>
            </w:pPr>
            <w:r>
              <w:rPr>
                <w:rFonts w:hint="eastAsia"/>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581B402D">
            <w:pPr>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3E00A7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75AF340">
            <w:pPr>
              <w:jc w:val="center"/>
              <w:rPr>
                <w:rFonts w:hint="eastAsia" w:ascii="宋体" w:hAnsi="宋体" w:eastAsia="宋体" w:cs="宋体"/>
                <w:szCs w:val="21"/>
                <w:lang w:eastAsia="zh-CN"/>
              </w:rPr>
            </w:pPr>
            <w:r>
              <w:rPr>
                <w:rFonts w:hint="eastAsia"/>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6B32EC81">
            <w:pPr>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7F8869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85D30E2">
            <w:pPr>
              <w:jc w:val="center"/>
              <w:rPr>
                <w:rFonts w:hint="eastAsia" w:ascii="宋体" w:hAnsi="宋体" w:eastAsia="宋体" w:cs="宋体"/>
                <w:szCs w:val="21"/>
                <w:lang w:eastAsia="zh-CN"/>
              </w:rPr>
            </w:pPr>
            <w:r>
              <w:rPr>
                <w:rFonts w:hint="eastAsia"/>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389B5ABD">
            <w:pPr>
              <w:rPr>
                <w:rFonts w:ascii="宋体" w:hAnsi="宋体" w:cs="宋体"/>
                <w:szCs w:val="21"/>
              </w:rPr>
            </w:pPr>
            <w:r>
              <w:rPr>
                <w:rFonts w:hint="eastAsia"/>
              </w:rPr>
              <w:t>采购标的/服务清单/报价等任意一类有缺漏项或响应不全，或者对招标文件规定的项目需求内容或者需求数量进行修改</w:t>
            </w:r>
            <w:r>
              <w:rPr>
                <w:rFonts w:hint="eastAsia"/>
                <w:szCs w:val="21"/>
              </w:rPr>
              <w:t>，评审委员会判定投标响应不满足采购需求</w:t>
            </w:r>
            <w:r>
              <w:rPr>
                <w:rFonts w:hint="eastAsia"/>
              </w:rPr>
              <w:t>；</w:t>
            </w:r>
          </w:p>
        </w:tc>
      </w:tr>
      <w:tr w14:paraId="72C164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F07683E">
            <w:pPr>
              <w:jc w:val="center"/>
              <w:rPr>
                <w:rFonts w:hint="eastAsia" w:ascii="宋体" w:hAnsi="宋体" w:eastAsia="宋体" w:cs="宋体"/>
                <w:szCs w:val="21"/>
                <w:lang w:eastAsia="zh-CN"/>
              </w:rPr>
            </w:pPr>
            <w:r>
              <w:rPr>
                <w:rFonts w:hint="eastAsia"/>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210F213C">
            <w:pPr>
              <w:rPr>
                <w:rFonts w:ascii="宋体" w:hAnsi="宋体" w:cs="宋体"/>
                <w:szCs w:val="21"/>
              </w:rPr>
            </w:pPr>
            <w:r>
              <w:rPr>
                <w:rFonts w:hint="eastAsia"/>
              </w:rPr>
              <w:t>投标文件存在列放位置错误，导致属于信息公开情形的没有被公开；</w:t>
            </w:r>
          </w:p>
        </w:tc>
      </w:tr>
      <w:tr w14:paraId="4277F6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496CA3F">
            <w:pPr>
              <w:jc w:val="center"/>
              <w:rPr>
                <w:rFonts w:hint="eastAsia" w:ascii="宋体" w:hAnsi="宋体" w:eastAsia="宋体" w:cs="宋体"/>
                <w:szCs w:val="21"/>
                <w:lang w:eastAsia="zh-CN"/>
              </w:rPr>
            </w:pPr>
            <w:r>
              <w:rPr>
                <w:rFonts w:hint="eastAsia"/>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2BDA2EB1">
            <w:pPr>
              <w:rPr>
                <w:rFonts w:ascii="宋体" w:hAnsi="宋体" w:cs="宋体"/>
                <w:szCs w:val="21"/>
              </w:rPr>
            </w:pPr>
            <w:r>
              <w:rPr>
                <w:rFonts w:hint="eastAsia"/>
              </w:rPr>
              <w:t>投标文件电子文档不得带病毒；</w:t>
            </w:r>
          </w:p>
        </w:tc>
      </w:tr>
      <w:tr w14:paraId="12032C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F705126">
            <w:pPr>
              <w:jc w:val="center"/>
              <w:rPr>
                <w:rFonts w:hint="eastAsia" w:ascii="宋体" w:hAnsi="宋体" w:eastAsia="宋体" w:cs="宋体"/>
                <w:szCs w:val="21"/>
                <w:lang w:eastAsia="zh-CN"/>
              </w:rPr>
            </w:pPr>
            <w:r>
              <w:rPr>
                <w:rFonts w:hint="eastAsia"/>
                <w:szCs w:val="21"/>
                <w:lang w:val="en-US" w:eastAsia="zh-CN"/>
              </w:rPr>
              <w:t>9</w:t>
            </w:r>
          </w:p>
        </w:tc>
        <w:tc>
          <w:tcPr>
            <w:tcW w:w="8278" w:type="dxa"/>
            <w:tcBorders>
              <w:top w:val="single" w:color="000000" w:sz="8" w:space="0"/>
              <w:left w:val="single" w:color="000000" w:sz="8" w:space="0"/>
              <w:bottom w:val="single" w:color="000000" w:sz="8" w:space="0"/>
              <w:right w:val="single" w:color="000000" w:sz="8" w:space="0"/>
            </w:tcBorders>
          </w:tcPr>
          <w:p w14:paraId="3FE8423E">
            <w:pPr>
              <w:rPr>
                <w:rFonts w:ascii="宋体" w:hAnsi="宋体" w:cs="宋体"/>
                <w:szCs w:val="21"/>
              </w:rPr>
            </w:pPr>
            <w:r>
              <w:rPr>
                <w:rFonts w:hint="eastAsia"/>
              </w:rPr>
              <w:t>投标文件不得用不属于本公司的电子密钥或电子营业执照进行加密的；</w:t>
            </w:r>
          </w:p>
        </w:tc>
      </w:tr>
      <w:tr w14:paraId="0FF7E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CF3DBBB">
            <w:pPr>
              <w:widowControl/>
              <w:jc w:val="center"/>
              <w:textAlignment w:val="top"/>
              <w:rPr>
                <w:rFonts w:hint="default" w:ascii="宋体" w:hAnsi="宋体" w:eastAsia="宋体" w:cs="宋体"/>
                <w:szCs w:val="21"/>
                <w:lang w:val="en-US" w:eastAsia="zh-CN"/>
              </w:rPr>
            </w:pPr>
            <w:r>
              <w:rPr>
                <w:rFonts w:hint="eastAsia"/>
                <w:lang w:val="en-US" w:eastAsia="zh-CN"/>
              </w:rPr>
              <w:t>10</w:t>
            </w:r>
          </w:p>
        </w:tc>
        <w:tc>
          <w:tcPr>
            <w:tcW w:w="8278" w:type="dxa"/>
            <w:tcBorders>
              <w:top w:val="single" w:color="000000" w:sz="8" w:space="0"/>
              <w:left w:val="single" w:color="000000" w:sz="8" w:space="0"/>
              <w:bottom w:val="single" w:color="000000" w:sz="8" w:space="0"/>
              <w:right w:val="single" w:color="000000" w:sz="8" w:space="0"/>
            </w:tcBorders>
          </w:tcPr>
          <w:p w14:paraId="4EECAD19">
            <w:pPr>
              <w:widowControl/>
              <w:jc w:val="left"/>
              <w:textAlignment w:val="top"/>
            </w:pPr>
            <w:r>
              <w:rPr>
                <w:rFonts w:hint="eastAsia"/>
              </w:rPr>
              <w:t>不得与其他投标供应商投标文件“文件制作机器码”一致；</w:t>
            </w:r>
          </w:p>
        </w:tc>
      </w:tr>
      <w:tr w14:paraId="06C0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848517A">
            <w:pPr>
              <w:widowControl/>
              <w:jc w:val="center"/>
              <w:textAlignment w:val="top"/>
              <w:rPr>
                <w:rFonts w:hint="default" w:ascii="宋体" w:hAnsi="宋体" w:eastAsia="宋体" w:cs="宋体"/>
                <w:szCs w:val="21"/>
                <w:lang w:val="en-US" w:eastAsia="zh-CN"/>
              </w:rPr>
            </w:pPr>
            <w:r>
              <w:rPr>
                <w:rFonts w:hint="eastAsia"/>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tcPr>
          <w:p w14:paraId="6C6AA28C">
            <w:pPr>
              <w:widowControl/>
              <w:jc w:val="left"/>
              <w:textAlignment w:val="top"/>
            </w:pPr>
            <w:r>
              <w:rPr>
                <w:rFonts w:hint="eastAsia"/>
              </w:rPr>
              <w:t>不得与其他投标供应商投标文件“文件创建标识码”一致；</w:t>
            </w:r>
          </w:p>
        </w:tc>
      </w:tr>
      <w:tr w14:paraId="26D2C3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194326FA">
            <w:pPr>
              <w:widowControl/>
              <w:jc w:val="center"/>
              <w:textAlignment w:val="top"/>
              <w:rPr>
                <w:rFonts w:hint="default"/>
                <w:lang w:val="en-US"/>
              </w:rPr>
            </w:pPr>
            <w:r>
              <w:rPr>
                <w:rFonts w:hint="eastAsia"/>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5958F7AA">
            <w:pPr>
              <w:keepNext w:val="0"/>
              <w:keepLines w:val="0"/>
              <w:pageBreakBefore w:val="0"/>
              <w:widowControl/>
              <w:kinsoku/>
              <w:wordWrap/>
              <w:overflowPunct/>
              <w:topLinePunct w:val="0"/>
              <w:autoSpaceDE/>
              <w:autoSpaceDN/>
              <w:bidi w:val="0"/>
              <w:adjustRightInd/>
              <w:snapToGrid/>
              <w:jc w:val="left"/>
              <w:textAlignment w:val="top"/>
              <w:rPr>
                <w:rFonts w:hint="eastAsia"/>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1A3958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5FD6DFE">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0E843F0C">
            <w:pPr>
              <w:rPr>
                <w:rFonts w:ascii="宋体" w:hAnsi="宋体" w:cs="宋体"/>
                <w:szCs w:val="21"/>
              </w:rPr>
            </w:pPr>
            <w:r>
              <w:rPr>
                <w:rFonts w:hint="eastAsia"/>
              </w:rPr>
              <w:t>法律、法规、规章、规范性文件规定的其他情形。</w:t>
            </w:r>
          </w:p>
        </w:tc>
      </w:tr>
    </w:tbl>
    <w:p w14:paraId="521C0D54">
      <w:pPr>
        <w:widowControl/>
        <w:spacing w:beforeAutospacing="1" w:afterAutospacing="1"/>
        <w:jc w:val="center"/>
        <w:outlineLvl w:val="1"/>
        <w:rPr>
          <w:rFonts w:ascii="黑体" w:hAnsi="宋体" w:eastAsia="黑体" w:cs="黑体"/>
          <w:kern w:val="0"/>
          <w:sz w:val="40"/>
          <w:szCs w:val="40"/>
          <w:highlight w:val="cyan"/>
          <w:lang w:val="en-US" w:eastAsia="zh-CN" w:bidi="ar-SA"/>
        </w:rPr>
      </w:pPr>
      <w:r>
        <w:rPr>
          <w:rFonts w:hint="eastAsia" w:ascii="黑体" w:hAnsi="宋体" w:eastAsia="黑体" w:cs="黑体"/>
          <w:kern w:val="0"/>
          <w:sz w:val="40"/>
          <w:szCs w:val="40"/>
          <w:highlight w:val="cyan"/>
          <w:lang w:val="en-US" w:eastAsia="zh-CN" w:bidi="ar-SA"/>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DD10D4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7C596FF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2E1CC9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62ACE1E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A0EA8A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3.投标（响应）报价低于采购项目最高限价45%的，即投标（响应）报价&lt;采购项目最高限价×45%；</w:t>
            </w:r>
          </w:p>
          <w:p w14:paraId="75F800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18FB8E4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291D0E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5229D7DA">
      <w:pPr>
        <w:pStyle w:val="37"/>
        <w:jc w:val="center"/>
        <w:outlineLvl w:val="1"/>
        <w:rPr>
          <w:rFonts w:ascii="黑体" w:hAnsi="黑体" w:eastAsia="黑体"/>
          <w:sz w:val="40"/>
          <w:szCs w:val="40"/>
        </w:rPr>
        <w:sectPr>
          <w:pgSz w:w="11907" w:h="16840"/>
          <w:pgMar w:top="1440" w:right="1417" w:bottom="1440" w:left="1417" w:header="851" w:footer="992" w:gutter="0"/>
          <w:cols w:space="425" w:num="1"/>
          <w:titlePg/>
          <w:docGrid w:linePitch="462" w:charSpace="0"/>
        </w:sectPr>
      </w:pPr>
    </w:p>
    <w:p w14:paraId="21A7D130">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64376F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blCellSpacing w:w="0" w:type="dxa"/>
          <w:jc w:val="center"/>
        </w:trPr>
        <w:tc>
          <w:tcPr>
            <w:tcW w:w="8873" w:type="dxa"/>
            <w:shd w:val="clear" w:color="auto" w:fill="auto"/>
            <w:vAlign w:val="center"/>
          </w:tcPr>
          <w:p w14:paraId="56402FF3">
            <w:pPr>
              <w:widowControl/>
              <w:jc w:val="left"/>
              <w:rPr>
                <w:b/>
                <w:bCs/>
                <w:sz w:val="24"/>
              </w:rPr>
            </w:pPr>
            <w:r>
              <w:rPr>
                <w:b/>
                <w:bCs/>
              </w:rPr>
              <w:t>评标方法：综合评分法</w:t>
            </w:r>
          </w:p>
        </w:tc>
        <w:tc>
          <w:tcPr>
            <w:tcW w:w="240" w:type="dxa"/>
            <w:shd w:val="clear" w:color="auto" w:fill="auto"/>
            <w:vAlign w:val="center"/>
          </w:tcPr>
          <w:p w14:paraId="7FB91FF8">
            <w:pPr>
              <w:jc w:val="right"/>
              <w:rPr>
                <w:rFonts w:ascii="宋体"/>
                <w:b/>
                <w:bCs/>
                <w:sz w:val="24"/>
              </w:rPr>
            </w:pPr>
          </w:p>
        </w:tc>
      </w:tr>
      <w:tr w14:paraId="23009B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45BD7E66">
            <w:pPr>
              <w:ind w:firstLine="420"/>
              <w:rPr>
                <w:szCs w:val="21"/>
              </w:rPr>
            </w:pPr>
            <w:r>
              <w:rPr>
                <w:szCs w:val="21"/>
              </w:rPr>
              <w:t>综合评分法，</w:t>
            </w:r>
            <w:r>
              <w:rPr>
                <w:rFonts w:hint="eastAsia"/>
                <w:szCs w:val="21"/>
              </w:rPr>
              <w:t>是指投标文件满足招标文件全部实质性要求，且按照评审因素的量化指标评审得分</w:t>
            </w:r>
            <w:r>
              <w:rPr>
                <w:rFonts w:hint="eastAsia"/>
                <w:szCs w:val="21"/>
                <w:lang w:val="en-US" w:eastAsia="zh-CN"/>
              </w:rPr>
              <w:t>排名前列</w:t>
            </w:r>
            <w:r>
              <w:rPr>
                <w:szCs w:val="21"/>
              </w:rPr>
              <w:t>的投标人为中标候选人的评标方法。</w:t>
            </w:r>
            <w:r>
              <w:rPr>
                <w:rFonts w:hint="eastAsia" w:eastAsia="宋体"/>
                <w:szCs w:val="21"/>
                <w:lang w:eastAsia="zh-CN"/>
              </w:rPr>
              <w:t>（</w:t>
            </w:r>
            <w:r>
              <w:rPr>
                <w:rFonts w:hint="eastAsia" w:ascii="Times New Roman" w:eastAsia="宋体"/>
                <w:szCs w:val="21"/>
                <w:lang w:val="en-US" w:eastAsia="zh-CN"/>
              </w:rPr>
              <w:t>适用于中标候选人为</w:t>
            </w:r>
            <w:r>
              <w:rPr>
                <w:rFonts w:hint="eastAsia"/>
                <w:szCs w:val="21"/>
                <w:lang w:val="en-US" w:eastAsia="zh-CN"/>
              </w:rPr>
              <w:t>2家或以上</w:t>
            </w:r>
            <w:r>
              <w:rPr>
                <w:rFonts w:hint="eastAsia" w:ascii="Times New Roman" w:eastAsia="宋体"/>
                <w:szCs w:val="21"/>
                <w:lang w:val="en-US" w:eastAsia="zh-CN"/>
              </w:rPr>
              <w:t>的情形</w:t>
            </w:r>
            <w:r>
              <w:rPr>
                <w:rFonts w:hint="eastAsia" w:eastAsia="宋体"/>
                <w:szCs w:val="21"/>
                <w:lang w:eastAsia="zh-CN"/>
              </w:rPr>
              <w:t>）</w:t>
            </w:r>
          </w:p>
          <w:p w14:paraId="51AF7065">
            <w:pPr>
              <w:ind w:firstLine="420"/>
              <w:rPr>
                <w:szCs w:val="21"/>
              </w:rPr>
            </w:pPr>
            <w:r>
              <w:rPr>
                <w:szCs w:val="21"/>
              </w:rPr>
              <w:t>价格分计算方法：</w:t>
            </w:r>
          </w:p>
          <w:p w14:paraId="32515541">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5F20B329">
            <w:pPr>
              <w:widowControl/>
              <w:ind w:left="420"/>
              <w:jc w:val="left"/>
              <w:rPr>
                <w:szCs w:val="21"/>
              </w:rPr>
            </w:pPr>
            <w:r>
              <w:rPr>
                <w:szCs w:val="21"/>
              </w:rPr>
              <w:t xml:space="preserve">投标报价得分=(评标基准价／投标报价)×100 </w:t>
            </w:r>
          </w:p>
          <w:p w14:paraId="44D3C15A">
            <w:pPr>
              <w:widowControl/>
              <w:ind w:left="420"/>
              <w:jc w:val="left"/>
              <w:rPr>
                <w:szCs w:val="21"/>
              </w:rPr>
            </w:pPr>
            <w:r>
              <w:rPr>
                <w:szCs w:val="21"/>
              </w:rPr>
              <w:t xml:space="preserve">评标总得分＝F1×A1＋F2×A2＋……＋Fn×An </w:t>
            </w:r>
          </w:p>
          <w:p w14:paraId="6486B9C8">
            <w:pPr>
              <w:widowControl/>
              <w:ind w:left="420"/>
              <w:jc w:val="left"/>
              <w:rPr>
                <w:szCs w:val="21"/>
              </w:rPr>
            </w:pPr>
            <w:r>
              <w:rPr>
                <w:szCs w:val="21"/>
              </w:rPr>
              <w:t xml:space="preserve">F1、F2……Fn分别为各项评审因素的得分； </w:t>
            </w:r>
          </w:p>
          <w:p w14:paraId="420FB6DB">
            <w:pPr>
              <w:widowControl/>
              <w:ind w:left="420"/>
              <w:jc w:val="left"/>
              <w:rPr>
                <w:szCs w:val="21"/>
              </w:rPr>
            </w:pPr>
            <w:r>
              <w:rPr>
                <w:szCs w:val="21"/>
              </w:rPr>
              <w:t xml:space="preserve">A1、A2、……An 分别为各项评审因素所占的权重(A1＋A2＋……＋An＝1)。 </w:t>
            </w:r>
          </w:p>
          <w:p w14:paraId="6F7BB88B">
            <w:pPr>
              <w:widowControl/>
              <w:ind w:left="420"/>
              <w:jc w:val="left"/>
              <w:rPr>
                <w:szCs w:val="21"/>
              </w:rPr>
            </w:pPr>
            <w:r>
              <w:rPr>
                <w:szCs w:val="21"/>
              </w:rPr>
              <w:t>评标过程中，不得去掉报价中的最高报价和最低报价。</w:t>
            </w:r>
          </w:p>
          <w:p w14:paraId="6A1DDED1">
            <w:pPr>
              <w:widowControl/>
              <w:ind w:left="420"/>
              <w:jc w:val="left"/>
              <w:rPr>
                <w:szCs w:val="21"/>
              </w:rPr>
            </w:pPr>
            <w:r>
              <w:rPr>
                <w:rFonts w:hint="eastAsia"/>
                <w:szCs w:val="21"/>
              </w:rPr>
              <w:t>因落实政府采购政策进行价格调整的，以调整后的价格计算评标基准价和投标报价。</w:t>
            </w:r>
          </w:p>
          <w:p w14:paraId="33053D79">
            <w:pPr>
              <w:widowControl/>
              <w:ind w:left="420"/>
              <w:jc w:val="left"/>
              <w:rPr>
                <w:kern w:val="0"/>
                <w:sz w:val="24"/>
              </w:rPr>
            </w:pPr>
          </w:p>
          <w:p w14:paraId="4F161A44">
            <w:pPr>
              <w:pStyle w:val="18"/>
            </w:pPr>
            <w:r>
              <w:rPr>
                <w:rFonts w:hint="eastAsia"/>
                <w:sz w:val="22"/>
                <w:szCs w:val="22"/>
              </w:rPr>
              <w:t>注：投标人的“投标技术响应”“技术要求偏离表中偏离情况”等必须与客观实际保持一致，响应不实且情节严重的，经查实，将依法记入供应商诚信档案或受到行政处罚。</w:t>
            </w:r>
          </w:p>
        </w:tc>
      </w:tr>
    </w:tbl>
    <w:p w14:paraId="1DA4C81C">
      <w:pPr>
        <w:rPr>
          <w:rFonts w:ascii="宋体" w:hAnsi="宋体"/>
          <w:sz w:val="24"/>
        </w:rPr>
      </w:pPr>
    </w:p>
    <w:p w14:paraId="5220F2D0"/>
    <w:tbl>
      <w:tblPr>
        <w:tblStyle w:val="42"/>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313"/>
        <w:gridCol w:w="311"/>
        <w:gridCol w:w="1232"/>
        <w:gridCol w:w="442"/>
        <w:gridCol w:w="6851"/>
      </w:tblGrid>
      <w:tr w14:paraId="6A68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shd w:val="clear" w:color="auto" w:fill="E6EFFA"/>
            <w:tcMar>
              <w:top w:w="0" w:type="dxa"/>
              <w:left w:w="28" w:type="dxa"/>
              <w:bottom w:w="0" w:type="dxa"/>
              <w:right w:w="28" w:type="dxa"/>
            </w:tcMar>
            <w:vAlign w:val="center"/>
          </w:tcPr>
          <w:p w14:paraId="36E8BEA9">
            <w:pPr>
              <w:jc w:val="center"/>
              <w:rPr>
                <w:rFonts w:ascii="宋体" w:hAnsi="宋体" w:cs="宋体"/>
                <w:b/>
                <w:bCs/>
                <w:szCs w:val="21"/>
              </w:rPr>
            </w:pPr>
            <w:r>
              <w:rPr>
                <w:rFonts w:hint="eastAsia" w:ascii="宋体" w:hAnsi="宋体"/>
                <w:b/>
                <w:bCs/>
                <w:szCs w:val="21"/>
              </w:rPr>
              <w:t>序号</w:t>
            </w:r>
          </w:p>
        </w:tc>
        <w:tc>
          <w:tcPr>
            <w:tcW w:w="1985" w:type="dxa"/>
            <w:gridSpan w:val="3"/>
            <w:shd w:val="clear" w:color="auto" w:fill="E6EFFA"/>
            <w:tcMar>
              <w:top w:w="0" w:type="dxa"/>
              <w:left w:w="28" w:type="dxa"/>
              <w:bottom w:w="0" w:type="dxa"/>
              <w:right w:w="28" w:type="dxa"/>
            </w:tcMar>
            <w:vAlign w:val="center"/>
          </w:tcPr>
          <w:p w14:paraId="5F228380">
            <w:pPr>
              <w:jc w:val="center"/>
              <w:rPr>
                <w:rFonts w:ascii="宋体" w:hAnsi="宋体" w:cs="宋体"/>
                <w:b/>
                <w:bCs/>
                <w:szCs w:val="21"/>
              </w:rPr>
            </w:pPr>
            <w:r>
              <w:rPr>
                <w:rFonts w:hint="eastAsia" w:ascii="宋体" w:hAnsi="宋体"/>
                <w:b/>
                <w:bCs/>
                <w:szCs w:val="21"/>
              </w:rPr>
              <w:t>评分项</w:t>
            </w:r>
          </w:p>
        </w:tc>
        <w:tc>
          <w:tcPr>
            <w:tcW w:w="6851" w:type="dxa"/>
            <w:shd w:val="clear" w:color="auto" w:fill="E6EFFA"/>
            <w:tcMar>
              <w:top w:w="0" w:type="dxa"/>
              <w:left w:w="28" w:type="dxa"/>
              <w:bottom w:w="0" w:type="dxa"/>
              <w:right w:w="28" w:type="dxa"/>
            </w:tcMar>
            <w:vAlign w:val="center"/>
          </w:tcPr>
          <w:p w14:paraId="6CFBA625">
            <w:pPr>
              <w:jc w:val="center"/>
              <w:rPr>
                <w:rFonts w:ascii="宋体" w:hAnsi="宋体" w:cs="宋体"/>
                <w:b/>
                <w:bCs/>
                <w:szCs w:val="21"/>
              </w:rPr>
            </w:pPr>
            <w:r>
              <w:rPr>
                <w:rFonts w:hint="eastAsia" w:ascii="宋体" w:hAnsi="宋体"/>
                <w:b/>
                <w:bCs/>
                <w:szCs w:val="21"/>
              </w:rPr>
              <w:t>权重</w:t>
            </w:r>
            <w:r>
              <w:rPr>
                <w:rFonts w:ascii="宋体" w:hAnsi="宋体"/>
                <w:b/>
                <w:bCs/>
                <w:szCs w:val="21"/>
              </w:rPr>
              <w:t>(%)</w:t>
            </w:r>
          </w:p>
        </w:tc>
      </w:tr>
      <w:tr w14:paraId="593DD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tcMar>
              <w:top w:w="0" w:type="dxa"/>
              <w:left w:w="28" w:type="dxa"/>
              <w:bottom w:w="0" w:type="dxa"/>
              <w:right w:w="28" w:type="dxa"/>
            </w:tcMar>
          </w:tcPr>
          <w:p w14:paraId="057D4C4C">
            <w:pPr>
              <w:jc w:val="center"/>
              <w:rPr>
                <w:rFonts w:ascii="宋体" w:hAnsi="宋体" w:cs="宋体"/>
                <w:b/>
                <w:bCs/>
                <w:szCs w:val="21"/>
              </w:rPr>
            </w:pPr>
            <w:r>
              <w:rPr>
                <w:rFonts w:ascii="宋体" w:hAnsi="宋体"/>
                <w:b/>
                <w:bCs/>
                <w:szCs w:val="21"/>
              </w:rPr>
              <w:t>1</w:t>
            </w:r>
          </w:p>
        </w:tc>
        <w:tc>
          <w:tcPr>
            <w:tcW w:w="1985" w:type="dxa"/>
            <w:gridSpan w:val="3"/>
            <w:tcMar>
              <w:top w:w="0" w:type="dxa"/>
              <w:left w:w="28" w:type="dxa"/>
              <w:bottom w:w="0" w:type="dxa"/>
              <w:right w:w="28" w:type="dxa"/>
            </w:tcMar>
          </w:tcPr>
          <w:p w14:paraId="50755387">
            <w:pPr>
              <w:jc w:val="center"/>
              <w:rPr>
                <w:rFonts w:ascii="宋体" w:hAnsi="宋体" w:cs="宋体"/>
                <w:b/>
                <w:bCs/>
                <w:szCs w:val="21"/>
              </w:rPr>
            </w:pPr>
            <w:r>
              <w:rPr>
                <w:rFonts w:hint="eastAsia" w:ascii="宋体" w:hAnsi="宋体"/>
                <w:b/>
                <w:bCs/>
                <w:szCs w:val="21"/>
              </w:rPr>
              <w:t>价格</w:t>
            </w:r>
          </w:p>
        </w:tc>
        <w:tc>
          <w:tcPr>
            <w:tcW w:w="6851" w:type="dxa"/>
            <w:tcMar>
              <w:top w:w="0" w:type="dxa"/>
              <w:left w:w="28" w:type="dxa"/>
              <w:bottom w:w="0" w:type="dxa"/>
              <w:right w:w="28" w:type="dxa"/>
            </w:tcMar>
          </w:tcPr>
          <w:p w14:paraId="712309E2">
            <w:pPr>
              <w:jc w:val="center"/>
              <w:rPr>
                <w:rFonts w:ascii="宋体" w:hAnsi="宋体" w:cs="宋体"/>
                <w:b/>
                <w:bCs/>
                <w:szCs w:val="21"/>
              </w:rPr>
            </w:pPr>
            <w:r>
              <w:rPr>
                <w:rFonts w:ascii="宋体" w:hAnsi="宋体"/>
                <w:b/>
                <w:bCs/>
                <w:szCs w:val="21"/>
              </w:rPr>
              <w:t>10</w:t>
            </w:r>
          </w:p>
        </w:tc>
      </w:tr>
      <w:tr w14:paraId="5CB65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restart"/>
            <w:tcMar>
              <w:top w:w="0" w:type="dxa"/>
              <w:left w:w="28" w:type="dxa"/>
              <w:bottom w:w="0" w:type="dxa"/>
              <w:right w:w="28" w:type="dxa"/>
            </w:tcMar>
          </w:tcPr>
          <w:p w14:paraId="4CB91D5A">
            <w:pPr>
              <w:jc w:val="center"/>
              <w:rPr>
                <w:rFonts w:ascii="宋体" w:hAnsi="宋体" w:cs="宋体"/>
                <w:b/>
                <w:bCs/>
                <w:szCs w:val="21"/>
              </w:rPr>
            </w:pPr>
            <w:r>
              <w:rPr>
                <w:rFonts w:ascii="宋体" w:hAnsi="宋体"/>
                <w:b/>
                <w:bCs/>
                <w:szCs w:val="21"/>
              </w:rPr>
              <w:t>2</w:t>
            </w:r>
          </w:p>
        </w:tc>
        <w:tc>
          <w:tcPr>
            <w:tcW w:w="1985" w:type="dxa"/>
            <w:gridSpan w:val="3"/>
            <w:tcMar>
              <w:top w:w="0" w:type="dxa"/>
              <w:left w:w="28" w:type="dxa"/>
              <w:bottom w:w="0" w:type="dxa"/>
              <w:right w:w="28" w:type="dxa"/>
            </w:tcMar>
          </w:tcPr>
          <w:p w14:paraId="2C517DFF">
            <w:pPr>
              <w:jc w:val="center"/>
              <w:rPr>
                <w:rFonts w:ascii="宋体" w:hAnsi="宋体" w:cs="宋体"/>
                <w:b/>
                <w:bCs/>
                <w:szCs w:val="21"/>
              </w:rPr>
            </w:pPr>
            <w:r>
              <w:rPr>
                <w:rFonts w:hint="eastAsia" w:ascii="宋体" w:hAnsi="宋体"/>
                <w:b/>
                <w:bCs/>
                <w:szCs w:val="21"/>
              </w:rPr>
              <w:t>技术部分</w:t>
            </w:r>
          </w:p>
        </w:tc>
        <w:tc>
          <w:tcPr>
            <w:tcW w:w="6851" w:type="dxa"/>
            <w:tcMar>
              <w:top w:w="0" w:type="dxa"/>
              <w:left w:w="28" w:type="dxa"/>
              <w:bottom w:w="0" w:type="dxa"/>
              <w:right w:w="28" w:type="dxa"/>
            </w:tcMar>
          </w:tcPr>
          <w:p w14:paraId="3C3CCB28">
            <w:pPr>
              <w:jc w:val="center"/>
              <w:rPr>
                <w:rFonts w:hint="default" w:ascii="宋体" w:hAnsi="宋体" w:eastAsia="宋体" w:cs="宋体"/>
                <w:b/>
                <w:bCs/>
                <w:szCs w:val="21"/>
                <w:lang w:val="en-US" w:eastAsia="zh-CN"/>
              </w:rPr>
            </w:pPr>
            <w:r>
              <w:rPr>
                <w:rFonts w:hint="eastAsia" w:ascii="宋体" w:hAnsi="宋体"/>
                <w:b/>
                <w:bCs/>
                <w:szCs w:val="21"/>
                <w:lang w:val="en-US" w:eastAsia="zh-CN"/>
              </w:rPr>
              <w:t>70</w:t>
            </w:r>
          </w:p>
        </w:tc>
      </w:tr>
      <w:tr w14:paraId="0988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593EE4A9">
            <w:pPr>
              <w:widowControl/>
              <w:jc w:val="left"/>
              <w:rPr>
                <w:rFonts w:ascii="宋体" w:hAnsi="宋体" w:cs="宋体"/>
                <w:b/>
                <w:bCs/>
                <w:szCs w:val="21"/>
              </w:rPr>
            </w:pPr>
          </w:p>
        </w:tc>
        <w:tc>
          <w:tcPr>
            <w:tcW w:w="8836" w:type="dxa"/>
            <w:gridSpan w:val="4"/>
            <w:tcMar>
              <w:top w:w="0" w:type="dxa"/>
              <w:left w:w="28" w:type="dxa"/>
              <w:bottom w:w="0" w:type="dxa"/>
              <w:right w:w="28" w:type="dxa"/>
            </w:tcMar>
          </w:tcPr>
          <w:p w14:paraId="0855C673">
            <w:pPr>
              <w:rPr>
                <w:rFonts w:ascii="宋体" w:hAnsi="宋体" w:cs="宋体"/>
                <w:szCs w:val="21"/>
              </w:rPr>
            </w:pPr>
          </w:p>
        </w:tc>
      </w:tr>
      <w:tr w14:paraId="1313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shd w:val="clear" w:color="auto" w:fill="auto"/>
            <w:tcMar>
              <w:top w:w="0" w:type="dxa"/>
              <w:left w:w="28" w:type="dxa"/>
              <w:bottom w:w="0" w:type="dxa"/>
              <w:right w:w="28" w:type="dxa"/>
            </w:tcMar>
            <w:vAlign w:val="center"/>
          </w:tcPr>
          <w:p w14:paraId="039EDE42">
            <w:pPr>
              <w:widowControl/>
              <w:jc w:val="left"/>
              <w:rPr>
                <w:rFonts w:ascii="宋体" w:hAnsi="宋体" w:cs="宋体"/>
                <w:b/>
                <w:bCs/>
                <w:szCs w:val="21"/>
              </w:rPr>
            </w:pPr>
          </w:p>
        </w:tc>
        <w:tc>
          <w:tcPr>
            <w:tcW w:w="311" w:type="dxa"/>
            <w:shd w:val="clear" w:color="auto" w:fill="E6EFFA"/>
            <w:tcMar>
              <w:top w:w="0" w:type="dxa"/>
              <w:left w:w="28" w:type="dxa"/>
              <w:bottom w:w="0" w:type="dxa"/>
              <w:right w:w="28" w:type="dxa"/>
            </w:tcMar>
            <w:vAlign w:val="center"/>
          </w:tcPr>
          <w:p w14:paraId="5945F648">
            <w:pPr>
              <w:jc w:val="center"/>
              <w:rPr>
                <w:rFonts w:ascii="宋体" w:hAnsi="宋体" w:cs="宋体"/>
                <w:szCs w:val="21"/>
              </w:rPr>
            </w:pPr>
            <w:r>
              <w:rPr>
                <w:rFonts w:hint="eastAsia" w:ascii="宋体" w:hAnsi="宋体"/>
                <w:szCs w:val="21"/>
              </w:rPr>
              <w:t>序号</w:t>
            </w:r>
          </w:p>
        </w:tc>
        <w:tc>
          <w:tcPr>
            <w:tcW w:w="1232" w:type="dxa"/>
            <w:shd w:val="clear" w:color="auto" w:fill="E6EFFA"/>
            <w:tcMar>
              <w:top w:w="0" w:type="dxa"/>
              <w:left w:w="28" w:type="dxa"/>
              <w:bottom w:w="0" w:type="dxa"/>
              <w:right w:w="28" w:type="dxa"/>
            </w:tcMar>
            <w:vAlign w:val="center"/>
          </w:tcPr>
          <w:p w14:paraId="1F17B2BC">
            <w:pPr>
              <w:jc w:val="center"/>
              <w:rPr>
                <w:rFonts w:ascii="宋体" w:hAnsi="宋体" w:cs="宋体"/>
                <w:szCs w:val="21"/>
              </w:rPr>
            </w:pPr>
            <w:r>
              <w:rPr>
                <w:rFonts w:hint="eastAsia" w:ascii="宋体" w:hAnsi="宋体"/>
                <w:szCs w:val="21"/>
              </w:rPr>
              <w:t>评审因素</w:t>
            </w:r>
          </w:p>
        </w:tc>
        <w:tc>
          <w:tcPr>
            <w:tcW w:w="442" w:type="dxa"/>
            <w:shd w:val="clear" w:color="auto" w:fill="E6EFFA"/>
            <w:tcMar>
              <w:top w:w="0" w:type="dxa"/>
              <w:left w:w="28" w:type="dxa"/>
              <w:bottom w:w="0" w:type="dxa"/>
              <w:right w:w="28" w:type="dxa"/>
            </w:tcMar>
            <w:vAlign w:val="center"/>
          </w:tcPr>
          <w:p w14:paraId="3A3732D5">
            <w:pPr>
              <w:jc w:val="center"/>
              <w:rPr>
                <w:rFonts w:ascii="宋体" w:hAnsi="宋体" w:cs="宋体"/>
                <w:szCs w:val="21"/>
              </w:rPr>
            </w:pPr>
            <w:r>
              <w:rPr>
                <w:rFonts w:hint="eastAsia" w:ascii="宋体" w:hAnsi="宋体"/>
                <w:szCs w:val="21"/>
              </w:rPr>
              <w:t>权重</w:t>
            </w:r>
            <w:r>
              <w:rPr>
                <w:rFonts w:ascii="宋体" w:hAnsi="宋体"/>
                <w:szCs w:val="21"/>
              </w:rPr>
              <w:t>(%)</w:t>
            </w:r>
          </w:p>
        </w:tc>
        <w:tc>
          <w:tcPr>
            <w:tcW w:w="6851" w:type="dxa"/>
            <w:shd w:val="clear" w:color="auto" w:fill="E6EFFA"/>
            <w:tcMar>
              <w:top w:w="0" w:type="dxa"/>
              <w:left w:w="28" w:type="dxa"/>
              <w:bottom w:w="0" w:type="dxa"/>
              <w:right w:w="28" w:type="dxa"/>
            </w:tcMar>
            <w:vAlign w:val="center"/>
          </w:tcPr>
          <w:p w14:paraId="36E1FC09">
            <w:pPr>
              <w:jc w:val="center"/>
              <w:rPr>
                <w:rFonts w:ascii="宋体" w:hAnsi="宋体" w:cs="宋体"/>
                <w:szCs w:val="21"/>
              </w:rPr>
            </w:pPr>
            <w:r>
              <w:rPr>
                <w:rFonts w:hint="eastAsia" w:ascii="宋体" w:hAnsi="宋体"/>
                <w:szCs w:val="21"/>
              </w:rPr>
              <w:t>评分准则</w:t>
            </w:r>
          </w:p>
        </w:tc>
      </w:tr>
      <w:tr w14:paraId="5E0C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21C9191A">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095E83EA">
            <w:pPr>
              <w:jc w:val="center"/>
              <w:rPr>
                <w:rFonts w:ascii="宋体" w:hAnsi="宋体" w:cs="宋体"/>
                <w:szCs w:val="21"/>
              </w:rPr>
            </w:pPr>
            <w:r>
              <w:rPr>
                <w:rFonts w:hint="eastAsia" w:ascii="宋体" w:hAnsi="宋体"/>
                <w:szCs w:val="21"/>
              </w:rPr>
              <w:t>1</w:t>
            </w:r>
          </w:p>
        </w:tc>
        <w:tc>
          <w:tcPr>
            <w:tcW w:w="1232" w:type="dxa"/>
            <w:tcMar>
              <w:top w:w="0" w:type="dxa"/>
              <w:left w:w="28" w:type="dxa"/>
              <w:bottom w:w="0" w:type="dxa"/>
              <w:right w:w="28" w:type="dxa"/>
            </w:tcMar>
            <w:vAlign w:val="center"/>
          </w:tcPr>
          <w:p w14:paraId="6576EE73">
            <w:pPr>
              <w:jc w:val="center"/>
              <w:rPr>
                <w:rFonts w:ascii="宋体" w:hAnsi="宋体" w:cs="宋体"/>
                <w:szCs w:val="21"/>
              </w:rPr>
            </w:pPr>
            <w:r>
              <w:rPr>
                <w:rFonts w:hint="eastAsia" w:ascii="宋体" w:hAnsi="宋体"/>
                <w:szCs w:val="21"/>
              </w:rPr>
              <w:t>实施方案</w:t>
            </w:r>
          </w:p>
        </w:tc>
        <w:tc>
          <w:tcPr>
            <w:tcW w:w="442" w:type="dxa"/>
            <w:tcMar>
              <w:top w:w="0" w:type="dxa"/>
              <w:left w:w="28" w:type="dxa"/>
              <w:bottom w:w="0" w:type="dxa"/>
              <w:right w:w="28" w:type="dxa"/>
            </w:tcMar>
            <w:vAlign w:val="center"/>
          </w:tcPr>
          <w:p w14:paraId="3A0799EE">
            <w:pPr>
              <w:jc w:val="center"/>
              <w:rPr>
                <w:rFonts w:ascii="宋体" w:hAnsi="宋体" w:cs="宋体"/>
                <w:szCs w:val="21"/>
              </w:rPr>
            </w:pPr>
            <w:r>
              <w:rPr>
                <w:rFonts w:hint="eastAsia" w:ascii="宋体" w:hAnsi="宋体"/>
                <w:szCs w:val="21"/>
              </w:rPr>
              <w:t>8</w:t>
            </w:r>
          </w:p>
        </w:tc>
        <w:tc>
          <w:tcPr>
            <w:tcW w:w="6851" w:type="dxa"/>
            <w:tcMar>
              <w:top w:w="0" w:type="dxa"/>
              <w:left w:w="28" w:type="dxa"/>
              <w:bottom w:w="0" w:type="dxa"/>
              <w:right w:w="28" w:type="dxa"/>
            </w:tcMar>
          </w:tcPr>
          <w:p w14:paraId="21ACE6D6">
            <w:pPr>
              <w:widowControl/>
              <w:jc w:val="left"/>
              <w:outlineLvl w:val="1"/>
              <w:rPr>
                <w:rFonts w:ascii="宋体" w:hAnsi="宋体" w:cs="宋体"/>
                <w:b/>
                <w:kern w:val="0"/>
                <w:szCs w:val="21"/>
              </w:rPr>
            </w:pPr>
            <w:r>
              <w:rPr>
                <w:rFonts w:hint="eastAsia" w:ascii="宋体" w:hAnsi="宋体" w:cs="宋体"/>
                <w:b/>
                <w:kern w:val="0"/>
                <w:szCs w:val="21"/>
              </w:rPr>
              <w:t>（一）评分内容：</w:t>
            </w:r>
          </w:p>
          <w:p w14:paraId="6E601409">
            <w:pPr>
              <w:rPr>
                <w:rFonts w:ascii="宋体" w:hAnsi="宋体" w:cs="宋体"/>
                <w:kern w:val="0"/>
                <w:szCs w:val="21"/>
              </w:rPr>
            </w:pPr>
            <w:r>
              <w:rPr>
                <w:rFonts w:hint="eastAsia" w:ascii="宋体" w:hAnsi="宋体" w:cs="宋体"/>
                <w:kern w:val="0"/>
                <w:szCs w:val="21"/>
              </w:rPr>
              <w:t>投标人制定物业管理实施方案，内容包括：</w:t>
            </w:r>
          </w:p>
          <w:p w14:paraId="67CC39D0">
            <w:pPr>
              <w:rPr>
                <w:rFonts w:ascii="宋体" w:hAnsi="宋体" w:cs="宋体"/>
                <w:kern w:val="0"/>
                <w:szCs w:val="21"/>
              </w:rPr>
            </w:pPr>
            <w:r>
              <w:rPr>
                <w:rFonts w:hint="eastAsia" w:ascii="宋体" w:hAnsi="宋体" w:cs="宋体"/>
                <w:kern w:val="0"/>
                <w:szCs w:val="21"/>
              </w:rPr>
              <w:t>1.提供针对本项目的整体管理设想及整体运作规划；</w:t>
            </w:r>
          </w:p>
          <w:p w14:paraId="60F3B433">
            <w:pPr>
              <w:rPr>
                <w:rFonts w:ascii="宋体" w:hAnsi="宋体" w:cs="宋体"/>
                <w:kern w:val="0"/>
                <w:szCs w:val="21"/>
              </w:rPr>
            </w:pPr>
            <w:r>
              <w:rPr>
                <w:rFonts w:hint="eastAsia" w:ascii="宋体" w:hAnsi="宋体" w:cs="宋体"/>
                <w:kern w:val="0"/>
                <w:szCs w:val="21"/>
              </w:rPr>
              <w:t>2.提供针对本项目的组织机构及人员培训管理措施；</w:t>
            </w:r>
          </w:p>
          <w:p w14:paraId="468412D9">
            <w:pPr>
              <w:rPr>
                <w:rFonts w:ascii="宋体" w:hAnsi="宋体" w:cs="宋体"/>
                <w:kern w:val="0"/>
                <w:szCs w:val="21"/>
              </w:rPr>
            </w:pPr>
            <w:r>
              <w:rPr>
                <w:rFonts w:hint="eastAsia" w:ascii="宋体" w:hAnsi="宋体" w:cs="宋体"/>
                <w:kern w:val="0"/>
                <w:szCs w:val="21"/>
              </w:rPr>
              <w:t>3.提供针对本项目各项服务需求制定各服务模块方案，应包括综合服务、设施设备管理服务、清洁卫生服务、绿化养护服务、秩序维护服务、会务服务等6项具体服务。</w:t>
            </w:r>
          </w:p>
          <w:p w14:paraId="4942D16C">
            <w:pPr>
              <w:widowControl/>
              <w:jc w:val="left"/>
              <w:outlineLvl w:val="1"/>
              <w:rPr>
                <w:rFonts w:ascii="宋体" w:hAnsi="宋体" w:cs="宋体"/>
                <w:b/>
                <w:kern w:val="0"/>
                <w:szCs w:val="21"/>
              </w:rPr>
            </w:pPr>
            <w:r>
              <w:rPr>
                <w:rFonts w:hint="eastAsia" w:ascii="宋体" w:hAnsi="宋体" w:cs="宋体"/>
                <w:b/>
                <w:kern w:val="0"/>
                <w:szCs w:val="21"/>
              </w:rPr>
              <w:t>（二）评分依据：</w:t>
            </w:r>
          </w:p>
          <w:p w14:paraId="7974A686">
            <w:pPr>
              <w:rPr>
                <w:rFonts w:ascii="宋体" w:hAnsi="宋体" w:cs="宋体"/>
                <w:kern w:val="0"/>
                <w:szCs w:val="21"/>
              </w:rPr>
            </w:pPr>
            <w:r>
              <w:rPr>
                <w:rFonts w:hint="eastAsia" w:ascii="宋体" w:hAnsi="宋体" w:cs="宋体"/>
                <w:kern w:val="0"/>
                <w:szCs w:val="21"/>
              </w:rPr>
              <w:t>提供以上三项的得</w:t>
            </w:r>
            <w:r>
              <w:rPr>
                <w:rFonts w:ascii="宋体" w:hAnsi="宋体" w:cs="宋体"/>
                <w:kern w:val="0"/>
                <w:szCs w:val="21"/>
              </w:rPr>
              <w:t>9</w:t>
            </w:r>
            <w:r>
              <w:rPr>
                <w:rFonts w:hint="eastAsia" w:ascii="宋体" w:hAnsi="宋体" w:cs="宋体"/>
                <w:kern w:val="0"/>
                <w:szCs w:val="21"/>
              </w:rPr>
              <w:t>0分，提供任意两项的得60分，提供任意1项的得30分，未提供不得分。</w:t>
            </w:r>
          </w:p>
          <w:p w14:paraId="070DEB87">
            <w:pPr>
              <w:rPr>
                <w:rFonts w:ascii="宋体" w:hAnsi="宋体" w:cs="宋体"/>
                <w:kern w:val="0"/>
                <w:szCs w:val="21"/>
              </w:rPr>
            </w:pPr>
            <w:r>
              <w:rPr>
                <w:rFonts w:hint="eastAsia" w:ascii="宋体" w:hAnsi="宋体" w:cs="宋体"/>
                <w:kern w:val="0"/>
                <w:szCs w:val="21"/>
              </w:rPr>
              <w:t>在此基础上，专家根据各供应商的具体响应内容按照量化的评审因素进一步评审：</w:t>
            </w:r>
          </w:p>
          <w:p w14:paraId="5B8B3764">
            <w:pPr>
              <w:rPr>
                <w:rFonts w:ascii="宋体" w:hAnsi="宋体" w:cs="宋体"/>
                <w:snapToGrid w:val="0"/>
                <w:szCs w:val="21"/>
              </w:rPr>
            </w:pPr>
            <w:r>
              <w:rPr>
                <w:rFonts w:hint="eastAsia" w:ascii="宋体" w:hAnsi="宋体" w:cs="宋体"/>
                <w:snapToGrid w:val="0"/>
                <w:szCs w:val="21"/>
              </w:rPr>
              <w:t>评审为优</w:t>
            </w:r>
            <w:r>
              <w:rPr>
                <w:rFonts w:ascii="宋体" w:hAnsi="宋体" w:cs="宋体"/>
                <w:snapToGrid w:val="0"/>
                <w:szCs w:val="21"/>
              </w:rPr>
              <w:t>:</w:t>
            </w:r>
            <w:r>
              <w:rPr>
                <w:rFonts w:hint="eastAsia" w:ascii="宋体" w:hAnsi="宋体" w:cs="宋体"/>
                <w:snapToGrid w:val="0"/>
                <w:szCs w:val="21"/>
              </w:rPr>
              <w:t>实施方案内容完整、思路清晰，紧密贴合实际的加</w:t>
            </w:r>
            <w:r>
              <w:rPr>
                <w:rFonts w:ascii="宋体" w:hAnsi="宋体" w:cs="宋体"/>
                <w:snapToGrid w:val="0"/>
                <w:szCs w:val="21"/>
              </w:rPr>
              <w:t>10</w:t>
            </w:r>
            <w:r>
              <w:rPr>
                <w:rFonts w:hint="eastAsia" w:ascii="宋体" w:hAnsi="宋体" w:cs="宋体"/>
                <w:snapToGrid w:val="0"/>
                <w:szCs w:val="21"/>
              </w:rPr>
              <w:t>分</w:t>
            </w:r>
            <w:r>
              <w:rPr>
                <w:rFonts w:ascii="宋体" w:hAnsi="宋体" w:cs="宋体"/>
                <w:snapToGrid w:val="0"/>
                <w:szCs w:val="21"/>
              </w:rPr>
              <w:t>;</w:t>
            </w:r>
          </w:p>
          <w:p w14:paraId="53D6FE9B">
            <w:pPr>
              <w:rPr>
                <w:rFonts w:ascii="宋体" w:hAnsi="宋体" w:cs="宋体"/>
                <w:snapToGrid w:val="0"/>
                <w:szCs w:val="21"/>
              </w:rPr>
            </w:pPr>
            <w:r>
              <w:rPr>
                <w:rFonts w:hint="eastAsia" w:ascii="宋体" w:hAnsi="宋体" w:cs="宋体"/>
                <w:snapToGrid w:val="0"/>
                <w:szCs w:val="21"/>
              </w:rPr>
              <w:t>评审为良</w:t>
            </w:r>
            <w:r>
              <w:rPr>
                <w:rFonts w:ascii="宋体" w:hAnsi="宋体" w:cs="宋体"/>
                <w:snapToGrid w:val="0"/>
                <w:szCs w:val="21"/>
              </w:rPr>
              <w:t>:</w:t>
            </w:r>
            <w:r>
              <w:rPr>
                <w:rFonts w:hint="eastAsia" w:ascii="宋体" w:hAnsi="宋体" w:cs="宋体"/>
                <w:snapToGrid w:val="0"/>
                <w:szCs w:val="21"/>
              </w:rPr>
              <w:t>实施方案内容基本响应、思路较清晰，贴合实际的加</w:t>
            </w:r>
            <w:r>
              <w:rPr>
                <w:rFonts w:ascii="宋体" w:hAnsi="宋体" w:cs="宋体"/>
                <w:snapToGrid w:val="0"/>
                <w:szCs w:val="21"/>
              </w:rPr>
              <w:t>6</w:t>
            </w:r>
            <w:r>
              <w:rPr>
                <w:rFonts w:hint="eastAsia" w:ascii="宋体" w:hAnsi="宋体" w:cs="宋体"/>
                <w:snapToGrid w:val="0"/>
                <w:szCs w:val="21"/>
              </w:rPr>
              <w:t>分</w:t>
            </w:r>
            <w:r>
              <w:rPr>
                <w:rFonts w:ascii="宋体" w:hAnsi="宋体" w:cs="宋体"/>
                <w:snapToGrid w:val="0"/>
                <w:szCs w:val="21"/>
              </w:rPr>
              <w:t>;</w:t>
            </w:r>
          </w:p>
          <w:p w14:paraId="1525B72F">
            <w:pPr>
              <w:rPr>
                <w:rFonts w:ascii="宋体" w:hAnsi="宋体" w:cs="宋体"/>
                <w:snapToGrid w:val="0"/>
                <w:szCs w:val="21"/>
              </w:rPr>
            </w:pPr>
            <w:r>
              <w:rPr>
                <w:rFonts w:hint="eastAsia" w:ascii="宋体" w:hAnsi="宋体" w:cs="宋体"/>
                <w:snapToGrid w:val="0"/>
                <w:szCs w:val="21"/>
              </w:rPr>
              <w:t>评审为中</w:t>
            </w:r>
            <w:r>
              <w:rPr>
                <w:rFonts w:ascii="宋体" w:hAnsi="宋体" w:cs="宋体"/>
                <w:snapToGrid w:val="0"/>
                <w:szCs w:val="21"/>
              </w:rPr>
              <w:t>:</w:t>
            </w:r>
            <w:r>
              <w:rPr>
                <w:rFonts w:hint="eastAsia" w:ascii="宋体" w:hAnsi="宋体" w:cs="宋体"/>
                <w:snapToGrid w:val="0"/>
                <w:szCs w:val="21"/>
              </w:rPr>
              <w:t>实施方案内容部分响应、思路不够清晰，但与本项目贴合不够紧密的加</w:t>
            </w:r>
            <w:r>
              <w:rPr>
                <w:rFonts w:ascii="宋体" w:hAnsi="宋体" w:cs="宋体"/>
                <w:snapToGrid w:val="0"/>
                <w:szCs w:val="21"/>
              </w:rPr>
              <w:t>3</w:t>
            </w:r>
            <w:r>
              <w:rPr>
                <w:rFonts w:hint="eastAsia" w:ascii="宋体" w:hAnsi="宋体" w:cs="宋体"/>
                <w:snapToGrid w:val="0"/>
                <w:szCs w:val="21"/>
              </w:rPr>
              <w:t>分</w:t>
            </w:r>
            <w:r>
              <w:rPr>
                <w:rFonts w:ascii="宋体" w:hAnsi="宋体" w:cs="宋体"/>
                <w:snapToGrid w:val="0"/>
                <w:szCs w:val="21"/>
              </w:rPr>
              <w:t>;</w:t>
            </w:r>
          </w:p>
          <w:p w14:paraId="76FAED80">
            <w:pPr>
              <w:rPr>
                <w:rFonts w:ascii="宋体" w:hAnsi="宋体" w:cs="宋体"/>
                <w:snapToGrid w:val="0"/>
                <w:szCs w:val="21"/>
              </w:rPr>
            </w:pPr>
            <w:r>
              <w:rPr>
                <w:rFonts w:hint="eastAsia" w:ascii="宋体" w:hAnsi="宋体" w:cs="宋体"/>
                <w:snapToGrid w:val="0"/>
                <w:szCs w:val="21"/>
              </w:rPr>
              <w:t>评审为差：内容有缺失的得</w:t>
            </w:r>
            <w:r>
              <w:rPr>
                <w:rFonts w:ascii="宋体" w:hAnsi="宋体" w:cs="宋体"/>
                <w:snapToGrid w:val="0"/>
                <w:szCs w:val="21"/>
              </w:rPr>
              <w:t>0</w:t>
            </w:r>
            <w:r>
              <w:rPr>
                <w:rFonts w:hint="eastAsia" w:ascii="宋体" w:hAnsi="宋体" w:cs="宋体"/>
                <w:snapToGrid w:val="0"/>
                <w:szCs w:val="21"/>
              </w:rPr>
              <w:t>分。</w:t>
            </w:r>
          </w:p>
          <w:p w14:paraId="6759AA8B">
            <w:pPr>
              <w:rPr>
                <w:rFonts w:ascii="宋体" w:hAnsi="宋体" w:cs="宋体"/>
                <w:szCs w:val="21"/>
              </w:rPr>
            </w:pPr>
            <w:r>
              <w:rPr>
                <w:rFonts w:hint="eastAsia" w:ascii="宋体" w:hAnsi="宋体" w:cs="宋体"/>
                <w:snapToGrid w:val="0"/>
                <w:szCs w:val="21"/>
              </w:rPr>
              <w:t>如果评审为差，要求专家书面说明理由，并记录在档。</w:t>
            </w:r>
          </w:p>
        </w:tc>
      </w:tr>
      <w:tr w14:paraId="6B87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21AE1E95">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05D12271">
            <w:pPr>
              <w:jc w:val="center"/>
              <w:rPr>
                <w:rFonts w:ascii="宋体" w:hAnsi="宋体" w:cs="宋体"/>
                <w:szCs w:val="21"/>
              </w:rPr>
            </w:pPr>
            <w:r>
              <w:rPr>
                <w:rFonts w:hint="eastAsia" w:ascii="宋体" w:hAnsi="宋体"/>
                <w:szCs w:val="21"/>
              </w:rPr>
              <w:t>2</w:t>
            </w:r>
          </w:p>
        </w:tc>
        <w:tc>
          <w:tcPr>
            <w:tcW w:w="1232" w:type="dxa"/>
            <w:tcMar>
              <w:top w:w="0" w:type="dxa"/>
              <w:left w:w="28" w:type="dxa"/>
              <w:bottom w:w="0" w:type="dxa"/>
              <w:right w:w="28" w:type="dxa"/>
            </w:tcMar>
            <w:vAlign w:val="center"/>
          </w:tcPr>
          <w:p w14:paraId="04B89E8E">
            <w:pPr>
              <w:jc w:val="center"/>
              <w:rPr>
                <w:rFonts w:ascii="宋体" w:hAnsi="宋体" w:cs="宋体"/>
                <w:szCs w:val="21"/>
              </w:rPr>
            </w:pPr>
            <w:r>
              <w:rPr>
                <w:rFonts w:hint="eastAsia" w:ascii="宋体" w:hAnsi="宋体"/>
                <w:szCs w:val="21"/>
              </w:rPr>
              <w:t>项目重点难点分析、应对措施及相关的合理化建议</w:t>
            </w:r>
          </w:p>
        </w:tc>
        <w:tc>
          <w:tcPr>
            <w:tcW w:w="442" w:type="dxa"/>
            <w:tcMar>
              <w:top w:w="0" w:type="dxa"/>
              <w:left w:w="28" w:type="dxa"/>
              <w:bottom w:w="0" w:type="dxa"/>
              <w:right w:w="28" w:type="dxa"/>
            </w:tcMar>
            <w:vAlign w:val="center"/>
          </w:tcPr>
          <w:p w14:paraId="0771596C">
            <w:pPr>
              <w:jc w:val="center"/>
              <w:rPr>
                <w:rFonts w:ascii="宋体" w:hAnsi="宋体" w:cs="宋体"/>
                <w:szCs w:val="21"/>
              </w:rPr>
            </w:pPr>
            <w:r>
              <w:rPr>
                <w:rFonts w:hint="eastAsia" w:ascii="宋体" w:hAnsi="宋体"/>
                <w:szCs w:val="21"/>
              </w:rPr>
              <w:t>6</w:t>
            </w:r>
          </w:p>
        </w:tc>
        <w:tc>
          <w:tcPr>
            <w:tcW w:w="6851" w:type="dxa"/>
            <w:tcMar>
              <w:top w:w="0" w:type="dxa"/>
              <w:left w:w="28" w:type="dxa"/>
              <w:bottom w:w="0" w:type="dxa"/>
              <w:right w:w="28" w:type="dxa"/>
            </w:tcMar>
            <w:vAlign w:val="center"/>
          </w:tcPr>
          <w:p w14:paraId="2248E6E7">
            <w:pPr>
              <w:widowControl/>
              <w:jc w:val="left"/>
              <w:outlineLvl w:val="1"/>
              <w:rPr>
                <w:rFonts w:ascii="宋体" w:hAnsi="宋体" w:cs="宋体"/>
                <w:kern w:val="0"/>
                <w:szCs w:val="21"/>
              </w:rPr>
            </w:pPr>
            <w:r>
              <w:rPr>
                <w:rFonts w:hint="eastAsia" w:ascii="宋体" w:hAnsi="宋体" w:cs="宋体"/>
                <w:b/>
                <w:kern w:val="0"/>
                <w:szCs w:val="21"/>
              </w:rPr>
              <w:t>（一）评分内容：</w:t>
            </w:r>
          </w:p>
          <w:p w14:paraId="553DD583">
            <w:pPr>
              <w:widowControl/>
              <w:jc w:val="left"/>
              <w:rPr>
                <w:rFonts w:ascii="宋体" w:hAnsi="宋体" w:cs="宋体"/>
                <w:kern w:val="0"/>
                <w:szCs w:val="21"/>
              </w:rPr>
            </w:pPr>
            <w:r>
              <w:rPr>
                <w:rFonts w:hint="eastAsia" w:ascii="宋体" w:hAnsi="宋体" w:cs="宋体"/>
                <w:kern w:val="0"/>
                <w:szCs w:val="21"/>
              </w:rPr>
              <w:t>根据本项目招标文件的服务需求，制定符合本项目特点的项目重点难点分析、应对措施及相关的合理化建议，内容包括：</w:t>
            </w:r>
          </w:p>
          <w:p w14:paraId="3730C41B">
            <w:pPr>
              <w:widowControl/>
              <w:jc w:val="left"/>
              <w:outlineLvl w:val="1"/>
              <w:rPr>
                <w:rFonts w:ascii="宋体" w:hAnsi="宋体" w:cs="宋体"/>
                <w:kern w:val="0"/>
                <w:szCs w:val="21"/>
              </w:rPr>
            </w:pPr>
            <w:r>
              <w:rPr>
                <w:rFonts w:hint="eastAsia" w:ascii="宋体" w:hAnsi="宋体" w:cs="宋体"/>
                <w:kern w:val="0"/>
                <w:szCs w:val="21"/>
              </w:rPr>
              <w:t>1.根据本项目服务特点，提供保洁绿化、设施设备维护、安保服务、学生接送服务等的相关重点难点分析；</w:t>
            </w:r>
          </w:p>
          <w:p w14:paraId="30F6613E">
            <w:pPr>
              <w:widowControl/>
              <w:jc w:val="left"/>
              <w:outlineLvl w:val="1"/>
              <w:rPr>
                <w:rFonts w:ascii="宋体" w:hAnsi="宋体" w:cs="宋体"/>
                <w:kern w:val="0"/>
                <w:szCs w:val="21"/>
              </w:rPr>
            </w:pPr>
            <w:r>
              <w:rPr>
                <w:rFonts w:hint="eastAsia" w:ascii="宋体" w:hAnsi="宋体" w:cs="宋体"/>
                <w:kern w:val="0"/>
                <w:szCs w:val="21"/>
              </w:rPr>
              <w:t>2.针对保洁绿化、设施设备维护、安保服务、学生接送服务等的重难点分析提出应对措施；</w:t>
            </w:r>
          </w:p>
          <w:p w14:paraId="7BACB85D">
            <w:pPr>
              <w:widowControl/>
              <w:jc w:val="left"/>
              <w:outlineLvl w:val="1"/>
              <w:rPr>
                <w:rFonts w:ascii="宋体" w:hAnsi="宋体" w:cs="宋体"/>
                <w:kern w:val="0"/>
                <w:szCs w:val="21"/>
              </w:rPr>
            </w:pPr>
            <w:r>
              <w:rPr>
                <w:rFonts w:hint="eastAsia" w:ascii="宋体" w:hAnsi="宋体" w:cs="宋体"/>
                <w:kern w:val="0"/>
                <w:szCs w:val="21"/>
              </w:rPr>
              <w:t>3.结合上述内容提出相关服务建议。</w:t>
            </w:r>
          </w:p>
          <w:p w14:paraId="5B472CBF">
            <w:pPr>
              <w:widowControl/>
              <w:jc w:val="left"/>
              <w:outlineLvl w:val="1"/>
              <w:rPr>
                <w:rFonts w:ascii="宋体" w:hAnsi="宋体" w:cs="宋体"/>
                <w:b/>
                <w:kern w:val="0"/>
                <w:szCs w:val="21"/>
              </w:rPr>
            </w:pPr>
            <w:r>
              <w:rPr>
                <w:rFonts w:hint="eastAsia" w:ascii="宋体" w:hAnsi="宋体" w:cs="宋体"/>
                <w:b/>
                <w:kern w:val="0"/>
                <w:szCs w:val="21"/>
              </w:rPr>
              <w:t>（二）评分依据：</w:t>
            </w:r>
          </w:p>
          <w:p w14:paraId="479C8F32">
            <w:pPr>
              <w:widowControl/>
              <w:jc w:val="left"/>
              <w:rPr>
                <w:rFonts w:ascii="宋体" w:hAnsi="宋体" w:cs="宋体"/>
                <w:kern w:val="0"/>
                <w:szCs w:val="21"/>
              </w:rPr>
            </w:pPr>
            <w:r>
              <w:rPr>
                <w:rFonts w:hint="eastAsia" w:ascii="宋体" w:hAnsi="宋体" w:cs="宋体"/>
                <w:kern w:val="0"/>
                <w:szCs w:val="21"/>
              </w:rPr>
              <w:t>提供以上三项的得</w:t>
            </w:r>
            <w:r>
              <w:rPr>
                <w:rFonts w:ascii="宋体" w:hAnsi="宋体" w:cs="宋体"/>
                <w:kern w:val="0"/>
                <w:szCs w:val="21"/>
              </w:rPr>
              <w:t>9</w:t>
            </w:r>
            <w:r>
              <w:rPr>
                <w:rFonts w:hint="eastAsia" w:ascii="宋体" w:hAnsi="宋体" w:cs="宋体"/>
                <w:kern w:val="0"/>
                <w:szCs w:val="21"/>
              </w:rPr>
              <w:t>0分，提供任意两项的得60分，提供任意1项的得30分，未提供不得分。</w:t>
            </w:r>
          </w:p>
          <w:p w14:paraId="7B048502">
            <w:pPr>
              <w:rPr>
                <w:rFonts w:ascii="宋体" w:hAnsi="宋体" w:cs="宋体"/>
                <w:kern w:val="0"/>
                <w:szCs w:val="21"/>
              </w:rPr>
            </w:pPr>
            <w:r>
              <w:rPr>
                <w:rFonts w:hint="eastAsia" w:ascii="宋体" w:hAnsi="宋体" w:cs="宋体"/>
                <w:kern w:val="0"/>
                <w:szCs w:val="21"/>
              </w:rPr>
              <w:t>在此基础上，专家根据各供应商的具体响应内容按照量化的评审因素进一步评审：</w:t>
            </w:r>
          </w:p>
          <w:p w14:paraId="294A0F58">
            <w:pPr>
              <w:rPr>
                <w:rFonts w:ascii="宋体" w:hAnsi="宋体" w:cs="宋体"/>
                <w:snapToGrid w:val="0"/>
                <w:szCs w:val="21"/>
              </w:rPr>
            </w:pPr>
            <w:r>
              <w:rPr>
                <w:rFonts w:hint="eastAsia" w:ascii="宋体" w:hAnsi="宋体" w:cs="宋体"/>
                <w:snapToGrid w:val="0"/>
                <w:szCs w:val="21"/>
              </w:rPr>
              <w:t>评审为优</w:t>
            </w:r>
            <w:r>
              <w:rPr>
                <w:rFonts w:ascii="宋体" w:hAnsi="宋体" w:cs="宋体"/>
                <w:snapToGrid w:val="0"/>
                <w:szCs w:val="21"/>
              </w:rPr>
              <w:t>:</w:t>
            </w:r>
            <w:r>
              <w:rPr>
                <w:rFonts w:hint="eastAsia" w:ascii="宋体" w:hAnsi="宋体" w:cs="宋体"/>
                <w:snapToGrid w:val="0"/>
                <w:szCs w:val="21"/>
              </w:rPr>
              <w:t>实施方案内容完整、思路清晰，紧密贴合实际的加</w:t>
            </w:r>
            <w:r>
              <w:rPr>
                <w:rFonts w:ascii="宋体" w:hAnsi="宋体" w:cs="宋体"/>
                <w:snapToGrid w:val="0"/>
                <w:szCs w:val="21"/>
              </w:rPr>
              <w:t>10</w:t>
            </w:r>
            <w:r>
              <w:rPr>
                <w:rFonts w:hint="eastAsia" w:ascii="宋体" w:hAnsi="宋体" w:cs="宋体"/>
                <w:snapToGrid w:val="0"/>
                <w:szCs w:val="21"/>
              </w:rPr>
              <w:t>分</w:t>
            </w:r>
            <w:r>
              <w:rPr>
                <w:rFonts w:ascii="宋体" w:hAnsi="宋体" w:cs="宋体"/>
                <w:snapToGrid w:val="0"/>
                <w:szCs w:val="21"/>
              </w:rPr>
              <w:t>;</w:t>
            </w:r>
          </w:p>
          <w:p w14:paraId="2C3E73B1">
            <w:pPr>
              <w:rPr>
                <w:rFonts w:ascii="宋体" w:hAnsi="宋体" w:cs="宋体"/>
                <w:snapToGrid w:val="0"/>
                <w:szCs w:val="21"/>
              </w:rPr>
            </w:pPr>
            <w:r>
              <w:rPr>
                <w:rFonts w:hint="eastAsia" w:ascii="宋体" w:hAnsi="宋体" w:cs="宋体"/>
                <w:snapToGrid w:val="0"/>
                <w:szCs w:val="21"/>
              </w:rPr>
              <w:t>评审为良</w:t>
            </w:r>
            <w:r>
              <w:rPr>
                <w:rFonts w:ascii="宋体" w:hAnsi="宋体" w:cs="宋体"/>
                <w:snapToGrid w:val="0"/>
                <w:szCs w:val="21"/>
              </w:rPr>
              <w:t>:</w:t>
            </w:r>
            <w:r>
              <w:rPr>
                <w:rFonts w:hint="eastAsia" w:ascii="宋体" w:hAnsi="宋体" w:cs="宋体"/>
                <w:snapToGrid w:val="0"/>
                <w:szCs w:val="21"/>
              </w:rPr>
              <w:t>实施方案内容基本响应、思路较清晰，贴合实际的加</w:t>
            </w:r>
            <w:r>
              <w:rPr>
                <w:rFonts w:ascii="宋体" w:hAnsi="宋体" w:cs="宋体"/>
                <w:snapToGrid w:val="0"/>
                <w:szCs w:val="21"/>
              </w:rPr>
              <w:t>6</w:t>
            </w:r>
            <w:r>
              <w:rPr>
                <w:rFonts w:hint="eastAsia" w:ascii="宋体" w:hAnsi="宋体" w:cs="宋体"/>
                <w:snapToGrid w:val="0"/>
                <w:szCs w:val="21"/>
              </w:rPr>
              <w:t>分</w:t>
            </w:r>
            <w:r>
              <w:rPr>
                <w:rFonts w:ascii="宋体" w:hAnsi="宋体" w:cs="宋体"/>
                <w:snapToGrid w:val="0"/>
                <w:szCs w:val="21"/>
              </w:rPr>
              <w:t>;</w:t>
            </w:r>
          </w:p>
          <w:p w14:paraId="0C2B6A57">
            <w:pPr>
              <w:rPr>
                <w:rFonts w:ascii="宋体" w:hAnsi="宋体" w:cs="宋体"/>
                <w:snapToGrid w:val="0"/>
                <w:szCs w:val="21"/>
              </w:rPr>
            </w:pPr>
            <w:r>
              <w:rPr>
                <w:rFonts w:hint="eastAsia" w:ascii="宋体" w:hAnsi="宋体" w:cs="宋体"/>
                <w:snapToGrid w:val="0"/>
                <w:szCs w:val="21"/>
              </w:rPr>
              <w:t>评审为中</w:t>
            </w:r>
            <w:r>
              <w:rPr>
                <w:rFonts w:ascii="宋体" w:hAnsi="宋体" w:cs="宋体"/>
                <w:snapToGrid w:val="0"/>
                <w:szCs w:val="21"/>
              </w:rPr>
              <w:t>:</w:t>
            </w:r>
            <w:r>
              <w:rPr>
                <w:rFonts w:hint="eastAsia" w:ascii="宋体" w:hAnsi="宋体" w:cs="宋体"/>
                <w:snapToGrid w:val="0"/>
                <w:szCs w:val="21"/>
              </w:rPr>
              <w:t>实施方案内容部分响应、思路不够清晰，但与本项目贴合不够紧密的加</w:t>
            </w:r>
            <w:r>
              <w:rPr>
                <w:rFonts w:ascii="宋体" w:hAnsi="宋体" w:cs="宋体"/>
                <w:snapToGrid w:val="0"/>
                <w:szCs w:val="21"/>
              </w:rPr>
              <w:t>3</w:t>
            </w:r>
            <w:r>
              <w:rPr>
                <w:rFonts w:hint="eastAsia" w:ascii="宋体" w:hAnsi="宋体" w:cs="宋体"/>
                <w:snapToGrid w:val="0"/>
                <w:szCs w:val="21"/>
              </w:rPr>
              <w:t>分</w:t>
            </w:r>
            <w:r>
              <w:rPr>
                <w:rFonts w:ascii="宋体" w:hAnsi="宋体" w:cs="宋体"/>
                <w:snapToGrid w:val="0"/>
                <w:szCs w:val="21"/>
              </w:rPr>
              <w:t>;</w:t>
            </w:r>
          </w:p>
          <w:p w14:paraId="0098007C">
            <w:pPr>
              <w:rPr>
                <w:rFonts w:ascii="宋体" w:hAnsi="宋体" w:cs="宋体"/>
                <w:snapToGrid w:val="0"/>
                <w:szCs w:val="21"/>
              </w:rPr>
            </w:pPr>
            <w:r>
              <w:rPr>
                <w:rFonts w:hint="eastAsia" w:ascii="宋体" w:hAnsi="宋体" w:cs="宋体"/>
                <w:snapToGrid w:val="0"/>
                <w:szCs w:val="21"/>
              </w:rPr>
              <w:t>评审为差：内容有缺失的得</w:t>
            </w:r>
            <w:r>
              <w:rPr>
                <w:rFonts w:ascii="宋体" w:hAnsi="宋体" w:cs="宋体"/>
                <w:snapToGrid w:val="0"/>
                <w:szCs w:val="21"/>
              </w:rPr>
              <w:t>0</w:t>
            </w:r>
            <w:r>
              <w:rPr>
                <w:rFonts w:hint="eastAsia" w:ascii="宋体" w:hAnsi="宋体" w:cs="宋体"/>
                <w:snapToGrid w:val="0"/>
                <w:szCs w:val="21"/>
              </w:rPr>
              <w:t>分。</w:t>
            </w:r>
          </w:p>
          <w:p w14:paraId="08BF77EE">
            <w:pPr>
              <w:rPr>
                <w:rFonts w:ascii="宋体" w:hAnsi="宋体" w:cs="宋体"/>
                <w:b/>
                <w:kern w:val="0"/>
                <w:szCs w:val="21"/>
              </w:rPr>
            </w:pPr>
            <w:r>
              <w:rPr>
                <w:rFonts w:hint="eastAsia" w:ascii="宋体" w:hAnsi="宋体" w:cs="宋体"/>
                <w:snapToGrid w:val="0"/>
                <w:szCs w:val="21"/>
              </w:rPr>
              <w:t>如果评审为差，要求专家书面说明理由，并记录在档。</w:t>
            </w:r>
          </w:p>
        </w:tc>
      </w:tr>
      <w:tr w14:paraId="7B8C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3B953FFD">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3795D49F">
            <w:pPr>
              <w:jc w:val="center"/>
              <w:rPr>
                <w:rFonts w:ascii="宋体" w:hAnsi="宋体" w:cs="宋体"/>
                <w:szCs w:val="21"/>
              </w:rPr>
            </w:pPr>
            <w:r>
              <w:rPr>
                <w:rFonts w:hint="eastAsia" w:ascii="宋体" w:hAnsi="宋体"/>
                <w:szCs w:val="21"/>
              </w:rPr>
              <w:t>3</w:t>
            </w:r>
          </w:p>
        </w:tc>
        <w:tc>
          <w:tcPr>
            <w:tcW w:w="1232" w:type="dxa"/>
            <w:tcMar>
              <w:top w:w="0" w:type="dxa"/>
              <w:left w:w="28" w:type="dxa"/>
              <w:bottom w:w="0" w:type="dxa"/>
              <w:right w:w="28" w:type="dxa"/>
            </w:tcMar>
            <w:vAlign w:val="center"/>
          </w:tcPr>
          <w:p w14:paraId="05EF16C9">
            <w:pPr>
              <w:jc w:val="center"/>
              <w:rPr>
                <w:rFonts w:ascii="宋体" w:hAnsi="宋体" w:cs="宋体"/>
                <w:szCs w:val="21"/>
              </w:rPr>
            </w:pPr>
            <w:r>
              <w:rPr>
                <w:rFonts w:hint="eastAsia" w:ascii="宋体" w:hAnsi="宋体"/>
                <w:szCs w:val="21"/>
              </w:rPr>
              <w:t>质量（完成时间、安全、环保）保障措施及应急方案</w:t>
            </w:r>
          </w:p>
        </w:tc>
        <w:tc>
          <w:tcPr>
            <w:tcW w:w="442" w:type="dxa"/>
            <w:tcMar>
              <w:top w:w="0" w:type="dxa"/>
              <w:left w:w="28" w:type="dxa"/>
              <w:bottom w:w="0" w:type="dxa"/>
              <w:right w:w="28" w:type="dxa"/>
            </w:tcMar>
            <w:vAlign w:val="center"/>
          </w:tcPr>
          <w:p w14:paraId="7511D093">
            <w:pPr>
              <w:jc w:val="center"/>
              <w:rPr>
                <w:rFonts w:ascii="宋体" w:hAnsi="宋体" w:cs="宋体"/>
                <w:szCs w:val="21"/>
              </w:rPr>
            </w:pPr>
            <w:r>
              <w:rPr>
                <w:rFonts w:hint="eastAsia" w:ascii="宋体" w:hAnsi="宋体"/>
                <w:szCs w:val="21"/>
              </w:rPr>
              <w:t>6</w:t>
            </w:r>
          </w:p>
        </w:tc>
        <w:tc>
          <w:tcPr>
            <w:tcW w:w="6851" w:type="dxa"/>
            <w:tcMar>
              <w:top w:w="0" w:type="dxa"/>
              <w:left w:w="28" w:type="dxa"/>
              <w:bottom w:w="0" w:type="dxa"/>
              <w:right w:w="28" w:type="dxa"/>
            </w:tcMar>
            <w:vAlign w:val="center"/>
          </w:tcPr>
          <w:p w14:paraId="4EF56FEE">
            <w:pPr>
              <w:widowControl/>
              <w:jc w:val="left"/>
              <w:outlineLvl w:val="1"/>
              <w:rPr>
                <w:rFonts w:ascii="宋体" w:hAnsi="宋体" w:cs="宋体"/>
                <w:kern w:val="0"/>
                <w:szCs w:val="21"/>
              </w:rPr>
            </w:pPr>
            <w:r>
              <w:rPr>
                <w:rFonts w:hint="eastAsia" w:ascii="宋体" w:hAnsi="宋体" w:cs="宋体"/>
                <w:b/>
                <w:kern w:val="0"/>
                <w:szCs w:val="21"/>
              </w:rPr>
              <w:t>（一）评分内容：</w:t>
            </w:r>
          </w:p>
          <w:p w14:paraId="4B38024A">
            <w:pPr>
              <w:widowControl/>
              <w:jc w:val="left"/>
              <w:rPr>
                <w:rFonts w:ascii="宋体" w:hAnsi="宋体" w:cs="宋体"/>
                <w:kern w:val="0"/>
                <w:szCs w:val="21"/>
              </w:rPr>
            </w:pPr>
            <w:r>
              <w:rPr>
                <w:rFonts w:hint="eastAsia" w:ascii="宋体" w:hAnsi="宋体" w:cs="宋体"/>
                <w:kern w:val="0"/>
                <w:szCs w:val="21"/>
              </w:rPr>
              <w:t>根据本项目招标文件的服务需求，制定符合本项目特点的质量（完成时间、安全、环保）保障措施及应急预案，内容包括：</w:t>
            </w:r>
          </w:p>
          <w:p w14:paraId="62812690">
            <w:pPr>
              <w:widowControl/>
              <w:jc w:val="left"/>
              <w:rPr>
                <w:rFonts w:ascii="宋体" w:hAnsi="宋体" w:cs="宋体"/>
                <w:kern w:val="0"/>
                <w:szCs w:val="21"/>
              </w:rPr>
            </w:pPr>
            <w:r>
              <w:rPr>
                <w:rFonts w:hint="eastAsia" w:ascii="宋体" w:hAnsi="宋体" w:cs="宋体"/>
                <w:kern w:val="0"/>
                <w:szCs w:val="21"/>
              </w:rPr>
              <w:t>1.质量保障措施；</w:t>
            </w:r>
          </w:p>
          <w:p w14:paraId="3CB5E5A8">
            <w:pPr>
              <w:widowControl/>
              <w:jc w:val="left"/>
              <w:rPr>
                <w:rFonts w:ascii="宋体" w:hAnsi="宋体" w:cs="宋体"/>
                <w:kern w:val="0"/>
                <w:szCs w:val="21"/>
              </w:rPr>
            </w:pPr>
            <w:r>
              <w:rPr>
                <w:rFonts w:hint="eastAsia" w:ascii="宋体" w:hAnsi="宋体" w:cs="宋体"/>
                <w:kern w:val="0"/>
                <w:szCs w:val="21"/>
              </w:rPr>
              <w:t>2.档案及制度建立；</w:t>
            </w:r>
          </w:p>
          <w:p w14:paraId="57ED55B6">
            <w:pPr>
              <w:widowControl/>
              <w:jc w:val="left"/>
              <w:rPr>
                <w:rFonts w:ascii="宋体" w:hAnsi="宋体" w:cs="宋体"/>
                <w:kern w:val="0"/>
                <w:szCs w:val="21"/>
              </w:rPr>
            </w:pPr>
            <w:r>
              <w:rPr>
                <w:rFonts w:hint="eastAsia" w:ascii="宋体" w:hAnsi="宋体" w:cs="宋体"/>
                <w:kern w:val="0"/>
                <w:szCs w:val="21"/>
              </w:rPr>
              <w:t>3.应急预案，应包括</w:t>
            </w:r>
            <w:r>
              <w:rPr>
                <w:rFonts w:hint="eastAsia" w:ascii="宋体" w:hAnsi="宋体"/>
                <w:szCs w:val="21"/>
              </w:rPr>
              <w:t>反恐防暴事件、灾害性天气、消防、停电事故、电梯困人、卫生间污水外溢、打架斗殴等7项</w:t>
            </w:r>
            <w:r>
              <w:rPr>
                <w:rFonts w:hint="eastAsia" w:ascii="宋体" w:hAnsi="宋体" w:cs="宋体"/>
                <w:kern w:val="0"/>
                <w:szCs w:val="21"/>
              </w:rPr>
              <w:t>。</w:t>
            </w:r>
          </w:p>
          <w:p w14:paraId="1F16DAC5">
            <w:pPr>
              <w:widowControl/>
              <w:jc w:val="left"/>
              <w:outlineLvl w:val="1"/>
              <w:rPr>
                <w:rFonts w:ascii="宋体" w:hAnsi="宋体" w:cs="宋体"/>
                <w:b/>
                <w:kern w:val="0"/>
                <w:szCs w:val="21"/>
              </w:rPr>
            </w:pPr>
            <w:r>
              <w:rPr>
                <w:rFonts w:hint="eastAsia" w:ascii="宋体" w:hAnsi="宋体" w:cs="宋体"/>
                <w:b/>
                <w:kern w:val="0"/>
                <w:szCs w:val="21"/>
              </w:rPr>
              <w:t>（二）评分依据：</w:t>
            </w:r>
          </w:p>
          <w:p w14:paraId="17B95B8A">
            <w:pPr>
              <w:jc w:val="left"/>
              <w:rPr>
                <w:rFonts w:ascii="宋体" w:hAnsi="宋体"/>
                <w:szCs w:val="21"/>
              </w:rPr>
            </w:pPr>
            <w:r>
              <w:rPr>
                <w:rFonts w:hint="eastAsia" w:ascii="宋体" w:hAnsi="宋体"/>
                <w:szCs w:val="21"/>
              </w:rPr>
              <w:t>提供以上三项的得</w:t>
            </w:r>
            <w:r>
              <w:rPr>
                <w:rFonts w:ascii="宋体" w:hAnsi="宋体"/>
                <w:szCs w:val="21"/>
              </w:rPr>
              <w:t>9</w:t>
            </w:r>
            <w:r>
              <w:rPr>
                <w:rFonts w:hint="eastAsia" w:ascii="宋体" w:hAnsi="宋体"/>
                <w:szCs w:val="21"/>
              </w:rPr>
              <w:t>0分，提供任意两项的得60分，提供任意1项的得30分，未提供不得分。</w:t>
            </w:r>
          </w:p>
          <w:p w14:paraId="6F9D7246">
            <w:pPr>
              <w:rPr>
                <w:rFonts w:ascii="宋体" w:hAnsi="宋体" w:cs="宋体"/>
                <w:kern w:val="0"/>
                <w:szCs w:val="21"/>
              </w:rPr>
            </w:pPr>
            <w:r>
              <w:rPr>
                <w:rFonts w:hint="eastAsia" w:ascii="宋体" w:hAnsi="宋体" w:cs="宋体"/>
                <w:kern w:val="0"/>
                <w:szCs w:val="21"/>
              </w:rPr>
              <w:t>在此基础上，专家根据各供应商的具体响应内容按照量化的评审因素进一步评审：</w:t>
            </w:r>
          </w:p>
          <w:p w14:paraId="703D31A2">
            <w:pPr>
              <w:rPr>
                <w:rFonts w:ascii="宋体" w:hAnsi="宋体" w:cs="宋体"/>
                <w:snapToGrid w:val="0"/>
                <w:szCs w:val="21"/>
              </w:rPr>
            </w:pPr>
            <w:r>
              <w:rPr>
                <w:rFonts w:hint="eastAsia" w:ascii="宋体" w:hAnsi="宋体" w:cs="宋体"/>
                <w:snapToGrid w:val="0"/>
                <w:szCs w:val="21"/>
              </w:rPr>
              <w:t>评审为优</w:t>
            </w:r>
            <w:r>
              <w:rPr>
                <w:rFonts w:ascii="宋体" w:hAnsi="宋体" w:cs="宋体"/>
                <w:snapToGrid w:val="0"/>
                <w:szCs w:val="21"/>
              </w:rPr>
              <w:t>:</w:t>
            </w:r>
            <w:r>
              <w:rPr>
                <w:rFonts w:hint="eastAsia" w:ascii="宋体" w:hAnsi="宋体" w:cs="宋体"/>
                <w:snapToGrid w:val="0"/>
                <w:szCs w:val="21"/>
              </w:rPr>
              <w:t>实施方案内容完整、思路清晰，紧密贴合实际的加</w:t>
            </w:r>
            <w:r>
              <w:rPr>
                <w:rFonts w:ascii="宋体" w:hAnsi="宋体" w:cs="宋体"/>
                <w:snapToGrid w:val="0"/>
                <w:szCs w:val="21"/>
              </w:rPr>
              <w:t>10</w:t>
            </w:r>
            <w:r>
              <w:rPr>
                <w:rFonts w:hint="eastAsia" w:ascii="宋体" w:hAnsi="宋体" w:cs="宋体"/>
                <w:snapToGrid w:val="0"/>
                <w:szCs w:val="21"/>
              </w:rPr>
              <w:t>分</w:t>
            </w:r>
            <w:r>
              <w:rPr>
                <w:rFonts w:ascii="宋体" w:hAnsi="宋体" w:cs="宋体"/>
                <w:snapToGrid w:val="0"/>
                <w:szCs w:val="21"/>
              </w:rPr>
              <w:t>;</w:t>
            </w:r>
          </w:p>
          <w:p w14:paraId="506D373C">
            <w:pPr>
              <w:rPr>
                <w:rFonts w:ascii="宋体" w:hAnsi="宋体" w:cs="宋体"/>
                <w:snapToGrid w:val="0"/>
                <w:szCs w:val="21"/>
              </w:rPr>
            </w:pPr>
            <w:r>
              <w:rPr>
                <w:rFonts w:hint="eastAsia" w:ascii="宋体" w:hAnsi="宋体" w:cs="宋体"/>
                <w:snapToGrid w:val="0"/>
                <w:szCs w:val="21"/>
              </w:rPr>
              <w:t>评审为良</w:t>
            </w:r>
            <w:r>
              <w:rPr>
                <w:rFonts w:ascii="宋体" w:hAnsi="宋体" w:cs="宋体"/>
                <w:snapToGrid w:val="0"/>
                <w:szCs w:val="21"/>
              </w:rPr>
              <w:t>:</w:t>
            </w:r>
            <w:r>
              <w:rPr>
                <w:rFonts w:hint="eastAsia" w:ascii="宋体" w:hAnsi="宋体" w:cs="宋体"/>
                <w:snapToGrid w:val="0"/>
                <w:szCs w:val="21"/>
              </w:rPr>
              <w:t>实施方案内容基本响应、思路较清晰，贴合实际的加</w:t>
            </w:r>
            <w:r>
              <w:rPr>
                <w:rFonts w:ascii="宋体" w:hAnsi="宋体" w:cs="宋体"/>
                <w:snapToGrid w:val="0"/>
                <w:szCs w:val="21"/>
              </w:rPr>
              <w:t>6</w:t>
            </w:r>
            <w:r>
              <w:rPr>
                <w:rFonts w:hint="eastAsia" w:ascii="宋体" w:hAnsi="宋体" w:cs="宋体"/>
                <w:snapToGrid w:val="0"/>
                <w:szCs w:val="21"/>
              </w:rPr>
              <w:t>分</w:t>
            </w:r>
            <w:r>
              <w:rPr>
                <w:rFonts w:ascii="宋体" w:hAnsi="宋体" w:cs="宋体"/>
                <w:snapToGrid w:val="0"/>
                <w:szCs w:val="21"/>
              </w:rPr>
              <w:t>;</w:t>
            </w:r>
          </w:p>
          <w:p w14:paraId="24D43990">
            <w:pPr>
              <w:rPr>
                <w:rFonts w:ascii="宋体" w:hAnsi="宋体" w:cs="宋体"/>
                <w:snapToGrid w:val="0"/>
                <w:szCs w:val="21"/>
              </w:rPr>
            </w:pPr>
            <w:r>
              <w:rPr>
                <w:rFonts w:hint="eastAsia" w:ascii="宋体" w:hAnsi="宋体" w:cs="宋体"/>
                <w:snapToGrid w:val="0"/>
                <w:szCs w:val="21"/>
              </w:rPr>
              <w:t>评审为中</w:t>
            </w:r>
            <w:r>
              <w:rPr>
                <w:rFonts w:ascii="宋体" w:hAnsi="宋体" w:cs="宋体"/>
                <w:snapToGrid w:val="0"/>
                <w:szCs w:val="21"/>
              </w:rPr>
              <w:t>:</w:t>
            </w:r>
            <w:r>
              <w:rPr>
                <w:rFonts w:hint="eastAsia" w:ascii="宋体" w:hAnsi="宋体" w:cs="宋体"/>
                <w:snapToGrid w:val="0"/>
                <w:szCs w:val="21"/>
              </w:rPr>
              <w:t>实施方案内容部分响应、思路不够清晰，但与本项目贴合不够紧密的加</w:t>
            </w:r>
            <w:r>
              <w:rPr>
                <w:rFonts w:ascii="宋体" w:hAnsi="宋体" w:cs="宋体"/>
                <w:snapToGrid w:val="0"/>
                <w:szCs w:val="21"/>
              </w:rPr>
              <w:t>3</w:t>
            </w:r>
            <w:r>
              <w:rPr>
                <w:rFonts w:hint="eastAsia" w:ascii="宋体" w:hAnsi="宋体" w:cs="宋体"/>
                <w:snapToGrid w:val="0"/>
                <w:szCs w:val="21"/>
              </w:rPr>
              <w:t>分</w:t>
            </w:r>
            <w:r>
              <w:rPr>
                <w:rFonts w:ascii="宋体" w:hAnsi="宋体" w:cs="宋体"/>
                <w:snapToGrid w:val="0"/>
                <w:szCs w:val="21"/>
              </w:rPr>
              <w:t>;</w:t>
            </w:r>
          </w:p>
          <w:p w14:paraId="1503CB30">
            <w:pPr>
              <w:rPr>
                <w:rFonts w:ascii="宋体" w:hAnsi="宋体" w:cs="宋体"/>
                <w:snapToGrid w:val="0"/>
                <w:szCs w:val="21"/>
              </w:rPr>
            </w:pPr>
            <w:r>
              <w:rPr>
                <w:rFonts w:hint="eastAsia" w:ascii="宋体" w:hAnsi="宋体" w:cs="宋体"/>
                <w:snapToGrid w:val="0"/>
                <w:szCs w:val="21"/>
              </w:rPr>
              <w:t>评审为差：内容有缺失的得</w:t>
            </w:r>
            <w:r>
              <w:rPr>
                <w:rFonts w:ascii="宋体" w:hAnsi="宋体" w:cs="宋体"/>
                <w:snapToGrid w:val="0"/>
                <w:szCs w:val="21"/>
              </w:rPr>
              <w:t>0</w:t>
            </w:r>
            <w:r>
              <w:rPr>
                <w:rFonts w:hint="eastAsia" w:ascii="宋体" w:hAnsi="宋体" w:cs="宋体"/>
                <w:snapToGrid w:val="0"/>
                <w:szCs w:val="21"/>
              </w:rPr>
              <w:t>分。</w:t>
            </w:r>
          </w:p>
          <w:p w14:paraId="5A00757A">
            <w:pPr>
              <w:rPr>
                <w:rFonts w:ascii="宋体" w:hAnsi="宋体" w:cs="宋体"/>
                <w:b/>
                <w:kern w:val="0"/>
                <w:szCs w:val="21"/>
              </w:rPr>
            </w:pPr>
            <w:r>
              <w:rPr>
                <w:rFonts w:hint="eastAsia" w:ascii="宋体" w:hAnsi="宋体" w:cs="宋体"/>
                <w:snapToGrid w:val="0"/>
                <w:szCs w:val="21"/>
              </w:rPr>
              <w:t>如果评审为差，要求专家书面说明理由，并记录在档。</w:t>
            </w:r>
          </w:p>
        </w:tc>
      </w:tr>
      <w:tr w14:paraId="00B02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5F848E5B">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50C12801">
            <w:pPr>
              <w:jc w:val="center"/>
              <w:rPr>
                <w:rFonts w:ascii="宋体" w:hAnsi="宋体" w:cs="宋体"/>
                <w:szCs w:val="21"/>
              </w:rPr>
            </w:pPr>
            <w:r>
              <w:rPr>
                <w:rFonts w:hint="eastAsia" w:ascii="宋体" w:hAnsi="宋体"/>
                <w:szCs w:val="21"/>
              </w:rPr>
              <w:t>4</w:t>
            </w:r>
          </w:p>
        </w:tc>
        <w:tc>
          <w:tcPr>
            <w:tcW w:w="1232" w:type="dxa"/>
            <w:tcMar>
              <w:top w:w="0" w:type="dxa"/>
              <w:left w:w="28" w:type="dxa"/>
              <w:bottom w:w="0" w:type="dxa"/>
              <w:right w:w="28" w:type="dxa"/>
            </w:tcMar>
            <w:vAlign w:val="center"/>
          </w:tcPr>
          <w:p w14:paraId="1D05D50F">
            <w:pPr>
              <w:jc w:val="center"/>
              <w:rPr>
                <w:rFonts w:ascii="宋体" w:hAnsi="宋体" w:cs="宋体"/>
                <w:szCs w:val="21"/>
              </w:rPr>
            </w:pPr>
            <w:r>
              <w:rPr>
                <w:rFonts w:hint="eastAsia" w:ascii="宋体" w:hAnsi="宋体"/>
                <w:szCs w:val="21"/>
              </w:rPr>
              <w:t>项目完成（服务期满）后的服务承诺</w:t>
            </w:r>
          </w:p>
        </w:tc>
        <w:tc>
          <w:tcPr>
            <w:tcW w:w="442" w:type="dxa"/>
            <w:tcMar>
              <w:top w:w="0" w:type="dxa"/>
              <w:left w:w="28" w:type="dxa"/>
              <w:bottom w:w="0" w:type="dxa"/>
              <w:right w:w="28" w:type="dxa"/>
            </w:tcMar>
            <w:vAlign w:val="center"/>
          </w:tcPr>
          <w:p w14:paraId="5564F73A">
            <w:pPr>
              <w:jc w:val="center"/>
              <w:rPr>
                <w:rFonts w:ascii="宋体" w:hAnsi="宋体" w:cs="宋体"/>
                <w:szCs w:val="21"/>
              </w:rPr>
            </w:pPr>
            <w:r>
              <w:rPr>
                <w:rFonts w:hint="eastAsia" w:ascii="宋体" w:hAnsi="宋体"/>
                <w:szCs w:val="21"/>
              </w:rPr>
              <w:t>5</w:t>
            </w:r>
          </w:p>
        </w:tc>
        <w:tc>
          <w:tcPr>
            <w:tcW w:w="6851" w:type="dxa"/>
            <w:tcMar>
              <w:top w:w="0" w:type="dxa"/>
              <w:left w:w="28" w:type="dxa"/>
              <w:bottom w:w="0" w:type="dxa"/>
              <w:right w:w="28" w:type="dxa"/>
            </w:tcMar>
          </w:tcPr>
          <w:p w14:paraId="4D24636A">
            <w:pPr>
              <w:widowControl/>
              <w:jc w:val="left"/>
              <w:outlineLvl w:val="1"/>
              <w:rPr>
                <w:rFonts w:ascii="宋体" w:hAnsi="宋体" w:cs="宋体"/>
                <w:b/>
                <w:kern w:val="0"/>
                <w:szCs w:val="21"/>
              </w:rPr>
            </w:pPr>
            <w:r>
              <w:rPr>
                <w:rFonts w:hint="eastAsia" w:ascii="宋体" w:hAnsi="宋体" w:cs="宋体"/>
                <w:b/>
                <w:kern w:val="0"/>
                <w:szCs w:val="21"/>
              </w:rPr>
              <w:t>（一）评分内容：</w:t>
            </w:r>
          </w:p>
          <w:p w14:paraId="081ADAFC">
            <w:pPr>
              <w:widowControl/>
              <w:jc w:val="left"/>
              <w:rPr>
                <w:rFonts w:ascii="宋体" w:hAnsi="宋体"/>
                <w:szCs w:val="21"/>
              </w:rPr>
            </w:pPr>
            <w:r>
              <w:rPr>
                <w:rFonts w:hint="eastAsia" w:ascii="宋体" w:hAnsi="宋体"/>
                <w:szCs w:val="21"/>
              </w:rPr>
              <w:t>投标人承诺以下全部三项的得100分，否则不得分。</w:t>
            </w:r>
          </w:p>
          <w:p w14:paraId="1FE9BF81">
            <w:pPr>
              <w:widowControl/>
              <w:jc w:val="left"/>
              <w:rPr>
                <w:rFonts w:ascii="宋体" w:hAnsi="宋体"/>
                <w:szCs w:val="21"/>
              </w:rPr>
            </w:pPr>
            <w:r>
              <w:rPr>
                <w:rFonts w:hint="eastAsia" w:ascii="宋体" w:hAnsi="宋体"/>
                <w:szCs w:val="21"/>
              </w:rPr>
              <w:t xml:space="preserve">（1）服务期满后主动离岗； </w:t>
            </w:r>
          </w:p>
          <w:p w14:paraId="0987D086">
            <w:pPr>
              <w:widowControl/>
              <w:jc w:val="left"/>
              <w:rPr>
                <w:rFonts w:ascii="宋体" w:hAnsi="宋体"/>
                <w:szCs w:val="21"/>
              </w:rPr>
            </w:pPr>
            <w:r>
              <w:rPr>
                <w:rFonts w:hint="eastAsia" w:ascii="宋体" w:hAnsi="宋体"/>
                <w:szCs w:val="21"/>
              </w:rPr>
              <w:t xml:space="preserve">（2）与后续服务公司进行交接； </w:t>
            </w:r>
          </w:p>
          <w:p w14:paraId="14F40E22">
            <w:pPr>
              <w:jc w:val="left"/>
              <w:rPr>
                <w:rFonts w:ascii="宋体" w:hAnsi="宋体"/>
                <w:szCs w:val="21"/>
              </w:rPr>
            </w:pPr>
            <w:r>
              <w:rPr>
                <w:rFonts w:hint="eastAsia" w:ascii="宋体" w:hAnsi="宋体"/>
                <w:szCs w:val="21"/>
              </w:rPr>
              <w:t>（3）服务期满，后续服务公司未到位前仍按原合同服务承诺提供服务。</w:t>
            </w:r>
          </w:p>
          <w:p w14:paraId="610BEA48">
            <w:pPr>
              <w:widowControl/>
              <w:jc w:val="left"/>
              <w:outlineLvl w:val="1"/>
              <w:rPr>
                <w:rFonts w:ascii="宋体" w:hAnsi="宋体" w:cs="宋体"/>
                <w:b/>
                <w:kern w:val="0"/>
                <w:szCs w:val="21"/>
              </w:rPr>
            </w:pPr>
            <w:r>
              <w:rPr>
                <w:rFonts w:hint="eastAsia" w:ascii="宋体" w:hAnsi="宋体" w:cs="宋体"/>
                <w:b/>
                <w:kern w:val="0"/>
                <w:szCs w:val="21"/>
              </w:rPr>
              <w:t>（二）评分依据：</w:t>
            </w:r>
          </w:p>
          <w:p w14:paraId="20C520B0">
            <w:pPr>
              <w:widowControl/>
              <w:jc w:val="left"/>
              <w:outlineLvl w:val="1"/>
              <w:rPr>
                <w:rFonts w:ascii="宋体" w:hAnsi="宋体" w:cs="宋体"/>
                <w:b/>
                <w:kern w:val="0"/>
                <w:szCs w:val="21"/>
              </w:rPr>
            </w:pPr>
            <w:r>
              <w:rPr>
                <w:rFonts w:hint="eastAsia" w:ascii="宋体" w:hAnsi="宋体" w:cs="宋体"/>
                <w:szCs w:val="21"/>
              </w:rPr>
              <w:t>要求提供承诺（格式自定）作为得分依据，未提供承诺或承诺内容不满足要求不得分。</w:t>
            </w:r>
          </w:p>
        </w:tc>
      </w:tr>
      <w:tr w14:paraId="1C0B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38B2BB1A">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070861F9">
            <w:pPr>
              <w:jc w:val="center"/>
              <w:rPr>
                <w:rFonts w:ascii="宋体" w:hAnsi="宋体" w:cs="宋体"/>
                <w:szCs w:val="21"/>
              </w:rPr>
            </w:pPr>
            <w:r>
              <w:rPr>
                <w:rFonts w:hint="eastAsia" w:ascii="宋体" w:hAnsi="宋体"/>
                <w:szCs w:val="21"/>
              </w:rPr>
              <w:t>5</w:t>
            </w:r>
          </w:p>
        </w:tc>
        <w:tc>
          <w:tcPr>
            <w:tcW w:w="1232" w:type="dxa"/>
            <w:tcMar>
              <w:top w:w="0" w:type="dxa"/>
              <w:left w:w="28" w:type="dxa"/>
              <w:bottom w:w="0" w:type="dxa"/>
              <w:right w:w="28" w:type="dxa"/>
            </w:tcMar>
            <w:vAlign w:val="center"/>
          </w:tcPr>
          <w:p w14:paraId="351EE089">
            <w:pPr>
              <w:jc w:val="center"/>
              <w:rPr>
                <w:rFonts w:ascii="宋体" w:hAnsi="宋体" w:cs="宋体"/>
                <w:szCs w:val="21"/>
              </w:rPr>
            </w:pPr>
            <w:r>
              <w:rPr>
                <w:rFonts w:hint="eastAsia" w:ascii="宋体" w:hAnsi="宋体"/>
                <w:szCs w:val="21"/>
              </w:rPr>
              <w:t>违约承诺</w:t>
            </w:r>
          </w:p>
        </w:tc>
        <w:tc>
          <w:tcPr>
            <w:tcW w:w="442" w:type="dxa"/>
            <w:tcMar>
              <w:top w:w="0" w:type="dxa"/>
              <w:left w:w="28" w:type="dxa"/>
              <w:bottom w:w="0" w:type="dxa"/>
              <w:right w:w="28" w:type="dxa"/>
            </w:tcMar>
            <w:vAlign w:val="center"/>
          </w:tcPr>
          <w:p w14:paraId="6C88270B">
            <w:pPr>
              <w:jc w:val="center"/>
              <w:rPr>
                <w:rFonts w:ascii="宋体" w:hAnsi="宋体" w:cs="宋体"/>
                <w:szCs w:val="21"/>
              </w:rPr>
            </w:pPr>
            <w:r>
              <w:rPr>
                <w:rFonts w:hint="eastAsia" w:ascii="宋体" w:hAnsi="宋体"/>
                <w:szCs w:val="21"/>
              </w:rPr>
              <w:t>5</w:t>
            </w:r>
          </w:p>
        </w:tc>
        <w:tc>
          <w:tcPr>
            <w:tcW w:w="6851" w:type="dxa"/>
            <w:tcMar>
              <w:top w:w="0" w:type="dxa"/>
              <w:left w:w="28" w:type="dxa"/>
              <w:bottom w:w="0" w:type="dxa"/>
              <w:right w:w="28" w:type="dxa"/>
            </w:tcMar>
          </w:tcPr>
          <w:p w14:paraId="556F2608">
            <w:pPr>
              <w:widowControl/>
              <w:jc w:val="left"/>
              <w:outlineLvl w:val="1"/>
              <w:rPr>
                <w:rFonts w:ascii="宋体" w:hAnsi="宋体" w:cs="宋体"/>
                <w:b/>
                <w:kern w:val="0"/>
                <w:szCs w:val="21"/>
              </w:rPr>
            </w:pPr>
            <w:r>
              <w:rPr>
                <w:rFonts w:hint="eastAsia" w:ascii="宋体" w:hAnsi="宋体" w:cs="宋体"/>
                <w:b/>
                <w:kern w:val="0"/>
                <w:szCs w:val="21"/>
              </w:rPr>
              <w:t>（一）评分内容：</w:t>
            </w:r>
          </w:p>
          <w:p w14:paraId="066A8136">
            <w:pPr>
              <w:widowControl/>
              <w:jc w:val="left"/>
              <w:rPr>
                <w:rFonts w:ascii="宋体" w:hAnsi="宋体"/>
                <w:szCs w:val="21"/>
              </w:rPr>
            </w:pPr>
            <w:r>
              <w:rPr>
                <w:rFonts w:hint="eastAsia" w:ascii="宋体" w:hAnsi="宋体"/>
                <w:szCs w:val="21"/>
              </w:rPr>
              <w:t>投标人承诺以下全部三项的得100分，否则不得分。</w:t>
            </w:r>
          </w:p>
          <w:p w14:paraId="7E3DF7BE">
            <w:pPr>
              <w:widowControl/>
              <w:jc w:val="left"/>
              <w:rPr>
                <w:rFonts w:ascii="宋体" w:hAnsi="宋体"/>
                <w:szCs w:val="21"/>
              </w:rPr>
            </w:pPr>
            <w:r>
              <w:rPr>
                <w:rFonts w:hint="eastAsia" w:ascii="宋体" w:hAnsi="宋体"/>
                <w:szCs w:val="21"/>
              </w:rPr>
              <w:t>1.人员严格按照招标文件及投标承诺配置；</w:t>
            </w:r>
          </w:p>
          <w:p w14:paraId="2A711B61">
            <w:pPr>
              <w:widowControl/>
              <w:jc w:val="left"/>
              <w:rPr>
                <w:rFonts w:ascii="宋体" w:hAnsi="宋体"/>
                <w:szCs w:val="21"/>
              </w:rPr>
            </w:pPr>
            <w:r>
              <w:rPr>
                <w:rFonts w:hint="eastAsia" w:ascii="宋体" w:hAnsi="宋体"/>
                <w:szCs w:val="21"/>
              </w:rPr>
              <w:t>2.服务质量达到招标文件要求；</w:t>
            </w:r>
          </w:p>
          <w:p w14:paraId="405F5B0D">
            <w:pPr>
              <w:jc w:val="left"/>
              <w:rPr>
                <w:rFonts w:ascii="宋体" w:hAnsi="宋体"/>
                <w:szCs w:val="21"/>
              </w:rPr>
            </w:pPr>
            <w:r>
              <w:rPr>
                <w:rFonts w:hint="eastAsia" w:ascii="宋体" w:hAnsi="宋体"/>
                <w:szCs w:val="21"/>
              </w:rPr>
              <w:t>3.对未能达到的管理要求承担管理责任。</w:t>
            </w:r>
          </w:p>
          <w:p w14:paraId="6B7BA1E5">
            <w:pPr>
              <w:widowControl/>
              <w:jc w:val="left"/>
              <w:outlineLvl w:val="1"/>
              <w:rPr>
                <w:rFonts w:ascii="宋体" w:hAnsi="宋体" w:cs="宋体"/>
                <w:b/>
                <w:kern w:val="0"/>
                <w:szCs w:val="21"/>
              </w:rPr>
            </w:pPr>
            <w:r>
              <w:rPr>
                <w:rFonts w:hint="eastAsia" w:ascii="宋体" w:hAnsi="宋体" w:cs="宋体"/>
                <w:b/>
                <w:kern w:val="0"/>
                <w:szCs w:val="21"/>
              </w:rPr>
              <w:t>（二）评分依据：</w:t>
            </w:r>
          </w:p>
          <w:p w14:paraId="4DB755DB">
            <w:pPr>
              <w:widowControl/>
              <w:jc w:val="left"/>
              <w:outlineLvl w:val="1"/>
              <w:rPr>
                <w:rFonts w:ascii="宋体" w:hAnsi="宋体" w:cs="宋体"/>
                <w:szCs w:val="21"/>
              </w:rPr>
            </w:pPr>
            <w:r>
              <w:rPr>
                <w:rFonts w:hint="eastAsia" w:ascii="宋体" w:hAnsi="宋体"/>
                <w:szCs w:val="21"/>
              </w:rPr>
              <w:t>要求提供承诺（格式自定）作为得分依据，未提供承诺或承</w:t>
            </w:r>
            <w:r>
              <w:rPr>
                <w:rFonts w:hint="eastAsia" w:ascii="宋体" w:hAnsi="宋体" w:cs="宋体"/>
                <w:szCs w:val="21"/>
              </w:rPr>
              <w:t>诺内容不满足要求不得分。</w:t>
            </w:r>
          </w:p>
        </w:tc>
      </w:tr>
      <w:tr w14:paraId="135D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39BA84EA">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32CAD76D">
            <w:pPr>
              <w:jc w:val="center"/>
              <w:rPr>
                <w:rFonts w:ascii="宋体" w:hAnsi="宋体" w:cs="宋体"/>
                <w:szCs w:val="21"/>
              </w:rPr>
            </w:pPr>
            <w:r>
              <w:rPr>
                <w:rFonts w:hint="eastAsia" w:ascii="宋体" w:hAnsi="宋体"/>
                <w:szCs w:val="21"/>
              </w:rPr>
              <w:t>6</w:t>
            </w:r>
          </w:p>
        </w:tc>
        <w:tc>
          <w:tcPr>
            <w:tcW w:w="1232" w:type="dxa"/>
            <w:tcMar>
              <w:top w:w="0" w:type="dxa"/>
              <w:left w:w="28" w:type="dxa"/>
              <w:bottom w:w="0" w:type="dxa"/>
              <w:right w:w="28" w:type="dxa"/>
            </w:tcMar>
            <w:vAlign w:val="center"/>
          </w:tcPr>
          <w:p w14:paraId="5A6B995D">
            <w:pPr>
              <w:jc w:val="center"/>
              <w:rPr>
                <w:rFonts w:ascii="宋体" w:hAnsi="宋体" w:cs="宋体"/>
                <w:szCs w:val="21"/>
              </w:rPr>
            </w:pPr>
            <w:r>
              <w:rPr>
                <w:rFonts w:hint="eastAsia" w:ascii="宋体" w:hAnsi="宋体"/>
                <w:szCs w:val="21"/>
              </w:rPr>
              <w:t>拟安排的项目负责人情况（仅限一人）</w:t>
            </w:r>
          </w:p>
        </w:tc>
        <w:tc>
          <w:tcPr>
            <w:tcW w:w="442" w:type="dxa"/>
            <w:tcMar>
              <w:top w:w="0" w:type="dxa"/>
              <w:left w:w="28" w:type="dxa"/>
              <w:bottom w:w="0" w:type="dxa"/>
              <w:right w:w="28" w:type="dxa"/>
            </w:tcMar>
            <w:vAlign w:val="center"/>
          </w:tcPr>
          <w:p w14:paraId="62F9FE97">
            <w:pPr>
              <w:jc w:val="center"/>
              <w:rPr>
                <w:rFonts w:hint="default" w:ascii="宋体" w:hAnsi="宋体" w:eastAsia="宋体" w:cs="宋体"/>
                <w:szCs w:val="21"/>
                <w:lang w:val="en-US" w:eastAsia="zh-CN"/>
              </w:rPr>
            </w:pPr>
            <w:r>
              <w:rPr>
                <w:rFonts w:hint="eastAsia" w:ascii="宋体" w:hAnsi="宋体"/>
                <w:szCs w:val="21"/>
                <w:lang w:val="en-US" w:eastAsia="zh-CN"/>
              </w:rPr>
              <w:t>10</w:t>
            </w:r>
          </w:p>
        </w:tc>
        <w:tc>
          <w:tcPr>
            <w:tcW w:w="6851" w:type="dxa"/>
            <w:tcMar>
              <w:top w:w="0" w:type="dxa"/>
              <w:left w:w="28" w:type="dxa"/>
              <w:bottom w:w="0" w:type="dxa"/>
              <w:right w:w="28" w:type="dxa"/>
            </w:tcMar>
          </w:tcPr>
          <w:p w14:paraId="4BA120D4">
            <w:pPr>
              <w:jc w:val="left"/>
              <w:rPr>
                <w:rFonts w:ascii="宋体" w:hAnsi="宋体"/>
                <w:szCs w:val="21"/>
              </w:rPr>
            </w:pPr>
            <w:r>
              <w:rPr>
                <w:rFonts w:hint="eastAsia" w:ascii="宋体" w:hAnsi="宋体"/>
                <w:b/>
                <w:szCs w:val="21"/>
              </w:rPr>
              <w:t>（一）评分内容：</w:t>
            </w:r>
            <w:r>
              <w:rPr>
                <w:rFonts w:hint="eastAsia" w:ascii="宋体" w:hAnsi="宋体"/>
                <w:szCs w:val="21"/>
              </w:rPr>
              <w:t>拟安排项目负责人为投标单位员工，否则本项不得分：</w:t>
            </w:r>
          </w:p>
          <w:p w14:paraId="63CC9F4E">
            <w:pPr>
              <w:jc w:val="left"/>
              <w:rPr>
                <w:rFonts w:ascii="宋体" w:hAnsi="宋体"/>
                <w:szCs w:val="21"/>
              </w:rPr>
            </w:pPr>
            <w:r>
              <w:rPr>
                <w:rFonts w:hint="eastAsia" w:ascii="宋体" w:hAnsi="宋体"/>
                <w:szCs w:val="21"/>
              </w:rPr>
              <w:t>1、具有本科（或以上）学历，得</w:t>
            </w:r>
            <w:r>
              <w:rPr>
                <w:rFonts w:ascii="宋体" w:hAnsi="宋体"/>
                <w:szCs w:val="21"/>
              </w:rPr>
              <w:t>1</w:t>
            </w:r>
            <w:r>
              <w:rPr>
                <w:rFonts w:hint="eastAsia" w:ascii="宋体" w:hAnsi="宋体"/>
                <w:szCs w:val="21"/>
              </w:rPr>
              <w:t>0分；</w:t>
            </w:r>
          </w:p>
          <w:p w14:paraId="193977F4">
            <w:pPr>
              <w:jc w:val="left"/>
              <w:rPr>
                <w:rFonts w:ascii="宋体" w:hAnsi="宋体"/>
                <w:szCs w:val="21"/>
              </w:rPr>
            </w:pPr>
            <w:r>
              <w:rPr>
                <w:rFonts w:ascii="宋体" w:hAnsi="宋体"/>
                <w:szCs w:val="21"/>
              </w:rPr>
              <w:t>2</w:t>
            </w:r>
            <w:r>
              <w:rPr>
                <w:rFonts w:hint="eastAsia" w:ascii="宋体" w:hAnsi="宋体"/>
                <w:szCs w:val="21"/>
              </w:rPr>
              <w:t>、具有人社部门（或其他具备职称评定资格的单位或机构）颁发的管理类或</w:t>
            </w:r>
            <w:r>
              <w:rPr>
                <w:rFonts w:hint="eastAsia"/>
                <w:lang w:val="en-US" w:eastAsia="zh-CN"/>
              </w:rPr>
              <w:t>机电类或电气类</w:t>
            </w:r>
            <w:r>
              <w:rPr>
                <w:rFonts w:hint="eastAsia" w:ascii="宋体" w:hAnsi="宋体"/>
                <w:szCs w:val="21"/>
              </w:rPr>
              <w:t>副高级（或以上）职称证</w:t>
            </w:r>
            <w:r>
              <w:rPr>
                <w:rFonts w:hint="eastAsia" w:ascii="宋体" w:hAnsi="宋体"/>
                <w:szCs w:val="21"/>
                <w:lang w:val="en-US" w:eastAsia="zh-CN"/>
              </w:rPr>
              <w:t>的，</w:t>
            </w:r>
            <w:r>
              <w:rPr>
                <w:rFonts w:hint="eastAsia" w:ascii="宋体" w:hAnsi="宋体"/>
                <w:szCs w:val="21"/>
              </w:rPr>
              <w:t>得40分；</w:t>
            </w:r>
          </w:p>
          <w:p w14:paraId="4CFCD7D8">
            <w:pPr>
              <w:jc w:val="left"/>
              <w:rPr>
                <w:rFonts w:ascii="宋体" w:hAnsi="宋体"/>
                <w:szCs w:val="21"/>
              </w:rPr>
            </w:pPr>
            <w:r>
              <w:rPr>
                <w:rFonts w:ascii="宋体" w:hAnsi="宋体"/>
                <w:szCs w:val="21"/>
              </w:rPr>
              <w:t>3</w:t>
            </w:r>
            <w:r>
              <w:rPr>
                <w:rFonts w:hint="eastAsia" w:ascii="宋体" w:hAnsi="宋体"/>
                <w:szCs w:val="21"/>
              </w:rPr>
              <w:t>、具有</w:t>
            </w:r>
            <w:r>
              <w:rPr>
                <w:rFonts w:hint="eastAsia"/>
              </w:rPr>
              <w:t>人社部门（或在人社部门备案单位）颁发</w:t>
            </w:r>
            <w:r>
              <w:rPr>
                <w:rFonts w:hint="eastAsia" w:ascii="宋体" w:hAnsi="宋体"/>
                <w:szCs w:val="21"/>
              </w:rPr>
              <w:t>的一级物业管理师职业资格证（或职业技能等级证）的，得</w:t>
            </w:r>
            <w:r>
              <w:rPr>
                <w:rFonts w:ascii="宋体" w:hAnsi="宋体"/>
                <w:szCs w:val="21"/>
              </w:rPr>
              <w:t>30</w:t>
            </w:r>
            <w:r>
              <w:rPr>
                <w:rFonts w:hint="eastAsia" w:ascii="宋体" w:hAnsi="宋体"/>
                <w:szCs w:val="21"/>
              </w:rPr>
              <w:t>分；</w:t>
            </w:r>
          </w:p>
          <w:p w14:paraId="15BE9419">
            <w:pPr>
              <w:jc w:val="left"/>
              <w:rPr>
                <w:rFonts w:ascii="宋体" w:hAnsi="宋体"/>
                <w:szCs w:val="21"/>
              </w:rPr>
            </w:pPr>
            <w:r>
              <w:rPr>
                <w:rFonts w:ascii="宋体" w:hAnsi="宋体"/>
                <w:szCs w:val="21"/>
              </w:rPr>
              <w:t>4</w:t>
            </w:r>
            <w:r>
              <w:rPr>
                <w:rFonts w:hint="eastAsia" w:ascii="宋体" w:hAnsi="宋体"/>
                <w:szCs w:val="21"/>
              </w:rPr>
              <w:t>、具有人社部门（或在人社部门备案单位）颁发的三级（或以上）</w:t>
            </w:r>
            <w:r>
              <w:rPr>
                <w:rFonts w:hint="eastAsia"/>
              </w:rPr>
              <w:t>保卫管理员</w:t>
            </w:r>
            <w:r>
              <w:rPr>
                <w:rFonts w:hint="eastAsia" w:ascii="宋体" w:hAnsi="宋体"/>
                <w:szCs w:val="21"/>
              </w:rPr>
              <w:t>职业资格证（或职业技能等级证）的</w:t>
            </w:r>
            <w:r>
              <w:rPr>
                <w:rFonts w:hint="eastAsia" w:ascii="宋体" w:hAnsi="宋体"/>
                <w:szCs w:val="21"/>
                <w:lang w:eastAsia="zh-CN"/>
              </w:rPr>
              <w:t>，</w:t>
            </w:r>
            <w:r>
              <w:rPr>
                <w:rFonts w:hint="eastAsia" w:ascii="宋体" w:hAnsi="宋体"/>
                <w:szCs w:val="21"/>
              </w:rPr>
              <w:t>得20分。</w:t>
            </w:r>
          </w:p>
          <w:p w14:paraId="236D7298">
            <w:pPr>
              <w:jc w:val="left"/>
              <w:rPr>
                <w:rFonts w:ascii="宋体" w:hAnsi="宋体"/>
                <w:kern w:val="0"/>
                <w:szCs w:val="21"/>
              </w:rPr>
            </w:pPr>
            <w:r>
              <w:rPr>
                <w:rFonts w:hint="eastAsia" w:ascii="宋体" w:hAnsi="宋体"/>
                <w:szCs w:val="21"/>
              </w:rPr>
              <w:t>以上</w:t>
            </w:r>
            <w:r>
              <w:rPr>
                <w:rFonts w:ascii="宋体" w:hAnsi="宋体"/>
                <w:szCs w:val="21"/>
              </w:rPr>
              <w:t>4</w:t>
            </w:r>
            <w:r>
              <w:rPr>
                <w:rFonts w:hint="eastAsia" w:ascii="宋体" w:hAnsi="宋体"/>
                <w:szCs w:val="21"/>
              </w:rPr>
              <w:t>项累计得分，最多得100分。</w:t>
            </w:r>
          </w:p>
          <w:p w14:paraId="10497833">
            <w:pPr>
              <w:jc w:val="left"/>
              <w:rPr>
                <w:rFonts w:ascii="宋体" w:hAnsi="宋体"/>
                <w:b/>
                <w:szCs w:val="21"/>
              </w:rPr>
            </w:pPr>
            <w:r>
              <w:rPr>
                <w:rFonts w:hint="eastAsia" w:ascii="宋体" w:hAnsi="宋体"/>
                <w:b/>
                <w:szCs w:val="21"/>
              </w:rPr>
              <w:t>（二）评分依据：</w:t>
            </w:r>
          </w:p>
          <w:p w14:paraId="1C1873B1">
            <w:pPr>
              <w:jc w:val="left"/>
              <w:rPr>
                <w:rFonts w:ascii="宋体" w:hAnsi="宋体"/>
                <w:szCs w:val="21"/>
              </w:rPr>
            </w:pPr>
            <w:r>
              <w:rPr>
                <w:rFonts w:hint="eastAsia" w:ascii="宋体" w:hAnsi="宋体"/>
                <w:szCs w:val="21"/>
              </w:rPr>
              <w:t>1.要求提供通过投标人缴纳的近三个月（含开标当月）的任意一个月的社保证明作为本单位员工的证明依据，如供应商成立不足一个月，提供情况说明函（格式自拟），无需提供相关人员社保，亦可得分。</w:t>
            </w:r>
          </w:p>
          <w:p w14:paraId="1B8BD1B0">
            <w:pPr>
              <w:jc w:val="left"/>
              <w:rPr>
                <w:rFonts w:ascii="宋体" w:hAnsi="宋体"/>
                <w:szCs w:val="21"/>
              </w:rPr>
            </w:pPr>
            <w:r>
              <w:rPr>
                <w:rFonts w:hint="eastAsia" w:ascii="宋体" w:hAnsi="宋体"/>
                <w:szCs w:val="21"/>
              </w:rPr>
              <w:t>2.要求提供投标人相关证明资料作为得分依据。</w:t>
            </w:r>
          </w:p>
          <w:p w14:paraId="44D3E02D">
            <w:pPr>
              <w:jc w:val="left"/>
              <w:rPr>
                <w:rFonts w:ascii="宋体" w:hAnsi="宋体"/>
                <w:szCs w:val="21"/>
              </w:rPr>
            </w:pPr>
            <w:r>
              <w:rPr>
                <w:rFonts w:hint="eastAsia" w:ascii="宋体" w:hAnsi="宋体"/>
                <w:szCs w:val="21"/>
              </w:rPr>
              <w:t>3.涉及学历的，要求提供学历（毕业）证书及学信网查询记录（或学历认证报告）。对于较早颁发的学历证书，学信网无法查询的，要求提供证书扫描件和其他佐证材料（如毕业院校、人社部门等颁发机构或监管机构等单位出具的证明）作为得分的依据。境外留学（含港澳台）人员无法通过学信网站查询，应当提供“教育部留学服务中心出具的学历学位认证书以及教育部留学服务中心官网查询截图”作为得分依据。</w:t>
            </w:r>
          </w:p>
          <w:p w14:paraId="0E9E5820">
            <w:pPr>
              <w:jc w:val="left"/>
              <w:rPr>
                <w:rFonts w:ascii="宋体" w:hAnsi="宋体"/>
                <w:szCs w:val="21"/>
              </w:rPr>
            </w:pPr>
            <w:r>
              <w:rPr>
                <w:rFonts w:hint="eastAsia" w:ascii="宋体" w:hAnsi="宋体"/>
                <w:szCs w:val="21"/>
              </w:rPr>
              <w:t>3.职称证书需同时提供证书扫描件以及证书在全国人力资源和社会保障政务服务平台（https://12333.gov.cn/）查询截图或人社部门(或职称评审管理单位)出具的证明材料（或官网查询截图）；</w:t>
            </w:r>
          </w:p>
          <w:p w14:paraId="3B744DA7">
            <w:pPr>
              <w:jc w:val="left"/>
              <w:rPr>
                <w:rFonts w:ascii="宋体" w:hAnsi="宋体"/>
                <w:szCs w:val="21"/>
              </w:rPr>
            </w:pPr>
            <w:r>
              <w:rPr>
                <w:rFonts w:hint="eastAsia" w:ascii="宋体" w:hAnsi="宋体"/>
                <w:szCs w:val="21"/>
              </w:rPr>
              <w:t>4.职业资格证书（或职业技能等级证书）同时提供证书扫描件以及提供技能人才评价证书全国联网（http://zscx.osta.org.cn/）查询截图；若为职业技能等级证书，还需提供颁证机构在人社部门备案的查询证明（查询网址：职业技能等级评价机构公示查询系统http://pjjg.osta.org.cn/）；证书在公开渠道无法查询的，需提供颁发机构的证明材料证明证书真实有效。</w:t>
            </w:r>
          </w:p>
          <w:p w14:paraId="14C07D99">
            <w:pPr>
              <w:jc w:val="left"/>
              <w:rPr>
                <w:rFonts w:ascii="宋体" w:hAnsi="宋体"/>
                <w:szCs w:val="21"/>
              </w:rPr>
            </w:pPr>
            <w:r>
              <w:rPr>
                <w:rFonts w:hint="eastAsia" w:ascii="宋体" w:hAnsi="宋体"/>
                <w:szCs w:val="21"/>
              </w:rPr>
              <w:t>5.若证书颁证机构为社会组织的，还需同时提供该组织在“中国社会组织政务服务平台（全国社会组织信用信息公示平台）https://chinanpo.mca.gov.cn/”的查询截图（截图需体现网址且状态为正常），否则该证书不得分。</w:t>
            </w:r>
          </w:p>
          <w:p w14:paraId="0F75258E">
            <w:pPr>
              <w:widowControl/>
              <w:jc w:val="left"/>
              <w:outlineLvl w:val="1"/>
              <w:rPr>
                <w:rFonts w:ascii="宋体" w:hAnsi="宋体" w:cs="宋体"/>
                <w:szCs w:val="21"/>
              </w:rPr>
            </w:pPr>
            <w:r>
              <w:rPr>
                <w:rFonts w:hint="eastAsia" w:ascii="宋体" w:hAnsi="宋体"/>
                <w:szCs w:val="21"/>
              </w:rPr>
              <w:t>6.以上资料均要求提供扫描件。评分中出现无证明资料或专家无法凭所提供资料判断是否得分的情况，一律作不得分处理。</w:t>
            </w:r>
          </w:p>
        </w:tc>
      </w:tr>
      <w:tr w14:paraId="1631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7653CB5B">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0B1F7D81">
            <w:pPr>
              <w:jc w:val="center"/>
              <w:rPr>
                <w:rFonts w:ascii="宋体" w:hAnsi="宋体"/>
                <w:szCs w:val="21"/>
              </w:rPr>
            </w:pPr>
            <w:r>
              <w:rPr>
                <w:rFonts w:hint="eastAsia" w:ascii="宋体" w:hAnsi="宋体"/>
                <w:szCs w:val="21"/>
              </w:rPr>
              <w:t>7</w:t>
            </w:r>
          </w:p>
        </w:tc>
        <w:tc>
          <w:tcPr>
            <w:tcW w:w="1232" w:type="dxa"/>
            <w:tcMar>
              <w:top w:w="0" w:type="dxa"/>
              <w:left w:w="28" w:type="dxa"/>
              <w:bottom w:w="0" w:type="dxa"/>
              <w:right w:w="28" w:type="dxa"/>
            </w:tcMar>
            <w:vAlign w:val="center"/>
          </w:tcPr>
          <w:p w14:paraId="084C20B0">
            <w:pPr>
              <w:jc w:val="center"/>
              <w:rPr>
                <w:rFonts w:ascii="宋体" w:hAnsi="宋体" w:cs="宋体"/>
                <w:szCs w:val="21"/>
              </w:rPr>
            </w:pPr>
            <w:r>
              <w:rPr>
                <w:rFonts w:hint="eastAsia" w:ascii="宋体" w:hAnsi="宋体"/>
                <w:szCs w:val="21"/>
              </w:rPr>
              <w:t>拟安排的项目主要团队成员（主要技术人员）情况（项目负责人除外）</w:t>
            </w:r>
          </w:p>
        </w:tc>
        <w:tc>
          <w:tcPr>
            <w:tcW w:w="442" w:type="dxa"/>
            <w:tcMar>
              <w:top w:w="0" w:type="dxa"/>
              <w:left w:w="28" w:type="dxa"/>
              <w:bottom w:w="0" w:type="dxa"/>
              <w:right w:w="28" w:type="dxa"/>
            </w:tcMar>
            <w:vAlign w:val="center"/>
          </w:tcPr>
          <w:p w14:paraId="012853CE">
            <w:pPr>
              <w:jc w:val="center"/>
              <w:rPr>
                <w:rFonts w:hint="default" w:ascii="宋体" w:hAnsi="宋体" w:eastAsia="宋体" w:cs="宋体"/>
                <w:szCs w:val="21"/>
                <w:lang w:val="en-US" w:eastAsia="zh-CN"/>
              </w:rPr>
            </w:pPr>
            <w:r>
              <w:rPr>
                <w:rFonts w:hint="eastAsia" w:ascii="宋体" w:hAnsi="宋体"/>
                <w:szCs w:val="21"/>
                <w:lang w:val="en-US" w:eastAsia="zh-CN"/>
              </w:rPr>
              <w:t>23</w:t>
            </w:r>
          </w:p>
        </w:tc>
        <w:tc>
          <w:tcPr>
            <w:tcW w:w="6851" w:type="dxa"/>
            <w:tcMar>
              <w:top w:w="0" w:type="dxa"/>
              <w:left w:w="28" w:type="dxa"/>
              <w:bottom w:w="0" w:type="dxa"/>
              <w:right w:w="28" w:type="dxa"/>
            </w:tcMar>
          </w:tcPr>
          <w:p w14:paraId="1EA550EA">
            <w:pPr>
              <w:jc w:val="left"/>
              <w:rPr>
                <w:rFonts w:ascii="宋体" w:hAnsi="宋体"/>
                <w:szCs w:val="21"/>
              </w:rPr>
            </w:pPr>
            <w:r>
              <w:rPr>
                <w:rFonts w:hint="eastAsia" w:ascii="宋体" w:hAnsi="宋体"/>
                <w:szCs w:val="21"/>
              </w:rPr>
              <w:t>（一）评分内容：拟安排项目主要团队成员为投标单位员工（以社保为准），否则该人员情况不计分。</w:t>
            </w:r>
          </w:p>
          <w:p w14:paraId="3950A71A">
            <w:r>
              <w:rPr>
                <w:rFonts w:hint="eastAsia"/>
              </w:rPr>
              <w:t>1</w:t>
            </w:r>
            <w:r>
              <w:t>.</w:t>
            </w:r>
            <w:r>
              <w:rPr>
                <w:rFonts w:hint="eastAsia"/>
              </w:rPr>
              <w:t>综合主管（1人），本项累计最高得</w:t>
            </w:r>
            <w:r>
              <w:t>13</w:t>
            </w:r>
            <w:r>
              <w:rPr>
                <w:rFonts w:hint="eastAsia"/>
              </w:rPr>
              <w:t>分：</w:t>
            </w:r>
          </w:p>
          <w:p w14:paraId="7135D2F5">
            <w:r>
              <w:rPr>
                <w:rFonts w:hint="eastAsia"/>
              </w:rPr>
              <w:t>（1）具有管理类专业本科（或以上）学历得</w:t>
            </w:r>
            <w:r>
              <w:t>2</w:t>
            </w:r>
            <w:r>
              <w:rPr>
                <w:rFonts w:hint="eastAsia"/>
              </w:rPr>
              <w:t>分；</w:t>
            </w:r>
          </w:p>
          <w:p w14:paraId="17EE1A6C">
            <w:r>
              <w:rPr>
                <w:rFonts w:hint="eastAsia"/>
              </w:rPr>
              <w:t>（2）具有人社部门（或其他具备职称评定资格的单位或机构）颁发的管理类中级（或以上）职称证书得</w:t>
            </w:r>
            <w:r>
              <w:t>3</w:t>
            </w:r>
            <w:r>
              <w:rPr>
                <w:rFonts w:hint="eastAsia"/>
              </w:rPr>
              <w:t>分；</w:t>
            </w:r>
          </w:p>
          <w:p w14:paraId="27AF56C3">
            <w:r>
              <w:rPr>
                <w:rFonts w:hint="eastAsia"/>
              </w:rPr>
              <w:t>（3）具有人社部门（或在人社部门备案单位）颁发的一级企业人力资源管理师职业资格证（或职业技能等级证）证得5分；</w:t>
            </w:r>
          </w:p>
          <w:p w14:paraId="1110C276">
            <w:r>
              <w:rPr>
                <w:rFonts w:hint="eastAsia"/>
              </w:rPr>
              <w:t>（4）具有人社部门（或在人社部门备案单位）颁发的三级（或以上）物业管理员（师）职业资格证（或职业技能等级证）得</w:t>
            </w:r>
            <w:r>
              <w:t>3</w:t>
            </w:r>
            <w:r>
              <w:rPr>
                <w:rFonts w:hint="eastAsia"/>
              </w:rPr>
              <w:t>分；</w:t>
            </w:r>
          </w:p>
          <w:p w14:paraId="42FFA2CA">
            <w:r>
              <w:rPr>
                <w:rFonts w:hint="eastAsia"/>
              </w:rPr>
              <w:t>2</w:t>
            </w:r>
            <w:r>
              <w:t>.</w:t>
            </w:r>
            <w:r>
              <w:rPr>
                <w:rFonts w:hint="eastAsia"/>
              </w:rPr>
              <w:t>工程主管（1人），本项累计最高得</w:t>
            </w:r>
            <w:r>
              <w:t>17</w:t>
            </w:r>
            <w:r>
              <w:rPr>
                <w:rFonts w:hint="eastAsia"/>
              </w:rPr>
              <w:t>分：</w:t>
            </w:r>
          </w:p>
          <w:p w14:paraId="60FD6754">
            <w:r>
              <w:rPr>
                <w:rFonts w:hint="eastAsia"/>
              </w:rPr>
              <w:t>（1）具有电气类或电力类专业本科（或以上）学历得</w:t>
            </w:r>
            <w:r>
              <w:t>2</w:t>
            </w:r>
            <w:r>
              <w:rPr>
                <w:rFonts w:hint="eastAsia"/>
              </w:rPr>
              <w:t>分；</w:t>
            </w:r>
          </w:p>
          <w:p w14:paraId="231B2D02">
            <w:r>
              <w:rPr>
                <w:rFonts w:hint="eastAsia"/>
              </w:rPr>
              <w:t>（2）具有人社部门（或其他具备职称评定资格的单位或机构）颁发的电力类或电气类中级（或以上）工程师职称证书得</w:t>
            </w:r>
            <w:r>
              <w:t>5</w:t>
            </w:r>
            <w:r>
              <w:rPr>
                <w:rFonts w:hint="eastAsia"/>
              </w:rPr>
              <w:t>分；</w:t>
            </w:r>
          </w:p>
          <w:p w14:paraId="7F0E8616">
            <w:r>
              <w:rPr>
                <w:rFonts w:hint="eastAsia"/>
              </w:rPr>
              <w:t>（3）具有人社部门（或在人社部门备案单位）颁发的一级制</w:t>
            </w:r>
            <w:bookmarkStart w:id="0" w:name="OLE_LINK13"/>
            <w:bookmarkStart w:id="1" w:name="OLE_LINK14"/>
            <w:r>
              <w:rPr>
                <w:rFonts w:hint="eastAsia"/>
              </w:rPr>
              <w:t>冷设备维修工（或制冷空调系统安装维修工</w:t>
            </w:r>
            <w:bookmarkEnd w:id="0"/>
            <w:bookmarkEnd w:id="1"/>
            <w:r>
              <w:rPr>
                <w:rFonts w:hint="eastAsia"/>
              </w:rPr>
              <w:t>）职业资格证（或职业技能等级证）证得5分；</w:t>
            </w:r>
          </w:p>
          <w:p w14:paraId="77A42CC8">
            <w:r>
              <w:rPr>
                <w:rFonts w:hint="eastAsia"/>
              </w:rPr>
              <w:t>（4）具有人社部门（或在人社部门备案单位）颁发的二级（或以上）电工（或维修电工）职业资格证（或职业技能等级证）得5分；</w:t>
            </w:r>
          </w:p>
          <w:p w14:paraId="36F2E326">
            <w:r>
              <w:rPr>
                <w:rFonts w:hint="eastAsia"/>
              </w:rPr>
              <w:t>3、工程师（</w:t>
            </w:r>
            <w:r>
              <w:t>2</w:t>
            </w:r>
            <w:r>
              <w:rPr>
                <w:rFonts w:hint="eastAsia"/>
              </w:rPr>
              <w:t>人），本项累计最高得</w:t>
            </w:r>
            <w:r>
              <w:t>18</w:t>
            </w:r>
            <w:r>
              <w:rPr>
                <w:rFonts w:hint="eastAsia"/>
              </w:rPr>
              <w:t>分：</w:t>
            </w:r>
          </w:p>
          <w:p w14:paraId="72FCCD83">
            <w:pPr>
              <w:rPr>
                <w:rFonts w:ascii="宋体" w:hAnsi="宋体"/>
                <w:szCs w:val="21"/>
              </w:rPr>
            </w:pPr>
            <w:r>
              <w:rPr>
                <w:rFonts w:hint="eastAsia" w:ascii="宋体" w:hAnsi="宋体"/>
                <w:szCs w:val="21"/>
              </w:rPr>
              <w:t>（1）均具有</w:t>
            </w:r>
            <w:r>
              <w:rPr>
                <w:rFonts w:hint="eastAsia"/>
              </w:rPr>
              <w:t>人社部门（或其他具备职称评定资格的单位或机构）颁发的中</w:t>
            </w:r>
            <w:r>
              <w:rPr>
                <w:rFonts w:hint="eastAsia" w:ascii="宋体" w:hAnsi="宋体"/>
                <w:szCs w:val="21"/>
              </w:rPr>
              <w:t>级（或以上）工程师职称证（专业要求：机电类或电气类），每提供1个得5分，本小项最高得1</w:t>
            </w:r>
            <w:r>
              <w:rPr>
                <w:rFonts w:ascii="宋体" w:hAnsi="宋体"/>
                <w:szCs w:val="21"/>
              </w:rPr>
              <w:t>0</w:t>
            </w:r>
            <w:r>
              <w:rPr>
                <w:rFonts w:hint="eastAsia" w:ascii="宋体" w:hAnsi="宋体"/>
                <w:szCs w:val="21"/>
              </w:rPr>
              <w:t>分；</w:t>
            </w:r>
          </w:p>
          <w:p w14:paraId="2428EC58">
            <w:r>
              <w:rPr>
                <w:rFonts w:hint="eastAsia" w:ascii="宋体" w:hAnsi="宋体"/>
                <w:szCs w:val="21"/>
              </w:rPr>
              <w:t>（2）均具有</w:t>
            </w:r>
            <w:r>
              <w:rPr>
                <w:rFonts w:hint="eastAsia"/>
              </w:rPr>
              <w:t>人社部门（或在人社部门备案单位）颁发的二级（或以上）电工（或维修电工）职业资格证（或职业技能等级证），</w:t>
            </w:r>
            <w:r>
              <w:rPr>
                <w:rFonts w:hint="eastAsia" w:ascii="宋体" w:hAnsi="宋体"/>
                <w:szCs w:val="21"/>
              </w:rPr>
              <w:t>每提供1个得4分，本小项最高得</w:t>
            </w:r>
            <w:r>
              <w:rPr>
                <w:rFonts w:ascii="宋体" w:hAnsi="宋体"/>
                <w:szCs w:val="21"/>
              </w:rPr>
              <w:t>8</w:t>
            </w:r>
            <w:r>
              <w:rPr>
                <w:rFonts w:hint="eastAsia" w:ascii="宋体" w:hAnsi="宋体"/>
                <w:szCs w:val="21"/>
              </w:rPr>
              <w:t>分；</w:t>
            </w:r>
          </w:p>
          <w:p w14:paraId="06C2D878">
            <w:r>
              <w:t>4</w:t>
            </w:r>
            <w:r>
              <w:rPr>
                <w:rFonts w:hint="eastAsia"/>
              </w:rPr>
              <w:t>、秩序主管（1人），本项累计最高得</w:t>
            </w:r>
            <w:r>
              <w:t>13</w:t>
            </w:r>
            <w:r>
              <w:rPr>
                <w:rFonts w:hint="eastAsia"/>
              </w:rPr>
              <w:t>分：</w:t>
            </w:r>
          </w:p>
          <w:p w14:paraId="522EB034">
            <w:r>
              <w:rPr>
                <w:rFonts w:hint="eastAsia"/>
              </w:rPr>
              <w:t>（1）具有管理类专业本科（或以上）学历得</w:t>
            </w:r>
            <w:r>
              <w:t>2</w:t>
            </w:r>
            <w:r>
              <w:rPr>
                <w:rFonts w:hint="eastAsia"/>
              </w:rPr>
              <w:t>分；</w:t>
            </w:r>
          </w:p>
          <w:p w14:paraId="42182DE3">
            <w:r>
              <w:rPr>
                <w:rFonts w:hint="eastAsia"/>
              </w:rPr>
              <w:t>（2）具有人社部门（或其他具备职称评定资格的单位或机构）颁发的管理类中级（或以上）职称证书得</w:t>
            </w:r>
            <w:r>
              <w:t>3</w:t>
            </w:r>
            <w:r>
              <w:rPr>
                <w:rFonts w:hint="eastAsia"/>
              </w:rPr>
              <w:t>分；</w:t>
            </w:r>
          </w:p>
          <w:p w14:paraId="46411E37">
            <w:pPr>
              <w:rPr>
                <w:highlight w:val="none"/>
              </w:rPr>
            </w:pPr>
            <w:r>
              <w:rPr>
                <w:rFonts w:hint="eastAsia"/>
              </w:rPr>
              <w:t>（3）</w:t>
            </w:r>
            <w:bookmarkStart w:id="2" w:name="OLE_LINK12"/>
            <w:bookmarkStart w:id="3" w:name="OLE_LINK11"/>
            <w:r>
              <w:rPr>
                <w:rFonts w:hint="eastAsia"/>
              </w:rPr>
              <w:t>具有人社部门（或在</w:t>
            </w:r>
            <w:r>
              <w:rPr>
                <w:rFonts w:hint="eastAsia"/>
                <w:highlight w:val="none"/>
              </w:rPr>
              <w:t>人社部门备案单位）颁发的三级（或以上）保卫管理员职业资格证（或职业技能等级证）证得5分；</w:t>
            </w:r>
          </w:p>
          <w:p w14:paraId="384962ED">
            <w:pPr>
              <w:rPr>
                <w:highlight w:val="none"/>
              </w:rPr>
            </w:pPr>
            <w:r>
              <w:rPr>
                <w:rFonts w:hint="eastAsia"/>
                <w:highlight w:val="none"/>
              </w:rPr>
              <w:t>（4）具有人社部门（或在人社部门备案单位）颁发的四级（或以上）物业管理员（师）职业资格证（或职业技能等级证）得</w:t>
            </w:r>
            <w:r>
              <w:rPr>
                <w:highlight w:val="none"/>
              </w:rPr>
              <w:t>3</w:t>
            </w:r>
            <w:r>
              <w:rPr>
                <w:rFonts w:hint="eastAsia"/>
                <w:highlight w:val="none"/>
              </w:rPr>
              <w:t>分；</w:t>
            </w:r>
          </w:p>
          <w:bookmarkEnd w:id="2"/>
          <w:bookmarkEnd w:id="3"/>
          <w:p w14:paraId="5FBDC273">
            <w:pPr>
              <w:rPr>
                <w:highlight w:val="none"/>
              </w:rPr>
            </w:pPr>
          </w:p>
          <w:p w14:paraId="6ADB59FC">
            <w:pPr>
              <w:rPr>
                <w:highlight w:val="none"/>
              </w:rPr>
            </w:pPr>
            <w:r>
              <w:rPr>
                <w:highlight w:val="none"/>
              </w:rPr>
              <w:t>5</w:t>
            </w:r>
            <w:r>
              <w:rPr>
                <w:rFonts w:hint="eastAsia"/>
                <w:highlight w:val="none"/>
              </w:rPr>
              <w:t>、保洁主管（1人），本项累计最高得</w:t>
            </w:r>
            <w:r>
              <w:rPr>
                <w:highlight w:val="none"/>
              </w:rPr>
              <w:t>10</w:t>
            </w:r>
            <w:r>
              <w:rPr>
                <w:rFonts w:hint="eastAsia"/>
                <w:highlight w:val="none"/>
              </w:rPr>
              <w:t>分：</w:t>
            </w:r>
          </w:p>
          <w:p w14:paraId="57ADA58B">
            <w:pPr>
              <w:rPr>
                <w:highlight w:val="none"/>
              </w:rPr>
            </w:pPr>
            <w:r>
              <w:rPr>
                <w:rFonts w:hint="eastAsia"/>
                <w:highlight w:val="none"/>
              </w:rPr>
              <w:t>（1）具有环境类专业本科（或以上）学历得</w:t>
            </w:r>
            <w:r>
              <w:rPr>
                <w:highlight w:val="none"/>
              </w:rPr>
              <w:t>2</w:t>
            </w:r>
            <w:r>
              <w:rPr>
                <w:rFonts w:hint="eastAsia"/>
                <w:highlight w:val="none"/>
              </w:rPr>
              <w:t>分；</w:t>
            </w:r>
          </w:p>
          <w:p w14:paraId="0DD87366">
            <w:pPr>
              <w:rPr>
                <w:highlight w:val="none"/>
              </w:rPr>
            </w:pPr>
            <w:r>
              <w:rPr>
                <w:rFonts w:hint="eastAsia"/>
                <w:highlight w:val="none"/>
              </w:rPr>
              <w:t>（2）具有人社部门（或其他具备职称评定资格的单位或机构）颁发的环境类初级（或以上）职称证书得</w:t>
            </w:r>
            <w:r>
              <w:rPr>
                <w:highlight w:val="none"/>
              </w:rPr>
              <w:t>5</w:t>
            </w:r>
            <w:r>
              <w:rPr>
                <w:rFonts w:hint="eastAsia"/>
                <w:highlight w:val="none"/>
              </w:rPr>
              <w:t>分；</w:t>
            </w:r>
          </w:p>
          <w:p w14:paraId="464E5925">
            <w:pPr>
              <w:rPr>
                <w:highlight w:val="none"/>
              </w:rPr>
            </w:pPr>
            <w:r>
              <w:rPr>
                <w:rFonts w:hint="eastAsia"/>
                <w:highlight w:val="none"/>
              </w:rPr>
              <w:t>（3）具有人社部门（或在人社部门备案单位）颁发的四级（或以上）物业管理员（师）职业资格证（或职业技能等级证）得</w:t>
            </w:r>
            <w:r>
              <w:rPr>
                <w:highlight w:val="none"/>
              </w:rPr>
              <w:t>3</w:t>
            </w:r>
            <w:r>
              <w:rPr>
                <w:rFonts w:hint="eastAsia"/>
                <w:highlight w:val="none"/>
              </w:rPr>
              <w:t>分；</w:t>
            </w:r>
          </w:p>
          <w:p w14:paraId="48188D9C">
            <w:pPr>
              <w:rPr>
                <w:highlight w:val="none"/>
              </w:rPr>
            </w:pPr>
            <w:r>
              <w:rPr>
                <w:highlight w:val="none"/>
              </w:rPr>
              <w:t>6</w:t>
            </w:r>
            <w:r>
              <w:rPr>
                <w:rFonts w:hint="eastAsia"/>
                <w:highlight w:val="none"/>
              </w:rPr>
              <w:t>、绿化主管（1人），本项累计最高得</w:t>
            </w:r>
            <w:r>
              <w:rPr>
                <w:highlight w:val="none"/>
              </w:rPr>
              <w:t>13</w:t>
            </w:r>
            <w:r>
              <w:rPr>
                <w:rFonts w:hint="eastAsia"/>
                <w:highlight w:val="none"/>
              </w:rPr>
              <w:t>分：</w:t>
            </w:r>
          </w:p>
          <w:p w14:paraId="45EB1CB8">
            <w:pPr>
              <w:rPr>
                <w:highlight w:val="none"/>
              </w:rPr>
            </w:pPr>
            <w:r>
              <w:rPr>
                <w:rFonts w:hint="eastAsia"/>
                <w:highlight w:val="none"/>
              </w:rPr>
              <w:t>（1）具有园林类专业本科（或以上）学历得</w:t>
            </w:r>
            <w:r>
              <w:rPr>
                <w:highlight w:val="none"/>
              </w:rPr>
              <w:t>2</w:t>
            </w:r>
            <w:r>
              <w:rPr>
                <w:rFonts w:hint="eastAsia"/>
                <w:highlight w:val="none"/>
              </w:rPr>
              <w:t>分；</w:t>
            </w:r>
          </w:p>
          <w:p w14:paraId="20A9A4CC">
            <w:pPr>
              <w:rPr>
                <w:highlight w:val="none"/>
              </w:rPr>
            </w:pPr>
            <w:r>
              <w:rPr>
                <w:rFonts w:hint="eastAsia"/>
                <w:highlight w:val="none"/>
              </w:rPr>
              <w:t>（2）具有人社部门（或其他具备职称评定资格的单位或机构）颁发的园林类中级（或以上）职称证书得</w:t>
            </w:r>
            <w:r>
              <w:rPr>
                <w:highlight w:val="none"/>
              </w:rPr>
              <w:t>5</w:t>
            </w:r>
            <w:r>
              <w:rPr>
                <w:rFonts w:hint="eastAsia"/>
                <w:highlight w:val="none"/>
              </w:rPr>
              <w:t>分；</w:t>
            </w:r>
          </w:p>
          <w:p w14:paraId="56B367E9">
            <w:pPr>
              <w:rPr>
                <w:highlight w:val="none"/>
              </w:rPr>
            </w:pPr>
            <w:r>
              <w:rPr>
                <w:rFonts w:hint="eastAsia"/>
                <w:highlight w:val="none"/>
              </w:rPr>
              <w:t>（3）具有人社部门（或在人社部门备案单位）颁发的四级（或以上）物业管理员（师）职业资格证（或职业技能等级证）得</w:t>
            </w:r>
            <w:r>
              <w:rPr>
                <w:highlight w:val="none"/>
              </w:rPr>
              <w:t>3</w:t>
            </w:r>
            <w:r>
              <w:rPr>
                <w:rFonts w:hint="eastAsia"/>
                <w:highlight w:val="none"/>
              </w:rPr>
              <w:t>分；</w:t>
            </w:r>
          </w:p>
          <w:p w14:paraId="68DF765F">
            <w:pPr>
              <w:rPr>
                <w:highlight w:val="none"/>
              </w:rPr>
            </w:pPr>
            <w:r>
              <w:rPr>
                <w:rFonts w:hint="eastAsia"/>
                <w:highlight w:val="none"/>
              </w:rPr>
              <w:t>（</w:t>
            </w:r>
            <w:r>
              <w:rPr>
                <w:highlight w:val="none"/>
              </w:rPr>
              <w:t>4</w:t>
            </w:r>
            <w:r>
              <w:rPr>
                <w:rFonts w:hint="eastAsia"/>
                <w:highlight w:val="none"/>
              </w:rPr>
              <w:t>）具有人社部门（或在人社部门备案单位）颁发的四级（或以上）有害生物防制</w:t>
            </w:r>
            <w:r>
              <w:rPr>
                <w:rFonts w:hint="eastAsia"/>
                <w:highlight w:val="none"/>
                <w:lang w:eastAsia="zh-CN"/>
              </w:rPr>
              <w:t>（</w:t>
            </w:r>
            <w:r>
              <w:rPr>
                <w:rFonts w:hint="eastAsia"/>
                <w:highlight w:val="none"/>
                <w:lang w:val="en-US" w:eastAsia="zh-CN"/>
              </w:rPr>
              <w:t>治</w:t>
            </w:r>
            <w:r>
              <w:rPr>
                <w:rFonts w:hint="eastAsia"/>
                <w:highlight w:val="none"/>
                <w:lang w:eastAsia="zh-CN"/>
              </w:rPr>
              <w:t>）</w:t>
            </w:r>
            <w:r>
              <w:rPr>
                <w:rFonts w:hint="eastAsia"/>
                <w:highlight w:val="none"/>
              </w:rPr>
              <w:t>员职业资格证（或职业技能等级证）得</w:t>
            </w:r>
            <w:r>
              <w:rPr>
                <w:highlight w:val="none"/>
              </w:rPr>
              <w:t>3</w:t>
            </w:r>
            <w:r>
              <w:rPr>
                <w:rFonts w:hint="eastAsia"/>
                <w:highlight w:val="none"/>
              </w:rPr>
              <w:t>分；</w:t>
            </w:r>
          </w:p>
          <w:p w14:paraId="0F6AD268">
            <w:pPr>
              <w:rPr>
                <w:highlight w:val="none"/>
              </w:rPr>
            </w:pPr>
            <w:r>
              <w:rPr>
                <w:highlight w:val="none"/>
              </w:rPr>
              <w:t>7</w:t>
            </w:r>
            <w:r>
              <w:rPr>
                <w:rFonts w:hint="eastAsia"/>
                <w:highlight w:val="none"/>
              </w:rPr>
              <w:t>、公寓主管（1人），本项累计最高得</w:t>
            </w:r>
            <w:r>
              <w:rPr>
                <w:highlight w:val="none"/>
              </w:rPr>
              <w:t>12</w:t>
            </w:r>
            <w:r>
              <w:rPr>
                <w:rFonts w:hint="eastAsia"/>
                <w:highlight w:val="none"/>
              </w:rPr>
              <w:t>分：</w:t>
            </w:r>
          </w:p>
          <w:p w14:paraId="69B8170D">
            <w:r>
              <w:rPr>
                <w:rFonts w:hint="eastAsia"/>
              </w:rPr>
              <w:t>（1）具有管理类专业本科（或以上）学历得</w:t>
            </w:r>
            <w:r>
              <w:t>2</w:t>
            </w:r>
            <w:r>
              <w:rPr>
                <w:rFonts w:hint="eastAsia"/>
              </w:rPr>
              <w:t>分；</w:t>
            </w:r>
          </w:p>
          <w:p w14:paraId="7CA24604">
            <w:r>
              <w:rPr>
                <w:rFonts w:hint="eastAsia"/>
              </w:rPr>
              <w:t>（</w:t>
            </w:r>
            <w:r>
              <w:t>2</w:t>
            </w:r>
            <w:r>
              <w:rPr>
                <w:rFonts w:hint="eastAsia"/>
              </w:rPr>
              <w:t>）具有人社部门（或在人社部门备案单位）颁发的二级（或以上）心理咨询师职业资格证（或职业技能等级证）证得</w:t>
            </w:r>
            <w:r>
              <w:rPr>
                <w:rFonts w:hint="eastAsia"/>
                <w:lang w:val="en-US" w:eastAsia="zh-CN"/>
              </w:rPr>
              <w:t>10</w:t>
            </w:r>
            <w:r>
              <w:rPr>
                <w:rFonts w:hint="eastAsia"/>
              </w:rPr>
              <w:t>分；</w:t>
            </w:r>
          </w:p>
          <w:p w14:paraId="14F6B058">
            <w:pPr>
              <w:jc w:val="left"/>
              <w:rPr>
                <w:rFonts w:ascii="宋体" w:hAnsi="宋体"/>
                <w:szCs w:val="21"/>
              </w:rPr>
            </w:pPr>
            <w:r>
              <w:t>8</w:t>
            </w:r>
            <w:r>
              <w:rPr>
                <w:rFonts w:hint="eastAsia"/>
              </w:rPr>
              <w:t>、</w:t>
            </w:r>
            <w:r>
              <w:rPr>
                <w:rFonts w:hint="eastAsia"/>
                <w:lang w:val="en-US" w:eastAsia="zh-CN"/>
              </w:rPr>
              <w:t>其他</w:t>
            </w:r>
            <w:r>
              <w:rPr>
                <w:rFonts w:hint="eastAsia" w:ascii="宋体" w:hAnsi="宋体" w:cs="宋体"/>
                <w:szCs w:val="21"/>
              </w:rPr>
              <w:t>安保（秩序维护）</w:t>
            </w:r>
            <w:r>
              <w:rPr>
                <w:rFonts w:hint="eastAsia"/>
              </w:rPr>
              <w:t>人员：</w:t>
            </w:r>
            <w:r>
              <w:rPr>
                <w:rFonts w:hint="eastAsia" w:ascii="宋体" w:hAnsi="宋体"/>
                <w:szCs w:val="21"/>
              </w:rPr>
              <w:t>1人</w:t>
            </w:r>
            <w:r>
              <w:rPr>
                <w:rFonts w:hint="eastAsia" w:ascii="宋体" w:hAnsi="宋体"/>
                <w:szCs w:val="21"/>
                <w:lang w:val="en-US" w:eastAsia="zh-CN"/>
              </w:rPr>
              <w:t>或以上</w:t>
            </w:r>
            <w:r>
              <w:rPr>
                <w:rFonts w:hint="eastAsia" w:ascii="宋体" w:hAnsi="宋体"/>
                <w:szCs w:val="21"/>
              </w:rPr>
              <w:t>具有人社部门（或在人社部门备案单位）颁发的三级（或以上）保卫管理员职业资格证（或职业技能等级证）及的得</w:t>
            </w:r>
            <w:r>
              <w:rPr>
                <w:rFonts w:ascii="宋体" w:hAnsi="宋体"/>
                <w:szCs w:val="21"/>
              </w:rPr>
              <w:t>4</w:t>
            </w:r>
            <w:r>
              <w:rPr>
                <w:rFonts w:hint="eastAsia" w:ascii="宋体" w:hAnsi="宋体"/>
                <w:szCs w:val="21"/>
              </w:rPr>
              <w:t>分。</w:t>
            </w:r>
          </w:p>
          <w:p w14:paraId="6335273C">
            <w:pPr>
              <w:spacing w:after="120"/>
            </w:pPr>
            <w:r>
              <w:rPr>
                <w:rFonts w:hint="eastAsia"/>
              </w:rPr>
              <w:t>以上</w:t>
            </w:r>
            <w:r>
              <w:t>8</w:t>
            </w:r>
            <w:r>
              <w:rPr>
                <w:rFonts w:hint="eastAsia"/>
              </w:rPr>
              <w:t>项累计得分，最多得100分。</w:t>
            </w:r>
          </w:p>
          <w:p w14:paraId="71CC64C2">
            <w:pPr>
              <w:spacing w:after="120"/>
            </w:pPr>
            <w:r>
              <w:rPr>
                <w:rFonts w:hint="eastAsia"/>
              </w:rPr>
              <w:t>同一人员同时担任多个岗位的，只计算一个岗位的分值，不重复计分。</w:t>
            </w:r>
          </w:p>
          <w:p w14:paraId="09AB6A7C">
            <w:pPr>
              <w:jc w:val="left"/>
              <w:rPr>
                <w:rFonts w:ascii="宋体" w:hAnsi="宋体"/>
                <w:szCs w:val="21"/>
              </w:rPr>
            </w:pPr>
            <w:r>
              <w:rPr>
                <w:rFonts w:hint="eastAsia" w:ascii="宋体" w:hAnsi="宋体"/>
                <w:szCs w:val="21"/>
              </w:rPr>
              <w:t>（二）评分依据：</w:t>
            </w:r>
          </w:p>
          <w:p w14:paraId="0BE97D99">
            <w:pPr>
              <w:jc w:val="left"/>
              <w:rPr>
                <w:rFonts w:ascii="宋体" w:hAnsi="宋体"/>
                <w:szCs w:val="21"/>
              </w:rPr>
            </w:pPr>
            <w:r>
              <w:rPr>
                <w:rFonts w:hint="eastAsia" w:ascii="宋体" w:hAnsi="宋体"/>
                <w:szCs w:val="21"/>
              </w:rPr>
              <w:t>1.要求提供通过投标人缴纳的近三个月（含开标当月）的任意一个月的社保证明作为本单位员工的证明依据，如供应商成立不足一个月，提供情况说明函（格式自拟），无需提供相关人员社保，亦可得分。</w:t>
            </w:r>
          </w:p>
          <w:p w14:paraId="785E25A2">
            <w:pPr>
              <w:jc w:val="left"/>
              <w:rPr>
                <w:rFonts w:ascii="宋体" w:hAnsi="宋体"/>
                <w:szCs w:val="21"/>
              </w:rPr>
            </w:pPr>
            <w:r>
              <w:rPr>
                <w:rFonts w:hint="eastAsia" w:ascii="宋体" w:hAnsi="宋体"/>
                <w:szCs w:val="21"/>
              </w:rPr>
              <w:t>2.考察学历的，要求提供学历（毕业）证书及学信网查询记录。对于较早颁发的学历证书，学信网无法查询的，要求提供证书扫描件和其他佐证材料（如毕业院校、人社部门等颁发机构或监管机构等单位出具的证明）作为得分的依据。境外留学（含港澳台）人员学历无法通过学信网站查询，应当提供“教育部留学服务中心出具的学历学位认证书以及教育部留学服务中心官网查询截图”作为得分依据。</w:t>
            </w:r>
          </w:p>
          <w:p w14:paraId="18938E20">
            <w:pPr>
              <w:jc w:val="left"/>
              <w:rPr>
                <w:rFonts w:ascii="宋体" w:hAnsi="宋体"/>
                <w:szCs w:val="21"/>
              </w:rPr>
            </w:pPr>
            <w:r>
              <w:rPr>
                <w:rFonts w:hint="eastAsia" w:ascii="宋体" w:hAnsi="宋体"/>
                <w:szCs w:val="21"/>
              </w:rPr>
              <w:t>3.职称证书需同时提供证书扫描件以及证书在全国人力资源和社会保障政务服务平台（https://12333.gov.cn/）查询截图或人社部门(或职称评审管理单位)出具的证明材料（或官网查询截图）；</w:t>
            </w:r>
          </w:p>
          <w:p w14:paraId="731BC58A">
            <w:pPr>
              <w:jc w:val="left"/>
              <w:rPr>
                <w:rFonts w:ascii="宋体" w:hAnsi="宋体"/>
                <w:szCs w:val="21"/>
              </w:rPr>
            </w:pPr>
            <w:r>
              <w:rPr>
                <w:rFonts w:hint="eastAsia" w:ascii="宋体" w:hAnsi="宋体"/>
                <w:szCs w:val="21"/>
              </w:rPr>
              <w:t>4.职业资格证书（或职业技能等级证书）需同时提供证书扫描件以及证书以及提供技能人才评价证书全国联网（http://zscx.osta.org.cn/）查询截图；若为职业技能等级证书，还需提供颁证机构在人社部门备案的查询证明（查询网址：职业技能等级评价机构公示查询系统http://pjjg.osta.org.cn/）；证书在公开渠道无法查询的，需提供颁发机构的证明材料证明证书真实有效。</w:t>
            </w:r>
          </w:p>
          <w:p w14:paraId="5A28900C">
            <w:pPr>
              <w:jc w:val="left"/>
              <w:rPr>
                <w:rFonts w:ascii="宋体" w:hAnsi="宋体"/>
                <w:szCs w:val="21"/>
              </w:rPr>
            </w:pPr>
            <w:r>
              <w:rPr>
                <w:rFonts w:hint="eastAsia" w:ascii="宋体" w:hAnsi="宋体"/>
                <w:szCs w:val="21"/>
              </w:rPr>
              <w:t>5.若证书颁证机构为社会组织的，还需同时提供该组织在“中国社会组织政务服务平台（全国社会组织信用信息公示平台）https://chinanpo.mca.gov.cn/”的查询截图（截图需体现网址且状态为正常），否则该证书不得分。</w:t>
            </w:r>
          </w:p>
          <w:p w14:paraId="03EEDD2D">
            <w:pPr>
              <w:rPr>
                <w:rFonts w:ascii="宋体" w:hAnsi="宋体"/>
                <w:szCs w:val="21"/>
              </w:rPr>
            </w:pPr>
            <w:r>
              <w:rPr>
                <w:rFonts w:ascii="宋体" w:hAnsi="宋体"/>
                <w:szCs w:val="21"/>
              </w:rPr>
              <w:t>6</w:t>
            </w:r>
            <w:r>
              <w:rPr>
                <w:rFonts w:hint="eastAsia" w:ascii="宋体" w:hAnsi="宋体"/>
                <w:szCs w:val="21"/>
              </w:rPr>
              <w:t>.以上资料均要求提供扫描件。评分中出现无证明资料或专家无法凭所提供资料判断是否得分的情况，一律作不得分处理。</w:t>
            </w:r>
          </w:p>
        </w:tc>
      </w:tr>
      <w:tr w14:paraId="2CE8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7BADA209">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5AA12A56">
            <w:pPr>
              <w:jc w:val="center"/>
              <w:rPr>
                <w:rFonts w:ascii="宋体" w:hAnsi="宋体" w:cs="宋体"/>
                <w:szCs w:val="21"/>
              </w:rPr>
            </w:pPr>
            <w:r>
              <w:rPr>
                <w:rFonts w:hint="eastAsia" w:ascii="宋体" w:hAnsi="宋体" w:cs="宋体"/>
                <w:szCs w:val="21"/>
              </w:rPr>
              <w:t>8</w:t>
            </w:r>
          </w:p>
        </w:tc>
        <w:tc>
          <w:tcPr>
            <w:tcW w:w="1232" w:type="dxa"/>
            <w:tcMar>
              <w:top w:w="0" w:type="dxa"/>
              <w:left w:w="28" w:type="dxa"/>
              <w:bottom w:w="0" w:type="dxa"/>
              <w:right w:w="28" w:type="dxa"/>
            </w:tcMar>
            <w:vAlign w:val="center"/>
          </w:tcPr>
          <w:p w14:paraId="2C8ED7E3">
            <w:pPr>
              <w:jc w:val="center"/>
              <w:rPr>
                <w:rFonts w:ascii="宋体" w:hAnsi="宋体" w:cs="宋体"/>
                <w:szCs w:val="21"/>
              </w:rPr>
            </w:pPr>
            <w:r>
              <w:rPr>
                <w:rFonts w:hint="eastAsia" w:ascii="宋体" w:hAnsi="宋体"/>
                <w:szCs w:val="21"/>
              </w:rPr>
              <w:t>供应商同类项目业绩情况</w:t>
            </w:r>
          </w:p>
        </w:tc>
        <w:tc>
          <w:tcPr>
            <w:tcW w:w="442" w:type="dxa"/>
            <w:tcMar>
              <w:top w:w="0" w:type="dxa"/>
              <w:left w:w="28" w:type="dxa"/>
              <w:bottom w:w="0" w:type="dxa"/>
              <w:right w:w="28" w:type="dxa"/>
            </w:tcMar>
            <w:vAlign w:val="center"/>
          </w:tcPr>
          <w:p w14:paraId="6F92C222">
            <w:pPr>
              <w:jc w:val="center"/>
              <w:rPr>
                <w:rFonts w:ascii="宋体" w:hAnsi="宋体" w:cs="宋体"/>
                <w:szCs w:val="21"/>
              </w:rPr>
            </w:pPr>
            <w:r>
              <w:rPr>
                <w:rFonts w:ascii="宋体" w:hAnsi="宋体"/>
                <w:szCs w:val="21"/>
              </w:rPr>
              <w:t>7</w:t>
            </w:r>
          </w:p>
        </w:tc>
        <w:tc>
          <w:tcPr>
            <w:tcW w:w="6851" w:type="dxa"/>
            <w:tcMar>
              <w:top w:w="0" w:type="dxa"/>
              <w:left w:w="28" w:type="dxa"/>
              <w:bottom w:w="0" w:type="dxa"/>
              <w:right w:w="28" w:type="dxa"/>
            </w:tcMar>
          </w:tcPr>
          <w:p w14:paraId="5D989B19">
            <w:pPr>
              <w:jc w:val="left"/>
              <w:rPr>
                <w:rFonts w:ascii="宋体" w:hAnsi="宋体"/>
                <w:b/>
                <w:szCs w:val="21"/>
              </w:rPr>
            </w:pPr>
            <w:r>
              <w:rPr>
                <w:rFonts w:hint="eastAsia" w:ascii="宋体" w:hAnsi="宋体"/>
                <w:b/>
                <w:szCs w:val="21"/>
              </w:rPr>
              <w:t>（一）评分内容：</w:t>
            </w:r>
          </w:p>
          <w:p w14:paraId="1A99D886">
            <w:pPr>
              <w:widowControl/>
              <w:jc w:val="left"/>
              <w:rPr>
                <w:rFonts w:ascii="宋体" w:hAnsi="宋体"/>
                <w:kern w:val="0"/>
                <w:szCs w:val="21"/>
              </w:rPr>
            </w:pPr>
            <w:r>
              <w:rPr>
                <w:rFonts w:hint="eastAsia" w:ascii="宋体" w:hAnsi="宋体"/>
                <w:kern w:val="0"/>
                <w:szCs w:val="21"/>
              </w:rPr>
              <w:t>考察投标人从</w:t>
            </w:r>
            <w:r>
              <w:rPr>
                <w:rFonts w:ascii="宋体" w:hAnsi="宋体"/>
                <w:kern w:val="0"/>
                <w:szCs w:val="21"/>
              </w:rPr>
              <w:t>2023</w:t>
            </w:r>
            <w:r>
              <w:rPr>
                <w:rFonts w:hint="eastAsia" w:ascii="宋体" w:hAnsi="宋体"/>
                <w:kern w:val="0"/>
                <w:szCs w:val="21"/>
              </w:rPr>
              <w:t>年</w:t>
            </w:r>
            <w:r>
              <w:rPr>
                <w:rFonts w:ascii="宋体" w:hAnsi="宋体"/>
                <w:kern w:val="0"/>
                <w:szCs w:val="21"/>
              </w:rPr>
              <w:t>1</w:t>
            </w:r>
            <w:r>
              <w:rPr>
                <w:rFonts w:hint="eastAsia" w:ascii="宋体" w:hAnsi="宋体"/>
                <w:kern w:val="0"/>
                <w:szCs w:val="21"/>
              </w:rPr>
              <w:t>月</w:t>
            </w:r>
            <w:r>
              <w:rPr>
                <w:rFonts w:ascii="宋体" w:hAnsi="宋体"/>
                <w:kern w:val="0"/>
                <w:szCs w:val="21"/>
              </w:rPr>
              <w:t>1</w:t>
            </w:r>
            <w:r>
              <w:rPr>
                <w:rFonts w:hint="eastAsia" w:ascii="宋体" w:hAnsi="宋体"/>
                <w:kern w:val="0"/>
                <w:szCs w:val="21"/>
              </w:rPr>
              <w:t>日起至本项目投标截止之日止（以合同签订日期为准）承担过物业管理项目业绩情况：要求服务内容至少包含①安全秩序维护服务②环境清洁服务③消杀服务④绿化养护服务⑤设施设备维修养护⑥会务服务⑦公寓管理。（服务内容涵盖即可，文字描述可不完全一致），每提供一个业绩得20分，累计最高得100分。</w:t>
            </w:r>
          </w:p>
          <w:p w14:paraId="7F373F73">
            <w:pPr>
              <w:widowControl/>
              <w:jc w:val="left"/>
              <w:rPr>
                <w:rFonts w:ascii="宋体" w:hAnsi="宋体"/>
                <w:kern w:val="0"/>
                <w:szCs w:val="21"/>
              </w:rPr>
            </w:pPr>
          </w:p>
          <w:p w14:paraId="672B39DA">
            <w:pPr>
              <w:jc w:val="left"/>
              <w:rPr>
                <w:rFonts w:ascii="宋体" w:hAnsi="宋体"/>
                <w:b/>
                <w:szCs w:val="21"/>
              </w:rPr>
            </w:pPr>
            <w:r>
              <w:rPr>
                <w:rFonts w:hint="eastAsia" w:ascii="宋体" w:hAnsi="宋体"/>
                <w:b/>
                <w:szCs w:val="21"/>
              </w:rPr>
              <w:t>（二）评分依据：</w:t>
            </w:r>
          </w:p>
          <w:p w14:paraId="085BF07E">
            <w:pPr>
              <w:jc w:val="left"/>
              <w:rPr>
                <w:rFonts w:ascii="宋体" w:hAnsi="宋体"/>
                <w:szCs w:val="21"/>
              </w:rPr>
            </w:pPr>
            <w:r>
              <w:rPr>
                <w:rFonts w:hint="eastAsia" w:ascii="宋体" w:hAnsi="宋体"/>
                <w:szCs w:val="21"/>
              </w:rPr>
              <w:t>1.要求同时提供合同关键信息</w:t>
            </w:r>
            <w:r>
              <w:rPr>
                <w:rFonts w:hint="eastAsia" w:ascii="宋体" w:hAnsi="宋体"/>
                <w:szCs w:val="21"/>
                <w:lang w:val="en-US" w:eastAsia="zh-CN"/>
              </w:rPr>
              <w:t>以及</w:t>
            </w:r>
            <w:r>
              <w:rPr>
                <w:rFonts w:hint="eastAsia" w:ascii="宋体" w:hAnsi="宋体"/>
                <w:szCs w:val="21"/>
              </w:rPr>
              <w:t>履约评价合格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或者验收合格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证明文件作为得分依据，履约评价合格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或者验收合格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证明文件需加盖合同甲方公章（或甲方业务章）。履约评价（或验收）合格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不必一定为终期评价或验收合格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，阶段性评价或验收合格</w:t>
            </w:r>
            <w:r>
              <w:rPr>
                <w:rFonts w:hint="eastAsia" w:ascii="宋体" w:hAnsi="宋体"/>
                <w:szCs w:val="21"/>
                <w:lang w:eastAsia="zh-CN"/>
              </w:rPr>
              <w:t>（</w:t>
            </w:r>
            <w:r>
              <w:rPr>
                <w:rFonts w:hint="eastAsia" w:ascii="宋体" w:hAnsi="宋体"/>
                <w:szCs w:val="21"/>
                <w:lang w:val="en-US" w:eastAsia="zh-CN"/>
              </w:rPr>
              <w:t>或以上</w:t>
            </w:r>
            <w:r>
              <w:rPr>
                <w:rFonts w:hint="eastAsia" w:ascii="宋体" w:hAnsi="宋体"/>
                <w:szCs w:val="21"/>
                <w:lang w:eastAsia="zh-CN"/>
              </w:rPr>
              <w:t>）</w:t>
            </w:r>
            <w:r>
              <w:rPr>
                <w:rFonts w:hint="eastAsia" w:ascii="宋体" w:hAnsi="宋体"/>
                <w:szCs w:val="21"/>
              </w:rPr>
              <w:t>也</w:t>
            </w:r>
            <w:r>
              <w:rPr>
                <w:rFonts w:hint="eastAsia" w:ascii="宋体" w:hAnsi="宋体"/>
                <w:szCs w:val="21"/>
                <w:lang w:val="en-US" w:eastAsia="zh-CN"/>
              </w:rPr>
              <w:t>可以得分</w:t>
            </w:r>
            <w:r>
              <w:rPr>
                <w:rFonts w:hint="eastAsia" w:ascii="宋体" w:hAnsi="宋体"/>
                <w:szCs w:val="21"/>
              </w:rPr>
              <w:t>。</w:t>
            </w:r>
          </w:p>
          <w:p w14:paraId="50BB67B1">
            <w:pPr>
              <w:jc w:val="left"/>
              <w:rPr>
                <w:rFonts w:ascii="宋体" w:hAnsi="宋体"/>
                <w:szCs w:val="21"/>
              </w:rPr>
            </w:pPr>
            <w:r>
              <w:rPr>
                <w:rFonts w:hint="eastAsia" w:ascii="宋体" w:hAnsi="宋体"/>
                <w:szCs w:val="21"/>
              </w:rPr>
              <w:t>2.以上资料均要求提供扫描件。评分中出现无证明资料或专家无法凭所提供资料判断是否得分的情况，一律作不得分处理。</w:t>
            </w:r>
          </w:p>
        </w:tc>
      </w:tr>
      <w:tr w14:paraId="793A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restart"/>
            <w:tcMar>
              <w:top w:w="0" w:type="dxa"/>
              <w:left w:w="28" w:type="dxa"/>
              <w:bottom w:w="0" w:type="dxa"/>
              <w:right w:w="28" w:type="dxa"/>
            </w:tcMar>
          </w:tcPr>
          <w:p w14:paraId="518F80BB">
            <w:pPr>
              <w:jc w:val="center"/>
              <w:rPr>
                <w:rFonts w:ascii="宋体" w:hAnsi="宋体" w:cs="宋体"/>
                <w:b/>
                <w:bCs/>
                <w:szCs w:val="21"/>
              </w:rPr>
            </w:pPr>
            <w:r>
              <w:rPr>
                <w:rFonts w:ascii="宋体" w:hAnsi="宋体"/>
                <w:b/>
                <w:bCs/>
                <w:szCs w:val="21"/>
              </w:rPr>
              <w:t>3</w:t>
            </w:r>
          </w:p>
        </w:tc>
        <w:tc>
          <w:tcPr>
            <w:tcW w:w="1985" w:type="dxa"/>
            <w:gridSpan w:val="3"/>
            <w:tcMar>
              <w:top w:w="0" w:type="dxa"/>
              <w:left w:w="28" w:type="dxa"/>
              <w:bottom w:w="0" w:type="dxa"/>
              <w:right w:w="28" w:type="dxa"/>
            </w:tcMar>
          </w:tcPr>
          <w:p w14:paraId="40E8AC71">
            <w:pPr>
              <w:jc w:val="center"/>
              <w:rPr>
                <w:rFonts w:ascii="宋体" w:hAnsi="宋体" w:cs="宋体"/>
                <w:b/>
                <w:bCs/>
                <w:szCs w:val="21"/>
              </w:rPr>
            </w:pPr>
            <w:r>
              <w:rPr>
                <w:rFonts w:hint="eastAsia" w:ascii="宋体" w:hAnsi="宋体"/>
                <w:b/>
                <w:bCs/>
                <w:szCs w:val="21"/>
              </w:rPr>
              <w:t>商务部分</w:t>
            </w:r>
          </w:p>
        </w:tc>
        <w:tc>
          <w:tcPr>
            <w:tcW w:w="6851" w:type="dxa"/>
            <w:tcMar>
              <w:top w:w="0" w:type="dxa"/>
              <w:left w:w="28" w:type="dxa"/>
              <w:bottom w:w="0" w:type="dxa"/>
              <w:right w:w="28" w:type="dxa"/>
            </w:tcMar>
          </w:tcPr>
          <w:p w14:paraId="717C54F7">
            <w:pPr>
              <w:jc w:val="center"/>
              <w:rPr>
                <w:rFonts w:hint="default" w:ascii="宋体" w:hAnsi="宋体" w:eastAsia="宋体" w:cs="宋体"/>
                <w:b/>
                <w:bCs/>
                <w:szCs w:val="21"/>
                <w:lang w:val="en-US" w:eastAsia="zh-CN"/>
              </w:rPr>
            </w:pPr>
            <w:r>
              <w:rPr>
                <w:rFonts w:hint="eastAsia" w:ascii="宋体" w:hAnsi="宋体" w:cs="宋体"/>
                <w:b/>
                <w:bCs/>
                <w:szCs w:val="21"/>
                <w:lang w:val="en-US" w:eastAsia="zh-CN"/>
              </w:rPr>
              <w:t>15</w:t>
            </w:r>
          </w:p>
        </w:tc>
      </w:tr>
      <w:tr w14:paraId="6DAE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3AAC9B45">
            <w:pPr>
              <w:widowControl/>
              <w:jc w:val="left"/>
              <w:rPr>
                <w:rFonts w:ascii="宋体" w:hAnsi="宋体" w:cs="宋体"/>
                <w:b/>
                <w:bCs/>
                <w:szCs w:val="21"/>
              </w:rPr>
            </w:pPr>
          </w:p>
        </w:tc>
        <w:tc>
          <w:tcPr>
            <w:tcW w:w="8836" w:type="dxa"/>
            <w:gridSpan w:val="4"/>
            <w:tcMar>
              <w:top w:w="0" w:type="dxa"/>
              <w:left w:w="28" w:type="dxa"/>
              <w:bottom w:w="0" w:type="dxa"/>
              <w:right w:w="28" w:type="dxa"/>
            </w:tcMar>
          </w:tcPr>
          <w:p w14:paraId="1A59307D">
            <w:pPr>
              <w:rPr>
                <w:rFonts w:ascii="宋体" w:hAnsi="宋体" w:cs="宋体"/>
                <w:szCs w:val="21"/>
              </w:rPr>
            </w:pPr>
          </w:p>
        </w:tc>
      </w:tr>
      <w:tr w14:paraId="3B81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shd w:val="clear" w:color="auto" w:fill="auto"/>
            <w:tcMar>
              <w:top w:w="0" w:type="dxa"/>
              <w:left w:w="28" w:type="dxa"/>
              <w:bottom w:w="0" w:type="dxa"/>
              <w:right w:w="28" w:type="dxa"/>
            </w:tcMar>
            <w:vAlign w:val="center"/>
          </w:tcPr>
          <w:p w14:paraId="6D30ABA8">
            <w:pPr>
              <w:widowControl/>
              <w:jc w:val="left"/>
              <w:rPr>
                <w:rFonts w:ascii="宋体" w:hAnsi="宋体" w:cs="宋体"/>
                <w:b/>
                <w:bCs/>
                <w:szCs w:val="21"/>
              </w:rPr>
            </w:pPr>
          </w:p>
        </w:tc>
        <w:tc>
          <w:tcPr>
            <w:tcW w:w="311" w:type="dxa"/>
            <w:shd w:val="clear" w:color="auto" w:fill="E6EFFA"/>
            <w:tcMar>
              <w:top w:w="0" w:type="dxa"/>
              <w:left w:w="28" w:type="dxa"/>
              <w:bottom w:w="0" w:type="dxa"/>
              <w:right w:w="28" w:type="dxa"/>
            </w:tcMar>
            <w:vAlign w:val="center"/>
          </w:tcPr>
          <w:p w14:paraId="0E093BC4">
            <w:pPr>
              <w:jc w:val="center"/>
              <w:rPr>
                <w:rFonts w:ascii="宋体" w:hAnsi="宋体" w:cs="宋体"/>
                <w:szCs w:val="21"/>
              </w:rPr>
            </w:pPr>
            <w:r>
              <w:rPr>
                <w:rFonts w:hint="eastAsia" w:ascii="宋体" w:hAnsi="宋体"/>
                <w:szCs w:val="21"/>
              </w:rPr>
              <w:t>序号</w:t>
            </w:r>
          </w:p>
        </w:tc>
        <w:tc>
          <w:tcPr>
            <w:tcW w:w="1232" w:type="dxa"/>
            <w:shd w:val="clear" w:color="auto" w:fill="E6EFFA"/>
            <w:tcMar>
              <w:top w:w="0" w:type="dxa"/>
              <w:left w:w="28" w:type="dxa"/>
              <w:bottom w:w="0" w:type="dxa"/>
              <w:right w:w="28" w:type="dxa"/>
            </w:tcMar>
            <w:vAlign w:val="center"/>
          </w:tcPr>
          <w:p w14:paraId="3F0FC82B">
            <w:pPr>
              <w:jc w:val="center"/>
              <w:rPr>
                <w:rFonts w:ascii="宋体" w:hAnsi="宋体" w:cs="宋体"/>
                <w:szCs w:val="21"/>
              </w:rPr>
            </w:pPr>
            <w:r>
              <w:rPr>
                <w:rFonts w:hint="eastAsia" w:ascii="宋体" w:hAnsi="宋体"/>
                <w:szCs w:val="21"/>
              </w:rPr>
              <w:t>评审因素</w:t>
            </w:r>
          </w:p>
        </w:tc>
        <w:tc>
          <w:tcPr>
            <w:tcW w:w="442" w:type="dxa"/>
            <w:shd w:val="clear" w:color="auto" w:fill="E6EFFA"/>
            <w:tcMar>
              <w:top w:w="0" w:type="dxa"/>
              <w:left w:w="28" w:type="dxa"/>
              <w:bottom w:w="0" w:type="dxa"/>
              <w:right w:w="28" w:type="dxa"/>
            </w:tcMar>
            <w:vAlign w:val="center"/>
          </w:tcPr>
          <w:p w14:paraId="6C4A8194">
            <w:pPr>
              <w:jc w:val="center"/>
              <w:rPr>
                <w:rFonts w:ascii="宋体" w:hAnsi="宋体" w:cs="宋体"/>
                <w:szCs w:val="21"/>
              </w:rPr>
            </w:pPr>
            <w:r>
              <w:rPr>
                <w:rFonts w:hint="eastAsia" w:ascii="宋体" w:hAnsi="宋体"/>
                <w:szCs w:val="21"/>
              </w:rPr>
              <w:t>权重</w:t>
            </w:r>
            <w:r>
              <w:rPr>
                <w:rFonts w:ascii="宋体" w:hAnsi="宋体"/>
                <w:szCs w:val="21"/>
              </w:rPr>
              <w:t>(%)</w:t>
            </w:r>
          </w:p>
        </w:tc>
        <w:tc>
          <w:tcPr>
            <w:tcW w:w="6851" w:type="dxa"/>
            <w:shd w:val="clear" w:color="auto" w:fill="E6EFFA"/>
            <w:tcMar>
              <w:top w:w="0" w:type="dxa"/>
              <w:left w:w="28" w:type="dxa"/>
              <w:bottom w:w="0" w:type="dxa"/>
              <w:right w:w="28" w:type="dxa"/>
            </w:tcMar>
            <w:vAlign w:val="center"/>
          </w:tcPr>
          <w:p w14:paraId="525317B1">
            <w:pPr>
              <w:jc w:val="center"/>
              <w:rPr>
                <w:rFonts w:ascii="宋体" w:hAnsi="宋体" w:cs="宋体"/>
                <w:szCs w:val="21"/>
              </w:rPr>
            </w:pPr>
            <w:r>
              <w:rPr>
                <w:rFonts w:hint="eastAsia" w:ascii="宋体" w:hAnsi="宋体"/>
                <w:szCs w:val="21"/>
              </w:rPr>
              <w:t>评分准则</w:t>
            </w:r>
          </w:p>
        </w:tc>
      </w:tr>
      <w:tr w14:paraId="11CE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5FF59078">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5130C73C">
            <w:pPr>
              <w:jc w:val="center"/>
              <w:rPr>
                <w:rFonts w:ascii="宋体" w:hAnsi="宋体" w:cs="宋体"/>
                <w:szCs w:val="21"/>
              </w:rPr>
            </w:pPr>
            <w:r>
              <w:rPr>
                <w:rFonts w:hint="eastAsia" w:ascii="宋体" w:hAnsi="宋体"/>
                <w:szCs w:val="21"/>
              </w:rPr>
              <w:t>1</w:t>
            </w:r>
          </w:p>
        </w:tc>
        <w:tc>
          <w:tcPr>
            <w:tcW w:w="1232" w:type="dxa"/>
            <w:tcMar>
              <w:top w:w="0" w:type="dxa"/>
              <w:left w:w="28" w:type="dxa"/>
              <w:bottom w:w="0" w:type="dxa"/>
              <w:right w:w="28" w:type="dxa"/>
            </w:tcMar>
            <w:vAlign w:val="center"/>
          </w:tcPr>
          <w:p w14:paraId="04C6418F">
            <w:pPr>
              <w:jc w:val="center"/>
              <w:rPr>
                <w:rFonts w:ascii="宋体" w:hAnsi="宋体" w:cs="宋体"/>
                <w:szCs w:val="21"/>
              </w:rPr>
            </w:pPr>
            <w:r>
              <w:rPr>
                <w:rFonts w:hint="eastAsia" w:ascii="宋体" w:hAnsi="宋体"/>
                <w:szCs w:val="21"/>
              </w:rPr>
              <w:t>供应商认证情况</w:t>
            </w:r>
          </w:p>
        </w:tc>
        <w:tc>
          <w:tcPr>
            <w:tcW w:w="442" w:type="dxa"/>
            <w:tcMar>
              <w:top w:w="0" w:type="dxa"/>
              <w:left w:w="28" w:type="dxa"/>
              <w:bottom w:w="0" w:type="dxa"/>
              <w:right w:w="28" w:type="dxa"/>
            </w:tcMar>
            <w:vAlign w:val="center"/>
          </w:tcPr>
          <w:p w14:paraId="1DD0DDE2">
            <w:pPr>
              <w:jc w:val="center"/>
              <w:rPr>
                <w:rFonts w:ascii="宋体" w:hAnsi="宋体" w:cs="宋体"/>
                <w:szCs w:val="21"/>
              </w:rPr>
            </w:pPr>
            <w:r>
              <w:rPr>
                <w:rFonts w:ascii="宋体" w:hAnsi="宋体"/>
                <w:szCs w:val="21"/>
              </w:rPr>
              <w:t>5</w:t>
            </w:r>
          </w:p>
        </w:tc>
        <w:tc>
          <w:tcPr>
            <w:tcW w:w="6851" w:type="dxa"/>
            <w:tcMar>
              <w:top w:w="0" w:type="dxa"/>
              <w:left w:w="28" w:type="dxa"/>
              <w:bottom w:w="0" w:type="dxa"/>
              <w:right w:w="28" w:type="dxa"/>
            </w:tcMar>
          </w:tcPr>
          <w:p w14:paraId="5AB41FB2">
            <w:pPr>
              <w:jc w:val="left"/>
              <w:rPr>
                <w:rFonts w:ascii="宋体" w:hAnsi="宋体"/>
                <w:b/>
                <w:szCs w:val="21"/>
              </w:rPr>
            </w:pPr>
            <w:r>
              <w:rPr>
                <w:rFonts w:hint="eastAsia" w:ascii="宋体" w:hAnsi="宋体"/>
                <w:b/>
                <w:szCs w:val="21"/>
              </w:rPr>
              <w:t>（一）评分内容：</w:t>
            </w:r>
          </w:p>
          <w:p w14:paraId="20735E46">
            <w:pPr>
              <w:jc w:val="left"/>
              <w:rPr>
                <w:rFonts w:ascii="宋体" w:hAnsi="宋体"/>
                <w:szCs w:val="21"/>
              </w:rPr>
            </w:pPr>
            <w:r>
              <w:rPr>
                <w:rFonts w:hint="eastAsia" w:ascii="宋体" w:hAnsi="宋体"/>
                <w:szCs w:val="21"/>
              </w:rPr>
              <w:t>投标人通过质量管理体系认证、职业健康安全管理体系认证、环境管理体系认证、每有1个证书得</w:t>
            </w:r>
            <w:r>
              <w:rPr>
                <w:rFonts w:ascii="宋体" w:hAnsi="宋体"/>
                <w:szCs w:val="21"/>
              </w:rPr>
              <w:t>34</w:t>
            </w:r>
            <w:r>
              <w:rPr>
                <w:rFonts w:hint="eastAsia" w:ascii="宋体" w:hAnsi="宋体"/>
                <w:szCs w:val="21"/>
              </w:rPr>
              <w:t>分，本小项最高得</w:t>
            </w:r>
            <w:r>
              <w:rPr>
                <w:rFonts w:ascii="宋体" w:hAnsi="宋体"/>
                <w:szCs w:val="21"/>
              </w:rPr>
              <w:t>10</w:t>
            </w:r>
            <w:r>
              <w:rPr>
                <w:rFonts w:hint="eastAsia" w:ascii="宋体" w:hAnsi="宋体"/>
                <w:szCs w:val="21"/>
              </w:rPr>
              <w:t>0分。</w:t>
            </w:r>
          </w:p>
          <w:p w14:paraId="50D68C72">
            <w:pPr>
              <w:jc w:val="left"/>
              <w:rPr>
                <w:rFonts w:ascii="宋体" w:hAnsi="宋体"/>
                <w:szCs w:val="21"/>
              </w:rPr>
            </w:pPr>
          </w:p>
          <w:p w14:paraId="6241D2E1">
            <w:pPr>
              <w:jc w:val="left"/>
              <w:rPr>
                <w:rFonts w:ascii="宋体" w:hAnsi="宋体"/>
                <w:b/>
                <w:szCs w:val="21"/>
              </w:rPr>
            </w:pPr>
            <w:r>
              <w:rPr>
                <w:rFonts w:hint="eastAsia" w:ascii="宋体" w:hAnsi="宋体"/>
                <w:b/>
                <w:szCs w:val="21"/>
              </w:rPr>
              <w:t>（二）评分依据：</w:t>
            </w:r>
          </w:p>
          <w:p w14:paraId="43308B2A">
            <w:pPr>
              <w:jc w:val="left"/>
              <w:rPr>
                <w:rFonts w:ascii="宋体" w:hAnsi="宋体"/>
                <w:szCs w:val="21"/>
              </w:rPr>
            </w:pPr>
            <w:r>
              <w:rPr>
                <w:rFonts w:hint="eastAsia" w:ascii="宋体" w:hAnsi="宋体"/>
                <w:szCs w:val="21"/>
              </w:rPr>
              <w:t>要求提供所有有效的认证证书扫描件，及出具证书官网或全国认证认可信息公共服务平台（http://cx.cnca.cn/）的证书查询记录。认证证书在公开渠道无法查询的，需提供颁发机构的证明材料，证明证书真实有效。评分中出现无证明资料或专家无法凭所提供资料判断是否得分的情况，一律作不得分处理。</w:t>
            </w:r>
          </w:p>
        </w:tc>
      </w:tr>
      <w:tr w14:paraId="063D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64" w:hRule="atLeast"/>
          <w:tblCellSpacing w:w="0" w:type="dxa"/>
          <w:jc w:val="center"/>
        </w:trPr>
        <w:tc>
          <w:tcPr>
            <w:tcW w:w="313" w:type="dxa"/>
            <w:vMerge w:val="continue"/>
            <w:tcMar>
              <w:top w:w="0" w:type="dxa"/>
              <w:left w:w="28" w:type="dxa"/>
              <w:bottom w:w="0" w:type="dxa"/>
              <w:right w:w="28" w:type="dxa"/>
            </w:tcMar>
            <w:vAlign w:val="center"/>
          </w:tcPr>
          <w:p w14:paraId="2D66DA69">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152BDAF8">
            <w:pPr>
              <w:jc w:val="center"/>
              <w:rPr>
                <w:rFonts w:ascii="宋体" w:hAnsi="宋体" w:cs="宋体"/>
                <w:szCs w:val="21"/>
              </w:rPr>
            </w:pPr>
            <w:r>
              <w:rPr>
                <w:rFonts w:ascii="宋体" w:hAnsi="宋体"/>
                <w:szCs w:val="21"/>
              </w:rPr>
              <w:t>2</w:t>
            </w:r>
          </w:p>
        </w:tc>
        <w:tc>
          <w:tcPr>
            <w:tcW w:w="1232" w:type="dxa"/>
            <w:tcMar>
              <w:top w:w="0" w:type="dxa"/>
              <w:left w:w="28" w:type="dxa"/>
              <w:bottom w:w="0" w:type="dxa"/>
              <w:right w:w="28" w:type="dxa"/>
            </w:tcMar>
            <w:vAlign w:val="center"/>
          </w:tcPr>
          <w:p w14:paraId="46BF9185">
            <w:pPr>
              <w:jc w:val="center"/>
              <w:rPr>
                <w:rFonts w:ascii="宋体" w:hAnsi="宋体" w:cs="宋体"/>
                <w:szCs w:val="21"/>
              </w:rPr>
            </w:pPr>
            <w:r>
              <w:rPr>
                <w:rFonts w:hint="eastAsia" w:ascii="宋体" w:hAnsi="宋体"/>
                <w:szCs w:val="21"/>
              </w:rPr>
              <w:t>供应商获奖情况</w:t>
            </w:r>
          </w:p>
        </w:tc>
        <w:tc>
          <w:tcPr>
            <w:tcW w:w="442" w:type="dxa"/>
            <w:tcMar>
              <w:top w:w="0" w:type="dxa"/>
              <w:left w:w="28" w:type="dxa"/>
              <w:bottom w:w="0" w:type="dxa"/>
              <w:right w:w="28" w:type="dxa"/>
            </w:tcMar>
            <w:vAlign w:val="center"/>
          </w:tcPr>
          <w:p w14:paraId="2E10DDE9">
            <w:pPr>
              <w:jc w:val="center"/>
              <w:rPr>
                <w:rFonts w:ascii="宋体" w:hAnsi="宋体" w:cs="宋体"/>
                <w:szCs w:val="21"/>
              </w:rPr>
            </w:pPr>
            <w:r>
              <w:rPr>
                <w:rFonts w:ascii="宋体" w:hAnsi="宋体"/>
                <w:szCs w:val="21"/>
              </w:rPr>
              <w:t>7</w:t>
            </w:r>
          </w:p>
        </w:tc>
        <w:tc>
          <w:tcPr>
            <w:tcW w:w="6851" w:type="dxa"/>
            <w:tcMar>
              <w:top w:w="0" w:type="dxa"/>
              <w:left w:w="28" w:type="dxa"/>
              <w:bottom w:w="0" w:type="dxa"/>
              <w:right w:w="28" w:type="dxa"/>
            </w:tcMar>
          </w:tcPr>
          <w:p w14:paraId="4C0F1831">
            <w:pPr>
              <w:jc w:val="left"/>
              <w:rPr>
                <w:rFonts w:ascii="宋体" w:hAnsi="宋体"/>
                <w:b/>
                <w:szCs w:val="21"/>
              </w:rPr>
            </w:pPr>
            <w:r>
              <w:rPr>
                <w:rFonts w:hint="eastAsia" w:ascii="宋体" w:hAnsi="宋体"/>
                <w:b/>
                <w:szCs w:val="21"/>
              </w:rPr>
              <w:t>（一）评分内容：</w:t>
            </w:r>
          </w:p>
          <w:p w14:paraId="2E4C13E5">
            <w:pPr>
              <w:pStyle w:val="16"/>
              <w:numPr>
                <w:ilvl w:val="0"/>
                <w:numId w:val="0"/>
              </w:numPr>
              <w:ind w:left="0" w:firstLine="0"/>
              <w:rPr>
                <w:rFonts w:hint="eastAsia" w:hAnsi="宋体" w:cs="宋体"/>
                <w:sz w:val="21"/>
                <w:szCs w:val="21"/>
              </w:rPr>
            </w:pPr>
            <w:r>
              <w:rPr>
                <w:rFonts w:hint="eastAsia" w:hAnsi="宋体" w:cs="宋体"/>
                <w:sz w:val="21"/>
                <w:szCs w:val="21"/>
              </w:rPr>
              <w:t>投标人获得过政府部门颁发的先进保安类或绿色物业类荣誉的，1个得2</w:t>
            </w:r>
            <w:r>
              <w:rPr>
                <w:rFonts w:hAnsi="宋体" w:cs="宋体"/>
                <w:sz w:val="21"/>
                <w:szCs w:val="21"/>
              </w:rPr>
              <w:t>0</w:t>
            </w:r>
            <w:r>
              <w:rPr>
                <w:rFonts w:hint="eastAsia" w:hAnsi="宋体" w:cs="宋体"/>
                <w:sz w:val="21"/>
                <w:szCs w:val="21"/>
              </w:rPr>
              <w:t>分，最高得100分。</w:t>
            </w:r>
          </w:p>
          <w:p w14:paraId="3319D987">
            <w:pPr>
              <w:jc w:val="left"/>
              <w:rPr>
                <w:rFonts w:ascii="宋体" w:hAnsi="宋体"/>
                <w:b/>
                <w:szCs w:val="21"/>
              </w:rPr>
            </w:pPr>
            <w:r>
              <w:rPr>
                <w:rFonts w:hint="eastAsia" w:ascii="宋体" w:hAnsi="宋体"/>
                <w:b/>
                <w:szCs w:val="21"/>
              </w:rPr>
              <w:t>（二）评分依据：</w:t>
            </w:r>
          </w:p>
          <w:p w14:paraId="2BC28928">
            <w:pPr>
              <w:jc w:val="left"/>
              <w:rPr>
                <w:rFonts w:ascii="宋体" w:hAnsi="宋体"/>
                <w:szCs w:val="21"/>
              </w:rPr>
            </w:pPr>
            <w:r>
              <w:rPr>
                <w:rFonts w:hint="eastAsia" w:ascii="宋体" w:hAnsi="宋体"/>
                <w:szCs w:val="21"/>
              </w:rPr>
              <w:t>1.要求提供奖项照片或获奖（荣誉）证书等证明材料作为得分依据。</w:t>
            </w:r>
          </w:p>
          <w:p w14:paraId="3C447A20">
            <w:pPr>
              <w:jc w:val="left"/>
              <w:rPr>
                <w:rFonts w:ascii="宋体" w:hAnsi="宋体"/>
                <w:b/>
                <w:szCs w:val="21"/>
              </w:rPr>
            </w:pPr>
            <w:r>
              <w:rPr>
                <w:rFonts w:hint="eastAsia" w:ascii="宋体" w:hAnsi="宋体"/>
                <w:szCs w:val="21"/>
              </w:rPr>
              <w:t>2.以上资料均要求提供扫描件。评分中出现无证明资料或专家无法凭所提供资料判断是否得分的情况，一律作不得分处理。</w:t>
            </w:r>
          </w:p>
        </w:tc>
      </w:tr>
      <w:tr w14:paraId="34F1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64BC73F9">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2A0E7D75">
            <w:pPr>
              <w:jc w:val="center"/>
              <w:rPr>
                <w:rFonts w:hint="eastAsia" w:ascii="宋体" w:hAnsi="宋体" w:eastAsia="宋体" w:cs="宋体"/>
                <w:szCs w:val="21"/>
                <w:lang w:eastAsia="zh-CN"/>
              </w:rPr>
            </w:pPr>
            <w:r>
              <w:rPr>
                <w:rFonts w:hint="eastAsia" w:ascii="宋体" w:hAnsi="宋体"/>
                <w:szCs w:val="21"/>
                <w:lang w:val="en-US" w:eastAsia="zh-CN"/>
              </w:rPr>
              <w:t>3</w:t>
            </w:r>
          </w:p>
        </w:tc>
        <w:tc>
          <w:tcPr>
            <w:tcW w:w="1232" w:type="dxa"/>
            <w:tcMar>
              <w:top w:w="0" w:type="dxa"/>
              <w:left w:w="28" w:type="dxa"/>
              <w:bottom w:w="0" w:type="dxa"/>
              <w:right w:w="28" w:type="dxa"/>
            </w:tcMar>
            <w:vAlign w:val="center"/>
          </w:tcPr>
          <w:p w14:paraId="0B6C751E">
            <w:pPr>
              <w:jc w:val="center"/>
              <w:rPr>
                <w:rFonts w:ascii="宋体" w:hAnsi="宋体" w:cs="宋体"/>
                <w:szCs w:val="21"/>
              </w:rPr>
            </w:pPr>
            <w:r>
              <w:rPr>
                <w:rFonts w:hint="eastAsia" w:ascii="宋体" w:hAnsi="宋体"/>
                <w:szCs w:val="21"/>
              </w:rPr>
              <w:t>服务网点</w:t>
            </w:r>
          </w:p>
        </w:tc>
        <w:tc>
          <w:tcPr>
            <w:tcW w:w="442" w:type="dxa"/>
            <w:tcMar>
              <w:top w:w="0" w:type="dxa"/>
              <w:left w:w="28" w:type="dxa"/>
              <w:bottom w:w="0" w:type="dxa"/>
              <w:right w:w="28" w:type="dxa"/>
            </w:tcMar>
            <w:vAlign w:val="center"/>
          </w:tcPr>
          <w:p w14:paraId="4B74100B">
            <w:pPr>
              <w:jc w:val="center"/>
              <w:rPr>
                <w:rFonts w:ascii="宋体" w:hAnsi="宋体" w:cs="宋体"/>
                <w:szCs w:val="21"/>
              </w:rPr>
            </w:pPr>
            <w:r>
              <w:rPr>
                <w:rFonts w:hint="eastAsia" w:ascii="宋体" w:hAnsi="宋体"/>
                <w:szCs w:val="21"/>
              </w:rPr>
              <w:t>3</w:t>
            </w:r>
          </w:p>
        </w:tc>
        <w:tc>
          <w:tcPr>
            <w:tcW w:w="6851" w:type="dxa"/>
            <w:tcMar>
              <w:top w:w="0" w:type="dxa"/>
              <w:left w:w="28" w:type="dxa"/>
              <w:bottom w:w="0" w:type="dxa"/>
              <w:right w:w="28" w:type="dxa"/>
            </w:tcMar>
          </w:tcPr>
          <w:p w14:paraId="5B70231A">
            <w:pPr>
              <w:jc w:val="left"/>
              <w:rPr>
                <w:rFonts w:ascii="宋体" w:hAnsi="宋体"/>
                <w:szCs w:val="21"/>
              </w:rPr>
            </w:pPr>
            <w:r>
              <w:rPr>
                <w:rFonts w:hint="eastAsia" w:ascii="宋体" w:hAnsi="宋体"/>
                <w:szCs w:val="21"/>
              </w:rPr>
              <w:t>（一）评分内容：</w:t>
            </w:r>
          </w:p>
          <w:p w14:paraId="62584E0F">
            <w:pPr>
              <w:jc w:val="left"/>
              <w:rPr>
                <w:rFonts w:ascii="宋体" w:hAnsi="宋体"/>
                <w:szCs w:val="21"/>
              </w:rPr>
            </w:pPr>
            <w:r>
              <w:rPr>
                <w:rFonts w:hint="eastAsia" w:ascii="宋体" w:hAnsi="宋体"/>
                <w:szCs w:val="21"/>
              </w:rPr>
              <w:t>供应商承诺中标后提供本地经营（服务）网点的，得</w:t>
            </w:r>
            <w:r>
              <w:rPr>
                <w:rFonts w:ascii="宋体" w:hAnsi="宋体"/>
                <w:szCs w:val="21"/>
              </w:rPr>
              <w:t>100</w:t>
            </w:r>
            <w:r>
              <w:rPr>
                <w:rFonts w:hint="eastAsia" w:ascii="宋体" w:hAnsi="宋体"/>
                <w:szCs w:val="21"/>
              </w:rPr>
              <w:t>分。</w:t>
            </w:r>
          </w:p>
          <w:p w14:paraId="241BB1C4">
            <w:pPr>
              <w:jc w:val="left"/>
              <w:rPr>
                <w:rFonts w:ascii="宋体" w:hAnsi="宋体"/>
                <w:szCs w:val="21"/>
              </w:rPr>
            </w:pPr>
            <w:r>
              <w:rPr>
                <w:rFonts w:hint="eastAsia" w:ascii="宋体" w:hAnsi="宋体"/>
                <w:szCs w:val="21"/>
              </w:rPr>
              <w:t>（二）评分依据</w:t>
            </w:r>
            <w:r>
              <w:rPr>
                <w:rFonts w:ascii="宋体" w:hAnsi="宋体"/>
                <w:szCs w:val="21"/>
              </w:rPr>
              <w:t>:</w:t>
            </w:r>
          </w:p>
          <w:p w14:paraId="69A9BD2A">
            <w:pPr>
              <w:jc w:val="left"/>
              <w:rPr>
                <w:rFonts w:ascii="宋体" w:hAnsi="宋体"/>
                <w:szCs w:val="21"/>
              </w:rPr>
            </w:pPr>
            <w:r>
              <w:rPr>
                <w:rFonts w:hint="eastAsia" w:ascii="宋体" w:hAnsi="宋体"/>
                <w:szCs w:val="21"/>
              </w:rPr>
              <w:t>要求提供承诺函（格式详见采购文件投标文件正文（信息公开部分）</w:t>
            </w:r>
            <w:r>
              <w:rPr>
                <w:rFonts w:ascii="宋体" w:hAnsi="宋体"/>
                <w:szCs w:val="21"/>
              </w:rPr>
              <w:t>-</w:t>
            </w:r>
            <w:r>
              <w:rPr>
                <w:rFonts w:hint="eastAsia" w:ascii="宋体" w:hAnsi="宋体"/>
                <w:szCs w:val="21"/>
              </w:rPr>
              <w:t>服务网点</w:t>
            </w:r>
            <w:r>
              <w:rPr>
                <w:rFonts w:ascii="宋体" w:hAnsi="宋体"/>
                <w:szCs w:val="21"/>
              </w:rPr>
              <w:t>-</w:t>
            </w:r>
            <w:r>
              <w:rPr>
                <w:rFonts w:hint="eastAsia" w:ascii="宋体" w:hAnsi="宋体"/>
                <w:szCs w:val="21"/>
              </w:rPr>
              <w:t>承诺函）作为得分依据，未按采购文件要求提供承诺函的不得分。</w:t>
            </w:r>
          </w:p>
        </w:tc>
      </w:tr>
      <w:tr w14:paraId="309BE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tcMar>
              <w:top w:w="0" w:type="dxa"/>
              <w:left w:w="28" w:type="dxa"/>
              <w:bottom w:w="0" w:type="dxa"/>
              <w:right w:w="28" w:type="dxa"/>
            </w:tcMar>
          </w:tcPr>
          <w:p w14:paraId="3C207009">
            <w:pPr>
              <w:jc w:val="center"/>
              <w:rPr>
                <w:rFonts w:ascii="宋体" w:hAnsi="宋体" w:cs="宋体"/>
                <w:b/>
                <w:bCs/>
                <w:szCs w:val="21"/>
              </w:rPr>
            </w:pPr>
            <w:r>
              <w:rPr>
                <w:rFonts w:ascii="宋体" w:hAnsi="宋体"/>
                <w:b/>
                <w:bCs/>
                <w:szCs w:val="21"/>
              </w:rPr>
              <w:t>4</w:t>
            </w:r>
          </w:p>
        </w:tc>
        <w:tc>
          <w:tcPr>
            <w:tcW w:w="1985" w:type="dxa"/>
            <w:gridSpan w:val="3"/>
            <w:tcMar>
              <w:top w:w="0" w:type="dxa"/>
              <w:left w:w="28" w:type="dxa"/>
              <w:bottom w:w="0" w:type="dxa"/>
              <w:right w:w="28" w:type="dxa"/>
            </w:tcMar>
          </w:tcPr>
          <w:p w14:paraId="51692FD3">
            <w:pPr>
              <w:jc w:val="center"/>
              <w:rPr>
                <w:rFonts w:ascii="宋体" w:hAnsi="宋体" w:cs="宋体"/>
                <w:b/>
                <w:bCs/>
                <w:szCs w:val="21"/>
              </w:rPr>
            </w:pPr>
            <w:r>
              <w:rPr>
                <w:rFonts w:hint="eastAsia" w:ascii="宋体" w:hAnsi="宋体"/>
                <w:b/>
                <w:bCs/>
                <w:szCs w:val="21"/>
              </w:rPr>
              <w:t>诚信情况</w:t>
            </w:r>
          </w:p>
        </w:tc>
        <w:tc>
          <w:tcPr>
            <w:tcW w:w="6851" w:type="dxa"/>
            <w:tcMar>
              <w:top w:w="0" w:type="dxa"/>
              <w:left w:w="28" w:type="dxa"/>
              <w:bottom w:w="0" w:type="dxa"/>
              <w:right w:w="28" w:type="dxa"/>
            </w:tcMar>
          </w:tcPr>
          <w:p w14:paraId="7D42186F">
            <w:pPr>
              <w:jc w:val="center"/>
              <w:rPr>
                <w:rFonts w:ascii="宋体" w:hAnsi="宋体" w:cs="宋体"/>
                <w:b/>
                <w:bCs/>
                <w:szCs w:val="21"/>
              </w:rPr>
            </w:pPr>
            <w:r>
              <w:rPr>
                <w:rFonts w:ascii="宋体" w:hAnsi="宋体"/>
                <w:b/>
                <w:bCs/>
                <w:szCs w:val="21"/>
              </w:rPr>
              <w:t>5</w:t>
            </w:r>
          </w:p>
        </w:tc>
      </w:tr>
      <w:tr w14:paraId="453A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restart"/>
            <w:shd w:val="clear" w:color="auto" w:fill="E6EFFA"/>
            <w:tcMar>
              <w:top w:w="0" w:type="dxa"/>
              <w:left w:w="28" w:type="dxa"/>
              <w:bottom w:w="0" w:type="dxa"/>
              <w:right w:w="28" w:type="dxa"/>
            </w:tcMar>
            <w:vAlign w:val="center"/>
          </w:tcPr>
          <w:p w14:paraId="438F9901">
            <w:pPr>
              <w:rPr>
                <w:rFonts w:ascii="宋体" w:hAnsi="宋体" w:cs="宋体"/>
                <w:b/>
                <w:bCs/>
                <w:szCs w:val="21"/>
              </w:rPr>
            </w:pPr>
          </w:p>
        </w:tc>
        <w:tc>
          <w:tcPr>
            <w:tcW w:w="311" w:type="dxa"/>
            <w:shd w:val="clear" w:color="auto" w:fill="E6EFFA"/>
            <w:tcMar>
              <w:top w:w="0" w:type="dxa"/>
              <w:left w:w="28" w:type="dxa"/>
              <w:bottom w:w="0" w:type="dxa"/>
              <w:right w:w="28" w:type="dxa"/>
            </w:tcMar>
            <w:vAlign w:val="center"/>
          </w:tcPr>
          <w:p w14:paraId="31A01DEA">
            <w:pPr>
              <w:jc w:val="center"/>
              <w:rPr>
                <w:rFonts w:ascii="宋体" w:hAnsi="宋体" w:cs="宋体"/>
                <w:szCs w:val="21"/>
              </w:rPr>
            </w:pPr>
            <w:r>
              <w:rPr>
                <w:rFonts w:hint="eastAsia" w:ascii="宋体" w:hAnsi="宋体"/>
                <w:szCs w:val="21"/>
              </w:rPr>
              <w:t>序号</w:t>
            </w:r>
          </w:p>
        </w:tc>
        <w:tc>
          <w:tcPr>
            <w:tcW w:w="1232" w:type="dxa"/>
            <w:shd w:val="clear" w:color="auto" w:fill="E6EFFA"/>
            <w:tcMar>
              <w:top w:w="0" w:type="dxa"/>
              <w:left w:w="28" w:type="dxa"/>
              <w:bottom w:w="0" w:type="dxa"/>
              <w:right w:w="28" w:type="dxa"/>
            </w:tcMar>
            <w:vAlign w:val="center"/>
          </w:tcPr>
          <w:p w14:paraId="6C799729">
            <w:pPr>
              <w:jc w:val="center"/>
              <w:rPr>
                <w:rFonts w:ascii="宋体" w:hAnsi="宋体" w:cs="宋体"/>
                <w:szCs w:val="21"/>
              </w:rPr>
            </w:pPr>
            <w:r>
              <w:rPr>
                <w:rFonts w:hint="eastAsia" w:ascii="宋体" w:hAnsi="宋体"/>
                <w:szCs w:val="21"/>
              </w:rPr>
              <w:t>评审因素</w:t>
            </w:r>
          </w:p>
        </w:tc>
        <w:tc>
          <w:tcPr>
            <w:tcW w:w="442" w:type="dxa"/>
            <w:shd w:val="clear" w:color="auto" w:fill="E6EFFA"/>
            <w:tcMar>
              <w:top w:w="0" w:type="dxa"/>
              <w:left w:w="28" w:type="dxa"/>
              <w:bottom w:w="0" w:type="dxa"/>
              <w:right w:w="28" w:type="dxa"/>
            </w:tcMar>
            <w:vAlign w:val="center"/>
          </w:tcPr>
          <w:p w14:paraId="62569C65">
            <w:pPr>
              <w:jc w:val="center"/>
              <w:rPr>
                <w:rFonts w:ascii="宋体" w:hAnsi="宋体" w:cs="宋体"/>
                <w:szCs w:val="21"/>
              </w:rPr>
            </w:pPr>
            <w:r>
              <w:rPr>
                <w:rFonts w:hint="eastAsia" w:ascii="宋体" w:hAnsi="宋体"/>
                <w:szCs w:val="21"/>
              </w:rPr>
              <w:t>权重</w:t>
            </w:r>
            <w:r>
              <w:rPr>
                <w:rFonts w:ascii="宋体" w:hAnsi="宋体"/>
                <w:szCs w:val="21"/>
              </w:rPr>
              <w:t>(%)</w:t>
            </w:r>
          </w:p>
        </w:tc>
        <w:tc>
          <w:tcPr>
            <w:tcW w:w="6851" w:type="dxa"/>
            <w:shd w:val="clear" w:color="auto" w:fill="E6EFFA"/>
            <w:tcMar>
              <w:top w:w="0" w:type="dxa"/>
              <w:left w:w="28" w:type="dxa"/>
              <w:bottom w:w="0" w:type="dxa"/>
              <w:right w:w="28" w:type="dxa"/>
            </w:tcMar>
            <w:vAlign w:val="center"/>
          </w:tcPr>
          <w:p w14:paraId="3F3855D8">
            <w:pPr>
              <w:jc w:val="center"/>
              <w:rPr>
                <w:rFonts w:ascii="宋体" w:hAnsi="宋体" w:cs="宋体"/>
                <w:szCs w:val="21"/>
              </w:rPr>
            </w:pPr>
            <w:r>
              <w:rPr>
                <w:rFonts w:hint="eastAsia" w:ascii="宋体" w:hAnsi="宋体"/>
                <w:szCs w:val="21"/>
              </w:rPr>
              <w:t>评分准则</w:t>
            </w:r>
          </w:p>
        </w:tc>
      </w:tr>
      <w:tr w14:paraId="252E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313" w:type="dxa"/>
            <w:vMerge w:val="continue"/>
            <w:tcMar>
              <w:top w:w="0" w:type="dxa"/>
              <w:left w:w="28" w:type="dxa"/>
              <w:bottom w:w="0" w:type="dxa"/>
              <w:right w:w="28" w:type="dxa"/>
            </w:tcMar>
            <w:vAlign w:val="center"/>
          </w:tcPr>
          <w:p w14:paraId="5BB71619">
            <w:pPr>
              <w:widowControl/>
              <w:jc w:val="left"/>
              <w:rPr>
                <w:rFonts w:ascii="宋体" w:hAnsi="宋体" w:cs="宋体"/>
                <w:b/>
                <w:bCs/>
                <w:szCs w:val="21"/>
              </w:rPr>
            </w:pPr>
          </w:p>
        </w:tc>
        <w:tc>
          <w:tcPr>
            <w:tcW w:w="311" w:type="dxa"/>
            <w:tcMar>
              <w:top w:w="0" w:type="dxa"/>
              <w:left w:w="28" w:type="dxa"/>
              <w:bottom w:w="0" w:type="dxa"/>
              <w:right w:w="28" w:type="dxa"/>
            </w:tcMar>
            <w:vAlign w:val="center"/>
          </w:tcPr>
          <w:p w14:paraId="1CFBD494">
            <w:pPr>
              <w:jc w:val="center"/>
              <w:rPr>
                <w:rFonts w:ascii="宋体" w:hAnsi="宋体"/>
                <w:szCs w:val="21"/>
              </w:rPr>
            </w:pPr>
            <w:r>
              <w:rPr>
                <w:rFonts w:hint="eastAsia" w:ascii="宋体" w:hAnsi="宋体"/>
                <w:szCs w:val="21"/>
              </w:rPr>
              <w:t>1</w:t>
            </w:r>
          </w:p>
        </w:tc>
        <w:tc>
          <w:tcPr>
            <w:tcW w:w="1232" w:type="dxa"/>
            <w:tcMar>
              <w:top w:w="0" w:type="dxa"/>
              <w:left w:w="28" w:type="dxa"/>
              <w:bottom w:w="0" w:type="dxa"/>
              <w:right w:w="28" w:type="dxa"/>
            </w:tcMar>
            <w:vAlign w:val="center"/>
          </w:tcPr>
          <w:p w14:paraId="5F749084">
            <w:pPr>
              <w:jc w:val="center"/>
              <w:rPr>
                <w:rFonts w:ascii="宋体" w:hAnsi="宋体"/>
                <w:szCs w:val="21"/>
              </w:rPr>
            </w:pPr>
            <w:r>
              <w:rPr>
                <w:rFonts w:hint="eastAsia" w:ascii="宋体" w:hAnsi="宋体"/>
                <w:szCs w:val="21"/>
              </w:rPr>
              <w:t>诚信情况</w:t>
            </w:r>
          </w:p>
        </w:tc>
        <w:tc>
          <w:tcPr>
            <w:tcW w:w="442" w:type="dxa"/>
            <w:tcMar>
              <w:top w:w="0" w:type="dxa"/>
              <w:left w:w="28" w:type="dxa"/>
              <w:bottom w:w="0" w:type="dxa"/>
              <w:right w:w="28" w:type="dxa"/>
            </w:tcMar>
            <w:vAlign w:val="center"/>
          </w:tcPr>
          <w:p w14:paraId="502F0221">
            <w:pPr>
              <w:jc w:val="center"/>
              <w:rPr>
                <w:rFonts w:ascii="宋体" w:hAnsi="宋体"/>
                <w:szCs w:val="21"/>
              </w:rPr>
            </w:pPr>
            <w:r>
              <w:rPr>
                <w:rFonts w:ascii="宋体" w:hAnsi="宋体"/>
                <w:szCs w:val="21"/>
              </w:rPr>
              <w:t>5</w:t>
            </w:r>
          </w:p>
        </w:tc>
        <w:tc>
          <w:tcPr>
            <w:tcW w:w="6851" w:type="dxa"/>
            <w:tcMar>
              <w:top w:w="0" w:type="dxa"/>
              <w:left w:w="28" w:type="dxa"/>
              <w:bottom w:w="0" w:type="dxa"/>
              <w:right w:w="28" w:type="dxa"/>
            </w:tcMar>
            <w:vAlign w:val="center"/>
          </w:tcPr>
          <w:p w14:paraId="16104BB7">
            <w:pPr>
              <w:pStyle w:val="1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2D58207D">
            <w:pPr>
              <w:widowControl/>
              <w:jc w:val="left"/>
              <w:rPr>
                <w:rFonts w:ascii="宋体" w:hAnsi="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20A94633">
      <w:pPr>
        <w:sectPr>
          <w:pgSz w:w="11907" w:h="16840"/>
          <w:pgMar w:top="1440" w:right="1417" w:bottom="1440" w:left="1417" w:header="851" w:footer="992" w:gutter="0"/>
          <w:cols w:space="425" w:num="1"/>
          <w:titlePg/>
          <w:docGrid w:linePitch="462" w:charSpace="0"/>
        </w:sectPr>
      </w:pPr>
    </w:p>
    <w:p w14:paraId="569D1687">
      <w:pPr>
        <w:jc w:val="center"/>
        <w:rPr>
          <w:b/>
          <w:sz w:val="120"/>
          <w:szCs w:val="120"/>
        </w:rPr>
      </w:pPr>
    </w:p>
    <w:p w14:paraId="741D743F">
      <w:pPr>
        <w:rPr>
          <w:b/>
          <w:sz w:val="120"/>
          <w:szCs w:val="120"/>
        </w:rPr>
      </w:pPr>
    </w:p>
    <w:p w14:paraId="088115D7">
      <w:pPr>
        <w:jc w:val="center"/>
        <w:rPr>
          <w:b/>
          <w:sz w:val="120"/>
          <w:szCs w:val="120"/>
        </w:rPr>
      </w:pPr>
      <w:r>
        <w:rPr>
          <w:rFonts w:hint="eastAsia"/>
          <w:b/>
          <w:sz w:val="120"/>
          <w:szCs w:val="120"/>
        </w:rPr>
        <w:t>政府采购</w:t>
      </w:r>
    </w:p>
    <w:p w14:paraId="0D457CA1">
      <w:pPr>
        <w:jc w:val="center"/>
        <w:rPr>
          <w:b/>
          <w:sz w:val="120"/>
          <w:szCs w:val="120"/>
        </w:rPr>
      </w:pPr>
      <w:r>
        <w:rPr>
          <w:rFonts w:hint="eastAsia"/>
          <w:b/>
          <w:sz w:val="120"/>
          <w:szCs w:val="120"/>
        </w:rPr>
        <w:t>招标文件</w:t>
      </w:r>
    </w:p>
    <w:p w14:paraId="33D12641">
      <w:pPr>
        <w:jc w:val="center"/>
        <w:rPr>
          <w:b/>
          <w:sz w:val="52"/>
          <w:szCs w:val="52"/>
        </w:rPr>
      </w:pPr>
      <w:r>
        <w:rPr>
          <w:rFonts w:hint="eastAsia"/>
          <w:b/>
          <w:sz w:val="52"/>
          <w:szCs w:val="52"/>
        </w:rPr>
        <w:t>（服务类）</w:t>
      </w:r>
    </w:p>
    <w:p w14:paraId="4A410EE9">
      <w:pPr>
        <w:jc w:val="center"/>
        <w:rPr>
          <w:b/>
          <w:sz w:val="44"/>
          <w:szCs w:val="44"/>
        </w:rPr>
      </w:pPr>
    </w:p>
    <w:p w14:paraId="1E066A94">
      <w:pPr>
        <w:jc w:val="center"/>
        <w:rPr>
          <w:b/>
          <w:sz w:val="44"/>
          <w:szCs w:val="44"/>
        </w:rPr>
      </w:pPr>
    </w:p>
    <w:p w14:paraId="4A7B1F33">
      <w:pPr>
        <w:jc w:val="center"/>
        <w:rPr>
          <w:b/>
          <w:sz w:val="44"/>
          <w:szCs w:val="44"/>
        </w:rPr>
      </w:pPr>
    </w:p>
    <w:p w14:paraId="00B8F101">
      <w:pPr>
        <w:jc w:val="center"/>
        <w:rPr>
          <w:b/>
          <w:sz w:val="44"/>
          <w:szCs w:val="44"/>
        </w:rPr>
      </w:pPr>
    </w:p>
    <w:p w14:paraId="438564B5">
      <w:pPr>
        <w:jc w:val="center"/>
        <w:rPr>
          <w:b/>
          <w:sz w:val="44"/>
          <w:szCs w:val="44"/>
        </w:rPr>
      </w:pPr>
    </w:p>
    <w:p w14:paraId="352AB93B">
      <w:pPr>
        <w:jc w:val="center"/>
        <w:rPr>
          <w:b/>
          <w:sz w:val="44"/>
          <w:szCs w:val="44"/>
        </w:rPr>
      </w:pPr>
    </w:p>
    <w:p w14:paraId="2EE71C61">
      <w:pPr>
        <w:jc w:val="center"/>
        <w:rPr>
          <w:b/>
          <w:sz w:val="44"/>
          <w:szCs w:val="44"/>
        </w:rPr>
      </w:pPr>
    </w:p>
    <w:p w14:paraId="29A5198E">
      <w:pPr>
        <w:jc w:val="center"/>
        <w:rPr>
          <w:b/>
          <w:sz w:val="44"/>
          <w:szCs w:val="44"/>
        </w:rPr>
      </w:pPr>
    </w:p>
    <w:p w14:paraId="210C775A">
      <w:pPr>
        <w:jc w:val="center"/>
        <w:rPr>
          <w:b/>
          <w:sz w:val="44"/>
          <w:szCs w:val="44"/>
        </w:rPr>
      </w:pPr>
      <w:bookmarkStart w:id="4" w:name="_Hlk71465316"/>
      <w:r>
        <w:rPr>
          <w:rFonts w:hint="eastAsia"/>
          <w:b/>
          <w:sz w:val="44"/>
          <w:szCs w:val="44"/>
        </w:rPr>
        <w:t>深圳公共资源交易中心</w:t>
      </w:r>
    </w:p>
    <w:p w14:paraId="7A1F856B">
      <w:pPr>
        <w:jc w:val="center"/>
        <w:rPr>
          <w:sz w:val="28"/>
          <w:szCs w:val="28"/>
        </w:rPr>
      </w:pPr>
      <w:r>
        <w:rPr>
          <w:rFonts w:hint="eastAsia"/>
          <w:b/>
          <w:sz w:val="28"/>
          <w:szCs w:val="28"/>
        </w:rPr>
        <w:t>（</w:t>
      </w:r>
      <w:r>
        <w:rPr>
          <w:b/>
          <w:sz w:val="28"/>
          <w:szCs w:val="28"/>
        </w:rPr>
        <w:t>20</w:t>
      </w:r>
      <w:r>
        <w:rPr>
          <w:rFonts w:hint="eastAsia"/>
          <w:b/>
          <w:sz w:val="28"/>
          <w:szCs w:val="28"/>
        </w:rPr>
        <w:t>26）</w:t>
      </w:r>
      <w:bookmarkEnd w:id="4"/>
    </w:p>
    <w:p w14:paraId="3150A5B1">
      <w:pPr>
        <w:ind w:firstLine="420" w:firstLineChars="200"/>
      </w:pPr>
      <w:r>
        <w:rPr>
          <w:rFonts w:hint="eastAsia"/>
        </w:rPr>
        <w:br w:type="page"/>
      </w:r>
    </w:p>
    <w:p w14:paraId="31166A5C">
      <w:pPr>
        <w:pStyle w:val="2"/>
      </w:pPr>
      <w:r>
        <w:rPr>
          <w:rFonts w:hint="eastAsia"/>
        </w:rPr>
        <w:t>目   录</w:t>
      </w:r>
    </w:p>
    <w:p w14:paraId="3A75CADD">
      <w:pPr>
        <w:outlineLvl w:val="0"/>
        <w:rPr>
          <w:b/>
          <w:sz w:val="24"/>
        </w:rPr>
      </w:pPr>
      <w:r>
        <w:rPr>
          <w:rFonts w:hint="eastAsia"/>
          <w:b/>
          <w:sz w:val="24"/>
        </w:rPr>
        <w:t>第一册  专用条款</w:t>
      </w:r>
    </w:p>
    <w:p w14:paraId="4805666A">
      <w:pPr>
        <w:ind w:firstLine="960" w:firstLineChars="400"/>
        <w:rPr>
          <w:sz w:val="24"/>
        </w:rPr>
      </w:pPr>
      <w:r>
        <w:rPr>
          <w:rFonts w:hint="eastAsia"/>
          <w:sz w:val="24"/>
        </w:rPr>
        <w:t>关键信息</w:t>
      </w:r>
    </w:p>
    <w:p w14:paraId="64BBEEEE">
      <w:pPr>
        <w:ind w:left="630" w:leftChars="300" w:firstLine="630" w:firstLineChars="300"/>
        <w:rPr>
          <w:rFonts w:ascii="宋体" w:hAnsi="宋体"/>
          <w:szCs w:val="21"/>
        </w:rPr>
      </w:pPr>
      <w:r>
        <w:rPr>
          <w:rFonts w:hint="eastAsia" w:ascii="宋体" w:hAnsi="宋体"/>
          <w:szCs w:val="21"/>
        </w:rPr>
        <w:t>第一章  招标公告</w:t>
      </w:r>
    </w:p>
    <w:p w14:paraId="5974051A">
      <w:pPr>
        <w:ind w:left="630" w:leftChars="300" w:firstLine="630" w:firstLineChars="300"/>
        <w:rPr>
          <w:rFonts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2EC21FE2">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B0748E">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6906EEA3">
      <w:pPr>
        <w:ind w:left="630" w:leftChars="300" w:firstLine="630" w:firstLineChars="300"/>
        <w:rPr>
          <w:rFonts w:ascii="宋体" w:hAnsi="宋体"/>
          <w:szCs w:val="21"/>
        </w:rPr>
      </w:pPr>
      <w:r>
        <w:rPr>
          <w:rFonts w:hint="eastAsia" w:ascii="宋体" w:hAnsi="宋体"/>
          <w:szCs w:val="21"/>
        </w:rPr>
        <w:t>第五章  合同条款及格式</w:t>
      </w:r>
    </w:p>
    <w:p w14:paraId="1DB2B126">
      <w:pPr>
        <w:rPr>
          <w:b/>
          <w:sz w:val="24"/>
        </w:rPr>
      </w:pPr>
    </w:p>
    <w:p w14:paraId="1AE3740C">
      <w:pPr>
        <w:outlineLvl w:val="0"/>
        <w:rPr>
          <w:b/>
          <w:sz w:val="24"/>
        </w:rPr>
      </w:pPr>
      <w:r>
        <w:rPr>
          <w:rFonts w:hint="eastAsia"/>
          <w:b/>
          <w:sz w:val="24"/>
        </w:rPr>
        <w:t>第二册  通用条款</w:t>
      </w:r>
    </w:p>
    <w:p w14:paraId="4AE578DD">
      <w:pPr>
        <w:ind w:left="630" w:leftChars="300" w:firstLine="411" w:firstLineChars="196"/>
        <w:rPr>
          <w:rFonts w:ascii="宋体" w:hAnsi="宋体"/>
          <w:szCs w:val="21"/>
        </w:rPr>
      </w:pPr>
      <w:r>
        <w:rPr>
          <w:rFonts w:hint="eastAsia" w:ascii="宋体" w:hAnsi="宋体"/>
          <w:szCs w:val="21"/>
        </w:rPr>
        <w:t>第一章  总则</w:t>
      </w:r>
    </w:p>
    <w:p w14:paraId="3891C9B6">
      <w:pPr>
        <w:ind w:left="630" w:leftChars="300" w:firstLine="411" w:firstLineChars="196"/>
        <w:rPr>
          <w:rFonts w:ascii="宋体" w:hAnsi="宋体"/>
          <w:szCs w:val="21"/>
        </w:rPr>
      </w:pPr>
      <w:r>
        <w:rPr>
          <w:rFonts w:hint="eastAsia" w:ascii="宋体" w:hAnsi="宋体"/>
          <w:szCs w:val="21"/>
        </w:rPr>
        <w:t>第二章  招标文件</w:t>
      </w:r>
    </w:p>
    <w:p w14:paraId="5536EF03">
      <w:pPr>
        <w:ind w:left="630" w:leftChars="300" w:firstLine="411" w:firstLineChars="196"/>
        <w:rPr>
          <w:rFonts w:ascii="宋体" w:hAnsi="宋体"/>
          <w:szCs w:val="21"/>
        </w:rPr>
      </w:pPr>
      <w:r>
        <w:rPr>
          <w:rFonts w:hint="eastAsia" w:ascii="宋体" w:hAnsi="宋体"/>
          <w:szCs w:val="21"/>
        </w:rPr>
        <w:t>第三章  投标文件的编制</w:t>
      </w:r>
    </w:p>
    <w:p w14:paraId="0379D10B">
      <w:pPr>
        <w:ind w:left="630" w:leftChars="300" w:firstLine="411" w:firstLineChars="196"/>
        <w:rPr>
          <w:rFonts w:ascii="宋体" w:hAnsi="宋体"/>
          <w:szCs w:val="21"/>
        </w:rPr>
      </w:pPr>
      <w:r>
        <w:rPr>
          <w:rFonts w:hint="eastAsia" w:ascii="宋体" w:hAnsi="宋体"/>
          <w:szCs w:val="21"/>
        </w:rPr>
        <w:t>第四章  投标文件的递交</w:t>
      </w:r>
    </w:p>
    <w:p w14:paraId="7A5AA413">
      <w:pPr>
        <w:ind w:left="630" w:leftChars="300" w:firstLine="411" w:firstLineChars="196"/>
        <w:rPr>
          <w:rFonts w:ascii="宋体" w:hAnsi="宋体"/>
          <w:szCs w:val="21"/>
        </w:rPr>
      </w:pPr>
      <w:r>
        <w:rPr>
          <w:rFonts w:hint="eastAsia" w:ascii="宋体" w:hAnsi="宋体"/>
          <w:szCs w:val="21"/>
        </w:rPr>
        <w:t>第五章  开标</w:t>
      </w:r>
    </w:p>
    <w:p w14:paraId="2B700090">
      <w:pPr>
        <w:ind w:left="630" w:leftChars="300" w:firstLine="411" w:firstLineChars="196"/>
        <w:rPr>
          <w:rFonts w:ascii="宋体" w:hAnsi="宋体"/>
          <w:szCs w:val="21"/>
        </w:rPr>
      </w:pPr>
      <w:r>
        <w:rPr>
          <w:rFonts w:hint="eastAsia" w:ascii="宋体" w:hAnsi="宋体"/>
          <w:szCs w:val="21"/>
        </w:rPr>
        <w:t>第六章  评审要求</w:t>
      </w:r>
    </w:p>
    <w:p w14:paraId="50E9FD76">
      <w:pPr>
        <w:ind w:left="630" w:leftChars="300" w:firstLine="411" w:firstLineChars="196"/>
        <w:rPr>
          <w:rFonts w:ascii="宋体" w:hAnsi="宋体"/>
          <w:szCs w:val="21"/>
        </w:rPr>
      </w:pPr>
      <w:r>
        <w:rPr>
          <w:rFonts w:hint="eastAsia" w:ascii="宋体" w:hAnsi="宋体"/>
          <w:szCs w:val="21"/>
        </w:rPr>
        <w:t>第七章  评审程序及评审方法</w:t>
      </w:r>
    </w:p>
    <w:p w14:paraId="5702F7F8">
      <w:pPr>
        <w:ind w:left="630" w:leftChars="300" w:firstLine="411" w:firstLineChars="196"/>
        <w:rPr>
          <w:rFonts w:ascii="宋体" w:hAnsi="宋体"/>
          <w:szCs w:val="21"/>
        </w:rPr>
      </w:pPr>
      <w:r>
        <w:rPr>
          <w:rFonts w:hint="eastAsia" w:ascii="宋体" w:hAnsi="宋体"/>
          <w:szCs w:val="21"/>
        </w:rPr>
        <w:t>第八章  定标及公示</w:t>
      </w:r>
    </w:p>
    <w:p w14:paraId="1921E2D1">
      <w:pPr>
        <w:ind w:left="630" w:leftChars="300" w:firstLine="411" w:firstLineChars="196"/>
        <w:rPr>
          <w:rFonts w:ascii="宋体" w:hAnsi="宋体"/>
          <w:szCs w:val="21"/>
        </w:rPr>
      </w:pPr>
      <w:r>
        <w:rPr>
          <w:rFonts w:hint="eastAsia" w:ascii="宋体" w:hAnsi="宋体"/>
          <w:szCs w:val="21"/>
        </w:rPr>
        <w:t>第九章  公开招标失败的后续处理</w:t>
      </w:r>
    </w:p>
    <w:p w14:paraId="405D04D3">
      <w:pPr>
        <w:ind w:left="630" w:leftChars="300" w:firstLine="411" w:firstLineChars="196"/>
        <w:rPr>
          <w:rFonts w:ascii="宋体" w:hAnsi="宋体"/>
          <w:szCs w:val="21"/>
        </w:rPr>
      </w:pPr>
      <w:r>
        <w:rPr>
          <w:rFonts w:hint="eastAsia" w:ascii="宋体" w:hAnsi="宋体"/>
          <w:szCs w:val="21"/>
        </w:rPr>
        <w:t>第十章  合同的授予与备案</w:t>
      </w:r>
    </w:p>
    <w:p w14:paraId="33A99FC3">
      <w:pPr>
        <w:ind w:firstLine="1050" w:firstLineChars="500"/>
        <w:outlineLvl w:val="0"/>
        <w:rPr>
          <w:b/>
          <w:sz w:val="24"/>
        </w:rPr>
      </w:pPr>
      <w:r>
        <w:rPr>
          <w:rFonts w:hint="eastAsia" w:ascii="宋体" w:hAnsi="宋体"/>
          <w:szCs w:val="21"/>
        </w:rPr>
        <w:t>第十一章  质疑处理</w:t>
      </w:r>
    </w:p>
    <w:p w14:paraId="23CF1074">
      <w:pPr>
        <w:spacing w:line="360" w:lineRule="auto"/>
        <w:ind w:firstLine="420" w:firstLineChars="200"/>
        <w:jc w:val="left"/>
        <w:rPr>
          <w:rFonts w:ascii="宋体" w:hAnsi="宋体"/>
          <w:szCs w:val="21"/>
        </w:rPr>
      </w:pPr>
    </w:p>
    <w:p w14:paraId="2D1B53C3">
      <w:pPr>
        <w:pStyle w:val="2"/>
        <w:rPr>
          <w:sz w:val="24"/>
        </w:rPr>
      </w:pPr>
      <w:r>
        <w:br w:type="page"/>
      </w:r>
      <w:bookmarkStart w:id="6" w:name="合同格式"/>
      <w:bookmarkEnd w:id="6"/>
      <w:bookmarkStart w:id="7" w:name="bt本工程承诺书"/>
      <w:bookmarkEnd w:id="7"/>
      <w:bookmarkStart w:id="8" w:name="bt其他资料2"/>
      <w:bookmarkEnd w:id="8"/>
      <w:bookmarkStart w:id="9" w:name="bt投标文件签署授权委托书"/>
      <w:bookmarkEnd w:id="9"/>
      <w:bookmarkStart w:id="10" w:name="bt项目管理班子配备情况"/>
      <w:bookmarkEnd w:id="10"/>
      <w:bookmarkStart w:id="11" w:name="bt合同格式"/>
      <w:bookmarkEnd w:id="11"/>
      <w:bookmarkStart w:id="12" w:name="bt说明"/>
      <w:bookmarkEnd w:id="12"/>
      <w:bookmarkStart w:id="13" w:name="bt技术标投标文件格式"/>
      <w:bookmarkEnd w:id="13"/>
      <w:bookmarkStart w:id="14" w:name="bt合同条款及格式"/>
      <w:bookmarkEnd w:id="14"/>
      <w:bookmarkStart w:id="15" w:name="bt开标一览表"/>
      <w:bookmarkEnd w:id="15"/>
      <w:bookmarkStart w:id="16" w:name="bt投标函"/>
      <w:bookmarkEnd w:id="16"/>
      <w:bookmarkStart w:id="17" w:name="bt其他资料由投标人自定"/>
      <w:bookmarkEnd w:id="17"/>
      <w:bookmarkStart w:id="18" w:name="bt投标报价汇总表"/>
      <w:bookmarkEnd w:id="18"/>
      <w:bookmarkStart w:id="19" w:name="bt投标人情况介绍"/>
      <w:bookmarkEnd w:id="19"/>
      <w:bookmarkStart w:id="20" w:name="bt商务标投标文件格式"/>
      <w:bookmarkEnd w:id="20"/>
      <w:bookmarkStart w:id="21" w:name="bt合同条款"/>
      <w:bookmarkEnd w:id="21"/>
      <w:bookmarkStart w:id="22" w:name="bt投标人须知"/>
      <w:bookmarkEnd w:id="22"/>
      <w:r>
        <w:rPr>
          <w:rFonts w:hint="eastAsia"/>
        </w:rPr>
        <w:t>第一册  专用条款</w:t>
      </w:r>
    </w:p>
    <w:p w14:paraId="39F70FAE">
      <w:pPr>
        <w:pStyle w:val="5"/>
        <w:rPr>
          <w:sz w:val="28"/>
          <w:szCs w:val="28"/>
        </w:rPr>
      </w:pPr>
      <w:r>
        <w:rPr>
          <w:rFonts w:hint="eastAsia"/>
          <w:sz w:val="28"/>
          <w:szCs w:val="28"/>
        </w:rPr>
        <w:t>第一章  招标公告</w:t>
      </w:r>
    </w:p>
    <w:tbl>
      <w:tblPr>
        <w:tblStyle w:val="42"/>
        <w:tblW w:w="9394" w:type="dxa"/>
        <w:jc w:val="center"/>
        <w:tblCellSpacing w:w="0" w:type="dxa"/>
        <w:tblLayout w:type="fixed"/>
        <w:tblCellMar>
          <w:top w:w="0" w:type="dxa"/>
          <w:left w:w="0" w:type="dxa"/>
          <w:bottom w:w="0" w:type="dxa"/>
          <w:right w:w="0" w:type="dxa"/>
        </w:tblCellMar>
      </w:tblPr>
      <w:tblGrid>
        <w:gridCol w:w="9394"/>
      </w:tblGrid>
      <w:tr w14:paraId="174C979A">
        <w:tblPrEx>
          <w:tblCellMar>
            <w:top w:w="0" w:type="dxa"/>
            <w:left w:w="0" w:type="dxa"/>
            <w:bottom w:w="0" w:type="dxa"/>
            <w:right w:w="0" w:type="dxa"/>
          </w:tblCellMar>
        </w:tblPrEx>
        <w:trPr>
          <w:tblCellSpacing w:w="0" w:type="dxa"/>
          <w:jc w:val="center"/>
        </w:trPr>
        <w:tc>
          <w:tcPr>
            <w:tcW w:w="9394" w:type="dxa"/>
            <w:vAlign w:val="center"/>
          </w:tcPr>
          <w:tbl>
            <w:tblPr>
              <w:tblStyle w:val="42"/>
              <w:tblW w:w="9089" w:type="dxa"/>
              <w:jc w:val="center"/>
              <w:tblCellSpacing w:w="0" w:type="dxa"/>
              <w:tblLayout w:type="fixed"/>
              <w:tblCellMar>
                <w:top w:w="30" w:type="dxa"/>
                <w:left w:w="30" w:type="dxa"/>
                <w:bottom w:w="30" w:type="dxa"/>
                <w:right w:w="30" w:type="dxa"/>
              </w:tblCellMar>
            </w:tblPr>
            <w:tblGrid>
              <w:gridCol w:w="9089"/>
            </w:tblGrid>
            <w:tr w14:paraId="452E6F62">
              <w:trPr>
                <w:tblCellSpacing w:w="0" w:type="dxa"/>
                <w:jc w:val="center"/>
              </w:trPr>
              <w:tc>
                <w:tcPr>
                  <w:tcW w:w="9089" w:type="dxa"/>
                </w:tcPr>
                <w:p w14:paraId="0216DAE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27CAE8AD">
                  <w:pPr>
                    <w:ind w:firstLine="420" w:firstLineChars="200"/>
                    <w:rPr>
                      <w:rFonts w:ascii="宋体" w:hAnsi="宋体" w:cs="宋体"/>
                      <w:kern w:val="0"/>
                      <w:szCs w:val="21"/>
                    </w:rPr>
                  </w:pPr>
                  <w:r>
                    <w:rPr>
                      <w:rFonts w:hint="eastAsia" w:ascii="宋体" w:hAnsi="宋体" w:cs="宋体"/>
                      <w:kern w:val="0"/>
                      <w:szCs w:val="21"/>
                    </w:rPr>
                    <w:t>1.具有独立法人资格或是具有独立承担民事责任能力的其他组织（提供营业执照或事业单位法人证书等证明资料扫描件；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p>
                <w:p w14:paraId="33E153C3">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2.本项目不接受联合体投标，</w:t>
                  </w:r>
                  <w:r>
                    <w:rPr>
                      <w:rFonts w:hint="eastAsia" w:ascii="宋体" w:hAnsi="宋体" w:cs="宋体"/>
                      <w:color w:val="FF0000"/>
                      <w:kern w:val="0"/>
                      <w:szCs w:val="21"/>
                    </w:rPr>
                    <w:t>禁止转包</w:t>
                  </w:r>
                  <w:r>
                    <w:rPr>
                      <w:rFonts w:hint="eastAsia" w:ascii="宋体" w:hAnsi="宋体" w:cs="宋体"/>
                      <w:color w:val="FF0000"/>
                      <w:kern w:val="0"/>
                      <w:szCs w:val="21"/>
                      <w:lang w:eastAsia="zh-CN"/>
                    </w:rPr>
                    <w:t>。</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p>
                <w:p w14:paraId="5A2412D5">
                  <w:pPr>
                    <w:ind w:firstLine="420" w:firstLineChars="200"/>
                    <w:rPr>
                      <w:rFonts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14:paraId="52563EA3">
                  <w:pPr>
                    <w:ind w:firstLine="420" w:firstLineChars="200"/>
                    <w:rPr>
                      <w:rFonts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14:paraId="7A6DB19A">
                  <w:pPr>
                    <w:ind w:firstLine="420" w:firstLineChars="200"/>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14:paraId="2F18B02E">
                  <w:pPr>
                    <w:ind w:firstLine="420" w:firstLineChars="200"/>
                    <w:rPr>
                      <w:rFonts w:ascii="宋体" w:hAnsi="宋体" w:cs="宋体"/>
                      <w:color w:val="FF0000"/>
                      <w:kern w:val="0"/>
                      <w:szCs w:val="21"/>
                    </w:rPr>
                  </w:pPr>
                  <w:r>
                    <w:rPr>
                      <w:rFonts w:hint="eastAsia" w:ascii="宋体" w:hAnsi="宋体" w:cs="宋体"/>
                      <w:color w:val="FF0000"/>
                      <w:kern w:val="0"/>
                      <w:szCs w:val="21"/>
                    </w:rPr>
                    <w:t>6.不存在《深圳市财政局政府采购供应商信用信息管理办法》（深财规〔2023〕3号）列明的严重违法失信行为（由供应商在《政府采购投标及履约承诺函》中作出声明）；</w:t>
                  </w:r>
                </w:p>
                <w:p w14:paraId="6A9C0AF2">
                  <w:pPr>
                    <w:ind w:firstLine="420" w:firstLineChars="200"/>
                    <w:rPr>
                      <w:rFonts w:ascii="宋体" w:hAnsi="宋体" w:cs="宋体"/>
                      <w:kern w:val="0"/>
                      <w:szCs w:val="21"/>
                    </w:rPr>
                  </w:pPr>
                  <w:r>
                    <w:rPr>
                      <w:rFonts w:hint="eastAsia" w:ascii="宋体" w:hAnsi="宋体" w:cs="宋体"/>
                      <w:kern w:val="0"/>
                      <w:szCs w:val="21"/>
                    </w:rPr>
                    <w:t>7.为采购项目提供整体设计、规范编制或者项目管理、监理、检测等服务的供应商，不得再参加该采购项目的其他采购活动（由供应商在《政府采购投标及履约承诺函》中作出声明）；</w:t>
                  </w:r>
                </w:p>
                <w:p w14:paraId="208154DA">
                  <w:pPr>
                    <w:pStyle w:val="59"/>
                    <w:ind w:firstLine="420" w:firstLineChars="200"/>
                  </w:pPr>
                  <w:r>
                    <w:rPr>
                      <w:rFonts w:hint="eastAsia" w:ascii="宋体" w:hAnsi="宋体" w:cs="宋体"/>
                      <w:color w:val="FF0000"/>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4C2C2D4D">
                  <w:pPr>
                    <w:ind w:firstLine="420" w:firstLineChars="200"/>
                    <w:rPr>
                      <w:rFonts w:ascii="宋体" w:hAnsi="宋体" w:cs="宋体"/>
                      <w:kern w:val="0"/>
                      <w:szCs w:val="21"/>
                    </w:rPr>
                  </w:pPr>
                  <w:r>
                    <w:rPr>
                      <w:rFonts w:hint="eastAsia" w:ascii="宋体" w:hAnsi="宋体" w:cs="宋体"/>
                      <w:kern w:val="0"/>
                      <w:szCs w:val="21"/>
                    </w:rPr>
                    <w:t>9.本项目</w:t>
                  </w:r>
                  <w:r>
                    <w:rPr>
                      <w:rFonts w:hint="eastAsia" w:ascii="宋体" w:hAnsi="宋体" w:cs="宋体"/>
                      <w:kern w:val="0"/>
                      <w:szCs w:val="21"/>
                      <w:lang w:val="en-US" w:eastAsia="zh-CN"/>
                    </w:rPr>
                    <w:t>不</w:t>
                  </w:r>
                  <w:r>
                    <w:rPr>
                      <w:rFonts w:hint="eastAsia" w:ascii="宋体" w:hAnsi="宋体" w:cs="宋体"/>
                      <w:kern w:val="0"/>
                      <w:szCs w:val="21"/>
                    </w:rPr>
                    <w:t>专门面向中小企业采购。</w:t>
                  </w:r>
                </w:p>
                <w:p w14:paraId="714E4933">
                  <w:pPr>
                    <w:ind w:firstLine="422" w:firstLineChars="200"/>
                    <w:rPr>
                      <w:rFonts w:ascii="宋体" w:hAnsi="宋体" w:cs="宋体"/>
                      <w:b/>
                      <w:bCs/>
                      <w:color w:val="FF0000"/>
                      <w:kern w:val="0"/>
                      <w:szCs w:val="21"/>
                    </w:rPr>
                  </w:pPr>
                  <w:r>
                    <w:rPr>
                      <w:rFonts w:hint="eastAsia" w:ascii="宋体" w:hAnsi="宋体" w:cs="宋体"/>
                      <w:b/>
                      <w:bCs/>
                      <w:color w:val="FF0000"/>
                      <w:kern w:val="0"/>
                      <w:szCs w:val="21"/>
                    </w:rPr>
                    <w:t>10.本项目允许投标人将电梯维保工作分包。</w:t>
                  </w:r>
                </w:p>
                <w:p w14:paraId="635B2143">
                  <w:pPr>
                    <w:ind w:firstLine="422" w:firstLineChars="200"/>
                    <w:rPr>
                      <w:rFonts w:ascii="宋体" w:hAnsi="宋体" w:cs="宋体"/>
                      <w:b/>
                      <w:bCs/>
                      <w:color w:val="FF0000"/>
                      <w:kern w:val="0"/>
                      <w:szCs w:val="21"/>
                    </w:rPr>
                  </w:pPr>
                  <w:r>
                    <w:rPr>
                      <w:rFonts w:hint="eastAsia" w:ascii="宋体" w:hAnsi="宋体" w:cs="宋体"/>
                      <w:b/>
                      <w:bCs/>
                      <w:color w:val="FF0000"/>
                      <w:kern w:val="0"/>
                      <w:szCs w:val="21"/>
                    </w:rPr>
                    <w:t>（1）若不分包，投标人须具有符合《中华人民共和国特种设备安全法》的电梯维修资质（A级），提供证书扫描件。</w:t>
                  </w:r>
                </w:p>
                <w:p w14:paraId="3A17EB5F">
                  <w:pPr>
                    <w:ind w:firstLine="422" w:firstLineChars="200"/>
                    <w:rPr>
                      <w:rFonts w:ascii="宋体" w:hAnsi="宋体" w:cs="宋体"/>
                      <w:b/>
                      <w:bCs/>
                      <w:color w:val="FF0000"/>
                      <w:kern w:val="0"/>
                      <w:szCs w:val="21"/>
                    </w:rPr>
                  </w:pPr>
                  <w:r>
                    <w:rPr>
                      <w:rFonts w:hint="eastAsia" w:ascii="宋体" w:hAnsi="宋体" w:cs="宋体"/>
                      <w:b/>
                      <w:bCs/>
                      <w:color w:val="FF0000"/>
                      <w:kern w:val="0"/>
                      <w:szCs w:val="21"/>
                    </w:rPr>
                    <w:t>（2）若投标人选择分包的，分包承担主体不多于</w:t>
                  </w:r>
                  <w:r>
                    <w:rPr>
                      <w:rFonts w:ascii="宋体" w:hAnsi="宋体" w:cs="宋体"/>
                      <w:b/>
                      <w:bCs/>
                      <w:color w:val="FF0000"/>
                      <w:kern w:val="0"/>
                      <w:szCs w:val="21"/>
                    </w:rPr>
                    <w:t>1</w:t>
                  </w:r>
                  <w:r>
                    <w:rPr>
                      <w:rFonts w:hint="eastAsia" w:ascii="宋体" w:hAnsi="宋体" w:cs="宋体"/>
                      <w:b/>
                      <w:bCs/>
                      <w:color w:val="FF0000"/>
                      <w:kern w:val="0"/>
                      <w:szCs w:val="21"/>
                    </w:rPr>
                    <w:t>家，且分包承担主体不得再次分包：</w:t>
                  </w:r>
                </w:p>
                <w:p w14:paraId="42AD61CB">
                  <w:pPr>
                    <w:ind w:firstLine="422" w:firstLineChars="200"/>
                    <w:rPr>
                      <w:rFonts w:ascii="宋体" w:hAnsi="宋体" w:cs="宋体"/>
                      <w:b/>
                      <w:bCs/>
                      <w:color w:val="FF0000"/>
                      <w:kern w:val="0"/>
                      <w:szCs w:val="21"/>
                    </w:rPr>
                  </w:pPr>
                  <w:r>
                    <w:rPr>
                      <w:rFonts w:hint="eastAsia" w:ascii="宋体" w:hAnsi="宋体" w:cs="宋体"/>
                      <w:b/>
                      <w:bCs/>
                      <w:color w:val="FF0000"/>
                      <w:kern w:val="0"/>
                      <w:szCs w:val="21"/>
                    </w:rPr>
                    <w:t>①须提供《分包意向协议》（格式自拟，须载明分包承担主体且加盖投标人与各分包承担主体的公章）；</w:t>
                  </w:r>
                </w:p>
                <w:p w14:paraId="49DF53A2">
                  <w:pPr>
                    <w:ind w:firstLine="422" w:firstLineChars="200"/>
                    <w:rPr>
                      <w:rFonts w:ascii="宋体" w:hAnsi="宋体" w:cs="宋体"/>
                      <w:b/>
                      <w:bCs/>
                      <w:color w:val="FF0000"/>
                      <w:kern w:val="0"/>
                      <w:szCs w:val="21"/>
                    </w:rPr>
                  </w:pPr>
                  <w:r>
                    <w:rPr>
                      <w:rFonts w:hint="eastAsia" w:ascii="宋体" w:hAnsi="宋体" w:cs="宋体"/>
                      <w:b/>
                      <w:bCs/>
                      <w:color w:val="FF0000"/>
                      <w:kern w:val="0"/>
                      <w:szCs w:val="21"/>
                    </w:rPr>
                    <w:t>②分包承担主体须具有符合《中华人民共和国特种设备安全法》的电梯维修资质（A级），提供证书扫描件；</w:t>
                  </w:r>
                </w:p>
                <w:p w14:paraId="5B62F99B">
                  <w:pPr>
                    <w:wordWrap w:val="0"/>
                    <w:ind w:firstLine="420" w:firstLineChars="200"/>
                    <w:rPr>
                      <w:rFonts w:ascii="宋体" w:hAnsi="宋体" w:cs="宋体"/>
                      <w:kern w:val="0"/>
                      <w:szCs w:val="21"/>
                    </w:rPr>
                  </w:pPr>
                  <w:r>
                    <w:rPr>
                      <w:rFonts w:hint="eastAsia" w:ascii="宋体" w:hAnsi="宋体" w:cs="宋体"/>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ascii="宋体" w:hAnsi="宋体" w:cs="宋体"/>
                      <w:kern w:val="0"/>
                      <w:szCs w:val="21"/>
                    </w:rPr>
                    <w:t>为供应商信用信息的查询渠道，相关信息以开标当日的查询结果为准；</w:t>
                  </w:r>
                </w:p>
                <w:p w14:paraId="093E7A2A">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6AADD900">
                  <w:pPr>
                    <w:spacing w:beforeAutospacing="1" w:afterAutospacing="1"/>
                    <w:ind w:firstLine="442" w:firstLineChars="200"/>
                    <w:rPr>
                      <w:rFonts w:ascii="宋体" w:hAnsi="宋体" w:cs="宋体"/>
                      <w:sz w:val="24"/>
                    </w:rPr>
                  </w:pPr>
                  <w:r>
                    <w:rPr>
                      <w:rFonts w:hint="eastAsia"/>
                      <w:b/>
                      <w:sz w:val="22"/>
                      <w:szCs w:val="18"/>
                    </w:rPr>
                    <w:t>完整公告内容详见：深圳公共资源交易网（</w:t>
                  </w:r>
                  <w:r>
                    <w:rPr>
                      <w:b/>
                      <w:sz w:val="22"/>
                      <w:szCs w:val="18"/>
                    </w:rPr>
                    <w:t>https://www.szggzy.com</w:t>
                  </w:r>
                  <w:r>
                    <w:rPr>
                      <w:rFonts w:hint="eastAsia"/>
                      <w:b/>
                      <w:sz w:val="22"/>
                      <w:szCs w:val="18"/>
                    </w:rPr>
                    <w:t>）</w:t>
                  </w:r>
                </w:p>
              </w:tc>
            </w:tr>
          </w:tbl>
          <w:p w14:paraId="63F09764">
            <w:pPr>
              <w:rPr>
                <w:rFonts w:ascii="宋体" w:hAnsi="宋体" w:cs="宋体"/>
                <w:sz w:val="24"/>
              </w:rPr>
            </w:pPr>
          </w:p>
        </w:tc>
      </w:tr>
    </w:tbl>
    <w:p w14:paraId="11A8CD68">
      <w:pPr>
        <w:rPr>
          <w:sz w:val="28"/>
          <w:szCs w:val="28"/>
        </w:rPr>
      </w:pPr>
      <w:r>
        <w:rPr>
          <w:rFonts w:hint="eastAsia"/>
          <w:sz w:val="28"/>
          <w:szCs w:val="28"/>
        </w:rPr>
        <w:br w:type="page"/>
      </w:r>
    </w:p>
    <w:p w14:paraId="6A06A6EC">
      <w:pPr>
        <w:pStyle w:val="5"/>
        <w:rPr>
          <w:sz w:val="28"/>
          <w:szCs w:val="28"/>
        </w:rPr>
      </w:pPr>
      <w:r>
        <w:rPr>
          <w:rFonts w:hint="eastAsia"/>
          <w:sz w:val="28"/>
          <w:szCs w:val="28"/>
        </w:rPr>
        <w:t>第二章 对通用条款的补充内容及其他关键信息</w:t>
      </w:r>
    </w:p>
    <w:p w14:paraId="554DFE01">
      <w:pPr>
        <w:pStyle w:val="5"/>
        <w:spacing w:before="120" w:beforeLines="50" w:after="120" w:afterLines="50"/>
        <w:rPr>
          <w:sz w:val="28"/>
          <w:szCs w:val="28"/>
        </w:rPr>
      </w:pPr>
      <w:bookmarkStart w:id="23" w:name="_Toc73517639"/>
      <w:bookmarkStart w:id="24" w:name="_Toc100052364"/>
      <w:bookmarkStart w:id="25" w:name="_Toc73521635"/>
      <w:bookmarkStart w:id="26" w:name="_Toc60560625"/>
      <w:bookmarkStart w:id="27" w:name="_Toc73518117"/>
      <w:bookmarkStart w:id="28" w:name="_Toc73521547"/>
      <w:bookmarkStart w:id="29" w:name="_Toc60631620"/>
      <w:bookmarkStart w:id="30" w:name="_Toc101074876"/>
      <w:r>
        <w:rPr>
          <w:rFonts w:hint="eastAsia"/>
          <w:szCs w:val="24"/>
        </w:rPr>
        <w:t>一、对通用条款的补充内容</w:t>
      </w:r>
    </w:p>
    <w:bookmarkEnd w:id="23"/>
    <w:bookmarkEnd w:id="24"/>
    <w:bookmarkEnd w:id="25"/>
    <w:bookmarkEnd w:id="26"/>
    <w:bookmarkEnd w:id="27"/>
    <w:bookmarkEnd w:id="28"/>
    <w:bookmarkEnd w:id="29"/>
    <w:bookmarkEnd w:id="30"/>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9D40D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9" w:hRule="atLeast"/>
          <w:jc w:val="center"/>
        </w:trPr>
        <w:tc>
          <w:tcPr>
            <w:tcW w:w="978" w:type="dxa"/>
            <w:vAlign w:val="center"/>
          </w:tcPr>
          <w:p w14:paraId="006E6BB5">
            <w:pPr>
              <w:jc w:val="center"/>
              <w:rPr>
                <w:rFonts w:ascii="宋体" w:hAnsi="宋体"/>
                <w:b/>
                <w:bCs/>
              </w:rPr>
            </w:pPr>
            <w:r>
              <w:rPr>
                <w:rFonts w:hint="eastAsia" w:ascii="宋体" w:hAnsi="宋体"/>
                <w:b/>
                <w:bCs/>
              </w:rPr>
              <w:t>通用条款序号</w:t>
            </w:r>
          </w:p>
        </w:tc>
        <w:tc>
          <w:tcPr>
            <w:tcW w:w="2409" w:type="dxa"/>
            <w:vAlign w:val="center"/>
          </w:tcPr>
          <w:p w14:paraId="4D4C5FB4">
            <w:pPr>
              <w:jc w:val="center"/>
              <w:rPr>
                <w:rFonts w:ascii="宋体" w:hAnsi="宋体"/>
                <w:b/>
                <w:bCs/>
              </w:rPr>
            </w:pPr>
            <w:r>
              <w:rPr>
                <w:rFonts w:hint="eastAsia" w:ascii="宋体" w:hAnsi="宋体"/>
                <w:b/>
                <w:bCs/>
              </w:rPr>
              <w:t>涉及事项</w:t>
            </w:r>
          </w:p>
        </w:tc>
        <w:tc>
          <w:tcPr>
            <w:tcW w:w="4980" w:type="dxa"/>
            <w:vAlign w:val="center"/>
          </w:tcPr>
          <w:p w14:paraId="1E1F0E04">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3655CE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737ACF2">
            <w:pPr>
              <w:jc w:val="center"/>
              <w:rPr>
                <w:rFonts w:ascii="宋体" w:hAnsi="宋体"/>
              </w:rPr>
            </w:pPr>
            <w:r>
              <w:rPr>
                <w:rFonts w:hint="eastAsia" w:ascii="宋体" w:hAnsi="宋体"/>
              </w:rPr>
              <w:t>3</w:t>
            </w:r>
            <w:r>
              <w:rPr>
                <w:rFonts w:ascii="宋体" w:hAnsi="宋体"/>
              </w:rPr>
              <w:t>.1</w:t>
            </w:r>
          </w:p>
        </w:tc>
        <w:tc>
          <w:tcPr>
            <w:tcW w:w="2409" w:type="dxa"/>
            <w:vAlign w:val="center"/>
          </w:tcPr>
          <w:p w14:paraId="0B41AD44">
            <w:pPr>
              <w:jc w:val="center"/>
            </w:pPr>
            <w:r>
              <w:rPr>
                <w:rFonts w:hint="eastAsia"/>
              </w:rPr>
              <w:t>采购人</w:t>
            </w:r>
          </w:p>
        </w:tc>
        <w:tc>
          <w:tcPr>
            <w:tcW w:w="4980" w:type="dxa"/>
            <w:vAlign w:val="center"/>
          </w:tcPr>
          <w:p w14:paraId="5CE8BC4E">
            <w:pPr>
              <w:jc w:val="center"/>
              <w:rPr>
                <w:rFonts w:ascii="宋体" w:hAnsi="宋体"/>
              </w:rPr>
            </w:pPr>
            <w:r>
              <w:rPr>
                <w:rFonts w:hint="eastAsia" w:ascii="宋体" w:hAnsi="宋体"/>
              </w:rPr>
              <w:t>深圳城市职业学院（深圳技师学院）</w:t>
            </w:r>
          </w:p>
        </w:tc>
      </w:tr>
      <w:tr w14:paraId="6B15EE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F554856">
            <w:pPr>
              <w:jc w:val="center"/>
              <w:rPr>
                <w:rFonts w:ascii="宋体" w:hAnsi="宋体"/>
              </w:rPr>
            </w:pPr>
            <w:r>
              <w:rPr>
                <w:rFonts w:hint="eastAsia" w:ascii="宋体" w:hAnsi="宋体"/>
              </w:rPr>
              <w:t>3</w:t>
            </w:r>
            <w:r>
              <w:rPr>
                <w:rFonts w:ascii="宋体" w:hAnsi="宋体"/>
              </w:rPr>
              <w:t>.2</w:t>
            </w:r>
          </w:p>
        </w:tc>
        <w:tc>
          <w:tcPr>
            <w:tcW w:w="2409" w:type="dxa"/>
            <w:vAlign w:val="center"/>
          </w:tcPr>
          <w:p w14:paraId="2D84E1BD">
            <w:pPr>
              <w:jc w:val="center"/>
              <w:rPr>
                <w:rFonts w:ascii="宋体" w:hAnsi="宋体"/>
              </w:rPr>
            </w:pPr>
            <w:r>
              <w:rPr>
                <w:rFonts w:hint="eastAsia" w:ascii="宋体" w:hAnsi="宋体"/>
              </w:rPr>
              <w:t>政府集中采购机构</w:t>
            </w:r>
          </w:p>
        </w:tc>
        <w:tc>
          <w:tcPr>
            <w:tcW w:w="4980" w:type="dxa"/>
            <w:vAlign w:val="center"/>
          </w:tcPr>
          <w:p w14:paraId="6B20076B">
            <w:pPr>
              <w:jc w:val="center"/>
              <w:rPr>
                <w:rFonts w:ascii="宋体" w:hAnsi="宋体"/>
              </w:rPr>
            </w:pPr>
            <w:r>
              <w:rPr>
                <w:rFonts w:hint="eastAsia" w:ascii="宋体" w:hAnsi="宋体"/>
              </w:rPr>
              <w:t>深圳公共资源交易中心</w:t>
            </w:r>
          </w:p>
          <w:p w14:paraId="05D71C61">
            <w:pPr>
              <w:jc w:val="center"/>
              <w:rPr>
                <w:rFonts w:ascii="宋体" w:hAnsi="宋体"/>
              </w:rPr>
            </w:pPr>
            <w:r>
              <w:rPr>
                <w:rFonts w:hint="eastAsia" w:ascii="宋体" w:hAnsi="宋体"/>
              </w:rPr>
              <w:t>（深圳交易集团有限公司政府采购业务分公司）</w:t>
            </w:r>
          </w:p>
        </w:tc>
      </w:tr>
      <w:tr w14:paraId="4384A5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5FE4D33">
            <w:pPr>
              <w:jc w:val="center"/>
              <w:rPr>
                <w:rFonts w:ascii="宋体" w:hAnsi="宋体"/>
              </w:rPr>
            </w:pPr>
            <w:r>
              <w:rPr>
                <w:rFonts w:hint="eastAsia" w:ascii="宋体" w:hAnsi="宋体"/>
              </w:rPr>
              <w:t>9</w:t>
            </w:r>
          </w:p>
        </w:tc>
        <w:tc>
          <w:tcPr>
            <w:tcW w:w="2409" w:type="dxa"/>
            <w:vAlign w:val="center"/>
          </w:tcPr>
          <w:p w14:paraId="469438EF">
            <w:pPr>
              <w:jc w:val="center"/>
              <w:rPr>
                <w:rFonts w:ascii="宋体" w:hAnsi="宋体"/>
              </w:rPr>
            </w:pPr>
            <w:r>
              <w:rPr>
                <w:rFonts w:hint="eastAsia" w:ascii="宋体" w:hAnsi="宋体"/>
              </w:rPr>
              <w:t>踏勘现场</w:t>
            </w:r>
          </w:p>
        </w:tc>
        <w:tc>
          <w:tcPr>
            <w:tcW w:w="4980" w:type="dxa"/>
            <w:vAlign w:val="center"/>
          </w:tcPr>
          <w:p w14:paraId="55F468BD">
            <w:pPr>
              <w:jc w:val="center"/>
              <w:rPr>
                <w:rFonts w:ascii="宋体" w:hAnsi="宋体"/>
              </w:rPr>
            </w:pPr>
            <w:r>
              <w:rPr>
                <w:rFonts w:hint="eastAsia" w:ascii="宋体" w:hAnsi="宋体"/>
              </w:rPr>
              <w:t>不组织</w:t>
            </w:r>
          </w:p>
        </w:tc>
      </w:tr>
      <w:tr w14:paraId="2FFC13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FAD59A">
            <w:pPr>
              <w:jc w:val="center"/>
              <w:rPr>
                <w:rFonts w:ascii="宋体" w:hAnsi="宋体"/>
              </w:rPr>
            </w:pPr>
            <w:r>
              <w:rPr>
                <w:rFonts w:hint="eastAsia" w:ascii="宋体" w:hAnsi="宋体"/>
              </w:rPr>
              <w:t>1</w:t>
            </w:r>
            <w:r>
              <w:rPr>
                <w:rFonts w:ascii="宋体" w:hAnsi="宋体"/>
              </w:rPr>
              <w:t>0</w:t>
            </w:r>
          </w:p>
        </w:tc>
        <w:tc>
          <w:tcPr>
            <w:tcW w:w="2409" w:type="dxa"/>
            <w:vAlign w:val="center"/>
          </w:tcPr>
          <w:p w14:paraId="7D1789B1">
            <w:pPr>
              <w:jc w:val="center"/>
              <w:rPr>
                <w:rFonts w:ascii="宋体" w:hAnsi="宋体"/>
              </w:rPr>
            </w:pPr>
            <w:r>
              <w:rPr>
                <w:rFonts w:hint="eastAsia" w:ascii="宋体" w:hAnsi="宋体"/>
              </w:rPr>
              <w:t>标前会议</w:t>
            </w:r>
          </w:p>
        </w:tc>
        <w:tc>
          <w:tcPr>
            <w:tcW w:w="4980" w:type="dxa"/>
            <w:vAlign w:val="center"/>
          </w:tcPr>
          <w:p w14:paraId="1C1A809F">
            <w:pPr>
              <w:jc w:val="center"/>
              <w:rPr>
                <w:rFonts w:ascii="宋体" w:hAnsi="宋体"/>
              </w:rPr>
            </w:pPr>
            <w:r>
              <w:rPr>
                <w:rFonts w:hint="eastAsia" w:ascii="宋体" w:hAnsi="宋体"/>
              </w:rPr>
              <w:t>不组织</w:t>
            </w:r>
          </w:p>
        </w:tc>
      </w:tr>
      <w:tr w14:paraId="4E3D1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10BA44">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6A052532">
            <w:pPr>
              <w:jc w:val="center"/>
              <w:rPr>
                <w:rFonts w:ascii="宋体" w:hAnsi="宋体"/>
              </w:rPr>
            </w:pPr>
            <w:r>
              <w:rPr>
                <w:rFonts w:hint="eastAsia" w:ascii="宋体" w:hAnsi="宋体"/>
              </w:rPr>
              <w:t>招标文件的澄清和修改</w:t>
            </w:r>
          </w:p>
        </w:tc>
        <w:tc>
          <w:tcPr>
            <w:tcW w:w="4980" w:type="dxa"/>
            <w:vAlign w:val="center"/>
          </w:tcPr>
          <w:p w14:paraId="4E1409F6">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5DC3FF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631672">
            <w:pPr>
              <w:jc w:val="center"/>
              <w:rPr>
                <w:rFonts w:ascii="宋体" w:hAnsi="宋体"/>
              </w:rPr>
            </w:pPr>
            <w:r>
              <w:rPr>
                <w:rFonts w:hint="eastAsia" w:ascii="宋体" w:hAnsi="宋体"/>
              </w:rPr>
              <w:t>2</w:t>
            </w:r>
            <w:r>
              <w:rPr>
                <w:rFonts w:ascii="宋体" w:hAnsi="宋体"/>
              </w:rPr>
              <w:t>0</w:t>
            </w:r>
          </w:p>
        </w:tc>
        <w:tc>
          <w:tcPr>
            <w:tcW w:w="2409" w:type="dxa"/>
            <w:vAlign w:val="center"/>
          </w:tcPr>
          <w:p w14:paraId="2182F8D9">
            <w:pPr>
              <w:jc w:val="center"/>
              <w:rPr>
                <w:rFonts w:ascii="宋体" w:hAnsi="宋体"/>
              </w:rPr>
            </w:pPr>
            <w:r>
              <w:rPr>
                <w:rFonts w:hint="eastAsia" w:ascii="宋体" w:hAnsi="宋体"/>
              </w:rPr>
              <w:t>投标有效期</w:t>
            </w:r>
          </w:p>
        </w:tc>
        <w:tc>
          <w:tcPr>
            <w:tcW w:w="4980" w:type="dxa"/>
            <w:vAlign w:val="center"/>
          </w:tcPr>
          <w:p w14:paraId="21EFA2ED">
            <w:pPr>
              <w:jc w:val="center"/>
              <w:rPr>
                <w:rFonts w:ascii="宋体" w:hAnsi="宋体"/>
              </w:rPr>
            </w:pPr>
            <w:r>
              <w:rPr>
                <w:rFonts w:hint="eastAsia" w:ascii="宋体" w:hAnsi="宋体"/>
              </w:rPr>
              <w:t>120个日历日</w:t>
            </w:r>
          </w:p>
        </w:tc>
      </w:tr>
      <w:tr w14:paraId="7FD868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5D03035">
            <w:pPr>
              <w:jc w:val="center"/>
              <w:rPr>
                <w:rFonts w:ascii="宋体" w:hAnsi="宋体"/>
              </w:rPr>
            </w:pPr>
            <w:r>
              <w:rPr>
                <w:rFonts w:hint="eastAsia" w:ascii="宋体" w:hAnsi="宋体"/>
              </w:rPr>
              <w:t>2</w:t>
            </w:r>
            <w:r>
              <w:rPr>
                <w:rFonts w:ascii="宋体" w:hAnsi="宋体"/>
              </w:rPr>
              <w:t>2</w:t>
            </w:r>
          </w:p>
        </w:tc>
        <w:tc>
          <w:tcPr>
            <w:tcW w:w="2409" w:type="dxa"/>
            <w:vAlign w:val="center"/>
          </w:tcPr>
          <w:p w14:paraId="73E27C48">
            <w:pPr>
              <w:jc w:val="center"/>
              <w:rPr>
                <w:rFonts w:ascii="宋体" w:hAnsi="宋体"/>
              </w:rPr>
            </w:pPr>
            <w:r>
              <w:rPr>
                <w:rFonts w:hint="eastAsia" w:ascii="宋体" w:hAnsi="宋体"/>
              </w:rPr>
              <w:t>投标人的替代方案</w:t>
            </w:r>
          </w:p>
        </w:tc>
        <w:tc>
          <w:tcPr>
            <w:tcW w:w="4980" w:type="dxa"/>
            <w:vAlign w:val="center"/>
          </w:tcPr>
          <w:p w14:paraId="3279F6F6">
            <w:pPr>
              <w:jc w:val="center"/>
              <w:rPr>
                <w:rFonts w:ascii="宋体" w:hAnsi="宋体"/>
              </w:rPr>
            </w:pPr>
            <w:r>
              <w:rPr>
                <w:rFonts w:hint="eastAsia" w:ascii="宋体" w:hAnsi="宋体"/>
              </w:rPr>
              <w:t>不接受</w:t>
            </w:r>
          </w:p>
        </w:tc>
      </w:tr>
      <w:tr w14:paraId="4778A1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9A7461">
            <w:pPr>
              <w:jc w:val="center"/>
              <w:rPr>
                <w:rFonts w:ascii="宋体" w:hAnsi="宋体"/>
              </w:rPr>
            </w:pPr>
            <w:r>
              <w:rPr>
                <w:rFonts w:hint="eastAsia" w:ascii="宋体" w:hAnsi="宋体"/>
              </w:rPr>
              <w:t>2</w:t>
            </w:r>
            <w:r>
              <w:rPr>
                <w:rFonts w:ascii="宋体" w:hAnsi="宋体"/>
              </w:rPr>
              <w:t>5</w:t>
            </w:r>
          </w:p>
        </w:tc>
        <w:tc>
          <w:tcPr>
            <w:tcW w:w="2409" w:type="dxa"/>
            <w:vAlign w:val="center"/>
          </w:tcPr>
          <w:p w14:paraId="5B277E57">
            <w:pPr>
              <w:jc w:val="center"/>
              <w:rPr>
                <w:rFonts w:ascii="宋体" w:hAnsi="宋体"/>
              </w:rPr>
            </w:pPr>
            <w:r>
              <w:rPr>
                <w:rFonts w:hint="eastAsia" w:ascii="宋体" w:hAnsi="宋体"/>
              </w:rPr>
              <w:t>投标文件的大小</w:t>
            </w:r>
          </w:p>
        </w:tc>
        <w:tc>
          <w:tcPr>
            <w:tcW w:w="4980" w:type="dxa"/>
            <w:vAlign w:val="center"/>
          </w:tcPr>
          <w:p w14:paraId="27E14F18">
            <w:pPr>
              <w:jc w:val="center"/>
              <w:rPr>
                <w:rFonts w:ascii="宋体" w:hAnsi="宋体"/>
              </w:rPr>
            </w:pPr>
            <w:r>
              <w:rPr>
                <w:rFonts w:hint="eastAsia" w:ascii="宋体" w:hAnsi="宋体"/>
                <w:highlight w:val="none"/>
              </w:rPr>
              <w:t>电子</w:t>
            </w:r>
            <w:r>
              <w:rPr>
                <w:rFonts w:hint="eastAsia" w:ascii="宋体" w:hAnsi="宋体"/>
              </w:rPr>
              <w:t>投标文件大小不得超过</w:t>
            </w:r>
            <w:r>
              <w:rPr>
                <w:rFonts w:hint="eastAsia" w:ascii="宋体" w:hAnsi="宋体"/>
                <w:lang w:val="en-US" w:eastAsia="zh-CN"/>
              </w:rPr>
              <w:t>250</w:t>
            </w:r>
            <w:r>
              <w:rPr>
                <w:rFonts w:hint="eastAsia" w:ascii="宋体" w:hAnsi="宋体"/>
              </w:rPr>
              <w:t>MB</w:t>
            </w:r>
          </w:p>
        </w:tc>
      </w:tr>
      <w:tr w14:paraId="744B50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DC3F3AF">
            <w:pPr>
              <w:jc w:val="center"/>
              <w:rPr>
                <w:rFonts w:ascii="宋体" w:hAnsi="宋体"/>
              </w:rPr>
            </w:pPr>
            <w:r>
              <w:rPr>
                <w:rFonts w:hint="eastAsia" w:ascii="宋体" w:hAnsi="宋体"/>
              </w:rPr>
              <w:t>2</w:t>
            </w:r>
            <w:r>
              <w:rPr>
                <w:rFonts w:ascii="宋体" w:hAnsi="宋体"/>
              </w:rPr>
              <w:t>6</w:t>
            </w:r>
          </w:p>
        </w:tc>
        <w:tc>
          <w:tcPr>
            <w:tcW w:w="2409" w:type="dxa"/>
            <w:vAlign w:val="center"/>
          </w:tcPr>
          <w:p w14:paraId="4262C9F4">
            <w:pPr>
              <w:jc w:val="center"/>
              <w:rPr>
                <w:rFonts w:ascii="宋体" w:hAnsi="宋体"/>
              </w:rPr>
            </w:pPr>
            <w:bookmarkStart w:id="31" w:name="_Hlk71664860"/>
            <w:r>
              <w:rPr>
                <w:rFonts w:hint="eastAsia" w:ascii="宋体" w:hAnsi="宋体"/>
              </w:rPr>
              <w:t>样品、现场演示、方案讲解</w:t>
            </w:r>
            <w:bookmarkEnd w:id="31"/>
          </w:p>
        </w:tc>
        <w:tc>
          <w:tcPr>
            <w:tcW w:w="4980" w:type="dxa"/>
            <w:vAlign w:val="center"/>
          </w:tcPr>
          <w:p w14:paraId="5063591B">
            <w:pPr>
              <w:jc w:val="center"/>
              <w:rPr>
                <w:rFonts w:ascii="宋体" w:hAnsi="宋体"/>
              </w:rPr>
            </w:pPr>
            <w:r>
              <w:rPr>
                <w:rFonts w:hint="eastAsia" w:ascii="宋体" w:hAnsi="宋体"/>
              </w:rPr>
              <w:t>如有演示、方案讲解，具体安排见第三章 用户需求书相关要求</w:t>
            </w:r>
          </w:p>
        </w:tc>
      </w:tr>
      <w:tr w14:paraId="67521F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642EAFE">
            <w:pPr>
              <w:jc w:val="center"/>
              <w:rPr>
                <w:rFonts w:ascii="宋体" w:hAnsi="宋体"/>
              </w:rPr>
            </w:pPr>
            <w:r>
              <w:rPr>
                <w:rFonts w:hint="eastAsia" w:ascii="宋体" w:hAnsi="宋体"/>
              </w:rPr>
              <w:t>3</w:t>
            </w:r>
            <w:r>
              <w:rPr>
                <w:rFonts w:ascii="宋体" w:hAnsi="宋体"/>
              </w:rPr>
              <w:t>7</w:t>
            </w:r>
          </w:p>
        </w:tc>
        <w:tc>
          <w:tcPr>
            <w:tcW w:w="2409" w:type="dxa"/>
            <w:vAlign w:val="center"/>
          </w:tcPr>
          <w:p w14:paraId="0CB9AAD4">
            <w:pPr>
              <w:jc w:val="center"/>
              <w:rPr>
                <w:rFonts w:ascii="宋体" w:hAnsi="宋体"/>
              </w:rPr>
            </w:pPr>
            <w:r>
              <w:rPr>
                <w:rFonts w:hint="eastAsia" w:ascii="宋体" w:hAnsi="宋体"/>
              </w:rPr>
              <w:t>评审方法</w:t>
            </w:r>
          </w:p>
        </w:tc>
        <w:tc>
          <w:tcPr>
            <w:tcW w:w="4980" w:type="dxa"/>
            <w:vAlign w:val="center"/>
          </w:tcPr>
          <w:p w14:paraId="4C372EBB">
            <w:pPr>
              <w:jc w:val="left"/>
              <w:rPr>
                <w:rFonts w:ascii="宋体" w:hAnsi="宋体"/>
              </w:rPr>
            </w:pPr>
            <w:r>
              <w:rPr>
                <w:rFonts w:hint="eastAsia" w:ascii="宋体" w:hAnsi="宋体"/>
              </w:rPr>
              <w:t>综合评分法</w:t>
            </w:r>
          </w:p>
        </w:tc>
      </w:tr>
      <w:tr w14:paraId="3EEE09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037B628">
            <w:pPr>
              <w:jc w:val="center"/>
              <w:rPr>
                <w:rFonts w:ascii="宋体" w:hAnsi="宋体"/>
              </w:rPr>
            </w:pPr>
            <w:r>
              <w:rPr>
                <w:rFonts w:hint="eastAsia" w:ascii="宋体" w:hAnsi="宋体"/>
              </w:rPr>
              <w:t>3</w:t>
            </w:r>
            <w:r>
              <w:rPr>
                <w:rFonts w:ascii="宋体" w:hAnsi="宋体"/>
              </w:rPr>
              <w:t>8</w:t>
            </w:r>
          </w:p>
        </w:tc>
        <w:tc>
          <w:tcPr>
            <w:tcW w:w="2409" w:type="dxa"/>
            <w:vAlign w:val="center"/>
          </w:tcPr>
          <w:p w14:paraId="3276375F">
            <w:pPr>
              <w:jc w:val="center"/>
              <w:rPr>
                <w:rFonts w:ascii="宋体" w:hAnsi="宋体"/>
              </w:rPr>
            </w:pPr>
            <w:r>
              <w:rPr>
                <w:rFonts w:hint="eastAsia" w:ascii="宋体" w:hAnsi="宋体"/>
              </w:rPr>
              <w:t>是否为评定分离</w:t>
            </w:r>
          </w:p>
        </w:tc>
        <w:tc>
          <w:tcPr>
            <w:tcW w:w="4980" w:type="dxa"/>
            <w:vAlign w:val="center"/>
          </w:tcPr>
          <w:p w14:paraId="0A9321AB">
            <w:pPr>
              <w:jc w:val="left"/>
              <w:rPr>
                <w:rFonts w:ascii="宋体" w:hAnsi="宋体"/>
              </w:rPr>
            </w:pPr>
            <w:r>
              <w:rPr>
                <w:rFonts w:hint="eastAsia" w:ascii="宋体" w:hAnsi="宋体"/>
              </w:rPr>
              <w:t>非评定分离</w:t>
            </w:r>
          </w:p>
        </w:tc>
      </w:tr>
      <w:tr w14:paraId="5540C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D9D05E8">
            <w:pPr>
              <w:jc w:val="center"/>
              <w:rPr>
                <w:rFonts w:ascii="宋体" w:hAnsi="宋体"/>
              </w:rPr>
            </w:pPr>
            <w:r>
              <w:rPr>
                <w:rFonts w:hint="eastAsia" w:ascii="宋体" w:hAnsi="宋体"/>
              </w:rPr>
              <w:t>4</w:t>
            </w:r>
            <w:r>
              <w:rPr>
                <w:rFonts w:ascii="宋体" w:hAnsi="宋体"/>
              </w:rPr>
              <w:t>6</w:t>
            </w:r>
          </w:p>
        </w:tc>
        <w:tc>
          <w:tcPr>
            <w:tcW w:w="2409" w:type="dxa"/>
            <w:vAlign w:val="center"/>
          </w:tcPr>
          <w:p w14:paraId="5ED0ECE5">
            <w:pPr>
              <w:jc w:val="center"/>
              <w:rPr>
                <w:rFonts w:ascii="宋体" w:hAnsi="宋体"/>
              </w:rPr>
            </w:pPr>
            <w:r>
              <w:rPr>
                <w:rFonts w:hint="eastAsia" w:ascii="宋体" w:hAnsi="宋体"/>
              </w:rPr>
              <w:t>履约担保</w:t>
            </w:r>
          </w:p>
        </w:tc>
        <w:tc>
          <w:tcPr>
            <w:tcW w:w="4980" w:type="dxa"/>
            <w:vAlign w:val="center"/>
          </w:tcPr>
          <w:p w14:paraId="00848BB0">
            <w:pPr>
              <w:jc w:val="left"/>
              <w:rPr>
                <w:rFonts w:ascii="宋体" w:hAnsi="宋体"/>
              </w:rPr>
            </w:pPr>
            <w:r>
              <w:rPr>
                <w:rFonts w:hint="eastAsia" w:ascii="宋体" w:hAnsi="宋体"/>
              </w:rPr>
              <w:t>不需要</w:t>
            </w:r>
          </w:p>
        </w:tc>
      </w:tr>
    </w:tbl>
    <w:p w14:paraId="2629D727">
      <w:pPr>
        <w:rPr>
          <w:b/>
        </w:rPr>
      </w:pPr>
      <w:r>
        <w:rPr>
          <w:rFonts w:hint="eastAsia"/>
          <w:szCs w:val="21"/>
        </w:rPr>
        <w:t>备注：本表是通用条款相关条款的补充和明确，如与通用条款内容相冲突的，以本表为准。</w:t>
      </w:r>
    </w:p>
    <w:p w14:paraId="4435E6B2">
      <w:pPr>
        <w:rPr>
          <w:b/>
        </w:rPr>
      </w:pPr>
    </w:p>
    <w:p w14:paraId="7F51270A">
      <w:pPr>
        <w:pStyle w:val="5"/>
        <w:spacing w:before="120" w:beforeLines="50" w:after="120" w:afterLines="50"/>
        <w:rPr>
          <w:szCs w:val="24"/>
        </w:rPr>
      </w:pPr>
      <w:r>
        <w:rPr>
          <w:rFonts w:hint="eastAsia"/>
          <w:szCs w:val="24"/>
        </w:rPr>
        <w:t>二、其他关键信息</w:t>
      </w:r>
    </w:p>
    <w:p w14:paraId="664F963D">
      <w:pPr>
        <w:ind w:firstLine="422" w:firstLineChars="200"/>
        <w:rPr>
          <w:b/>
          <w:bCs/>
        </w:rPr>
      </w:pPr>
      <w:r>
        <w:rPr>
          <w:rFonts w:hint="eastAsia"/>
          <w:b/>
          <w:bCs/>
        </w:rPr>
        <w:t>（一）与“对通用条款的补充内容”章节相关的事项</w:t>
      </w:r>
    </w:p>
    <w:p w14:paraId="4F9E22B6">
      <w:pPr>
        <w:spacing w:line="276" w:lineRule="auto"/>
        <w:ind w:firstLine="422" w:firstLineChars="200"/>
        <w:jc w:val="left"/>
        <w:rPr>
          <w:rFonts w:asciiTheme="minorEastAsia" w:hAnsiTheme="minorEastAsia" w:eastAsiaTheme="minorEastAsia"/>
          <w:b/>
          <w:kern w:val="0"/>
          <w:szCs w:val="20"/>
        </w:rPr>
      </w:pPr>
      <w:bookmarkStart w:id="32" w:name="_Hlk72579465"/>
      <w:r>
        <w:rPr>
          <w:rFonts w:hint="eastAsia" w:asciiTheme="minorEastAsia" w:hAnsiTheme="minorEastAsia" w:eastAsiaTheme="minorEastAsia"/>
          <w:b/>
          <w:kern w:val="0"/>
          <w:szCs w:val="20"/>
        </w:rPr>
        <w:t>1、评标定标信息</w:t>
      </w:r>
    </w:p>
    <w:p w14:paraId="7B200B8D">
      <w:pPr>
        <w:jc w:val="center"/>
      </w:pPr>
      <w:r>
        <w:rPr>
          <w:rFonts w:hint="eastAsia"/>
          <w:b/>
        </w:rPr>
        <w:t>非评定分离项目</w:t>
      </w:r>
    </w:p>
    <w:tbl>
      <w:tblPr>
        <w:tblStyle w:val="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4"/>
        <w:gridCol w:w="4417"/>
      </w:tblGrid>
      <w:tr w14:paraId="162C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1D21474C">
            <w:pPr>
              <w:jc w:val="center"/>
            </w:pPr>
            <w:r>
              <w:rPr>
                <w:rFonts w:hint="eastAsia"/>
              </w:rPr>
              <w:t>评标方法</w:t>
            </w:r>
          </w:p>
        </w:tc>
        <w:tc>
          <w:tcPr>
            <w:tcW w:w="2660" w:type="pct"/>
          </w:tcPr>
          <w:p w14:paraId="14AE164F">
            <w:pPr>
              <w:jc w:val="center"/>
            </w:pPr>
            <w:r>
              <w:rPr>
                <w:rFonts w:hint="eastAsia"/>
              </w:rPr>
              <w:t>综合评分法</w:t>
            </w:r>
          </w:p>
        </w:tc>
      </w:tr>
      <w:tr w14:paraId="5739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604E4609">
            <w:pPr>
              <w:jc w:val="center"/>
            </w:pPr>
            <w:r>
              <w:rPr>
                <w:rFonts w:hint="eastAsia"/>
              </w:rPr>
              <w:t>候选中标供应商家数</w:t>
            </w:r>
          </w:p>
        </w:tc>
        <w:tc>
          <w:tcPr>
            <w:tcW w:w="2660" w:type="pct"/>
          </w:tcPr>
          <w:p w14:paraId="67417C2C">
            <w:pPr>
              <w:jc w:val="center"/>
            </w:pPr>
            <w:r>
              <w:rPr>
                <w:rFonts w:hint="eastAsia"/>
              </w:rPr>
              <w:t>3</w:t>
            </w:r>
          </w:p>
        </w:tc>
      </w:tr>
      <w:tr w14:paraId="4BED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1F733EF1">
            <w:pPr>
              <w:jc w:val="center"/>
            </w:pPr>
            <w:r>
              <w:rPr>
                <w:rFonts w:hint="eastAsia"/>
              </w:rPr>
              <w:t>中标供应商家数</w:t>
            </w:r>
          </w:p>
        </w:tc>
        <w:tc>
          <w:tcPr>
            <w:tcW w:w="2660" w:type="pct"/>
          </w:tcPr>
          <w:p w14:paraId="29BBC7FF">
            <w:pPr>
              <w:jc w:val="center"/>
            </w:pPr>
            <w:r>
              <w:rPr>
                <w:rFonts w:hint="eastAsia"/>
              </w:rPr>
              <w:t>1</w:t>
            </w:r>
          </w:p>
        </w:tc>
      </w:tr>
    </w:tbl>
    <w:p w14:paraId="1471167B">
      <w:pPr>
        <w:pStyle w:val="19"/>
      </w:pPr>
    </w:p>
    <w:p w14:paraId="4BD0DA7D">
      <w:pPr>
        <w:ind w:firstLine="422" w:firstLineChars="200"/>
        <w:rPr>
          <w:rFonts w:ascii="宋体" w:hAnsi="宋体"/>
          <w:b/>
        </w:rPr>
      </w:pPr>
    </w:p>
    <w:bookmarkEnd w:id="32"/>
    <w:p w14:paraId="6BAF04BC">
      <w:pPr>
        <w:ind w:firstLine="422" w:firstLineChars="200"/>
        <w:rPr>
          <w:b/>
        </w:rPr>
      </w:pPr>
      <w:r>
        <w:rPr>
          <w:rFonts w:hint="eastAsia"/>
          <w:b/>
        </w:rPr>
        <w:t>（二）政府采购政策的有关事项说明</w:t>
      </w:r>
    </w:p>
    <w:p w14:paraId="0F47DFEC">
      <w:pPr>
        <w:ind w:firstLine="422" w:firstLineChars="200"/>
        <w:rPr>
          <w:b/>
          <w:bCs/>
        </w:rPr>
      </w:pPr>
      <w:r>
        <w:rPr>
          <w:b/>
          <w:bCs/>
        </w:rPr>
        <w:t>1</w:t>
      </w:r>
      <w:r>
        <w:rPr>
          <w:rFonts w:hint="eastAsia"/>
          <w:b/>
          <w:bCs/>
        </w:rPr>
        <w:t>、关于享受中小企业扶持政策的主体、价格扣除比例及采购标的所属行业等事项的说明</w:t>
      </w:r>
    </w:p>
    <w:p w14:paraId="7F7C87C0">
      <w:pPr>
        <w:ind w:firstLine="630" w:firstLineChars="300"/>
      </w:pPr>
      <w:r>
        <w:rPr>
          <w:rFonts w:hint="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7FF8F19B">
      <w:pPr>
        <w:ind w:firstLine="420" w:firstLineChars="200"/>
      </w:pPr>
      <w:r>
        <w:rPr>
          <w:rFonts w:hint="eastAsia"/>
        </w:rPr>
        <w:t>备注：(a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szCs w:val="22"/>
        </w:rPr>
        <w:t>在货物采购项目中，货物由中小企业制造，即货物由中小企业生产且使用该中小企业商号或者注册商标</w:t>
      </w:r>
      <w:r>
        <w:rPr>
          <w:rFonts w:hint="eastAsia"/>
          <w:szCs w:val="22"/>
        </w:rPr>
        <w:t>（供应商提供的货物既有中小企业制造货物，也有大型企业制造货物的，不享受中小企业扶持政策）</w:t>
      </w:r>
      <w:r>
        <w:rPr>
          <w:rFonts w:hint="eastAsia" w:ascii="Calibri" w:hAnsi="Calibri"/>
          <w:szCs w:val="22"/>
        </w:rPr>
        <w:t>；在工程采购项目中，工程由中小企业承建，即工程施工单位为中小企业</w:t>
      </w:r>
      <w:r>
        <w:rPr>
          <w:rFonts w:hint="eastAsia"/>
          <w:szCs w:val="22"/>
        </w:rPr>
        <w:t>；在服务采购项目中，服务由中小企业承接，即提供服务的人员为中小企业依照《中华人民共和国劳动合同法》订立劳动合同的从业人员。</w:t>
      </w:r>
    </w:p>
    <w:p w14:paraId="1C2C4891">
      <w:pPr>
        <w:ind w:firstLine="630" w:firstLineChars="300"/>
      </w:pPr>
      <w:r>
        <w:rPr>
          <w:rFonts w:hint="eastAsia"/>
        </w:rPr>
        <w:t>（2）预留份额专门面向中小企业采购的项目，不再执行价格扣除比例。</w:t>
      </w:r>
    </w:p>
    <w:p w14:paraId="23B14D6B">
      <w:pPr>
        <w:ind w:firstLine="630" w:firstLineChars="300"/>
      </w:pPr>
      <w:r>
        <w:rPr>
          <w:rFonts w:hint="eastAsia"/>
        </w:rPr>
        <w:t>（3）未预留份额专门面向中小企业采购的项目，应执行价格扣除比例：供应商提供的服务</w:t>
      </w:r>
      <w:r>
        <w:rPr>
          <w:rFonts w:hint="eastAsia"/>
          <w:b/>
          <w:bCs/>
          <w:color w:val="FF0000"/>
        </w:rPr>
        <w:t>全部由小型、微型企业承接</w:t>
      </w:r>
      <w:r>
        <w:rPr>
          <w:rFonts w:hint="eastAsia"/>
        </w:rPr>
        <w:t>，则对其投标总价给予</w:t>
      </w:r>
      <w:r>
        <w:rPr>
          <w:b/>
          <w:bCs/>
          <w:color w:val="FF0000"/>
          <w:u w:val="single"/>
        </w:rPr>
        <w:t xml:space="preserve">  </w:t>
      </w:r>
      <w:r>
        <w:rPr>
          <w:rFonts w:hint="eastAsia"/>
          <w:b/>
          <w:bCs/>
          <w:color w:val="FF0000"/>
          <w:u w:val="single"/>
        </w:rPr>
        <w:t xml:space="preserve"> 10   </w:t>
      </w:r>
      <w:r>
        <w:rPr>
          <w:b/>
          <w:bCs/>
          <w:color w:val="FF0000"/>
        </w:rPr>
        <w:t>%</w:t>
      </w:r>
      <w:r>
        <w:rPr>
          <w:rFonts w:hint="eastAsia"/>
          <w:color w:val="000000" w:themeColor="text1"/>
          <w14:textFill>
            <w14:solidFill>
              <w14:schemeClr w14:val="tx1"/>
            </w14:solidFill>
          </w14:textFill>
        </w:rPr>
        <w:t>（10%~20%）</w:t>
      </w:r>
      <w:r>
        <w:rPr>
          <w:rFonts w:hint="eastAsia"/>
        </w:rPr>
        <w:t>的扣除，用扣除后的价格参与评审。</w:t>
      </w:r>
      <w:r>
        <w:rPr>
          <w:rFonts w:hint="eastAsia"/>
          <w:b/>
          <w:bCs/>
          <w:color w:val="FF0000"/>
        </w:rPr>
        <w:t>允许大中型企业向一家或者多家小微企业分包的采购项目，对于分包意向协议约定小微企业的合同份额占到合同总金额30%以上的，对大中型企业的报价给予</w:t>
      </w:r>
      <w:r>
        <w:rPr>
          <w:b/>
          <w:bCs/>
          <w:color w:val="FF0000"/>
          <w:u w:val="single"/>
        </w:rPr>
        <w:t xml:space="preserve">  </w:t>
      </w:r>
      <w:r>
        <w:rPr>
          <w:rFonts w:hint="eastAsia"/>
          <w:b/>
          <w:bCs/>
          <w:color w:val="FF0000"/>
          <w:u w:val="single"/>
        </w:rPr>
        <w:t xml:space="preserve">  </w:t>
      </w:r>
      <w:r>
        <w:rPr>
          <w:rFonts w:hint="eastAsia"/>
          <w:b/>
          <w:bCs/>
          <w:color w:val="FF0000"/>
          <w:highlight w:val="yellow"/>
          <w:u w:val="single"/>
        </w:rPr>
        <w:t xml:space="preserve">   </w:t>
      </w:r>
      <w:r>
        <w:rPr>
          <w:rFonts w:hint="eastAsia"/>
          <w:b/>
          <w:bCs/>
          <w:color w:val="FF0000"/>
          <w:highlight w:val="yellow"/>
          <w:u w:val="single"/>
          <w:lang w:val="en-US" w:eastAsia="zh-CN"/>
        </w:rPr>
        <w:t>4</w:t>
      </w:r>
      <w:r>
        <w:rPr>
          <w:rFonts w:hint="eastAsia"/>
          <w:b/>
          <w:bCs/>
          <w:color w:val="FF0000"/>
          <w:highlight w:val="yellow"/>
          <w:u w:val="single"/>
        </w:rPr>
        <w:t xml:space="preserve"> </w:t>
      </w:r>
      <w:r>
        <w:rPr>
          <w:b/>
          <w:bCs/>
          <w:color w:val="FF0000"/>
          <w:u w:val="single"/>
        </w:rPr>
        <w:t xml:space="preserve">  </w:t>
      </w:r>
      <w:r>
        <w:rPr>
          <w:rFonts w:hint="eastAsia"/>
          <w:b/>
          <w:bCs/>
          <w:color w:val="FF0000"/>
          <w:u w:val="single"/>
        </w:rPr>
        <w:t xml:space="preserve"> </w:t>
      </w:r>
      <w:r>
        <w:rPr>
          <w:rFonts w:hint="eastAsia"/>
          <w:b/>
          <w:bCs/>
          <w:color w:val="FF0000"/>
        </w:rPr>
        <w:t xml:space="preserve"> </w:t>
      </w:r>
      <w:r>
        <w:rPr>
          <w:b/>
          <w:bCs/>
          <w:color w:val="FF0000"/>
        </w:rPr>
        <w:t>%</w:t>
      </w:r>
      <w:r>
        <w:rPr>
          <w:rFonts w:hint="eastAsia"/>
          <w:b/>
          <w:bCs/>
          <w:color w:val="FF0000"/>
        </w:rPr>
        <w:t>（4%~6%）的扣除，用扣除后的价格参加评审。</w:t>
      </w:r>
    </w:p>
    <w:p w14:paraId="473A1CC2">
      <w:pPr>
        <w:ind w:firstLine="630" w:firstLineChars="300"/>
      </w:pPr>
      <w:r>
        <w:rPr>
          <w:rFonts w:hint="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cs="宋体"/>
          <w:b/>
          <w:bCs/>
          <w:color w:val="FF0000"/>
          <w:szCs w:val="21"/>
        </w:rPr>
        <w:t>《中小企业声明函》中相关企业</w:t>
      </w:r>
      <w:r>
        <w:rPr>
          <w:rFonts w:hint="eastAsia" w:ascii="宋体" w:hAnsi="宋体" w:cs="宋体"/>
          <w:b/>
          <w:bCs/>
          <w:color w:val="FF0000"/>
          <w:szCs w:val="21"/>
        </w:rPr>
        <w:t>（服务承接商）</w:t>
      </w:r>
      <w:r>
        <w:rPr>
          <w:rFonts w:ascii="宋体" w:hAnsi="宋体" w:cs="宋体"/>
          <w:b/>
          <w:bCs/>
          <w:color w:val="FF0000"/>
          <w:szCs w:val="21"/>
        </w:rPr>
        <w:t>所属行业应当与采购标的所属行业相一致</w:t>
      </w:r>
      <w:r>
        <w:rPr>
          <w:rFonts w:hint="eastAsia"/>
          <w:b/>
          <w:bCs/>
          <w:color w:val="FF0000"/>
        </w:rPr>
        <w:t>，标的所属行业以招标文件第一册第三章用户需求书“服务需求明细”的“标的所属行业”一栏为准</w:t>
      </w:r>
      <w:r>
        <w:rPr>
          <w:rFonts w:ascii="宋体" w:hAnsi="宋体" w:cs="宋体"/>
          <w:b/>
          <w:bCs/>
          <w:color w:val="FF0000"/>
          <w:szCs w:val="21"/>
        </w:rPr>
        <w:t>。</w:t>
      </w:r>
    </w:p>
    <w:p w14:paraId="0A50FA62">
      <w:pPr>
        <w:ind w:firstLine="630" w:firstLineChars="300"/>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343332F4">
      <w:pPr>
        <w:ind w:firstLine="630" w:firstLineChars="300"/>
        <w:rPr>
          <w:color w:val="FF0000"/>
        </w:rPr>
      </w:pPr>
      <w:r>
        <w:rPr>
          <w:rFonts w:hint="eastAsia"/>
        </w:rPr>
        <w:t>（6）依据《</w:t>
      </w:r>
      <w:r>
        <w:rPr>
          <w:rFonts w:hint="eastAsia" w:asciiTheme="minorEastAsia" w:hAnsiTheme="minorEastAsia" w:eastAsiaTheme="minorEastAsia" w:cstheme="minorEastAsia"/>
          <w:szCs w:val="21"/>
        </w:rPr>
        <w:t>政府采购促进中小企业发展管理办法》</w:t>
      </w:r>
      <w:r>
        <w:rPr>
          <w:rFonts w:hint="eastAsia"/>
        </w:rPr>
        <w:t>规定享受扶持政策获得政府采购合同的，小微企业不得将合同分包给大中型企业，中型企业不得将合同分包给大型企业。</w:t>
      </w:r>
    </w:p>
    <w:p w14:paraId="0209C157">
      <w:pPr>
        <w:ind w:firstLine="422" w:firstLineChars="200"/>
        <w:rPr>
          <w:b/>
          <w:bCs/>
          <w:color w:val="FF0000"/>
        </w:rPr>
      </w:pPr>
      <w:r>
        <w:rPr>
          <w:rFonts w:hint="eastAsia"/>
          <w:b/>
          <w:bCs/>
        </w:rPr>
        <w:t>2、关于享受对本国产品的政府采购支持政策的主体、价格扣除比例等事项的说明</w:t>
      </w:r>
      <w:r>
        <w:rPr>
          <w:rFonts w:hint="eastAsia"/>
          <w:b/>
          <w:bCs/>
          <w:color w:val="FF0000"/>
          <w:highlight w:val="yellow"/>
        </w:rPr>
        <w:t>（本项目不适用）</w:t>
      </w:r>
    </w:p>
    <w:p w14:paraId="5EB5A70D">
      <w:pPr>
        <w:ind w:firstLine="420" w:firstLineChars="200"/>
      </w:pPr>
      <w:r>
        <w:rPr>
          <w:rFonts w:hint="eastAsia"/>
        </w:rPr>
        <w:t>（1）适用主体：国有企业、民营企业、外资企业等各类经营主体平等享受对本国产品的政府采购支持政策。</w:t>
      </w:r>
    </w:p>
    <w:p w14:paraId="27AF5CB9">
      <w:pPr>
        <w:pStyle w:val="59"/>
        <w:ind w:firstLine="420" w:firstLineChars="200"/>
        <w:rPr>
          <w:rFonts w:ascii="Times New Roman" w:hAnsi="Times New Roman"/>
          <w:szCs w:val="24"/>
        </w:rPr>
      </w:pPr>
      <w:r>
        <w:rPr>
          <w:rFonts w:hint="eastAsia" w:ascii="Times New Roman" w:hAnsi="Times New Roman"/>
          <w:szCs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59"/>
        <w:ind w:firstLine="420" w:firstLineChars="200"/>
        <w:rPr>
          <w:rFonts w:ascii="Times New Roman" w:hAnsi="Times New Roman"/>
          <w:szCs w:val="24"/>
        </w:rPr>
      </w:pPr>
      <w:r>
        <w:rPr>
          <w:rFonts w:hint="eastAsia" w:ascii="Times New Roman" w:hAnsi="Times New Roman"/>
          <w:szCs w:val="24"/>
        </w:rPr>
        <w:t>（3）价格扣除：政府采购活动中既有本国产品又有非本国产品参与竞争的，依法对本国产品给予价格评审优惠，</w:t>
      </w:r>
      <w:r>
        <w:rPr>
          <w:rFonts w:hint="eastAsia" w:ascii="Times New Roman" w:hAnsi="Times New Roman"/>
          <w:b/>
          <w:bCs/>
          <w:color w:val="FF0000"/>
          <w:szCs w:val="24"/>
        </w:rPr>
        <w:t>对本国产品的报价给予20%的价格扣除</w:t>
      </w:r>
      <w:r>
        <w:rPr>
          <w:rFonts w:hint="eastAsia" w:ascii="Times New Roman" w:hAnsi="Times New Roman"/>
          <w:color w:val="000000" w:themeColor="text1"/>
          <w:szCs w:val="24"/>
          <w14:textFill>
            <w14:solidFill>
              <w14:schemeClr w14:val="tx1"/>
            </w14:solidFill>
          </w14:textFill>
        </w:rPr>
        <w:t>，</w:t>
      </w:r>
      <w:r>
        <w:rPr>
          <w:rFonts w:hint="eastAsia" w:ascii="Times New Roman" w:hAnsi="Times New Roman"/>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b/>
          <w:bCs/>
          <w:color w:val="FF0000"/>
          <w:szCs w:val="24"/>
        </w:rPr>
        <w:t>总报价给予20%的价格扣除</w:t>
      </w:r>
      <w:r>
        <w:rPr>
          <w:rFonts w:hint="eastAsia" w:ascii="Times New Roman" w:hAnsi="Times New Roman"/>
          <w:szCs w:val="24"/>
        </w:rPr>
        <w:t>，用扣除后的价格参与评审。</w:t>
      </w:r>
    </w:p>
    <w:p w14:paraId="196B32C5">
      <w:pPr>
        <w:pStyle w:val="59"/>
        <w:ind w:firstLine="420" w:firstLineChars="200"/>
      </w:pPr>
      <w:r>
        <w:rPr>
          <w:rFonts w:hint="eastAsia" w:ascii="Times New Roman" w:hAnsi="Times New Roman"/>
          <w:szCs w:val="24"/>
        </w:rPr>
        <w:t>（4）供应商出具符合要求的《关于符合本国产品标准的声明函》或财政部会同有关部门规定的有关证明文件，该产品视为本国产品。</w:t>
      </w:r>
      <w:r>
        <w:rPr>
          <w:rFonts w:hint="eastAsia"/>
        </w:rPr>
        <w:t>声明函样式见本招标文件第一册专用条款第四章“ 投标文件组成要求及格式”中“三、投标人情况及资格证明文件”章节提供的格式）。</w:t>
      </w:r>
    </w:p>
    <w:p w14:paraId="5CFFECD3">
      <w:pPr>
        <w:ind w:firstLine="422" w:firstLineChars="200"/>
        <w:rPr>
          <w:b/>
          <w:bCs/>
          <w:color w:val="FF0000"/>
        </w:rPr>
      </w:pPr>
      <w:r>
        <w:rPr>
          <w:rFonts w:hint="eastAsia"/>
          <w:b/>
          <w:bCs/>
        </w:rPr>
        <w:t>3、关于同时满足中小企业扶持政策和对本国产品的支持政策的事项说明</w:t>
      </w:r>
      <w:r>
        <w:rPr>
          <w:rFonts w:hint="eastAsia"/>
          <w:b/>
          <w:bCs/>
          <w:color w:val="FF0000"/>
          <w:highlight w:val="yellow"/>
        </w:rPr>
        <w:t>（本项目不适用）</w:t>
      </w:r>
    </w:p>
    <w:p w14:paraId="6CB4AADE">
      <w:pPr>
        <w:pStyle w:val="59"/>
        <w:ind w:firstLine="422" w:firstLineChars="200"/>
        <w:rPr>
          <w:rFonts w:ascii="Times New Roman" w:hAnsi="Times New Roman"/>
          <w:szCs w:val="24"/>
        </w:rPr>
      </w:pPr>
      <w:r>
        <w:rPr>
          <w:rFonts w:hint="eastAsia" w:ascii="Times New Roman" w:hAnsi="Times New Roman"/>
          <w:b/>
          <w:bCs/>
          <w:color w:val="FF0000"/>
          <w:szCs w:val="24"/>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szCs w:val="24"/>
        </w:rPr>
        <w:t>，用扣除后的价格参与评审。</w:t>
      </w:r>
      <w:r>
        <w:rPr>
          <w:rFonts w:hint="eastAsia" w:ascii="Times New Roman" w:hAnsi="Times New Roman"/>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59"/>
        <w:ind w:firstLine="420" w:firstLineChars="200"/>
        <w:rPr>
          <w:rFonts w:ascii="Times New Roman" w:hAnsi="Times New Roman"/>
          <w:szCs w:val="24"/>
        </w:rPr>
      </w:pPr>
      <w:r>
        <w:rPr>
          <w:rFonts w:hint="eastAsia" w:ascii="Times New Roman" w:hAnsi="Times New Roman"/>
          <w:szCs w:val="24"/>
        </w:rPr>
        <w:t>（1）预留份额专门面向中小企业采购的项目，不再享受小微企业价格扣除优惠。若供应商所投货物同时满足对本国产品的支持政策的规定，应享受该政策20%价格扣除优惠；</w:t>
      </w:r>
    </w:p>
    <w:p w14:paraId="0CBEA11B">
      <w:pPr>
        <w:pStyle w:val="59"/>
        <w:ind w:firstLine="420" w:firstLineChars="200"/>
        <w:rPr>
          <w:rFonts w:ascii="Times New Roman" w:hAnsi="Times New Roman"/>
          <w:szCs w:val="24"/>
        </w:rPr>
      </w:pPr>
      <w:r>
        <w:rPr>
          <w:rFonts w:hint="eastAsia" w:ascii="Times New Roman" w:hAnsi="Times New Roman"/>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59"/>
        <w:ind w:firstLine="422" w:firstLineChars="200"/>
        <w:rPr>
          <w:b/>
          <w:bCs/>
        </w:rPr>
      </w:pPr>
      <w:r>
        <w:rPr>
          <w:rFonts w:hint="eastAsia"/>
          <w:b/>
          <w:bCs/>
        </w:rPr>
        <w:t>4、</w:t>
      </w:r>
      <w:r>
        <w:rPr>
          <w:b/>
          <w:bCs/>
        </w:rPr>
        <w:t>上述支持政策不改变最终中标</w:t>
      </w:r>
      <w:r>
        <w:rPr>
          <w:rFonts w:hint="eastAsia"/>
          <w:b/>
          <w:bCs/>
        </w:rPr>
        <w:t>（</w:t>
      </w:r>
      <w:r>
        <w:rPr>
          <w:b/>
          <w:bCs/>
        </w:rPr>
        <w:t>成交</w:t>
      </w:r>
      <w:r>
        <w:rPr>
          <w:rFonts w:hint="eastAsia"/>
          <w:b/>
          <w:bCs/>
        </w:rPr>
        <w:t>）</w:t>
      </w:r>
      <w:r>
        <w:rPr>
          <w:b/>
          <w:bCs/>
        </w:rPr>
        <w:t>价格，政府采购合同仍按照中标</w:t>
      </w:r>
      <w:r>
        <w:rPr>
          <w:rFonts w:hint="eastAsia"/>
          <w:b/>
          <w:bCs/>
        </w:rPr>
        <w:t>（</w:t>
      </w:r>
      <w:r>
        <w:rPr>
          <w:b/>
          <w:bCs/>
        </w:rPr>
        <w:t>成交</w:t>
      </w:r>
      <w:r>
        <w:rPr>
          <w:rFonts w:hint="eastAsia"/>
          <w:b/>
          <w:bCs/>
        </w:rPr>
        <w:t>）</w:t>
      </w:r>
      <w:r>
        <w:rPr>
          <w:b/>
          <w:bCs/>
        </w:rPr>
        <w:t>供应商的报价签订。</w:t>
      </w:r>
    </w:p>
    <w:p w14:paraId="040934B2">
      <w:pPr>
        <w:ind w:firstLine="422" w:firstLineChars="200"/>
        <w:rPr>
          <w:b/>
        </w:rPr>
      </w:pPr>
    </w:p>
    <w:p w14:paraId="633E0EA7">
      <w:pPr>
        <w:ind w:firstLine="422" w:firstLineChars="200"/>
        <w:rPr>
          <w:b/>
          <w:bCs/>
        </w:rPr>
      </w:pPr>
      <w:r>
        <w:rPr>
          <w:rFonts w:hint="eastAsia"/>
          <w:b/>
        </w:rPr>
        <w:t>（三）代理服务费</w:t>
      </w:r>
    </w:p>
    <w:p w14:paraId="04738CCB">
      <w:pPr>
        <w:ind w:firstLine="422" w:firstLineChars="200"/>
        <w:rPr>
          <w:b/>
          <w:bCs/>
        </w:rPr>
      </w:pPr>
      <w:r>
        <w:rPr>
          <w:rFonts w:hint="eastAsia"/>
          <w:b/>
          <w:bCs/>
        </w:rPr>
        <w:t>本项目不向中标（成交）供应商收取代理服务费。</w:t>
      </w:r>
    </w:p>
    <w:p w14:paraId="0F71EBFC">
      <w:pPr>
        <w:wordWrap w:val="0"/>
        <w:ind w:firstLine="422" w:firstLineChars="200"/>
        <w:rPr>
          <w:b/>
          <w:bCs/>
        </w:rPr>
      </w:pPr>
    </w:p>
    <w:p w14:paraId="5238FC49">
      <w:pPr>
        <w:wordWrap w:val="0"/>
        <w:ind w:firstLine="422" w:firstLineChars="200"/>
        <w:rPr>
          <w:b/>
          <w:bCs/>
        </w:rPr>
      </w:pPr>
      <w:r>
        <w:rPr>
          <w:rFonts w:hint="eastAsia"/>
          <w:b/>
          <w:bCs/>
        </w:rPr>
        <w:t>（四）</w:t>
      </w:r>
      <w:r>
        <w:rPr>
          <w:b/>
          <w:bCs/>
        </w:rPr>
        <w:t>长期服务采购项目</w:t>
      </w:r>
    </w:p>
    <w:p w14:paraId="2C59E7C0">
      <w:pPr>
        <w:pStyle w:val="19"/>
        <w:spacing w:line="240" w:lineRule="auto"/>
        <w:ind w:firstLine="420" w:firstLineChars="200"/>
        <w:rPr>
          <w:b/>
          <w:sz w:val="21"/>
          <w:szCs w:val="21"/>
        </w:rPr>
      </w:pPr>
      <w:r>
        <w:rPr>
          <w:sz w:val="21"/>
          <w:szCs w:val="21"/>
        </w:rPr>
        <w:t>本项目为长期服务项目，合同期满可以续签，但合同履行期限最长不得超过三十六个月。如</w:t>
      </w:r>
      <w:r>
        <w:rPr>
          <w:rFonts w:hint="eastAsia" w:ascii="宋体" w:hAnsi="宋体" w:cs="宋体"/>
          <w:color w:val="000000"/>
          <w:sz w:val="20"/>
          <w:szCs w:val="20"/>
          <w:lang w:val="en-US" w:eastAsia="zh-CN"/>
        </w:rPr>
        <w:t>采购人</w:t>
      </w:r>
      <w:r>
        <w:rPr>
          <w:sz w:val="21"/>
          <w:szCs w:val="21"/>
        </w:rPr>
        <w:t>对履约情况不满意，</w:t>
      </w:r>
      <w:r>
        <w:rPr>
          <w:rFonts w:hint="eastAsia" w:ascii="宋体" w:hAnsi="宋体" w:cs="宋体"/>
          <w:color w:val="000000"/>
          <w:sz w:val="20"/>
          <w:szCs w:val="20"/>
          <w:lang w:val="en-US" w:eastAsia="zh-CN"/>
        </w:rPr>
        <w:t>采购人</w:t>
      </w:r>
      <w:r>
        <w:rPr>
          <w:sz w:val="21"/>
          <w:szCs w:val="21"/>
        </w:rPr>
        <w:t>不再续约。</w:t>
      </w:r>
    </w:p>
    <w:p w14:paraId="0FF4302E">
      <w:pPr>
        <w:rPr>
          <w:b/>
        </w:rPr>
      </w:pPr>
    </w:p>
    <w:p w14:paraId="2D500151">
      <w:pPr>
        <w:pStyle w:val="18"/>
        <w:sectPr>
          <w:pgSz w:w="11907" w:h="16840"/>
          <w:pgMar w:top="1440" w:right="1797" w:bottom="1440" w:left="1797" w:header="851" w:footer="992" w:gutter="0"/>
          <w:cols w:space="425" w:num="1"/>
          <w:titlePg/>
          <w:docGrid w:linePitch="462" w:charSpace="0"/>
        </w:sectPr>
      </w:pPr>
    </w:p>
    <w:p w14:paraId="61BD5AB3">
      <w:pPr>
        <w:pStyle w:val="5"/>
        <w:rPr>
          <w:sz w:val="28"/>
          <w:szCs w:val="28"/>
        </w:rPr>
      </w:pPr>
      <w:bookmarkStart w:id="33" w:name="_Toc128884461"/>
      <w:r>
        <w:rPr>
          <w:rFonts w:hint="eastAsia"/>
          <w:sz w:val="28"/>
          <w:szCs w:val="28"/>
        </w:rPr>
        <w:t>第三章 用户需求书</w:t>
      </w:r>
    </w:p>
    <w:p w14:paraId="6CCDC7F9">
      <w:pPr>
        <w:pStyle w:val="5"/>
        <w:spacing w:before="120" w:beforeLines="50" w:after="120" w:afterLines="50"/>
        <w:rPr>
          <w:szCs w:val="24"/>
        </w:rPr>
      </w:pPr>
      <w:r>
        <w:rPr>
          <w:rFonts w:hint="eastAsia"/>
          <w:szCs w:val="24"/>
        </w:rPr>
        <w:t>一、项目基本信息</w:t>
      </w:r>
    </w:p>
    <w:tbl>
      <w:tblPr>
        <w:tblStyle w:val="42"/>
        <w:tblpPr w:leftFromText="180" w:rightFromText="180" w:vertAnchor="text" w:horzAnchor="margin" w:tblpY="17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557"/>
        <w:gridCol w:w="2769"/>
        <w:gridCol w:w="1777"/>
      </w:tblGrid>
      <w:tr w14:paraId="73B8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0" w:type="auto"/>
            <w:vAlign w:val="center"/>
          </w:tcPr>
          <w:p w14:paraId="3BA7BDEB">
            <w:pPr>
              <w:jc w:val="center"/>
              <w:rPr>
                <w:bCs/>
                <w:szCs w:val="21"/>
              </w:rPr>
            </w:pPr>
            <w:r>
              <w:rPr>
                <w:rFonts w:hint="eastAsia"/>
                <w:bCs/>
                <w:szCs w:val="21"/>
              </w:rPr>
              <w:t>序号</w:t>
            </w:r>
          </w:p>
        </w:tc>
        <w:tc>
          <w:tcPr>
            <w:tcW w:w="3393" w:type="dxa"/>
            <w:vAlign w:val="center"/>
          </w:tcPr>
          <w:p w14:paraId="62966949">
            <w:pPr>
              <w:jc w:val="center"/>
              <w:rPr>
                <w:bCs/>
                <w:szCs w:val="21"/>
              </w:rPr>
            </w:pPr>
            <w:r>
              <w:rPr>
                <w:rFonts w:hint="eastAsia"/>
                <w:szCs w:val="21"/>
              </w:rPr>
              <w:t>采购计划编号</w:t>
            </w:r>
          </w:p>
        </w:tc>
        <w:tc>
          <w:tcPr>
            <w:tcW w:w="2799" w:type="dxa"/>
            <w:vAlign w:val="center"/>
          </w:tcPr>
          <w:p w14:paraId="25FA3E88">
            <w:pPr>
              <w:jc w:val="center"/>
              <w:rPr>
                <w:bCs/>
                <w:szCs w:val="21"/>
              </w:rPr>
            </w:pPr>
            <w:r>
              <w:rPr>
                <w:rFonts w:hint="eastAsia"/>
                <w:bCs/>
                <w:szCs w:val="21"/>
              </w:rPr>
              <w:t>采购项目名称</w:t>
            </w:r>
          </w:p>
        </w:tc>
        <w:tc>
          <w:tcPr>
            <w:tcW w:w="1783" w:type="dxa"/>
            <w:vAlign w:val="center"/>
          </w:tcPr>
          <w:p w14:paraId="197B518C">
            <w:pPr>
              <w:jc w:val="center"/>
              <w:rPr>
                <w:b/>
                <w:bCs/>
                <w:color w:val="FF0000"/>
                <w:szCs w:val="21"/>
              </w:rPr>
            </w:pPr>
            <w:r>
              <w:rPr>
                <w:rFonts w:hint="eastAsia"/>
                <w:b/>
                <w:bCs/>
                <w:color w:val="FF0000"/>
                <w:szCs w:val="21"/>
                <w:lang w:val="en-US" w:eastAsia="zh-CN"/>
              </w:rPr>
              <w:t>财政</w:t>
            </w:r>
            <w:r>
              <w:rPr>
                <w:rFonts w:hint="eastAsia"/>
                <w:b/>
                <w:bCs/>
                <w:color w:val="FF0000"/>
                <w:szCs w:val="21"/>
              </w:rPr>
              <w:t>预算金额（元）</w:t>
            </w:r>
          </w:p>
        </w:tc>
      </w:tr>
      <w:tr w14:paraId="1A48C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vAlign w:val="center"/>
          </w:tcPr>
          <w:p w14:paraId="1DA60BEF">
            <w:pPr>
              <w:jc w:val="center"/>
              <w:rPr>
                <w:bCs/>
                <w:color w:val="FF0000"/>
                <w:szCs w:val="21"/>
              </w:rPr>
            </w:pPr>
            <w:r>
              <w:rPr>
                <w:rFonts w:hint="eastAsia"/>
                <w:bCs/>
                <w:color w:val="FF0000"/>
                <w:szCs w:val="21"/>
              </w:rPr>
              <w:t>1</w:t>
            </w:r>
          </w:p>
        </w:tc>
        <w:tc>
          <w:tcPr>
            <w:tcW w:w="3393" w:type="dxa"/>
            <w:vAlign w:val="center"/>
          </w:tcPr>
          <w:p w14:paraId="3CC42CB5">
            <w:pPr>
              <w:jc w:val="center"/>
              <w:rPr>
                <w:bCs/>
                <w:color w:val="FF0000"/>
                <w:szCs w:val="21"/>
              </w:rPr>
            </w:pPr>
            <w:r>
              <w:rPr>
                <w:bCs/>
                <w:color w:val="FF0000"/>
                <w:szCs w:val="21"/>
              </w:rPr>
              <w:t>PLAN-2026-440300000-110009-09312</w:t>
            </w:r>
          </w:p>
        </w:tc>
        <w:tc>
          <w:tcPr>
            <w:tcW w:w="2799" w:type="dxa"/>
            <w:vMerge w:val="restart"/>
            <w:vAlign w:val="center"/>
          </w:tcPr>
          <w:p w14:paraId="6D5A94F9">
            <w:pPr>
              <w:jc w:val="center"/>
              <w:rPr>
                <w:rFonts w:hint="eastAsia" w:eastAsia="宋体"/>
                <w:b/>
                <w:bCs/>
                <w:color w:val="FF0000"/>
                <w:szCs w:val="21"/>
                <w:lang w:val="en-US" w:eastAsia="zh-CN"/>
              </w:rPr>
            </w:pPr>
            <w:r>
              <w:rPr>
                <w:b/>
                <w:bCs/>
                <w:color w:val="FF0000"/>
                <w:szCs w:val="21"/>
              </w:rPr>
              <w:t>深圳城市职业学院（深圳技师学院）物业管理服务</w:t>
            </w:r>
            <w:r>
              <w:rPr>
                <w:rFonts w:hint="eastAsia"/>
                <w:b/>
                <w:bCs/>
                <w:color w:val="FF0000"/>
                <w:szCs w:val="21"/>
                <w:lang w:val="en-US" w:eastAsia="zh-CN"/>
              </w:rPr>
              <w:t>项目</w:t>
            </w:r>
          </w:p>
        </w:tc>
        <w:tc>
          <w:tcPr>
            <w:tcW w:w="1783" w:type="dxa"/>
            <w:vAlign w:val="center"/>
          </w:tcPr>
          <w:p w14:paraId="3823930F">
            <w:pPr>
              <w:jc w:val="center"/>
              <w:rPr>
                <w:bCs/>
                <w:color w:val="FF0000"/>
                <w:szCs w:val="21"/>
              </w:rPr>
            </w:pPr>
            <w:r>
              <w:rPr>
                <w:bCs/>
                <w:color w:val="FF0000"/>
                <w:szCs w:val="21"/>
              </w:rPr>
              <w:t>60000.00</w:t>
            </w:r>
          </w:p>
        </w:tc>
      </w:tr>
      <w:tr w14:paraId="2579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vAlign w:val="center"/>
          </w:tcPr>
          <w:p w14:paraId="013B0877">
            <w:pPr>
              <w:jc w:val="center"/>
              <w:rPr>
                <w:bCs/>
                <w:color w:val="FF0000"/>
                <w:szCs w:val="21"/>
              </w:rPr>
            </w:pPr>
            <w:r>
              <w:rPr>
                <w:rFonts w:hint="eastAsia"/>
                <w:bCs/>
                <w:color w:val="FF0000"/>
                <w:szCs w:val="21"/>
              </w:rPr>
              <w:t>2</w:t>
            </w:r>
          </w:p>
        </w:tc>
        <w:tc>
          <w:tcPr>
            <w:tcW w:w="3393" w:type="dxa"/>
            <w:vAlign w:val="center"/>
          </w:tcPr>
          <w:p w14:paraId="1D843739">
            <w:pPr>
              <w:jc w:val="center"/>
              <w:rPr>
                <w:bCs/>
                <w:color w:val="FF0000"/>
                <w:szCs w:val="21"/>
              </w:rPr>
            </w:pPr>
            <w:r>
              <w:rPr>
                <w:bCs/>
                <w:color w:val="FF0000"/>
                <w:szCs w:val="21"/>
              </w:rPr>
              <w:t>PLAN-2026-440300000-110009-09313</w:t>
            </w:r>
          </w:p>
        </w:tc>
        <w:tc>
          <w:tcPr>
            <w:tcW w:w="2799" w:type="dxa"/>
            <w:vMerge w:val="continue"/>
            <w:vAlign w:val="center"/>
          </w:tcPr>
          <w:p w14:paraId="61EFADF0">
            <w:pPr>
              <w:jc w:val="center"/>
              <w:rPr>
                <w:b/>
                <w:bCs/>
                <w:color w:val="FF0000"/>
                <w:szCs w:val="21"/>
              </w:rPr>
            </w:pPr>
          </w:p>
        </w:tc>
        <w:tc>
          <w:tcPr>
            <w:tcW w:w="1783" w:type="dxa"/>
            <w:vAlign w:val="center"/>
          </w:tcPr>
          <w:p w14:paraId="6BD63D61">
            <w:pPr>
              <w:jc w:val="center"/>
              <w:rPr>
                <w:bCs/>
                <w:color w:val="FF0000"/>
                <w:szCs w:val="21"/>
              </w:rPr>
            </w:pPr>
            <w:r>
              <w:rPr>
                <w:bCs/>
                <w:color w:val="FF0000"/>
                <w:szCs w:val="21"/>
              </w:rPr>
              <w:t>15098239.92 </w:t>
            </w:r>
          </w:p>
        </w:tc>
      </w:tr>
      <w:tr w14:paraId="061F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vAlign w:val="center"/>
          </w:tcPr>
          <w:p w14:paraId="64BC08DE">
            <w:pPr>
              <w:jc w:val="center"/>
              <w:rPr>
                <w:bCs/>
                <w:color w:val="FF0000"/>
                <w:szCs w:val="21"/>
              </w:rPr>
            </w:pPr>
            <w:r>
              <w:rPr>
                <w:rFonts w:hint="eastAsia"/>
                <w:bCs/>
                <w:color w:val="FF0000"/>
                <w:szCs w:val="21"/>
              </w:rPr>
              <w:t>3</w:t>
            </w:r>
          </w:p>
        </w:tc>
        <w:tc>
          <w:tcPr>
            <w:tcW w:w="3393" w:type="dxa"/>
            <w:vAlign w:val="center"/>
          </w:tcPr>
          <w:p w14:paraId="071F50B2">
            <w:pPr>
              <w:jc w:val="center"/>
              <w:rPr>
                <w:bCs/>
                <w:color w:val="FF0000"/>
                <w:szCs w:val="21"/>
              </w:rPr>
            </w:pPr>
            <w:r>
              <w:rPr>
                <w:bCs/>
                <w:color w:val="FF0000"/>
                <w:szCs w:val="21"/>
              </w:rPr>
              <w:t>PLAN-2026-440300000-110009-09306</w:t>
            </w:r>
          </w:p>
        </w:tc>
        <w:tc>
          <w:tcPr>
            <w:tcW w:w="2799" w:type="dxa"/>
            <w:vMerge w:val="continue"/>
            <w:vAlign w:val="center"/>
          </w:tcPr>
          <w:p w14:paraId="4F8E5672">
            <w:pPr>
              <w:jc w:val="center"/>
              <w:rPr>
                <w:b/>
                <w:bCs/>
                <w:color w:val="FF0000"/>
                <w:szCs w:val="21"/>
              </w:rPr>
            </w:pPr>
          </w:p>
        </w:tc>
        <w:tc>
          <w:tcPr>
            <w:tcW w:w="1783" w:type="dxa"/>
            <w:vAlign w:val="center"/>
          </w:tcPr>
          <w:p w14:paraId="71C68B4C">
            <w:pPr>
              <w:jc w:val="center"/>
              <w:rPr>
                <w:bCs/>
                <w:color w:val="FF0000"/>
                <w:szCs w:val="21"/>
              </w:rPr>
            </w:pPr>
            <w:r>
              <w:rPr>
                <w:bCs/>
                <w:color w:val="FF0000"/>
                <w:szCs w:val="21"/>
              </w:rPr>
              <w:t>30000.00</w:t>
            </w:r>
          </w:p>
        </w:tc>
      </w:tr>
      <w:tr w14:paraId="206B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vAlign w:val="center"/>
          </w:tcPr>
          <w:p w14:paraId="0BA259A1">
            <w:pPr>
              <w:jc w:val="center"/>
              <w:rPr>
                <w:bCs/>
                <w:color w:val="FF0000"/>
                <w:szCs w:val="21"/>
              </w:rPr>
            </w:pPr>
            <w:r>
              <w:rPr>
                <w:rFonts w:hint="eastAsia"/>
                <w:bCs/>
                <w:color w:val="FF0000"/>
                <w:szCs w:val="21"/>
              </w:rPr>
              <w:t>4</w:t>
            </w:r>
          </w:p>
        </w:tc>
        <w:tc>
          <w:tcPr>
            <w:tcW w:w="3393" w:type="dxa"/>
            <w:vAlign w:val="center"/>
          </w:tcPr>
          <w:p w14:paraId="0ADDEBA2">
            <w:pPr>
              <w:jc w:val="center"/>
              <w:rPr>
                <w:bCs/>
                <w:color w:val="FF0000"/>
                <w:szCs w:val="21"/>
              </w:rPr>
            </w:pPr>
            <w:r>
              <w:rPr>
                <w:bCs/>
                <w:color w:val="FF0000"/>
                <w:szCs w:val="21"/>
              </w:rPr>
              <w:t>PLAN-2026-440300000-110009-09307</w:t>
            </w:r>
          </w:p>
        </w:tc>
        <w:tc>
          <w:tcPr>
            <w:tcW w:w="2799" w:type="dxa"/>
            <w:vMerge w:val="continue"/>
            <w:vAlign w:val="center"/>
          </w:tcPr>
          <w:p w14:paraId="35BA62DE">
            <w:pPr>
              <w:jc w:val="center"/>
              <w:rPr>
                <w:b/>
                <w:bCs/>
                <w:color w:val="FF0000"/>
                <w:szCs w:val="21"/>
              </w:rPr>
            </w:pPr>
          </w:p>
        </w:tc>
        <w:tc>
          <w:tcPr>
            <w:tcW w:w="1783" w:type="dxa"/>
            <w:vAlign w:val="center"/>
          </w:tcPr>
          <w:p w14:paraId="1CF21542">
            <w:pPr>
              <w:jc w:val="center"/>
              <w:rPr>
                <w:bCs/>
                <w:color w:val="FF0000"/>
                <w:szCs w:val="21"/>
              </w:rPr>
            </w:pPr>
            <w:r>
              <w:rPr>
                <w:bCs/>
                <w:color w:val="FF0000"/>
                <w:szCs w:val="21"/>
              </w:rPr>
              <w:t>7479360.00</w:t>
            </w:r>
          </w:p>
        </w:tc>
      </w:tr>
      <w:tr w14:paraId="05FE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799" w:type="dxa"/>
            <w:gridSpan w:val="3"/>
            <w:vAlign w:val="center"/>
          </w:tcPr>
          <w:p w14:paraId="5B993758">
            <w:pPr>
              <w:jc w:val="center"/>
              <w:rPr>
                <w:b/>
                <w:bCs/>
                <w:color w:val="FF0000"/>
                <w:szCs w:val="21"/>
              </w:rPr>
            </w:pPr>
            <w:r>
              <w:rPr>
                <w:rFonts w:hint="eastAsia"/>
                <w:b/>
                <w:bCs/>
                <w:color w:val="FF0000"/>
                <w:szCs w:val="21"/>
              </w:rPr>
              <w:t>合计：</w:t>
            </w:r>
          </w:p>
        </w:tc>
        <w:tc>
          <w:tcPr>
            <w:tcW w:w="1783" w:type="dxa"/>
            <w:vAlign w:val="center"/>
          </w:tcPr>
          <w:p w14:paraId="1D2A6887">
            <w:pPr>
              <w:jc w:val="center"/>
              <w:rPr>
                <w:bCs/>
                <w:color w:val="FF0000"/>
                <w:szCs w:val="21"/>
              </w:rPr>
            </w:pPr>
            <w:r>
              <w:rPr>
                <w:bCs/>
                <w:color w:val="FF0000"/>
                <w:szCs w:val="21"/>
              </w:rPr>
              <w:t>22667599.92</w:t>
            </w:r>
          </w:p>
        </w:tc>
      </w:tr>
    </w:tbl>
    <w:p w14:paraId="4726AEFA">
      <w:pPr>
        <w:rPr>
          <w:rFonts w:ascii="宋体" w:hAnsi="宋体"/>
          <w:b/>
          <w:color w:val="FF0000"/>
          <w:szCs w:val="21"/>
        </w:rPr>
      </w:pPr>
    </w:p>
    <w:p w14:paraId="0AA708C4">
      <w:pPr>
        <w:pStyle w:val="5"/>
        <w:spacing w:before="120" w:beforeLines="50" w:after="120" w:afterLines="50"/>
        <w:rPr>
          <w:szCs w:val="24"/>
        </w:rPr>
      </w:pPr>
      <w:r>
        <w:rPr>
          <w:rFonts w:hint="eastAsia"/>
          <w:szCs w:val="24"/>
        </w:rPr>
        <w:t>二、项目概况</w:t>
      </w:r>
    </w:p>
    <w:p w14:paraId="79F881DE">
      <w:pPr>
        <w:ind w:firstLine="420" w:firstLineChars="200"/>
        <w:rPr>
          <w:rFonts w:ascii="宋体" w:hAnsi="宋体"/>
        </w:rPr>
      </w:pPr>
      <w:r>
        <w:rPr>
          <w:rFonts w:hint="eastAsia" w:ascii="宋体" w:hAnsi="宋体"/>
        </w:rPr>
        <w:t>1、地址：龙岗区龙岗街道五联社区将军帽路1号。</w:t>
      </w:r>
    </w:p>
    <w:p w14:paraId="6F540CFF">
      <w:pPr>
        <w:ind w:firstLine="420" w:firstLineChars="200"/>
        <w:rPr>
          <w:sz w:val="24"/>
        </w:rPr>
      </w:pPr>
      <w:r>
        <w:rPr>
          <w:rFonts w:hint="eastAsia" w:ascii="宋体" w:hAnsi="宋体"/>
        </w:rPr>
        <w:t>2、占地面积370,522.18平方米，建筑面积267,627.03平方米。</w:t>
      </w:r>
    </w:p>
    <w:p w14:paraId="2DB8B876">
      <w:pPr>
        <w:numPr>
          <w:ilvl w:val="0"/>
          <w:numId w:val="7"/>
        </w:numPr>
        <w:ind w:firstLine="420" w:firstLineChars="200"/>
        <w:rPr>
          <w:szCs w:val="21"/>
        </w:rPr>
      </w:pPr>
      <w:r>
        <w:rPr>
          <w:rFonts w:hint="eastAsia"/>
          <w:szCs w:val="21"/>
        </w:rPr>
        <w:t>绿化养护面积约149477.55平方米</w:t>
      </w:r>
    </w:p>
    <w:p w14:paraId="56F325B3">
      <w:pPr>
        <w:numPr>
          <w:ilvl w:val="0"/>
          <w:numId w:val="7"/>
        </w:numPr>
        <w:ind w:firstLine="420" w:firstLineChars="200"/>
        <w:rPr>
          <w:rFonts w:ascii="宋体" w:hAnsi="宋体"/>
        </w:rPr>
      </w:pPr>
      <w:r>
        <w:rPr>
          <w:rFonts w:hint="eastAsia" w:ascii="宋体" w:hAnsi="宋体"/>
        </w:rPr>
        <w:t>建筑物情况：有教学楼（含图书馆）1栋、实训楼5栋、行政办公楼1栋、学生公寓9栋、教工及学生食堂2栋、会议中心1栋、附属用房若干、教工宿舍1栋、文体中心1栋及其他室外文体（含风雨操场、篮球场、羽毛球场、网球场、排球场、游泳场等）设施、功能用房等。具体面积如下表所示：</w:t>
      </w:r>
    </w:p>
    <w:tbl>
      <w:tblPr>
        <w:tblStyle w:val="4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668"/>
        <w:gridCol w:w="3262"/>
        <w:gridCol w:w="1498"/>
        <w:gridCol w:w="855"/>
      </w:tblGrid>
      <w:tr w14:paraId="7DA5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3A98F0B">
            <w:pPr>
              <w:jc w:val="center"/>
              <w:rPr>
                <w:rFonts w:ascii="宋体" w:hAnsi="宋体"/>
                <w:b/>
                <w:szCs w:val="21"/>
              </w:rPr>
            </w:pPr>
            <w:r>
              <w:rPr>
                <w:rFonts w:hint="eastAsia" w:ascii="宋体" w:hAnsi="宋体"/>
                <w:b/>
                <w:szCs w:val="21"/>
              </w:rPr>
              <w:t>功能用房</w:t>
            </w:r>
          </w:p>
        </w:tc>
        <w:tc>
          <w:tcPr>
            <w:tcW w:w="1969" w:type="pct"/>
            <w:vAlign w:val="center"/>
          </w:tcPr>
          <w:p w14:paraId="796F7811">
            <w:pPr>
              <w:jc w:val="center"/>
              <w:rPr>
                <w:rFonts w:ascii="宋体" w:hAnsi="宋体"/>
                <w:b/>
                <w:szCs w:val="21"/>
              </w:rPr>
            </w:pPr>
            <w:r>
              <w:rPr>
                <w:rFonts w:hint="eastAsia" w:ascii="宋体" w:hAnsi="宋体"/>
                <w:b/>
                <w:szCs w:val="21"/>
              </w:rPr>
              <w:t>主要功能</w:t>
            </w:r>
          </w:p>
        </w:tc>
        <w:tc>
          <w:tcPr>
            <w:tcW w:w="904" w:type="pct"/>
            <w:vAlign w:val="center"/>
          </w:tcPr>
          <w:p w14:paraId="17CA7331">
            <w:pPr>
              <w:jc w:val="center"/>
              <w:rPr>
                <w:rFonts w:ascii="宋体" w:hAnsi="宋体"/>
                <w:b/>
                <w:szCs w:val="21"/>
              </w:rPr>
            </w:pPr>
            <w:r>
              <w:rPr>
                <w:rFonts w:hint="eastAsia" w:ascii="宋体" w:hAnsi="宋体"/>
                <w:b/>
                <w:szCs w:val="21"/>
              </w:rPr>
              <w:t>建筑面积（m</w:t>
            </w:r>
            <w:r>
              <w:rPr>
                <w:rFonts w:hint="eastAsia" w:ascii="宋体" w:hAnsi="宋体"/>
                <w:b/>
                <w:szCs w:val="21"/>
                <w:vertAlign w:val="superscript"/>
              </w:rPr>
              <w:t>2</w:t>
            </w:r>
            <w:r>
              <w:rPr>
                <w:rFonts w:hint="eastAsia" w:ascii="宋体" w:hAnsi="宋体"/>
                <w:b/>
                <w:szCs w:val="21"/>
              </w:rPr>
              <w:t>）</w:t>
            </w:r>
          </w:p>
        </w:tc>
        <w:tc>
          <w:tcPr>
            <w:tcW w:w="516" w:type="pct"/>
            <w:vAlign w:val="center"/>
          </w:tcPr>
          <w:p w14:paraId="20A15DD6">
            <w:pPr>
              <w:jc w:val="center"/>
              <w:rPr>
                <w:rFonts w:ascii="宋体" w:hAnsi="宋体"/>
                <w:b/>
                <w:szCs w:val="21"/>
              </w:rPr>
            </w:pPr>
            <w:r>
              <w:rPr>
                <w:rFonts w:hint="eastAsia" w:ascii="宋体" w:hAnsi="宋体"/>
                <w:b/>
                <w:szCs w:val="21"/>
              </w:rPr>
              <w:t>层数</w:t>
            </w:r>
          </w:p>
        </w:tc>
      </w:tr>
      <w:tr w14:paraId="6761DB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63CD9620">
            <w:pPr>
              <w:rPr>
                <w:rFonts w:ascii="宋体" w:hAnsi="宋体"/>
                <w:szCs w:val="21"/>
              </w:rPr>
            </w:pPr>
            <w:r>
              <w:rPr>
                <w:rFonts w:hint="eastAsia" w:ascii="宋体" w:hAnsi="宋体"/>
                <w:szCs w:val="21"/>
              </w:rPr>
              <w:t>教学楼（含图书馆）</w:t>
            </w:r>
          </w:p>
        </w:tc>
        <w:tc>
          <w:tcPr>
            <w:tcW w:w="1969" w:type="pct"/>
            <w:vAlign w:val="center"/>
          </w:tcPr>
          <w:p w14:paraId="1ECFCE50">
            <w:pPr>
              <w:rPr>
                <w:rFonts w:ascii="宋体" w:hAnsi="宋体"/>
                <w:szCs w:val="21"/>
              </w:rPr>
            </w:pPr>
            <w:r>
              <w:rPr>
                <w:rFonts w:hint="eastAsia" w:ascii="宋体" w:hAnsi="宋体"/>
                <w:szCs w:val="21"/>
              </w:rPr>
              <w:t>教学、实训（验）、教辅、图书信息中心、公共用房等</w:t>
            </w:r>
          </w:p>
        </w:tc>
        <w:tc>
          <w:tcPr>
            <w:tcW w:w="904" w:type="pct"/>
            <w:vAlign w:val="center"/>
          </w:tcPr>
          <w:p w14:paraId="30A46ED3">
            <w:pPr>
              <w:jc w:val="right"/>
              <w:rPr>
                <w:rFonts w:ascii="宋体" w:hAnsi="宋体"/>
                <w:szCs w:val="21"/>
              </w:rPr>
            </w:pPr>
            <w:r>
              <w:rPr>
                <w:rFonts w:hint="eastAsia" w:ascii="宋体" w:hAnsi="宋体"/>
                <w:szCs w:val="21"/>
              </w:rPr>
              <w:t>68810.16</w:t>
            </w:r>
          </w:p>
        </w:tc>
        <w:tc>
          <w:tcPr>
            <w:tcW w:w="516" w:type="pct"/>
            <w:vAlign w:val="center"/>
          </w:tcPr>
          <w:p w14:paraId="084ADB86">
            <w:pPr>
              <w:jc w:val="center"/>
              <w:rPr>
                <w:rFonts w:ascii="宋体" w:hAnsi="宋体"/>
                <w:szCs w:val="21"/>
              </w:rPr>
            </w:pPr>
            <w:r>
              <w:rPr>
                <w:rFonts w:hint="eastAsia" w:ascii="宋体" w:hAnsi="宋体"/>
                <w:szCs w:val="21"/>
              </w:rPr>
              <w:t>9</w:t>
            </w:r>
          </w:p>
        </w:tc>
      </w:tr>
      <w:tr w14:paraId="5CBDD4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1D33485E">
            <w:pPr>
              <w:rPr>
                <w:rFonts w:ascii="宋体" w:hAnsi="宋体"/>
                <w:szCs w:val="21"/>
              </w:rPr>
            </w:pPr>
            <w:r>
              <w:rPr>
                <w:rFonts w:hint="eastAsia" w:ascii="宋体" w:hAnsi="宋体"/>
                <w:szCs w:val="21"/>
              </w:rPr>
              <w:t>能工楼</w:t>
            </w:r>
          </w:p>
        </w:tc>
        <w:tc>
          <w:tcPr>
            <w:tcW w:w="1969" w:type="pct"/>
            <w:vAlign w:val="center"/>
          </w:tcPr>
          <w:p w14:paraId="4FD791FD">
            <w:pPr>
              <w:rPr>
                <w:rFonts w:ascii="宋体" w:hAnsi="宋体"/>
                <w:szCs w:val="21"/>
              </w:rPr>
            </w:pPr>
            <w:r>
              <w:rPr>
                <w:rFonts w:hint="eastAsia" w:ascii="宋体" w:hAnsi="宋体"/>
                <w:szCs w:val="21"/>
              </w:rPr>
              <w:t>中德智造学院实训室（一、二层）及珠宝首饰系实训室（三层）</w:t>
            </w:r>
          </w:p>
        </w:tc>
        <w:tc>
          <w:tcPr>
            <w:tcW w:w="904" w:type="pct"/>
            <w:vAlign w:val="center"/>
          </w:tcPr>
          <w:p w14:paraId="337F21F7">
            <w:pPr>
              <w:jc w:val="right"/>
              <w:rPr>
                <w:rFonts w:ascii="宋体" w:hAnsi="宋体"/>
                <w:szCs w:val="21"/>
              </w:rPr>
            </w:pPr>
            <w:r>
              <w:rPr>
                <w:rFonts w:hint="eastAsia" w:ascii="宋体" w:hAnsi="宋体"/>
                <w:szCs w:val="21"/>
              </w:rPr>
              <w:t>22353.24</w:t>
            </w:r>
          </w:p>
        </w:tc>
        <w:tc>
          <w:tcPr>
            <w:tcW w:w="516" w:type="pct"/>
            <w:vAlign w:val="center"/>
          </w:tcPr>
          <w:p w14:paraId="79ABBBA8">
            <w:pPr>
              <w:jc w:val="center"/>
              <w:rPr>
                <w:rFonts w:ascii="宋体" w:hAnsi="宋体"/>
                <w:szCs w:val="21"/>
              </w:rPr>
            </w:pPr>
            <w:r>
              <w:rPr>
                <w:rFonts w:hint="eastAsia" w:ascii="宋体" w:hAnsi="宋体"/>
                <w:szCs w:val="21"/>
              </w:rPr>
              <w:t>3</w:t>
            </w:r>
          </w:p>
        </w:tc>
      </w:tr>
      <w:tr w14:paraId="59520A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tcPr>
          <w:p w14:paraId="5E47BC3A">
            <w:pPr>
              <w:rPr>
                <w:rFonts w:ascii="宋体" w:hAnsi="宋体"/>
                <w:szCs w:val="21"/>
              </w:rPr>
            </w:pPr>
            <w:r>
              <w:rPr>
                <w:rFonts w:hint="eastAsia" w:ascii="宋体" w:hAnsi="宋体"/>
                <w:szCs w:val="21"/>
              </w:rPr>
              <w:t>巧匠楼</w:t>
            </w:r>
          </w:p>
        </w:tc>
        <w:tc>
          <w:tcPr>
            <w:tcW w:w="1969" w:type="pct"/>
            <w:vAlign w:val="center"/>
          </w:tcPr>
          <w:p w14:paraId="22CAEACE">
            <w:pPr>
              <w:rPr>
                <w:rFonts w:ascii="宋体" w:hAnsi="宋体"/>
                <w:szCs w:val="21"/>
              </w:rPr>
            </w:pPr>
            <w:r>
              <w:rPr>
                <w:rFonts w:hint="eastAsia" w:ascii="宋体" w:hAnsi="宋体"/>
                <w:szCs w:val="21"/>
              </w:rPr>
              <w:t>汽车技术系及图文传播系实训室</w:t>
            </w:r>
          </w:p>
        </w:tc>
        <w:tc>
          <w:tcPr>
            <w:tcW w:w="904" w:type="pct"/>
            <w:vAlign w:val="center"/>
          </w:tcPr>
          <w:p w14:paraId="344A86A3">
            <w:pPr>
              <w:jc w:val="right"/>
              <w:rPr>
                <w:rFonts w:ascii="宋体" w:hAnsi="宋体"/>
                <w:szCs w:val="21"/>
              </w:rPr>
            </w:pPr>
            <w:r>
              <w:rPr>
                <w:rFonts w:hint="eastAsia" w:ascii="宋体" w:hAnsi="宋体"/>
                <w:szCs w:val="21"/>
              </w:rPr>
              <w:t>13333.70</w:t>
            </w:r>
          </w:p>
        </w:tc>
        <w:tc>
          <w:tcPr>
            <w:tcW w:w="516" w:type="pct"/>
            <w:vAlign w:val="center"/>
          </w:tcPr>
          <w:p w14:paraId="7D39AC9D">
            <w:pPr>
              <w:jc w:val="center"/>
              <w:rPr>
                <w:rFonts w:ascii="宋体" w:hAnsi="宋体"/>
                <w:szCs w:val="21"/>
              </w:rPr>
            </w:pPr>
            <w:r>
              <w:rPr>
                <w:rFonts w:hint="eastAsia" w:ascii="宋体" w:hAnsi="宋体"/>
                <w:szCs w:val="21"/>
              </w:rPr>
              <w:t>3</w:t>
            </w:r>
          </w:p>
        </w:tc>
      </w:tr>
      <w:tr w14:paraId="33B792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tcPr>
          <w:p w14:paraId="09F1C04B">
            <w:pPr>
              <w:rPr>
                <w:rFonts w:ascii="宋体" w:hAnsi="宋体"/>
                <w:szCs w:val="21"/>
              </w:rPr>
            </w:pPr>
            <w:r>
              <w:rPr>
                <w:rFonts w:hint="eastAsia" w:ascii="宋体" w:hAnsi="宋体"/>
                <w:szCs w:val="21"/>
              </w:rPr>
              <w:t>天工楼</w:t>
            </w:r>
          </w:p>
        </w:tc>
        <w:tc>
          <w:tcPr>
            <w:tcW w:w="1969" w:type="pct"/>
            <w:vAlign w:val="center"/>
          </w:tcPr>
          <w:p w14:paraId="68AFE24A">
            <w:pPr>
              <w:rPr>
                <w:rFonts w:ascii="宋体" w:hAnsi="宋体"/>
                <w:szCs w:val="21"/>
              </w:rPr>
            </w:pPr>
            <w:r>
              <w:rPr>
                <w:rFonts w:hint="eastAsia" w:ascii="宋体" w:hAnsi="宋体"/>
                <w:szCs w:val="21"/>
              </w:rPr>
              <w:t>应用生物系、国际商务系实训室</w:t>
            </w:r>
          </w:p>
        </w:tc>
        <w:tc>
          <w:tcPr>
            <w:tcW w:w="904" w:type="pct"/>
            <w:vAlign w:val="center"/>
          </w:tcPr>
          <w:p w14:paraId="19A23D9A">
            <w:pPr>
              <w:jc w:val="right"/>
              <w:rPr>
                <w:rFonts w:ascii="宋体" w:hAnsi="宋体"/>
                <w:szCs w:val="21"/>
              </w:rPr>
            </w:pPr>
            <w:r>
              <w:rPr>
                <w:rFonts w:hint="eastAsia" w:ascii="宋体" w:hAnsi="宋体"/>
                <w:szCs w:val="21"/>
              </w:rPr>
              <w:t>10740.57</w:t>
            </w:r>
          </w:p>
        </w:tc>
        <w:tc>
          <w:tcPr>
            <w:tcW w:w="516" w:type="pct"/>
            <w:vAlign w:val="center"/>
          </w:tcPr>
          <w:p w14:paraId="31240C9A">
            <w:pPr>
              <w:jc w:val="center"/>
              <w:rPr>
                <w:rFonts w:ascii="宋体" w:hAnsi="宋体"/>
                <w:szCs w:val="21"/>
              </w:rPr>
            </w:pPr>
            <w:r>
              <w:rPr>
                <w:rFonts w:hint="eastAsia" w:ascii="宋体" w:hAnsi="宋体"/>
                <w:szCs w:val="21"/>
              </w:rPr>
              <w:t>4</w:t>
            </w:r>
          </w:p>
        </w:tc>
      </w:tr>
      <w:tr w14:paraId="70AF3E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3DED7D13">
            <w:pPr>
              <w:rPr>
                <w:rFonts w:ascii="宋体" w:hAnsi="宋体"/>
                <w:szCs w:val="21"/>
              </w:rPr>
            </w:pPr>
            <w:r>
              <w:rPr>
                <w:rFonts w:hint="eastAsia" w:ascii="宋体" w:hAnsi="宋体"/>
                <w:szCs w:val="21"/>
              </w:rPr>
              <w:t>天工楼</w:t>
            </w:r>
          </w:p>
        </w:tc>
        <w:tc>
          <w:tcPr>
            <w:tcW w:w="1969" w:type="pct"/>
            <w:vAlign w:val="center"/>
          </w:tcPr>
          <w:p w14:paraId="695BD083">
            <w:pPr>
              <w:rPr>
                <w:rFonts w:ascii="宋体" w:hAnsi="宋体"/>
                <w:szCs w:val="21"/>
              </w:rPr>
            </w:pPr>
            <w:r>
              <w:rPr>
                <w:rFonts w:hint="eastAsia" w:ascii="宋体" w:hAnsi="宋体"/>
                <w:szCs w:val="21"/>
              </w:rPr>
              <w:t>电子通信系及中德智造学院实训室</w:t>
            </w:r>
          </w:p>
        </w:tc>
        <w:tc>
          <w:tcPr>
            <w:tcW w:w="904" w:type="pct"/>
            <w:vAlign w:val="center"/>
          </w:tcPr>
          <w:p w14:paraId="77113D10">
            <w:pPr>
              <w:jc w:val="right"/>
              <w:rPr>
                <w:rFonts w:ascii="宋体" w:hAnsi="宋体"/>
                <w:szCs w:val="21"/>
              </w:rPr>
            </w:pPr>
            <w:r>
              <w:rPr>
                <w:rFonts w:hint="eastAsia" w:ascii="宋体" w:hAnsi="宋体"/>
                <w:szCs w:val="21"/>
              </w:rPr>
              <w:t>12256.1</w:t>
            </w:r>
          </w:p>
        </w:tc>
        <w:tc>
          <w:tcPr>
            <w:tcW w:w="516" w:type="pct"/>
            <w:vAlign w:val="center"/>
          </w:tcPr>
          <w:p w14:paraId="66AB5AAA">
            <w:pPr>
              <w:jc w:val="center"/>
              <w:rPr>
                <w:rFonts w:ascii="宋体" w:hAnsi="宋体"/>
                <w:szCs w:val="21"/>
              </w:rPr>
            </w:pPr>
            <w:r>
              <w:rPr>
                <w:rFonts w:hint="eastAsia" w:ascii="宋体" w:hAnsi="宋体"/>
                <w:szCs w:val="21"/>
              </w:rPr>
              <w:t>4</w:t>
            </w:r>
          </w:p>
        </w:tc>
      </w:tr>
      <w:tr w14:paraId="0ADDC4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234984C3">
            <w:pPr>
              <w:rPr>
                <w:rFonts w:ascii="宋体" w:hAnsi="宋体"/>
                <w:szCs w:val="21"/>
              </w:rPr>
            </w:pPr>
            <w:r>
              <w:rPr>
                <w:rFonts w:hint="eastAsia" w:ascii="宋体" w:hAnsi="宋体"/>
                <w:szCs w:val="21"/>
              </w:rPr>
              <w:t>德馨楼</w:t>
            </w:r>
          </w:p>
        </w:tc>
        <w:tc>
          <w:tcPr>
            <w:tcW w:w="1969" w:type="pct"/>
            <w:vAlign w:val="center"/>
          </w:tcPr>
          <w:p w14:paraId="1DB271FC">
            <w:pPr>
              <w:rPr>
                <w:rFonts w:ascii="宋体" w:hAnsi="宋体"/>
                <w:szCs w:val="21"/>
              </w:rPr>
            </w:pPr>
            <w:r>
              <w:rPr>
                <w:rFonts w:hint="eastAsia" w:ascii="宋体" w:hAnsi="宋体"/>
                <w:szCs w:val="21"/>
              </w:rPr>
              <w:t>行政办公用房及设备用房</w:t>
            </w:r>
          </w:p>
        </w:tc>
        <w:tc>
          <w:tcPr>
            <w:tcW w:w="904" w:type="pct"/>
            <w:vAlign w:val="center"/>
          </w:tcPr>
          <w:p w14:paraId="5C7F29A7">
            <w:pPr>
              <w:jc w:val="right"/>
              <w:rPr>
                <w:rFonts w:ascii="宋体" w:hAnsi="宋体"/>
                <w:szCs w:val="21"/>
              </w:rPr>
            </w:pPr>
            <w:r>
              <w:rPr>
                <w:rFonts w:hint="eastAsia" w:ascii="宋体" w:hAnsi="宋体"/>
                <w:szCs w:val="21"/>
              </w:rPr>
              <w:t>9017.39</w:t>
            </w:r>
          </w:p>
        </w:tc>
        <w:tc>
          <w:tcPr>
            <w:tcW w:w="516" w:type="pct"/>
            <w:vAlign w:val="center"/>
          </w:tcPr>
          <w:p w14:paraId="6EE79EA0">
            <w:pPr>
              <w:jc w:val="center"/>
              <w:rPr>
                <w:rFonts w:ascii="宋体" w:hAnsi="宋体"/>
                <w:szCs w:val="21"/>
              </w:rPr>
            </w:pPr>
            <w:r>
              <w:rPr>
                <w:rFonts w:hint="eastAsia" w:ascii="宋体" w:hAnsi="宋体"/>
                <w:szCs w:val="21"/>
              </w:rPr>
              <w:t>8</w:t>
            </w:r>
          </w:p>
        </w:tc>
      </w:tr>
      <w:tr w14:paraId="4A5309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4B5F0FC9">
            <w:pPr>
              <w:rPr>
                <w:rFonts w:ascii="宋体" w:hAnsi="宋体"/>
                <w:szCs w:val="21"/>
              </w:rPr>
            </w:pPr>
            <w:r>
              <w:rPr>
                <w:rFonts w:hint="eastAsia" w:ascii="宋体" w:hAnsi="宋体"/>
                <w:szCs w:val="21"/>
              </w:rPr>
              <w:t>设计楼</w:t>
            </w:r>
          </w:p>
        </w:tc>
        <w:tc>
          <w:tcPr>
            <w:tcW w:w="1969" w:type="pct"/>
            <w:vAlign w:val="center"/>
          </w:tcPr>
          <w:p w14:paraId="0CB162A3">
            <w:pPr>
              <w:rPr>
                <w:rFonts w:ascii="宋体" w:hAnsi="宋体"/>
                <w:szCs w:val="21"/>
              </w:rPr>
            </w:pPr>
            <w:r>
              <w:rPr>
                <w:rFonts w:hint="eastAsia" w:ascii="宋体" w:hAnsi="宋体"/>
                <w:szCs w:val="21"/>
              </w:rPr>
              <w:t>应用设计系实训楼</w:t>
            </w:r>
          </w:p>
        </w:tc>
        <w:tc>
          <w:tcPr>
            <w:tcW w:w="904" w:type="pct"/>
            <w:vAlign w:val="center"/>
          </w:tcPr>
          <w:p w14:paraId="79B272AA">
            <w:pPr>
              <w:jc w:val="right"/>
              <w:rPr>
                <w:rFonts w:ascii="宋体" w:hAnsi="宋体"/>
                <w:szCs w:val="21"/>
              </w:rPr>
            </w:pPr>
            <w:r>
              <w:rPr>
                <w:rFonts w:hint="eastAsia" w:ascii="宋体" w:hAnsi="宋体"/>
                <w:szCs w:val="21"/>
              </w:rPr>
              <w:t>10457.00</w:t>
            </w:r>
          </w:p>
        </w:tc>
        <w:tc>
          <w:tcPr>
            <w:tcW w:w="516" w:type="pct"/>
            <w:vAlign w:val="center"/>
          </w:tcPr>
          <w:p w14:paraId="578A0038">
            <w:pPr>
              <w:jc w:val="center"/>
              <w:rPr>
                <w:rFonts w:ascii="宋体" w:hAnsi="宋体"/>
                <w:szCs w:val="21"/>
              </w:rPr>
            </w:pPr>
            <w:r>
              <w:rPr>
                <w:rFonts w:hint="eastAsia" w:ascii="宋体" w:hAnsi="宋体"/>
                <w:szCs w:val="21"/>
              </w:rPr>
              <w:t>5</w:t>
            </w:r>
          </w:p>
        </w:tc>
      </w:tr>
      <w:tr w14:paraId="7B84B5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4E9DA92">
            <w:pPr>
              <w:rPr>
                <w:rFonts w:ascii="宋体" w:hAnsi="宋体"/>
                <w:szCs w:val="21"/>
              </w:rPr>
            </w:pPr>
            <w:r>
              <w:rPr>
                <w:rFonts w:hint="eastAsia" w:ascii="宋体" w:hAnsi="宋体"/>
                <w:szCs w:val="21"/>
              </w:rPr>
              <w:t>会议中心</w:t>
            </w:r>
          </w:p>
        </w:tc>
        <w:tc>
          <w:tcPr>
            <w:tcW w:w="1969" w:type="pct"/>
            <w:vAlign w:val="center"/>
          </w:tcPr>
          <w:p w14:paraId="5CBFCC38">
            <w:pPr>
              <w:rPr>
                <w:rFonts w:ascii="宋体" w:hAnsi="宋体"/>
                <w:szCs w:val="21"/>
              </w:rPr>
            </w:pPr>
          </w:p>
        </w:tc>
        <w:tc>
          <w:tcPr>
            <w:tcW w:w="904" w:type="pct"/>
            <w:vAlign w:val="center"/>
          </w:tcPr>
          <w:p w14:paraId="2323B195">
            <w:pPr>
              <w:jc w:val="right"/>
              <w:rPr>
                <w:rFonts w:ascii="宋体" w:hAnsi="宋体"/>
                <w:szCs w:val="21"/>
              </w:rPr>
            </w:pPr>
            <w:r>
              <w:rPr>
                <w:rFonts w:hint="eastAsia" w:ascii="宋体" w:hAnsi="宋体"/>
                <w:szCs w:val="21"/>
              </w:rPr>
              <w:t>3378.89</w:t>
            </w:r>
          </w:p>
        </w:tc>
        <w:tc>
          <w:tcPr>
            <w:tcW w:w="516" w:type="pct"/>
            <w:vAlign w:val="center"/>
          </w:tcPr>
          <w:p w14:paraId="01FA5279">
            <w:pPr>
              <w:jc w:val="center"/>
              <w:rPr>
                <w:rFonts w:ascii="宋体" w:hAnsi="宋体"/>
                <w:szCs w:val="21"/>
              </w:rPr>
            </w:pPr>
            <w:r>
              <w:rPr>
                <w:rFonts w:hint="eastAsia" w:ascii="宋体" w:hAnsi="宋体"/>
                <w:szCs w:val="21"/>
              </w:rPr>
              <w:t>2</w:t>
            </w:r>
          </w:p>
        </w:tc>
      </w:tr>
      <w:tr w14:paraId="17FF3A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25BE41B8">
            <w:pPr>
              <w:rPr>
                <w:rFonts w:ascii="宋体" w:hAnsi="宋体"/>
                <w:szCs w:val="21"/>
              </w:rPr>
            </w:pPr>
            <w:r>
              <w:rPr>
                <w:rFonts w:hint="eastAsia" w:ascii="宋体" w:hAnsi="宋体"/>
                <w:szCs w:val="21"/>
              </w:rPr>
              <w:t>天香园</w:t>
            </w:r>
          </w:p>
        </w:tc>
        <w:tc>
          <w:tcPr>
            <w:tcW w:w="1969" w:type="pct"/>
            <w:vAlign w:val="center"/>
          </w:tcPr>
          <w:p w14:paraId="4177C7D3">
            <w:pPr>
              <w:rPr>
                <w:rFonts w:ascii="宋体" w:hAnsi="宋体"/>
                <w:szCs w:val="21"/>
              </w:rPr>
            </w:pPr>
            <w:r>
              <w:rPr>
                <w:rFonts w:hint="eastAsia" w:ascii="宋体" w:hAnsi="宋体"/>
                <w:szCs w:val="21"/>
              </w:rPr>
              <w:t>含食堂、超市、银行等</w:t>
            </w:r>
          </w:p>
        </w:tc>
        <w:tc>
          <w:tcPr>
            <w:tcW w:w="904" w:type="pct"/>
            <w:vAlign w:val="center"/>
          </w:tcPr>
          <w:p w14:paraId="74D2ACF8">
            <w:pPr>
              <w:jc w:val="right"/>
              <w:rPr>
                <w:rFonts w:ascii="宋体" w:hAnsi="宋体"/>
                <w:szCs w:val="21"/>
              </w:rPr>
            </w:pPr>
            <w:r>
              <w:rPr>
                <w:rFonts w:hint="eastAsia" w:ascii="宋体" w:hAnsi="宋体"/>
                <w:szCs w:val="21"/>
              </w:rPr>
              <w:t>8799.13</w:t>
            </w:r>
          </w:p>
        </w:tc>
        <w:tc>
          <w:tcPr>
            <w:tcW w:w="516" w:type="pct"/>
            <w:vAlign w:val="center"/>
          </w:tcPr>
          <w:p w14:paraId="39E4C5A2">
            <w:pPr>
              <w:jc w:val="center"/>
              <w:rPr>
                <w:rFonts w:ascii="宋体" w:hAnsi="宋体"/>
                <w:szCs w:val="21"/>
              </w:rPr>
            </w:pPr>
            <w:r>
              <w:rPr>
                <w:rFonts w:hint="eastAsia" w:ascii="宋体" w:hAnsi="宋体"/>
                <w:szCs w:val="21"/>
              </w:rPr>
              <w:t>5</w:t>
            </w:r>
          </w:p>
        </w:tc>
      </w:tr>
      <w:tr w14:paraId="0FAAC5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0AD91357">
            <w:pPr>
              <w:rPr>
                <w:rFonts w:ascii="宋体" w:hAnsi="宋体"/>
                <w:szCs w:val="21"/>
              </w:rPr>
            </w:pPr>
            <w:r>
              <w:rPr>
                <w:rFonts w:hint="eastAsia" w:ascii="宋体" w:hAnsi="宋体"/>
                <w:szCs w:val="21"/>
              </w:rPr>
              <w:t>百味园</w:t>
            </w:r>
          </w:p>
        </w:tc>
        <w:tc>
          <w:tcPr>
            <w:tcW w:w="1969" w:type="pct"/>
            <w:vAlign w:val="center"/>
          </w:tcPr>
          <w:p w14:paraId="5BF50E7D">
            <w:pPr>
              <w:rPr>
                <w:rFonts w:ascii="宋体" w:hAnsi="宋体"/>
                <w:szCs w:val="21"/>
              </w:rPr>
            </w:pPr>
            <w:r>
              <w:rPr>
                <w:rFonts w:hint="eastAsia" w:ascii="宋体" w:hAnsi="宋体"/>
                <w:szCs w:val="21"/>
              </w:rPr>
              <w:t>含食堂、超市、消防监控室</w:t>
            </w:r>
          </w:p>
        </w:tc>
        <w:tc>
          <w:tcPr>
            <w:tcW w:w="904" w:type="pct"/>
            <w:vAlign w:val="center"/>
          </w:tcPr>
          <w:p w14:paraId="6CCD6348">
            <w:pPr>
              <w:jc w:val="right"/>
              <w:rPr>
                <w:rFonts w:ascii="宋体" w:hAnsi="宋体"/>
                <w:szCs w:val="21"/>
              </w:rPr>
            </w:pPr>
            <w:r>
              <w:rPr>
                <w:rFonts w:hint="eastAsia" w:ascii="宋体" w:hAnsi="宋体"/>
                <w:szCs w:val="21"/>
              </w:rPr>
              <w:t>7203.12</w:t>
            </w:r>
          </w:p>
        </w:tc>
        <w:tc>
          <w:tcPr>
            <w:tcW w:w="516" w:type="pct"/>
            <w:vAlign w:val="center"/>
          </w:tcPr>
          <w:p w14:paraId="0625FD4C">
            <w:pPr>
              <w:jc w:val="center"/>
              <w:rPr>
                <w:rFonts w:ascii="宋体" w:hAnsi="宋体"/>
                <w:szCs w:val="21"/>
              </w:rPr>
            </w:pPr>
            <w:r>
              <w:rPr>
                <w:rFonts w:hint="eastAsia" w:ascii="宋体" w:hAnsi="宋体"/>
                <w:szCs w:val="21"/>
              </w:rPr>
              <w:t>4</w:t>
            </w:r>
          </w:p>
        </w:tc>
      </w:tr>
      <w:tr w14:paraId="3274B2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283B3BB3">
            <w:pPr>
              <w:rPr>
                <w:rFonts w:ascii="宋体" w:hAnsi="宋体"/>
                <w:szCs w:val="21"/>
              </w:rPr>
            </w:pPr>
            <w:r>
              <w:rPr>
                <w:rFonts w:hint="eastAsia" w:ascii="宋体" w:hAnsi="宋体"/>
                <w:szCs w:val="21"/>
              </w:rPr>
              <w:t>雅梅苑、雅兰苑、雅菊苑、雅竹苑</w:t>
            </w:r>
          </w:p>
        </w:tc>
        <w:tc>
          <w:tcPr>
            <w:tcW w:w="1969" w:type="pct"/>
            <w:vMerge w:val="restart"/>
            <w:vAlign w:val="center"/>
          </w:tcPr>
          <w:p w14:paraId="053783F4">
            <w:pPr>
              <w:rPr>
                <w:rFonts w:ascii="宋体" w:hAnsi="宋体"/>
                <w:szCs w:val="21"/>
              </w:rPr>
            </w:pPr>
            <w:r>
              <w:rPr>
                <w:rFonts w:hint="eastAsia" w:ascii="宋体" w:hAnsi="宋体"/>
                <w:szCs w:val="21"/>
              </w:rPr>
              <w:t>设备房，4人间宿舍2000间</w:t>
            </w:r>
          </w:p>
        </w:tc>
        <w:tc>
          <w:tcPr>
            <w:tcW w:w="904" w:type="pct"/>
            <w:vAlign w:val="center"/>
          </w:tcPr>
          <w:p w14:paraId="3EC92BB2">
            <w:pPr>
              <w:jc w:val="right"/>
              <w:rPr>
                <w:rFonts w:ascii="宋体" w:hAnsi="宋体"/>
                <w:szCs w:val="21"/>
              </w:rPr>
            </w:pPr>
            <w:r>
              <w:rPr>
                <w:rFonts w:hint="eastAsia" w:ascii="宋体" w:hAnsi="宋体"/>
                <w:szCs w:val="21"/>
              </w:rPr>
              <w:t>37970.6</w:t>
            </w:r>
          </w:p>
        </w:tc>
        <w:tc>
          <w:tcPr>
            <w:tcW w:w="516" w:type="pct"/>
            <w:vAlign w:val="center"/>
          </w:tcPr>
          <w:p w14:paraId="39846243">
            <w:pPr>
              <w:jc w:val="center"/>
              <w:rPr>
                <w:rFonts w:ascii="宋体" w:hAnsi="宋体"/>
                <w:szCs w:val="21"/>
              </w:rPr>
            </w:pPr>
            <w:r>
              <w:rPr>
                <w:rFonts w:hint="eastAsia" w:ascii="宋体" w:hAnsi="宋体"/>
                <w:szCs w:val="21"/>
              </w:rPr>
              <w:t>9</w:t>
            </w:r>
          </w:p>
        </w:tc>
      </w:tr>
      <w:tr w14:paraId="539A0C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E70AE28">
            <w:pPr>
              <w:rPr>
                <w:rFonts w:ascii="宋体" w:hAnsi="宋体"/>
                <w:szCs w:val="21"/>
              </w:rPr>
            </w:pPr>
            <w:r>
              <w:rPr>
                <w:rFonts w:hint="eastAsia" w:ascii="宋体" w:hAnsi="宋体"/>
                <w:szCs w:val="21"/>
              </w:rPr>
              <w:t>博雅轩、博学轩、博文轩、博艺轩、博思轩</w:t>
            </w:r>
          </w:p>
        </w:tc>
        <w:tc>
          <w:tcPr>
            <w:tcW w:w="1969" w:type="pct"/>
            <w:vMerge w:val="continue"/>
            <w:vAlign w:val="center"/>
          </w:tcPr>
          <w:p w14:paraId="420224FE">
            <w:pPr>
              <w:rPr>
                <w:rFonts w:ascii="宋体" w:hAnsi="宋体"/>
                <w:szCs w:val="21"/>
              </w:rPr>
            </w:pPr>
          </w:p>
        </w:tc>
        <w:tc>
          <w:tcPr>
            <w:tcW w:w="904" w:type="pct"/>
            <w:vAlign w:val="center"/>
          </w:tcPr>
          <w:p w14:paraId="7ED84BAD">
            <w:pPr>
              <w:jc w:val="right"/>
              <w:rPr>
                <w:rFonts w:ascii="宋体" w:hAnsi="宋体"/>
                <w:szCs w:val="21"/>
              </w:rPr>
            </w:pPr>
            <w:r>
              <w:rPr>
                <w:rFonts w:hint="eastAsia" w:ascii="宋体" w:hAnsi="宋体"/>
                <w:szCs w:val="21"/>
              </w:rPr>
              <w:t>34772</w:t>
            </w:r>
          </w:p>
        </w:tc>
        <w:tc>
          <w:tcPr>
            <w:tcW w:w="516" w:type="pct"/>
            <w:vAlign w:val="center"/>
          </w:tcPr>
          <w:p w14:paraId="7B57EC51">
            <w:pPr>
              <w:jc w:val="center"/>
              <w:rPr>
                <w:rFonts w:ascii="宋体" w:hAnsi="宋体"/>
                <w:szCs w:val="21"/>
              </w:rPr>
            </w:pPr>
            <w:r>
              <w:rPr>
                <w:rFonts w:hint="eastAsia" w:ascii="宋体" w:hAnsi="宋体"/>
                <w:szCs w:val="21"/>
              </w:rPr>
              <w:t>6</w:t>
            </w:r>
          </w:p>
        </w:tc>
      </w:tr>
      <w:tr w14:paraId="67ED8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2D7F2533">
            <w:pPr>
              <w:rPr>
                <w:rFonts w:ascii="宋体" w:hAnsi="宋体"/>
                <w:szCs w:val="21"/>
              </w:rPr>
            </w:pPr>
            <w:r>
              <w:rPr>
                <w:rFonts w:hint="eastAsia" w:ascii="宋体" w:hAnsi="宋体"/>
                <w:szCs w:val="21"/>
              </w:rPr>
              <w:t>游泳场</w:t>
            </w:r>
          </w:p>
        </w:tc>
        <w:tc>
          <w:tcPr>
            <w:tcW w:w="1969" w:type="pct"/>
            <w:vAlign w:val="center"/>
          </w:tcPr>
          <w:p w14:paraId="4F631860">
            <w:pPr>
              <w:rPr>
                <w:rFonts w:ascii="宋体" w:hAnsi="宋体"/>
                <w:szCs w:val="21"/>
              </w:rPr>
            </w:pPr>
            <w:r>
              <w:rPr>
                <w:rFonts w:hint="eastAsia" w:ascii="宋体" w:hAnsi="宋体"/>
                <w:szCs w:val="21"/>
              </w:rPr>
              <w:t>游泳池及配套辅助建筑</w:t>
            </w:r>
          </w:p>
        </w:tc>
        <w:tc>
          <w:tcPr>
            <w:tcW w:w="904" w:type="pct"/>
            <w:vAlign w:val="center"/>
          </w:tcPr>
          <w:p w14:paraId="3B0BA4B6">
            <w:pPr>
              <w:jc w:val="right"/>
              <w:rPr>
                <w:rFonts w:ascii="宋体" w:hAnsi="宋体"/>
                <w:szCs w:val="21"/>
              </w:rPr>
            </w:pPr>
            <w:r>
              <w:rPr>
                <w:rFonts w:hint="eastAsia" w:ascii="宋体" w:hAnsi="宋体"/>
                <w:szCs w:val="21"/>
              </w:rPr>
              <w:t>1215.7</w:t>
            </w:r>
          </w:p>
        </w:tc>
        <w:tc>
          <w:tcPr>
            <w:tcW w:w="516" w:type="pct"/>
            <w:vAlign w:val="center"/>
          </w:tcPr>
          <w:p w14:paraId="0B2A422E">
            <w:pPr>
              <w:jc w:val="center"/>
              <w:rPr>
                <w:rFonts w:ascii="宋体" w:hAnsi="宋体"/>
                <w:szCs w:val="21"/>
              </w:rPr>
            </w:pPr>
            <w:r>
              <w:rPr>
                <w:rFonts w:hint="eastAsia" w:ascii="宋体" w:hAnsi="宋体"/>
                <w:szCs w:val="21"/>
              </w:rPr>
              <w:t>1</w:t>
            </w:r>
          </w:p>
        </w:tc>
      </w:tr>
      <w:tr w14:paraId="2ED4D9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6352FBD">
            <w:pPr>
              <w:rPr>
                <w:rFonts w:ascii="宋体" w:hAnsi="宋体"/>
                <w:szCs w:val="21"/>
              </w:rPr>
            </w:pPr>
            <w:r>
              <w:rPr>
                <w:rFonts w:hint="eastAsia" w:ascii="宋体" w:hAnsi="宋体"/>
                <w:szCs w:val="21"/>
              </w:rPr>
              <w:t>文体中心</w:t>
            </w:r>
          </w:p>
        </w:tc>
        <w:tc>
          <w:tcPr>
            <w:tcW w:w="1969" w:type="pct"/>
            <w:vAlign w:val="center"/>
          </w:tcPr>
          <w:p w14:paraId="0223BE82">
            <w:pPr>
              <w:rPr>
                <w:rFonts w:ascii="宋体" w:hAnsi="宋体"/>
                <w:szCs w:val="21"/>
              </w:rPr>
            </w:pPr>
            <w:r>
              <w:rPr>
                <w:rFonts w:hint="eastAsia" w:ascii="宋体" w:hAnsi="宋体"/>
                <w:szCs w:val="21"/>
              </w:rPr>
              <w:t>文体活动场地及配套建筑，含综合馆（羽毛球场8片、篮球场2片、排球场1片）、形体房1个、击剑室1个、力量房1个、舞蹈室1个、乒乓球室1个、跆拳道室1个、台球室1个、物料器材库1个、设备器材库1个及室外篮球场8片、室外网球场6片、室外足球场1片、室外田径场1片、室外排球场1片、健身路径10条</w:t>
            </w:r>
          </w:p>
        </w:tc>
        <w:tc>
          <w:tcPr>
            <w:tcW w:w="904" w:type="pct"/>
            <w:vAlign w:val="center"/>
          </w:tcPr>
          <w:p w14:paraId="2BB13369">
            <w:pPr>
              <w:jc w:val="right"/>
              <w:rPr>
                <w:rFonts w:ascii="宋体" w:hAnsi="宋体"/>
                <w:szCs w:val="21"/>
              </w:rPr>
            </w:pPr>
            <w:r>
              <w:rPr>
                <w:rFonts w:hint="eastAsia" w:ascii="宋体" w:hAnsi="宋体"/>
                <w:szCs w:val="21"/>
              </w:rPr>
              <w:t>9575.7</w:t>
            </w:r>
          </w:p>
        </w:tc>
        <w:tc>
          <w:tcPr>
            <w:tcW w:w="516" w:type="pct"/>
            <w:vAlign w:val="center"/>
          </w:tcPr>
          <w:p w14:paraId="7364E837">
            <w:pPr>
              <w:jc w:val="center"/>
              <w:rPr>
                <w:rFonts w:ascii="宋体" w:hAnsi="宋体"/>
                <w:szCs w:val="21"/>
              </w:rPr>
            </w:pPr>
            <w:r>
              <w:rPr>
                <w:rFonts w:hint="eastAsia" w:ascii="宋体" w:hAnsi="宋体"/>
                <w:szCs w:val="21"/>
              </w:rPr>
              <w:t>3</w:t>
            </w:r>
          </w:p>
        </w:tc>
      </w:tr>
      <w:tr w14:paraId="7A1A4D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1A8FCAB1">
            <w:pPr>
              <w:rPr>
                <w:rFonts w:ascii="宋体" w:hAnsi="宋体"/>
                <w:szCs w:val="21"/>
              </w:rPr>
            </w:pPr>
            <w:r>
              <w:rPr>
                <w:rFonts w:hint="eastAsia" w:ascii="宋体" w:hAnsi="宋体"/>
                <w:szCs w:val="21"/>
              </w:rPr>
              <w:t>艺景楼</w:t>
            </w:r>
          </w:p>
        </w:tc>
        <w:tc>
          <w:tcPr>
            <w:tcW w:w="1969" w:type="pct"/>
            <w:vAlign w:val="center"/>
          </w:tcPr>
          <w:p w14:paraId="26922826">
            <w:pPr>
              <w:rPr>
                <w:rFonts w:ascii="宋体" w:hAnsi="宋体"/>
                <w:szCs w:val="21"/>
              </w:rPr>
            </w:pPr>
            <w:r>
              <w:rPr>
                <w:rFonts w:hint="eastAsia" w:ascii="宋体" w:hAnsi="宋体"/>
                <w:szCs w:val="21"/>
              </w:rPr>
              <w:t>风景园林系实训场地</w:t>
            </w:r>
          </w:p>
        </w:tc>
        <w:tc>
          <w:tcPr>
            <w:tcW w:w="904" w:type="pct"/>
            <w:vAlign w:val="center"/>
          </w:tcPr>
          <w:p w14:paraId="77D05ADB">
            <w:pPr>
              <w:jc w:val="right"/>
              <w:rPr>
                <w:rFonts w:ascii="宋体" w:hAnsi="宋体"/>
                <w:szCs w:val="21"/>
              </w:rPr>
            </w:pPr>
            <w:r>
              <w:rPr>
                <w:rFonts w:hint="eastAsia" w:ascii="宋体" w:hAnsi="宋体"/>
                <w:szCs w:val="21"/>
              </w:rPr>
              <w:t>1650.05</w:t>
            </w:r>
          </w:p>
        </w:tc>
        <w:tc>
          <w:tcPr>
            <w:tcW w:w="516" w:type="pct"/>
            <w:vAlign w:val="center"/>
          </w:tcPr>
          <w:p w14:paraId="0CF14B42">
            <w:pPr>
              <w:jc w:val="center"/>
              <w:rPr>
                <w:rFonts w:ascii="宋体" w:hAnsi="宋体"/>
                <w:szCs w:val="21"/>
              </w:rPr>
            </w:pPr>
            <w:r>
              <w:rPr>
                <w:rFonts w:hint="eastAsia" w:ascii="宋体" w:hAnsi="宋体"/>
                <w:szCs w:val="21"/>
              </w:rPr>
              <w:t>2</w:t>
            </w:r>
          </w:p>
        </w:tc>
      </w:tr>
      <w:tr w14:paraId="190FF6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503A323">
            <w:pPr>
              <w:rPr>
                <w:rFonts w:ascii="宋体" w:hAnsi="宋体"/>
                <w:szCs w:val="21"/>
              </w:rPr>
            </w:pPr>
            <w:r>
              <w:rPr>
                <w:rFonts w:hint="eastAsia" w:ascii="宋体" w:hAnsi="宋体"/>
                <w:szCs w:val="21"/>
              </w:rPr>
              <w:t>至善楼</w:t>
            </w:r>
          </w:p>
        </w:tc>
        <w:tc>
          <w:tcPr>
            <w:tcW w:w="1969" w:type="pct"/>
            <w:vAlign w:val="center"/>
          </w:tcPr>
          <w:p w14:paraId="46F91CBC">
            <w:pPr>
              <w:rPr>
                <w:rFonts w:ascii="宋体" w:hAnsi="宋体"/>
                <w:szCs w:val="21"/>
              </w:rPr>
            </w:pPr>
            <w:r>
              <w:rPr>
                <w:rFonts w:hint="eastAsia" w:ascii="宋体" w:hAnsi="宋体"/>
                <w:szCs w:val="21"/>
              </w:rPr>
              <w:t>单人间宿舍190间，双人间宿舍28间</w:t>
            </w:r>
          </w:p>
        </w:tc>
        <w:tc>
          <w:tcPr>
            <w:tcW w:w="904" w:type="pct"/>
            <w:vAlign w:val="center"/>
          </w:tcPr>
          <w:p w14:paraId="7F4DBAB5">
            <w:pPr>
              <w:jc w:val="right"/>
              <w:rPr>
                <w:rFonts w:ascii="宋体" w:hAnsi="宋体"/>
                <w:szCs w:val="21"/>
              </w:rPr>
            </w:pPr>
            <w:r>
              <w:rPr>
                <w:rFonts w:hint="eastAsia" w:ascii="宋体" w:hAnsi="宋体"/>
                <w:szCs w:val="21"/>
              </w:rPr>
              <w:t>11840.8</w:t>
            </w:r>
          </w:p>
        </w:tc>
        <w:tc>
          <w:tcPr>
            <w:tcW w:w="516" w:type="pct"/>
            <w:vAlign w:val="center"/>
          </w:tcPr>
          <w:p w14:paraId="5D3B89FD">
            <w:pPr>
              <w:jc w:val="center"/>
              <w:rPr>
                <w:rFonts w:ascii="宋体" w:hAnsi="宋体"/>
                <w:szCs w:val="21"/>
              </w:rPr>
            </w:pPr>
            <w:r>
              <w:rPr>
                <w:rFonts w:hint="eastAsia" w:ascii="宋体" w:hAnsi="宋体"/>
                <w:szCs w:val="21"/>
              </w:rPr>
              <w:t>9</w:t>
            </w:r>
          </w:p>
        </w:tc>
      </w:tr>
      <w:tr w14:paraId="33D2B8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4A20A5B5">
            <w:pPr>
              <w:rPr>
                <w:rFonts w:ascii="宋体" w:hAnsi="宋体"/>
                <w:szCs w:val="21"/>
              </w:rPr>
            </w:pPr>
            <w:r>
              <w:rPr>
                <w:rFonts w:hint="eastAsia" w:ascii="宋体" w:hAnsi="宋体"/>
                <w:szCs w:val="21"/>
              </w:rPr>
              <w:t>对外服务中心</w:t>
            </w:r>
          </w:p>
        </w:tc>
        <w:tc>
          <w:tcPr>
            <w:tcW w:w="1969" w:type="pct"/>
            <w:vAlign w:val="center"/>
          </w:tcPr>
          <w:p w14:paraId="739266AC">
            <w:pPr>
              <w:rPr>
                <w:rFonts w:ascii="宋体" w:hAnsi="宋体"/>
                <w:szCs w:val="21"/>
              </w:rPr>
            </w:pPr>
            <w:r>
              <w:rPr>
                <w:rFonts w:hint="eastAsia" w:ascii="宋体" w:hAnsi="宋体"/>
                <w:szCs w:val="21"/>
              </w:rPr>
              <w:t>含社康中心</w:t>
            </w:r>
          </w:p>
        </w:tc>
        <w:tc>
          <w:tcPr>
            <w:tcW w:w="904" w:type="pct"/>
            <w:vAlign w:val="center"/>
          </w:tcPr>
          <w:p w14:paraId="4FE811CA">
            <w:pPr>
              <w:jc w:val="right"/>
              <w:rPr>
                <w:rFonts w:ascii="宋体" w:hAnsi="宋体"/>
                <w:szCs w:val="21"/>
              </w:rPr>
            </w:pPr>
            <w:r>
              <w:rPr>
                <w:rFonts w:hint="eastAsia" w:ascii="宋体" w:hAnsi="宋体"/>
                <w:szCs w:val="21"/>
              </w:rPr>
              <w:t>2404.01</w:t>
            </w:r>
          </w:p>
        </w:tc>
        <w:tc>
          <w:tcPr>
            <w:tcW w:w="516" w:type="pct"/>
            <w:vAlign w:val="center"/>
          </w:tcPr>
          <w:p w14:paraId="450F2F58">
            <w:pPr>
              <w:jc w:val="center"/>
              <w:rPr>
                <w:rFonts w:ascii="宋体" w:hAnsi="宋体"/>
                <w:szCs w:val="21"/>
              </w:rPr>
            </w:pPr>
            <w:r>
              <w:rPr>
                <w:rFonts w:hint="eastAsia" w:ascii="宋体" w:hAnsi="宋体"/>
                <w:szCs w:val="21"/>
              </w:rPr>
              <w:t>2</w:t>
            </w:r>
          </w:p>
        </w:tc>
      </w:tr>
      <w:tr w14:paraId="0575D9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DE35E40">
            <w:pPr>
              <w:rPr>
                <w:rFonts w:ascii="宋体" w:hAnsi="宋体"/>
                <w:szCs w:val="21"/>
              </w:rPr>
            </w:pPr>
            <w:r>
              <w:rPr>
                <w:rFonts w:hint="eastAsia" w:ascii="宋体" w:hAnsi="宋体"/>
                <w:szCs w:val="21"/>
              </w:rPr>
              <w:t>门卫室</w:t>
            </w:r>
          </w:p>
        </w:tc>
        <w:tc>
          <w:tcPr>
            <w:tcW w:w="1969" w:type="pct"/>
            <w:vAlign w:val="center"/>
          </w:tcPr>
          <w:p w14:paraId="0FA175ED">
            <w:pPr>
              <w:rPr>
                <w:rFonts w:ascii="宋体" w:hAnsi="宋体"/>
                <w:szCs w:val="21"/>
              </w:rPr>
            </w:pPr>
          </w:p>
        </w:tc>
        <w:tc>
          <w:tcPr>
            <w:tcW w:w="904" w:type="pct"/>
            <w:vAlign w:val="center"/>
          </w:tcPr>
          <w:p w14:paraId="74651486">
            <w:pPr>
              <w:jc w:val="right"/>
              <w:rPr>
                <w:rFonts w:ascii="宋体" w:hAnsi="宋体"/>
                <w:szCs w:val="21"/>
              </w:rPr>
            </w:pPr>
            <w:r>
              <w:rPr>
                <w:rFonts w:hint="eastAsia" w:ascii="宋体" w:hAnsi="宋体"/>
                <w:szCs w:val="21"/>
              </w:rPr>
              <w:t>115.00</w:t>
            </w:r>
          </w:p>
        </w:tc>
        <w:tc>
          <w:tcPr>
            <w:tcW w:w="516" w:type="pct"/>
            <w:vAlign w:val="center"/>
          </w:tcPr>
          <w:p w14:paraId="511D6628">
            <w:pPr>
              <w:jc w:val="center"/>
              <w:rPr>
                <w:rFonts w:ascii="宋体" w:hAnsi="宋体"/>
                <w:szCs w:val="21"/>
              </w:rPr>
            </w:pPr>
            <w:r>
              <w:rPr>
                <w:rFonts w:hint="eastAsia" w:ascii="宋体" w:hAnsi="宋体"/>
                <w:szCs w:val="21"/>
              </w:rPr>
              <w:t>1</w:t>
            </w:r>
          </w:p>
        </w:tc>
      </w:tr>
      <w:tr w14:paraId="23AADA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5553EAE1">
            <w:pPr>
              <w:rPr>
                <w:rFonts w:ascii="宋体" w:hAnsi="宋体"/>
                <w:szCs w:val="21"/>
              </w:rPr>
            </w:pPr>
            <w:r>
              <w:rPr>
                <w:rFonts w:hint="eastAsia" w:ascii="宋体" w:hAnsi="宋体"/>
                <w:szCs w:val="21"/>
              </w:rPr>
              <w:t>垃圾站</w:t>
            </w:r>
          </w:p>
        </w:tc>
        <w:tc>
          <w:tcPr>
            <w:tcW w:w="1969" w:type="pct"/>
            <w:vAlign w:val="center"/>
          </w:tcPr>
          <w:p w14:paraId="55DA84EC">
            <w:pPr>
              <w:rPr>
                <w:rFonts w:ascii="宋体" w:hAnsi="宋体"/>
                <w:szCs w:val="21"/>
              </w:rPr>
            </w:pPr>
            <w:r>
              <w:rPr>
                <w:rFonts w:hint="eastAsia" w:ascii="宋体" w:hAnsi="宋体"/>
                <w:szCs w:val="21"/>
              </w:rPr>
              <w:t>百味园食堂负一楼北侧、天香园食堂北侧、艺景楼东侧</w:t>
            </w:r>
          </w:p>
        </w:tc>
        <w:tc>
          <w:tcPr>
            <w:tcW w:w="904" w:type="pct"/>
            <w:vAlign w:val="center"/>
          </w:tcPr>
          <w:p w14:paraId="23BF0159">
            <w:pPr>
              <w:jc w:val="right"/>
              <w:rPr>
                <w:rFonts w:ascii="宋体" w:hAnsi="宋体"/>
                <w:szCs w:val="21"/>
              </w:rPr>
            </w:pPr>
            <w:r>
              <w:rPr>
                <w:rFonts w:hint="eastAsia" w:ascii="宋体" w:hAnsi="宋体"/>
                <w:szCs w:val="21"/>
              </w:rPr>
              <w:t>180.00</w:t>
            </w:r>
          </w:p>
        </w:tc>
        <w:tc>
          <w:tcPr>
            <w:tcW w:w="516" w:type="pct"/>
            <w:vAlign w:val="center"/>
          </w:tcPr>
          <w:p w14:paraId="2198224F">
            <w:pPr>
              <w:jc w:val="center"/>
              <w:rPr>
                <w:rFonts w:ascii="宋体" w:hAnsi="宋体"/>
                <w:szCs w:val="21"/>
              </w:rPr>
            </w:pPr>
            <w:r>
              <w:rPr>
                <w:rFonts w:hint="eastAsia" w:ascii="宋体" w:hAnsi="宋体"/>
                <w:szCs w:val="21"/>
              </w:rPr>
              <w:t>1</w:t>
            </w:r>
          </w:p>
        </w:tc>
      </w:tr>
      <w:tr w14:paraId="57239C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2EC49E32">
            <w:pPr>
              <w:rPr>
                <w:rFonts w:ascii="宋体" w:hAnsi="宋体"/>
                <w:szCs w:val="21"/>
              </w:rPr>
            </w:pPr>
            <w:r>
              <w:rPr>
                <w:rFonts w:hint="eastAsia" w:ascii="宋体" w:hAnsi="宋体"/>
                <w:szCs w:val="21"/>
              </w:rPr>
              <w:t>地下设备房</w:t>
            </w:r>
          </w:p>
        </w:tc>
        <w:tc>
          <w:tcPr>
            <w:tcW w:w="1969" w:type="pct"/>
            <w:vAlign w:val="center"/>
          </w:tcPr>
          <w:p w14:paraId="78E26820">
            <w:pPr>
              <w:rPr>
                <w:rFonts w:ascii="宋体" w:hAnsi="宋体"/>
                <w:szCs w:val="21"/>
              </w:rPr>
            </w:pPr>
            <w:r>
              <w:rPr>
                <w:rFonts w:hint="eastAsia" w:ascii="宋体" w:hAnsi="宋体"/>
                <w:szCs w:val="21"/>
              </w:rPr>
              <w:t>中水</w:t>
            </w:r>
          </w:p>
        </w:tc>
        <w:tc>
          <w:tcPr>
            <w:tcW w:w="904" w:type="pct"/>
            <w:vAlign w:val="center"/>
          </w:tcPr>
          <w:p w14:paraId="405F2627">
            <w:pPr>
              <w:jc w:val="right"/>
              <w:rPr>
                <w:rFonts w:ascii="宋体" w:hAnsi="宋体"/>
                <w:szCs w:val="21"/>
              </w:rPr>
            </w:pPr>
            <w:r>
              <w:rPr>
                <w:rFonts w:hint="eastAsia" w:ascii="宋体" w:hAnsi="宋体"/>
                <w:szCs w:val="21"/>
              </w:rPr>
              <w:t>467.91</w:t>
            </w:r>
          </w:p>
        </w:tc>
        <w:tc>
          <w:tcPr>
            <w:tcW w:w="516" w:type="pct"/>
            <w:vAlign w:val="center"/>
          </w:tcPr>
          <w:p w14:paraId="25C982DA">
            <w:pPr>
              <w:jc w:val="center"/>
              <w:rPr>
                <w:rFonts w:ascii="宋体" w:hAnsi="宋体"/>
                <w:szCs w:val="21"/>
              </w:rPr>
            </w:pPr>
            <w:r>
              <w:rPr>
                <w:rFonts w:hint="eastAsia" w:ascii="宋体" w:hAnsi="宋体"/>
                <w:szCs w:val="21"/>
              </w:rPr>
              <w:t>1</w:t>
            </w:r>
          </w:p>
        </w:tc>
      </w:tr>
      <w:tr w14:paraId="026E60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10" w:type="pct"/>
            <w:vAlign w:val="center"/>
          </w:tcPr>
          <w:p w14:paraId="7D925A53">
            <w:pPr>
              <w:rPr>
                <w:rFonts w:ascii="宋体" w:hAnsi="宋体"/>
                <w:szCs w:val="21"/>
              </w:rPr>
            </w:pPr>
            <w:r>
              <w:rPr>
                <w:rFonts w:hint="eastAsia" w:ascii="宋体" w:hAnsi="宋体"/>
                <w:szCs w:val="21"/>
              </w:rPr>
              <w:t>其他</w:t>
            </w:r>
          </w:p>
        </w:tc>
        <w:tc>
          <w:tcPr>
            <w:tcW w:w="1969" w:type="pct"/>
            <w:vAlign w:val="center"/>
          </w:tcPr>
          <w:p w14:paraId="6EA0D08D">
            <w:pPr>
              <w:spacing w:line="360" w:lineRule="exact"/>
              <w:ind w:firstLine="420" w:firstLineChars="200"/>
              <w:rPr>
                <w:rFonts w:ascii="宋体" w:hAnsi="宋体"/>
                <w:sz w:val="24"/>
              </w:rPr>
            </w:pPr>
            <w:r>
              <w:rPr>
                <w:rFonts w:hint="eastAsia" w:ascii="宋体" w:hAnsi="宋体"/>
                <w:kern w:val="0"/>
                <w:szCs w:val="21"/>
              </w:rPr>
              <w:t>鹤鸣湖、湖滨广场及喷泉、北门及东门广场、</w:t>
            </w:r>
            <w:r>
              <w:rPr>
                <w:rFonts w:hint="eastAsia" w:ascii="宋体" w:hAnsi="宋体"/>
                <w:szCs w:val="21"/>
              </w:rPr>
              <w:t>湖水循环及湿地、水景系统</w:t>
            </w:r>
            <w:r>
              <w:rPr>
                <w:rFonts w:hint="eastAsia" w:ascii="宋体" w:hAnsi="宋体"/>
                <w:kern w:val="0"/>
                <w:szCs w:val="21"/>
              </w:rPr>
              <w:t>等</w:t>
            </w:r>
          </w:p>
          <w:p w14:paraId="72A021D4">
            <w:pPr>
              <w:rPr>
                <w:rFonts w:ascii="宋体" w:hAnsi="宋体"/>
                <w:szCs w:val="21"/>
              </w:rPr>
            </w:pPr>
          </w:p>
        </w:tc>
        <w:tc>
          <w:tcPr>
            <w:tcW w:w="904" w:type="pct"/>
            <w:vAlign w:val="center"/>
          </w:tcPr>
          <w:p w14:paraId="043EBB2E">
            <w:pPr>
              <w:jc w:val="right"/>
              <w:rPr>
                <w:rFonts w:ascii="宋体" w:hAnsi="宋体"/>
                <w:szCs w:val="21"/>
              </w:rPr>
            </w:pPr>
          </w:p>
        </w:tc>
        <w:tc>
          <w:tcPr>
            <w:tcW w:w="516" w:type="pct"/>
            <w:vAlign w:val="center"/>
          </w:tcPr>
          <w:p w14:paraId="759F7C3F">
            <w:pPr>
              <w:jc w:val="center"/>
              <w:rPr>
                <w:rFonts w:ascii="宋体" w:hAnsi="宋体"/>
                <w:szCs w:val="21"/>
              </w:rPr>
            </w:pPr>
          </w:p>
        </w:tc>
      </w:tr>
    </w:tbl>
    <w:p w14:paraId="6CA71F9A">
      <w:pPr>
        <w:ind w:firstLine="420" w:firstLineChars="200"/>
        <w:rPr>
          <w:rFonts w:ascii="宋体" w:hAnsi="宋体"/>
        </w:rPr>
      </w:pPr>
      <w:r>
        <w:rPr>
          <w:rFonts w:hint="eastAsia" w:ascii="宋体" w:hAnsi="宋体"/>
        </w:rPr>
        <w:t>5、公共设施设备情况：</w:t>
      </w:r>
    </w:p>
    <w:p w14:paraId="6199A44C">
      <w:pPr>
        <w:ind w:firstLine="420" w:firstLineChars="200"/>
        <w:rPr>
          <w:rFonts w:ascii="宋体" w:hAnsi="宋体"/>
        </w:rPr>
      </w:pPr>
      <w:r>
        <w:rPr>
          <w:rFonts w:hint="eastAsia" w:ascii="宋体" w:hAnsi="宋体"/>
        </w:rPr>
        <w:t>（1）电梯：34台垂直梯和2台扶梯，包括会议中心的残疾人梯1台。</w:t>
      </w:r>
    </w:p>
    <w:p w14:paraId="4C0AA5FC">
      <w:pPr>
        <w:ind w:firstLine="420" w:firstLineChars="200"/>
        <w:rPr>
          <w:rFonts w:ascii="宋体" w:hAnsi="宋体"/>
        </w:rPr>
      </w:pPr>
      <w:r>
        <w:rPr>
          <w:rFonts w:hint="eastAsia" w:ascii="宋体" w:hAnsi="宋体"/>
        </w:rPr>
        <w:t>（2）高低压配电房共5个，变压器16台。</w:t>
      </w:r>
    </w:p>
    <w:p w14:paraId="3F7CAB84">
      <w:pPr>
        <w:ind w:firstLine="420" w:firstLineChars="200"/>
        <w:rPr>
          <w:rFonts w:ascii="宋体" w:hAnsi="宋体"/>
        </w:rPr>
      </w:pPr>
      <w:r>
        <w:rPr>
          <w:rFonts w:hint="eastAsia" w:ascii="宋体" w:hAnsi="宋体"/>
        </w:rPr>
        <w:t>（3）消防控制机房4个。</w:t>
      </w:r>
    </w:p>
    <w:p w14:paraId="58BA237C">
      <w:pPr>
        <w:ind w:firstLine="420" w:firstLineChars="200"/>
        <w:rPr>
          <w:rFonts w:ascii="宋体" w:hAnsi="宋体"/>
        </w:rPr>
      </w:pPr>
      <w:r>
        <w:rPr>
          <w:rFonts w:hint="eastAsia" w:ascii="宋体" w:hAnsi="宋体"/>
        </w:rPr>
        <w:t>（4）闭路监控室2个。</w:t>
      </w:r>
    </w:p>
    <w:p w14:paraId="5A005807">
      <w:pPr>
        <w:ind w:firstLine="420" w:firstLineChars="200"/>
        <w:rPr>
          <w:rFonts w:ascii="宋体" w:hAnsi="宋体"/>
        </w:rPr>
      </w:pPr>
      <w:r>
        <w:rPr>
          <w:rFonts w:hint="eastAsia" w:ascii="宋体" w:hAnsi="宋体"/>
        </w:rPr>
        <w:t>（5）水泵房（带饮用水二次供水水池）2个。</w:t>
      </w:r>
    </w:p>
    <w:p w14:paraId="2395724A">
      <w:pPr>
        <w:ind w:firstLine="420" w:firstLineChars="200"/>
        <w:rPr>
          <w:rFonts w:ascii="宋体" w:hAnsi="宋体"/>
        </w:rPr>
      </w:pPr>
      <w:r>
        <w:rPr>
          <w:rFonts w:hint="eastAsia" w:ascii="宋体" w:hAnsi="宋体"/>
        </w:rPr>
        <w:t>（6）中水处理机房1个。</w:t>
      </w:r>
    </w:p>
    <w:p w14:paraId="461C4DF0">
      <w:pPr>
        <w:ind w:firstLine="420" w:firstLineChars="200"/>
        <w:rPr>
          <w:rFonts w:ascii="宋体" w:hAnsi="宋体"/>
        </w:rPr>
      </w:pPr>
      <w:r>
        <w:rPr>
          <w:rFonts w:hint="eastAsia" w:ascii="宋体" w:hAnsi="宋体"/>
        </w:rPr>
        <w:t>（7）中央空调主机5台，空调机房2个。</w:t>
      </w:r>
    </w:p>
    <w:p w14:paraId="53EDBE92">
      <w:pPr>
        <w:ind w:firstLine="420" w:firstLineChars="200"/>
        <w:rPr>
          <w:rFonts w:ascii="宋体" w:hAnsi="宋体"/>
        </w:rPr>
      </w:pPr>
      <w:r>
        <w:rPr>
          <w:rFonts w:hint="eastAsia" w:ascii="宋体" w:hAnsi="宋体"/>
        </w:rPr>
        <w:t>（8）太阳能热水系统12个。</w:t>
      </w:r>
    </w:p>
    <w:p w14:paraId="10BEB9E6">
      <w:pPr>
        <w:ind w:firstLine="420" w:firstLineChars="200"/>
        <w:rPr>
          <w:rFonts w:ascii="宋体" w:hAnsi="宋体"/>
        </w:rPr>
      </w:pPr>
      <w:r>
        <w:rPr>
          <w:rFonts w:hint="eastAsia" w:ascii="宋体" w:hAnsi="宋体"/>
        </w:rPr>
        <w:t>（9）大、小人工湿地设备各1套。</w:t>
      </w:r>
    </w:p>
    <w:p w14:paraId="7A457D39">
      <w:pPr>
        <w:ind w:firstLine="420" w:firstLineChars="200"/>
        <w:rPr>
          <w:rFonts w:ascii="宋体" w:hAnsi="宋体"/>
        </w:rPr>
      </w:pPr>
      <w:r>
        <w:rPr>
          <w:rFonts w:hint="eastAsia" w:ascii="宋体" w:hAnsi="宋体"/>
        </w:rPr>
        <w:t>（10）温室水帘设备1套。</w:t>
      </w:r>
    </w:p>
    <w:p w14:paraId="2A0DA58B">
      <w:pPr>
        <w:ind w:firstLine="420" w:firstLineChars="200"/>
        <w:rPr>
          <w:rFonts w:ascii="宋体" w:hAnsi="宋体"/>
        </w:rPr>
      </w:pPr>
      <w:r>
        <w:rPr>
          <w:rFonts w:hint="eastAsia" w:ascii="宋体" w:hAnsi="宋体"/>
        </w:rPr>
        <w:t>（11）室外水景设备1套。</w:t>
      </w:r>
    </w:p>
    <w:p w14:paraId="43328F11">
      <w:pPr>
        <w:ind w:firstLine="420" w:firstLineChars="200"/>
        <w:rPr>
          <w:rFonts w:ascii="宋体" w:hAnsi="宋体"/>
        </w:rPr>
      </w:pPr>
      <w:r>
        <w:rPr>
          <w:rFonts w:hint="eastAsia" w:ascii="宋体" w:hAnsi="宋体"/>
        </w:rPr>
        <w:t>（12）标准游泳池配套设施设备一套。</w:t>
      </w:r>
    </w:p>
    <w:p w14:paraId="04FA77FF">
      <w:pPr>
        <w:ind w:firstLine="420" w:firstLineChars="200"/>
        <w:rPr>
          <w:rFonts w:ascii="宋体" w:hAnsi="宋体"/>
        </w:rPr>
      </w:pPr>
      <w:r>
        <w:rPr>
          <w:rFonts w:hint="eastAsia" w:ascii="宋体" w:hAnsi="宋体"/>
        </w:rPr>
        <w:t>（13）广场喷泉系统一套</w:t>
      </w:r>
    </w:p>
    <w:p w14:paraId="3D2AD570">
      <w:pPr>
        <w:ind w:firstLine="420" w:firstLineChars="200"/>
        <w:rPr>
          <w:rFonts w:ascii="宋体" w:hAnsi="宋体"/>
        </w:rPr>
      </w:pPr>
      <w:r>
        <w:rPr>
          <w:rFonts w:hint="eastAsia" w:ascii="宋体" w:hAnsi="宋体"/>
        </w:rPr>
        <w:t>（14）七台柴油发电机（400KW4台，200KW3台）</w:t>
      </w:r>
    </w:p>
    <w:p w14:paraId="50968431">
      <w:pPr>
        <w:ind w:firstLine="420" w:firstLineChars="200"/>
        <w:rPr>
          <w:rFonts w:ascii="宋体" w:hAnsi="宋体"/>
        </w:rPr>
      </w:pPr>
      <w:r>
        <w:rPr>
          <w:rFonts w:hint="eastAsia" w:ascii="宋体" w:hAnsi="宋体"/>
        </w:rPr>
        <w:t>（15）校内其他各类配套设施：分体空调、音响设备、电风扇、热水器、开水器、照明、阀门、水电表、家具等其他设备以现场查勘为准。</w:t>
      </w:r>
    </w:p>
    <w:p w14:paraId="36966DDB">
      <w:pPr>
        <w:rPr>
          <w:rFonts w:ascii="宋体" w:hAnsi="宋体"/>
          <w:b/>
          <w:color w:val="FF0000"/>
          <w:szCs w:val="21"/>
        </w:rPr>
      </w:pPr>
    </w:p>
    <w:p w14:paraId="3BD2C89A">
      <w:pPr>
        <w:pStyle w:val="5"/>
        <w:spacing w:before="120" w:beforeLines="50" w:after="120" w:afterLines="50"/>
        <w:rPr>
          <w:szCs w:val="24"/>
        </w:rPr>
      </w:pPr>
      <w:r>
        <w:rPr>
          <w:rFonts w:hint="eastAsia"/>
          <w:szCs w:val="24"/>
        </w:rPr>
        <w:t>三、</w:t>
      </w:r>
      <w:bookmarkStart w:id="34" w:name="_Hlk72073432"/>
      <w:r>
        <w:rPr>
          <w:rFonts w:hint="eastAsia"/>
          <w:szCs w:val="24"/>
        </w:rPr>
        <w:t>服务需求明细</w:t>
      </w:r>
      <w:bookmarkEnd w:id="34"/>
    </w:p>
    <w:tbl>
      <w:tblPr>
        <w:tblStyle w:val="42"/>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
        <w:gridCol w:w="1873"/>
        <w:gridCol w:w="1381"/>
        <w:gridCol w:w="1381"/>
        <w:gridCol w:w="1745"/>
        <w:gridCol w:w="575"/>
        <w:gridCol w:w="587"/>
        <w:gridCol w:w="745"/>
        <w:gridCol w:w="791"/>
      </w:tblGrid>
      <w:tr w14:paraId="2976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11" w:type="pct"/>
            <w:vAlign w:val="center"/>
          </w:tcPr>
          <w:p w14:paraId="31881840">
            <w:pPr>
              <w:jc w:val="center"/>
              <w:rPr>
                <w:bCs/>
                <w:szCs w:val="21"/>
              </w:rPr>
            </w:pPr>
            <w:r>
              <w:rPr>
                <w:rFonts w:hint="eastAsia"/>
                <w:bCs/>
                <w:szCs w:val="21"/>
              </w:rPr>
              <w:t>序号</w:t>
            </w:r>
          </w:p>
        </w:tc>
        <w:tc>
          <w:tcPr>
            <w:tcW w:w="987" w:type="pct"/>
            <w:vAlign w:val="center"/>
          </w:tcPr>
          <w:p w14:paraId="6308D986">
            <w:pPr>
              <w:jc w:val="center"/>
              <w:rPr>
                <w:bCs/>
                <w:szCs w:val="21"/>
              </w:rPr>
            </w:pPr>
            <w:r>
              <w:rPr>
                <w:rFonts w:hint="eastAsia"/>
                <w:szCs w:val="21"/>
              </w:rPr>
              <w:t>采购计划编号</w:t>
            </w:r>
          </w:p>
        </w:tc>
        <w:tc>
          <w:tcPr>
            <w:tcW w:w="728" w:type="pct"/>
            <w:vAlign w:val="center"/>
          </w:tcPr>
          <w:p w14:paraId="47DB543C">
            <w:pPr>
              <w:jc w:val="center"/>
              <w:rPr>
                <w:rFonts w:hint="eastAsia"/>
                <w:bCs/>
                <w:szCs w:val="21"/>
              </w:rPr>
            </w:pPr>
            <w:r>
              <w:rPr>
                <w:rFonts w:hint="eastAsia"/>
                <w:bCs/>
                <w:szCs w:val="21"/>
              </w:rPr>
              <w:t>服务需求名称（标的名称）</w:t>
            </w:r>
          </w:p>
        </w:tc>
        <w:tc>
          <w:tcPr>
            <w:tcW w:w="728" w:type="pct"/>
            <w:vAlign w:val="center"/>
          </w:tcPr>
          <w:p w14:paraId="66D60A25">
            <w:pPr>
              <w:jc w:val="center"/>
              <w:rPr>
                <w:bCs/>
                <w:szCs w:val="21"/>
              </w:rPr>
            </w:pPr>
            <w:r>
              <w:rPr>
                <w:rFonts w:hint="eastAsia"/>
                <w:bCs/>
                <w:szCs w:val="21"/>
                <w:lang w:val="en-US" w:eastAsia="zh-CN"/>
              </w:rPr>
              <w:t>服务需求类别</w:t>
            </w:r>
          </w:p>
        </w:tc>
        <w:tc>
          <w:tcPr>
            <w:tcW w:w="920" w:type="pct"/>
            <w:vAlign w:val="center"/>
          </w:tcPr>
          <w:p w14:paraId="2FDB3C35">
            <w:pPr>
              <w:jc w:val="center"/>
              <w:rPr>
                <w:bCs/>
                <w:szCs w:val="21"/>
              </w:rPr>
            </w:pPr>
            <w:r>
              <w:rPr>
                <w:rFonts w:hint="eastAsia"/>
                <w:bCs/>
                <w:szCs w:val="21"/>
              </w:rPr>
              <w:t>预算金额（元）</w:t>
            </w:r>
          </w:p>
        </w:tc>
        <w:tc>
          <w:tcPr>
            <w:tcW w:w="303" w:type="pct"/>
            <w:vAlign w:val="center"/>
          </w:tcPr>
          <w:p w14:paraId="29217847">
            <w:pPr>
              <w:jc w:val="center"/>
              <w:rPr>
                <w:bCs/>
                <w:szCs w:val="21"/>
              </w:rPr>
            </w:pPr>
            <w:r>
              <w:rPr>
                <w:rFonts w:hint="eastAsia"/>
                <w:bCs/>
                <w:szCs w:val="21"/>
              </w:rPr>
              <w:t>数量</w:t>
            </w:r>
          </w:p>
        </w:tc>
        <w:tc>
          <w:tcPr>
            <w:tcW w:w="309" w:type="pct"/>
            <w:vAlign w:val="center"/>
          </w:tcPr>
          <w:p w14:paraId="45D211DA">
            <w:pPr>
              <w:jc w:val="center"/>
              <w:rPr>
                <w:bCs/>
                <w:szCs w:val="21"/>
              </w:rPr>
            </w:pPr>
            <w:r>
              <w:rPr>
                <w:rFonts w:hint="eastAsia"/>
                <w:bCs/>
                <w:szCs w:val="21"/>
              </w:rPr>
              <w:t>单位</w:t>
            </w:r>
          </w:p>
        </w:tc>
        <w:tc>
          <w:tcPr>
            <w:tcW w:w="393" w:type="pct"/>
            <w:vAlign w:val="center"/>
          </w:tcPr>
          <w:p w14:paraId="37B25087">
            <w:pPr>
              <w:jc w:val="center"/>
              <w:rPr>
                <w:bCs/>
                <w:szCs w:val="21"/>
              </w:rPr>
            </w:pPr>
            <w:r>
              <w:rPr>
                <w:rFonts w:hint="eastAsia"/>
                <w:b/>
                <w:bCs/>
                <w:color w:val="FF0000"/>
                <w:szCs w:val="21"/>
              </w:rPr>
              <w:t>是否专门面向中小企业</w:t>
            </w:r>
          </w:p>
        </w:tc>
        <w:tc>
          <w:tcPr>
            <w:tcW w:w="417" w:type="pct"/>
            <w:vAlign w:val="center"/>
          </w:tcPr>
          <w:p w14:paraId="2D0240A9">
            <w:pPr>
              <w:jc w:val="center"/>
              <w:rPr>
                <w:b/>
                <w:bCs/>
                <w:color w:val="FF0000"/>
                <w:szCs w:val="21"/>
              </w:rPr>
            </w:pPr>
            <w:r>
              <w:rPr>
                <w:rFonts w:hint="eastAsia"/>
                <w:b/>
                <w:bCs/>
                <w:color w:val="FF0000"/>
                <w:szCs w:val="21"/>
              </w:rPr>
              <w:t>标的所属行业</w:t>
            </w:r>
          </w:p>
        </w:tc>
      </w:tr>
      <w:tr w14:paraId="76D7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211" w:type="pct"/>
            <w:vAlign w:val="center"/>
          </w:tcPr>
          <w:p w14:paraId="0ECFF5F7">
            <w:pPr>
              <w:jc w:val="center"/>
              <w:rPr>
                <w:bCs/>
                <w:szCs w:val="21"/>
              </w:rPr>
            </w:pPr>
            <w:r>
              <w:rPr>
                <w:rFonts w:hint="eastAsia"/>
                <w:bCs/>
                <w:szCs w:val="21"/>
              </w:rPr>
              <w:t>1</w:t>
            </w:r>
          </w:p>
        </w:tc>
        <w:tc>
          <w:tcPr>
            <w:tcW w:w="987" w:type="pct"/>
            <w:vAlign w:val="center"/>
          </w:tcPr>
          <w:p w14:paraId="18E66274">
            <w:pPr>
              <w:jc w:val="center"/>
              <w:rPr>
                <w:bCs/>
                <w:szCs w:val="21"/>
              </w:rPr>
            </w:pPr>
            <w:r>
              <w:rPr>
                <w:bCs/>
                <w:color w:val="FF0000"/>
                <w:szCs w:val="21"/>
              </w:rPr>
              <w:t>PLAN-2026-440300000-110009-09313</w:t>
            </w:r>
          </w:p>
        </w:tc>
        <w:tc>
          <w:tcPr>
            <w:tcW w:w="728" w:type="pct"/>
            <w:vMerge w:val="restart"/>
            <w:vAlign w:val="center"/>
          </w:tcPr>
          <w:p w14:paraId="6B48B1BB">
            <w:pPr>
              <w:jc w:val="center"/>
              <w:rPr>
                <w:rFonts w:hint="eastAsia" w:ascii="宋体" w:hAnsi="宋体"/>
                <w:szCs w:val="21"/>
              </w:rPr>
            </w:pPr>
            <w:r>
              <w:rPr>
                <w:b/>
                <w:bCs/>
                <w:color w:val="FF0000"/>
                <w:szCs w:val="21"/>
              </w:rPr>
              <w:t>深圳城市职业学院（深圳技师学院）物业管理服务</w:t>
            </w:r>
            <w:r>
              <w:rPr>
                <w:rFonts w:hint="eastAsia"/>
                <w:b/>
                <w:bCs/>
                <w:color w:val="FF0000"/>
                <w:szCs w:val="21"/>
                <w:lang w:val="en-US" w:eastAsia="zh-CN"/>
              </w:rPr>
              <w:t>项目</w:t>
            </w:r>
          </w:p>
        </w:tc>
        <w:tc>
          <w:tcPr>
            <w:tcW w:w="728" w:type="pct"/>
            <w:vMerge w:val="restart"/>
            <w:vAlign w:val="center"/>
          </w:tcPr>
          <w:p w14:paraId="46212E69">
            <w:pPr>
              <w:jc w:val="center"/>
              <w:rPr>
                <w:bCs/>
                <w:szCs w:val="21"/>
              </w:rPr>
            </w:pPr>
            <w:r>
              <w:rPr>
                <w:rFonts w:hint="eastAsia" w:ascii="宋体" w:hAnsi="宋体"/>
                <w:szCs w:val="21"/>
              </w:rPr>
              <w:t>物业管理</w:t>
            </w:r>
          </w:p>
        </w:tc>
        <w:tc>
          <w:tcPr>
            <w:tcW w:w="920" w:type="pct"/>
            <w:vAlign w:val="center"/>
          </w:tcPr>
          <w:p w14:paraId="4A91316A">
            <w:pPr>
              <w:jc w:val="center"/>
            </w:pPr>
            <w:r>
              <w:rPr>
                <w:bCs/>
                <w:color w:val="FF0000"/>
                <w:szCs w:val="21"/>
              </w:rPr>
              <w:t>15098239.92 </w:t>
            </w:r>
          </w:p>
        </w:tc>
        <w:tc>
          <w:tcPr>
            <w:tcW w:w="303" w:type="pct"/>
            <w:vAlign w:val="center"/>
          </w:tcPr>
          <w:p w14:paraId="645A105F">
            <w:pPr>
              <w:jc w:val="center"/>
              <w:rPr>
                <w:bCs/>
                <w:szCs w:val="21"/>
              </w:rPr>
            </w:pPr>
            <w:r>
              <w:rPr>
                <w:rFonts w:hint="eastAsia"/>
              </w:rPr>
              <w:t>1</w:t>
            </w:r>
          </w:p>
        </w:tc>
        <w:tc>
          <w:tcPr>
            <w:tcW w:w="309" w:type="pct"/>
            <w:vAlign w:val="center"/>
          </w:tcPr>
          <w:p w14:paraId="188FA542">
            <w:pPr>
              <w:jc w:val="center"/>
              <w:rPr>
                <w:bCs/>
                <w:szCs w:val="21"/>
              </w:rPr>
            </w:pPr>
            <w:r>
              <w:rPr>
                <w:rFonts w:hint="eastAsia"/>
                <w:bCs/>
                <w:szCs w:val="21"/>
              </w:rPr>
              <w:t>项</w:t>
            </w:r>
          </w:p>
        </w:tc>
        <w:tc>
          <w:tcPr>
            <w:tcW w:w="393" w:type="pct"/>
            <w:vAlign w:val="center"/>
          </w:tcPr>
          <w:p w14:paraId="18E94C9D">
            <w:pPr>
              <w:jc w:val="center"/>
              <w:rPr>
                <w:bCs/>
                <w:szCs w:val="21"/>
              </w:rPr>
            </w:pPr>
            <w:r>
              <w:rPr>
                <w:rFonts w:hint="eastAsia"/>
                <w:bCs/>
                <w:szCs w:val="21"/>
              </w:rPr>
              <w:t>否</w:t>
            </w:r>
          </w:p>
        </w:tc>
        <w:tc>
          <w:tcPr>
            <w:tcW w:w="417" w:type="pct"/>
            <w:vAlign w:val="center"/>
          </w:tcPr>
          <w:p w14:paraId="49813050">
            <w:pPr>
              <w:jc w:val="center"/>
              <w:rPr>
                <w:bCs/>
                <w:szCs w:val="21"/>
              </w:rPr>
            </w:pPr>
            <w:r>
              <w:rPr>
                <w:rFonts w:hint="eastAsia"/>
              </w:rPr>
              <w:t>物业管理</w:t>
            </w:r>
          </w:p>
        </w:tc>
      </w:tr>
      <w:tr w14:paraId="0D3B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11" w:type="pct"/>
            <w:vMerge w:val="restart"/>
            <w:vAlign w:val="center"/>
          </w:tcPr>
          <w:p w14:paraId="60B3AC25">
            <w:pPr>
              <w:jc w:val="center"/>
              <w:rPr>
                <w:bCs/>
                <w:szCs w:val="21"/>
              </w:rPr>
            </w:pPr>
            <w:r>
              <w:rPr>
                <w:bCs/>
                <w:szCs w:val="21"/>
              </w:rPr>
              <w:t>2</w:t>
            </w:r>
          </w:p>
        </w:tc>
        <w:tc>
          <w:tcPr>
            <w:tcW w:w="987" w:type="pct"/>
            <w:vMerge w:val="restart"/>
            <w:vAlign w:val="center"/>
          </w:tcPr>
          <w:p w14:paraId="69CF7358">
            <w:pPr>
              <w:jc w:val="center"/>
              <w:rPr>
                <w:bCs/>
                <w:szCs w:val="21"/>
              </w:rPr>
            </w:pPr>
            <w:r>
              <w:rPr>
                <w:bCs/>
                <w:color w:val="FF0000"/>
                <w:szCs w:val="21"/>
              </w:rPr>
              <w:t>PLAN-2026-440300000-110009-09307</w:t>
            </w:r>
          </w:p>
        </w:tc>
        <w:tc>
          <w:tcPr>
            <w:tcW w:w="728" w:type="pct"/>
            <w:vMerge w:val="continue"/>
            <w:vAlign w:val="center"/>
          </w:tcPr>
          <w:p w14:paraId="0E7EB935">
            <w:pPr>
              <w:jc w:val="center"/>
              <w:rPr>
                <w:bCs/>
                <w:szCs w:val="21"/>
              </w:rPr>
            </w:pPr>
          </w:p>
        </w:tc>
        <w:tc>
          <w:tcPr>
            <w:tcW w:w="728" w:type="pct"/>
            <w:vMerge w:val="continue"/>
            <w:vAlign w:val="center"/>
          </w:tcPr>
          <w:p w14:paraId="18755428">
            <w:pPr>
              <w:jc w:val="center"/>
              <w:rPr>
                <w:bCs/>
                <w:szCs w:val="21"/>
              </w:rPr>
            </w:pPr>
          </w:p>
        </w:tc>
        <w:tc>
          <w:tcPr>
            <w:tcW w:w="920" w:type="pct"/>
            <w:vAlign w:val="center"/>
          </w:tcPr>
          <w:p w14:paraId="6DA75045">
            <w:pPr>
              <w:jc w:val="center"/>
              <w:rPr>
                <w:bCs/>
                <w:szCs w:val="21"/>
              </w:rPr>
            </w:pPr>
            <w:r>
              <w:rPr>
                <w:bCs/>
                <w:color w:val="FF0000"/>
                <w:szCs w:val="21"/>
              </w:rPr>
              <w:t>7479360.00</w:t>
            </w:r>
          </w:p>
        </w:tc>
        <w:tc>
          <w:tcPr>
            <w:tcW w:w="303" w:type="pct"/>
            <w:vAlign w:val="center"/>
          </w:tcPr>
          <w:p w14:paraId="07241F5B">
            <w:pPr>
              <w:jc w:val="center"/>
              <w:rPr>
                <w:bCs/>
                <w:szCs w:val="21"/>
              </w:rPr>
            </w:pPr>
            <w:r>
              <w:rPr>
                <w:rFonts w:hint="eastAsia"/>
              </w:rPr>
              <w:t>1</w:t>
            </w:r>
          </w:p>
        </w:tc>
        <w:tc>
          <w:tcPr>
            <w:tcW w:w="309" w:type="pct"/>
            <w:vAlign w:val="center"/>
          </w:tcPr>
          <w:p w14:paraId="35493D45">
            <w:pPr>
              <w:jc w:val="center"/>
              <w:rPr>
                <w:bCs/>
                <w:szCs w:val="21"/>
              </w:rPr>
            </w:pPr>
            <w:r>
              <w:rPr>
                <w:rFonts w:hint="eastAsia"/>
                <w:bCs/>
                <w:szCs w:val="21"/>
              </w:rPr>
              <w:t>项</w:t>
            </w:r>
          </w:p>
        </w:tc>
        <w:tc>
          <w:tcPr>
            <w:tcW w:w="393" w:type="pct"/>
            <w:vAlign w:val="center"/>
          </w:tcPr>
          <w:p w14:paraId="0072FFF3">
            <w:pPr>
              <w:jc w:val="center"/>
              <w:rPr>
                <w:bCs/>
                <w:szCs w:val="21"/>
              </w:rPr>
            </w:pPr>
            <w:r>
              <w:rPr>
                <w:rFonts w:hint="eastAsia"/>
                <w:bCs/>
                <w:szCs w:val="21"/>
              </w:rPr>
              <w:t>否</w:t>
            </w:r>
          </w:p>
        </w:tc>
        <w:tc>
          <w:tcPr>
            <w:tcW w:w="417" w:type="pct"/>
            <w:vAlign w:val="center"/>
          </w:tcPr>
          <w:p w14:paraId="472A01AF">
            <w:pPr>
              <w:jc w:val="center"/>
              <w:rPr>
                <w:bCs/>
                <w:szCs w:val="21"/>
              </w:rPr>
            </w:pPr>
            <w:r>
              <w:rPr>
                <w:rFonts w:hint="eastAsia"/>
              </w:rPr>
              <w:t>物业管理</w:t>
            </w:r>
          </w:p>
        </w:tc>
      </w:tr>
      <w:tr w14:paraId="6268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11" w:type="pct"/>
            <w:vMerge w:val="continue"/>
            <w:vAlign w:val="center"/>
          </w:tcPr>
          <w:p w14:paraId="234B913E">
            <w:pPr>
              <w:jc w:val="center"/>
              <w:rPr>
                <w:bCs/>
                <w:szCs w:val="21"/>
              </w:rPr>
            </w:pPr>
          </w:p>
        </w:tc>
        <w:tc>
          <w:tcPr>
            <w:tcW w:w="987" w:type="pct"/>
            <w:vMerge w:val="continue"/>
            <w:vAlign w:val="center"/>
          </w:tcPr>
          <w:p w14:paraId="1D6D1F7D">
            <w:pPr>
              <w:jc w:val="center"/>
              <w:rPr>
                <w:rFonts w:hint="eastAsia"/>
                <w:bCs/>
                <w:szCs w:val="21"/>
              </w:rPr>
            </w:pPr>
          </w:p>
        </w:tc>
        <w:tc>
          <w:tcPr>
            <w:tcW w:w="728" w:type="pct"/>
            <w:vMerge w:val="continue"/>
            <w:vAlign w:val="center"/>
          </w:tcPr>
          <w:p w14:paraId="1BAC09D9">
            <w:pPr>
              <w:jc w:val="center"/>
              <w:rPr>
                <w:rFonts w:hint="eastAsia"/>
                <w:bCs/>
                <w:szCs w:val="21"/>
              </w:rPr>
            </w:pPr>
          </w:p>
        </w:tc>
        <w:tc>
          <w:tcPr>
            <w:tcW w:w="728" w:type="pct"/>
            <w:vAlign w:val="center"/>
          </w:tcPr>
          <w:p w14:paraId="654919E5">
            <w:pPr>
              <w:jc w:val="center"/>
              <w:rPr>
                <w:bCs/>
                <w:szCs w:val="21"/>
              </w:rPr>
            </w:pPr>
            <w:r>
              <w:rPr>
                <w:rFonts w:hint="eastAsia"/>
                <w:bCs/>
                <w:szCs w:val="21"/>
              </w:rPr>
              <w:t>小计</w:t>
            </w:r>
          </w:p>
        </w:tc>
        <w:tc>
          <w:tcPr>
            <w:tcW w:w="2343" w:type="pct"/>
            <w:gridSpan w:val="5"/>
            <w:vAlign w:val="center"/>
          </w:tcPr>
          <w:p w14:paraId="008A237D">
            <w:pPr>
              <w:jc w:val="center"/>
              <w:rPr>
                <w:bCs/>
                <w:szCs w:val="21"/>
              </w:rPr>
            </w:pPr>
            <w:r>
              <w:rPr>
                <w:rFonts w:hint="eastAsia" w:ascii="宋体" w:hAnsi="宋体"/>
                <w:bCs/>
                <w:szCs w:val="21"/>
              </w:rPr>
              <w:t>22,577,599.92</w:t>
            </w:r>
          </w:p>
        </w:tc>
      </w:tr>
      <w:tr w14:paraId="39D2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11" w:type="pct"/>
            <w:vAlign w:val="center"/>
          </w:tcPr>
          <w:p w14:paraId="2FDEE72E">
            <w:pPr>
              <w:jc w:val="center"/>
              <w:rPr>
                <w:bCs/>
                <w:szCs w:val="21"/>
              </w:rPr>
            </w:pPr>
            <w:r>
              <w:rPr>
                <w:rFonts w:hint="eastAsia"/>
                <w:bCs/>
                <w:szCs w:val="21"/>
              </w:rPr>
              <w:t>3</w:t>
            </w:r>
          </w:p>
        </w:tc>
        <w:tc>
          <w:tcPr>
            <w:tcW w:w="987" w:type="pct"/>
            <w:vAlign w:val="center"/>
          </w:tcPr>
          <w:p w14:paraId="390EC301">
            <w:pPr>
              <w:jc w:val="center"/>
              <w:rPr>
                <w:bCs/>
                <w:szCs w:val="21"/>
              </w:rPr>
            </w:pPr>
            <w:r>
              <w:rPr>
                <w:bCs/>
                <w:color w:val="FF0000"/>
                <w:szCs w:val="21"/>
              </w:rPr>
              <w:t>PLAN-2026-440300000-110009-09312</w:t>
            </w:r>
          </w:p>
        </w:tc>
        <w:tc>
          <w:tcPr>
            <w:tcW w:w="728" w:type="pct"/>
            <w:vMerge w:val="continue"/>
            <w:vAlign w:val="center"/>
          </w:tcPr>
          <w:p w14:paraId="36017ECD">
            <w:pPr>
              <w:jc w:val="center"/>
              <w:rPr>
                <w:rFonts w:hint="eastAsia" w:ascii="宋体" w:hAnsi="宋体"/>
                <w:szCs w:val="21"/>
              </w:rPr>
            </w:pPr>
          </w:p>
        </w:tc>
        <w:tc>
          <w:tcPr>
            <w:tcW w:w="728" w:type="pct"/>
            <w:vMerge w:val="restart"/>
            <w:vAlign w:val="center"/>
          </w:tcPr>
          <w:p w14:paraId="65EE3EB5">
            <w:pPr>
              <w:jc w:val="center"/>
              <w:rPr>
                <w:rFonts w:ascii="宋体" w:hAnsi="宋体"/>
                <w:szCs w:val="21"/>
              </w:rPr>
            </w:pPr>
            <w:r>
              <w:rPr>
                <w:rFonts w:hint="eastAsia" w:ascii="宋体" w:hAnsi="宋体"/>
                <w:szCs w:val="21"/>
              </w:rPr>
              <w:t>绿植摆放</w:t>
            </w:r>
          </w:p>
        </w:tc>
        <w:tc>
          <w:tcPr>
            <w:tcW w:w="920" w:type="pct"/>
            <w:vAlign w:val="center"/>
          </w:tcPr>
          <w:p w14:paraId="703DF6E4">
            <w:pPr>
              <w:jc w:val="center"/>
              <w:rPr>
                <w:bCs/>
                <w:szCs w:val="21"/>
              </w:rPr>
            </w:pPr>
            <w:r>
              <w:rPr>
                <w:bCs/>
                <w:color w:val="FF0000"/>
                <w:szCs w:val="21"/>
              </w:rPr>
              <w:t>60000.00</w:t>
            </w:r>
          </w:p>
        </w:tc>
        <w:tc>
          <w:tcPr>
            <w:tcW w:w="303" w:type="pct"/>
            <w:vAlign w:val="center"/>
          </w:tcPr>
          <w:p w14:paraId="0E81D13E">
            <w:pPr>
              <w:jc w:val="center"/>
              <w:rPr>
                <w:bCs/>
                <w:szCs w:val="21"/>
              </w:rPr>
            </w:pPr>
            <w:r>
              <w:rPr>
                <w:rFonts w:hint="eastAsia"/>
              </w:rPr>
              <w:t>1</w:t>
            </w:r>
          </w:p>
        </w:tc>
        <w:tc>
          <w:tcPr>
            <w:tcW w:w="309" w:type="pct"/>
            <w:vAlign w:val="center"/>
          </w:tcPr>
          <w:p w14:paraId="71E6089C">
            <w:pPr>
              <w:jc w:val="center"/>
              <w:rPr>
                <w:bCs/>
                <w:szCs w:val="21"/>
              </w:rPr>
            </w:pPr>
            <w:r>
              <w:rPr>
                <w:rFonts w:hint="eastAsia"/>
                <w:bCs/>
                <w:szCs w:val="21"/>
              </w:rPr>
              <w:t>项</w:t>
            </w:r>
          </w:p>
        </w:tc>
        <w:tc>
          <w:tcPr>
            <w:tcW w:w="393" w:type="pct"/>
            <w:vAlign w:val="center"/>
          </w:tcPr>
          <w:p w14:paraId="384C4E1D">
            <w:pPr>
              <w:jc w:val="center"/>
              <w:rPr>
                <w:bCs/>
                <w:szCs w:val="21"/>
              </w:rPr>
            </w:pPr>
            <w:r>
              <w:rPr>
                <w:rFonts w:hint="eastAsia"/>
                <w:bCs/>
                <w:szCs w:val="21"/>
              </w:rPr>
              <w:t>否</w:t>
            </w:r>
          </w:p>
        </w:tc>
        <w:tc>
          <w:tcPr>
            <w:tcW w:w="417" w:type="pct"/>
            <w:vAlign w:val="center"/>
          </w:tcPr>
          <w:p w14:paraId="4DC3A7C0">
            <w:pPr>
              <w:jc w:val="center"/>
              <w:rPr>
                <w:bCs/>
                <w:szCs w:val="21"/>
              </w:rPr>
            </w:pPr>
            <w:r>
              <w:rPr>
                <w:rFonts w:hint="eastAsia"/>
              </w:rPr>
              <w:t>物业管理</w:t>
            </w:r>
          </w:p>
        </w:tc>
      </w:tr>
      <w:tr w14:paraId="7AB4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11" w:type="pct"/>
            <w:vMerge w:val="restart"/>
            <w:vAlign w:val="center"/>
          </w:tcPr>
          <w:p w14:paraId="2C7A068B">
            <w:pPr>
              <w:jc w:val="center"/>
              <w:rPr>
                <w:bCs/>
                <w:szCs w:val="21"/>
              </w:rPr>
            </w:pPr>
            <w:r>
              <w:rPr>
                <w:rFonts w:hint="eastAsia"/>
                <w:bCs/>
                <w:szCs w:val="21"/>
              </w:rPr>
              <w:t>4</w:t>
            </w:r>
          </w:p>
        </w:tc>
        <w:tc>
          <w:tcPr>
            <w:tcW w:w="987" w:type="pct"/>
            <w:vMerge w:val="restart"/>
            <w:vAlign w:val="center"/>
          </w:tcPr>
          <w:p w14:paraId="3D1D5226">
            <w:pPr>
              <w:jc w:val="center"/>
              <w:rPr>
                <w:bCs/>
                <w:szCs w:val="21"/>
              </w:rPr>
            </w:pPr>
            <w:r>
              <w:rPr>
                <w:bCs/>
                <w:color w:val="FF0000"/>
                <w:szCs w:val="21"/>
              </w:rPr>
              <w:t>PLAN-2026-440300000-110009-09306</w:t>
            </w:r>
          </w:p>
        </w:tc>
        <w:tc>
          <w:tcPr>
            <w:tcW w:w="728" w:type="pct"/>
            <w:vMerge w:val="continue"/>
            <w:vAlign w:val="center"/>
          </w:tcPr>
          <w:p w14:paraId="38D65A86">
            <w:pPr>
              <w:jc w:val="center"/>
              <w:rPr>
                <w:rFonts w:ascii="宋体" w:hAnsi="宋体"/>
                <w:szCs w:val="21"/>
              </w:rPr>
            </w:pPr>
          </w:p>
        </w:tc>
        <w:tc>
          <w:tcPr>
            <w:tcW w:w="728" w:type="pct"/>
            <w:vMerge w:val="continue"/>
            <w:vAlign w:val="center"/>
          </w:tcPr>
          <w:p w14:paraId="6BA0BEC9">
            <w:pPr>
              <w:jc w:val="center"/>
              <w:rPr>
                <w:rFonts w:ascii="宋体" w:hAnsi="宋体"/>
                <w:szCs w:val="21"/>
              </w:rPr>
            </w:pPr>
          </w:p>
        </w:tc>
        <w:tc>
          <w:tcPr>
            <w:tcW w:w="920" w:type="pct"/>
            <w:vAlign w:val="center"/>
          </w:tcPr>
          <w:p w14:paraId="6D6B5877">
            <w:pPr>
              <w:jc w:val="center"/>
              <w:rPr>
                <w:bCs/>
                <w:szCs w:val="21"/>
              </w:rPr>
            </w:pPr>
            <w:r>
              <w:rPr>
                <w:bCs/>
                <w:color w:val="FF0000"/>
                <w:szCs w:val="21"/>
              </w:rPr>
              <w:t>30000.00</w:t>
            </w:r>
          </w:p>
        </w:tc>
        <w:tc>
          <w:tcPr>
            <w:tcW w:w="303" w:type="pct"/>
            <w:vAlign w:val="center"/>
          </w:tcPr>
          <w:p w14:paraId="4726BFD4">
            <w:pPr>
              <w:jc w:val="center"/>
              <w:rPr>
                <w:bCs/>
                <w:szCs w:val="21"/>
              </w:rPr>
            </w:pPr>
            <w:r>
              <w:rPr>
                <w:rFonts w:hint="eastAsia"/>
              </w:rPr>
              <w:t>1</w:t>
            </w:r>
          </w:p>
        </w:tc>
        <w:tc>
          <w:tcPr>
            <w:tcW w:w="309" w:type="pct"/>
            <w:vAlign w:val="center"/>
          </w:tcPr>
          <w:p w14:paraId="1F682615">
            <w:pPr>
              <w:jc w:val="center"/>
              <w:rPr>
                <w:bCs/>
                <w:szCs w:val="21"/>
              </w:rPr>
            </w:pPr>
            <w:r>
              <w:rPr>
                <w:rFonts w:hint="eastAsia"/>
                <w:bCs/>
                <w:szCs w:val="21"/>
              </w:rPr>
              <w:t>项</w:t>
            </w:r>
          </w:p>
        </w:tc>
        <w:tc>
          <w:tcPr>
            <w:tcW w:w="393" w:type="pct"/>
            <w:vAlign w:val="center"/>
          </w:tcPr>
          <w:p w14:paraId="0287ED34">
            <w:pPr>
              <w:jc w:val="center"/>
              <w:rPr>
                <w:bCs/>
                <w:szCs w:val="21"/>
              </w:rPr>
            </w:pPr>
            <w:r>
              <w:rPr>
                <w:rFonts w:hint="eastAsia"/>
                <w:bCs/>
                <w:szCs w:val="21"/>
              </w:rPr>
              <w:t>否</w:t>
            </w:r>
          </w:p>
        </w:tc>
        <w:tc>
          <w:tcPr>
            <w:tcW w:w="417" w:type="pct"/>
            <w:vAlign w:val="center"/>
          </w:tcPr>
          <w:p w14:paraId="562F8015">
            <w:pPr>
              <w:jc w:val="center"/>
              <w:rPr>
                <w:bCs/>
                <w:szCs w:val="21"/>
              </w:rPr>
            </w:pPr>
            <w:r>
              <w:rPr>
                <w:rFonts w:hint="eastAsia"/>
              </w:rPr>
              <w:t>物业管理</w:t>
            </w:r>
          </w:p>
        </w:tc>
      </w:tr>
      <w:tr w14:paraId="4A4A0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11" w:type="pct"/>
            <w:vMerge w:val="continue"/>
            <w:vAlign w:val="center"/>
          </w:tcPr>
          <w:p w14:paraId="37072FE5">
            <w:pPr>
              <w:jc w:val="center"/>
              <w:rPr>
                <w:bCs/>
                <w:szCs w:val="21"/>
              </w:rPr>
            </w:pPr>
          </w:p>
        </w:tc>
        <w:tc>
          <w:tcPr>
            <w:tcW w:w="987" w:type="pct"/>
            <w:vMerge w:val="continue"/>
            <w:vAlign w:val="center"/>
          </w:tcPr>
          <w:p w14:paraId="11F037D6">
            <w:pPr>
              <w:jc w:val="center"/>
              <w:rPr>
                <w:bCs/>
                <w:color w:val="FF0000"/>
                <w:szCs w:val="21"/>
              </w:rPr>
            </w:pPr>
          </w:p>
        </w:tc>
        <w:tc>
          <w:tcPr>
            <w:tcW w:w="728" w:type="pct"/>
            <w:vMerge w:val="continue"/>
            <w:vAlign w:val="center"/>
          </w:tcPr>
          <w:p w14:paraId="2BE0EF06">
            <w:pPr>
              <w:jc w:val="center"/>
              <w:rPr>
                <w:rFonts w:hint="eastAsia"/>
                <w:bCs/>
                <w:szCs w:val="21"/>
              </w:rPr>
            </w:pPr>
          </w:p>
        </w:tc>
        <w:tc>
          <w:tcPr>
            <w:tcW w:w="728" w:type="pct"/>
            <w:vAlign w:val="center"/>
          </w:tcPr>
          <w:p w14:paraId="45694FE8">
            <w:pPr>
              <w:jc w:val="center"/>
              <w:rPr>
                <w:rFonts w:ascii="宋体" w:hAnsi="宋体"/>
                <w:szCs w:val="21"/>
              </w:rPr>
            </w:pPr>
            <w:r>
              <w:rPr>
                <w:rFonts w:hint="eastAsia"/>
                <w:bCs/>
                <w:szCs w:val="21"/>
              </w:rPr>
              <w:t>小计</w:t>
            </w:r>
          </w:p>
        </w:tc>
        <w:tc>
          <w:tcPr>
            <w:tcW w:w="2343" w:type="pct"/>
            <w:gridSpan w:val="5"/>
            <w:vAlign w:val="center"/>
          </w:tcPr>
          <w:p w14:paraId="0CF02DFB">
            <w:pPr>
              <w:jc w:val="center"/>
              <w:rPr>
                <w:bCs/>
                <w:szCs w:val="21"/>
              </w:rPr>
            </w:pPr>
            <w:r>
              <w:rPr>
                <w:rFonts w:hint="eastAsia" w:ascii="宋体" w:hAnsi="宋体"/>
                <w:bCs/>
                <w:szCs w:val="21"/>
              </w:rPr>
              <w:t>90,000.00</w:t>
            </w:r>
          </w:p>
        </w:tc>
      </w:tr>
    </w:tbl>
    <w:p w14:paraId="172FA20B">
      <w:pPr>
        <w:rPr>
          <w:rFonts w:ascii="宋体" w:hAnsi="宋体"/>
          <w:b/>
          <w:color w:val="FF0000"/>
          <w:szCs w:val="21"/>
        </w:rPr>
      </w:pPr>
    </w:p>
    <w:p w14:paraId="6A7ED714">
      <w:pPr>
        <w:pStyle w:val="5"/>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5396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47026A73">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6FBE12EC">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7E0C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1BD338E0">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6443B7DD">
            <w:pPr>
              <w:rPr>
                <w:rFonts w:hAnsi="宋体" w:eastAsiaTheme="minorEastAsia"/>
                <w:kern w:val="0"/>
                <w:szCs w:val="21"/>
              </w:rPr>
            </w:pPr>
            <w:r>
              <w:rPr>
                <w:rFonts w:hint="eastAsia" w:hAnsi="宋体" w:eastAsiaTheme="minorEastAsia"/>
                <w:kern w:val="0"/>
                <w:szCs w:val="21"/>
              </w:rPr>
              <w:t>具体以采购文件第三章 用户需求书中带“★”的需求项为准。</w:t>
            </w:r>
          </w:p>
        </w:tc>
      </w:tr>
      <w:tr w14:paraId="300C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67965460">
            <w:pPr>
              <w:adjustRightInd w:val="0"/>
              <w:snapToGrid w:val="0"/>
              <w:spacing w:line="360" w:lineRule="auto"/>
              <w:rPr>
                <w:rFonts w:ascii="宋体" w:hAnsi="宋体"/>
                <w:kern w:val="0"/>
                <w:szCs w:val="21"/>
              </w:rPr>
            </w:pPr>
            <w:r>
              <w:rPr>
                <w:rFonts w:hint="eastAsia" w:ascii="宋体" w:hAnsi="宋体"/>
                <w:kern w:val="0"/>
                <w:szCs w:val="21"/>
              </w:rPr>
              <w:t>2</w:t>
            </w:r>
          </w:p>
        </w:tc>
        <w:tc>
          <w:tcPr>
            <w:tcW w:w="7795" w:type="dxa"/>
          </w:tcPr>
          <w:p w14:paraId="2D4C4A10">
            <w:pPr>
              <w:rPr>
                <w:rFonts w:asciiTheme="minorEastAsia" w:hAnsiTheme="minorEastAsia" w:eastAsiaTheme="minorEastAsia"/>
              </w:rPr>
            </w:pPr>
            <w:r>
              <w:rPr>
                <w:rFonts w:hint="eastAsia"/>
              </w:rPr>
              <w:t>投标人满足《保安服务管理条例》《公安机关实施保安服务管理条例办法》等有关规定要求的从业许可和备案要求。</w:t>
            </w:r>
          </w:p>
        </w:tc>
      </w:tr>
      <w:tr w14:paraId="2218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77E90704">
            <w:pPr>
              <w:adjustRightInd w:val="0"/>
              <w:snapToGrid w:val="0"/>
              <w:spacing w:line="360" w:lineRule="auto"/>
              <w:rPr>
                <w:rFonts w:hint="eastAsia" w:ascii="宋体" w:hAnsi="宋体" w:eastAsia="宋体"/>
                <w:kern w:val="0"/>
                <w:szCs w:val="21"/>
                <w:lang w:val="en-US" w:eastAsia="zh-CN"/>
              </w:rPr>
            </w:pPr>
            <w:r>
              <w:rPr>
                <w:rFonts w:hint="eastAsia" w:ascii="宋体" w:hAnsi="宋体"/>
                <w:kern w:val="0"/>
                <w:szCs w:val="21"/>
                <w:lang w:val="en-US" w:eastAsia="zh-CN"/>
              </w:rPr>
              <w:t>3</w:t>
            </w:r>
          </w:p>
        </w:tc>
        <w:tc>
          <w:tcPr>
            <w:tcW w:w="7795" w:type="dxa"/>
          </w:tcPr>
          <w:p w14:paraId="5FF2E908">
            <w:pPr>
              <w:rPr>
                <w:rFonts w:hint="eastAsia"/>
                <w:b/>
                <w:bCs/>
                <w:highlight w:val="none"/>
              </w:rPr>
            </w:pPr>
            <w:r>
              <w:rPr>
                <w:rFonts w:hint="eastAsia"/>
                <w:b/>
                <w:bCs/>
                <w:highlight w:val="none"/>
              </w:rPr>
              <w:t>专业接送人员必须经过专业正规培训，并取得</w:t>
            </w:r>
            <w:r>
              <w:rPr>
                <w:rFonts w:hint="eastAsia"/>
                <w:b/>
                <w:bCs/>
                <w:highlight w:val="none"/>
                <w:lang w:val="en-US" w:eastAsia="zh-CN"/>
              </w:rPr>
              <w:t>电瓶车</w:t>
            </w:r>
            <w:r>
              <w:rPr>
                <w:rFonts w:hint="eastAsia"/>
                <w:b/>
                <w:bCs/>
                <w:highlight w:val="none"/>
              </w:rPr>
              <w:t>相应《特种设备作业人员证》</w:t>
            </w:r>
          </w:p>
        </w:tc>
      </w:tr>
      <w:tr w14:paraId="0CC00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72EF7C72">
            <w:pPr>
              <w:adjustRightInd w:val="0"/>
              <w:snapToGrid w:val="0"/>
              <w:spacing w:line="360" w:lineRule="auto"/>
              <w:rPr>
                <w:rFonts w:hint="eastAsia" w:ascii="宋体" w:hAnsi="宋体" w:eastAsia="宋体"/>
                <w:kern w:val="0"/>
                <w:szCs w:val="21"/>
                <w:lang w:val="en-US" w:eastAsia="zh-CN"/>
              </w:rPr>
            </w:pPr>
            <w:r>
              <w:rPr>
                <w:rFonts w:hint="eastAsia" w:ascii="宋体" w:hAnsi="宋体"/>
                <w:kern w:val="0"/>
                <w:szCs w:val="21"/>
                <w:lang w:val="en-US" w:eastAsia="zh-CN"/>
              </w:rPr>
              <w:t>4</w:t>
            </w:r>
          </w:p>
        </w:tc>
        <w:tc>
          <w:tcPr>
            <w:tcW w:w="7795" w:type="dxa"/>
          </w:tcPr>
          <w:p w14:paraId="2FDD027C">
            <w:pPr>
              <w:rPr>
                <w:rFonts w:hint="eastAsia"/>
                <w:b/>
                <w:bCs/>
                <w:highlight w:val="none"/>
              </w:rPr>
            </w:pPr>
            <w:r>
              <w:rPr>
                <w:rFonts w:hint="eastAsia"/>
                <w:b/>
                <w:bCs/>
                <w:color w:val="FF0000"/>
                <w:highlight w:val="none"/>
              </w:rPr>
              <w:t>工程主管及工程师共3人【须与评分细则中“工程主管”、“工程师”为相同人员】要求均具有应急管理部门颁发的特种作业操作证【作业类别：电工作业，操作项目：低压（或高压）电工作业】，证书扫描件在投标文件中提供。</w:t>
            </w:r>
          </w:p>
        </w:tc>
      </w:tr>
      <w:tr w14:paraId="76E34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7714CB72">
            <w:pPr>
              <w:adjustRightInd w:val="0"/>
              <w:snapToGrid w:val="0"/>
              <w:spacing w:line="360" w:lineRule="auto"/>
              <w:rPr>
                <w:rFonts w:hint="eastAsia" w:ascii="宋体" w:hAnsi="宋体" w:eastAsia="宋体"/>
                <w:kern w:val="0"/>
                <w:szCs w:val="21"/>
                <w:lang w:eastAsia="zh-CN"/>
              </w:rPr>
            </w:pPr>
            <w:r>
              <w:rPr>
                <w:rFonts w:hint="eastAsia" w:ascii="宋体" w:hAnsi="宋体"/>
                <w:kern w:val="0"/>
                <w:szCs w:val="21"/>
                <w:lang w:val="en-US" w:eastAsia="zh-CN"/>
              </w:rPr>
              <w:t>5</w:t>
            </w:r>
          </w:p>
        </w:tc>
        <w:tc>
          <w:tcPr>
            <w:tcW w:w="7795" w:type="dxa"/>
          </w:tcPr>
          <w:p w14:paraId="12A83F5E">
            <w:pPr>
              <w:rPr>
                <w:rFonts w:asciiTheme="minorEastAsia" w:hAnsiTheme="minorEastAsia" w:eastAsiaTheme="minorEastAsia"/>
                <w:b/>
                <w:bCs/>
                <w:highlight w:val="none"/>
              </w:rPr>
            </w:pPr>
            <w:r>
              <w:rPr>
                <w:rFonts w:hint="eastAsia" w:asciiTheme="minorEastAsia" w:hAnsiTheme="minorEastAsia" w:eastAsiaTheme="minorEastAsia"/>
                <w:b/>
                <w:bCs/>
                <w:highlight w:val="none"/>
                <w:lang w:val="en-US" w:eastAsia="zh-CN"/>
              </w:rPr>
              <w:t>安</w:t>
            </w:r>
            <w:r>
              <w:rPr>
                <w:rFonts w:hint="eastAsia" w:asciiTheme="minorEastAsia" w:hAnsiTheme="minorEastAsia" w:eastAsiaTheme="minorEastAsia"/>
                <w:b/>
                <w:bCs/>
                <w:highlight w:val="none"/>
              </w:rPr>
              <w:t>保（秩序维护）人员必须取得公安部门颁发的保安员证，身体健康，退伍兵及参加过相关军事培训的比例不低于安保（秩序维护）人员总数的15%，女性安保（秩序维护）人员不低于安保（秩序维护）人员总数的15%。</w:t>
            </w:r>
            <w:r>
              <w:rPr>
                <w:rFonts w:hint="eastAsia" w:asciiTheme="minorEastAsia" w:hAnsiTheme="minorEastAsia" w:eastAsiaTheme="minorEastAsia"/>
                <w:b/>
                <w:bCs/>
                <w:highlight w:val="none"/>
                <w:lang w:val="zh-CN"/>
              </w:rPr>
              <w:t>男：</w:t>
            </w:r>
            <w:r>
              <w:rPr>
                <w:rFonts w:hint="eastAsia" w:asciiTheme="minorEastAsia" w:hAnsiTheme="minorEastAsia" w:eastAsiaTheme="minorEastAsia"/>
                <w:b/>
                <w:bCs/>
                <w:highlight w:val="none"/>
              </w:rPr>
              <w:t>身高1.65以上，女：1.58以上。</w:t>
            </w:r>
          </w:p>
        </w:tc>
      </w:tr>
      <w:tr w14:paraId="41E9B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2B599EC1">
            <w:pPr>
              <w:adjustRightInd w:val="0"/>
              <w:snapToGrid w:val="0"/>
              <w:spacing w:line="360" w:lineRule="auto"/>
              <w:rPr>
                <w:rFonts w:hint="eastAsia" w:ascii="宋体" w:hAnsi="宋体" w:eastAsia="宋体"/>
                <w:kern w:val="0"/>
                <w:szCs w:val="21"/>
                <w:lang w:eastAsia="zh-CN"/>
              </w:rPr>
            </w:pPr>
            <w:r>
              <w:rPr>
                <w:rFonts w:hint="eastAsia" w:ascii="宋体" w:hAnsi="宋体"/>
                <w:kern w:val="0"/>
                <w:szCs w:val="21"/>
                <w:lang w:val="en-US" w:eastAsia="zh-CN"/>
              </w:rPr>
              <w:t>6</w:t>
            </w:r>
          </w:p>
        </w:tc>
        <w:tc>
          <w:tcPr>
            <w:tcW w:w="7795" w:type="dxa"/>
          </w:tcPr>
          <w:p w14:paraId="282C2DE7">
            <w:pPr>
              <w:rPr>
                <w:rFonts w:asciiTheme="minorEastAsia" w:hAnsiTheme="minorEastAsia" w:eastAsiaTheme="minorEastAsia"/>
                <w:b/>
                <w:bCs/>
                <w:highlight w:val="none"/>
              </w:rPr>
            </w:pPr>
            <w:r>
              <w:rPr>
                <w:rFonts w:hint="eastAsia"/>
                <w:b/>
                <w:bCs/>
                <w:color w:val="FF0000"/>
                <w:highlight w:val="none"/>
              </w:rPr>
              <w:t>秩序主管1人【须与评分细则中“秩序主管”为相同人员】具有人社部门或应急部门颁发的应急救援员职业资格证，证书扫描件在投标文件中提供。</w:t>
            </w:r>
          </w:p>
        </w:tc>
      </w:tr>
    </w:tbl>
    <w:p w14:paraId="4DB64D25">
      <w:pPr>
        <w:pStyle w:val="4"/>
        <w:tabs>
          <w:tab w:val="left" w:pos="765"/>
        </w:tabs>
        <w:rPr>
          <w:rFonts w:ascii="黑体"/>
          <w:b w:val="0"/>
          <w:kern w:val="0"/>
          <w:sz w:val="24"/>
          <w:szCs w:val="24"/>
        </w:rPr>
      </w:pPr>
      <w:r>
        <w:rPr>
          <w:rFonts w:hint="eastAsia" w:ascii="黑体"/>
          <w:b w:val="0"/>
          <w:kern w:val="0"/>
          <w:sz w:val="24"/>
          <w:szCs w:val="24"/>
        </w:rPr>
        <w:t>注：上表所列内容为不可负偏离条款，负偏离将视为未实质性满足招标文件要求作投标无效处理。</w:t>
      </w:r>
      <w:bookmarkEnd w:id="33"/>
    </w:p>
    <w:p w14:paraId="1925E196">
      <w:pPr>
        <w:rPr>
          <w:b/>
          <w:bCs/>
          <w:sz w:val="24"/>
        </w:rPr>
      </w:pPr>
    </w:p>
    <w:p w14:paraId="7C41028C">
      <w:pPr>
        <w:pStyle w:val="5"/>
        <w:spacing w:before="120" w:beforeLines="50" w:after="120" w:afterLines="50"/>
        <w:rPr>
          <w:szCs w:val="24"/>
        </w:rPr>
      </w:pPr>
      <w:r>
        <w:rPr>
          <w:rFonts w:hint="eastAsia"/>
          <w:szCs w:val="24"/>
        </w:rPr>
        <w:t>五、技术要求</w:t>
      </w:r>
    </w:p>
    <w:p w14:paraId="7AC46B36">
      <w:pPr>
        <w:rPr>
          <w:b/>
          <w:sz w:val="24"/>
        </w:rPr>
      </w:pPr>
    </w:p>
    <w:p w14:paraId="4F28C11E">
      <w:pPr>
        <w:pStyle w:val="3"/>
        <w:jc w:val="center"/>
      </w:pPr>
      <w:r>
        <w:rPr>
          <w:rFonts w:hint="eastAsia"/>
        </w:rPr>
        <w:t>第一部分  物业管理项目</w:t>
      </w:r>
    </w:p>
    <w:p w14:paraId="1DEB8FDC">
      <w:pPr>
        <w:pStyle w:val="3"/>
        <w:spacing w:before="0" w:after="0"/>
        <w:ind w:firstLine="422" w:firstLineChars="200"/>
        <w:rPr>
          <w:sz w:val="21"/>
          <w:szCs w:val="21"/>
        </w:rPr>
      </w:pPr>
      <w:bookmarkStart w:id="35" w:name="_Toc101074871"/>
      <w:r>
        <w:rPr>
          <w:rFonts w:hint="eastAsia"/>
          <w:sz w:val="21"/>
          <w:szCs w:val="21"/>
        </w:rPr>
        <w:t>（一）综合服务</w:t>
      </w:r>
    </w:p>
    <w:p w14:paraId="2212B6B9">
      <w:pPr>
        <w:pStyle w:val="208"/>
        <w:ind w:firstLine="422"/>
        <w:jc w:val="left"/>
        <w:rPr>
          <w:rFonts w:ascii="宋体" w:hAnsi="宋体" w:cs="宋体"/>
          <w:kern w:val="0"/>
          <w:szCs w:val="21"/>
        </w:rPr>
      </w:pPr>
      <w:r>
        <w:rPr>
          <w:rFonts w:hint="eastAsia" w:ascii="宋体" w:hAnsi="宋体" w:cs="宋体"/>
          <w:b/>
          <w:kern w:val="0"/>
          <w:szCs w:val="21"/>
        </w:rPr>
        <w:t>1.</w:t>
      </w:r>
      <w:r>
        <w:rPr>
          <w:rFonts w:hint="eastAsia" w:ascii="宋体" w:hAnsi="宋体" w:cs="宋体"/>
          <w:kern w:val="0"/>
          <w:szCs w:val="21"/>
        </w:rPr>
        <w:t>根据学校实际情况设置物业服务中心，配备相应人员和服务设施、设备。</w:t>
      </w:r>
    </w:p>
    <w:p w14:paraId="39B62CE7">
      <w:pPr>
        <w:pStyle w:val="208"/>
        <w:ind w:firstLine="422"/>
        <w:jc w:val="left"/>
        <w:rPr>
          <w:rFonts w:ascii="宋体" w:hAnsi="宋体" w:cs="宋体"/>
          <w:kern w:val="0"/>
          <w:szCs w:val="21"/>
        </w:rPr>
      </w:pPr>
      <w:r>
        <w:rPr>
          <w:rFonts w:hint="eastAsia" w:ascii="宋体" w:hAnsi="宋体" w:cs="宋体"/>
          <w:b/>
          <w:kern w:val="0"/>
          <w:szCs w:val="21"/>
        </w:rPr>
        <w:t>2.</w:t>
      </w:r>
      <w:r>
        <w:rPr>
          <w:rFonts w:hint="eastAsia" w:ascii="宋体" w:hAnsi="宋体" w:cs="宋体"/>
          <w:kern w:val="0"/>
          <w:szCs w:val="21"/>
        </w:rPr>
        <w:t>完善物业管理服务制度，做好服务档案管理及学校物业建筑物图纸、公共设备设施台账、档案资料管理。（要求资料齐全、分类科学、管理完善、易于检索）。</w:t>
      </w:r>
    </w:p>
    <w:p w14:paraId="7399D3D6">
      <w:pPr>
        <w:pStyle w:val="208"/>
        <w:ind w:firstLine="422"/>
        <w:jc w:val="left"/>
        <w:rPr>
          <w:rFonts w:ascii="宋体" w:hAnsi="宋体" w:cs="宋体"/>
          <w:kern w:val="0"/>
          <w:szCs w:val="21"/>
        </w:rPr>
      </w:pPr>
      <w:r>
        <w:rPr>
          <w:rFonts w:hint="eastAsia" w:ascii="宋体" w:hAnsi="宋体" w:cs="宋体"/>
          <w:b/>
          <w:kern w:val="0"/>
          <w:szCs w:val="21"/>
        </w:rPr>
        <w:t>3.</w:t>
      </w:r>
      <w:r>
        <w:rPr>
          <w:rFonts w:hint="eastAsia" w:ascii="宋体" w:hAnsi="宋体" w:cs="宋体"/>
          <w:kern w:val="0"/>
          <w:szCs w:val="21"/>
        </w:rPr>
        <w:t>制定突发事件应急预案、每月组织演练，突发事件发生时要求能够根据实际情况迅速启动相应的应急预案；并协助处理事件的相关善后。</w:t>
      </w:r>
    </w:p>
    <w:p w14:paraId="54D45531">
      <w:pPr>
        <w:ind w:firstLine="422" w:firstLineChars="200"/>
        <w:jc w:val="left"/>
        <w:rPr>
          <w:rFonts w:ascii="宋体" w:hAnsi="宋体" w:cs="宋体"/>
          <w:kern w:val="0"/>
          <w:szCs w:val="21"/>
        </w:rPr>
      </w:pPr>
      <w:r>
        <w:rPr>
          <w:rFonts w:hint="eastAsia" w:ascii="宋体" w:hAnsi="宋体" w:cs="宋体"/>
          <w:b/>
          <w:kern w:val="0"/>
          <w:szCs w:val="21"/>
        </w:rPr>
        <w:t>4.</w:t>
      </w:r>
      <w:r>
        <w:rPr>
          <w:rFonts w:hint="eastAsia" w:ascii="宋体" w:hAnsi="宋体" w:cs="宋体"/>
          <w:kern w:val="0"/>
          <w:szCs w:val="21"/>
        </w:rPr>
        <w:t>公寓管理服务</w:t>
      </w:r>
    </w:p>
    <w:p w14:paraId="2684286F">
      <w:pPr>
        <w:pStyle w:val="208"/>
        <w:jc w:val="left"/>
        <w:rPr>
          <w:rFonts w:ascii="宋体" w:hAnsi="宋体" w:cs="宋体"/>
          <w:kern w:val="0"/>
          <w:szCs w:val="21"/>
        </w:rPr>
      </w:pPr>
      <w:r>
        <w:rPr>
          <w:rFonts w:hint="eastAsia" w:ascii="宋体" w:hAnsi="宋体" w:cs="宋体"/>
          <w:kern w:val="0"/>
          <w:szCs w:val="21"/>
        </w:rPr>
        <w:t>（1）健康驿站：</w:t>
      </w:r>
    </w:p>
    <w:p w14:paraId="57AD8B89">
      <w:pPr>
        <w:pStyle w:val="208"/>
        <w:jc w:val="left"/>
        <w:rPr>
          <w:rFonts w:ascii="宋体" w:hAnsi="宋体" w:cs="宋体"/>
          <w:kern w:val="0"/>
          <w:szCs w:val="21"/>
        </w:rPr>
      </w:pPr>
      <w:r>
        <w:rPr>
          <w:rFonts w:hint="eastAsia" w:ascii="宋体" w:hAnsi="宋体" w:cs="宋体"/>
          <w:kern w:val="0"/>
          <w:szCs w:val="21"/>
        </w:rPr>
        <w:t>1）入住前消毒清洁房内卫生，铺床上用品，摆放生活用品及防疫物资。</w:t>
      </w:r>
    </w:p>
    <w:p w14:paraId="22692CE3">
      <w:pPr>
        <w:pStyle w:val="208"/>
        <w:jc w:val="left"/>
        <w:rPr>
          <w:rFonts w:ascii="宋体" w:hAnsi="宋体" w:cs="宋体"/>
          <w:kern w:val="0"/>
          <w:szCs w:val="21"/>
        </w:rPr>
      </w:pPr>
      <w:r>
        <w:rPr>
          <w:rFonts w:hint="eastAsia" w:ascii="宋体" w:hAnsi="宋体" w:cs="宋体"/>
          <w:kern w:val="0"/>
          <w:szCs w:val="21"/>
        </w:rPr>
        <w:t>2）为需入住健康驿站的学生消毒登记安排入住、订购早中晚餐、发放早中晚餐，及时解决学生的要求与需求。</w:t>
      </w:r>
    </w:p>
    <w:p w14:paraId="03189ABF">
      <w:pPr>
        <w:pStyle w:val="208"/>
        <w:jc w:val="left"/>
        <w:rPr>
          <w:rFonts w:ascii="宋体" w:hAnsi="宋体" w:cs="宋体"/>
          <w:kern w:val="0"/>
          <w:szCs w:val="21"/>
        </w:rPr>
      </w:pPr>
      <w:r>
        <w:rPr>
          <w:rFonts w:hint="eastAsia" w:ascii="宋体" w:hAnsi="宋体" w:cs="宋体"/>
          <w:kern w:val="0"/>
          <w:szCs w:val="21"/>
        </w:rPr>
        <w:t>3）解除健康观察后通知总务安排车辆送学生返回宿舍区、消毒房间与公共区域、清洁房间与床上用品、补齐所缺生活用品及防疫物资。</w:t>
      </w:r>
    </w:p>
    <w:p w14:paraId="3B7EBFF3">
      <w:pPr>
        <w:pStyle w:val="208"/>
        <w:jc w:val="left"/>
        <w:rPr>
          <w:rFonts w:ascii="宋体" w:hAnsi="宋体" w:cs="宋体"/>
          <w:kern w:val="0"/>
          <w:szCs w:val="21"/>
        </w:rPr>
      </w:pPr>
      <w:r>
        <w:rPr>
          <w:rFonts w:hint="eastAsia" w:ascii="宋体" w:hAnsi="宋体" w:cs="宋体"/>
          <w:kern w:val="0"/>
          <w:szCs w:val="21"/>
        </w:rPr>
        <w:t>（2）周转房：</w:t>
      </w:r>
    </w:p>
    <w:p w14:paraId="1183927A">
      <w:pPr>
        <w:pStyle w:val="208"/>
        <w:jc w:val="left"/>
        <w:rPr>
          <w:rFonts w:ascii="宋体" w:hAnsi="宋体" w:cs="宋体"/>
          <w:kern w:val="0"/>
          <w:szCs w:val="21"/>
        </w:rPr>
      </w:pPr>
      <w:r>
        <w:rPr>
          <w:rFonts w:hint="eastAsia" w:ascii="宋体" w:hAnsi="宋体" w:cs="宋体"/>
          <w:kern w:val="0"/>
          <w:szCs w:val="21"/>
        </w:rPr>
        <w:t>1）协助甲方做好校内周转房的相关管理工作。</w:t>
      </w:r>
    </w:p>
    <w:p w14:paraId="114BBC6A">
      <w:pPr>
        <w:pStyle w:val="208"/>
        <w:jc w:val="left"/>
        <w:rPr>
          <w:rFonts w:ascii="宋体" w:hAnsi="宋体" w:cs="宋体"/>
          <w:kern w:val="0"/>
          <w:szCs w:val="21"/>
        </w:rPr>
      </w:pPr>
      <w:r>
        <w:rPr>
          <w:rFonts w:hint="eastAsia" w:ascii="宋体" w:hAnsi="宋体" w:cs="宋体"/>
          <w:kern w:val="0"/>
          <w:szCs w:val="21"/>
        </w:rPr>
        <w:t>2）为申请周转房通过后的教职工登记安排入住，打扫房间，检查房间内设备是否能正常使用。</w:t>
      </w:r>
    </w:p>
    <w:p w14:paraId="6B1491ED">
      <w:pPr>
        <w:pStyle w:val="208"/>
        <w:jc w:val="left"/>
        <w:rPr>
          <w:rFonts w:ascii="宋体" w:hAnsi="宋体" w:cs="宋体"/>
          <w:kern w:val="0"/>
          <w:szCs w:val="21"/>
        </w:rPr>
      </w:pPr>
      <w:r>
        <w:rPr>
          <w:rFonts w:hint="eastAsia" w:ascii="宋体" w:hAnsi="宋体" w:cs="宋体"/>
          <w:kern w:val="0"/>
          <w:szCs w:val="21"/>
        </w:rPr>
        <w:t>3）若周转房内有需维修安装的家电，及时反馈给工程部沟通好时间上门维修安装。</w:t>
      </w:r>
    </w:p>
    <w:p w14:paraId="0D6F22ED">
      <w:pPr>
        <w:pStyle w:val="208"/>
        <w:jc w:val="left"/>
        <w:rPr>
          <w:rFonts w:ascii="宋体" w:hAnsi="宋体" w:cs="宋体"/>
          <w:kern w:val="0"/>
          <w:szCs w:val="21"/>
        </w:rPr>
      </w:pPr>
      <w:r>
        <w:rPr>
          <w:rFonts w:hint="eastAsia" w:ascii="宋体" w:hAnsi="宋体" w:cs="宋体"/>
          <w:kern w:val="0"/>
          <w:szCs w:val="21"/>
        </w:rPr>
        <w:t>4）周转房退租后打扫房间将屋内设施回归原样，检查有无需要维修、有无需要补墙、登记退租后的用水用电情况。</w:t>
      </w:r>
    </w:p>
    <w:p w14:paraId="49CDD1DE">
      <w:pPr>
        <w:pStyle w:val="208"/>
        <w:jc w:val="left"/>
        <w:rPr>
          <w:rFonts w:ascii="宋体" w:hAnsi="宋体" w:cs="宋体"/>
          <w:kern w:val="0"/>
          <w:szCs w:val="21"/>
        </w:rPr>
      </w:pPr>
      <w:r>
        <w:rPr>
          <w:rFonts w:hint="eastAsia" w:ascii="宋体" w:hAnsi="宋体" w:cs="宋体"/>
          <w:kern w:val="0"/>
          <w:szCs w:val="21"/>
        </w:rPr>
        <w:t>（3）值班房：</w:t>
      </w:r>
    </w:p>
    <w:p w14:paraId="09648003">
      <w:pPr>
        <w:pStyle w:val="208"/>
        <w:jc w:val="left"/>
        <w:rPr>
          <w:rFonts w:ascii="宋体" w:hAnsi="宋体" w:cs="宋体"/>
          <w:kern w:val="0"/>
          <w:szCs w:val="21"/>
        </w:rPr>
      </w:pPr>
      <w:r>
        <w:rPr>
          <w:rFonts w:hint="eastAsia" w:ascii="宋体" w:hAnsi="宋体" w:cs="宋体"/>
          <w:kern w:val="0"/>
          <w:szCs w:val="21"/>
        </w:rPr>
        <w:t>1）登记每日值班老师入住情况并发放钥匙。</w:t>
      </w:r>
    </w:p>
    <w:p w14:paraId="3F951E31">
      <w:pPr>
        <w:pStyle w:val="208"/>
        <w:jc w:val="left"/>
        <w:rPr>
          <w:rFonts w:ascii="宋体" w:hAnsi="宋体" w:cs="宋体"/>
          <w:kern w:val="0"/>
          <w:szCs w:val="21"/>
        </w:rPr>
      </w:pPr>
      <w:r>
        <w:rPr>
          <w:rFonts w:hint="eastAsia" w:ascii="宋体" w:hAnsi="宋体" w:cs="宋体"/>
          <w:kern w:val="0"/>
          <w:szCs w:val="21"/>
        </w:rPr>
        <w:t>2）退房后打扫值班房、清洗床上用品、铺床上用品、摆放生活用品。</w:t>
      </w:r>
    </w:p>
    <w:p w14:paraId="1B016B96">
      <w:pPr>
        <w:pStyle w:val="208"/>
        <w:jc w:val="left"/>
        <w:rPr>
          <w:rFonts w:ascii="宋体" w:hAnsi="宋体" w:cs="宋体"/>
          <w:kern w:val="0"/>
          <w:szCs w:val="21"/>
        </w:rPr>
      </w:pPr>
      <w:r>
        <w:rPr>
          <w:rFonts w:hint="eastAsia" w:ascii="宋体" w:hAnsi="宋体" w:cs="宋体"/>
          <w:kern w:val="0"/>
          <w:szCs w:val="21"/>
        </w:rPr>
        <w:t>3）检查房间内设施是否能正常使用，需要维修及时通知工程部。</w:t>
      </w:r>
    </w:p>
    <w:p w14:paraId="79FB81B6">
      <w:pPr>
        <w:pStyle w:val="208"/>
        <w:jc w:val="left"/>
        <w:rPr>
          <w:rFonts w:ascii="宋体" w:hAnsi="宋体" w:cs="宋体"/>
          <w:kern w:val="0"/>
          <w:szCs w:val="21"/>
        </w:rPr>
      </w:pPr>
      <w:r>
        <w:rPr>
          <w:rFonts w:hint="eastAsia" w:ascii="宋体" w:hAnsi="宋体" w:cs="宋体"/>
          <w:kern w:val="0"/>
          <w:szCs w:val="21"/>
        </w:rPr>
        <w:t>（4）负责教师公寓日常卫生、秩序及设施设备的管理，保持良好的环境卫生、休息秩序等生活环境。</w:t>
      </w:r>
    </w:p>
    <w:p w14:paraId="31748F5C">
      <w:pPr>
        <w:pStyle w:val="208"/>
        <w:jc w:val="left"/>
        <w:rPr>
          <w:rFonts w:ascii="宋体" w:hAnsi="宋体" w:cs="宋体"/>
          <w:kern w:val="0"/>
          <w:szCs w:val="21"/>
        </w:rPr>
      </w:pPr>
      <w:r>
        <w:rPr>
          <w:rFonts w:hint="eastAsia" w:ascii="宋体" w:hAnsi="宋体" w:cs="宋体"/>
          <w:kern w:val="0"/>
          <w:szCs w:val="21"/>
        </w:rPr>
        <w:t>（5）严格执行学校公寓管理规定，具体实施教职工入住退房、人员出入、大件物品出入登记、寒暑假留宿管理、维护公共秩序、物品暂存、报修预约、失物招领等服务；</w:t>
      </w:r>
    </w:p>
    <w:p w14:paraId="5EE0F925">
      <w:pPr>
        <w:pStyle w:val="208"/>
        <w:jc w:val="left"/>
        <w:rPr>
          <w:rFonts w:ascii="宋体" w:hAnsi="宋体" w:cs="宋体"/>
          <w:kern w:val="0"/>
          <w:szCs w:val="21"/>
        </w:rPr>
      </w:pPr>
      <w:r>
        <w:rPr>
          <w:rFonts w:hint="eastAsia" w:ascii="宋体" w:hAnsi="宋体" w:cs="宋体"/>
          <w:kern w:val="0"/>
          <w:szCs w:val="21"/>
        </w:rPr>
        <w:t>（6）每月定时抄录水表、电表，包括每个房间水表、电表和总表；按学校规定的收费标准，督促入住教职工按期缴纳电费、水费。</w:t>
      </w:r>
    </w:p>
    <w:p w14:paraId="609CAA91">
      <w:pPr>
        <w:pStyle w:val="208"/>
        <w:jc w:val="left"/>
        <w:rPr>
          <w:rFonts w:ascii="宋体" w:hAnsi="宋体" w:cs="宋体"/>
          <w:kern w:val="0"/>
          <w:szCs w:val="21"/>
        </w:rPr>
      </w:pPr>
      <w:r>
        <w:rPr>
          <w:rFonts w:hint="eastAsia" w:ascii="宋体" w:hAnsi="宋体" w:cs="宋体"/>
          <w:kern w:val="0"/>
          <w:szCs w:val="21"/>
        </w:rPr>
        <w:t>（7）实行24小时值班制度，不得缺岗缺人，监控室岗位由中标单位设置，公寓电子监控设备保证24小时正常运转。</w:t>
      </w:r>
    </w:p>
    <w:p w14:paraId="7960A9BC">
      <w:pPr>
        <w:pStyle w:val="208"/>
        <w:jc w:val="left"/>
        <w:rPr>
          <w:rFonts w:ascii="宋体" w:hAnsi="宋体" w:cs="宋体"/>
          <w:kern w:val="0"/>
          <w:szCs w:val="21"/>
        </w:rPr>
      </w:pPr>
      <w:r>
        <w:rPr>
          <w:rFonts w:hint="eastAsia" w:ascii="宋体" w:hAnsi="宋体" w:cs="宋体"/>
          <w:kern w:val="0"/>
          <w:szCs w:val="21"/>
        </w:rPr>
        <w:t>（8）按照采购单位的相关要求，每月定期和不定期的安全检查，做好安全宣传工作；接受采购单位保卫部门的指导和监督，制订公寓安全安全管理方案和突发事件应急预案，协助保卫部门做好公寓的防火、防盗的安全保卫工作；配合保卫部门和公安机关，协助调查公寓内发生的各类案件及意外事故；由于因管理方面存在的问题和疏漏引起的火灾、治安案件以及其它人身安全事故，应承担相关的责任。</w:t>
      </w:r>
    </w:p>
    <w:p w14:paraId="0923E39E">
      <w:pPr>
        <w:pStyle w:val="208"/>
        <w:jc w:val="left"/>
        <w:rPr>
          <w:rFonts w:ascii="宋体" w:hAnsi="宋体" w:cs="宋体"/>
          <w:kern w:val="0"/>
          <w:szCs w:val="21"/>
        </w:rPr>
      </w:pPr>
      <w:r>
        <w:rPr>
          <w:rFonts w:hint="eastAsia" w:ascii="宋体" w:hAnsi="宋体" w:cs="宋体"/>
          <w:kern w:val="0"/>
          <w:szCs w:val="21"/>
        </w:rPr>
        <w:t>（9）提供宿舍上门维修服务。中标单位应设立校内维修专线，提供24小时上门维修服务，报修分为：24小时电话报修、16小时内填单报修和定时网上报修三种方式。要求保证维修的响应速度（一般要求在4小时内上门维修）及维修质量，并做好维修回访工作。</w:t>
      </w:r>
    </w:p>
    <w:p w14:paraId="572BDA32">
      <w:pPr>
        <w:pStyle w:val="208"/>
        <w:jc w:val="left"/>
        <w:rPr>
          <w:rFonts w:ascii="宋体" w:hAnsi="宋体" w:cs="宋体"/>
          <w:kern w:val="0"/>
          <w:szCs w:val="21"/>
        </w:rPr>
      </w:pPr>
      <w:r>
        <w:rPr>
          <w:rFonts w:hint="eastAsia" w:ascii="宋体" w:hAnsi="宋体" w:cs="宋体"/>
          <w:kern w:val="0"/>
          <w:szCs w:val="21"/>
        </w:rPr>
        <w:t>（10）中标单位不得擅自提供有偿服务，如有采购单位要求中标人开展的有偿服务项目，须另行签订协议实施。</w:t>
      </w:r>
    </w:p>
    <w:p w14:paraId="42FC8828">
      <w:pPr>
        <w:pStyle w:val="208"/>
        <w:jc w:val="left"/>
        <w:rPr>
          <w:rFonts w:ascii="宋体" w:hAnsi="宋体" w:cs="宋体"/>
          <w:kern w:val="0"/>
          <w:szCs w:val="21"/>
        </w:rPr>
      </w:pPr>
      <w:r>
        <w:rPr>
          <w:rFonts w:hint="eastAsia" w:ascii="宋体" w:hAnsi="宋体" w:cs="宋体"/>
          <w:kern w:val="0"/>
          <w:szCs w:val="21"/>
        </w:rPr>
        <w:t>（11）每天对公共区域进行检查，确保清除消防及安全隐患并作好相关记录，及时清查活动张贴栏、杜绝擅自摆摊。</w:t>
      </w:r>
    </w:p>
    <w:p w14:paraId="340CCDD5">
      <w:pPr>
        <w:pStyle w:val="208"/>
        <w:jc w:val="left"/>
        <w:rPr>
          <w:rFonts w:ascii="宋体" w:hAnsi="宋体" w:cs="宋体"/>
          <w:kern w:val="0"/>
          <w:szCs w:val="21"/>
        </w:rPr>
      </w:pPr>
      <w:r>
        <w:rPr>
          <w:rFonts w:hint="eastAsia" w:ascii="宋体" w:hAnsi="宋体" w:cs="宋体"/>
          <w:kern w:val="0"/>
          <w:szCs w:val="21"/>
        </w:rPr>
        <w:t>（12）每周配合学校对教师公寓进行安全检查。</w:t>
      </w:r>
    </w:p>
    <w:p w14:paraId="44E30C8B">
      <w:pPr>
        <w:pStyle w:val="208"/>
        <w:jc w:val="left"/>
        <w:rPr>
          <w:rFonts w:ascii="宋体" w:hAnsi="宋体" w:cs="宋体"/>
          <w:kern w:val="0"/>
          <w:szCs w:val="21"/>
        </w:rPr>
      </w:pPr>
      <w:r>
        <w:rPr>
          <w:rFonts w:hint="eastAsia" w:ascii="宋体" w:hAnsi="宋体" w:cs="宋体"/>
          <w:kern w:val="0"/>
          <w:szCs w:val="21"/>
        </w:rPr>
        <w:t>（13）突发事件应急处理。发现异常情况，及时向相关主管部门汇报。</w:t>
      </w:r>
    </w:p>
    <w:p w14:paraId="4ABB6E75">
      <w:pPr>
        <w:pStyle w:val="208"/>
        <w:ind w:firstLine="422"/>
        <w:jc w:val="left"/>
        <w:rPr>
          <w:rFonts w:ascii="宋体" w:hAnsi="宋体" w:cs="宋体"/>
          <w:kern w:val="0"/>
          <w:szCs w:val="21"/>
        </w:rPr>
      </w:pPr>
      <w:r>
        <w:rPr>
          <w:rFonts w:hint="eastAsia" w:ascii="宋体" w:hAnsi="宋体" w:cs="宋体"/>
          <w:b/>
          <w:kern w:val="0"/>
          <w:szCs w:val="21"/>
        </w:rPr>
        <w:t>5.</w:t>
      </w:r>
      <w:r>
        <w:rPr>
          <w:rFonts w:hint="eastAsia" w:ascii="宋体" w:hAnsi="宋体" w:cs="宋体"/>
          <w:kern w:val="0"/>
          <w:szCs w:val="21"/>
        </w:rPr>
        <w:t>校园节能减排管理</w:t>
      </w:r>
    </w:p>
    <w:p w14:paraId="0B8946B4">
      <w:pPr>
        <w:pStyle w:val="208"/>
        <w:jc w:val="left"/>
        <w:rPr>
          <w:rFonts w:ascii="宋体" w:hAnsi="宋体" w:cs="宋体"/>
          <w:kern w:val="0"/>
          <w:szCs w:val="21"/>
        </w:rPr>
      </w:pPr>
      <w:r>
        <w:rPr>
          <w:rFonts w:hint="eastAsia" w:ascii="宋体" w:hAnsi="宋体" w:cs="宋体"/>
          <w:kern w:val="0"/>
          <w:szCs w:val="21"/>
        </w:rPr>
        <w:t>（1）配合学校做好节能减排工作，节能减排达到国家、省、市及学校的基本节能要求。</w:t>
      </w:r>
    </w:p>
    <w:p w14:paraId="102E936B">
      <w:pPr>
        <w:pStyle w:val="208"/>
        <w:jc w:val="left"/>
        <w:rPr>
          <w:rFonts w:ascii="宋体" w:hAnsi="宋体" w:cs="宋体"/>
          <w:kern w:val="0"/>
          <w:szCs w:val="21"/>
        </w:rPr>
      </w:pPr>
      <w:r>
        <w:rPr>
          <w:rFonts w:hint="eastAsia" w:ascii="宋体" w:hAnsi="宋体" w:cs="宋体"/>
          <w:kern w:val="0"/>
          <w:szCs w:val="21"/>
        </w:rPr>
        <w:t>（2）制定、落实巡查制度，杜绝跑、冒、滴、漏和长明灯、长流水,不关电脑、多媒体、空调等用电设备及空调温度低于26度等现象。禁止使用自来水进行大面积的绿化浇灌作业。</w:t>
      </w:r>
    </w:p>
    <w:p w14:paraId="7A3FE6B9">
      <w:pPr>
        <w:pStyle w:val="208"/>
        <w:jc w:val="left"/>
        <w:rPr>
          <w:rFonts w:ascii="宋体" w:hAnsi="宋体" w:cs="宋体"/>
          <w:kern w:val="0"/>
          <w:szCs w:val="21"/>
        </w:rPr>
      </w:pPr>
      <w:r>
        <w:rPr>
          <w:rFonts w:hint="eastAsia" w:ascii="宋体" w:hAnsi="宋体" w:cs="宋体"/>
          <w:kern w:val="0"/>
          <w:szCs w:val="21"/>
        </w:rPr>
        <w:t>（3）负责全校的水电计量抄录及能效分析统计工作。负责社会化外包服务单位的用水用电计量抄录、费用结算及日常管理工作，杜绝私拉乱接现象的发生。</w:t>
      </w:r>
    </w:p>
    <w:p w14:paraId="3C8A7B7B">
      <w:pPr>
        <w:pStyle w:val="208"/>
        <w:jc w:val="left"/>
        <w:rPr>
          <w:rFonts w:ascii="宋体" w:hAnsi="宋体" w:cs="宋体"/>
          <w:kern w:val="0"/>
          <w:szCs w:val="21"/>
        </w:rPr>
      </w:pPr>
      <w:r>
        <w:rPr>
          <w:rFonts w:hint="eastAsia" w:ascii="宋体" w:hAnsi="宋体" w:cs="宋体"/>
          <w:kern w:val="0"/>
          <w:szCs w:val="21"/>
        </w:rPr>
        <w:t>（4）配合采购单位各种节能改造项目的实施工作。</w:t>
      </w:r>
    </w:p>
    <w:p w14:paraId="7CCBC469">
      <w:pPr>
        <w:pStyle w:val="208"/>
        <w:jc w:val="left"/>
        <w:rPr>
          <w:rFonts w:ascii="宋体" w:hAnsi="宋体" w:cs="宋体"/>
          <w:kern w:val="0"/>
          <w:szCs w:val="21"/>
        </w:rPr>
      </w:pPr>
      <w:r>
        <w:rPr>
          <w:rFonts w:hint="eastAsia" w:ascii="宋体" w:hAnsi="宋体" w:cs="宋体"/>
          <w:kern w:val="0"/>
          <w:szCs w:val="21"/>
        </w:rPr>
        <w:t>（5）根据业务需要，承担或协助采购单位与市、区供电局、水务集团、市节水办等部门的业务联系，办理水电设备的启用或停用的报批手续。</w:t>
      </w:r>
    </w:p>
    <w:p w14:paraId="41DFA862">
      <w:pPr>
        <w:pStyle w:val="208"/>
        <w:jc w:val="left"/>
        <w:rPr>
          <w:rFonts w:ascii="宋体" w:hAnsi="宋体" w:cs="宋体"/>
          <w:kern w:val="0"/>
          <w:szCs w:val="21"/>
        </w:rPr>
      </w:pPr>
      <w:r>
        <w:rPr>
          <w:rFonts w:hint="eastAsia" w:ascii="宋体" w:hAnsi="宋体" w:cs="宋体"/>
          <w:kern w:val="0"/>
          <w:szCs w:val="21"/>
        </w:rPr>
        <w:t>（6）落实国家、省、市及学校的其它节能措施。</w:t>
      </w:r>
    </w:p>
    <w:p w14:paraId="6AC722B8">
      <w:pPr>
        <w:pStyle w:val="208"/>
        <w:ind w:firstLine="422"/>
        <w:jc w:val="left"/>
        <w:rPr>
          <w:rFonts w:ascii="宋体" w:hAnsi="宋体" w:cs="宋体"/>
          <w:b/>
          <w:kern w:val="0"/>
          <w:szCs w:val="21"/>
        </w:rPr>
      </w:pPr>
      <w:r>
        <w:rPr>
          <w:rFonts w:hint="eastAsia" w:ascii="宋体" w:hAnsi="宋体" w:cs="宋体"/>
          <w:b/>
          <w:kern w:val="0"/>
          <w:szCs w:val="21"/>
        </w:rPr>
        <w:t>6.</w:t>
      </w:r>
      <w:r>
        <w:rPr>
          <w:rFonts w:hint="eastAsia" w:ascii="宋体" w:hAnsi="宋体" w:cs="宋体"/>
          <w:kern w:val="0"/>
          <w:szCs w:val="21"/>
        </w:rPr>
        <w:t>学生接送服务</w:t>
      </w:r>
    </w:p>
    <w:p w14:paraId="1E52D5F2">
      <w:pPr>
        <w:pStyle w:val="208"/>
        <w:jc w:val="left"/>
        <w:rPr>
          <w:rFonts w:ascii="宋体" w:hAnsi="宋体" w:cs="宋体"/>
          <w:kern w:val="0"/>
          <w:szCs w:val="21"/>
        </w:rPr>
      </w:pPr>
      <w:r>
        <w:rPr>
          <w:rFonts w:hint="eastAsia" w:ascii="宋体" w:hAnsi="宋体" w:cs="宋体"/>
          <w:kern w:val="0"/>
          <w:szCs w:val="21"/>
        </w:rPr>
        <w:t>（1）为学校12000名学生免费提供12台车的校内接送服务。根据采购人需要，中标人需在学校上课期间的7：30-21：30，提供免费接送服务；</w:t>
      </w:r>
    </w:p>
    <w:p w14:paraId="142BF4A4">
      <w:pPr>
        <w:pStyle w:val="208"/>
        <w:jc w:val="left"/>
        <w:rPr>
          <w:rFonts w:ascii="宋体" w:hAnsi="宋体" w:cs="宋体"/>
          <w:kern w:val="0"/>
          <w:szCs w:val="21"/>
        </w:rPr>
      </w:pPr>
      <w:r>
        <w:rPr>
          <w:rFonts w:hint="eastAsia" w:ascii="宋体" w:hAnsi="宋体" w:cs="宋体"/>
          <w:kern w:val="0"/>
          <w:szCs w:val="21"/>
        </w:rPr>
        <w:t>（2）根据学校要求的路线、时间表，提供免费接送服务；</w:t>
      </w:r>
    </w:p>
    <w:p w14:paraId="4A79E1F9">
      <w:pPr>
        <w:pStyle w:val="208"/>
        <w:jc w:val="left"/>
        <w:rPr>
          <w:rFonts w:ascii="宋体" w:hAnsi="宋体" w:cs="宋体"/>
          <w:kern w:val="0"/>
          <w:szCs w:val="21"/>
        </w:rPr>
      </w:pPr>
      <w:r>
        <w:rPr>
          <w:rFonts w:hint="eastAsia" w:ascii="宋体" w:hAnsi="宋体" w:cs="宋体"/>
          <w:kern w:val="0"/>
          <w:szCs w:val="21"/>
        </w:rPr>
        <w:t>（2）学生开学报到、寒暑假节假日放假及返校阶段时，专门负责校内学生及行李的运送工作；</w:t>
      </w:r>
    </w:p>
    <w:p w14:paraId="12F1E462">
      <w:pPr>
        <w:pStyle w:val="208"/>
        <w:jc w:val="left"/>
        <w:rPr>
          <w:rFonts w:ascii="宋体" w:hAnsi="宋体" w:cs="宋体"/>
          <w:kern w:val="0"/>
          <w:szCs w:val="21"/>
        </w:rPr>
      </w:pPr>
      <w:r>
        <w:rPr>
          <w:rFonts w:hint="eastAsia" w:ascii="宋体" w:hAnsi="宋体" w:cs="宋体"/>
          <w:kern w:val="0"/>
          <w:szCs w:val="21"/>
        </w:rPr>
        <w:t>（3）负责晚上学生就医及其他晚上24小时应急值班工作；</w:t>
      </w:r>
    </w:p>
    <w:p w14:paraId="29E35073">
      <w:pPr>
        <w:pStyle w:val="208"/>
        <w:jc w:val="left"/>
        <w:rPr>
          <w:rFonts w:ascii="宋体" w:hAnsi="宋体" w:cs="宋体"/>
          <w:kern w:val="0"/>
          <w:szCs w:val="21"/>
        </w:rPr>
      </w:pPr>
      <w:r>
        <w:rPr>
          <w:rFonts w:hint="eastAsia" w:ascii="宋体" w:hAnsi="宋体" w:cs="宋体"/>
          <w:kern w:val="0"/>
          <w:szCs w:val="21"/>
        </w:rPr>
        <w:t>（4）负责校内参观用车服务（不少于2台车）；</w:t>
      </w:r>
    </w:p>
    <w:p w14:paraId="368A71F9">
      <w:pPr>
        <w:pStyle w:val="208"/>
        <w:jc w:val="left"/>
        <w:rPr>
          <w:rFonts w:ascii="宋体" w:hAnsi="宋体" w:cs="宋体"/>
          <w:kern w:val="0"/>
          <w:szCs w:val="21"/>
        </w:rPr>
      </w:pPr>
      <w:r>
        <w:rPr>
          <w:rFonts w:hint="eastAsia" w:ascii="宋体" w:hAnsi="宋体" w:cs="宋体"/>
          <w:kern w:val="0"/>
          <w:szCs w:val="21"/>
        </w:rPr>
        <w:t>（5）安全要求：1）必须购买保险，每个座位赔付金额不低于50万；2）驾驶操作员必须经过专业正规培训，并取得相应证件。</w:t>
      </w:r>
    </w:p>
    <w:p w14:paraId="118B48C8">
      <w:pPr>
        <w:pStyle w:val="208"/>
        <w:jc w:val="left"/>
        <w:rPr>
          <w:rFonts w:ascii="宋体" w:hAnsi="宋体" w:cs="宋体"/>
          <w:kern w:val="0"/>
          <w:szCs w:val="21"/>
        </w:rPr>
      </w:pPr>
      <w:r>
        <w:rPr>
          <w:rFonts w:hint="eastAsia" w:ascii="宋体" w:hAnsi="宋体" w:cs="宋体"/>
          <w:kern w:val="0"/>
          <w:szCs w:val="21"/>
        </w:rPr>
        <w:t>（6）电瓶车运行要符合特种设备使用安全管理规定，操作必须遵守校内安全管理规则，如违反，将提交有关部门依法依规依条例处理。</w:t>
      </w:r>
    </w:p>
    <w:p w14:paraId="15F96ECD">
      <w:pPr>
        <w:pStyle w:val="208"/>
        <w:ind w:firstLine="422"/>
        <w:jc w:val="left"/>
        <w:rPr>
          <w:rFonts w:ascii="宋体" w:hAnsi="宋体" w:cs="宋体"/>
          <w:b/>
          <w:kern w:val="0"/>
          <w:szCs w:val="21"/>
        </w:rPr>
      </w:pPr>
      <w:r>
        <w:rPr>
          <w:rFonts w:hint="eastAsia" w:ascii="宋体" w:hAnsi="宋体" w:cs="宋体"/>
          <w:b/>
          <w:kern w:val="0"/>
          <w:szCs w:val="21"/>
        </w:rPr>
        <w:t>7.</w:t>
      </w:r>
      <w:r>
        <w:rPr>
          <w:rFonts w:hint="eastAsia" w:ascii="宋体" w:hAnsi="宋体" w:cs="宋体"/>
          <w:kern w:val="0"/>
          <w:szCs w:val="21"/>
        </w:rPr>
        <w:t>其他事务</w:t>
      </w:r>
    </w:p>
    <w:p w14:paraId="551E242A">
      <w:pPr>
        <w:pStyle w:val="208"/>
        <w:jc w:val="left"/>
        <w:rPr>
          <w:rFonts w:ascii="宋体" w:hAnsi="宋体" w:cs="宋体"/>
          <w:kern w:val="0"/>
          <w:szCs w:val="21"/>
        </w:rPr>
      </w:pPr>
      <w:r>
        <w:rPr>
          <w:rFonts w:hint="eastAsia" w:ascii="宋体" w:hAnsi="宋体" w:cs="宋体"/>
          <w:kern w:val="0"/>
          <w:szCs w:val="21"/>
        </w:rPr>
        <w:t>（1）学校各类考试、教学活动、文体等活动的相关服务（组织相关人员负责活动安全保卫、场地布置、环境卫生等）；</w:t>
      </w:r>
    </w:p>
    <w:p w14:paraId="2E61B2C8">
      <w:pPr>
        <w:pStyle w:val="208"/>
        <w:jc w:val="left"/>
        <w:rPr>
          <w:rFonts w:ascii="宋体" w:hAnsi="宋体" w:cs="宋体"/>
          <w:kern w:val="0"/>
          <w:szCs w:val="21"/>
        </w:rPr>
      </w:pPr>
      <w:r>
        <w:rPr>
          <w:rFonts w:hint="eastAsia" w:ascii="宋体" w:hAnsi="宋体" w:cs="宋体"/>
          <w:kern w:val="0"/>
          <w:szCs w:val="21"/>
        </w:rPr>
        <w:t>（2）校级接待、参观等活动的全面配合；</w:t>
      </w:r>
    </w:p>
    <w:p w14:paraId="28507C69">
      <w:pPr>
        <w:pStyle w:val="208"/>
        <w:jc w:val="left"/>
        <w:rPr>
          <w:rFonts w:ascii="宋体" w:hAnsi="宋体" w:cs="宋体"/>
          <w:kern w:val="0"/>
          <w:szCs w:val="21"/>
        </w:rPr>
      </w:pPr>
      <w:r>
        <w:rPr>
          <w:rFonts w:hint="eastAsia" w:ascii="宋体" w:hAnsi="宋体" w:cs="宋体"/>
          <w:kern w:val="0"/>
          <w:szCs w:val="21"/>
        </w:rPr>
        <w:t>（3）学校电话、卡座、电源、网路等设备零星的移迁、安装、布线工作；</w:t>
      </w:r>
    </w:p>
    <w:p w14:paraId="4BF87767">
      <w:pPr>
        <w:pStyle w:val="208"/>
        <w:jc w:val="left"/>
        <w:rPr>
          <w:rFonts w:ascii="宋体" w:hAnsi="宋体" w:cs="宋体"/>
          <w:kern w:val="0"/>
          <w:szCs w:val="21"/>
        </w:rPr>
      </w:pPr>
      <w:r>
        <w:rPr>
          <w:rFonts w:hint="eastAsia" w:ascii="宋体" w:hAnsi="宋体" w:cs="宋体"/>
          <w:kern w:val="0"/>
          <w:szCs w:val="21"/>
        </w:rPr>
        <w:t>（4）校级大型活动要求提供搭台、摆放、搬运、场地秩序维护等必要的辅助服务；</w:t>
      </w:r>
    </w:p>
    <w:p w14:paraId="61AEBDE0">
      <w:pPr>
        <w:pStyle w:val="208"/>
        <w:jc w:val="left"/>
        <w:rPr>
          <w:rFonts w:ascii="宋体" w:hAnsi="宋体" w:cs="宋体"/>
          <w:kern w:val="0"/>
          <w:szCs w:val="21"/>
        </w:rPr>
      </w:pPr>
      <w:r>
        <w:rPr>
          <w:rFonts w:hint="eastAsia" w:ascii="宋体" w:hAnsi="宋体" w:cs="宋体"/>
          <w:kern w:val="0"/>
          <w:szCs w:val="21"/>
        </w:rPr>
        <w:t>（5）负责学校报修平台维护，收集校园故障报修信息，跟进、反馈维修落实情况；</w:t>
      </w:r>
    </w:p>
    <w:p w14:paraId="176C2E77">
      <w:pPr>
        <w:pStyle w:val="208"/>
        <w:jc w:val="left"/>
        <w:rPr>
          <w:rFonts w:ascii="宋体" w:hAnsi="宋体" w:cs="宋体"/>
          <w:kern w:val="0"/>
          <w:szCs w:val="21"/>
        </w:rPr>
      </w:pPr>
      <w:r>
        <w:rPr>
          <w:rFonts w:hint="eastAsia" w:ascii="宋体" w:hAnsi="宋体" w:cs="宋体"/>
          <w:kern w:val="0"/>
          <w:szCs w:val="21"/>
        </w:rPr>
        <w:t>（6）学校邮件、报刊收发，快递业务协调；</w:t>
      </w:r>
    </w:p>
    <w:p w14:paraId="4C489A73">
      <w:pPr>
        <w:pStyle w:val="208"/>
        <w:jc w:val="left"/>
        <w:rPr>
          <w:rFonts w:ascii="宋体" w:hAnsi="宋体" w:cs="宋体"/>
          <w:kern w:val="0"/>
          <w:szCs w:val="21"/>
        </w:rPr>
      </w:pPr>
      <w:r>
        <w:rPr>
          <w:rFonts w:hint="eastAsia" w:ascii="宋体" w:hAnsi="宋体" w:cs="宋体"/>
          <w:kern w:val="0"/>
          <w:szCs w:val="21"/>
        </w:rPr>
        <w:t>（7）在学校其他的突发事情，应急事件和临时性工作时接受学校指挥和安排。</w:t>
      </w:r>
    </w:p>
    <w:p w14:paraId="443E25BB">
      <w:pPr>
        <w:pStyle w:val="208"/>
        <w:jc w:val="left"/>
        <w:rPr>
          <w:rFonts w:ascii="宋体" w:hAnsi="宋体" w:cs="宋体"/>
          <w:kern w:val="0"/>
          <w:szCs w:val="21"/>
        </w:rPr>
      </w:pPr>
    </w:p>
    <w:p w14:paraId="56C3C962">
      <w:pPr>
        <w:pStyle w:val="3"/>
        <w:spacing w:before="0" w:after="0"/>
        <w:ind w:firstLine="422" w:firstLineChars="200"/>
        <w:rPr>
          <w:sz w:val="21"/>
          <w:szCs w:val="21"/>
        </w:rPr>
      </w:pPr>
      <w:r>
        <w:rPr>
          <w:rFonts w:hint="eastAsia"/>
          <w:sz w:val="21"/>
          <w:szCs w:val="21"/>
        </w:rPr>
        <w:t>（二）设施设备管理服务</w:t>
      </w:r>
    </w:p>
    <w:p w14:paraId="6DCF21F9">
      <w:pPr>
        <w:pStyle w:val="208"/>
        <w:ind w:firstLine="422"/>
        <w:jc w:val="left"/>
        <w:rPr>
          <w:rFonts w:ascii="宋体" w:hAnsi="宋体" w:cs="宋体"/>
          <w:b/>
          <w:bCs/>
          <w:kern w:val="0"/>
          <w:szCs w:val="21"/>
        </w:rPr>
      </w:pPr>
      <w:bookmarkStart w:id="36" w:name="_Hlk514615023"/>
      <w:r>
        <w:rPr>
          <w:rFonts w:hint="eastAsia" w:ascii="宋体" w:hAnsi="宋体" w:cs="宋体"/>
          <w:b/>
          <w:bCs/>
          <w:kern w:val="0"/>
          <w:szCs w:val="21"/>
        </w:rPr>
        <w:t>1.公用设施设备管理及维护总体要求</w:t>
      </w:r>
    </w:p>
    <w:p w14:paraId="001692C8">
      <w:pPr>
        <w:pStyle w:val="208"/>
        <w:jc w:val="left"/>
        <w:rPr>
          <w:rFonts w:ascii="宋体" w:hAnsi="宋体" w:cs="宋体"/>
          <w:kern w:val="0"/>
          <w:szCs w:val="21"/>
        </w:rPr>
      </w:pPr>
      <w:r>
        <w:rPr>
          <w:rFonts w:hint="eastAsia" w:ascii="宋体" w:hAnsi="宋体" w:cs="宋体"/>
          <w:kern w:val="0"/>
          <w:szCs w:val="21"/>
        </w:rPr>
        <w:t>（1）建立完善的质量保证体系，做好各类设施设备的年度维护计划，制订切实可行的运行管理、维护保养（有国家规范的必须达到相关保养标准）、维修的实施方案和各种措施，并落实执行，确保设备安全正常运行。对于公用的大型设备，未按相关设备设施维修标准实施维修操作或技术力量不达标，导致维修维护不到位或设备设施人为损坏，造成较大经济损失的，相关责任由中标方承担；</w:t>
      </w:r>
    </w:p>
    <w:p w14:paraId="266AC298">
      <w:pPr>
        <w:pStyle w:val="208"/>
        <w:jc w:val="left"/>
        <w:rPr>
          <w:rFonts w:ascii="宋体" w:hAnsi="宋体" w:cs="宋体"/>
          <w:kern w:val="0"/>
          <w:szCs w:val="21"/>
        </w:rPr>
      </w:pPr>
      <w:r>
        <w:rPr>
          <w:rFonts w:hint="eastAsia" w:ascii="宋体" w:hAnsi="宋体" w:cs="宋体"/>
          <w:kern w:val="0"/>
          <w:szCs w:val="21"/>
        </w:rPr>
        <w:t>（2）制定设备安全运行管理、岗位责任制、每天巡视检查、操作规程及监督检查制度，建立岗位责任制，做到各类设施设备配有专人管理，责任人明确，并严格执行。做到科学管理、正确使用，精心维护，备齐配件，及时维修。各种设备管理、操作、维修保养须严格按国家标准操作运行，各类设施设备的完好率达到98%以上，急修及时率达到100%；</w:t>
      </w:r>
    </w:p>
    <w:p w14:paraId="2EFC87A8">
      <w:pPr>
        <w:pStyle w:val="208"/>
        <w:jc w:val="left"/>
        <w:rPr>
          <w:rFonts w:ascii="宋体" w:hAnsi="宋体" w:cs="宋体"/>
          <w:kern w:val="0"/>
          <w:szCs w:val="21"/>
        </w:rPr>
      </w:pPr>
      <w:r>
        <w:rPr>
          <w:rFonts w:hint="eastAsia" w:ascii="宋体" w:hAnsi="宋体" w:cs="宋体"/>
          <w:kern w:val="0"/>
          <w:szCs w:val="21"/>
        </w:rPr>
        <w:t>（3）实行值班制度，保证设备良好，运行正常，无重大管理责任事故。水泵房、配电房、中央空调系统、太阳能热水系统、中水处理系统必须安排运营人员24小时值班；</w:t>
      </w:r>
    </w:p>
    <w:p w14:paraId="620391BF">
      <w:pPr>
        <w:pStyle w:val="208"/>
        <w:jc w:val="left"/>
        <w:rPr>
          <w:rFonts w:ascii="宋体" w:hAnsi="宋体" w:cs="宋体"/>
          <w:kern w:val="0"/>
          <w:szCs w:val="21"/>
        </w:rPr>
      </w:pPr>
      <w:r>
        <w:rPr>
          <w:rFonts w:hint="eastAsia" w:ascii="宋体" w:hAnsi="宋体" w:cs="宋体"/>
          <w:kern w:val="0"/>
          <w:szCs w:val="21"/>
        </w:rPr>
        <w:t>（4）设备及机房环境整洁、通风，无杂物、灰尘，无跑、冒、滴、漏和鼠虫害现象；</w:t>
      </w:r>
    </w:p>
    <w:p w14:paraId="09477A94">
      <w:pPr>
        <w:pStyle w:val="208"/>
        <w:jc w:val="left"/>
        <w:rPr>
          <w:rFonts w:ascii="宋体" w:hAnsi="宋体" w:cs="宋体"/>
          <w:kern w:val="0"/>
          <w:szCs w:val="21"/>
        </w:rPr>
      </w:pPr>
      <w:r>
        <w:rPr>
          <w:rFonts w:hint="eastAsia" w:ascii="宋体" w:hAnsi="宋体" w:cs="宋体"/>
          <w:kern w:val="0"/>
          <w:szCs w:val="21"/>
        </w:rPr>
        <w:t>（5）所需各种专业技术人员配备齐全、维修和操作人员持证上岗，有解决各类常见小型故障和事件的能力；</w:t>
      </w:r>
    </w:p>
    <w:p w14:paraId="44DB1881">
      <w:pPr>
        <w:pStyle w:val="208"/>
        <w:jc w:val="left"/>
        <w:rPr>
          <w:rFonts w:ascii="宋体" w:hAnsi="宋体" w:cs="宋体"/>
          <w:kern w:val="0"/>
          <w:szCs w:val="21"/>
        </w:rPr>
      </w:pPr>
      <w:r>
        <w:rPr>
          <w:rFonts w:hint="eastAsia" w:ascii="宋体" w:hAnsi="宋体" w:cs="宋体"/>
          <w:kern w:val="0"/>
          <w:szCs w:val="21"/>
        </w:rPr>
        <w:t>（6）各类设施设备的标识齐全、规范，对容易危及人身安全的设施设备有明显警示标识和防范措施，对可能发生的设备故障有应急预案；</w:t>
      </w:r>
    </w:p>
    <w:p w14:paraId="3D174C68">
      <w:pPr>
        <w:pStyle w:val="208"/>
        <w:jc w:val="left"/>
        <w:rPr>
          <w:rFonts w:ascii="宋体" w:hAnsi="宋体" w:cs="宋体"/>
          <w:kern w:val="0"/>
          <w:szCs w:val="21"/>
        </w:rPr>
      </w:pPr>
      <w:r>
        <w:rPr>
          <w:rFonts w:hint="eastAsia" w:ascii="宋体" w:hAnsi="宋体" w:cs="宋体"/>
          <w:kern w:val="0"/>
          <w:szCs w:val="21"/>
        </w:rPr>
        <w:t>（7）建立设备台帐和档案，项目齐全，目录清晰，设备图纸档案、技术资料齐全，管理完善，可随时查阅；</w:t>
      </w:r>
    </w:p>
    <w:p w14:paraId="297D1E39">
      <w:pPr>
        <w:pStyle w:val="208"/>
        <w:jc w:val="left"/>
        <w:rPr>
          <w:rFonts w:ascii="宋体" w:hAnsi="宋体" w:cs="宋体"/>
          <w:kern w:val="0"/>
          <w:szCs w:val="21"/>
        </w:rPr>
      </w:pPr>
      <w:r>
        <w:rPr>
          <w:rFonts w:hint="eastAsia" w:ascii="宋体" w:hAnsi="宋体" w:cs="宋体"/>
          <w:kern w:val="0"/>
          <w:szCs w:val="21"/>
        </w:rPr>
        <w:t>（8）辅助工具配备：登高车1台，应急潜水泵（自备柴油发电，功率不少于2Kw）1台，购置维护费由物业公司承担；</w:t>
      </w:r>
    </w:p>
    <w:p w14:paraId="37039881">
      <w:pPr>
        <w:pStyle w:val="208"/>
        <w:jc w:val="left"/>
        <w:rPr>
          <w:rFonts w:ascii="宋体" w:hAnsi="宋体" w:cs="宋体"/>
          <w:kern w:val="0"/>
          <w:szCs w:val="21"/>
        </w:rPr>
      </w:pPr>
      <w:r>
        <w:rPr>
          <w:rFonts w:hint="eastAsia" w:ascii="宋体" w:hAnsi="宋体" w:cs="宋体"/>
          <w:kern w:val="0"/>
          <w:szCs w:val="21"/>
        </w:rPr>
        <w:t>（9）维修人员实行每天8小时每周6天工作制，周末及法定假日加强值守。</w:t>
      </w:r>
    </w:p>
    <w:p w14:paraId="7D0EBC49">
      <w:pPr>
        <w:pStyle w:val="208"/>
        <w:ind w:firstLine="422"/>
        <w:jc w:val="left"/>
        <w:rPr>
          <w:rFonts w:ascii="宋体" w:hAnsi="宋体" w:cs="宋体"/>
          <w:b/>
          <w:bCs/>
          <w:kern w:val="0"/>
          <w:szCs w:val="21"/>
        </w:rPr>
      </w:pPr>
      <w:r>
        <w:rPr>
          <w:rFonts w:hint="eastAsia" w:ascii="宋体" w:hAnsi="宋体" w:cs="宋体"/>
          <w:b/>
          <w:bCs/>
          <w:kern w:val="0"/>
          <w:szCs w:val="21"/>
        </w:rPr>
        <w:t>2.管理及服务内容</w:t>
      </w:r>
    </w:p>
    <w:p w14:paraId="2E4D1867">
      <w:pPr>
        <w:pStyle w:val="208"/>
        <w:ind w:firstLine="422"/>
        <w:jc w:val="left"/>
        <w:rPr>
          <w:rFonts w:ascii="宋体" w:hAnsi="宋体" w:cs="宋体"/>
          <w:kern w:val="0"/>
          <w:szCs w:val="21"/>
        </w:rPr>
      </w:pPr>
      <w:r>
        <w:rPr>
          <w:rFonts w:hint="eastAsia" w:ascii="宋体" w:hAnsi="宋体" w:cs="宋体"/>
          <w:b/>
          <w:kern w:val="0"/>
          <w:szCs w:val="21"/>
        </w:rPr>
        <w:t>（1）</w:t>
      </w:r>
      <w:r>
        <w:rPr>
          <w:rFonts w:hint="eastAsia" w:ascii="宋体" w:hAnsi="宋体" w:cs="宋体"/>
          <w:kern w:val="0"/>
          <w:szCs w:val="21"/>
        </w:rPr>
        <w:t>房屋本体及附属公共设施管理</w:t>
      </w:r>
    </w:p>
    <w:p w14:paraId="0912AD70">
      <w:pPr>
        <w:pStyle w:val="208"/>
        <w:jc w:val="left"/>
        <w:rPr>
          <w:rFonts w:ascii="宋体" w:hAnsi="宋体" w:cs="宋体"/>
          <w:kern w:val="0"/>
          <w:szCs w:val="21"/>
        </w:rPr>
      </w:pPr>
      <w:r>
        <w:rPr>
          <w:rFonts w:hint="eastAsia" w:ascii="宋体" w:hAnsi="宋体" w:cs="宋体"/>
          <w:kern w:val="0"/>
          <w:szCs w:val="21"/>
        </w:rPr>
        <w:t>1）招标范围内房屋本体的日常巡查、维护。包括但不仅限于：各建筑物破损梁柱、内外墙体、楼梯、走道、护栏、天顶、地面等零星修补、油漆等；</w:t>
      </w:r>
    </w:p>
    <w:p w14:paraId="1E2863E8">
      <w:pPr>
        <w:pStyle w:val="208"/>
        <w:jc w:val="left"/>
        <w:rPr>
          <w:rFonts w:ascii="宋体" w:hAnsi="宋体" w:cs="宋体"/>
          <w:kern w:val="0"/>
          <w:szCs w:val="21"/>
        </w:rPr>
      </w:pPr>
      <w:r>
        <w:rPr>
          <w:rFonts w:hint="eastAsia" w:ascii="宋体" w:hAnsi="宋体" w:cs="宋体"/>
          <w:kern w:val="0"/>
          <w:szCs w:val="21"/>
        </w:rPr>
        <w:t>2）招标范围内房屋本体附属公用设施日常巡查、维护保养、运行管理、故障维修（含材料，配件、零部件材料与原设施、设备一致）。包括但不仅限于：沟、渠、池、井给排系统、以及排洪沟等管道疏通及化粪池污物抽排；生活水泵、污水泵、雨水泵等及其控制电路、管道维护；电气设施设备安全检测；园林绿化喷淋系统喷头、接水器等设施设备维修，避雷设施检测维护、山体边坡防护等；</w:t>
      </w:r>
    </w:p>
    <w:p w14:paraId="6A052DEF">
      <w:pPr>
        <w:pStyle w:val="208"/>
        <w:jc w:val="left"/>
        <w:rPr>
          <w:rFonts w:ascii="宋体" w:hAnsi="宋体" w:cs="宋体"/>
          <w:kern w:val="0"/>
          <w:szCs w:val="21"/>
        </w:rPr>
      </w:pPr>
      <w:r>
        <w:rPr>
          <w:rFonts w:hint="eastAsia" w:ascii="宋体" w:hAnsi="宋体" w:cs="宋体"/>
          <w:kern w:val="0"/>
          <w:szCs w:val="21"/>
        </w:rPr>
        <w:t>3）公共区域、办公区、教学区、师生公寓等室内零星维修服务（含材料，包括土建、装饰、门窗五金、水电设施、开水间设施设备等），如对损坏门窗、桌、椅、锁柜、电脑台、办公家具（仍在保修期内除外）等进行维修，对照明灯具、开关插座、电表水表、水阀水龙头及各类软管的维修及其更换，疏通卫生间及下水道等，要求维修合格率100%；</w:t>
      </w:r>
    </w:p>
    <w:p w14:paraId="2CBB933E">
      <w:pPr>
        <w:pStyle w:val="208"/>
        <w:jc w:val="left"/>
        <w:rPr>
          <w:rFonts w:ascii="宋体" w:hAnsi="宋体" w:cs="宋体"/>
          <w:kern w:val="0"/>
          <w:szCs w:val="21"/>
        </w:rPr>
      </w:pPr>
      <w:r>
        <w:rPr>
          <w:rFonts w:hint="eastAsia" w:ascii="宋体" w:hAnsi="宋体" w:cs="宋体"/>
          <w:kern w:val="0"/>
          <w:szCs w:val="21"/>
        </w:rPr>
        <w:t>4）房屋及公共设施、设备在保修期内的维修、保养，由采购人委托物业公司与施工单位或设备供应商联络，并监管其维修、保养服务。保养期满后，由物业公司承担维修、保养及其费用；</w:t>
      </w:r>
    </w:p>
    <w:p w14:paraId="1E0D5D7E">
      <w:pPr>
        <w:pStyle w:val="208"/>
        <w:jc w:val="left"/>
        <w:rPr>
          <w:rFonts w:ascii="宋体" w:hAnsi="宋体" w:cs="宋体"/>
          <w:kern w:val="0"/>
          <w:szCs w:val="21"/>
        </w:rPr>
      </w:pPr>
      <w:r>
        <w:rPr>
          <w:rFonts w:hint="eastAsia" w:ascii="宋体" w:hAnsi="宋体" w:cs="宋体"/>
          <w:kern w:val="0"/>
          <w:szCs w:val="21"/>
        </w:rPr>
        <w:t>5）校园工程施工现场管理工作。外来施工单位施工过程中，对采购人施工现场水电、绿化、路面、墙面等造成破坏的，由物业公司协调督促施工单位恢复原状，并督促施工单位及时清运建筑垃圾。若发现建筑垃圾并找不到责任单位或责任人的，由物业公司负责清运；</w:t>
      </w:r>
    </w:p>
    <w:p w14:paraId="5A414D8F">
      <w:pPr>
        <w:pStyle w:val="208"/>
        <w:jc w:val="left"/>
        <w:rPr>
          <w:rFonts w:ascii="宋体" w:hAnsi="宋体" w:cs="宋体"/>
          <w:kern w:val="0"/>
          <w:szCs w:val="21"/>
        </w:rPr>
      </w:pPr>
      <w:r>
        <w:rPr>
          <w:rFonts w:hint="eastAsia" w:ascii="宋体" w:hAnsi="宋体" w:cs="宋体"/>
          <w:kern w:val="0"/>
          <w:szCs w:val="21"/>
        </w:rPr>
        <w:t>6）根据采购人要求做好有关房屋本体及附属公共设施维修维护和管理的其它服务工作；</w:t>
      </w:r>
    </w:p>
    <w:p w14:paraId="2E0B7F1A">
      <w:pPr>
        <w:pStyle w:val="208"/>
        <w:jc w:val="left"/>
        <w:rPr>
          <w:rFonts w:ascii="宋体" w:hAnsi="宋体" w:cs="宋体"/>
          <w:kern w:val="0"/>
          <w:szCs w:val="21"/>
        </w:rPr>
      </w:pPr>
      <w:r>
        <w:rPr>
          <w:rFonts w:hint="eastAsia" w:ascii="宋体" w:hAnsi="宋体" w:cs="宋体"/>
          <w:kern w:val="0"/>
          <w:szCs w:val="21"/>
        </w:rPr>
        <w:t>7）单次单项维修、维护材料费(不含设施设备更新、改造)小于或等于2500元的由中标人负责维修维护并承担相应费用；单次单项维修、维护材料费大于2500元的由采购人承担相应费用，中标人负责维修维护，由中标人提出维护材料费书面申请，报主管部门核实后，再报学校审批，方可进行施工。墙面、路面、水电、设备等应急抢修项目，可电话报修。费用在2500元以上的项目，由采购人承担维修费用，中标人负责维修维护，按第三方公司项目报价，由采购人支付相关费用。</w:t>
      </w:r>
    </w:p>
    <w:p w14:paraId="498BA77E">
      <w:pPr>
        <w:pStyle w:val="208"/>
        <w:ind w:firstLine="422"/>
        <w:jc w:val="left"/>
        <w:rPr>
          <w:rFonts w:ascii="宋体" w:hAnsi="宋体" w:cs="宋体"/>
          <w:kern w:val="0"/>
          <w:szCs w:val="21"/>
        </w:rPr>
      </w:pPr>
      <w:r>
        <w:rPr>
          <w:rFonts w:hint="eastAsia" w:ascii="宋体" w:hAnsi="宋体" w:cs="宋体"/>
          <w:b/>
          <w:kern w:val="0"/>
          <w:szCs w:val="21"/>
        </w:rPr>
        <w:t>（2）</w:t>
      </w:r>
      <w:r>
        <w:rPr>
          <w:rFonts w:hint="eastAsia" w:ascii="宋体" w:hAnsi="宋体" w:cs="宋体"/>
          <w:kern w:val="0"/>
          <w:szCs w:val="21"/>
        </w:rPr>
        <w:t>给排水系统管理</w:t>
      </w:r>
    </w:p>
    <w:p w14:paraId="0BFDF31A">
      <w:pPr>
        <w:pStyle w:val="208"/>
        <w:jc w:val="left"/>
        <w:rPr>
          <w:rFonts w:ascii="宋体" w:hAnsi="宋体" w:cs="宋体"/>
          <w:kern w:val="0"/>
          <w:szCs w:val="21"/>
        </w:rPr>
      </w:pPr>
      <w:r>
        <w:rPr>
          <w:rFonts w:hint="eastAsia" w:ascii="宋体" w:hAnsi="宋体" w:cs="宋体"/>
          <w:kern w:val="0"/>
          <w:szCs w:val="21"/>
        </w:rPr>
        <w:t>1）建立用水、供水管理制度并予以实施；</w:t>
      </w:r>
    </w:p>
    <w:p w14:paraId="3EC17F1D">
      <w:pPr>
        <w:pStyle w:val="208"/>
        <w:jc w:val="left"/>
        <w:rPr>
          <w:rFonts w:ascii="宋体" w:hAnsi="宋体" w:cs="宋体"/>
          <w:kern w:val="0"/>
          <w:szCs w:val="21"/>
        </w:rPr>
      </w:pPr>
      <w:r>
        <w:rPr>
          <w:rFonts w:hint="eastAsia" w:ascii="宋体" w:hAnsi="宋体" w:cs="宋体"/>
          <w:kern w:val="0"/>
          <w:szCs w:val="21"/>
        </w:rPr>
        <w:t>2）防止跑、冒、滴、漏，对供水系统管路、水泵、水箱、阀门等进行日常维护和定期检修，不发生大面积跑水事故，定期对水泵房进行检查、保养、维修、清洁。水泵房控制柜日常维护由维护责任人负责并记录，运行维护人员实行24小时值班制度，每2小时巡查一次，检查水泵轴承及设备零配件,按照实际使用工况及时更换维修，水管的防腐涂层及管网支架的检修，每年除锈刷漆一次；</w:t>
      </w:r>
    </w:p>
    <w:p w14:paraId="25B794E5">
      <w:pPr>
        <w:pStyle w:val="208"/>
        <w:jc w:val="left"/>
        <w:rPr>
          <w:rFonts w:ascii="宋体" w:hAnsi="宋体" w:cs="宋体"/>
          <w:kern w:val="0"/>
          <w:szCs w:val="21"/>
        </w:rPr>
      </w:pPr>
      <w:r>
        <w:rPr>
          <w:rFonts w:hint="eastAsia" w:ascii="宋体" w:hAnsi="宋体" w:cs="宋体"/>
          <w:kern w:val="0"/>
          <w:szCs w:val="21"/>
        </w:rPr>
        <w:t>3）保持饮用水供水池清洁卫生，须按照深圳市二次供水的有关规定，每半年（开学前15天）对生活水池、水箱定期清洗消毒一次，若遇特殊需要可增加清洗次数。并提供权威的水质检测报告，确保二次供水符合国家饮用水标准（水质检测费用由采购人负责）；负责鹤鸣湖动植物养护及水体、水质监测及维护工作；</w:t>
      </w:r>
    </w:p>
    <w:p w14:paraId="53878CBA">
      <w:pPr>
        <w:pStyle w:val="208"/>
        <w:jc w:val="left"/>
        <w:rPr>
          <w:rFonts w:ascii="宋体" w:hAnsi="宋体" w:cs="宋体"/>
          <w:kern w:val="0"/>
          <w:szCs w:val="21"/>
        </w:rPr>
      </w:pPr>
      <w:r>
        <w:rPr>
          <w:rFonts w:hint="eastAsia" w:ascii="宋体" w:hAnsi="宋体" w:cs="宋体"/>
          <w:kern w:val="0"/>
          <w:szCs w:val="21"/>
        </w:rPr>
        <w:t>4）太阳能热水系统、湖水循环系统、人工湿地、水景系统等须由专业技术人员负责日常维保，确保设备和管道系统状况良好，供水系统能正常发挥功能；</w:t>
      </w:r>
    </w:p>
    <w:p w14:paraId="08470E81">
      <w:pPr>
        <w:pStyle w:val="208"/>
        <w:jc w:val="left"/>
        <w:rPr>
          <w:rFonts w:ascii="宋体" w:hAnsi="宋体" w:cs="宋体"/>
          <w:kern w:val="0"/>
          <w:szCs w:val="21"/>
        </w:rPr>
      </w:pPr>
      <w:r>
        <w:rPr>
          <w:rFonts w:hint="eastAsia" w:ascii="宋体" w:hAnsi="宋体" w:cs="宋体"/>
          <w:kern w:val="0"/>
          <w:szCs w:val="21"/>
        </w:rPr>
        <w:t>5）定期对排水管、沟渠、池、井进行清疏及污物抽排。雨水井需每月打开井盖检查一次。如有堵塞及时清理，需要做好记录以备采购单位主管部门查验。保证排水系统通畅、确保上下水管道完好功能正常；</w:t>
      </w:r>
    </w:p>
    <w:p w14:paraId="7595246D">
      <w:pPr>
        <w:pStyle w:val="208"/>
        <w:jc w:val="left"/>
        <w:rPr>
          <w:rFonts w:ascii="宋体" w:hAnsi="宋体" w:cs="宋体"/>
          <w:kern w:val="0"/>
          <w:szCs w:val="21"/>
        </w:rPr>
      </w:pPr>
      <w:r>
        <w:rPr>
          <w:rFonts w:hint="eastAsia" w:ascii="宋体" w:hAnsi="宋体" w:cs="宋体"/>
          <w:kern w:val="0"/>
          <w:szCs w:val="21"/>
        </w:rPr>
        <w:t>6）日常巡查，及时发现故障隐患，当出现隐患时，维修人员须及时到位抢修，使其功能尽快恢复正常；</w:t>
      </w:r>
    </w:p>
    <w:p w14:paraId="62F6FD51">
      <w:pPr>
        <w:pStyle w:val="208"/>
        <w:jc w:val="left"/>
        <w:rPr>
          <w:rFonts w:ascii="宋体" w:hAnsi="宋体" w:cs="宋体"/>
          <w:kern w:val="0"/>
          <w:szCs w:val="21"/>
        </w:rPr>
      </w:pPr>
      <w:r>
        <w:rPr>
          <w:rFonts w:hint="eastAsia" w:ascii="宋体" w:hAnsi="宋体" w:cs="宋体"/>
          <w:kern w:val="0"/>
          <w:szCs w:val="21"/>
        </w:rPr>
        <w:t>7）上述设施设备正常损耗的零配件及维修材料等费用(不含设施设备更新、改造)，单次单项单价在2500元以下的由中标人承担；单次单项单价超过2500元（含）的由学院承担维修费用，中标人负责维修维护，由中标人提出维护材料费书面申请，报主管部门核实后，再报学校审批，方可进行施工。</w:t>
      </w:r>
    </w:p>
    <w:p w14:paraId="12C4B924">
      <w:pPr>
        <w:pStyle w:val="208"/>
        <w:ind w:firstLine="422"/>
        <w:jc w:val="left"/>
        <w:rPr>
          <w:rFonts w:ascii="宋体" w:hAnsi="宋体" w:cs="宋体"/>
          <w:kern w:val="0"/>
          <w:szCs w:val="21"/>
        </w:rPr>
      </w:pPr>
      <w:r>
        <w:rPr>
          <w:rFonts w:hint="eastAsia" w:ascii="宋体" w:hAnsi="宋体" w:cs="宋体"/>
          <w:b/>
          <w:kern w:val="0"/>
          <w:szCs w:val="21"/>
        </w:rPr>
        <w:t>（3）</w:t>
      </w:r>
      <w:r>
        <w:rPr>
          <w:rFonts w:hint="eastAsia" w:ascii="宋体" w:hAnsi="宋体" w:cs="宋体"/>
          <w:kern w:val="0"/>
          <w:szCs w:val="21"/>
        </w:rPr>
        <w:t>供配电、气系统管理</w:t>
      </w:r>
    </w:p>
    <w:p w14:paraId="20DB6480">
      <w:pPr>
        <w:pStyle w:val="208"/>
        <w:jc w:val="left"/>
        <w:rPr>
          <w:rFonts w:ascii="宋体" w:hAnsi="宋体" w:cs="宋体"/>
          <w:kern w:val="0"/>
          <w:szCs w:val="21"/>
        </w:rPr>
      </w:pPr>
      <w:r>
        <w:rPr>
          <w:rFonts w:hint="eastAsia" w:ascii="宋体" w:hAnsi="宋体" w:cs="宋体"/>
          <w:kern w:val="0"/>
          <w:szCs w:val="21"/>
        </w:rPr>
        <w:t>1）对供电范围的电气设备每天巡视维护和安全检测，所有配电房、电箱及开关必检，其他用电设施设备抽检30%，并出具检测报告，做到安全、合理、节约用电；</w:t>
      </w:r>
    </w:p>
    <w:p w14:paraId="72370A7A">
      <w:pPr>
        <w:pStyle w:val="208"/>
        <w:jc w:val="left"/>
        <w:rPr>
          <w:rFonts w:ascii="宋体" w:hAnsi="宋体" w:cs="宋体"/>
          <w:kern w:val="0"/>
          <w:szCs w:val="21"/>
        </w:rPr>
      </w:pPr>
      <w:r>
        <w:rPr>
          <w:rFonts w:hint="eastAsia" w:ascii="宋体" w:hAnsi="宋体" w:cs="宋体"/>
          <w:kern w:val="0"/>
          <w:szCs w:val="21"/>
        </w:rPr>
        <w:t>2）及时发现和排除故障，当出现故障时，维修人员须10分钟内到位抢修，及时排除故障，尽快恢复正常功能；</w:t>
      </w:r>
    </w:p>
    <w:p w14:paraId="0866FDA3">
      <w:pPr>
        <w:pStyle w:val="208"/>
        <w:jc w:val="left"/>
        <w:rPr>
          <w:rFonts w:ascii="宋体" w:hAnsi="宋体" w:cs="宋体"/>
          <w:kern w:val="0"/>
          <w:szCs w:val="21"/>
        </w:rPr>
      </w:pPr>
      <w:r>
        <w:rPr>
          <w:rFonts w:hint="eastAsia" w:ascii="宋体" w:hAnsi="宋体" w:cs="宋体"/>
          <w:kern w:val="0"/>
          <w:szCs w:val="21"/>
        </w:rPr>
        <w:t>3）加强日常维护检修，对供配电设备的检修，应充分利用不影响学院正常工作的时间段进行。公共使用的照明灯具（包括地下室照明、楼梯、电梯间、室外院墙照明）、线路、开关保证完好，完好率须达到99%或以上，确保用电安全，并管理和维护好避雷设施，校内防雷设施检测每年至少一次，并出具检测报告；</w:t>
      </w:r>
    </w:p>
    <w:p w14:paraId="59621A6F">
      <w:pPr>
        <w:pStyle w:val="208"/>
        <w:jc w:val="left"/>
        <w:rPr>
          <w:rFonts w:ascii="宋体" w:hAnsi="宋体" w:cs="宋体"/>
          <w:kern w:val="0"/>
          <w:szCs w:val="21"/>
        </w:rPr>
      </w:pPr>
      <w:r>
        <w:rPr>
          <w:rFonts w:hint="eastAsia" w:ascii="宋体" w:hAnsi="宋体" w:cs="宋体"/>
          <w:kern w:val="0"/>
          <w:szCs w:val="21"/>
        </w:rPr>
        <w:t>4）配电设备管理、操作、维修保养须严格按国家标准操作运行，需制定临时用电措施并严格遵照执行；</w:t>
      </w:r>
    </w:p>
    <w:p w14:paraId="2FF0EBDA">
      <w:pPr>
        <w:pStyle w:val="208"/>
        <w:jc w:val="left"/>
        <w:rPr>
          <w:rFonts w:ascii="宋体" w:hAnsi="宋体" w:cs="宋体"/>
          <w:kern w:val="0"/>
          <w:szCs w:val="21"/>
        </w:rPr>
      </w:pPr>
      <w:r>
        <w:rPr>
          <w:rFonts w:hint="eastAsia" w:ascii="宋体" w:hAnsi="宋体" w:cs="宋体"/>
          <w:kern w:val="0"/>
          <w:szCs w:val="21"/>
        </w:rPr>
        <w:t>5）为了确保供电系统安全，变压器二次总开关的保护整定值设置后任何人不得随意变更，若需变更整定值须报学校同意，方可进行。配电回路开关的整定值调整需学校相关负责人同意后方能进行，并报学校备案；</w:t>
      </w:r>
    </w:p>
    <w:p w14:paraId="123186EE">
      <w:pPr>
        <w:pStyle w:val="208"/>
        <w:jc w:val="left"/>
        <w:rPr>
          <w:rFonts w:ascii="宋体" w:hAnsi="宋体" w:cs="宋体"/>
          <w:kern w:val="0"/>
          <w:szCs w:val="21"/>
        </w:rPr>
      </w:pPr>
      <w:r>
        <w:rPr>
          <w:rFonts w:hint="eastAsia" w:ascii="宋体" w:hAnsi="宋体" w:cs="宋体"/>
          <w:kern w:val="0"/>
          <w:szCs w:val="21"/>
        </w:rPr>
        <w:t>6）智能电表和水电收费平台的维护保养。负责对智能电表和水电收费平台进行维护保养，费用由中标单位承担。相关运营安全管理维护人员具有上岗资质证书和相关证件，并向采购单位主管部门报备；</w:t>
      </w:r>
    </w:p>
    <w:p w14:paraId="3DF2E4C3">
      <w:pPr>
        <w:pStyle w:val="208"/>
        <w:jc w:val="left"/>
        <w:rPr>
          <w:rFonts w:ascii="宋体" w:hAnsi="宋体" w:cs="宋体"/>
          <w:kern w:val="0"/>
          <w:szCs w:val="21"/>
        </w:rPr>
      </w:pPr>
      <w:r>
        <w:rPr>
          <w:rFonts w:hint="eastAsia" w:ascii="宋体" w:hAnsi="宋体" w:cs="宋体"/>
          <w:kern w:val="0"/>
          <w:szCs w:val="21"/>
        </w:rPr>
        <w:t>7）供气设备运行维护管理，确保供气管道及设施完好无损；</w:t>
      </w:r>
    </w:p>
    <w:p w14:paraId="17316074">
      <w:pPr>
        <w:pStyle w:val="208"/>
        <w:jc w:val="left"/>
        <w:rPr>
          <w:rFonts w:ascii="宋体" w:hAnsi="宋体" w:cs="宋体"/>
          <w:kern w:val="0"/>
          <w:szCs w:val="21"/>
        </w:rPr>
      </w:pPr>
      <w:r>
        <w:rPr>
          <w:rFonts w:hint="eastAsia" w:ascii="宋体" w:hAnsi="宋体" w:cs="宋体"/>
          <w:kern w:val="0"/>
          <w:szCs w:val="21"/>
        </w:rPr>
        <w:t>8）上述设施设备正常损耗的零配件费用(不含设施设备更新、改造)，单次单项单价在2500元以下的由中标人承担；单次单项单价超过2500元（含）的由学院承担维修费用，中标人负责维修维护，由中标人提出维护材料费书面申请，报主管部门核实后，再报学校审批，方可进行施工。</w:t>
      </w:r>
    </w:p>
    <w:p w14:paraId="5ED2C95D">
      <w:pPr>
        <w:pStyle w:val="208"/>
        <w:ind w:firstLine="422"/>
        <w:jc w:val="left"/>
        <w:rPr>
          <w:rFonts w:ascii="宋体" w:hAnsi="宋体" w:cs="宋体"/>
          <w:kern w:val="0"/>
          <w:szCs w:val="21"/>
        </w:rPr>
      </w:pPr>
      <w:r>
        <w:rPr>
          <w:rFonts w:hint="eastAsia" w:ascii="宋体" w:hAnsi="宋体" w:cs="宋体"/>
          <w:b/>
          <w:kern w:val="0"/>
          <w:szCs w:val="21"/>
        </w:rPr>
        <w:t>（4）</w:t>
      </w:r>
      <w:r>
        <w:rPr>
          <w:rFonts w:hint="eastAsia" w:ascii="宋体" w:hAnsi="宋体" w:cs="宋体"/>
          <w:kern w:val="0"/>
          <w:szCs w:val="21"/>
        </w:rPr>
        <w:t>电梯管理：</w:t>
      </w:r>
    </w:p>
    <w:p w14:paraId="68A29E29">
      <w:pPr>
        <w:pStyle w:val="208"/>
        <w:jc w:val="left"/>
        <w:rPr>
          <w:rFonts w:ascii="宋体" w:hAnsi="宋体" w:cs="宋体"/>
          <w:kern w:val="0"/>
          <w:szCs w:val="21"/>
        </w:rPr>
      </w:pPr>
      <w:r>
        <w:rPr>
          <w:rFonts w:hint="eastAsia" w:ascii="宋体" w:hAnsi="宋体" w:cs="宋体"/>
          <w:kern w:val="0"/>
          <w:szCs w:val="21"/>
        </w:rPr>
        <w:t>1）负责电梯箱体保洁；</w:t>
      </w:r>
    </w:p>
    <w:p w14:paraId="0B94C084">
      <w:pPr>
        <w:pStyle w:val="208"/>
        <w:jc w:val="left"/>
        <w:rPr>
          <w:rFonts w:ascii="宋体" w:hAnsi="宋体" w:cs="宋体"/>
          <w:kern w:val="0"/>
          <w:szCs w:val="21"/>
        </w:rPr>
      </w:pPr>
      <w:r>
        <w:rPr>
          <w:rFonts w:hint="eastAsia" w:ascii="宋体" w:hAnsi="宋体" w:cs="宋体"/>
          <w:kern w:val="0"/>
          <w:szCs w:val="21"/>
        </w:rPr>
        <w:t>2）电梯维护保养。中标人或中标人委托具有资质的专业公司进行电梯维护保养和年检、并购买电梯商业责任保险，按《深圳市电梯安全监管方式改革实施方案》要求，对34台垂直电梯和2台扶手电梯购买事故责任险，基础保费不少于每年80元/台，费用由中标单位承担。中标人或中标人委托的专业公司有保养如学校、医院类社会公众场所电梯的经验；运行维保人员要具有上岗资质证书，并在现场驻点及报采购单位主管部门备案。维保单位负责电梯的24小时日常巡查、运行管理、维护保养、安检年审、应急维修及应急事故处理等工作。中标方必须提前一个月做好电梯年检工作的申报及做自检报告,并向市相关单位办理电梯安全年检手续，保证取得《电扶梯运行许可证》，年检费用由中标方负责。上述资料均由采购方存档备查，确保电梯得到恰当检修，轿厢及机房整洁、通风、照明及其他附属设施完好。2台扶梯移交中标方负责，按照其他电梯维护保养要求运行。中标方需与采购单位签电梯授权使用合同，并到市特种设备安全管理监督部门备案。中标方须配备安全管理人员对电梯运行进行巡检，维护保养标志、安全提示、警示标志以及服务投诉电话应公示于电梯显著位置，在电梯显著位置张贴由维保单位、使用单位联合签署的“电梯维保合格”标志，向社会承诺其确认电梯安全运行状况，明示电梯安全管理人员、维保人员、维保记录。对垂直电梯张贴在轿厢门的两侧轿壁上，底边距轿厢地板1.5-1.6米。并对维保单位的维保工作进行监督；</w:t>
      </w:r>
    </w:p>
    <w:p w14:paraId="2ED2DBE9">
      <w:pPr>
        <w:pStyle w:val="208"/>
        <w:numPr>
          <w:ilvl w:val="0"/>
          <w:numId w:val="8"/>
        </w:numPr>
        <w:jc w:val="left"/>
        <w:rPr>
          <w:rFonts w:ascii="宋体" w:hAnsi="宋体" w:cs="宋体"/>
          <w:kern w:val="0"/>
          <w:szCs w:val="21"/>
        </w:rPr>
      </w:pPr>
      <w:r>
        <w:rPr>
          <w:rFonts w:hint="eastAsia" w:ascii="宋体" w:hAnsi="宋体" w:cs="宋体"/>
          <w:kern w:val="0"/>
          <w:szCs w:val="21"/>
        </w:rPr>
        <w:t>负责34台垂直电梯和2台扶手电梯的维修维护并承担相应费用(不含设施设备更新、改造)，单次单项维修、维护材料费小于或等于2500元的由中标人负责维修维护并承担相应费用；单次单项维修、维护材料费大于2500元的由采购人承担相应费用，中标人负责维修维护，由中标人提出维护材料费书面申请，报主管部门核实后，再报学校审批，方可进行施工；</w:t>
      </w:r>
    </w:p>
    <w:p w14:paraId="3D1F82B3">
      <w:pPr>
        <w:widowControl/>
        <w:ind w:firstLine="420" w:firstLineChars="200"/>
        <w:jc w:val="left"/>
        <w:rPr>
          <w:rFonts w:ascii="宋体" w:hAnsi="宋体" w:cs="宋体"/>
          <w:kern w:val="0"/>
          <w:szCs w:val="21"/>
        </w:rPr>
      </w:pPr>
      <w:r>
        <w:rPr>
          <w:rFonts w:hint="eastAsia" w:ascii="宋体" w:hAnsi="宋体" w:cs="宋体"/>
          <w:kern w:val="0"/>
          <w:szCs w:val="21"/>
        </w:rPr>
        <w:t>4）应急装置及救援管理：电梯轿厢内应急救援装置完整无损、标识齐全、功能有效，电梯轿厢内紧急呼叫时，值班人员6秒内应答；每年进行二次突发事件应急演习并有详细记录，应急照明、紧急迫降及双电源供电装置功能正常。</w:t>
      </w:r>
    </w:p>
    <w:p w14:paraId="3014FDB0">
      <w:pPr>
        <w:pStyle w:val="208"/>
        <w:ind w:firstLine="422"/>
        <w:jc w:val="left"/>
        <w:rPr>
          <w:rFonts w:ascii="宋体" w:hAnsi="宋体" w:cs="宋体"/>
          <w:kern w:val="0"/>
          <w:szCs w:val="21"/>
        </w:rPr>
      </w:pPr>
      <w:r>
        <w:rPr>
          <w:rFonts w:hint="eastAsia" w:ascii="宋体" w:hAnsi="宋体" w:cs="宋体"/>
          <w:b/>
          <w:kern w:val="0"/>
          <w:szCs w:val="21"/>
        </w:rPr>
        <w:t>（5）</w:t>
      </w:r>
      <w:r>
        <w:rPr>
          <w:rFonts w:hint="eastAsia" w:ascii="宋体" w:hAnsi="宋体" w:cs="宋体"/>
          <w:kern w:val="0"/>
          <w:szCs w:val="21"/>
        </w:rPr>
        <w:t>中央空调系统（分体空调）管理及维护保养</w:t>
      </w:r>
    </w:p>
    <w:p w14:paraId="18759CDE">
      <w:pPr>
        <w:pStyle w:val="208"/>
        <w:jc w:val="left"/>
        <w:rPr>
          <w:rFonts w:ascii="宋体" w:hAnsi="宋体" w:cs="宋体"/>
          <w:kern w:val="0"/>
          <w:szCs w:val="21"/>
        </w:rPr>
      </w:pPr>
      <w:r>
        <w:rPr>
          <w:rFonts w:hint="eastAsia" w:ascii="宋体" w:hAnsi="宋体" w:cs="宋体"/>
          <w:kern w:val="0"/>
          <w:szCs w:val="21"/>
        </w:rPr>
        <w:t>1）对中央空调（含中央空调机房主机系统、冷却水（冷冻水）系统及末端冷热交换系统）进行维护保养，费用由中标单位承担。相关运营安全管理维护人员具有上岗资质证书和相关证件，并向采购单位主管部门报备。中央空调运行期间要安排24小时值班，每2小时巡查一次，并做好记录，以备采购单位主管部门检查；</w:t>
      </w:r>
    </w:p>
    <w:p w14:paraId="4F0CBAC6">
      <w:pPr>
        <w:pStyle w:val="208"/>
        <w:jc w:val="left"/>
        <w:rPr>
          <w:rFonts w:ascii="宋体" w:hAnsi="宋体" w:cs="宋体"/>
          <w:kern w:val="0"/>
          <w:szCs w:val="21"/>
        </w:rPr>
      </w:pPr>
      <w:r>
        <w:rPr>
          <w:rFonts w:hint="eastAsia" w:ascii="宋体" w:hAnsi="宋体" w:cs="宋体"/>
          <w:kern w:val="0"/>
          <w:szCs w:val="21"/>
        </w:rPr>
        <w:t>2）定期检查中央空调压缩机冷冻油和冷媒的油量及压力，必要时进行冷冻油和冷媒更换及补充；定期检查中央空调控制系统传感器及线路,并按照实际使用工况及时更换维修；定期检查中央空调系统使用轴承及设备零配件,并按照实际使用工况及时更换；并做好中央空调系统冷冻油油量、冷媒压力、冷冻油及冷媒更换补充、控制系统传感器及线路更换维修、轴承及零配件更换、设备维护保养以及运转情况记录。每周对冷冻机组检查一次，每半年对室外管道补漆、管道阀门检修、清洗冷却塔、主机系统通炮清洗，每年全面检查维护一次。保持冷冻机组及各蒸发器、风机、蒸发器排水、冷凝器、制冷系统各水泵的优良性能，确保空调系统运行正常；</w:t>
      </w:r>
    </w:p>
    <w:p w14:paraId="497704AD">
      <w:pPr>
        <w:pStyle w:val="208"/>
        <w:jc w:val="left"/>
        <w:rPr>
          <w:rFonts w:ascii="宋体" w:hAnsi="宋体" w:cs="宋体"/>
          <w:kern w:val="0"/>
          <w:szCs w:val="21"/>
        </w:rPr>
      </w:pPr>
      <w:r>
        <w:rPr>
          <w:rFonts w:hint="eastAsia" w:ascii="宋体" w:hAnsi="宋体" w:cs="宋体"/>
          <w:kern w:val="0"/>
          <w:szCs w:val="21"/>
        </w:rPr>
        <w:t>3）负责招标范围内全部分体空调（约4100台）的清洗、加雪种等日常维修维护，每年至少清洗一次。机房、配电房等常年运行的分体空调要安排定期巡查，并做好记录，以备采购单位主管部门检查。做到故障判断准确、维修快捷，确保分体空调系统运行正常；</w:t>
      </w:r>
    </w:p>
    <w:p w14:paraId="109765C0">
      <w:pPr>
        <w:pStyle w:val="208"/>
        <w:jc w:val="left"/>
        <w:rPr>
          <w:rFonts w:ascii="宋体" w:hAnsi="宋体" w:cs="宋体"/>
          <w:kern w:val="0"/>
          <w:szCs w:val="21"/>
        </w:rPr>
      </w:pPr>
      <w:r>
        <w:rPr>
          <w:rFonts w:hint="eastAsia" w:ascii="宋体" w:hAnsi="宋体" w:cs="宋体"/>
          <w:kern w:val="0"/>
          <w:szCs w:val="21"/>
        </w:rPr>
        <w:t>4）上述设施设备正常损耗的零配件费用(不含设施设备更新、改造)，单次单项单价在2500元以下的由中标人承担；单次单项单价超过2500元（含）的由学院承担维修费用，中标人负责维修维护，由中标人提出维护材料费书面申请，报主管部门核实后，再报学校审批，方可进行施工。</w:t>
      </w:r>
    </w:p>
    <w:p w14:paraId="4460DFB5">
      <w:pPr>
        <w:pStyle w:val="208"/>
        <w:ind w:firstLine="422"/>
        <w:jc w:val="left"/>
        <w:rPr>
          <w:rFonts w:ascii="宋体" w:hAnsi="宋体" w:cs="宋体"/>
          <w:kern w:val="0"/>
          <w:szCs w:val="21"/>
        </w:rPr>
      </w:pPr>
      <w:r>
        <w:rPr>
          <w:rFonts w:hint="eastAsia" w:ascii="宋体" w:hAnsi="宋体" w:cs="宋体"/>
          <w:b/>
          <w:kern w:val="0"/>
          <w:szCs w:val="21"/>
        </w:rPr>
        <w:t>（6）</w:t>
      </w:r>
      <w:r>
        <w:rPr>
          <w:rFonts w:hint="eastAsia" w:ascii="宋体" w:hAnsi="宋体" w:cs="宋体"/>
          <w:kern w:val="0"/>
          <w:szCs w:val="21"/>
        </w:rPr>
        <w:t>发电机设备管理</w:t>
      </w:r>
    </w:p>
    <w:p w14:paraId="1998A394">
      <w:pPr>
        <w:pStyle w:val="208"/>
        <w:jc w:val="left"/>
        <w:rPr>
          <w:rFonts w:ascii="宋体" w:hAnsi="宋体" w:cs="宋体"/>
          <w:kern w:val="0"/>
          <w:szCs w:val="21"/>
        </w:rPr>
      </w:pPr>
      <w:r>
        <w:rPr>
          <w:rFonts w:hint="eastAsia" w:ascii="宋体" w:hAnsi="宋体" w:cs="宋体"/>
          <w:kern w:val="0"/>
          <w:szCs w:val="21"/>
        </w:rPr>
        <w:t>1）发电机由专业人员每月维修保养；</w:t>
      </w:r>
    </w:p>
    <w:p w14:paraId="669BBD33">
      <w:pPr>
        <w:pStyle w:val="208"/>
        <w:jc w:val="left"/>
        <w:rPr>
          <w:rFonts w:ascii="宋体" w:hAnsi="宋体" w:cs="宋体"/>
          <w:kern w:val="0"/>
          <w:szCs w:val="21"/>
        </w:rPr>
      </w:pPr>
      <w:r>
        <w:rPr>
          <w:rFonts w:hint="eastAsia" w:ascii="宋体" w:hAnsi="宋体" w:cs="宋体"/>
          <w:kern w:val="0"/>
          <w:szCs w:val="21"/>
        </w:rPr>
        <w:t>2）因供电公司临时停电，须在10分钟内启动发电机发电；</w:t>
      </w:r>
    </w:p>
    <w:p w14:paraId="145313CF">
      <w:pPr>
        <w:pStyle w:val="208"/>
        <w:jc w:val="left"/>
        <w:rPr>
          <w:rFonts w:ascii="宋体" w:hAnsi="宋体" w:cs="宋体"/>
          <w:kern w:val="0"/>
          <w:szCs w:val="21"/>
        </w:rPr>
      </w:pPr>
      <w:r>
        <w:rPr>
          <w:rFonts w:hint="eastAsia" w:ascii="宋体" w:hAnsi="宋体" w:cs="宋体"/>
          <w:kern w:val="0"/>
          <w:szCs w:val="21"/>
        </w:rPr>
        <w:t>3）应确保柴油发电机组联锁装置(电气和机械)可靠，防止反送电；</w:t>
      </w:r>
    </w:p>
    <w:p w14:paraId="7D7065B3">
      <w:pPr>
        <w:pStyle w:val="208"/>
        <w:jc w:val="left"/>
        <w:rPr>
          <w:rFonts w:ascii="宋体" w:hAnsi="宋体" w:cs="宋体"/>
          <w:kern w:val="0"/>
          <w:szCs w:val="21"/>
        </w:rPr>
      </w:pPr>
      <w:r>
        <w:rPr>
          <w:rFonts w:hint="eastAsia" w:ascii="宋体" w:hAnsi="宋体" w:cs="宋体"/>
          <w:kern w:val="0"/>
          <w:szCs w:val="21"/>
        </w:rPr>
        <w:t>4)应留意各媒体的停电公告，提早购买储备柴油；</w:t>
      </w:r>
    </w:p>
    <w:p w14:paraId="2E7D673F">
      <w:pPr>
        <w:pStyle w:val="208"/>
        <w:jc w:val="left"/>
        <w:rPr>
          <w:rFonts w:ascii="宋体" w:hAnsi="宋体" w:cs="宋体"/>
          <w:kern w:val="0"/>
          <w:szCs w:val="21"/>
        </w:rPr>
      </w:pPr>
      <w:r>
        <w:rPr>
          <w:rFonts w:hint="eastAsia" w:ascii="宋体" w:hAnsi="宋体" w:cs="宋体"/>
          <w:kern w:val="0"/>
          <w:szCs w:val="21"/>
        </w:rPr>
        <w:t>5)发电机保养材料费(不含设施设备更新、改造)单次单项单价在2500元以下的由中标人承担；单次单项单价超过2500元（含）的由学院承担维修费用，中标人负责维修维护，由中标人提出维护材料费书面申请，报主管部门核实后，再报学校审批，方可进行施工。</w:t>
      </w:r>
    </w:p>
    <w:bookmarkEnd w:id="36"/>
    <w:p w14:paraId="5188495A">
      <w:pPr>
        <w:ind w:firstLine="430" w:firstLineChars="200"/>
        <w:jc w:val="left"/>
        <w:rPr>
          <w:rFonts w:ascii="宋体" w:hAnsi="宋体" w:cs="宋体"/>
          <w:b/>
          <w:bCs/>
          <w:spacing w:val="2"/>
          <w:szCs w:val="21"/>
        </w:rPr>
      </w:pPr>
      <w:r>
        <w:rPr>
          <w:rFonts w:hint="eastAsia" w:ascii="宋体" w:hAnsi="宋体" w:cs="宋体"/>
          <w:b/>
          <w:bCs/>
          <w:spacing w:val="2"/>
          <w:szCs w:val="21"/>
        </w:rPr>
        <w:t>(7)消防系统、视频监控系统、车闸进出系统管理</w:t>
      </w:r>
    </w:p>
    <w:p w14:paraId="7ECB3B14">
      <w:pPr>
        <w:ind w:firstLine="428" w:firstLineChars="200"/>
        <w:jc w:val="left"/>
        <w:rPr>
          <w:rFonts w:ascii="宋体" w:hAnsi="宋体" w:cs="宋体"/>
          <w:szCs w:val="21"/>
        </w:rPr>
      </w:pPr>
      <w:r>
        <w:rPr>
          <w:rFonts w:hint="eastAsia" w:ascii="宋体" w:hAnsi="宋体" w:cs="宋体"/>
          <w:spacing w:val="2"/>
          <w:szCs w:val="21"/>
        </w:rPr>
        <w:t>1)安全管理实行一体化管理，有专业安保队伍，制度完善，须建立火警、</w:t>
      </w:r>
      <w:r>
        <w:rPr>
          <w:rFonts w:hint="eastAsia" w:ascii="宋体" w:hAnsi="宋体" w:cs="宋体"/>
          <w:spacing w:val="8"/>
          <w:szCs w:val="21"/>
        </w:rPr>
        <w:t xml:space="preserve"> </w:t>
      </w:r>
      <w:r>
        <w:rPr>
          <w:rFonts w:hint="eastAsia" w:ascii="宋体" w:hAnsi="宋体" w:cs="宋体"/>
          <w:spacing w:val="-6"/>
          <w:szCs w:val="21"/>
        </w:rPr>
        <w:t>水警、警情等应急预案；</w:t>
      </w:r>
    </w:p>
    <w:p w14:paraId="0380B528">
      <w:pPr>
        <w:ind w:firstLine="428" w:firstLineChars="200"/>
        <w:jc w:val="left"/>
        <w:rPr>
          <w:rFonts w:ascii="宋体" w:hAnsi="宋体" w:cs="宋体"/>
          <w:spacing w:val="2"/>
          <w:szCs w:val="21"/>
        </w:rPr>
      </w:pPr>
      <w:r>
        <w:rPr>
          <w:rFonts w:hint="eastAsia" w:ascii="宋体" w:hAnsi="宋体" w:cs="宋体"/>
          <w:spacing w:val="2"/>
          <w:szCs w:val="21"/>
        </w:rPr>
        <w:t>2）实行 24 小时消防安全防范，（登记记录完善，档案按时上交甲方业务监管部门存档），加强对消防系统的检查保养，（1）消防栓、灭火器每月定期检查签卡完成率100%、报警功能巡查，每周不少于三次，室外消火栓每年至少油漆刷新一次；消火栓栓阀每年至少开关除锈打黄油两次以上;（2）消防泵启动每年不少于四次，保障消防通道畅通以及应急照明设备正常完好包含（消防门体五金配件、应急灯、安全疏散标识牌、标识标贴、消火栓铝制外框、不锈钢外框、消火栓面板材质亚克力0.2mm）;（3）疏散、应急照明设备新增改建布线、安装工作。各类设施设备的完好率达到 98%以上，急修及时率达到 100%。及时发现和处理各种安全隐患，迅速有效处置突发事件；上述设施设备正常损耗的零配件费用(不含设施设备更新、改造)，单次单项单价在 2500 元以下的由乙方承担；单次单项单价超过 2500 元（含）的由甲方承担维修费用，乙方负责维修维护，由乙方提出维护材料费书面申请，报主管部门核实后，再报甲方审批，方可进行施工。</w:t>
      </w:r>
    </w:p>
    <w:p w14:paraId="05691ED4">
      <w:pPr>
        <w:ind w:firstLine="428" w:firstLineChars="200"/>
        <w:jc w:val="left"/>
        <w:rPr>
          <w:rFonts w:ascii="宋体" w:hAnsi="宋体" w:cs="宋体"/>
          <w:spacing w:val="2"/>
          <w:szCs w:val="21"/>
        </w:rPr>
      </w:pPr>
      <w:r>
        <w:rPr>
          <w:rFonts w:hint="eastAsia" w:ascii="宋体" w:hAnsi="宋体" w:cs="宋体"/>
          <w:spacing w:val="2"/>
          <w:szCs w:val="21"/>
        </w:rPr>
        <w:t>3)学校安检机；东门、北门各一套访客身份核验系统；一键报警系统；东门两套、北门两套、德馨楼、文体中心旁、大巴车停车场各一套进出车闸管理系统；校园北门、东门两套人行门禁系统，校内电动伸缩门在甲方指导下负责日常全过程管理，按权限调阅、录入入校车辆信息；校园交通标识牌、车闸开关升降、识别功能保证完好，完好率须达到99%以上，日常维护维修(不含设施设备更新、改造)单次单项单价在2500元以下的由乙方承担；单次单项单价超过2500元(含)的由甲方承担维修费用，乙方负责维修维护，由乙方提出维护材料费书面申请，报主管部门核实后，再报甲方审批，方可进行施工；</w:t>
      </w:r>
    </w:p>
    <w:p w14:paraId="5B3A16C8">
      <w:pPr>
        <w:ind w:firstLine="428" w:firstLineChars="200"/>
        <w:jc w:val="left"/>
        <w:rPr>
          <w:rFonts w:ascii="宋体" w:hAnsi="宋体" w:cs="宋体"/>
          <w:spacing w:val="2"/>
          <w:szCs w:val="21"/>
        </w:rPr>
      </w:pPr>
      <w:r>
        <w:rPr>
          <w:rFonts w:hint="eastAsia" w:ascii="宋体" w:hAnsi="宋体" w:cs="宋体"/>
          <w:spacing w:val="2"/>
          <w:szCs w:val="21"/>
        </w:rPr>
        <w:t>4)消防视频监控室每班安排至少2名持有上岗证的专业人员进行24小时值班，监控视频影像未经甲方同意任何人不得调阅查看；</w:t>
      </w:r>
    </w:p>
    <w:p w14:paraId="1AC00CEB">
      <w:pPr>
        <w:ind w:firstLine="428" w:firstLineChars="200"/>
        <w:jc w:val="left"/>
        <w:rPr>
          <w:rFonts w:ascii="宋体" w:hAnsi="宋体" w:cs="宋体"/>
          <w:spacing w:val="2"/>
          <w:szCs w:val="21"/>
        </w:rPr>
      </w:pPr>
      <w:r>
        <w:rPr>
          <w:rFonts w:hint="eastAsia" w:ascii="宋体" w:hAnsi="宋体" w:cs="宋体"/>
          <w:spacing w:val="2"/>
          <w:szCs w:val="21"/>
        </w:rPr>
        <w:t>5)监控和防盗报警系统（包括但不限于燃气、边坡监测系统）在甲方的指导下，由乙方负责日常管理。 监控和防盗报警系统的更新或增加、维修保养由甲方负责。</w:t>
      </w:r>
    </w:p>
    <w:p w14:paraId="5E69340B">
      <w:pPr>
        <w:ind w:firstLine="422" w:firstLineChars="200"/>
        <w:jc w:val="left"/>
        <w:rPr>
          <w:rFonts w:ascii="宋体" w:hAnsi="宋体" w:cs="宋体"/>
          <w:b/>
          <w:szCs w:val="21"/>
        </w:rPr>
      </w:pPr>
      <w:r>
        <w:rPr>
          <w:rFonts w:hint="eastAsia" w:ascii="宋体" w:hAnsi="宋体" w:cs="宋体"/>
          <w:b/>
          <w:szCs w:val="21"/>
        </w:rPr>
        <w:t>3.公用设备设施日常维修养护服务标准</w:t>
      </w:r>
    </w:p>
    <w:tbl>
      <w:tblPr>
        <w:tblStyle w:val="42"/>
        <w:tblW w:w="85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61"/>
        <w:gridCol w:w="1599"/>
        <w:gridCol w:w="6069"/>
      </w:tblGrid>
      <w:tr w14:paraId="76BD8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Align w:val="center"/>
          </w:tcPr>
          <w:p w14:paraId="736D6388">
            <w:pPr>
              <w:jc w:val="center"/>
              <w:rPr>
                <w:rFonts w:ascii="宋体" w:hAnsi="宋体" w:cs="宋体"/>
                <w:b/>
                <w:szCs w:val="21"/>
              </w:rPr>
            </w:pPr>
            <w:r>
              <w:rPr>
                <w:rFonts w:hint="eastAsia" w:ascii="宋体" w:hAnsi="宋体" w:cs="宋体"/>
                <w:b/>
                <w:szCs w:val="21"/>
              </w:rPr>
              <w:t>序号</w:t>
            </w:r>
          </w:p>
        </w:tc>
        <w:tc>
          <w:tcPr>
            <w:tcW w:w="0" w:type="auto"/>
            <w:vAlign w:val="center"/>
          </w:tcPr>
          <w:p w14:paraId="6C2F71FC">
            <w:pPr>
              <w:jc w:val="center"/>
              <w:rPr>
                <w:rFonts w:ascii="宋体" w:hAnsi="宋体" w:cs="宋体"/>
                <w:b/>
                <w:szCs w:val="21"/>
              </w:rPr>
            </w:pPr>
            <w:r>
              <w:rPr>
                <w:rFonts w:hint="eastAsia" w:ascii="宋体" w:hAnsi="宋体" w:cs="宋体"/>
                <w:b/>
                <w:szCs w:val="21"/>
              </w:rPr>
              <w:t>项目</w:t>
            </w:r>
          </w:p>
        </w:tc>
        <w:tc>
          <w:tcPr>
            <w:tcW w:w="6069" w:type="dxa"/>
            <w:vAlign w:val="center"/>
          </w:tcPr>
          <w:p w14:paraId="266BFE7A">
            <w:pPr>
              <w:jc w:val="center"/>
              <w:rPr>
                <w:rFonts w:ascii="宋体" w:hAnsi="宋体" w:cs="宋体"/>
                <w:b/>
                <w:szCs w:val="21"/>
              </w:rPr>
            </w:pPr>
            <w:r>
              <w:rPr>
                <w:rFonts w:hint="eastAsia" w:ascii="宋体" w:hAnsi="宋体" w:cs="宋体"/>
                <w:b/>
                <w:szCs w:val="21"/>
              </w:rPr>
              <w:t>服务标准</w:t>
            </w:r>
          </w:p>
        </w:tc>
      </w:tr>
      <w:tr w14:paraId="2B839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bottom w:val="single" w:color="auto" w:sz="4" w:space="0"/>
            </w:tcBorders>
            <w:vAlign w:val="center"/>
          </w:tcPr>
          <w:p w14:paraId="2F74269D">
            <w:pPr>
              <w:jc w:val="center"/>
              <w:rPr>
                <w:rFonts w:ascii="宋体" w:hAnsi="宋体" w:cs="宋体"/>
                <w:szCs w:val="21"/>
              </w:rPr>
            </w:pPr>
            <w:r>
              <w:rPr>
                <w:rFonts w:hint="eastAsia" w:ascii="宋体" w:hAnsi="宋体" w:cs="宋体"/>
                <w:szCs w:val="21"/>
              </w:rPr>
              <w:t>1</w:t>
            </w:r>
          </w:p>
        </w:tc>
        <w:tc>
          <w:tcPr>
            <w:tcW w:w="0" w:type="auto"/>
            <w:tcBorders>
              <w:bottom w:val="single" w:color="auto" w:sz="4" w:space="0"/>
            </w:tcBorders>
            <w:vAlign w:val="center"/>
          </w:tcPr>
          <w:p w14:paraId="26180C8C">
            <w:pPr>
              <w:rPr>
                <w:rFonts w:ascii="宋体" w:hAnsi="宋体" w:cs="宋体"/>
                <w:szCs w:val="21"/>
              </w:rPr>
            </w:pPr>
            <w:r>
              <w:rPr>
                <w:rFonts w:hint="eastAsia" w:ascii="宋体" w:hAnsi="宋体" w:cs="宋体"/>
                <w:szCs w:val="21"/>
              </w:rPr>
              <w:t>房屋日常养护维修</w:t>
            </w:r>
          </w:p>
        </w:tc>
        <w:tc>
          <w:tcPr>
            <w:tcW w:w="6069" w:type="dxa"/>
            <w:tcBorders>
              <w:bottom w:val="single" w:color="auto" w:sz="4" w:space="0"/>
            </w:tcBorders>
          </w:tcPr>
          <w:p w14:paraId="487C4E56">
            <w:pPr>
              <w:rPr>
                <w:rFonts w:ascii="宋体" w:hAnsi="宋体" w:cs="宋体"/>
                <w:szCs w:val="21"/>
              </w:rPr>
            </w:pPr>
            <w:r>
              <w:rPr>
                <w:rFonts w:hint="eastAsia" w:ascii="宋体" w:hAnsi="宋体" w:cs="宋体"/>
                <w:szCs w:val="21"/>
              </w:rPr>
              <w:t>防止基础、楼板不合理荷载，防止漏水浸水，确保房屋、内外墙面、天花、门窗的完好和正常使用；及时完成油漆涂刷，保持通风道的通畅，干净；及时完成各项零星维修任务，要求维修合格率100%。要求维修合格率100%。</w:t>
            </w:r>
          </w:p>
        </w:tc>
      </w:tr>
      <w:tr w14:paraId="02CCEA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bottom w:val="single" w:color="auto" w:sz="4" w:space="0"/>
            </w:tcBorders>
            <w:vAlign w:val="center"/>
          </w:tcPr>
          <w:p w14:paraId="1685C640">
            <w:pPr>
              <w:jc w:val="center"/>
              <w:rPr>
                <w:rFonts w:ascii="宋体" w:hAnsi="宋体" w:cs="宋体"/>
                <w:szCs w:val="21"/>
              </w:rPr>
            </w:pPr>
            <w:r>
              <w:rPr>
                <w:rFonts w:hint="eastAsia" w:ascii="宋体" w:hAnsi="宋体" w:cs="宋体"/>
                <w:szCs w:val="21"/>
              </w:rPr>
              <w:t>2</w:t>
            </w:r>
          </w:p>
        </w:tc>
        <w:tc>
          <w:tcPr>
            <w:tcW w:w="0" w:type="auto"/>
            <w:tcBorders>
              <w:top w:val="single" w:color="auto" w:sz="4" w:space="0"/>
              <w:bottom w:val="single" w:color="auto" w:sz="4" w:space="0"/>
            </w:tcBorders>
            <w:vAlign w:val="center"/>
          </w:tcPr>
          <w:p w14:paraId="6DF2C691">
            <w:pPr>
              <w:rPr>
                <w:rFonts w:ascii="宋体" w:hAnsi="宋体" w:cs="宋体"/>
                <w:szCs w:val="21"/>
              </w:rPr>
            </w:pPr>
            <w:r>
              <w:rPr>
                <w:rFonts w:hint="eastAsia" w:ascii="宋体" w:hAnsi="宋体" w:cs="宋体"/>
                <w:spacing w:val="-12"/>
                <w:szCs w:val="21"/>
              </w:rPr>
              <w:t>室外场地、道路养护、维修</w:t>
            </w:r>
          </w:p>
        </w:tc>
        <w:tc>
          <w:tcPr>
            <w:tcW w:w="6069" w:type="dxa"/>
            <w:tcBorders>
              <w:top w:val="single" w:color="auto" w:sz="4" w:space="0"/>
              <w:bottom w:val="single" w:color="auto" w:sz="4" w:space="0"/>
            </w:tcBorders>
            <w:vAlign w:val="center"/>
          </w:tcPr>
          <w:p w14:paraId="5D2D5119">
            <w:pPr>
              <w:rPr>
                <w:rFonts w:ascii="宋体" w:hAnsi="宋体" w:cs="宋体"/>
                <w:szCs w:val="21"/>
              </w:rPr>
            </w:pPr>
            <w:r>
              <w:rPr>
                <w:rFonts w:hint="eastAsia" w:ascii="宋体" w:hAnsi="宋体" w:cs="宋体"/>
                <w:szCs w:val="21"/>
              </w:rPr>
              <w:t>确保室外场地、道路的完好和正常使用，</w:t>
            </w:r>
            <w:r>
              <w:rPr>
                <w:rFonts w:hint="eastAsia" w:ascii="宋体" w:hAnsi="宋体" w:cs="宋体"/>
                <w:kern w:val="0"/>
                <w:szCs w:val="21"/>
              </w:rPr>
              <w:t>校园路面、人行道、广场砖区域应做到平整、无坑洼、无积水、无松动、无破损。</w:t>
            </w:r>
            <w:r>
              <w:rPr>
                <w:rFonts w:hint="eastAsia" w:ascii="宋体" w:hAnsi="宋体" w:cs="宋体"/>
                <w:szCs w:val="21"/>
              </w:rPr>
              <w:t>维修合格率100%。</w:t>
            </w:r>
          </w:p>
        </w:tc>
      </w:tr>
      <w:tr w14:paraId="167A0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bottom w:val="single" w:color="auto" w:sz="4" w:space="0"/>
            </w:tcBorders>
            <w:vAlign w:val="center"/>
          </w:tcPr>
          <w:p w14:paraId="4A432A9D">
            <w:pPr>
              <w:jc w:val="center"/>
              <w:rPr>
                <w:rFonts w:ascii="宋体" w:hAnsi="宋体" w:cs="宋体"/>
                <w:szCs w:val="21"/>
              </w:rPr>
            </w:pPr>
            <w:r>
              <w:rPr>
                <w:rFonts w:hint="eastAsia" w:ascii="宋体" w:hAnsi="宋体" w:cs="宋体"/>
                <w:szCs w:val="21"/>
              </w:rPr>
              <w:t>3</w:t>
            </w:r>
          </w:p>
        </w:tc>
        <w:tc>
          <w:tcPr>
            <w:tcW w:w="0" w:type="auto"/>
            <w:tcBorders>
              <w:top w:val="single" w:color="auto" w:sz="4" w:space="0"/>
              <w:bottom w:val="single" w:color="auto" w:sz="4" w:space="0"/>
            </w:tcBorders>
            <w:vAlign w:val="center"/>
          </w:tcPr>
          <w:p w14:paraId="17ED9373">
            <w:pPr>
              <w:widowControl/>
              <w:rPr>
                <w:rFonts w:ascii="宋体" w:hAnsi="宋体" w:cs="宋体"/>
                <w:szCs w:val="21"/>
              </w:rPr>
            </w:pPr>
            <w:r>
              <w:rPr>
                <w:rFonts w:hint="eastAsia" w:ascii="宋体" w:hAnsi="宋体" w:cs="宋体"/>
                <w:kern w:val="0"/>
                <w:szCs w:val="21"/>
              </w:rPr>
              <w:t>护拦、观景台及户外椅凳维护</w:t>
            </w:r>
          </w:p>
        </w:tc>
        <w:tc>
          <w:tcPr>
            <w:tcW w:w="6069" w:type="dxa"/>
            <w:tcBorders>
              <w:top w:val="single" w:color="auto" w:sz="4" w:space="0"/>
              <w:bottom w:val="single" w:color="auto" w:sz="4" w:space="0"/>
            </w:tcBorders>
            <w:vAlign w:val="center"/>
          </w:tcPr>
          <w:p w14:paraId="5984FAB2">
            <w:pPr>
              <w:widowControl/>
              <w:rPr>
                <w:rFonts w:ascii="宋体" w:hAnsi="宋体" w:cs="宋体"/>
                <w:szCs w:val="21"/>
              </w:rPr>
            </w:pPr>
            <w:r>
              <w:rPr>
                <w:rFonts w:hint="eastAsia" w:ascii="宋体" w:hAnsi="宋体" w:cs="宋体"/>
                <w:kern w:val="0"/>
                <w:szCs w:val="21"/>
              </w:rPr>
              <w:t>护拦、观景台及户外椅凳需要油漆保养的项目，需要制定完善的养护、油漆计划；养护、油漆及时，设备、设施保养完好。</w:t>
            </w:r>
          </w:p>
        </w:tc>
      </w:tr>
      <w:tr w14:paraId="1F240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bottom w:val="single" w:color="auto" w:sz="4" w:space="0"/>
            </w:tcBorders>
            <w:vAlign w:val="center"/>
          </w:tcPr>
          <w:p w14:paraId="68731B18">
            <w:pPr>
              <w:jc w:val="center"/>
              <w:rPr>
                <w:rFonts w:ascii="宋体" w:hAnsi="宋体" w:cs="宋体"/>
                <w:szCs w:val="21"/>
              </w:rPr>
            </w:pPr>
            <w:r>
              <w:rPr>
                <w:rFonts w:hint="eastAsia" w:ascii="宋体" w:hAnsi="宋体" w:cs="宋体"/>
                <w:szCs w:val="21"/>
              </w:rPr>
              <w:t>4</w:t>
            </w:r>
          </w:p>
        </w:tc>
        <w:tc>
          <w:tcPr>
            <w:tcW w:w="0" w:type="auto"/>
            <w:tcBorders>
              <w:top w:val="single" w:color="auto" w:sz="4" w:space="0"/>
              <w:bottom w:val="single" w:color="auto" w:sz="4" w:space="0"/>
            </w:tcBorders>
            <w:vAlign w:val="center"/>
          </w:tcPr>
          <w:p w14:paraId="023B0A3C">
            <w:pPr>
              <w:widowControl/>
              <w:rPr>
                <w:rFonts w:ascii="宋体" w:hAnsi="宋体" w:cs="宋体"/>
                <w:szCs w:val="21"/>
              </w:rPr>
            </w:pPr>
            <w:r>
              <w:rPr>
                <w:rFonts w:hint="eastAsia" w:ascii="宋体" w:hAnsi="宋体" w:cs="宋体"/>
                <w:kern w:val="0"/>
                <w:szCs w:val="21"/>
              </w:rPr>
              <w:t>学校单项工程的施工管理服务</w:t>
            </w:r>
          </w:p>
        </w:tc>
        <w:tc>
          <w:tcPr>
            <w:tcW w:w="6069" w:type="dxa"/>
            <w:tcBorders>
              <w:top w:val="single" w:color="auto" w:sz="4" w:space="0"/>
              <w:bottom w:val="single" w:color="auto" w:sz="4" w:space="0"/>
            </w:tcBorders>
            <w:vAlign w:val="center"/>
          </w:tcPr>
          <w:p w14:paraId="2C18148D">
            <w:pPr>
              <w:rPr>
                <w:rFonts w:ascii="宋体" w:hAnsi="宋体" w:cs="宋体"/>
                <w:szCs w:val="21"/>
              </w:rPr>
            </w:pPr>
            <w:r>
              <w:rPr>
                <w:rFonts w:hint="eastAsia" w:ascii="宋体" w:hAnsi="宋体" w:cs="宋体"/>
                <w:kern w:val="0"/>
                <w:szCs w:val="21"/>
              </w:rPr>
              <w:t>配合学校单项工程的施工管理，并跟进建档。做好施工跟进及外单位用电、用水的记录工作。协助学校有效地管理建筑垃圾，做到定点堆放，及时转运；涉学校二次装修的建筑垃圾，明确责任单位、责任人，并督促施工单位及时清运。</w:t>
            </w:r>
          </w:p>
        </w:tc>
      </w:tr>
      <w:tr w14:paraId="6FF998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tcBorders>
            <w:vAlign w:val="center"/>
          </w:tcPr>
          <w:p w14:paraId="10CA1789">
            <w:pPr>
              <w:jc w:val="center"/>
              <w:rPr>
                <w:rFonts w:ascii="宋体" w:hAnsi="宋体" w:cs="宋体"/>
                <w:szCs w:val="21"/>
              </w:rPr>
            </w:pPr>
            <w:r>
              <w:rPr>
                <w:rFonts w:hint="eastAsia" w:ascii="宋体" w:hAnsi="宋体" w:cs="宋体"/>
                <w:szCs w:val="21"/>
              </w:rPr>
              <w:t>5</w:t>
            </w:r>
          </w:p>
        </w:tc>
        <w:tc>
          <w:tcPr>
            <w:tcW w:w="0" w:type="auto"/>
            <w:tcBorders>
              <w:top w:val="single" w:color="auto" w:sz="4" w:space="0"/>
            </w:tcBorders>
            <w:vAlign w:val="center"/>
          </w:tcPr>
          <w:p w14:paraId="330E9683">
            <w:pPr>
              <w:rPr>
                <w:rFonts w:ascii="宋体" w:hAnsi="宋体" w:cs="宋体"/>
                <w:szCs w:val="21"/>
              </w:rPr>
            </w:pPr>
            <w:r>
              <w:rPr>
                <w:rFonts w:hint="eastAsia" w:ascii="宋体" w:hAnsi="宋体" w:cs="宋体"/>
                <w:szCs w:val="21"/>
              </w:rPr>
              <w:t>给排水设备运行维护管理</w:t>
            </w:r>
          </w:p>
        </w:tc>
        <w:tc>
          <w:tcPr>
            <w:tcW w:w="6069" w:type="dxa"/>
            <w:tcBorders>
              <w:top w:val="single" w:color="auto" w:sz="4" w:space="0"/>
            </w:tcBorders>
          </w:tcPr>
          <w:p w14:paraId="0A5AA395">
            <w:pPr>
              <w:rPr>
                <w:rFonts w:ascii="宋体" w:hAnsi="宋体" w:cs="宋体"/>
                <w:szCs w:val="21"/>
              </w:rPr>
            </w:pPr>
            <w:r>
              <w:rPr>
                <w:rFonts w:hint="eastAsia" w:ascii="宋体" w:hAnsi="宋体" w:cs="宋体"/>
                <w:szCs w:val="21"/>
              </w:rPr>
              <w:t>保证给排水系统正常运行使用。建立正常供水管理制度，保证水质符合国家和深圳市相关标准，防止跑、冒、滴、漏，对供水系统管路、水泵、水箱、阀门等进行日常维护和定期检修，并按深圳市二次供水要求对生活水箱及消防水池进行定期清洗和消毒，定期对水泵房及机电设备进行检查、保养、维修、清洁；定期对排水管进行清通、养护及清除污垢，保证室内外排水系统通畅；及时清理排水井和排水沟渠淤泥、杂物，保证井盖和篦子完整，</w:t>
            </w:r>
            <w:r>
              <w:rPr>
                <w:rFonts w:hint="eastAsia" w:ascii="宋体" w:hAnsi="宋体" w:cs="宋体"/>
                <w:kern w:val="0"/>
                <w:szCs w:val="21"/>
              </w:rPr>
              <w:t>井盖标志明确，</w:t>
            </w:r>
            <w:r>
              <w:rPr>
                <w:rFonts w:hint="eastAsia" w:ascii="宋体" w:hAnsi="宋体" w:cs="宋体"/>
                <w:szCs w:val="21"/>
              </w:rPr>
              <w:t>及时发现并解决故障，维修合格率100%。</w:t>
            </w:r>
          </w:p>
        </w:tc>
      </w:tr>
      <w:tr w14:paraId="43E44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Merge w:val="restart"/>
            <w:vAlign w:val="center"/>
          </w:tcPr>
          <w:p w14:paraId="1922383D">
            <w:pPr>
              <w:jc w:val="center"/>
              <w:rPr>
                <w:rFonts w:ascii="宋体" w:hAnsi="宋体" w:cs="宋体"/>
                <w:szCs w:val="21"/>
              </w:rPr>
            </w:pPr>
            <w:r>
              <w:rPr>
                <w:rFonts w:hint="eastAsia" w:ascii="宋体" w:hAnsi="宋体" w:cs="宋体"/>
                <w:szCs w:val="21"/>
              </w:rPr>
              <w:t>6</w:t>
            </w:r>
          </w:p>
        </w:tc>
        <w:tc>
          <w:tcPr>
            <w:tcW w:w="0" w:type="auto"/>
            <w:vMerge w:val="restart"/>
            <w:vAlign w:val="center"/>
          </w:tcPr>
          <w:p w14:paraId="4078DAB0">
            <w:pPr>
              <w:rPr>
                <w:rFonts w:ascii="宋体" w:hAnsi="宋体" w:cs="宋体"/>
                <w:szCs w:val="21"/>
              </w:rPr>
            </w:pPr>
            <w:r>
              <w:rPr>
                <w:rFonts w:hint="eastAsia" w:ascii="宋体" w:hAnsi="宋体" w:cs="宋体"/>
                <w:szCs w:val="21"/>
              </w:rPr>
              <w:t>供配电、供气设备运行维护管理及室内外照明维护管理</w:t>
            </w:r>
          </w:p>
        </w:tc>
        <w:tc>
          <w:tcPr>
            <w:tcW w:w="6069" w:type="dxa"/>
          </w:tcPr>
          <w:p w14:paraId="3C03C1AD">
            <w:pPr>
              <w:rPr>
                <w:rFonts w:ascii="宋体" w:hAnsi="宋体" w:cs="宋体"/>
                <w:szCs w:val="21"/>
              </w:rPr>
            </w:pPr>
            <w:r>
              <w:rPr>
                <w:rFonts w:hint="eastAsia" w:ascii="宋体" w:hAnsi="宋体" w:cs="宋体"/>
                <w:szCs w:val="21"/>
              </w:rPr>
              <w:t>对供电范围内的电气设备定期巡视维护和重点检测，建立各项设备档案，做到安全、合理、节约用电，建立严格的配送电运行制度、电气维修制度和配电房管理制度，供电运行和维修人员必须持证上岗，建立24小时运行维修值班制度，及时排除故障，维修合格率100%，加强日常维护检查，公共使用的照明灯具、线路、开关保证完好，加强供气设备运行维护管理，确保供气管道及设施完好无损，确保用电、用气安全。</w:t>
            </w:r>
          </w:p>
        </w:tc>
      </w:tr>
      <w:tr w14:paraId="55621F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Merge w:val="continue"/>
            <w:vAlign w:val="center"/>
          </w:tcPr>
          <w:p w14:paraId="0FE24DEE">
            <w:pPr>
              <w:jc w:val="center"/>
              <w:rPr>
                <w:rFonts w:ascii="宋体" w:hAnsi="宋体" w:cs="宋体"/>
                <w:szCs w:val="21"/>
              </w:rPr>
            </w:pPr>
          </w:p>
        </w:tc>
        <w:tc>
          <w:tcPr>
            <w:tcW w:w="0" w:type="auto"/>
            <w:vMerge w:val="continue"/>
            <w:vAlign w:val="center"/>
          </w:tcPr>
          <w:p w14:paraId="6B2723A6">
            <w:pPr>
              <w:rPr>
                <w:rFonts w:ascii="宋体" w:hAnsi="宋体" w:cs="宋体"/>
                <w:szCs w:val="21"/>
              </w:rPr>
            </w:pPr>
          </w:p>
        </w:tc>
        <w:tc>
          <w:tcPr>
            <w:tcW w:w="6069" w:type="dxa"/>
            <w:vAlign w:val="center"/>
          </w:tcPr>
          <w:p w14:paraId="62FBC8D8">
            <w:pPr>
              <w:rPr>
                <w:rFonts w:ascii="宋体" w:hAnsi="宋体" w:cs="宋体"/>
                <w:szCs w:val="21"/>
              </w:rPr>
            </w:pPr>
            <w:r>
              <w:rPr>
                <w:rFonts w:hint="eastAsia" w:ascii="宋体" w:hAnsi="宋体" w:cs="宋体"/>
                <w:szCs w:val="21"/>
              </w:rPr>
              <w:t>加强日常检查巡视，及时更换灯具光源，确保灯光的正常使用；定期检测，发现故障及时维修，维修及时率达到100%，小修不过夜。</w:t>
            </w:r>
          </w:p>
        </w:tc>
      </w:tr>
      <w:tr w14:paraId="11B3E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Align w:val="center"/>
          </w:tcPr>
          <w:p w14:paraId="13BB8EED">
            <w:pPr>
              <w:jc w:val="center"/>
              <w:rPr>
                <w:rFonts w:ascii="宋体" w:hAnsi="宋体" w:cs="宋体"/>
                <w:szCs w:val="21"/>
              </w:rPr>
            </w:pPr>
            <w:r>
              <w:rPr>
                <w:rFonts w:hint="eastAsia" w:ascii="宋体" w:hAnsi="宋体" w:cs="宋体"/>
                <w:szCs w:val="21"/>
              </w:rPr>
              <w:t>7</w:t>
            </w:r>
          </w:p>
        </w:tc>
        <w:tc>
          <w:tcPr>
            <w:tcW w:w="0" w:type="auto"/>
            <w:vAlign w:val="center"/>
          </w:tcPr>
          <w:p w14:paraId="112A706B">
            <w:pPr>
              <w:rPr>
                <w:rFonts w:ascii="宋体" w:hAnsi="宋体" w:cs="宋体"/>
                <w:szCs w:val="21"/>
              </w:rPr>
            </w:pPr>
            <w:r>
              <w:rPr>
                <w:rFonts w:hint="eastAsia" w:ascii="宋体" w:hAnsi="宋体" w:cs="宋体"/>
                <w:szCs w:val="21"/>
              </w:rPr>
              <w:t>太阳能热水系统、湖水循环及湿地、水景系统设备运行维护管理</w:t>
            </w:r>
          </w:p>
        </w:tc>
        <w:tc>
          <w:tcPr>
            <w:tcW w:w="6069" w:type="dxa"/>
          </w:tcPr>
          <w:p w14:paraId="7508A97A">
            <w:pPr>
              <w:rPr>
                <w:rFonts w:ascii="宋体" w:hAnsi="宋体" w:cs="宋体"/>
                <w:szCs w:val="21"/>
              </w:rPr>
            </w:pPr>
            <w:r>
              <w:rPr>
                <w:rFonts w:hint="eastAsia" w:ascii="宋体" w:hAnsi="宋体" w:cs="宋体"/>
                <w:szCs w:val="21"/>
              </w:rPr>
              <w:t>太阳能热水系统、湖水循环系统、人工湿地、水景系统等须由专业技术人员负责日常维保，按计划维护保养</w:t>
            </w:r>
            <w:r>
              <w:rPr>
                <w:rFonts w:hint="eastAsia" w:ascii="宋体" w:hAnsi="宋体" w:cs="宋体"/>
                <w:szCs w:val="21"/>
                <w:lang w:bidi="ar"/>
              </w:rPr>
              <w:t>整个系统，防止沉积锈垢堵塞管道， 保证系统管道通畅，</w:t>
            </w:r>
            <w:r>
              <w:rPr>
                <w:rFonts w:hint="eastAsia" w:ascii="宋体" w:hAnsi="宋体" w:cs="宋体"/>
                <w:szCs w:val="21"/>
              </w:rPr>
              <w:t>确保设备和管道系统状况良好，供水系统能正常发挥功能。</w:t>
            </w:r>
            <w:r>
              <w:rPr>
                <w:rFonts w:hint="eastAsia" w:ascii="宋体" w:hAnsi="宋体" w:cs="宋体"/>
                <w:szCs w:val="21"/>
                <w:lang w:bidi="ar"/>
              </w:rPr>
              <w:t>太阳能热水系统要重点做好集热器、储热系统和管路系统的维护。要定期清除集热器透明盖板积灰，一般半年至一年擦洗一次，保证其有较高的透明度；定期清除储水箱水垢，一般半年至一年清理一次；经常检查贮水箱的补水阀、安全阀、液位控制器和排气装置工作是否正常，防止空气进入系统； 定期检查是否有异物进入贮水箱，防止循环管道被堵塞，发现小故障及时排除，并做好维护保养记录，确保系统运行正常。</w:t>
            </w:r>
          </w:p>
        </w:tc>
      </w:tr>
      <w:tr w14:paraId="7F570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Align w:val="center"/>
          </w:tcPr>
          <w:p w14:paraId="5031358D">
            <w:pPr>
              <w:jc w:val="center"/>
              <w:rPr>
                <w:rFonts w:ascii="宋体" w:hAnsi="宋体" w:cs="宋体"/>
                <w:szCs w:val="21"/>
              </w:rPr>
            </w:pPr>
            <w:r>
              <w:rPr>
                <w:rFonts w:hint="eastAsia" w:ascii="宋体" w:hAnsi="宋体" w:cs="宋体"/>
                <w:szCs w:val="21"/>
              </w:rPr>
              <w:t>8</w:t>
            </w:r>
          </w:p>
        </w:tc>
        <w:tc>
          <w:tcPr>
            <w:tcW w:w="0" w:type="auto"/>
            <w:vAlign w:val="center"/>
          </w:tcPr>
          <w:p w14:paraId="68B31256">
            <w:pPr>
              <w:rPr>
                <w:rFonts w:ascii="宋体" w:hAnsi="宋体" w:cs="宋体"/>
                <w:szCs w:val="21"/>
              </w:rPr>
            </w:pPr>
            <w:r>
              <w:rPr>
                <w:rFonts w:hint="eastAsia" w:ascii="宋体" w:hAnsi="宋体" w:cs="宋体"/>
                <w:szCs w:val="21"/>
              </w:rPr>
              <w:t>中水系统设备运行维护管理</w:t>
            </w:r>
          </w:p>
        </w:tc>
        <w:tc>
          <w:tcPr>
            <w:tcW w:w="6069" w:type="dxa"/>
          </w:tcPr>
          <w:p w14:paraId="298CDB22">
            <w:pPr>
              <w:rPr>
                <w:rFonts w:ascii="宋体" w:hAnsi="宋体" w:cs="宋体"/>
                <w:szCs w:val="21"/>
              </w:rPr>
            </w:pPr>
            <w:r>
              <w:rPr>
                <w:rFonts w:hint="eastAsia" w:ascii="宋体" w:hAnsi="宋体" w:cs="宋体"/>
                <w:szCs w:val="21"/>
              </w:rPr>
              <w:t>对中水系统电气设备定期巡视维护和重点监测。严格按国家标准，对相关重点设备设施进行管理、操作、维修保养，按计划</w:t>
            </w:r>
            <w:r>
              <w:rPr>
                <w:rFonts w:hint="eastAsia" w:ascii="宋体" w:hAnsi="宋体" w:cs="宋体"/>
                <w:szCs w:val="21"/>
                <w:lang w:bidi="ar"/>
              </w:rPr>
              <w:t>定期定期清理系统管道积尘、泥污，定期检查、清洁和润滑机器，更换或修复磨损件，发现小故障及时排除，并做好保养维护记录，确保系统达到完好运行状态。日常耗材由中标人提供。</w:t>
            </w:r>
          </w:p>
        </w:tc>
      </w:tr>
      <w:tr w14:paraId="10B7A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Align w:val="center"/>
          </w:tcPr>
          <w:p w14:paraId="47F08333">
            <w:pPr>
              <w:jc w:val="center"/>
              <w:rPr>
                <w:rFonts w:ascii="宋体" w:hAnsi="宋体" w:cs="宋体"/>
                <w:szCs w:val="21"/>
              </w:rPr>
            </w:pPr>
            <w:r>
              <w:rPr>
                <w:rFonts w:hint="eastAsia" w:ascii="宋体" w:hAnsi="宋体" w:cs="宋体"/>
                <w:szCs w:val="21"/>
              </w:rPr>
              <w:t>9</w:t>
            </w:r>
          </w:p>
        </w:tc>
        <w:tc>
          <w:tcPr>
            <w:tcW w:w="0" w:type="auto"/>
            <w:vAlign w:val="center"/>
          </w:tcPr>
          <w:p w14:paraId="06D77161">
            <w:pPr>
              <w:rPr>
                <w:rFonts w:ascii="宋体" w:hAnsi="宋体" w:cs="宋体"/>
                <w:szCs w:val="21"/>
              </w:rPr>
            </w:pPr>
            <w:r>
              <w:rPr>
                <w:rFonts w:hint="eastAsia" w:ascii="宋体" w:hAnsi="宋体" w:cs="宋体"/>
                <w:szCs w:val="21"/>
              </w:rPr>
              <w:t>电梯运行维护</w:t>
            </w:r>
          </w:p>
        </w:tc>
        <w:tc>
          <w:tcPr>
            <w:tcW w:w="6069" w:type="dxa"/>
          </w:tcPr>
          <w:p w14:paraId="740C0603">
            <w:pPr>
              <w:rPr>
                <w:rFonts w:ascii="宋体" w:hAnsi="宋体" w:cs="宋体"/>
                <w:szCs w:val="21"/>
              </w:rPr>
            </w:pPr>
            <w:r>
              <w:rPr>
                <w:rFonts w:hint="eastAsia" w:ascii="宋体" w:hAnsi="宋体" w:cs="宋体"/>
                <w:szCs w:val="21"/>
              </w:rPr>
              <w:t>建立电梯运行管理、设备管理、安全管理制度，确保电梯按规定时间运行。安全措施安全有效，通风、照明及其它附属设施完好，严格执行国家有关电梯管理规定和安全规程，电梯准用证、年检合格证、维修保养合同完备，定期进行维护保养，轿厢、井道保持清洁，因故障停梯，接到报修后维修人员在30分钟内到达现场抢修，及时排除故障。</w:t>
            </w:r>
          </w:p>
        </w:tc>
      </w:tr>
      <w:tr w14:paraId="592EE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Align w:val="center"/>
          </w:tcPr>
          <w:p w14:paraId="6AB3D256">
            <w:pPr>
              <w:jc w:val="center"/>
              <w:rPr>
                <w:rFonts w:ascii="宋体" w:hAnsi="宋体" w:cs="宋体"/>
                <w:szCs w:val="21"/>
              </w:rPr>
            </w:pPr>
            <w:r>
              <w:rPr>
                <w:rFonts w:hint="eastAsia" w:ascii="宋体" w:hAnsi="宋体" w:cs="宋体"/>
                <w:szCs w:val="21"/>
              </w:rPr>
              <w:t>10</w:t>
            </w:r>
          </w:p>
        </w:tc>
        <w:tc>
          <w:tcPr>
            <w:tcW w:w="0" w:type="auto"/>
            <w:vAlign w:val="center"/>
          </w:tcPr>
          <w:p w14:paraId="5666EE9A">
            <w:pPr>
              <w:rPr>
                <w:rFonts w:ascii="宋体" w:hAnsi="宋体" w:cs="宋体"/>
                <w:szCs w:val="21"/>
              </w:rPr>
            </w:pPr>
            <w:r>
              <w:rPr>
                <w:rFonts w:hint="eastAsia" w:ascii="宋体" w:hAnsi="宋体" w:cs="宋体"/>
                <w:szCs w:val="21"/>
              </w:rPr>
              <w:t>空调系统运行维护</w:t>
            </w:r>
          </w:p>
        </w:tc>
        <w:tc>
          <w:tcPr>
            <w:tcW w:w="6069" w:type="dxa"/>
          </w:tcPr>
          <w:p w14:paraId="72A2D38E">
            <w:pPr>
              <w:rPr>
                <w:rFonts w:ascii="宋体" w:hAnsi="宋体" w:cs="宋体"/>
                <w:szCs w:val="21"/>
              </w:rPr>
            </w:pPr>
            <w:r>
              <w:rPr>
                <w:rFonts w:hint="eastAsia" w:ascii="宋体" w:hAnsi="宋体" w:cs="宋体"/>
                <w:szCs w:val="21"/>
              </w:rPr>
              <w:t>建立空调运行管理制度和安全操作规程，保证空调系统安全运行和正常使用，运行中无超标噪声和严重滴漏水现象，制定科学合理的经济运行和节能降耗措施，定期检修养护空调设备，保证空调设备、设施处于良好状态，空调系统出现运行故障后，维修人员应及时到达现场维修，并做好记录，维修合格率100%。</w:t>
            </w:r>
          </w:p>
        </w:tc>
      </w:tr>
      <w:tr w14:paraId="3B772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bottom w:val="single" w:color="auto" w:sz="4" w:space="0"/>
            </w:tcBorders>
            <w:vAlign w:val="center"/>
          </w:tcPr>
          <w:p w14:paraId="6B6595E5">
            <w:pPr>
              <w:jc w:val="center"/>
              <w:rPr>
                <w:rFonts w:ascii="宋体" w:hAnsi="宋体" w:cs="宋体"/>
                <w:szCs w:val="21"/>
              </w:rPr>
            </w:pPr>
            <w:r>
              <w:rPr>
                <w:rFonts w:hint="eastAsia" w:ascii="宋体" w:hAnsi="宋体" w:cs="宋体"/>
                <w:szCs w:val="21"/>
              </w:rPr>
              <w:t>11</w:t>
            </w:r>
          </w:p>
        </w:tc>
        <w:tc>
          <w:tcPr>
            <w:tcW w:w="0" w:type="auto"/>
            <w:tcBorders>
              <w:bottom w:val="single" w:color="auto" w:sz="4" w:space="0"/>
            </w:tcBorders>
            <w:vAlign w:val="center"/>
          </w:tcPr>
          <w:p w14:paraId="0AB28AC5">
            <w:pPr>
              <w:rPr>
                <w:rFonts w:ascii="宋体" w:hAnsi="宋体" w:cs="宋体"/>
                <w:szCs w:val="21"/>
              </w:rPr>
            </w:pPr>
            <w:r>
              <w:rPr>
                <w:rFonts w:hint="eastAsia" w:ascii="宋体" w:hAnsi="宋体" w:cs="宋体"/>
                <w:szCs w:val="21"/>
              </w:rPr>
              <w:t>智能化系统运行维护</w:t>
            </w:r>
          </w:p>
        </w:tc>
        <w:tc>
          <w:tcPr>
            <w:tcW w:w="6069" w:type="dxa"/>
            <w:tcBorders>
              <w:bottom w:val="single" w:color="auto" w:sz="4" w:space="0"/>
            </w:tcBorders>
          </w:tcPr>
          <w:p w14:paraId="08EFF499">
            <w:pPr>
              <w:rPr>
                <w:rFonts w:ascii="宋体" w:hAnsi="宋体" w:cs="宋体"/>
                <w:szCs w:val="21"/>
              </w:rPr>
            </w:pPr>
            <w:r>
              <w:rPr>
                <w:rFonts w:hint="eastAsia" w:ascii="宋体" w:hAnsi="宋体" w:cs="宋体"/>
                <w:szCs w:val="21"/>
              </w:rPr>
              <w:t>定期对各种系统性能状态检查、系统测试和计划性修理，发现隐患及时</w:t>
            </w:r>
            <w:r>
              <w:rPr>
                <w:rFonts w:hint="eastAsia" w:ascii="宋体" w:hAnsi="宋体" w:cs="宋体"/>
                <w:spacing w:val="-4"/>
                <w:szCs w:val="21"/>
              </w:rPr>
              <w:t>处理（24小时内），零修合格率100%。实现对大楼内各种机电设备的统一管理、协调控制，确保楼宇设备运转自动化。确保物品及其它办公用品失窃率在一个合理范围内。非正常使用损坏，由责任人负责修复或赔偿；如发现被盗，中标单位应及时报警并协助查处，事后应区分责任，由责任人赔偿经济损失，直至追究其刑事责任。</w:t>
            </w:r>
          </w:p>
        </w:tc>
      </w:tr>
      <w:tr w14:paraId="3768D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tcBorders>
            <w:vAlign w:val="center"/>
          </w:tcPr>
          <w:p w14:paraId="09BB3B96">
            <w:pPr>
              <w:jc w:val="center"/>
              <w:rPr>
                <w:rFonts w:ascii="宋体" w:hAnsi="宋体" w:cs="宋体"/>
                <w:szCs w:val="21"/>
              </w:rPr>
            </w:pPr>
            <w:r>
              <w:rPr>
                <w:rFonts w:hint="eastAsia" w:ascii="宋体" w:hAnsi="宋体" w:cs="宋体"/>
                <w:szCs w:val="21"/>
              </w:rPr>
              <w:t>12</w:t>
            </w:r>
          </w:p>
        </w:tc>
        <w:tc>
          <w:tcPr>
            <w:tcW w:w="0" w:type="auto"/>
            <w:tcBorders>
              <w:top w:val="single" w:color="auto" w:sz="4" w:space="0"/>
            </w:tcBorders>
            <w:vAlign w:val="center"/>
          </w:tcPr>
          <w:p w14:paraId="13714923">
            <w:pPr>
              <w:rPr>
                <w:rFonts w:ascii="宋体" w:hAnsi="宋体" w:cs="宋体"/>
                <w:szCs w:val="21"/>
              </w:rPr>
            </w:pPr>
            <w:r>
              <w:rPr>
                <w:rFonts w:hint="eastAsia" w:ascii="宋体" w:hAnsi="宋体" w:cs="宋体"/>
                <w:szCs w:val="21"/>
              </w:rPr>
              <w:t>消防系统、闭路监控系统管理</w:t>
            </w:r>
          </w:p>
        </w:tc>
        <w:tc>
          <w:tcPr>
            <w:tcW w:w="6069" w:type="dxa"/>
            <w:tcBorders>
              <w:top w:val="single" w:color="auto" w:sz="4" w:space="0"/>
            </w:tcBorders>
            <w:vAlign w:val="center"/>
          </w:tcPr>
          <w:p w14:paraId="0CBDC58A">
            <w:pPr>
              <w:rPr>
                <w:rFonts w:ascii="宋体" w:hAnsi="宋体" w:cs="宋体"/>
                <w:szCs w:val="21"/>
              </w:rPr>
            </w:pPr>
            <w:r>
              <w:rPr>
                <w:rFonts w:hint="eastAsia" w:ascii="宋体" w:hAnsi="宋体" w:cs="宋体"/>
                <w:szCs w:val="21"/>
              </w:rPr>
              <w:t>确保消防系统、闭路监控系统管理设施完好无损，保证消防系统、闭路监控系统正常运行。</w:t>
            </w:r>
          </w:p>
        </w:tc>
      </w:tr>
      <w:tr w14:paraId="3560C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tcBorders>
            <w:vAlign w:val="center"/>
          </w:tcPr>
          <w:p w14:paraId="799A3655">
            <w:pPr>
              <w:jc w:val="center"/>
              <w:rPr>
                <w:rFonts w:ascii="宋体" w:hAnsi="宋体" w:cs="宋体"/>
                <w:szCs w:val="21"/>
              </w:rPr>
            </w:pPr>
            <w:r>
              <w:rPr>
                <w:rFonts w:hint="eastAsia" w:ascii="宋体" w:hAnsi="宋体" w:cs="宋体"/>
                <w:szCs w:val="21"/>
              </w:rPr>
              <w:t>13</w:t>
            </w:r>
          </w:p>
        </w:tc>
        <w:tc>
          <w:tcPr>
            <w:tcW w:w="0" w:type="auto"/>
            <w:tcBorders>
              <w:top w:val="single" w:color="auto" w:sz="4" w:space="0"/>
            </w:tcBorders>
            <w:vAlign w:val="center"/>
          </w:tcPr>
          <w:p w14:paraId="21A0E441">
            <w:pPr>
              <w:rPr>
                <w:rFonts w:ascii="宋体" w:hAnsi="宋体" w:cs="宋体"/>
                <w:b/>
                <w:kern w:val="0"/>
                <w:szCs w:val="21"/>
              </w:rPr>
            </w:pPr>
            <w:r>
              <w:rPr>
                <w:rFonts w:hint="eastAsia" w:ascii="宋体" w:hAnsi="宋体" w:cs="宋体"/>
                <w:szCs w:val="21"/>
              </w:rPr>
              <w:t>防雷设施管理</w:t>
            </w:r>
          </w:p>
        </w:tc>
        <w:tc>
          <w:tcPr>
            <w:tcW w:w="6069" w:type="dxa"/>
            <w:tcBorders>
              <w:top w:val="single" w:color="auto" w:sz="4" w:space="0"/>
            </w:tcBorders>
            <w:vAlign w:val="center"/>
          </w:tcPr>
          <w:p w14:paraId="24FA5FF9">
            <w:pPr>
              <w:widowControl/>
              <w:snapToGrid w:val="0"/>
              <w:textAlignment w:val="center"/>
              <w:rPr>
                <w:rFonts w:ascii="宋体" w:hAnsi="宋体" w:cs="宋体"/>
                <w:kern w:val="0"/>
                <w:szCs w:val="21"/>
              </w:rPr>
            </w:pPr>
            <w:r>
              <w:rPr>
                <w:rFonts w:hint="eastAsia" w:ascii="宋体" w:hAnsi="宋体" w:cs="宋体"/>
                <w:kern w:val="0"/>
                <w:szCs w:val="21"/>
              </w:rPr>
              <w:t>每年一次对防雷系统，负责组织防雷设施检测（检测费由投标人承担），检测完毕出具检测报告。设施的维护，确保设备完好率100%。</w:t>
            </w:r>
          </w:p>
        </w:tc>
      </w:tr>
      <w:tr w14:paraId="4F4FC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tcBorders>
              <w:top w:val="single" w:color="auto" w:sz="4" w:space="0"/>
            </w:tcBorders>
            <w:vAlign w:val="center"/>
          </w:tcPr>
          <w:p w14:paraId="05722B38">
            <w:pPr>
              <w:jc w:val="center"/>
              <w:rPr>
                <w:rFonts w:ascii="宋体" w:hAnsi="宋体" w:cs="宋体"/>
                <w:szCs w:val="21"/>
              </w:rPr>
            </w:pPr>
            <w:r>
              <w:rPr>
                <w:rFonts w:hint="eastAsia" w:ascii="宋体" w:hAnsi="宋体" w:cs="宋体"/>
                <w:szCs w:val="21"/>
              </w:rPr>
              <w:t>14</w:t>
            </w:r>
          </w:p>
        </w:tc>
        <w:tc>
          <w:tcPr>
            <w:tcW w:w="0" w:type="auto"/>
            <w:tcBorders>
              <w:top w:val="single" w:color="auto" w:sz="4" w:space="0"/>
            </w:tcBorders>
            <w:vAlign w:val="center"/>
          </w:tcPr>
          <w:p w14:paraId="3B394C00">
            <w:pPr>
              <w:rPr>
                <w:rFonts w:ascii="宋体" w:hAnsi="宋体" w:cs="宋体"/>
                <w:szCs w:val="21"/>
              </w:rPr>
            </w:pPr>
            <w:r>
              <w:rPr>
                <w:rFonts w:hint="eastAsia" w:ascii="宋体" w:hAnsi="宋体" w:cs="宋体"/>
                <w:szCs w:val="21"/>
              </w:rPr>
              <w:t>建筑电气防火安全检测</w:t>
            </w:r>
          </w:p>
        </w:tc>
        <w:tc>
          <w:tcPr>
            <w:tcW w:w="6069" w:type="dxa"/>
            <w:tcBorders>
              <w:top w:val="single" w:color="auto" w:sz="4" w:space="0"/>
            </w:tcBorders>
            <w:vAlign w:val="center"/>
          </w:tcPr>
          <w:p w14:paraId="4B0C30F2">
            <w:pPr>
              <w:rPr>
                <w:rFonts w:ascii="宋体" w:hAnsi="宋体" w:cs="宋体"/>
                <w:kern w:val="0"/>
                <w:szCs w:val="21"/>
              </w:rPr>
            </w:pPr>
            <w:r>
              <w:rPr>
                <w:rFonts w:hint="eastAsia" w:ascii="宋体" w:hAnsi="宋体" w:cs="宋体"/>
                <w:kern w:val="0"/>
                <w:szCs w:val="21"/>
              </w:rPr>
              <w:t>每年一次对全校所有配电房、电箱及开关进行检测，其他用电设施设备每年抽检率为30%，检测完毕出具检测报告。</w:t>
            </w:r>
          </w:p>
        </w:tc>
      </w:tr>
      <w:tr w14:paraId="5855C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861" w:type="dxa"/>
            <w:vAlign w:val="center"/>
          </w:tcPr>
          <w:p w14:paraId="52B859D1">
            <w:pPr>
              <w:jc w:val="center"/>
              <w:rPr>
                <w:rFonts w:ascii="宋体" w:hAnsi="宋体" w:cs="宋体"/>
                <w:szCs w:val="21"/>
              </w:rPr>
            </w:pPr>
            <w:r>
              <w:rPr>
                <w:rFonts w:hint="eastAsia" w:ascii="宋体" w:hAnsi="宋体" w:cs="宋体"/>
                <w:szCs w:val="21"/>
              </w:rPr>
              <w:t>15</w:t>
            </w:r>
          </w:p>
        </w:tc>
        <w:tc>
          <w:tcPr>
            <w:tcW w:w="1599" w:type="dxa"/>
            <w:vAlign w:val="center"/>
          </w:tcPr>
          <w:p w14:paraId="0A8D9EA6">
            <w:pPr>
              <w:rPr>
                <w:rFonts w:ascii="宋体" w:hAnsi="宋体" w:cs="宋体"/>
                <w:szCs w:val="21"/>
              </w:rPr>
            </w:pPr>
            <w:r>
              <w:rPr>
                <w:rFonts w:hint="eastAsia" w:ascii="宋体" w:hAnsi="宋体" w:cs="宋体"/>
                <w:szCs w:val="21"/>
              </w:rPr>
              <w:t>物业档案资料管理</w:t>
            </w:r>
          </w:p>
        </w:tc>
        <w:tc>
          <w:tcPr>
            <w:tcW w:w="6069" w:type="dxa"/>
            <w:vAlign w:val="center"/>
          </w:tcPr>
          <w:p w14:paraId="0869A571">
            <w:pPr>
              <w:rPr>
                <w:rFonts w:ascii="宋体" w:hAnsi="宋体" w:cs="宋体"/>
                <w:szCs w:val="21"/>
              </w:rPr>
            </w:pPr>
            <w:r>
              <w:rPr>
                <w:rFonts w:hint="eastAsia" w:ascii="宋体" w:hAnsi="宋体" w:cs="宋体"/>
                <w:szCs w:val="21"/>
              </w:rPr>
              <w:t>必须保证采购方交给物业档案资料的完整性、完好性。</w:t>
            </w:r>
          </w:p>
        </w:tc>
      </w:tr>
    </w:tbl>
    <w:p w14:paraId="53A9D485"/>
    <w:p w14:paraId="1DC36F81">
      <w:pPr>
        <w:pStyle w:val="3"/>
        <w:spacing w:before="0" w:after="0"/>
        <w:ind w:firstLine="422" w:firstLineChars="200"/>
        <w:rPr>
          <w:sz w:val="21"/>
          <w:szCs w:val="21"/>
        </w:rPr>
      </w:pPr>
      <w:r>
        <w:rPr>
          <w:rFonts w:hint="eastAsia"/>
          <w:sz w:val="21"/>
          <w:szCs w:val="21"/>
        </w:rPr>
        <w:t>（三）秩序维护服务</w:t>
      </w:r>
    </w:p>
    <w:p w14:paraId="2F353720">
      <w:pPr>
        <w:pStyle w:val="208"/>
        <w:tabs>
          <w:tab w:val="left" w:pos="426"/>
        </w:tabs>
        <w:spacing w:line="360" w:lineRule="auto"/>
        <w:rPr>
          <w:rFonts w:ascii="宋体" w:hAnsi="宋体" w:cs="宋体"/>
          <w:kern w:val="0"/>
          <w:szCs w:val="21"/>
        </w:rPr>
      </w:pPr>
      <w:r>
        <w:rPr>
          <w:rFonts w:hint="eastAsia" w:ascii="宋体" w:hAnsi="宋体" w:cs="宋体"/>
          <w:kern w:val="0"/>
          <w:szCs w:val="21"/>
        </w:rPr>
        <w:t>1、在校安全保卫部（保卫处）的监督指导下，全面负责校园内的安全保卫、秩序维护、消防管理和交通管理，配合和协助学校主管单位及时处置校园内的各类突发事件及反恐防暴应急处置，维护师生的人身和财产安全；</w:t>
      </w:r>
    </w:p>
    <w:p w14:paraId="3E34DA47">
      <w:pPr>
        <w:pStyle w:val="208"/>
        <w:tabs>
          <w:tab w:val="left" w:pos="426"/>
        </w:tabs>
        <w:spacing w:line="360" w:lineRule="auto"/>
        <w:rPr>
          <w:rFonts w:ascii="宋体" w:hAnsi="宋体" w:cs="宋体"/>
          <w:kern w:val="0"/>
          <w:szCs w:val="21"/>
        </w:rPr>
      </w:pPr>
      <w:r>
        <w:rPr>
          <w:rFonts w:hint="eastAsia" w:ascii="宋体" w:hAnsi="宋体" w:cs="宋体"/>
          <w:kern w:val="0"/>
          <w:szCs w:val="21"/>
        </w:rPr>
        <w:t>2、学校实行半封闭式管理，安保(秩序维护)人员实行24小时安全防范，及时发现和处理各种安全隐患，迅速有效处置突发事件；</w:t>
      </w:r>
    </w:p>
    <w:p w14:paraId="0AB6EE8A">
      <w:pPr>
        <w:pStyle w:val="208"/>
        <w:tabs>
          <w:tab w:val="left" w:pos="426"/>
        </w:tabs>
        <w:spacing w:line="360" w:lineRule="auto"/>
        <w:rPr>
          <w:rFonts w:ascii="宋体" w:hAnsi="宋体" w:cs="宋体"/>
          <w:kern w:val="0"/>
          <w:szCs w:val="21"/>
        </w:rPr>
      </w:pPr>
      <w:r>
        <w:rPr>
          <w:rFonts w:hint="eastAsia" w:ascii="宋体" w:hAnsi="宋体" w:cs="宋体"/>
          <w:kern w:val="0"/>
          <w:szCs w:val="21"/>
        </w:rPr>
        <w:t>3、安保(秩序维护)人员岗位设置与要求：根据学校的实际情况，设置固定岗、巡逻岗、机动岗、应急队。男性身高1.65米以上，年龄18-45岁，女性身高1.58 米以上，年龄18-35岁，经体检身体健康，无明显缺陷，无违法犯罪等不良记录；安保人员要执行上岗执勤与备勤制度、着装与装备、仪容仪表制度、交接班制度、学习训练制度、保密管理制度、日常勤务制度、记录与日志制度。安保人员队伍基本信息报保卫部备案，保安主管及领班经保卫部考察核定。</w:t>
      </w:r>
    </w:p>
    <w:p w14:paraId="7FA69858">
      <w:pPr>
        <w:pStyle w:val="208"/>
        <w:tabs>
          <w:tab w:val="left" w:pos="426"/>
        </w:tabs>
        <w:spacing w:line="360" w:lineRule="auto"/>
        <w:ind w:firstLine="420" w:firstLineChars="200"/>
        <w:rPr>
          <w:rFonts w:ascii="宋体" w:hAnsi="宋体" w:cs="宋体"/>
          <w:kern w:val="0"/>
          <w:szCs w:val="21"/>
        </w:rPr>
      </w:pPr>
      <w:r>
        <w:rPr>
          <w:rFonts w:hint="eastAsia" w:ascii="宋体" w:hAnsi="宋体" w:cs="宋体"/>
          <w:kern w:val="0"/>
          <w:szCs w:val="21"/>
        </w:rPr>
        <w:t>所有安保人员须具有；背景审查率100％、持证上岗率100％。坚持“凡进必训，每年轮训”原则。岗前培训，内容涵盖法律法规、安全防范技能、消防知识、设备使用、应急处理等。</w:t>
      </w:r>
    </w:p>
    <w:p w14:paraId="65B2BC18">
      <w:pPr>
        <w:pStyle w:val="208"/>
        <w:tabs>
          <w:tab w:val="left" w:pos="426"/>
        </w:tabs>
        <w:spacing w:line="360" w:lineRule="auto"/>
        <w:ind w:firstLine="422"/>
        <w:rPr>
          <w:rFonts w:ascii="宋体" w:hAnsi="宋体" w:cs="宋体"/>
          <w:b/>
          <w:bCs/>
          <w:kern w:val="0"/>
          <w:szCs w:val="21"/>
        </w:rPr>
      </w:pPr>
      <w:r>
        <w:rPr>
          <w:rFonts w:ascii="宋体" w:hAnsi="宋体" w:cs="宋体"/>
          <w:b/>
          <w:bCs/>
          <w:kern w:val="0"/>
          <w:szCs w:val="21"/>
        </w:rPr>
        <w:t>4.安保(秩序维护)项目服务具体内容及要求：</w:t>
      </w:r>
    </w:p>
    <w:p w14:paraId="287322EF">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(1)负责全校安全防范工作，包括学校的消防、监控、治安、交通、门岗等，预防与处理各种突发事件，维护好学校教学、生活秩序，确保校园安全；</w:t>
      </w:r>
    </w:p>
    <w:p w14:paraId="5E366F5A">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(2)加强消防安全管理，熟悉和掌握校园消防设施的工作原理、功能和操作流程；负责每日消防检查工作，认真记录系统运行情况，并建立工作日志；定期组织演练(每月一次),加大消防法规、防火安全管理制度学习培训，增强防火、防灾意识，提高应急处置能力；消防监控室值班人员须具有消防安全相关上岗证，24小时在岗；消防防火巡查人员每班两人以上，24小时在岗，并建立值班日志；监控中心值班员，需熟悉边坡监控系统，并能及时正确处理上报险情；</w:t>
      </w:r>
    </w:p>
    <w:p w14:paraId="4C08F132">
      <w:pPr>
        <w:pStyle w:val="208"/>
        <w:tabs>
          <w:tab w:val="left" w:pos="426"/>
        </w:tabs>
        <w:spacing w:line="360" w:lineRule="auto"/>
        <w:rPr>
          <w:rFonts w:ascii="宋体" w:hAnsi="宋体" w:cs="宋体"/>
          <w:kern w:val="0"/>
          <w:szCs w:val="21"/>
        </w:rPr>
      </w:pPr>
      <w:r>
        <w:rPr>
          <w:rFonts w:hint="eastAsia" w:ascii="宋体" w:hAnsi="宋体" w:cs="宋体"/>
          <w:kern w:val="0"/>
          <w:szCs w:val="21"/>
        </w:rPr>
        <w:t>(3)成立24人应急队。应急队员职责包含但不限于抢险、消防、交通、反恐、(四级)应急处置等。应急队员入职、考核、岗位变动须由安全保卫部（保卫处）核定。制定巡逻工作流程，明确巡逻工作职责，对校园重点区域、重点部位等巡查一次并做好记录。应急队伍建设与管理：应急队人员的建设分为招聘和选拔两种方式，由安全保卫部（保卫处）和物业公司共同完成。招聘由物业公司负责前期筛选，男性身高1.68米以上，高中学历以上，无犯罪记录，退伍军人优先，符合条件的应聘者由安全保卫部（保卫处）考核，考核通过的，纳入应急队伍。新纳入应急队的队员设置试用期，试用期为一个月，试用期满考核合格，经安全保卫部（保卫处）核定通过，正式成为应急队员。选拔由在岗队员向安全保卫部（保卫处）自荐或者由物业公司推荐，经安全保卫部（保卫处）考核通过的，纳入应急队伍，应急队队员由安全保卫部（保卫处）直接监管。如遇到其他原因需要从应急队调离技师学院服务项目，需要经过队员本人、物业、安全保卫部（保卫处）三方协商同意方可调离。应急队的工作安排由物业公司秩序部负责制定，由安全保卫部（保卫处）负责审核，审核未通过的不得执行。物业公司无特殊原因不得安排应急队员从事与巡查应急无关的工作，当安全保卫部（保卫处）和物业公司对应急队员的工作安排和指令发生冲突时，以安全保卫部（保卫处）为准。</w:t>
      </w:r>
    </w:p>
    <w:p w14:paraId="69E4E810">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应急队职责：应急队应服从安全保卫部（保卫处）管理，按照安全保卫部（保卫处）的要求参加培训和演练，提高应急处置技能和综合素质；应急队负责校园内的安全巡查、隐患排查和应急处置，及时发现和处理各种安全问题；应急队在突发事件发生时，应迅速做出反应，组织应急救援力量进行处置，采取有效措施控制事态发展并及时报安全保卫部（保卫处）负责老师；在突发事件应急处置结束后，应急队员应做好现场清理和总结工作，及时向安全保卫部（保卫处）汇报处置情况。</w:t>
      </w:r>
    </w:p>
    <w:p w14:paraId="64453A1F">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考核管理：应急队绩效考核由安全保卫部（保卫处）和物业公司共同完成，绩效考核须经安全保卫部（保卫处）核定，绩效考核每月进行一次，考核分数予以公示，对考核分数有异议的队友可以向安全保卫部（保卫处）提出复核，经安全保卫部（保卫处）复核的，以最终结果为准。考核包括以下方面：</w:t>
      </w:r>
    </w:p>
    <w:p w14:paraId="7B506F6E">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①　综合素质。包括但不限于尊重领导，服从安排，团结协作，礼貌热情，遵守纪律。</w:t>
      </w:r>
    </w:p>
    <w:p w14:paraId="11733A26">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②　出勤情况。按照工作安排到岗工作，不迟到，不早退，不擅自离岗，不旷工。</w:t>
      </w:r>
    </w:p>
    <w:p w14:paraId="53DE86C4">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③　业务能力。应对日常工作及应急救援工作能力，包括但不限于沟通能力、掌握四级应急处置技能能力。</w:t>
      </w:r>
    </w:p>
    <w:p w14:paraId="7F270D7A">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④　体能测试。有良好的身体素质，能够适应紧急情况下的快速反应和高效处置。</w:t>
      </w:r>
    </w:p>
    <w:p w14:paraId="46AC3EE4">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⑤　安全意识。能够时刻保持对安全隐患的警觉性，遵守安全规定，积极参与安全宣传和培训。</w:t>
      </w:r>
    </w:p>
    <w:p w14:paraId="57768693">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⑥　外在形象。树立良好的对外形象，遵守公共秩序，文明礼貌，展现学校的良好形象。</w:t>
      </w:r>
    </w:p>
    <w:p w14:paraId="2FE1997B">
      <w:pPr>
        <w:pStyle w:val="208"/>
        <w:tabs>
          <w:tab w:val="left" w:pos="426"/>
        </w:tabs>
        <w:spacing w:line="360" w:lineRule="auto"/>
        <w:rPr>
          <w:rFonts w:ascii="宋体" w:hAnsi="宋体" w:cs="宋体"/>
          <w:kern w:val="0"/>
          <w:szCs w:val="21"/>
        </w:rPr>
      </w:pPr>
      <w:r>
        <w:rPr>
          <w:rFonts w:hint="eastAsia" w:ascii="宋体" w:hAnsi="宋体" w:cs="宋体"/>
          <w:kern w:val="0"/>
          <w:szCs w:val="21"/>
        </w:rPr>
        <w:t>物业公司应建立完善的信息档案管理制度，包括队员个人信息、专业技能、培训记录、演练表现等，以便于对应急队员的管理和考核；每月基础工资由物业公司按照相关标准核发，每月奖励性绩效由物业公司按照安全保卫部（保卫处）审核的考核结果发放；进入应急队工作满一年，月度考核均为满分的，经安全保卫部（保卫处）同意，成为应急队骨干成员。骨干成员年度考核优秀的，经安全保卫部（保卫处）审核，年终给予1000元一次性奖励。在突发事件处置及重要活动保障中表现优秀的，经安全保卫部（保卫处）审定，额外当月给予300-500元奖励。</w:t>
      </w:r>
    </w:p>
    <w:p w14:paraId="2A7819D7">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(4)根据岗位设置每班次不少于24人（不含应急队员）。安保(秩序维护)人员24小时值班，值班人员不得断岗、脱岗或夜间睡觉。做好责任区域的防火、防爆、防盗、防毒、防突发事件等工作，开展不间断治安巡逻。学校重大活动根据需要，另外增派安保力量保障；</w:t>
      </w:r>
    </w:p>
    <w:p w14:paraId="7E48BBB7">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(5)做好校园周边社情和治安安全形势的防范和日常巡查工作摸查，针对 性加强校园安保工作。制定每个岗位的工作规范责任区域及工作要求，负责对楼宇设施设备进行每日巡查及校园各种安全隐患检查，及时消除安全隐患；</w:t>
      </w:r>
    </w:p>
    <w:p w14:paraId="2730BEE2">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(6)严格执行学校各种安全制度，建立健全安全防范机制，预防火灾、治安、交通等安全事故的发生；</w:t>
      </w:r>
    </w:p>
    <w:p w14:paraId="59E7E39D">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(7)完善校内各种交通标识及标牌；制止违规停放的各类车辆，保持消防通道畅通，建立良好的交通秩序；</w:t>
      </w:r>
    </w:p>
    <w:p w14:paraId="259859E5">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(8)加强门岗管理，严格落实学校《人员及车辆出入校园管理办法》,把好出入关，防止外来无关人员到校恶意滋事，一旦发生暴力事件，要及时控制事态，保护师生安全；</w:t>
      </w:r>
    </w:p>
    <w:p w14:paraId="1CD792D3">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(9)有计划、有目的，每周对安保(秩序维护)人员进行专业技能培训，提高整个安保(秩序维护)人员队伍的综合素质；</w:t>
      </w:r>
    </w:p>
    <w:p w14:paraId="3E749190">
      <w:pPr>
        <w:pStyle w:val="208"/>
        <w:tabs>
          <w:tab w:val="left" w:pos="426"/>
        </w:tabs>
        <w:spacing w:line="360" w:lineRule="auto"/>
        <w:rPr>
          <w:rFonts w:ascii="宋体" w:hAnsi="宋体" w:cs="宋体"/>
          <w:kern w:val="0"/>
          <w:szCs w:val="21"/>
        </w:rPr>
      </w:pPr>
      <w:r>
        <w:rPr>
          <w:rFonts w:hint="eastAsia" w:ascii="宋体" w:hAnsi="宋体" w:cs="宋体"/>
          <w:kern w:val="0"/>
          <w:szCs w:val="21"/>
        </w:rPr>
        <w:t>(10)安保(秩序维护)人员上岗统一着装，每人配备对讲机、四件套</w:t>
      </w:r>
      <w:r>
        <w:rPr>
          <w:rFonts w:hint="eastAsia" w:ascii="宋体" w:hAnsi="宋体" w:cs="宋体"/>
          <w:kern w:val="0"/>
          <w:szCs w:val="21"/>
        </w:rPr>
        <w:tab/>
      </w:r>
      <w:r>
        <w:rPr>
          <w:rFonts w:hint="eastAsia" w:ascii="宋体" w:hAnsi="宋体" w:cs="宋体"/>
          <w:kern w:val="0"/>
          <w:szCs w:val="21"/>
        </w:rPr>
        <w:t>(警棍、手电、胡椒喷雾剂、防刺手套)、执法记录仪、配置不少于5辆电瓶车、10辆电动摩托车；配备、更新、维护、保养应急设备、响应市局安全临时配置物料、交通设施、反恐装备等物品采购，单次单项单价在2500元以下的由乙方承担；</w:t>
      </w:r>
    </w:p>
    <w:p w14:paraId="62B122A3">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(11)维护校园正常、安静的教育教学环境，负责校园内公共区域人员与设施的安全保卫，对妨碍全体教职工正常工作、学习和生活秩序的行为及时制止、报告；</w:t>
      </w:r>
    </w:p>
    <w:p w14:paraId="731E4862">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(12)安保人员熟悉校园环境，严格遵守学校一切规章制度，具有良好的服务意识、安全意识、责任意识和职业道德；要保持安保人员相对稳定，严把安保人员招聘关，确保安保人员政治条件和身体条件符合工作要求；</w:t>
      </w:r>
    </w:p>
    <w:p w14:paraId="11287F38">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(13)校园内公共财产被盗或损坏，因物业服务管理不到位造成的，由中标人按责任依法承担赔偿；</w:t>
      </w:r>
    </w:p>
    <w:p w14:paraId="625A3E04">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(14)秩序部建立奖惩方案，对有突出贡献的安保人员给予物质奖励，奖惩方案的制定和落实须经安全保卫部（保卫处）审核后执行；</w:t>
      </w:r>
    </w:p>
    <w:p w14:paraId="10018DAE">
      <w:pPr>
        <w:pStyle w:val="208"/>
        <w:tabs>
          <w:tab w:val="left" w:pos="426"/>
        </w:tabs>
        <w:spacing w:line="360" w:lineRule="auto"/>
        <w:ind w:firstLine="0" w:firstLineChars="0"/>
        <w:rPr>
          <w:rFonts w:ascii="宋体" w:hAnsi="宋体" w:cs="宋体"/>
          <w:kern w:val="0"/>
          <w:szCs w:val="21"/>
        </w:rPr>
      </w:pPr>
      <w:r>
        <w:rPr>
          <w:rFonts w:hint="eastAsia" w:ascii="宋体" w:hAnsi="宋体" w:cs="宋体"/>
          <w:kern w:val="0"/>
          <w:szCs w:val="21"/>
        </w:rPr>
        <w:t xml:space="preserve">    (15)出现以下情况，当月绩效考核不得分：被上级监管部门处罚；安全保卫部（保卫处）下达整改通知书未限期整改完成；</w:t>
      </w:r>
    </w:p>
    <w:p w14:paraId="4E9BA8B9">
      <w:pPr>
        <w:pStyle w:val="208"/>
        <w:tabs>
          <w:tab w:val="left" w:pos="426"/>
        </w:tabs>
        <w:spacing w:line="360" w:lineRule="auto"/>
        <w:rPr>
          <w:rFonts w:ascii="宋体" w:hAnsi="宋体" w:cs="宋体"/>
          <w:kern w:val="0"/>
          <w:szCs w:val="21"/>
        </w:rPr>
      </w:pPr>
      <w:r>
        <w:rPr>
          <w:rFonts w:hint="eastAsia" w:ascii="宋体" w:hAnsi="宋体" w:cs="宋体"/>
          <w:kern w:val="0"/>
          <w:szCs w:val="21"/>
        </w:rPr>
        <w:t>(16)积极做好其他属于安保(公共秩序)维护管理范围内的工作及学校临时交办的任务。</w:t>
      </w:r>
    </w:p>
    <w:p w14:paraId="6AFD0F7C">
      <w:pPr>
        <w:pStyle w:val="208"/>
        <w:tabs>
          <w:tab w:val="left" w:pos="426"/>
        </w:tabs>
        <w:spacing w:line="360" w:lineRule="auto"/>
        <w:rPr>
          <w:rFonts w:hint="eastAsia" w:ascii="宋体" w:hAnsi="宋体" w:cs="宋体"/>
          <w:kern w:val="0"/>
          <w:szCs w:val="21"/>
        </w:rPr>
      </w:pPr>
      <w:r>
        <w:rPr>
          <w:rFonts w:hint="eastAsia" w:ascii="宋体" w:hAnsi="宋体" w:cs="宋体"/>
          <w:kern w:val="0"/>
          <w:szCs w:val="21"/>
        </w:rPr>
        <w:t>（17）建立安保档案、反恐档案等各类台账，公安机关有明确要求的其他安全平台信息管理等。</w:t>
      </w:r>
    </w:p>
    <w:p w14:paraId="1A853D7D">
      <w:pPr>
        <w:pStyle w:val="208"/>
        <w:tabs>
          <w:tab w:val="left" w:pos="426"/>
        </w:tabs>
        <w:spacing w:line="360" w:lineRule="auto"/>
        <w:rPr>
          <w:rFonts w:hint="eastAsia" w:ascii="宋体" w:hAnsi="宋体" w:cs="宋体"/>
          <w:b w:val="0"/>
          <w:bCs w:val="0"/>
          <w:kern w:val="0"/>
          <w:szCs w:val="21"/>
        </w:rPr>
      </w:pPr>
      <w:r>
        <w:rPr>
          <w:rFonts w:hint="eastAsia" w:hAnsi="宋体" w:eastAsiaTheme="minorEastAsia"/>
          <w:b w:val="0"/>
          <w:bCs w:val="0"/>
          <w:kern w:val="0"/>
          <w:szCs w:val="21"/>
        </w:rPr>
        <w:t>★</w:t>
      </w:r>
      <w:r>
        <w:rPr>
          <w:rFonts w:hint="eastAsia" w:ascii="宋体" w:hAnsi="宋体" w:cs="宋体"/>
          <w:b w:val="0"/>
          <w:bCs w:val="0"/>
          <w:kern w:val="0"/>
          <w:szCs w:val="21"/>
          <w:lang w:val="en-US" w:eastAsia="zh-CN"/>
        </w:rPr>
        <w:t>5.</w:t>
      </w:r>
      <w:r>
        <w:rPr>
          <w:rFonts w:hint="eastAsia" w:ascii="宋体" w:hAnsi="宋体" w:cs="宋体"/>
          <w:b w:val="0"/>
          <w:bCs w:val="0"/>
          <w:kern w:val="0"/>
          <w:szCs w:val="21"/>
        </w:rPr>
        <w:t>投标人满足《保安服务管理条例》《公安机关实施保安服务管理条例办法》等有关规定要求的从业许可和备案要求。</w:t>
      </w:r>
    </w:p>
    <w:p w14:paraId="2ACDEE3A">
      <w:pPr>
        <w:pStyle w:val="208"/>
        <w:tabs>
          <w:tab w:val="left" w:pos="426"/>
        </w:tabs>
        <w:spacing w:line="360" w:lineRule="auto"/>
        <w:rPr>
          <w:rFonts w:hint="eastAsia" w:ascii="宋体" w:hAnsi="宋体" w:cs="宋体"/>
          <w:b w:val="0"/>
          <w:bCs w:val="0"/>
          <w:color w:val="FF0000"/>
          <w:kern w:val="0"/>
          <w:szCs w:val="21"/>
        </w:rPr>
      </w:pPr>
    </w:p>
    <w:p w14:paraId="44D98F0C">
      <w:pPr>
        <w:pStyle w:val="3"/>
        <w:spacing w:before="0" w:after="0"/>
        <w:ind w:firstLine="422" w:firstLineChars="200"/>
        <w:rPr>
          <w:sz w:val="21"/>
          <w:szCs w:val="21"/>
        </w:rPr>
      </w:pPr>
      <w:r>
        <w:rPr>
          <w:rFonts w:hint="eastAsia"/>
          <w:sz w:val="21"/>
          <w:szCs w:val="21"/>
        </w:rPr>
        <w:t>（四）清洁卫生服务</w:t>
      </w:r>
    </w:p>
    <w:p w14:paraId="68519FE8">
      <w:pPr>
        <w:pStyle w:val="208"/>
        <w:tabs>
          <w:tab w:val="left" w:pos="426"/>
        </w:tabs>
        <w:spacing w:line="360" w:lineRule="auto"/>
        <w:ind w:firstLine="422"/>
        <w:rPr>
          <w:rFonts w:ascii="宋体" w:hAnsi="宋体" w:cs="宋体"/>
          <w:b/>
          <w:bCs/>
          <w:kern w:val="0"/>
          <w:szCs w:val="21"/>
        </w:rPr>
      </w:pPr>
      <w:r>
        <w:rPr>
          <w:rFonts w:hint="eastAsia" w:ascii="宋体" w:hAnsi="宋体" w:cs="宋体"/>
          <w:b/>
          <w:bCs/>
          <w:kern w:val="0"/>
          <w:szCs w:val="21"/>
        </w:rPr>
        <w:t>1.服务内容及要求</w:t>
      </w:r>
    </w:p>
    <w:p w14:paraId="75693092">
      <w:pPr>
        <w:pStyle w:val="208"/>
        <w:tabs>
          <w:tab w:val="left" w:pos="426"/>
        </w:tabs>
        <w:spacing w:line="360" w:lineRule="auto"/>
        <w:rPr>
          <w:rFonts w:ascii="宋体" w:hAnsi="宋体" w:cs="宋体"/>
          <w:kern w:val="0"/>
          <w:szCs w:val="21"/>
        </w:rPr>
      </w:pPr>
      <w:r>
        <w:rPr>
          <w:rFonts w:hint="eastAsia" w:ascii="宋体" w:hAnsi="宋体" w:cs="宋体"/>
          <w:kern w:val="0"/>
          <w:szCs w:val="21"/>
        </w:rPr>
        <w:t>（1）负责校门前及红线范围以内所有的地面、绿化带、水域、景观区域、建筑物的墙面及附属物、门窗、室内区域，所有设施及用具的卫生保洁与管理。要求以上建筑公共部位及公共空地清洁每天不少于二次，电梯轿厢、操作板、地面等清洁保养每天不少于二次，外墙清洁每年不少于一次。学校围栏红线外一米范围无白色垃圾；</w:t>
      </w:r>
    </w:p>
    <w:p w14:paraId="649D1496">
      <w:pPr>
        <w:pStyle w:val="208"/>
        <w:tabs>
          <w:tab w:val="left" w:pos="426"/>
        </w:tabs>
        <w:spacing w:line="360" w:lineRule="auto"/>
        <w:rPr>
          <w:rFonts w:ascii="宋体" w:hAnsi="宋体" w:cs="宋体"/>
          <w:kern w:val="0"/>
          <w:szCs w:val="21"/>
        </w:rPr>
      </w:pPr>
      <w:r>
        <w:rPr>
          <w:rFonts w:hint="eastAsia" w:ascii="宋体" w:hAnsi="宋体" w:cs="宋体"/>
          <w:kern w:val="0"/>
          <w:szCs w:val="21"/>
        </w:rPr>
        <w:t>（2）负责做好校园其它位置环境卫生，包括下水道、沟渠、池、井、楼顶的清淤处理、垃圾的收集、化粪池的清理；负责垃圾房的清洁、使用、保养及维修，垃圾收集必须实行分类袋装化收集，垃圾房在垃圾清走后要及时清洗、消毒。雨水沉砂池须每季度清理一次，化粪池每季度须清理、抽吸一次；</w:t>
      </w:r>
    </w:p>
    <w:p w14:paraId="709F685F">
      <w:pPr>
        <w:pStyle w:val="208"/>
        <w:tabs>
          <w:tab w:val="left" w:pos="426"/>
        </w:tabs>
        <w:spacing w:line="360" w:lineRule="auto"/>
        <w:rPr>
          <w:rFonts w:ascii="宋体" w:hAnsi="宋体" w:cs="宋体"/>
          <w:kern w:val="0"/>
          <w:szCs w:val="21"/>
        </w:rPr>
      </w:pPr>
      <w:r>
        <w:rPr>
          <w:rFonts w:hint="eastAsia" w:ascii="宋体" w:hAnsi="宋体" w:cs="宋体"/>
          <w:kern w:val="0"/>
          <w:szCs w:val="21"/>
        </w:rPr>
        <w:t>（3）每年须组织具有高空作业资质人员，使用环保药水对大楼及围墙所有外墙清洗一次，所用清洁剂必须是环保的、不得损伤外墙磁片及花草植被且须由校方确认方可使用；</w:t>
      </w:r>
    </w:p>
    <w:p w14:paraId="7C0D853C">
      <w:pPr>
        <w:pStyle w:val="208"/>
        <w:tabs>
          <w:tab w:val="left" w:pos="426"/>
        </w:tabs>
        <w:spacing w:line="360" w:lineRule="auto"/>
        <w:rPr>
          <w:rFonts w:ascii="宋体" w:hAnsi="宋体" w:cs="宋体"/>
          <w:kern w:val="0"/>
          <w:szCs w:val="21"/>
        </w:rPr>
      </w:pPr>
      <w:r>
        <w:rPr>
          <w:rFonts w:hint="eastAsia" w:ascii="宋体" w:hAnsi="宋体" w:cs="宋体"/>
          <w:kern w:val="0"/>
          <w:szCs w:val="21"/>
        </w:rPr>
        <w:t>（4）负责学院内办公区域、公共场所（含室内）的卫生保洁，负责承担学院教师、社康卫生间的洗手液、厕纸的放置与管理（此类物品由学院负责购置）。清洁卫生中所需的工具，物品费以及清洁用品（如消毒水、清洁药剂、垃圾袋等）等均由乙方负责；</w:t>
      </w:r>
    </w:p>
    <w:p w14:paraId="580C6BC7">
      <w:pPr>
        <w:pStyle w:val="208"/>
        <w:tabs>
          <w:tab w:val="left" w:pos="426"/>
        </w:tabs>
        <w:spacing w:line="360" w:lineRule="auto"/>
        <w:rPr>
          <w:rFonts w:ascii="宋体" w:hAnsi="宋体" w:cs="宋体"/>
          <w:kern w:val="0"/>
          <w:szCs w:val="21"/>
        </w:rPr>
      </w:pPr>
      <w:r>
        <w:rPr>
          <w:rFonts w:hint="eastAsia" w:ascii="宋体" w:hAnsi="宋体" w:cs="宋体"/>
          <w:kern w:val="0"/>
          <w:szCs w:val="21"/>
        </w:rPr>
        <w:t>（5）负责全校共150间公共教室及其内部附属走廊、准备间的卫生清扫、保洁、消毒等；新学期开学前及考试等活动期间教室保洁、墙面清理、桌椅布置等，日常教室卫生维护；白天及晚上教室开关门、窗、灯及空调，按照教务处管理人员计划表定时开关门；关门前检查教室设备及总电源的关闭情况，防止浪费和发生安全事故；负责每日检查教室课桌椅并保证整齐摆放，及时检查教室内的白板笔、白板擦，若有短缺及时报告补充（费用由学校负责），确保正常教学需要；负责监管公共教学楼宇的教学场所的资产、设备的保全工作，对不良行为及突发情况及时予以制止并及时向相关主管部门汇报；提醒学生下课后将个人物品带离教室，发现学生遗失物品及时组织失物招领，贵重物品须上报管理部门；</w:t>
      </w:r>
    </w:p>
    <w:p w14:paraId="6C53667B">
      <w:pPr>
        <w:pStyle w:val="208"/>
        <w:tabs>
          <w:tab w:val="left" w:pos="426"/>
        </w:tabs>
        <w:spacing w:line="360" w:lineRule="auto"/>
        <w:rPr>
          <w:rFonts w:ascii="宋体" w:hAnsi="宋体" w:cs="宋体"/>
          <w:kern w:val="0"/>
          <w:szCs w:val="21"/>
        </w:rPr>
      </w:pPr>
      <w:r>
        <w:rPr>
          <w:rFonts w:hint="eastAsia" w:ascii="宋体" w:hAnsi="宋体" w:cs="宋体"/>
          <w:kern w:val="0"/>
          <w:szCs w:val="21"/>
        </w:rPr>
        <w:t>（6）按工作程序对范围内场所进行日常定期或不定期清扫保洁，做到按标准化全方位保洁，特别对卫生间等重点部位，做到按标准定人、定点、定时管理、巡查。保持一切公共场所整洁干净、无垃圾、无乱贴乱画；</w:t>
      </w:r>
    </w:p>
    <w:p w14:paraId="5128EC1D">
      <w:pPr>
        <w:pStyle w:val="208"/>
        <w:tabs>
          <w:tab w:val="left" w:pos="426"/>
        </w:tabs>
        <w:spacing w:line="360" w:lineRule="auto"/>
        <w:rPr>
          <w:rFonts w:ascii="宋体" w:hAnsi="宋体" w:cs="宋体"/>
          <w:kern w:val="0"/>
          <w:szCs w:val="21"/>
        </w:rPr>
      </w:pPr>
      <w:r>
        <w:rPr>
          <w:rFonts w:hint="eastAsia" w:ascii="宋体" w:hAnsi="宋体" w:cs="宋体"/>
          <w:kern w:val="0"/>
          <w:szCs w:val="21"/>
        </w:rPr>
        <w:t>（7）保持垃圾桶干净无味，负责垃圾的收集，垃圾实行分类袋装化，日产日清，防止二次污染，每周进行卫生消毒；</w:t>
      </w:r>
    </w:p>
    <w:p w14:paraId="04770F3E">
      <w:pPr>
        <w:pStyle w:val="208"/>
        <w:tabs>
          <w:tab w:val="left" w:pos="426"/>
        </w:tabs>
        <w:spacing w:line="360" w:lineRule="auto"/>
        <w:rPr>
          <w:rFonts w:ascii="宋体" w:hAnsi="宋体" w:cs="宋体"/>
          <w:kern w:val="0"/>
          <w:szCs w:val="21"/>
        </w:rPr>
      </w:pPr>
      <w:r>
        <w:rPr>
          <w:rFonts w:hint="eastAsia" w:ascii="宋体" w:hAnsi="宋体" w:cs="宋体"/>
          <w:kern w:val="0"/>
          <w:szCs w:val="21"/>
        </w:rPr>
        <w:t>（8）成立道路卫生巡捡队，每小时对主道路卫生垃圾进行捡拾,配备电动三轮巡捡车不少于2辆；</w:t>
      </w:r>
    </w:p>
    <w:p w14:paraId="38F0B249">
      <w:pPr>
        <w:pStyle w:val="208"/>
        <w:tabs>
          <w:tab w:val="left" w:pos="426"/>
        </w:tabs>
        <w:spacing w:line="360" w:lineRule="auto"/>
        <w:rPr>
          <w:rFonts w:ascii="宋体" w:hAnsi="宋体" w:cs="宋体"/>
          <w:kern w:val="0"/>
          <w:szCs w:val="21"/>
        </w:rPr>
      </w:pPr>
      <w:r>
        <w:rPr>
          <w:rFonts w:hint="eastAsia" w:ascii="宋体" w:hAnsi="宋体" w:cs="宋体"/>
          <w:kern w:val="0"/>
          <w:szCs w:val="21"/>
        </w:rPr>
        <w:t>（9）学院重大活动的清洁服务保障，根据校方需求配合做好重大事件的环境清洁工作；</w:t>
      </w:r>
    </w:p>
    <w:p w14:paraId="10D32E76">
      <w:pPr>
        <w:pStyle w:val="208"/>
        <w:tabs>
          <w:tab w:val="left" w:pos="426"/>
        </w:tabs>
        <w:spacing w:line="360" w:lineRule="auto"/>
        <w:rPr>
          <w:rFonts w:ascii="宋体" w:hAnsi="宋体" w:cs="宋体"/>
          <w:kern w:val="0"/>
          <w:szCs w:val="21"/>
        </w:rPr>
      </w:pPr>
      <w:r>
        <w:rPr>
          <w:rFonts w:hint="eastAsia" w:ascii="宋体" w:hAnsi="宋体" w:cs="宋体"/>
          <w:kern w:val="0"/>
          <w:szCs w:val="21"/>
        </w:rPr>
        <w:t>（10）负责本项目范围内地毯、窗帘清洗，教学楼教室内窗帘一年至少清洗一次，其它公共区域窗帘每年按三分之一的数量清洗。各门厅、电梯的地毯购买和更换由中标单位负责；</w:t>
      </w:r>
    </w:p>
    <w:p w14:paraId="0DE7B655">
      <w:pPr>
        <w:pStyle w:val="208"/>
        <w:tabs>
          <w:tab w:val="left" w:pos="426"/>
        </w:tabs>
        <w:spacing w:line="360" w:lineRule="auto"/>
        <w:rPr>
          <w:rFonts w:ascii="宋体" w:hAnsi="宋体" w:cs="宋体"/>
          <w:kern w:val="0"/>
          <w:szCs w:val="21"/>
        </w:rPr>
      </w:pPr>
      <w:r>
        <w:rPr>
          <w:rFonts w:hint="eastAsia" w:ascii="宋体" w:hAnsi="宋体" w:cs="宋体"/>
          <w:kern w:val="0"/>
          <w:szCs w:val="21"/>
        </w:rPr>
        <w:t>（11）每月开展除“四害”及白蚁防治工作。在流行性传染病高发期或爆发期以及春夏孽蚊滋生季节严格按按照上级有关部门规定及要求组织消杀。中标单位使用防治有害生物的药物必需符合爱卫办及国家有关部门的规定，并确保安全和效果。5-10月的“四害”消杀工作每月不少于二次，其余月份每月不少于一次，要求每天安排一名专业技术人员日常巡查及现场消杀，并作好记录；</w:t>
      </w:r>
    </w:p>
    <w:p w14:paraId="0D1056E8">
      <w:pPr>
        <w:pStyle w:val="208"/>
        <w:tabs>
          <w:tab w:val="left" w:pos="426"/>
        </w:tabs>
        <w:spacing w:line="360" w:lineRule="auto"/>
        <w:rPr>
          <w:rFonts w:ascii="宋体" w:hAnsi="宋体" w:cs="宋体"/>
          <w:kern w:val="0"/>
          <w:szCs w:val="21"/>
        </w:rPr>
      </w:pPr>
      <w:r>
        <w:rPr>
          <w:rFonts w:hint="eastAsia" w:ascii="宋体" w:hAnsi="宋体" w:cs="宋体"/>
          <w:kern w:val="0"/>
          <w:szCs w:val="21"/>
        </w:rPr>
        <w:t>（12）保洁辅助工具要求：保洁工具要求配置人手扫把、拖把、毛巾，保洁推车、保洁喷水车、消杀喷雾机、杀虫喷雾机若干；电瓶二合一手推式洗地吸水机不少于2台，工作效率每台每小时1950 平方米或以上，电压24V或以上，电瓶容量115AH或以上，污水箱容量40L或以上；用于大院、路面冲洗的高压冲水机不少于1台；多用途清洁工具车不少于15台；垃圾收集用货车不少于1台；购置费由中标人承担。其它设备中标方根据本项目实际服务需求合理配备。以上设备中标人必须在中标公告发布日起15天内全部配备到位并且能正常投入使用；</w:t>
      </w:r>
    </w:p>
    <w:p w14:paraId="7004D6FD">
      <w:pPr>
        <w:pStyle w:val="208"/>
        <w:tabs>
          <w:tab w:val="left" w:pos="426"/>
        </w:tabs>
        <w:spacing w:line="360" w:lineRule="auto"/>
        <w:rPr>
          <w:rFonts w:ascii="宋体" w:hAnsi="宋体" w:cs="宋体"/>
          <w:szCs w:val="21"/>
        </w:rPr>
      </w:pPr>
      <w:r>
        <w:rPr>
          <w:rFonts w:hint="eastAsia" w:ascii="宋体" w:hAnsi="宋体" w:cs="宋体"/>
          <w:kern w:val="0"/>
          <w:szCs w:val="21"/>
        </w:rPr>
        <w:t>（13）保洁员实行每天8小时每周6天工作制，周末及法定假日加强值守。早上7：30前将所有区域（如外围、楼梯、走廊、洗手间等）的卫生清洁完毕，并全天随时保洁。行政办公区域清洁须在8：30前清洁完毕，保证不影响正常办公。会议场所区域清洁须在会议接待前清洁完毕，保证不影响会议的正常进行。</w:t>
      </w:r>
    </w:p>
    <w:p w14:paraId="5772E028">
      <w:pPr>
        <w:tabs>
          <w:tab w:val="left" w:pos="426"/>
        </w:tabs>
        <w:snapToGrid w:val="0"/>
        <w:spacing w:line="360" w:lineRule="auto"/>
        <w:ind w:firstLine="422" w:firstLineChars="200"/>
        <w:rPr>
          <w:rFonts w:ascii="宋体" w:hAnsi="宋体" w:cs="宋体"/>
          <w:b/>
          <w:szCs w:val="21"/>
        </w:rPr>
      </w:pPr>
      <w:r>
        <w:rPr>
          <w:rFonts w:hint="eastAsia" w:ascii="宋体" w:hAnsi="宋体" w:cs="宋体"/>
          <w:b/>
          <w:szCs w:val="21"/>
        </w:rPr>
        <w:t>2.服务标准</w:t>
      </w:r>
    </w:p>
    <w:p w14:paraId="78EE984E">
      <w:pPr>
        <w:tabs>
          <w:tab w:val="left" w:pos="426"/>
        </w:tabs>
        <w:snapToGrid w:val="0"/>
        <w:spacing w:line="360" w:lineRule="auto"/>
        <w:ind w:firstLine="210" w:firstLineChars="100"/>
        <w:rPr>
          <w:rFonts w:ascii="宋体" w:hAnsi="宋体" w:cs="宋体"/>
          <w:bCs/>
          <w:szCs w:val="21"/>
        </w:rPr>
      </w:pPr>
      <w:r>
        <w:rPr>
          <w:rFonts w:hint="eastAsia" w:ascii="宋体" w:hAnsi="宋体" w:cs="宋体"/>
          <w:bCs/>
          <w:szCs w:val="21"/>
        </w:rPr>
        <w:t>（1）清洁卫生服务标准</w:t>
      </w:r>
    </w:p>
    <w:tbl>
      <w:tblPr>
        <w:tblStyle w:val="42"/>
        <w:tblW w:w="974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6"/>
        <w:gridCol w:w="573"/>
        <w:gridCol w:w="1536"/>
        <w:gridCol w:w="1276"/>
        <w:gridCol w:w="1426"/>
        <w:gridCol w:w="1134"/>
        <w:gridCol w:w="1409"/>
        <w:gridCol w:w="1667"/>
      </w:tblGrid>
      <w:tr w14:paraId="3A9BE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restart"/>
            <w:vAlign w:val="center"/>
          </w:tcPr>
          <w:p w14:paraId="2DD2E2BF">
            <w:pPr>
              <w:spacing w:line="360" w:lineRule="exact"/>
              <w:jc w:val="center"/>
              <w:rPr>
                <w:rFonts w:ascii="宋体" w:hAnsi="宋体" w:cs="宋体"/>
                <w:b/>
                <w:szCs w:val="21"/>
              </w:rPr>
            </w:pPr>
            <w:r>
              <w:rPr>
                <w:rFonts w:hint="eastAsia" w:ascii="宋体" w:hAnsi="宋体" w:cs="宋体"/>
                <w:b/>
                <w:szCs w:val="21"/>
              </w:rPr>
              <w:t>位</w:t>
            </w:r>
          </w:p>
          <w:p w14:paraId="79807F2A">
            <w:pPr>
              <w:spacing w:line="360" w:lineRule="exact"/>
              <w:jc w:val="center"/>
              <w:rPr>
                <w:rFonts w:ascii="宋体" w:hAnsi="宋体" w:cs="宋体"/>
                <w:b/>
                <w:szCs w:val="21"/>
              </w:rPr>
            </w:pPr>
            <w:r>
              <w:rPr>
                <w:rFonts w:hint="eastAsia" w:ascii="宋体" w:hAnsi="宋体" w:cs="宋体"/>
                <w:b/>
                <w:szCs w:val="21"/>
              </w:rPr>
              <w:t>置</w:t>
            </w:r>
          </w:p>
        </w:tc>
        <w:tc>
          <w:tcPr>
            <w:tcW w:w="573" w:type="dxa"/>
            <w:vMerge w:val="restart"/>
            <w:vAlign w:val="center"/>
          </w:tcPr>
          <w:p w14:paraId="735A263A">
            <w:pPr>
              <w:spacing w:line="360" w:lineRule="exact"/>
              <w:jc w:val="center"/>
              <w:rPr>
                <w:rFonts w:ascii="宋体" w:hAnsi="宋体" w:cs="宋体"/>
                <w:b/>
                <w:szCs w:val="21"/>
              </w:rPr>
            </w:pPr>
            <w:r>
              <w:rPr>
                <w:rFonts w:hint="eastAsia" w:ascii="宋体" w:hAnsi="宋体" w:cs="宋体"/>
                <w:b/>
                <w:szCs w:val="21"/>
              </w:rPr>
              <w:t>序号</w:t>
            </w:r>
          </w:p>
        </w:tc>
        <w:tc>
          <w:tcPr>
            <w:tcW w:w="1536" w:type="dxa"/>
            <w:vMerge w:val="restart"/>
            <w:vAlign w:val="center"/>
          </w:tcPr>
          <w:p w14:paraId="78B19422">
            <w:pPr>
              <w:spacing w:line="360" w:lineRule="exact"/>
              <w:jc w:val="center"/>
              <w:rPr>
                <w:rFonts w:ascii="宋体" w:hAnsi="宋体" w:cs="宋体"/>
                <w:b/>
                <w:szCs w:val="21"/>
              </w:rPr>
            </w:pPr>
            <w:r>
              <w:rPr>
                <w:rFonts w:hint="eastAsia" w:ascii="宋体" w:hAnsi="宋体" w:cs="宋体"/>
                <w:b/>
                <w:szCs w:val="21"/>
              </w:rPr>
              <w:t>清洁项目</w:t>
            </w:r>
          </w:p>
        </w:tc>
        <w:tc>
          <w:tcPr>
            <w:tcW w:w="5245" w:type="dxa"/>
            <w:gridSpan w:val="4"/>
            <w:vAlign w:val="center"/>
          </w:tcPr>
          <w:p w14:paraId="15FF4481">
            <w:pPr>
              <w:spacing w:line="360" w:lineRule="exact"/>
              <w:jc w:val="center"/>
              <w:rPr>
                <w:rFonts w:ascii="宋体" w:hAnsi="宋体" w:cs="宋体"/>
                <w:b/>
                <w:szCs w:val="21"/>
              </w:rPr>
            </w:pPr>
            <w:r>
              <w:rPr>
                <w:rFonts w:hint="eastAsia" w:ascii="宋体" w:hAnsi="宋体" w:cs="宋体"/>
                <w:b/>
                <w:szCs w:val="21"/>
              </w:rPr>
              <w:t>作业要求</w:t>
            </w:r>
          </w:p>
        </w:tc>
        <w:tc>
          <w:tcPr>
            <w:tcW w:w="1667" w:type="dxa"/>
            <w:vMerge w:val="restart"/>
            <w:vAlign w:val="center"/>
          </w:tcPr>
          <w:p w14:paraId="25EDD955">
            <w:pPr>
              <w:spacing w:line="360" w:lineRule="exact"/>
              <w:rPr>
                <w:rFonts w:ascii="宋体" w:hAnsi="宋体" w:cs="宋体"/>
                <w:b/>
                <w:szCs w:val="21"/>
              </w:rPr>
            </w:pPr>
            <w:r>
              <w:rPr>
                <w:rFonts w:hint="eastAsia" w:ascii="宋体" w:hAnsi="宋体" w:cs="宋体"/>
                <w:b/>
                <w:szCs w:val="21"/>
              </w:rPr>
              <w:t>清洁标准</w:t>
            </w:r>
          </w:p>
        </w:tc>
      </w:tr>
      <w:tr w14:paraId="5948E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355649E">
            <w:pPr>
              <w:spacing w:line="360" w:lineRule="exact"/>
              <w:rPr>
                <w:rFonts w:ascii="宋体" w:hAnsi="宋体" w:cs="宋体"/>
                <w:szCs w:val="21"/>
              </w:rPr>
            </w:pPr>
          </w:p>
        </w:tc>
        <w:tc>
          <w:tcPr>
            <w:tcW w:w="573" w:type="dxa"/>
            <w:vMerge w:val="continue"/>
            <w:vAlign w:val="center"/>
          </w:tcPr>
          <w:p w14:paraId="50307D67">
            <w:pPr>
              <w:spacing w:line="360" w:lineRule="exact"/>
              <w:rPr>
                <w:rFonts w:ascii="宋体" w:hAnsi="宋体" w:cs="宋体"/>
                <w:szCs w:val="21"/>
              </w:rPr>
            </w:pPr>
          </w:p>
        </w:tc>
        <w:tc>
          <w:tcPr>
            <w:tcW w:w="1536" w:type="dxa"/>
            <w:vMerge w:val="continue"/>
          </w:tcPr>
          <w:p w14:paraId="29F0D37C">
            <w:pPr>
              <w:spacing w:line="360" w:lineRule="exact"/>
              <w:rPr>
                <w:rFonts w:ascii="宋体" w:hAnsi="宋体" w:cs="宋体"/>
                <w:szCs w:val="21"/>
              </w:rPr>
            </w:pPr>
          </w:p>
        </w:tc>
        <w:tc>
          <w:tcPr>
            <w:tcW w:w="1276" w:type="dxa"/>
            <w:vAlign w:val="center"/>
          </w:tcPr>
          <w:p w14:paraId="48792E8E">
            <w:pPr>
              <w:spacing w:line="360" w:lineRule="exact"/>
              <w:jc w:val="center"/>
              <w:rPr>
                <w:rFonts w:ascii="宋体" w:hAnsi="宋体" w:cs="宋体"/>
                <w:b/>
                <w:szCs w:val="21"/>
              </w:rPr>
            </w:pPr>
            <w:r>
              <w:rPr>
                <w:rFonts w:hint="eastAsia" w:ascii="宋体" w:hAnsi="宋体" w:cs="宋体"/>
                <w:b/>
                <w:szCs w:val="21"/>
              </w:rPr>
              <w:t>每日</w:t>
            </w:r>
          </w:p>
        </w:tc>
        <w:tc>
          <w:tcPr>
            <w:tcW w:w="1426" w:type="dxa"/>
            <w:vAlign w:val="center"/>
          </w:tcPr>
          <w:p w14:paraId="20D3A9A0">
            <w:pPr>
              <w:spacing w:line="360" w:lineRule="exact"/>
              <w:jc w:val="center"/>
              <w:rPr>
                <w:rFonts w:ascii="宋体" w:hAnsi="宋体" w:cs="宋体"/>
                <w:b/>
                <w:szCs w:val="21"/>
              </w:rPr>
            </w:pPr>
            <w:r>
              <w:rPr>
                <w:rFonts w:hint="eastAsia" w:ascii="宋体" w:hAnsi="宋体" w:cs="宋体"/>
                <w:b/>
                <w:szCs w:val="21"/>
              </w:rPr>
              <w:t>每周</w:t>
            </w:r>
          </w:p>
        </w:tc>
        <w:tc>
          <w:tcPr>
            <w:tcW w:w="1134" w:type="dxa"/>
            <w:vAlign w:val="center"/>
          </w:tcPr>
          <w:p w14:paraId="216BE79E">
            <w:pPr>
              <w:spacing w:line="360" w:lineRule="exact"/>
              <w:jc w:val="center"/>
              <w:rPr>
                <w:rFonts w:ascii="宋体" w:hAnsi="宋体" w:cs="宋体"/>
                <w:b/>
                <w:szCs w:val="21"/>
              </w:rPr>
            </w:pPr>
            <w:r>
              <w:rPr>
                <w:rFonts w:hint="eastAsia" w:ascii="宋体" w:hAnsi="宋体" w:cs="宋体"/>
                <w:b/>
                <w:szCs w:val="21"/>
              </w:rPr>
              <w:t>每月</w:t>
            </w:r>
          </w:p>
        </w:tc>
        <w:tc>
          <w:tcPr>
            <w:tcW w:w="1409" w:type="dxa"/>
            <w:vAlign w:val="center"/>
          </w:tcPr>
          <w:p w14:paraId="3625A9BA">
            <w:pPr>
              <w:spacing w:line="360" w:lineRule="exact"/>
              <w:jc w:val="center"/>
              <w:rPr>
                <w:rFonts w:ascii="宋体" w:hAnsi="宋体" w:cs="宋体"/>
                <w:b/>
                <w:szCs w:val="21"/>
              </w:rPr>
            </w:pPr>
            <w:r>
              <w:rPr>
                <w:rFonts w:hint="eastAsia" w:ascii="宋体" w:hAnsi="宋体" w:cs="宋体"/>
                <w:b/>
                <w:szCs w:val="21"/>
              </w:rPr>
              <w:t>每季</w:t>
            </w:r>
          </w:p>
        </w:tc>
        <w:tc>
          <w:tcPr>
            <w:tcW w:w="1667" w:type="dxa"/>
            <w:vMerge w:val="continue"/>
          </w:tcPr>
          <w:p w14:paraId="60EB8034">
            <w:pPr>
              <w:spacing w:line="360" w:lineRule="exact"/>
              <w:rPr>
                <w:rFonts w:ascii="宋体" w:hAnsi="宋体" w:cs="宋体"/>
                <w:szCs w:val="21"/>
              </w:rPr>
            </w:pPr>
          </w:p>
        </w:tc>
      </w:tr>
      <w:tr w14:paraId="2F3226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restart"/>
            <w:vAlign w:val="center"/>
          </w:tcPr>
          <w:p w14:paraId="2A1099D4">
            <w:pPr>
              <w:spacing w:line="360" w:lineRule="exact"/>
              <w:jc w:val="center"/>
              <w:rPr>
                <w:rFonts w:ascii="宋体" w:hAnsi="宋体" w:cs="宋体"/>
                <w:szCs w:val="21"/>
              </w:rPr>
            </w:pPr>
            <w:r>
              <w:rPr>
                <w:rFonts w:hint="eastAsia" w:ascii="宋体" w:hAnsi="宋体" w:cs="宋体"/>
                <w:szCs w:val="21"/>
              </w:rPr>
              <w:t>建</w:t>
            </w:r>
          </w:p>
          <w:p w14:paraId="34946E2B">
            <w:pPr>
              <w:spacing w:line="360" w:lineRule="exact"/>
              <w:jc w:val="center"/>
              <w:rPr>
                <w:rFonts w:ascii="宋体" w:hAnsi="宋体" w:cs="宋体"/>
                <w:szCs w:val="21"/>
              </w:rPr>
            </w:pPr>
            <w:r>
              <w:rPr>
                <w:rFonts w:hint="eastAsia" w:ascii="宋体" w:hAnsi="宋体" w:cs="宋体"/>
                <w:szCs w:val="21"/>
              </w:rPr>
              <w:t>筑</w:t>
            </w:r>
          </w:p>
          <w:p w14:paraId="1494C925">
            <w:pPr>
              <w:spacing w:line="360" w:lineRule="exact"/>
              <w:jc w:val="center"/>
              <w:rPr>
                <w:rFonts w:ascii="宋体" w:hAnsi="宋体" w:cs="宋体"/>
                <w:szCs w:val="21"/>
              </w:rPr>
            </w:pPr>
            <w:r>
              <w:rPr>
                <w:rFonts w:hint="eastAsia" w:ascii="宋体" w:hAnsi="宋体" w:cs="宋体"/>
                <w:szCs w:val="21"/>
              </w:rPr>
              <w:t>物</w:t>
            </w:r>
          </w:p>
          <w:p w14:paraId="06EAF202">
            <w:pPr>
              <w:spacing w:line="360" w:lineRule="exact"/>
              <w:jc w:val="center"/>
              <w:rPr>
                <w:rFonts w:ascii="宋体" w:hAnsi="宋体" w:cs="宋体"/>
                <w:szCs w:val="21"/>
              </w:rPr>
            </w:pPr>
            <w:r>
              <w:rPr>
                <w:rFonts w:hint="eastAsia" w:ascii="宋体" w:hAnsi="宋体" w:cs="宋体"/>
                <w:szCs w:val="21"/>
              </w:rPr>
              <w:t>外</w:t>
            </w:r>
          </w:p>
          <w:p w14:paraId="3240EC3B">
            <w:pPr>
              <w:spacing w:line="360" w:lineRule="exact"/>
              <w:jc w:val="center"/>
              <w:rPr>
                <w:rFonts w:ascii="宋体" w:hAnsi="宋体" w:cs="宋体"/>
                <w:szCs w:val="21"/>
              </w:rPr>
            </w:pPr>
            <w:r>
              <w:rPr>
                <w:rFonts w:hint="eastAsia" w:ascii="宋体" w:hAnsi="宋体" w:cs="宋体"/>
                <w:szCs w:val="21"/>
              </w:rPr>
              <w:t>部</w:t>
            </w:r>
          </w:p>
        </w:tc>
        <w:tc>
          <w:tcPr>
            <w:tcW w:w="573" w:type="dxa"/>
            <w:vAlign w:val="center"/>
          </w:tcPr>
          <w:p w14:paraId="127D3F7E">
            <w:pPr>
              <w:spacing w:line="360" w:lineRule="exact"/>
              <w:jc w:val="center"/>
              <w:rPr>
                <w:rFonts w:ascii="宋体" w:hAnsi="宋体" w:cs="宋体"/>
                <w:szCs w:val="21"/>
              </w:rPr>
            </w:pPr>
            <w:r>
              <w:rPr>
                <w:rFonts w:hint="eastAsia" w:ascii="宋体" w:hAnsi="宋体" w:cs="宋体"/>
                <w:szCs w:val="21"/>
              </w:rPr>
              <w:t>1</w:t>
            </w:r>
          </w:p>
        </w:tc>
        <w:tc>
          <w:tcPr>
            <w:tcW w:w="1536" w:type="dxa"/>
            <w:vAlign w:val="center"/>
          </w:tcPr>
          <w:p w14:paraId="4F1921CC">
            <w:pPr>
              <w:spacing w:line="360" w:lineRule="exact"/>
              <w:jc w:val="center"/>
              <w:rPr>
                <w:rFonts w:ascii="宋体" w:hAnsi="宋体" w:cs="宋体"/>
                <w:szCs w:val="21"/>
              </w:rPr>
            </w:pPr>
            <w:r>
              <w:rPr>
                <w:rFonts w:hint="eastAsia" w:ascii="宋体" w:hAnsi="宋体" w:cs="宋体"/>
                <w:szCs w:val="21"/>
              </w:rPr>
              <w:t>道路</w:t>
            </w:r>
          </w:p>
        </w:tc>
        <w:tc>
          <w:tcPr>
            <w:tcW w:w="1276" w:type="dxa"/>
            <w:vAlign w:val="center"/>
          </w:tcPr>
          <w:p w14:paraId="0AA7FF8B">
            <w:pPr>
              <w:spacing w:line="360" w:lineRule="exact"/>
              <w:jc w:val="center"/>
              <w:rPr>
                <w:rFonts w:ascii="宋体" w:hAnsi="宋体" w:cs="宋体"/>
                <w:szCs w:val="21"/>
              </w:rPr>
            </w:pPr>
            <w:r>
              <w:rPr>
                <w:rFonts w:hint="eastAsia" w:ascii="宋体" w:hAnsi="宋体" w:cs="宋体"/>
                <w:szCs w:val="21"/>
              </w:rPr>
              <w:t>清扫多次</w:t>
            </w:r>
          </w:p>
        </w:tc>
        <w:tc>
          <w:tcPr>
            <w:tcW w:w="1426" w:type="dxa"/>
            <w:vAlign w:val="center"/>
          </w:tcPr>
          <w:p w14:paraId="0341366C">
            <w:pPr>
              <w:spacing w:line="360" w:lineRule="exact"/>
              <w:rPr>
                <w:rFonts w:ascii="宋体" w:hAnsi="宋体" w:cs="宋体"/>
                <w:spacing w:val="-10"/>
                <w:szCs w:val="21"/>
              </w:rPr>
            </w:pPr>
            <w:r>
              <w:rPr>
                <w:rFonts w:hint="eastAsia" w:ascii="宋体" w:hAnsi="宋体" w:cs="宋体"/>
                <w:spacing w:val="-10"/>
                <w:szCs w:val="21"/>
              </w:rPr>
              <w:t>全面清洁  一次</w:t>
            </w:r>
          </w:p>
        </w:tc>
        <w:tc>
          <w:tcPr>
            <w:tcW w:w="1134" w:type="dxa"/>
            <w:vAlign w:val="center"/>
          </w:tcPr>
          <w:p w14:paraId="19A8CBB4">
            <w:pPr>
              <w:spacing w:line="360" w:lineRule="exact"/>
              <w:jc w:val="center"/>
              <w:rPr>
                <w:rFonts w:ascii="宋体" w:hAnsi="宋体" w:cs="宋体"/>
                <w:szCs w:val="21"/>
              </w:rPr>
            </w:pPr>
          </w:p>
        </w:tc>
        <w:tc>
          <w:tcPr>
            <w:tcW w:w="1409" w:type="dxa"/>
            <w:vAlign w:val="center"/>
          </w:tcPr>
          <w:p w14:paraId="79E189DF">
            <w:pPr>
              <w:spacing w:line="360" w:lineRule="exact"/>
              <w:jc w:val="center"/>
              <w:rPr>
                <w:rFonts w:ascii="宋体" w:hAnsi="宋体" w:cs="宋体"/>
                <w:szCs w:val="21"/>
              </w:rPr>
            </w:pPr>
          </w:p>
        </w:tc>
        <w:tc>
          <w:tcPr>
            <w:tcW w:w="1667" w:type="dxa"/>
            <w:vAlign w:val="center"/>
          </w:tcPr>
          <w:p w14:paraId="629AB4C7">
            <w:pPr>
              <w:spacing w:line="360" w:lineRule="exact"/>
              <w:rPr>
                <w:rFonts w:ascii="宋体" w:hAnsi="宋体" w:cs="宋体"/>
                <w:szCs w:val="21"/>
              </w:rPr>
            </w:pPr>
            <w:r>
              <w:rPr>
                <w:rFonts w:hint="eastAsia" w:ascii="宋体" w:hAnsi="宋体" w:cs="宋体"/>
                <w:szCs w:val="21"/>
              </w:rPr>
              <w:t>干净、无杂物、无污迹</w:t>
            </w:r>
          </w:p>
        </w:tc>
      </w:tr>
      <w:tr w14:paraId="0B5C6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6759D938">
            <w:pPr>
              <w:spacing w:line="360" w:lineRule="exact"/>
              <w:rPr>
                <w:rFonts w:ascii="宋体" w:hAnsi="宋体" w:cs="宋体"/>
                <w:szCs w:val="21"/>
              </w:rPr>
            </w:pPr>
          </w:p>
        </w:tc>
        <w:tc>
          <w:tcPr>
            <w:tcW w:w="573" w:type="dxa"/>
            <w:vAlign w:val="center"/>
          </w:tcPr>
          <w:p w14:paraId="3C02906D">
            <w:pPr>
              <w:spacing w:line="360" w:lineRule="exact"/>
              <w:jc w:val="center"/>
              <w:rPr>
                <w:rFonts w:ascii="宋体" w:hAnsi="宋体" w:cs="宋体"/>
                <w:szCs w:val="21"/>
              </w:rPr>
            </w:pPr>
            <w:r>
              <w:rPr>
                <w:rFonts w:hint="eastAsia" w:ascii="宋体" w:hAnsi="宋体" w:cs="宋体"/>
                <w:szCs w:val="21"/>
              </w:rPr>
              <w:t>2</w:t>
            </w:r>
          </w:p>
        </w:tc>
        <w:tc>
          <w:tcPr>
            <w:tcW w:w="1536" w:type="dxa"/>
          </w:tcPr>
          <w:p w14:paraId="7AC2098B">
            <w:pPr>
              <w:spacing w:line="360" w:lineRule="exact"/>
              <w:rPr>
                <w:rFonts w:ascii="宋体" w:hAnsi="宋体" w:cs="宋体"/>
                <w:szCs w:val="21"/>
              </w:rPr>
            </w:pPr>
            <w:r>
              <w:rPr>
                <w:rFonts w:hint="eastAsia" w:ascii="宋体" w:hAnsi="宋体" w:cs="宋体"/>
                <w:szCs w:val="21"/>
              </w:rPr>
              <w:t>公布栏、宣传栏</w:t>
            </w:r>
          </w:p>
        </w:tc>
        <w:tc>
          <w:tcPr>
            <w:tcW w:w="1276" w:type="dxa"/>
          </w:tcPr>
          <w:p w14:paraId="2474E232">
            <w:pPr>
              <w:spacing w:line="360" w:lineRule="exact"/>
              <w:rPr>
                <w:rFonts w:ascii="宋体" w:hAnsi="宋体" w:cs="宋体"/>
                <w:szCs w:val="21"/>
              </w:rPr>
            </w:pPr>
            <w:r>
              <w:rPr>
                <w:rFonts w:hint="eastAsia" w:ascii="宋体" w:hAnsi="宋体" w:cs="宋体"/>
                <w:szCs w:val="21"/>
              </w:rPr>
              <w:t>擦抹一次</w:t>
            </w:r>
          </w:p>
        </w:tc>
        <w:tc>
          <w:tcPr>
            <w:tcW w:w="1426" w:type="dxa"/>
          </w:tcPr>
          <w:p w14:paraId="4D2D3272">
            <w:pPr>
              <w:spacing w:line="360" w:lineRule="exact"/>
              <w:rPr>
                <w:rFonts w:ascii="宋体" w:hAnsi="宋体" w:cs="宋体"/>
                <w:szCs w:val="21"/>
              </w:rPr>
            </w:pPr>
          </w:p>
        </w:tc>
        <w:tc>
          <w:tcPr>
            <w:tcW w:w="1134" w:type="dxa"/>
          </w:tcPr>
          <w:p w14:paraId="5053B400">
            <w:pPr>
              <w:spacing w:line="360" w:lineRule="exact"/>
              <w:jc w:val="center"/>
              <w:rPr>
                <w:rFonts w:ascii="宋体" w:hAnsi="宋体" w:cs="宋体"/>
                <w:szCs w:val="21"/>
              </w:rPr>
            </w:pPr>
            <w:r>
              <w:rPr>
                <w:rFonts w:hint="eastAsia" w:ascii="宋体" w:hAnsi="宋体" w:cs="宋体"/>
                <w:szCs w:val="21"/>
              </w:rPr>
              <w:t>清洗一次</w:t>
            </w:r>
          </w:p>
        </w:tc>
        <w:tc>
          <w:tcPr>
            <w:tcW w:w="1409" w:type="dxa"/>
          </w:tcPr>
          <w:p w14:paraId="4D143F88">
            <w:pPr>
              <w:spacing w:line="360" w:lineRule="exact"/>
              <w:rPr>
                <w:rFonts w:ascii="宋体" w:hAnsi="宋体" w:cs="宋体"/>
                <w:szCs w:val="21"/>
              </w:rPr>
            </w:pPr>
          </w:p>
        </w:tc>
        <w:tc>
          <w:tcPr>
            <w:tcW w:w="1667" w:type="dxa"/>
          </w:tcPr>
          <w:p w14:paraId="38E4476F">
            <w:pPr>
              <w:spacing w:line="360" w:lineRule="exact"/>
              <w:rPr>
                <w:rFonts w:ascii="宋体" w:hAnsi="宋体" w:cs="宋体"/>
                <w:szCs w:val="21"/>
              </w:rPr>
            </w:pPr>
            <w:r>
              <w:rPr>
                <w:rFonts w:hint="eastAsia" w:ascii="宋体" w:hAnsi="宋体" w:cs="宋体"/>
                <w:szCs w:val="21"/>
              </w:rPr>
              <w:t>明亮光洁、无污迹</w:t>
            </w:r>
          </w:p>
        </w:tc>
      </w:tr>
      <w:tr w14:paraId="28889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1C7E0CE9">
            <w:pPr>
              <w:spacing w:line="360" w:lineRule="exact"/>
              <w:rPr>
                <w:rFonts w:ascii="宋体" w:hAnsi="宋体" w:cs="宋体"/>
                <w:szCs w:val="21"/>
              </w:rPr>
            </w:pPr>
          </w:p>
        </w:tc>
        <w:tc>
          <w:tcPr>
            <w:tcW w:w="573" w:type="dxa"/>
            <w:vAlign w:val="center"/>
          </w:tcPr>
          <w:p w14:paraId="3DA3BB55">
            <w:pPr>
              <w:spacing w:line="360" w:lineRule="exact"/>
              <w:jc w:val="center"/>
              <w:rPr>
                <w:rFonts w:ascii="宋体" w:hAnsi="宋体" w:cs="宋体"/>
                <w:szCs w:val="21"/>
              </w:rPr>
            </w:pPr>
            <w:r>
              <w:rPr>
                <w:rFonts w:hint="eastAsia" w:ascii="宋体" w:hAnsi="宋体" w:cs="宋体"/>
                <w:szCs w:val="21"/>
              </w:rPr>
              <w:t>3</w:t>
            </w:r>
          </w:p>
        </w:tc>
        <w:tc>
          <w:tcPr>
            <w:tcW w:w="1536" w:type="dxa"/>
            <w:vAlign w:val="center"/>
          </w:tcPr>
          <w:p w14:paraId="256F7BC1">
            <w:pPr>
              <w:spacing w:line="360" w:lineRule="exact"/>
              <w:jc w:val="center"/>
              <w:rPr>
                <w:rFonts w:ascii="宋体" w:hAnsi="宋体" w:cs="宋体"/>
                <w:szCs w:val="21"/>
              </w:rPr>
            </w:pPr>
          </w:p>
          <w:p w14:paraId="03E38EC8">
            <w:pPr>
              <w:spacing w:line="360" w:lineRule="exact"/>
              <w:jc w:val="center"/>
              <w:rPr>
                <w:rFonts w:ascii="宋体" w:hAnsi="宋体" w:cs="宋体"/>
                <w:szCs w:val="21"/>
              </w:rPr>
            </w:pPr>
            <w:r>
              <w:rPr>
                <w:rFonts w:hint="eastAsia" w:ascii="宋体" w:hAnsi="宋体" w:cs="宋体"/>
                <w:szCs w:val="21"/>
              </w:rPr>
              <w:t>公共灯具</w:t>
            </w:r>
          </w:p>
        </w:tc>
        <w:tc>
          <w:tcPr>
            <w:tcW w:w="1276" w:type="dxa"/>
            <w:vAlign w:val="center"/>
          </w:tcPr>
          <w:p w14:paraId="64D1839A">
            <w:pPr>
              <w:spacing w:line="360" w:lineRule="exact"/>
              <w:jc w:val="center"/>
              <w:rPr>
                <w:rFonts w:ascii="宋体" w:hAnsi="宋体" w:cs="宋体"/>
                <w:szCs w:val="21"/>
              </w:rPr>
            </w:pPr>
            <w:r>
              <w:rPr>
                <w:rFonts w:hint="eastAsia" w:ascii="宋体" w:hAnsi="宋体" w:cs="宋体"/>
                <w:szCs w:val="21"/>
              </w:rPr>
              <w:t>清抹灯罩一次</w:t>
            </w:r>
          </w:p>
        </w:tc>
        <w:tc>
          <w:tcPr>
            <w:tcW w:w="1426" w:type="dxa"/>
            <w:vAlign w:val="center"/>
          </w:tcPr>
          <w:p w14:paraId="5AF2C457">
            <w:pPr>
              <w:spacing w:line="360" w:lineRule="exact"/>
              <w:rPr>
                <w:rFonts w:ascii="宋体" w:hAnsi="宋体" w:cs="宋体"/>
                <w:szCs w:val="21"/>
              </w:rPr>
            </w:pPr>
            <w:r>
              <w:rPr>
                <w:rFonts w:hint="eastAsia" w:ascii="宋体" w:hAnsi="宋体" w:cs="宋体"/>
                <w:szCs w:val="21"/>
              </w:rPr>
              <w:t>用不锈钢油擦抹灯柱一次</w:t>
            </w:r>
          </w:p>
        </w:tc>
        <w:tc>
          <w:tcPr>
            <w:tcW w:w="1134" w:type="dxa"/>
            <w:vAlign w:val="center"/>
          </w:tcPr>
          <w:p w14:paraId="05DE0845">
            <w:pPr>
              <w:spacing w:line="360" w:lineRule="exact"/>
              <w:jc w:val="center"/>
              <w:rPr>
                <w:rFonts w:ascii="宋体" w:hAnsi="宋体" w:cs="宋体"/>
                <w:szCs w:val="21"/>
              </w:rPr>
            </w:pPr>
          </w:p>
        </w:tc>
        <w:tc>
          <w:tcPr>
            <w:tcW w:w="1409" w:type="dxa"/>
            <w:vAlign w:val="center"/>
          </w:tcPr>
          <w:p w14:paraId="026F8828">
            <w:pPr>
              <w:spacing w:line="360" w:lineRule="exact"/>
              <w:jc w:val="center"/>
              <w:rPr>
                <w:rFonts w:ascii="宋体" w:hAnsi="宋体" w:cs="宋体"/>
                <w:szCs w:val="21"/>
              </w:rPr>
            </w:pPr>
          </w:p>
        </w:tc>
        <w:tc>
          <w:tcPr>
            <w:tcW w:w="1667" w:type="dxa"/>
            <w:vAlign w:val="center"/>
          </w:tcPr>
          <w:p w14:paraId="1CE58A27">
            <w:pPr>
              <w:spacing w:line="360" w:lineRule="exact"/>
              <w:jc w:val="center"/>
              <w:rPr>
                <w:rFonts w:ascii="宋体" w:hAnsi="宋体" w:cs="宋体"/>
                <w:szCs w:val="21"/>
              </w:rPr>
            </w:pPr>
            <w:r>
              <w:rPr>
                <w:rFonts w:hint="eastAsia" w:ascii="宋体" w:hAnsi="宋体" w:cs="宋体"/>
                <w:szCs w:val="21"/>
              </w:rPr>
              <w:t>干净光亮</w:t>
            </w:r>
          </w:p>
        </w:tc>
      </w:tr>
      <w:tr w14:paraId="0A2BF8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9A3D944">
            <w:pPr>
              <w:spacing w:line="360" w:lineRule="exact"/>
              <w:rPr>
                <w:rFonts w:ascii="宋体" w:hAnsi="宋体" w:cs="宋体"/>
                <w:szCs w:val="21"/>
              </w:rPr>
            </w:pPr>
          </w:p>
        </w:tc>
        <w:tc>
          <w:tcPr>
            <w:tcW w:w="573" w:type="dxa"/>
            <w:vAlign w:val="center"/>
          </w:tcPr>
          <w:p w14:paraId="60A4155D">
            <w:pPr>
              <w:spacing w:line="360" w:lineRule="exact"/>
              <w:jc w:val="center"/>
              <w:rPr>
                <w:rFonts w:ascii="宋体" w:hAnsi="宋体" w:cs="宋体"/>
                <w:szCs w:val="21"/>
              </w:rPr>
            </w:pPr>
            <w:r>
              <w:rPr>
                <w:rFonts w:hint="eastAsia" w:ascii="宋体" w:hAnsi="宋体" w:cs="宋体"/>
                <w:szCs w:val="21"/>
              </w:rPr>
              <w:t>4</w:t>
            </w:r>
          </w:p>
        </w:tc>
        <w:tc>
          <w:tcPr>
            <w:tcW w:w="1536" w:type="dxa"/>
            <w:vAlign w:val="center"/>
          </w:tcPr>
          <w:p w14:paraId="19F3861E">
            <w:pPr>
              <w:spacing w:line="360" w:lineRule="exact"/>
              <w:jc w:val="center"/>
              <w:rPr>
                <w:rFonts w:ascii="宋体" w:hAnsi="宋体" w:cs="宋体"/>
                <w:szCs w:val="21"/>
              </w:rPr>
            </w:pPr>
            <w:r>
              <w:rPr>
                <w:rFonts w:hint="eastAsia" w:ascii="宋体" w:hAnsi="宋体" w:cs="宋体"/>
                <w:szCs w:val="21"/>
              </w:rPr>
              <w:t>绿化带</w:t>
            </w:r>
          </w:p>
        </w:tc>
        <w:tc>
          <w:tcPr>
            <w:tcW w:w="1276" w:type="dxa"/>
            <w:vAlign w:val="center"/>
          </w:tcPr>
          <w:p w14:paraId="50E40D71">
            <w:pPr>
              <w:spacing w:line="360" w:lineRule="exact"/>
              <w:jc w:val="center"/>
              <w:rPr>
                <w:rFonts w:ascii="宋体" w:hAnsi="宋体" w:cs="宋体"/>
                <w:szCs w:val="21"/>
              </w:rPr>
            </w:pPr>
            <w:r>
              <w:rPr>
                <w:rFonts w:hint="eastAsia" w:ascii="宋体" w:hAnsi="宋体" w:cs="宋体"/>
                <w:szCs w:val="21"/>
              </w:rPr>
              <w:t>清理多次</w:t>
            </w:r>
          </w:p>
        </w:tc>
        <w:tc>
          <w:tcPr>
            <w:tcW w:w="1426" w:type="dxa"/>
            <w:vAlign w:val="center"/>
          </w:tcPr>
          <w:p w14:paraId="4CE92314">
            <w:pPr>
              <w:spacing w:line="360" w:lineRule="exact"/>
              <w:jc w:val="center"/>
              <w:rPr>
                <w:rFonts w:ascii="宋体" w:hAnsi="宋体" w:cs="宋体"/>
                <w:szCs w:val="21"/>
              </w:rPr>
            </w:pPr>
          </w:p>
        </w:tc>
        <w:tc>
          <w:tcPr>
            <w:tcW w:w="1134" w:type="dxa"/>
            <w:vAlign w:val="center"/>
          </w:tcPr>
          <w:p w14:paraId="12BA4703">
            <w:pPr>
              <w:spacing w:line="360" w:lineRule="exact"/>
              <w:jc w:val="center"/>
              <w:rPr>
                <w:rFonts w:ascii="宋体" w:hAnsi="宋体" w:cs="宋体"/>
                <w:szCs w:val="21"/>
              </w:rPr>
            </w:pPr>
          </w:p>
        </w:tc>
        <w:tc>
          <w:tcPr>
            <w:tcW w:w="1409" w:type="dxa"/>
            <w:vAlign w:val="center"/>
          </w:tcPr>
          <w:p w14:paraId="1C9CA9AD">
            <w:pPr>
              <w:spacing w:line="360" w:lineRule="exact"/>
              <w:jc w:val="center"/>
              <w:rPr>
                <w:rFonts w:ascii="宋体" w:hAnsi="宋体" w:cs="宋体"/>
                <w:szCs w:val="21"/>
              </w:rPr>
            </w:pPr>
          </w:p>
        </w:tc>
        <w:tc>
          <w:tcPr>
            <w:tcW w:w="1667" w:type="dxa"/>
            <w:vAlign w:val="center"/>
          </w:tcPr>
          <w:p w14:paraId="79774867">
            <w:pPr>
              <w:spacing w:line="360" w:lineRule="exact"/>
              <w:jc w:val="center"/>
              <w:rPr>
                <w:rFonts w:ascii="宋体" w:hAnsi="宋体" w:cs="宋体"/>
                <w:szCs w:val="21"/>
              </w:rPr>
            </w:pPr>
            <w:r>
              <w:rPr>
                <w:rFonts w:hint="eastAsia" w:ascii="宋体" w:hAnsi="宋体" w:cs="宋体"/>
                <w:szCs w:val="21"/>
              </w:rPr>
              <w:t>无杂物</w:t>
            </w:r>
          </w:p>
        </w:tc>
      </w:tr>
      <w:tr w14:paraId="029EC4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09B9B4A2">
            <w:pPr>
              <w:spacing w:line="360" w:lineRule="exact"/>
              <w:rPr>
                <w:rFonts w:ascii="宋体" w:hAnsi="宋体" w:cs="宋体"/>
                <w:szCs w:val="21"/>
              </w:rPr>
            </w:pPr>
          </w:p>
        </w:tc>
        <w:tc>
          <w:tcPr>
            <w:tcW w:w="573" w:type="dxa"/>
            <w:vAlign w:val="center"/>
          </w:tcPr>
          <w:p w14:paraId="422B4452">
            <w:pPr>
              <w:spacing w:line="360" w:lineRule="exact"/>
              <w:jc w:val="center"/>
              <w:rPr>
                <w:rFonts w:ascii="宋体" w:hAnsi="宋体" w:cs="宋体"/>
                <w:szCs w:val="21"/>
              </w:rPr>
            </w:pPr>
            <w:r>
              <w:rPr>
                <w:rFonts w:hint="eastAsia" w:ascii="宋体" w:hAnsi="宋体" w:cs="宋体"/>
                <w:szCs w:val="21"/>
              </w:rPr>
              <w:t>5</w:t>
            </w:r>
          </w:p>
        </w:tc>
        <w:tc>
          <w:tcPr>
            <w:tcW w:w="1536" w:type="dxa"/>
            <w:vAlign w:val="center"/>
          </w:tcPr>
          <w:p w14:paraId="47F8473A">
            <w:pPr>
              <w:spacing w:line="360" w:lineRule="exact"/>
              <w:jc w:val="center"/>
              <w:rPr>
                <w:rFonts w:ascii="宋体" w:hAnsi="宋体" w:cs="宋体"/>
                <w:szCs w:val="21"/>
              </w:rPr>
            </w:pPr>
            <w:r>
              <w:rPr>
                <w:rFonts w:hint="eastAsia" w:ascii="宋体" w:hAnsi="宋体" w:cs="宋体"/>
                <w:szCs w:val="21"/>
              </w:rPr>
              <w:t>栏杆</w:t>
            </w:r>
          </w:p>
        </w:tc>
        <w:tc>
          <w:tcPr>
            <w:tcW w:w="1276" w:type="dxa"/>
            <w:vAlign w:val="center"/>
          </w:tcPr>
          <w:p w14:paraId="3E5F3806">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35C12432">
            <w:pPr>
              <w:spacing w:line="360" w:lineRule="exact"/>
              <w:jc w:val="center"/>
              <w:rPr>
                <w:rFonts w:ascii="宋体" w:hAnsi="宋体" w:cs="宋体"/>
                <w:szCs w:val="21"/>
              </w:rPr>
            </w:pPr>
          </w:p>
        </w:tc>
        <w:tc>
          <w:tcPr>
            <w:tcW w:w="1134" w:type="dxa"/>
            <w:vAlign w:val="center"/>
          </w:tcPr>
          <w:p w14:paraId="6E8B821C">
            <w:pPr>
              <w:spacing w:line="360" w:lineRule="exact"/>
              <w:jc w:val="center"/>
              <w:rPr>
                <w:rFonts w:ascii="宋体" w:hAnsi="宋体" w:cs="宋体"/>
                <w:szCs w:val="21"/>
              </w:rPr>
            </w:pPr>
            <w:r>
              <w:rPr>
                <w:rFonts w:hint="eastAsia" w:ascii="宋体" w:hAnsi="宋体" w:cs="宋体"/>
                <w:szCs w:val="21"/>
              </w:rPr>
              <w:t>用清洁剂清抹一次</w:t>
            </w:r>
          </w:p>
        </w:tc>
        <w:tc>
          <w:tcPr>
            <w:tcW w:w="1409" w:type="dxa"/>
            <w:vAlign w:val="center"/>
          </w:tcPr>
          <w:p w14:paraId="10DEEE2C">
            <w:pPr>
              <w:spacing w:line="360" w:lineRule="exact"/>
              <w:jc w:val="center"/>
              <w:rPr>
                <w:rFonts w:ascii="宋体" w:hAnsi="宋体" w:cs="宋体"/>
                <w:szCs w:val="21"/>
              </w:rPr>
            </w:pPr>
          </w:p>
        </w:tc>
        <w:tc>
          <w:tcPr>
            <w:tcW w:w="1667" w:type="dxa"/>
            <w:vAlign w:val="center"/>
          </w:tcPr>
          <w:p w14:paraId="5A495FF1">
            <w:pPr>
              <w:spacing w:line="360" w:lineRule="exact"/>
              <w:rPr>
                <w:rFonts w:ascii="宋体" w:hAnsi="宋体" w:cs="宋体"/>
                <w:szCs w:val="21"/>
              </w:rPr>
            </w:pPr>
            <w:r>
              <w:rPr>
                <w:rFonts w:hint="eastAsia" w:ascii="宋体" w:hAnsi="宋体" w:cs="宋体"/>
                <w:szCs w:val="21"/>
              </w:rPr>
              <w:t>干净、无污迹</w:t>
            </w:r>
          </w:p>
        </w:tc>
      </w:tr>
      <w:tr w14:paraId="0CA75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715EC582">
            <w:pPr>
              <w:spacing w:line="360" w:lineRule="exact"/>
              <w:rPr>
                <w:rFonts w:ascii="宋体" w:hAnsi="宋体" w:cs="宋体"/>
                <w:szCs w:val="21"/>
              </w:rPr>
            </w:pPr>
          </w:p>
        </w:tc>
        <w:tc>
          <w:tcPr>
            <w:tcW w:w="573" w:type="dxa"/>
            <w:vAlign w:val="center"/>
          </w:tcPr>
          <w:p w14:paraId="1AFFB3BB">
            <w:pPr>
              <w:spacing w:line="360" w:lineRule="exact"/>
              <w:jc w:val="center"/>
              <w:rPr>
                <w:rFonts w:ascii="宋体" w:hAnsi="宋体" w:cs="宋体"/>
                <w:szCs w:val="21"/>
              </w:rPr>
            </w:pPr>
            <w:r>
              <w:rPr>
                <w:rFonts w:hint="eastAsia" w:ascii="宋体" w:hAnsi="宋体" w:cs="宋体"/>
                <w:szCs w:val="21"/>
              </w:rPr>
              <w:t>6</w:t>
            </w:r>
          </w:p>
        </w:tc>
        <w:tc>
          <w:tcPr>
            <w:tcW w:w="1536" w:type="dxa"/>
            <w:vAlign w:val="center"/>
          </w:tcPr>
          <w:p w14:paraId="1444C0A5">
            <w:pPr>
              <w:spacing w:line="360" w:lineRule="exact"/>
              <w:rPr>
                <w:rFonts w:ascii="宋体" w:hAnsi="宋体" w:cs="宋体"/>
                <w:szCs w:val="21"/>
              </w:rPr>
            </w:pPr>
            <w:r>
              <w:rPr>
                <w:rFonts w:hint="eastAsia" w:ascii="宋体" w:hAnsi="宋体" w:cs="宋体"/>
                <w:szCs w:val="21"/>
              </w:rPr>
              <w:t>沟渠、污水、废水及其管道井盖</w:t>
            </w:r>
          </w:p>
        </w:tc>
        <w:tc>
          <w:tcPr>
            <w:tcW w:w="1276" w:type="dxa"/>
            <w:vAlign w:val="center"/>
          </w:tcPr>
          <w:p w14:paraId="1FE29ABB">
            <w:pPr>
              <w:spacing w:line="360" w:lineRule="exact"/>
              <w:jc w:val="center"/>
              <w:rPr>
                <w:rFonts w:ascii="宋体" w:hAnsi="宋体" w:cs="宋体"/>
                <w:szCs w:val="21"/>
              </w:rPr>
            </w:pPr>
          </w:p>
        </w:tc>
        <w:tc>
          <w:tcPr>
            <w:tcW w:w="1426" w:type="dxa"/>
            <w:vAlign w:val="center"/>
          </w:tcPr>
          <w:p w14:paraId="1243BE40">
            <w:pPr>
              <w:spacing w:line="360" w:lineRule="exact"/>
              <w:jc w:val="center"/>
              <w:rPr>
                <w:rFonts w:ascii="宋体" w:hAnsi="宋体" w:cs="宋体"/>
                <w:szCs w:val="21"/>
              </w:rPr>
            </w:pPr>
            <w:r>
              <w:rPr>
                <w:rFonts w:hint="eastAsia" w:ascii="宋体" w:hAnsi="宋体" w:cs="宋体"/>
                <w:szCs w:val="21"/>
              </w:rPr>
              <w:t>清理一次</w:t>
            </w:r>
          </w:p>
        </w:tc>
        <w:tc>
          <w:tcPr>
            <w:tcW w:w="1134" w:type="dxa"/>
            <w:vAlign w:val="center"/>
          </w:tcPr>
          <w:p w14:paraId="6F47C29A">
            <w:pPr>
              <w:spacing w:line="360" w:lineRule="exact"/>
              <w:jc w:val="center"/>
              <w:rPr>
                <w:rFonts w:ascii="宋体" w:hAnsi="宋体" w:cs="宋体"/>
                <w:szCs w:val="21"/>
              </w:rPr>
            </w:pPr>
            <w:r>
              <w:rPr>
                <w:rFonts w:hint="eastAsia" w:ascii="宋体" w:hAnsi="宋体" w:cs="宋体"/>
                <w:szCs w:val="21"/>
              </w:rPr>
              <w:t>全面清理一次</w:t>
            </w:r>
          </w:p>
        </w:tc>
        <w:tc>
          <w:tcPr>
            <w:tcW w:w="1409" w:type="dxa"/>
            <w:vAlign w:val="center"/>
          </w:tcPr>
          <w:p w14:paraId="6C359B8F">
            <w:pPr>
              <w:spacing w:line="360" w:lineRule="exact"/>
              <w:jc w:val="center"/>
              <w:rPr>
                <w:rFonts w:ascii="宋体" w:hAnsi="宋体" w:cs="宋体"/>
                <w:szCs w:val="21"/>
              </w:rPr>
            </w:pPr>
          </w:p>
        </w:tc>
        <w:tc>
          <w:tcPr>
            <w:tcW w:w="1667" w:type="dxa"/>
            <w:vAlign w:val="center"/>
          </w:tcPr>
          <w:p w14:paraId="57F9F20C">
            <w:pPr>
              <w:spacing w:line="360" w:lineRule="exact"/>
              <w:rPr>
                <w:rFonts w:ascii="宋体" w:hAnsi="宋体" w:cs="宋体"/>
                <w:szCs w:val="21"/>
              </w:rPr>
            </w:pPr>
            <w:r>
              <w:rPr>
                <w:rFonts w:hint="eastAsia" w:ascii="宋体" w:hAnsi="宋体" w:cs="宋体"/>
                <w:szCs w:val="21"/>
              </w:rPr>
              <w:t>确保通畅、无异物、异味</w:t>
            </w:r>
          </w:p>
        </w:tc>
      </w:tr>
      <w:tr w14:paraId="0EB4B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0502F717">
            <w:pPr>
              <w:spacing w:line="360" w:lineRule="exact"/>
              <w:rPr>
                <w:rFonts w:ascii="宋体" w:hAnsi="宋体" w:cs="宋体"/>
                <w:szCs w:val="21"/>
              </w:rPr>
            </w:pPr>
          </w:p>
        </w:tc>
        <w:tc>
          <w:tcPr>
            <w:tcW w:w="573" w:type="dxa"/>
            <w:vAlign w:val="center"/>
          </w:tcPr>
          <w:p w14:paraId="43BCBB8B">
            <w:pPr>
              <w:spacing w:line="360" w:lineRule="exact"/>
              <w:jc w:val="center"/>
              <w:rPr>
                <w:rFonts w:ascii="宋体" w:hAnsi="宋体" w:cs="宋体"/>
                <w:szCs w:val="21"/>
              </w:rPr>
            </w:pPr>
            <w:r>
              <w:rPr>
                <w:rFonts w:hint="eastAsia" w:ascii="宋体" w:hAnsi="宋体" w:cs="宋体"/>
                <w:szCs w:val="21"/>
              </w:rPr>
              <w:t>7</w:t>
            </w:r>
          </w:p>
        </w:tc>
        <w:tc>
          <w:tcPr>
            <w:tcW w:w="1536" w:type="dxa"/>
            <w:vAlign w:val="center"/>
          </w:tcPr>
          <w:p w14:paraId="1868EFAA">
            <w:pPr>
              <w:spacing w:line="360" w:lineRule="exact"/>
              <w:rPr>
                <w:rFonts w:ascii="宋体" w:hAnsi="宋体" w:cs="宋体"/>
                <w:szCs w:val="21"/>
              </w:rPr>
            </w:pPr>
            <w:r>
              <w:rPr>
                <w:rFonts w:hint="eastAsia" w:ascii="宋体" w:hAnsi="宋体" w:cs="宋体"/>
                <w:szCs w:val="21"/>
              </w:rPr>
              <w:t>雨水成砂池</w:t>
            </w:r>
          </w:p>
        </w:tc>
        <w:tc>
          <w:tcPr>
            <w:tcW w:w="1276" w:type="dxa"/>
            <w:vAlign w:val="center"/>
          </w:tcPr>
          <w:p w14:paraId="59D40847">
            <w:pPr>
              <w:spacing w:line="360" w:lineRule="exact"/>
              <w:rPr>
                <w:rFonts w:ascii="宋体" w:hAnsi="宋体" w:cs="宋体"/>
                <w:szCs w:val="21"/>
              </w:rPr>
            </w:pPr>
          </w:p>
        </w:tc>
        <w:tc>
          <w:tcPr>
            <w:tcW w:w="1426" w:type="dxa"/>
            <w:vAlign w:val="center"/>
          </w:tcPr>
          <w:p w14:paraId="3E301566">
            <w:pPr>
              <w:spacing w:line="360" w:lineRule="exact"/>
              <w:rPr>
                <w:rFonts w:ascii="宋体" w:hAnsi="宋体" w:cs="宋体"/>
                <w:szCs w:val="21"/>
              </w:rPr>
            </w:pPr>
          </w:p>
        </w:tc>
        <w:tc>
          <w:tcPr>
            <w:tcW w:w="1134" w:type="dxa"/>
            <w:vAlign w:val="center"/>
          </w:tcPr>
          <w:p w14:paraId="426EE490">
            <w:pPr>
              <w:spacing w:line="360" w:lineRule="exact"/>
              <w:rPr>
                <w:rFonts w:ascii="宋体" w:hAnsi="宋体" w:cs="宋体"/>
                <w:szCs w:val="21"/>
              </w:rPr>
            </w:pPr>
          </w:p>
        </w:tc>
        <w:tc>
          <w:tcPr>
            <w:tcW w:w="1409" w:type="dxa"/>
            <w:vAlign w:val="center"/>
          </w:tcPr>
          <w:p w14:paraId="521CFD94">
            <w:pPr>
              <w:spacing w:line="360" w:lineRule="exact"/>
              <w:rPr>
                <w:rFonts w:ascii="宋体" w:hAnsi="宋体" w:cs="宋体"/>
                <w:szCs w:val="21"/>
              </w:rPr>
            </w:pPr>
            <w:r>
              <w:rPr>
                <w:rFonts w:hint="eastAsia" w:ascii="宋体" w:hAnsi="宋体" w:cs="宋体"/>
                <w:szCs w:val="21"/>
              </w:rPr>
              <w:t>清理一次</w:t>
            </w:r>
          </w:p>
        </w:tc>
        <w:tc>
          <w:tcPr>
            <w:tcW w:w="1667" w:type="dxa"/>
            <w:vAlign w:val="center"/>
          </w:tcPr>
          <w:p w14:paraId="4C9ED632">
            <w:pPr>
              <w:spacing w:line="360" w:lineRule="exact"/>
              <w:rPr>
                <w:rFonts w:ascii="宋体" w:hAnsi="宋体" w:cs="宋体"/>
                <w:szCs w:val="21"/>
              </w:rPr>
            </w:pPr>
            <w:r>
              <w:rPr>
                <w:rFonts w:hint="eastAsia" w:ascii="宋体" w:hAnsi="宋体" w:cs="宋体"/>
                <w:szCs w:val="21"/>
              </w:rPr>
              <w:t>干净</w:t>
            </w:r>
          </w:p>
        </w:tc>
      </w:tr>
      <w:tr w14:paraId="43FECE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17C75181">
            <w:pPr>
              <w:spacing w:line="360" w:lineRule="exact"/>
              <w:rPr>
                <w:rFonts w:ascii="宋体" w:hAnsi="宋体" w:cs="宋体"/>
                <w:szCs w:val="21"/>
              </w:rPr>
            </w:pPr>
          </w:p>
        </w:tc>
        <w:tc>
          <w:tcPr>
            <w:tcW w:w="573" w:type="dxa"/>
            <w:vAlign w:val="center"/>
          </w:tcPr>
          <w:p w14:paraId="5DEF793F">
            <w:pPr>
              <w:spacing w:line="360" w:lineRule="exact"/>
              <w:jc w:val="center"/>
              <w:rPr>
                <w:rFonts w:ascii="宋体" w:hAnsi="宋体" w:cs="宋体"/>
                <w:szCs w:val="21"/>
              </w:rPr>
            </w:pPr>
            <w:r>
              <w:rPr>
                <w:rFonts w:hint="eastAsia" w:ascii="宋体" w:hAnsi="宋体" w:cs="宋体"/>
                <w:szCs w:val="21"/>
              </w:rPr>
              <w:t>8</w:t>
            </w:r>
          </w:p>
        </w:tc>
        <w:tc>
          <w:tcPr>
            <w:tcW w:w="1536" w:type="dxa"/>
            <w:vAlign w:val="center"/>
          </w:tcPr>
          <w:p w14:paraId="18050037">
            <w:pPr>
              <w:spacing w:line="360" w:lineRule="exact"/>
              <w:jc w:val="center"/>
              <w:rPr>
                <w:rFonts w:ascii="宋体" w:hAnsi="宋体" w:cs="宋体"/>
                <w:szCs w:val="21"/>
              </w:rPr>
            </w:pPr>
            <w:r>
              <w:rPr>
                <w:rFonts w:hint="eastAsia" w:ascii="宋体" w:hAnsi="宋体" w:cs="宋体"/>
                <w:szCs w:val="21"/>
              </w:rPr>
              <w:t>生活水池</w:t>
            </w:r>
          </w:p>
        </w:tc>
        <w:tc>
          <w:tcPr>
            <w:tcW w:w="1276" w:type="dxa"/>
            <w:vAlign w:val="center"/>
          </w:tcPr>
          <w:p w14:paraId="31602471">
            <w:pPr>
              <w:spacing w:line="360" w:lineRule="exact"/>
              <w:jc w:val="center"/>
              <w:rPr>
                <w:rFonts w:ascii="宋体" w:hAnsi="宋体" w:cs="宋体"/>
                <w:szCs w:val="21"/>
              </w:rPr>
            </w:pPr>
          </w:p>
        </w:tc>
        <w:tc>
          <w:tcPr>
            <w:tcW w:w="1426" w:type="dxa"/>
            <w:vAlign w:val="center"/>
          </w:tcPr>
          <w:p w14:paraId="4DAC8CE8">
            <w:pPr>
              <w:spacing w:line="360" w:lineRule="exact"/>
              <w:jc w:val="center"/>
              <w:rPr>
                <w:rFonts w:ascii="宋体" w:hAnsi="宋体" w:cs="宋体"/>
                <w:szCs w:val="21"/>
              </w:rPr>
            </w:pPr>
          </w:p>
        </w:tc>
        <w:tc>
          <w:tcPr>
            <w:tcW w:w="1134" w:type="dxa"/>
            <w:vAlign w:val="center"/>
          </w:tcPr>
          <w:p w14:paraId="6B291DFE">
            <w:pPr>
              <w:spacing w:line="360" w:lineRule="exact"/>
              <w:jc w:val="center"/>
              <w:rPr>
                <w:rFonts w:ascii="宋体" w:hAnsi="宋体" w:cs="宋体"/>
                <w:szCs w:val="21"/>
              </w:rPr>
            </w:pPr>
          </w:p>
        </w:tc>
        <w:tc>
          <w:tcPr>
            <w:tcW w:w="1409" w:type="dxa"/>
            <w:vAlign w:val="center"/>
          </w:tcPr>
          <w:p w14:paraId="3DE60142">
            <w:pPr>
              <w:spacing w:line="360" w:lineRule="exact"/>
              <w:jc w:val="center"/>
              <w:rPr>
                <w:rFonts w:ascii="宋体" w:hAnsi="宋体" w:cs="宋体"/>
                <w:szCs w:val="21"/>
              </w:rPr>
            </w:pPr>
            <w:r>
              <w:rPr>
                <w:rFonts w:hint="eastAsia" w:ascii="宋体" w:hAnsi="宋体" w:cs="宋体"/>
                <w:szCs w:val="21"/>
              </w:rPr>
              <w:t>清洗消毒一次</w:t>
            </w:r>
          </w:p>
        </w:tc>
        <w:tc>
          <w:tcPr>
            <w:tcW w:w="1667" w:type="dxa"/>
            <w:vAlign w:val="center"/>
          </w:tcPr>
          <w:p w14:paraId="2CB71738">
            <w:pPr>
              <w:spacing w:line="360" w:lineRule="exact"/>
              <w:jc w:val="center"/>
              <w:rPr>
                <w:rFonts w:ascii="宋体" w:hAnsi="宋体" w:cs="宋体"/>
                <w:szCs w:val="21"/>
              </w:rPr>
            </w:pPr>
            <w:r>
              <w:rPr>
                <w:rFonts w:hint="eastAsia" w:ascii="宋体" w:hAnsi="宋体" w:cs="宋体"/>
                <w:szCs w:val="21"/>
              </w:rPr>
              <w:t>每季度（特殊情况可增加频次）清洗消毒一次。做到干净、无异物、无异味。并提供水质检测报告</w:t>
            </w:r>
          </w:p>
        </w:tc>
      </w:tr>
      <w:tr w14:paraId="1BD3F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restart"/>
            <w:vAlign w:val="center"/>
          </w:tcPr>
          <w:p w14:paraId="2034F294">
            <w:pPr>
              <w:spacing w:line="360" w:lineRule="exact"/>
              <w:rPr>
                <w:rFonts w:ascii="宋体" w:hAnsi="宋体" w:cs="宋体"/>
                <w:szCs w:val="21"/>
              </w:rPr>
            </w:pPr>
            <w:r>
              <w:rPr>
                <w:rFonts w:hint="eastAsia" w:ascii="宋体" w:hAnsi="宋体" w:cs="宋体"/>
                <w:szCs w:val="21"/>
              </w:rPr>
              <w:t>按</w:t>
            </w:r>
          </w:p>
        </w:tc>
        <w:tc>
          <w:tcPr>
            <w:tcW w:w="573" w:type="dxa"/>
            <w:tcBorders>
              <w:bottom w:val="single" w:color="auto" w:sz="4" w:space="0"/>
            </w:tcBorders>
            <w:vAlign w:val="center"/>
          </w:tcPr>
          <w:p w14:paraId="62E27635">
            <w:pPr>
              <w:spacing w:line="360" w:lineRule="exact"/>
              <w:jc w:val="center"/>
              <w:rPr>
                <w:rFonts w:ascii="宋体" w:hAnsi="宋体" w:cs="宋体"/>
                <w:szCs w:val="21"/>
              </w:rPr>
            </w:pPr>
            <w:r>
              <w:rPr>
                <w:rFonts w:hint="eastAsia" w:ascii="宋体" w:hAnsi="宋体" w:cs="宋体"/>
                <w:szCs w:val="21"/>
              </w:rPr>
              <w:t>9</w:t>
            </w:r>
          </w:p>
        </w:tc>
        <w:tc>
          <w:tcPr>
            <w:tcW w:w="1536" w:type="dxa"/>
            <w:tcBorders>
              <w:bottom w:val="single" w:color="auto" w:sz="4" w:space="0"/>
            </w:tcBorders>
            <w:vAlign w:val="center"/>
          </w:tcPr>
          <w:p w14:paraId="66F2E194">
            <w:pPr>
              <w:spacing w:line="360" w:lineRule="exact"/>
              <w:rPr>
                <w:rFonts w:ascii="宋体" w:hAnsi="宋体" w:cs="宋体"/>
                <w:szCs w:val="21"/>
              </w:rPr>
            </w:pPr>
            <w:r>
              <w:rPr>
                <w:rFonts w:hint="eastAsia" w:ascii="宋体" w:hAnsi="宋体" w:cs="宋体"/>
                <w:szCs w:val="21"/>
              </w:rPr>
              <w:t>化粪池</w:t>
            </w:r>
          </w:p>
        </w:tc>
        <w:tc>
          <w:tcPr>
            <w:tcW w:w="1276" w:type="dxa"/>
            <w:tcBorders>
              <w:bottom w:val="single" w:color="auto" w:sz="4" w:space="0"/>
            </w:tcBorders>
            <w:vAlign w:val="center"/>
          </w:tcPr>
          <w:p w14:paraId="445F226E">
            <w:pPr>
              <w:spacing w:line="360" w:lineRule="exact"/>
              <w:rPr>
                <w:rFonts w:ascii="宋体" w:hAnsi="宋体" w:cs="宋体"/>
                <w:szCs w:val="21"/>
              </w:rPr>
            </w:pPr>
          </w:p>
        </w:tc>
        <w:tc>
          <w:tcPr>
            <w:tcW w:w="1426" w:type="dxa"/>
            <w:tcBorders>
              <w:bottom w:val="single" w:color="auto" w:sz="4" w:space="0"/>
            </w:tcBorders>
            <w:vAlign w:val="center"/>
          </w:tcPr>
          <w:p w14:paraId="0E2523FE">
            <w:pPr>
              <w:spacing w:line="360" w:lineRule="exact"/>
              <w:rPr>
                <w:rFonts w:ascii="宋体" w:hAnsi="宋体" w:cs="宋体"/>
                <w:szCs w:val="21"/>
              </w:rPr>
            </w:pPr>
          </w:p>
        </w:tc>
        <w:tc>
          <w:tcPr>
            <w:tcW w:w="1134" w:type="dxa"/>
            <w:tcBorders>
              <w:bottom w:val="single" w:color="auto" w:sz="4" w:space="0"/>
            </w:tcBorders>
            <w:vAlign w:val="center"/>
          </w:tcPr>
          <w:p w14:paraId="07549FA6">
            <w:pPr>
              <w:spacing w:line="360" w:lineRule="exact"/>
              <w:rPr>
                <w:rFonts w:ascii="宋体" w:hAnsi="宋体" w:cs="宋体"/>
                <w:szCs w:val="21"/>
              </w:rPr>
            </w:pPr>
          </w:p>
        </w:tc>
        <w:tc>
          <w:tcPr>
            <w:tcW w:w="1409" w:type="dxa"/>
            <w:tcBorders>
              <w:bottom w:val="single" w:color="auto" w:sz="4" w:space="0"/>
            </w:tcBorders>
            <w:vAlign w:val="center"/>
          </w:tcPr>
          <w:p w14:paraId="0D14327E">
            <w:pPr>
              <w:spacing w:line="360" w:lineRule="exact"/>
              <w:rPr>
                <w:rFonts w:ascii="宋体" w:hAnsi="宋体" w:cs="宋体"/>
                <w:szCs w:val="21"/>
              </w:rPr>
            </w:pPr>
            <w:r>
              <w:rPr>
                <w:rFonts w:hint="eastAsia" w:ascii="宋体" w:hAnsi="宋体" w:cs="宋体"/>
                <w:szCs w:val="21"/>
              </w:rPr>
              <w:t>清理一次</w:t>
            </w:r>
          </w:p>
        </w:tc>
        <w:tc>
          <w:tcPr>
            <w:tcW w:w="1667" w:type="dxa"/>
            <w:tcBorders>
              <w:bottom w:val="single" w:color="auto" w:sz="4" w:space="0"/>
            </w:tcBorders>
            <w:vAlign w:val="center"/>
          </w:tcPr>
          <w:p w14:paraId="624C80B5">
            <w:pPr>
              <w:spacing w:line="360" w:lineRule="exact"/>
              <w:rPr>
                <w:rFonts w:ascii="宋体" w:hAnsi="宋体" w:cs="宋体"/>
                <w:szCs w:val="21"/>
              </w:rPr>
            </w:pPr>
            <w:r>
              <w:rPr>
                <w:rFonts w:hint="eastAsia" w:ascii="宋体" w:hAnsi="宋体" w:cs="宋体"/>
                <w:szCs w:val="21"/>
              </w:rPr>
              <w:t>确保排污通畅，周围无异味</w:t>
            </w:r>
          </w:p>
        </w:tc>
      </w:tr>
      <w:tr w14:paraId="69132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160E5B1">
            <w:pPr>
              <w:spacing w:line="360" w:lineRule="exact"/>
              <w:rPr>
                <w:rFonts w:ascii="宋体" w:hAnsi="宋体" w:cs="宋体"/>
                <w:szCs w:val="21"/>
              </w:rPr>
            </w:pPr>
          </w:p>
        </w:tc>
        <w:tc>
          <w:tcPr>
            <w:tcW w:w="573" w:type="dxa"/>
            <w:tcBorders>
              <w:top w:val="single" w:color="auto" w:sz="4" w:space="0"/>
            </w:tcBorders>
            <w:vAlign w:val="center"/>
          </w:tcPr>
          <w:p w14:paraId="47039B2B">
            <w:pPr>
              <w:spacing w:line="360" w:lineRule="exact"/>
              <w:jc w:val="center"/>
              <w:rPr>
                <w:rFonts w:ascii="宋体" w:hAnsi="宋体" w:cs="宋体"/>
                <w:szCs w:val="21"/>
              </w:rPr>
            </w:pPr>
            <w:r>
              <w:rPr>
                <w:rFonts w:hint="eastAsia" w:ascii="宋体" w:hAnsi="宋体" w:cs="宋体"/>
                <w:szCs w:val="21"/>
              </w:rPr>
              <w:t>10</w:t>
            </w:r>
          </w:p>
        </w:tc>
        <w:tc>
          <w:tcPr>
            <w:tcW w:w="1536" w:type="dxa"/>
            <w:tcBorders>
              <w:top w:val="single" w:color="auto" w:sz="4" w:space="0"/>
            </w:tcBorders>
            <w:vAlign w:val="center"/>
          </w:tcPr>
          <w:p w14:paraId="1A11D3BC">
            <w:pPr>
              <w:spacing w:line="360" w:lineRule="exact"/>
              <w:rPr>
                <w:rFonts w:ascii="宋体" w:hAnsi="宋体" w:cs="宋体"/>
                <w:szCs w:val="21"/>
              </w:rPr>
            </w:pPr>
            <w:r>
              <w:rPr>
                <w:rFonts w:hint="eastAsia" w:ascii="宋体" w:hAnsi="宋体" w:cs="宋体"/>
                <w:kern w:val="0"/>
                <w:szCs w:val="21"/>
              </w:rPr>
              <w:t>垃圾房（中转站）</w:t>
            </w:r>
          </w:p>
        </w:tc>
        <w:tc>
          <w:tcPr>
            <w:tcW w:w="1276" w:type="dxa"/>
            <w:tcBorders>
              <w:top w:val="single" w:color="auto" w:sz="4" w:space="0"/>
            </w:tcBorders>
            <w:vAlign w:val="center"/>
          </w:tcPr>
          <w:p w14:paraId="244E6C0B">
            <w:pPr>
              <w:spacing w:line="360" w:lineRule="exact"/>
              <w:rPr>
                <w:rFonts w:ascii="宋体" w:hAnsi="宋体" w:cs="宋体"/>
                <w:szCs w:val="21"/>
              </w:rPr>
            </w:pPr>
            <w:r>
              <w:rPr>
                <w:rFonts w:hint="eastAsia" w:ascii="宋体" w:hAnsi="宋体" w:cs="宋体"/>
                <w:szCs w:val="21"/>
              </w:rPr>
              <w:t>冲洗一次</w:t>
            </w:r>
          </w:p>
        </w:tc>
        <w:tc>
          <w:tcPr>
            <w:tcW w:w="1426" w:type="dxa"/>
            <w:tcBorders>
              <w:top w:val="single" w:color="auto" w:sz="4" w:space="0"/>
            </w:tcBorders>
            <w:vAlign w:val="center"/>
          </w:tcPr>
          <w:p w14:paraId="1C1D1F0C">
            <w:pPr>
              <w:spacing w:line="360" w:lineRule="exact"/>
              <w:rPr>
                <w:rFonts w:ascii="宋体" w:hAnsi="宋体" w:cs="宋体"/>
                <w:szCs w:val="21"/>
              </w:rPr>
            </w:pPr>
            <w:r>
              <w:rPr>
                <w:rFonts w:hint="eastAsia" w:ascii="宋体" w:hAnsi="宋体" w:cs="宋体"/>
                <w:szCs w:val="21"/>
              </w:rPr>
              <w:t xml:space="preserve"> 消杀一次</w:t>
            </w:r>
          </w:p>
        </w:tc>
        <w:tc>
          <w:tcPr>
            <w:tcW w:w="1134" w:type="dxa"/>
            <w:tcBorders>
              <w:top w:val="single" w:color="auto" w:sz="4" w:space="0"/>
            </w:tcBorders>
            <w:vAlign w:val="center"/>
          </w:tcPr>
          <w:p w14:paraId="09522454">
            <w:pPr>
              <w:spacing w:line="360" w:lineRule="exact"/>
              <w:rPr>
                <w:rFonts w:ascii="宋体" w:hAnsi="宋体" w:cs="宋体"/>
                <w:szCs w:val="21"/>
              </w:rPr>
            </w:pPr>
          </w:p>
        </w:tc>
        <w:tc>
          <w:tcPr>
            <w:tcW w:w="1409" w:type="dxa"/>
            <w:tcBorders>
              <w:top w:val="single" w:color="auto" w:sz="4" w:space="0"/>
            </w:tcBorders>
            <w:vAlign w:val="center"/>
          </w:tcPr>
          <w:p w14:paraId="68AEEBEC">
            <w:pPr>
              <w:spacing w:line="360" w:lineRule="exact"/>
              <w:rPr>
                <w:rFonts w:ascii="宋体" w:hAnsi="宋体" w:cs="宋体"/>
                <w:szCs w:val="21"/>
              </w:rPr>
            </w:pPr>
          </w:p>
        </w:tc>
        <w:tc>
          <w:tcPr>
            <w:tcW w:w="1667" w:type="dxa"/>
            <w:tcBorders>
              <w:top w:val="single" w:color="auto" w:sz="4" w:space="0"/>
            </w:tcBorders>
            <w:vAlign w:val="center"/>
          </w:tcPr>
          <w:p w14:paraId="134CDF50">
            <w:pPr>
              <w:widowControl/>
              <w:spacing w:line="360" w:lineRule="exact"/>
              <w:jc w:val="left"/>
              <w:rPr>
                <w:rFonts w:ascii="宋体" w:hAnsi="宋体" w:cs="宋体"/>
                <w:szCs w:val="21"/>
              </w:rPr>
            </w:pPr>
            <w:r>
              <w:rPr>
                <w:rFonts w:hint="eastAsia" w:ascii="宋体" w:hAnsi="宋体" w:cs="宋体"/>
                <w:kern w:val="0"/>
                <w:szCs w:val="21"/>
              </w:rPr>
              <w:t>内外墙无粘附物、无明显污迹；水沟、地面无积水、无蚊虫孳生、无臭味异味；日清理率达100%。</w:t>
            </w:r>
          </w:p>
        </w:tc>
      </w:tr>
      <w:tr w14:paraId="064DE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5C4F145A">
            <w:pPr>
              <w:spacing w:line="360" w:lineRule="exact"/>
              <w:rPr>
                <w:rFonts w:ascii="宋体" w:hAnsi="宋体" w:cs="宋体"/>
                <w:szCs w:val="21"/>
              </w:rPr>
            </w:pPr>
          </w:p>
        </w:tc>
        <w:tc>
          <w:tcPr>
            <w:tcW w:w="573" w:type="dxa"/>
            <w:vAlign w:val="center"/>
          </w:tcPr>
          <w:p w14:paraId="4F9EE8F1">
            <w:pPr>
              <w:spacing w:line="360" w:lineRule="exact"/>
              <w:jc w:val="center"/>
              <w:rPr>
                <w:rFonts w:ascii="宋体" w:hAnsi="宋体" w:cs="宋体"/>
                <w:szCs w:val="21"/>
              </w:rPr>
            </w:pPr>
            <w:r>
              <w:rPr>
                <w:rFonts w:hint="eastAsia" w:ascii="宋体" w:hAnsi="宋体" w:cs="宋体"/>
                <w:szCs w:val="21"/>
              </w:rPr>
              <w:t>11</w:t>
            </w:r>
          </w:p>
        </w:tc>
        <w:tc>
          <w:tcPr>
            <w:tcW w:w="1536" w:type="dxa"/>
            <w:vAlign w:val="center"/>
          </w:tcPr>
          <w:p w14:paraId="0E4D42F7">
            <w:pPr>
              <w:spacing w:line="360" w:lineRule="exact"/>
              <w:rPr>
                <w:rFonts w:ascii="宋体" w:hAnsi="宋体" w:cs="宋体"/>
                <w:szCs w:val="21"/>
              </w:rPr>
            </w:pPr>
            <w:r>
              <w:rPr>
                <w:rFonts w:hint="eastAsia" w:ascii="宋体" w:hAnsi="宋体" w:cs="宋体"/>
                <w:szCs w:val="21"/>
              </w:rPr>
              <w:t>车库、停车场</w:t>
            </w:r>
          </w:p>
        </w:tc>
        <w:tc>
          <w:tcPr>
            <w:tcW w:w="1276" w:type="dxa"/>
            <w:vAlign w:val="center"/>
          </w:tcPr>
          <w:p w14:paraId="75DC0E5B">
            <w:pPr>
              <w:spacing w:line="360" w:lineRule="exact"/>
              <w:jc w:val="center"/>
              <w:rPr>
                <w:rFonts w:ascii="宋体" w:hAnsi="宋体" w:cs="宋体"/>
                <w:szCs w:val="21"/>
              </w:rPr>
            </w:pPr>
            <w:r>
              <w:rPr>
                <w:rFonts w:hint="eastAsia" w:ascii="宋体" w:hAnsi="宋体" w:cs="宋体"/>
                <w:szCs w:val="21"/>
              </w:rPr>
              <w:t>清扫或清抹一次</w:t>
            </w:r>
          </w:p>
        </w:tc>
        <w:tc>
          <w:tcPr>
            <w:tcW w:w="1426" w:type="dxa"/>
            <w:vAlign w:val="center"/>
          </w:tcPr>
          <w:p w14:paraId="6AB4ECF6">
            <w:pPr>
              <w:spacing w:line="360" w:lineRule="exact"/>
              <w:jc w:val="center"/>
              <w:rPr>
                <w:rFonts w:ascii="宋体" w:hAnsi="宋体" w:cs="宋体"/>
                <w:szCs w:val="21"/>
              </w:rPr>
            </w:pPr>
            <w:r>
              <w:rPr>
                <w:rFonts w:hint="eastAsia" w:ascii="宋体" w:hAnsi="宋体" w:cs="宋体"/>
                <w:szCs w:val="21"/>
              </w:rPr>
              <w:t>冲洗一次</w:t>
            </w:r>
          </w:p>
        </w:tc>
        <w:tc>
          <w:tcPr>
            <w:tcW w:w="1134" w:type="dxa"/>
            <w:vAlign w:val="center"/>
          </w:tcPr>
          <w:p w14:paraId="4DB5B8DC">
            <w:pPr>
              <w:spacing w:line="360" w:lineRule="exact"/>
              <w:jc w:val="center"/>
              <w:rPr>
                <w:rFonts w:ascii="宋体" w:hAnsi="宋体" w:cs="宋体"/>
                <w:szCs w:val="21"/>
              </w:rPr>
            </w:pPr>
            <w:r>
              <w:rPr>
                <w:rFonts w:hint="eastAsia" w:ascii="宋体" w:hAnsi="宋体" w:cs="宋体"/>
                <w:szCs w:val="21"/>
              </w:rPr>
              <w:t>用清洁剂清抹一次</w:t>
            </w:r>
          </w:p>
        </w:tc>
        <w:tc>
          <w:tcPr>
            <w:tcW w:w="1409" w:type="dxa"/>
            <w:vAlign w:val="center"/>
          </w:tcPr>
          <w:p w14:paraId="7AF6C1A6">
            <w:pPr>
              <w:spacing w:line="360" w:lineRule="exact"/>
              <w:jc w:val="center"/>
              <w:rPr>
                <w:rFonts w:ascii="宋体" w:hAnsi="宋体" w:cs="宋体"/>
                <w:szCs w:val="21"/>
              </w:rPr>
            </w:pPr>
          </w:p>
        </w:tc>
        <w:tc>
          <w:tcPr>
            <w:tcW w:w="1667" w:type="dxa"/>
            <w:vAlign w:val="center"/>
          </w:tcPr>
          <w:p w14:paraId="6612C9AB">
            <w:pPr>
              <w:spacing w:line="360" w:lineRule="exact"/>
              <w:rPr>
                <w:rFonts w:ascii="宋体" w:hAnsi="宋体" w:cs="宋体"/>
                <w:szCs w:val="21"/>
              </w:rPr>
            </w:pPr>
            <w:r>
              <w:rPr>
                <w:rFonts w:hint="eastAsia" w:ascii="宋体" w:hAnsi="宋体" w:cs="宋体"/>
                <w:szCs w:val="21"/>
              </w:rPr>
              <w:t>干净，无污渍</w:t>
            </w:r>
          </w:p>
        </w:tc>
      </w:tr>
      <w:tr w14:paraId="75DE7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restart"/>
            <w:vAlign w:val="center"/>
          </w:tcPr>
          <w:p w14:paraId="1BDAB580">
            <w:pPr>
              <w:spacing w:line="360" w:lineRule="exact"/>
              <w:jc w:val="center"/>
              <w:rPr>
                <w:rFonts w:ascii="宋体" w:hAnsi="宋体" w:cs="宋体"/>
                <w:szCs w:val="21"/>
              </w:rPr>
            </w:pPr>
            <w:r>
              <w:rPr>
                <w:rFonts w:hint="eastAsia" w:ascii="宋体" w:hAnsi="宋体" w:cs="宋体"/>
                <w:szCs w:val="21"/>
              </w:rPr>
              <w:t>建</w:t>
            </w:r>
          </w:p>
          <w:p w14:paraId="13491A6C">
            <w:pPr>
              <w:spacing w:line="360" w:lineRule="exact"/>
              <w:jc w:val="center"/>
              <w:rPr>
                <w:rFonts w:ascii="宋体" w:hAnsi="宋体" w:cs="宋体"/>
                <w:szCs w:val="21"/>
              </w:rPr>
            </w:pPr>
            <w:r>
              <w:rPr>
                <w:rFonts w:hint="eastAsia" w:ascii="宋体" w:hAnsi="宋体" w:cs="宋体"/>
                <w:szCs w:val="21"/>
              </w:rPr>
              <w:t>筑</w:t>
            </w:r>
          </w:p>
          <w:p w14:paraId="7C8871B8">
            <w:pPr>
              <w:spacing w:line="360" w:lineRule="exact"/>
              <w:jc w:val="center"/>
              <w:rPr>
                <w:rFonts w:ascii="宋体" w:hAnsi="宋体" w:cs="宋体"/>
                <w:szCs w:val="21"/>
              </w:rPr>
            </w:pPr>
            <w:r>
              <w:rPr>
                <w:rFonts w:hint="eastAsia" w:ascii="宋体" w:hAnsi="宋体" w:cs="宋体"/>
                <w:szCs w:val="21"/>
              </w:rPr>
              <w:t>物</w:t>
            </w:r>
          </w:p>
          <w:p w14:paraId="1327F684">
            <w:pPr>
              <w:spacing w:line="360" w:lineRule="exact"/>
              <w:jc w:val="center"/>
              <w:rPr>
                <w:rFonts w:ascii="宋体" w:hAnsi="宋体" w:cs="宋体"/>
                <w:szCs w:val="21"/>
              </w:rPr>
            </w:pPr>
            <w:r>
              <w:rPr>
                <w:rFonts w:hint="eastAsia" w:ascii="宋体" w:hAnsi="宋体" w:cs="宋体"/>
                <w:szCs w:val="21"/>
              </w:rPr>
              <w:t>内</w:t>
            </w:r>
          </w:p>
          <w:p w14:paraId="018E7357">
            <w:pPr>
              <w:spacing w:line="360" w:lineRule="exact"/>
              <w:jc w:val="center"/>
              <w:rPr>
                <w:rFonts w:ascii="宋体" w:hAnsi="宋体" w:cs="宋体"/>
                <w:szCs w:val="21"/>
              </w:rPr>
            </w:pPr>
            <w:r>
              <w:rPr>
                <w:rFonts w:hint="eastAsia" w:ascii="宋体" w:hAnsi="宋体" w:cs="宋体"/>
                <w:szCs w:val="21"/>
              </w:rPr>
              <w:t>部</w:t>
            </w:r>
          </w:p>
        </w:tc>
        <w:tc>
          <w:tcPr>
            <w:tcW w:w="573" w:type="dxa"/>
            <w:vAlign w:val="center"/>
          </w:tcPr>
          <w:p w14:paraId="6A2D3F6F">
            <w:pPr>
              <w:spacing w:line="360" w:lineRule="exact"/>
              <w:jc w:val="center"/>
              <w:rPr>
                <w:rFonts w:ascii="宋体" w:hAnsi="宋体" w:cs="宋体"/>
                <w:szCs w:val="21"/>
              </w:rPr>
            </w:pPr>
            <w:r>
              <w:rPr>
                <w:rFonts w:hint="eastAsia" w:ascii="宋体" w:hAnsi="宋体" w:cs="宋体"/>
                <w:szCs w:val="21"/>
              </w:rPr>
              <w:t>1</w:t>
            </w:r>
          </w:p>
        </w:tc>
        <w:tc>
          <w:tcPr>
            <w:tcW w:w="1536" w:type="dxa"/>
            <w:vAlign w:val="center"/>
          </w:tcPr>
          <w:p w14:paraId="483A7C9E">
            <w:pPr>
              <w:spacing w:line="360" w:lineRule="exact"/>
              <w:jc w:val="center"/>
              <w:rPr>
                <w:rFonts w:ascii="宋体" w:hAnsi="宋体" w:cs="宋体"/>
                <w:szCs w:val="21"/>
              </w:rPr>
            </w:pPr>
          </w:p>
          <w:p w14:paraId="68DEB316">
            <w:pPr>
              <w:spacing w:line="360" w:lineRule="exact"/>
              <w:jc w:val="center"/>
              <w:rPr>
                <w:rFonts w:ascii="宋体" w:hAnsi="宋体" w:cs="宋体"/>
                <w:szCs w:val="21"/>
              </w:rPr>
            </w:pPr>
            <w:r>
              <w:rPr>
                <w:rFonts w:hint="eastAsia" w:ascii="宋体" w:hAnsi="宋体" w:cs="宋体"/>
                <w:szCs w:val="21"/>
              </w:rPr>
              <w:t>地面、墙面</w:t>
            </w:r>
          </w:p>
        </w:tc>
        <w:tc>
          <w:tcPr>
            <w:tcW w:w="1276" w:type="dxa"/>
            <w:vAlign w:val="center"/>
          </w:tcPr>
          <w:p w14:paraId="6608FBA6">
            <w:pPr>
              <w:spacing w:line="360" w:lineRule="exact"/>
              <w:jc w:val="center"/>
              <w:rPr>
                <w:rFonts w:ascii="宋体" w:hAnsi="宋体" w:cs="宋体"/>
                <w:szCs w:val="21"/>
              </w:rPr>
            </w:pPr>
            <w:r>
              <w:rPr>
                <w:rFonts w:hint="eastAsia" w:ascii="宋体" w:hAnsi="宋体" w:cs="宋体"/>
                <w:szCs w:val="21"/>
              </w:rPr>
              <w:t>清拖两次地面，清抹一次</w:t>
            </w:r>
          </w:p>
        </w:tc>
        <w:tc>
          <w:tcPr>
            <w:tcW w:w="1426" w:type="dxa"/>
            <w:vAlign w:val="center"/>
          </w:tcPr>
          <w:p w14:paraId="58E32061">
            <w:pPr>
              <w:spacing w:line="360" w:lineRule="exact"/>
              <w:jc w:val="center"/>
              <w:rPr>
                <w:rFonts w:ascii="宋体" w:hAnsi="宋体" w:cs="宋体"/>
                <w:szCs w:val="21"/>
              </w:rPr>
            </w:pPr>
            <w:r>
              <w:rPr>
                <w:rFonts w:hint="eastAsia" w:ascii="宋体" w:hAnsi="宋体" w:cs="宋体"/>
                <w:szCs w:val="21"/>
              </w:rPr>
              <w:t>清洗一次</w:t>
            </w:r>
          </w:p>
        </w:tc>
        <w:tc>
          <w:tcPr>
            <w:tcW w:w="1134" w:type="dxa"/>
            <w:vAlign w:val="center"/>
          </w:tcPr>
          <w:p w14:paraId="2F23AB49">
            <w:pPr>
              <w:spacing w:line="360" w:lineRule="exact"/>
              <w:jc w:val="center"/>
              <w:rPr>
                <w:rFonts w:ascii="宋体" w:hAnsi="宋体" w:cs="宋体"/>
                <w:szCs w:val="21"/>
              </w:rPr>
            </w:pPr>
            <w:r>
              <w:rPr>
                <w:rFonts w:hint="eastAsia" w:ascii="宋体" w:hAnsi="宋体" w:cs="宋体"/>
                <w:szCs w:val="21"/>
              </w:rPr>
              <w:t>清洗一次</w:t>
            </w:r>
          </w:p>
        </w:tc>
        <w:tc>
          <w:tcPr>
            <w:tcW w:w="1409" w:type="dxa"/>
            <w:vAlign w:val="center"/>
          </w:tcPr>
          <w:p w14:paraId="607961FC">
            <w:pPr>
              <w:spacing w:line="360" w:lineRule="exact"/>
              <w:jc w:val="center"/>
              <w:rPr>
                <w:rFonts w:ascii="宋体" w:hAnsi="宋体" w:cs="宋体"/>
                <w:szCs w:val="21"/>
              </w:rPr>
            </w:pPr>
          </w:p>
        </w:tc>
        <w:tc>
          <w:tcPr>
            <w:tcW w:w="1667" w:type="dxa"/>
            <w:vAlign w:val="center"/>
          </w:tcPr>
          <w:p w14:paraId="698CBDED">
            <w:pPr>
              <w:spacing w:line="360" w:lineRule="exact"/>
              <w:jc w:val="center"/>
              <w:rPr>
                <w:rFonts w:ascii="宋体" w:hAnsi="宋体" w:cs="宋体"/>
                <w:szCs w:val="21"/>
              </w:rPr>
            </w:pPr>
            <w:r>
              <w:rPr>
                <w:rFonts w:hint="eastAsia" w:ascii="宋体" w:hAnsi="宋体" w:cs="宋体"/>
                <w:szCs w:val="21"/>
              </w:rPr>
              <w:t>光</w:t>
            </w:r>
            <w:r>
              <w:rPr>
                <w:rFonts w:hint="eastAsia" w:ascii="宋体" w:hAnsi="宋体" w:cs="宋体"/>
                <w:spacing w:val="-6"/>
                <w:szCs w:val="21"/>
              </w:rPr>
              <w:t>滑明亮、无杂物、无污渍，无水渍</w:t>
            </w:r>
          </w:p>
        </w:tc>
      </w:tr>
      <w:tr w14:paraId="02A834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56DACE4B">
            <w:pPr>
              <w:spacing w:line="360" w:lineRule="exact"/>
              <w:jc w:val="center"/>
              <w:rPr>
                <w:rFonts w:ascii="宋体" w:hAnsi="宋体" w:cs="宋体"/>
                <w:szCs w:val="21"/>
              </w:rPr>
            </w:pPr>
          </w:p>
        </w:tc>
        <w:tc>
          <w:tcPr>
            <w:tcW w:w="573" w:type="dxa"/>
            <w:vAlign w:val="center"/>
          </w:tcPr>
          <w:p w14:paraId="640B2EBF">
            <w:pPr>
              <w:spacing w:line="360" w:lineRule="exact"/>
              <w:jc w:val="center"/>
              <w:rPr>
                <w:rFonts w:ascii="宋体" w:hAnsi="宋体" w:cs="宋体"/>
                <w:szCs w:val="21"/>
              </w:rPr>
            </w:pPr>
            <w:r>
              <w:rPr>
                <w:rFonts w:hint="eastAsia" w:ascii="宋体" w:hAnsi="宋体" w:cs="宋体"/>
                <w:szCs w:val="21"/>
              </w:rPr>
              <w:t>2</w:t>
            </w:r>
          </w:p>
        </w:tc>
        <w:tc>
          <w:tcPr>
            <w:tcW w:w="1536" w:type="dxa"/>
            <w:vAlign w:val="center"/>
          </w:tcPr>
          <w:p w14:paraId="35CF7BC9">
            <w:pPr>
              <w:spacing w:line="360" w:lineRule="exact"/>
              <w:jc w:val="center"/>
              <w:rPr>
                <w:rFonts w:ascii="宋体" w:hAnsi="宋体" w:cs="宋体"/>
                <w:szCs w:val="21"/>
              </w:rPr>
            </w:pPr>
            <w:r>
              <w:rPr>
                <w:rFonts w:hint="eastAsia" w:ascii="宋体" w:hAnsi="宋体" w:cs="宋体"/>
                <w:szCs w:val="21"/>
              </w:rPr>
              <w:t>送风口、排烟风口</w:t>
            </w:r>
          </w:p>
        </w:tc>
        <w:tc>
          <w:tcPr>
            <w:tcW w:w="1276" w:type="dxa"/>
            <w:vAlign w:val="center"/>
          </w:tcPr>
          <w:p w14:paraId="2A214F07">
            <w:pPr>
              <w:spacing w:line="360" w:lineRule="exact"/>
              <w:jc w:val="center"/>
              <w:rPr>
                <w:rFonts w:ascii="宋体" w:hAnsi="宋体" w:cs="宋体"/>
                <w:szCs w:val="21"/>
              </w:rPr>
            </w:pPr>
            <w:r>
              <w:rPr>
                <w:rFonts w:hint="eastAsia" w:ascii="宋体" w:hAnsi="宋体" w:cs="宋体"/>
                <w:szCs w:val="21"/>
              </w:rPr>
              <w:t>擦抹一次</w:t>
            </w:r>
          </w:p>
        </w:tc>
        <w:tc>
          <w:tcPr>
            <w:tcW w:w="1426" w:type="dxa"/>
            <w:vAlign w:val="center"/>
          </w:tcPr>
          <w:p w14:paraId="210D4391">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76BE3B80">
            <w:pPr>
              <w:spacing w:line="360" w:lineRule="exact"/>
              <w:jc w:val="center"/>
              <w:rPr>
                <w:rFonts w:ascii="宋体" w:hAnsi="宋体" w:cs="宋体"/>
                <w:szCs w:val="21"/>
              </w:rPr>
            </w:pPr>
          </w:p>
        </w:tc>
        <w:tc>
          <w:tcPr>
            <w:tcW w:w="1409" w:type="dxa"/>
            <w:vAlign w:val="center"/>
          </w:tcPr>
          <w:p w14:paraId="350ADB9D">
            <w:pPr>
              <w:spacing w:line="360" w:lineRule="exact"/>
              <w:jc w:val="center"/>
              <w:rPr>
                <w:rFonts w:ascii="宋体" w:hAnsi="宋体" w:cs="宋体"/>
                <w:szCs w:val="21"/>
              </w:rPr>
            </w:pPr>
          </w:p>
        </w:tc>
        <w:tc>
          <w:tcPr>
            <w:tcW w:w="1667" w:type="dxa"/>
            <w:vAlign w:val="center"/>
          </w:tcPr>
          <w:p w14:paraId="49C1926D">
            <w:pPr>
              <w:spacing w:line="360" w:lineRule="exact"/>
              <w:jc w:val="center"/>
              <w:rPr>
                <w:rFonts w:ascii="宋体" w:hAnsi="宋体" w:cs="宋体"/>
                <w:szCs w:val="21"/>
              </w:rPr>
            </w:pPr>
            <w:r>
              <w:rPr>
                <w:rFonts w:hint="eastAsia" w:ascii="宋体" w:hAnsi="宋体" w:cs="宋体"/>
                <w:szCs w:val="21"/>
              </w:rPr>
              <w:t>干净、无尘</w:t>
            </w:r>
          </w:p>
        </w:tc>
      </w:tr>
      <w:tr w14:paraId="46CAB2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12927AD">
            <w:pPr>
              <w:spacing w:line="360" w:lineRule="exact"/>
              <w:jc w:val="center"/>
              <w:rPr>
                <w:rFonts w:ascii="宋体" w:hAnsi="宋体" w:cs="宋体"/>
                <w:szCs w:val="21"/>
              </w:rPr>
            </w:pPr>
          </w:p>
        </w:tc>
        <w:tc>
          <w:tcPr>
            <w:tcW w:w="573" w:type="dxa"/>
            <w:vAlign w:val="center"/>
          </w:tcPr>
          <w:p w14:paraId="01D82019">
            <w:pPr>
              <w:spacing w:line="360" w:lineRule="exact"/>
              <w:jc w:val="center"/>
              <w:rPr>
                <w:rFonts w:ascii="宋体" w:hAnsi="宋体" w:cs="宋体"/>
                <w:szCs w:val="21"/>
              </w:rPr>
            </w:pPr>
            <w:r>
              <w:rPr>
                <w:rFonts w:hint="eastAsia" w:ascii="宋体" w:hAnsi="宋体" w:cs="宋体"/>
                <w:szCs w:val="21"/>
              </w:rPr>
              <w:t>3</w:t>
            </w:r>
          </w:p>
        </w:tc>
        <w:tc>
          <w:tcPr>
            <w:tcW w:w="1536" w:type="dxa"/>
            <w:vAlign w:val="center"/>
          </w:tcPr>
          <w:p w14:paraId="023CD811">
            <w:pPr>
              <w:spacing w:line="360" w:lineRule="exact"/>
              <w:jc w:val="center"/>
              <w:rPr>
                <w:rFonts w:ascii="宋体" w:hAnsi="宋体" w:cs="宋体"/>
                <w:szCs w:val="21"/>
              </w:rPr>
            </w:pPr>
            <w:r>
              <w:rPr>
                <w:rFonts w:hint="eastAsia" w:ascii="宋体" w:hAnsi="宋体" w:cs="宋体"/>
                <w:szCs w:val="21"/>
              </w:rPr>
              <w:t>天花灯饰</w:t>
            </w:r>
          </w:p>
        </w:tc>
        <w:tc>
          <w:tcPr>
            <w:tcW w:w="1276" w:type="dxa"/>
            <w:vAlign w:val="center"/>
          </w:tcPr>
          <w:p w14:paraId="031DAEDF">
            <w:pPr>
              <w:spacing w:line="360" w:lineRule="exact"/>
              <w:jc w:val="center"/>
              <w:rPr>
                <w:rFonts w:ascii="宋体" w:hAnsi="宋体" w:cs="宋体"/>
                <w:szCs w:val="21"/>
              </w:rPr>
            </w:pPr>
          </w:p>
        </w:tc>
        <w:tc>
          <w:tcPr>
            <w:tcW w:w="1426" w:type="dxa"/>
            <w:vAlign w:val="center"/>
          </w:tcPr>
          <w:p w14:paraId="59BCC27B">
            <w:pPr>
              <w:spacing w:line="360" w:lineRule="exact"/>
              <w:jc w:val="center"/>
              <w:rPr>
                <w:rFonts w:ascii="宋体" w:hAnsi="宋体" w:cs="宋体"/>
                <w:szCs w:val="21"/>
              </w:rPr>
            </w:pPr>
            <w:r>
              <w:rPr>
                <w:rFonts w:hint="eastAsia" w:ascii="宋体" w:hAnsi="宋体" w:cs="宋体"/>
                <w:szCs w:val="21"/>
              </w:rPr>
              <w:t>清扫二次</w:t>
            </w:r>
          </w:p>
        </w:tc>
        <w:tc>
          <w:tcPr>
            <w:tcW w:w="1134" w:type="dxa"/>
            <w:vAlign w:val="center"/>
          </w:tcPr>
          <w:p w14:paraId="7B4D980D">
            <w:pPr>
              <w:spacing w:line="360" w:lineRule="exact"/>
              <w:jc w:val="center"/>
              <w:rPr>
                <w:rFonts w:ascii="宋体" w:hAnsi="宋体" w:cs="宋体"/>
                <w:szCs w:val="21"/>
              </w:rPr>
            </w:pPr>
            <w:r>
              <w:rPr>
                <w:rFonts w:hint="eastAsia" w:ascii="宋体" w:hAnsi="宋体" w:cs="宋体"/>
                <w:szCs w:val="21"/>
              </w:rPr>
              <w:t>清抹一次</w:t>
            </w:r>
          </w:p>
        </w:tc>
        <w:tc>
          <w:tcPr>
            <w:tcW w:w="1409" w:type="dxa"/>
            <w:vAlign w:val="center"/>
          </w:tcPr>
          <w:p w14:paraId="4A1861D0">
            <w:pPr>
              <w:spacing w:line="360" w:lineRule="exact"/>
              <w:jc w:val="center"/>
              <w:rPr>
                <w:rFonts w:ascii="宋体" w:hAnsi="宋体" w:cs="宋体"/>
                <w:szCs w:val="21"/>
              </w:rPr>
            </w:pPr>
          </w:p>
        </w:tc>
        <w:tc>
          <w:tcPr>
            <w:tcW w:w="1667" w:type="dxa"/>
            <w:vAlign w:val="center"/>
          </w:tcPr>
          <w:p w14:paraId="1CA52D1D">
            <w:pPr>
              <w:spacing w:line="360" w:lineRule="exact"/>
              <w:jc w:val="center"/>
              <w:rPr>
                <w:rFonts w:ascii="宋体" w:hAnsi="宋体" w:cs="宋体"/>
                <w:szCs w:val="21"/>
              </w:rPr>
            </w:pPr>
            <w:r>
              <w:rPr>
                <w:rFonts w:hint="eastAsia" w:ascii="宋体" w:hAnsi="宋体" w:cs="宋体"/>
                <w:szCs w:val="21"/>
              </w:rPr>
              <w:t>干净、无蜘蛛网、无灰尘</w:t>
            </w:r>
          </w:p>
        </w:tc>
      </w:tr>
      <w:tr w14:paraId="7EA61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78D93335">
            <w:pPr>
              <w:spacing w:line="360" w:lineRule="exact"/>
              <w:jc w:val="center"/>
              <w:rPr>
                <w:rFonts w:ascii="宋体" w:hAnsi="宋体" w:cs="宋体"/>
                <w:szCs w:val="21"/>
              </w:rPr>
            </w:pPr>
          </w:p>
        </w:tc>
        <w:tc>
          <w:tcPr>
            <w:tcW w:w="573" w:type="dxa"/>
            <w:vAlign w:val="center"/>
          </w:tcPr>
          <w:p w14:paraId="1A8340DF">
            <w:pPr>
              <w:spacing w:line="360" w:lineRule="exact"/>
              <w:jc w:val="center"/>
              <w:rPr>
                <w:rFonts w:ascii="宋体" w:hAnsi="宋体" w:cs="宋体"/>
                <w:szCs w:val="21"/>
              </w:rPr>
            </w:pPr>
            <w:r>
              <w:rPr>
                <w:rFonts w:hint="eastAsia" w:ascii="宋体" w:hAnsi="宋体" w:cs="宋体"/>
                <w:szCs w:val="21"/>
              </w:rPr>
              <w:t>4</w:t>
            </w:r>
          </w:p>
        </w:tc>
        <w:tc>
          <w:tcPr>
            <w:tcW w:w="1536" w:type="dxa"/>
            <w:vAlign w:val="center"/>
          </w:tcPr>
          <w:p w14:paraId="3BFD0F6D">
            <w:pPr>
              <w:spacing w:line="360" w:lineRule="exact"/>
              <w:jc w:val="center"/>
              <w:rPr>
                <w:rFonts w:ascii="宋体" w:hAnsi="宋体" w:cs="宋体"/>
                <w:szCs w:val="21"/>
              </w:rPr>
            </w:pPr>
            <w:r>
              <w:rPr>
                <w:rFonts w:hint="eastAsia" w:ascii="宋体" w:hAnsi="宋体" w:cs="宋体"/>
                <w:szCs w:val="21"/>
              </w:rPr>
              <w:t>玻璃门</w:t>
            </w:r>
          </w:p>
        </w:tc>
        <w:tc>
          <w:tcPr>
            <w:tcW w:w="1276" w:type="dxa"/>
            <w:vAlign w:val="center"/>
          </w:tcPr>
          <w:p w14:paraId="06D65CAE">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21DA15AC">
            <w:pPr>
              <w:spacing w:line="360" w:lineRule="exact"/>
              <w:jc w:val="center"/>
              <w:rPr>
                <w:rFonts w:ascii="宋体" w:hAnsi="宋体" w:cs="宋体"/>
                <w:szCs w:val="21"/>
              </w:rPr>
            </w:pPr>
          </w:p>
        </w:tc>
        <w:tc>
          <w:tcPr>
            <w:tcW w:w="1134" w:type="dxa"/>
            <w:vAlign w:val="center"/>
          </w:tcPr>
          <w:p w14:paraId="5BFFBF7D">
            <w:pPr>
              <w:spacing w:line="360" w:lineRule="exact"/>
              <w:jc w:val="center"/>
              <w:rPr>
                <w:rFonts w:ascii="宋体" w:hAnsi="宋体" w:cs="宋体"/>
                <w:szCs w:val="21"/>
              </w:rPr>
            </w:pPr>
            <w:r>
              <w:rPr>
                <w:rFonts w:hint="eastAsia" w:ascii="宋体" w:hAnsi="宋体" w:cs="宋体"/>
                <w:szCs w:val="21"/>
              </w:rPr>
              <w:t>用清洁剂清抹一次</w:t>
            </w:r>
          </w:p>
        </w:tc>
        <w:tc>
          <w:tcPr>
            <w:tcW w:w="1409" w:type="dxa"/>
            <w:vAlign w:val="center"/>
          </w:tcPr>
          <w:p w14:paraId="40B9A017">
            <w:pPr>
              <w:spacing w:line="360" w:lineRule="exact"/>
              <w:jc w:val="center"/>
              <w:rPr>
                <w:rFonts w:ascii="宋体" w:hAnsi="宋体" w:cs="宋体"/>
                <w:szCs w:val="21"/>
              </w:rPr>
            </w:pPr>
          </w:p>
        </w:tc>
        <w:tc>
          <w:tcPr>
            <w:tcW w:w="1667" w:type="dxa"/>
            <w:vAlign w:val="center"/>
          </w:tcPr>
          <w:p w14:paraId="6ABC2054">
            <w:pPr>
              <w:spacing w:line="360" w:lineRule="exact"/>
              <w:jc w:val="center"/>
              <w:rPr>
                <w:rFonts w:ascii="宋体" w:hAnsi="宋体" w:cs="宋体"/>
                <w:szCs w:val="21"/>
              </w:rPr>
            </w:pPr>
            <w:r>
              <w:rPr>
                <w:rFonts w:hint="eastAsia" w:ascii="宋体" w:hAnsi="宋体" w:cs="宋体"/>
                <w:szCs w:val="21"/>
              </w:rPr>
              <w:t>干净、无污迹</w:t>
            </w:r>
          </w:p>
        </w:tc>
      </w:tr>
      <w:tr w14:paraId="75A8B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66142DCF">
            <w:pPr>
              <w:spacing w:line="360" w:lineRule="exact"/>
              <w:jc w:val="center"/>
              <w:rPr>
                <w:rFonts w:ascii="宋体" w:hAnsi="宋体" w:cs="宋体"/>
                <w:szCs w:val="21"/>
              </w:rPr>
            </w:pPr>
          </w:p>
        </w:tc>
        <w:tc>
          <w:tcPr>
            <w:tcW w:w="573" w:type="dxa"/>
            <w:vAlign w:val="center"/>
          </w:tcPr>
          <w:p w14:paraId="120AE802">
            <w:pPr>
              <w:spacing w:line="360" w:lineRule="exact"/>
              <w:jc w:val="center"/>
              <w:rPr>
                <w:rFonts w:ascii="宋体" w:hAnsi="宋体" w:cs="宋体"/>
                <w:szCs w:val="21"/>
              </w:rPr>
            </w:pPr>
            <w:r>
              <w:rPr>
                <w:rFonts w:hint="eastAsia" w:ascii="宋体" w:hAnsi="宋体" w:cs="宋体"/>
                <w:szCs w:val="21"/>
              </w:rPr>
              <w:t>5</w:t>
            </w:r>
          </w:p>
        </w:tc>
        <w:tc>
          <w:tcPr>
            <w:tcW w:w="1536" w:type="dxa"/>
            <w:vAlign w:val="center"/>
          </w:tcPr>
          <w:p w14:paraId="216AF563">
            <w:pPr>
              <w:spacing w:line="360" w:lineRule="exact"/>
              <w:jc w:val="center"/>
              <w:rPr>
                <w:rFonts w:ascii="宋体" w:hAnsi="宋体" w:cs="宋体"/>
                <w:szCs w:val="21"/>
              </w:rPr>
            </w:pPr>
            <w:r>
              <w:rPr>
                <w:rFonts w:hint="eastAsia" w:ascii="宋体" w:hAnsi="宋体" w:cs="宋体"/>
                <w:szCs w:val="21"/>
              </w:rPr>
              <w:t>楼梯</w:t>
            </w:r>
          </w:p>
        </w:tc>
        <w:tc>
          <w:tcPr>
            <w:tcW w:w="1276" w:type="dxa"/>
            <w:vAlign w:val="center"/>
          </w:tcPr>
          <w:p w14:paraId="116AF94D">
            <w:pPr>
              <w:spacing w:line="360" w:lineRule="exact"/>
              <w:jc w:val="center"/>
              <w:rPr>
                <w:rFonts w:ascii="宋体" w:hAnsi="宋体" w:cs="宋体"/>
                <w:spacing w:val="-12"/>
                <w:szCs w:val="21"/>
              </w:rPr>
            </w:pPr>
            <w:r>
              <w:rPr>
                <w:rFonts w:hint="eastAsia" w:ascii="宋体" w:hAnsi="宋体" w:cs="宋体"/>
                <w:spacing w:val="-12"/>
                <w:szCs w:val="21"/>
              </w:rPr>
              <w:t>清扫二次地面，清抹一次扶手</w:t>
            </w:r>
          </w:p>
        </w:tc>
        <w:tc>
          <w:tcPr>
            <w:tcW w:w="1426" w:type="dxa"/>
            <w:vAlign w:val="center"/>
          </w:tcPr>
          <w:p w14:paraId="7D333BEE">
            <w:pPr>
              <w:spacing w:line="360" w:lineRule="exact"/>
              <w:jc w:val="center"/>
              <w:rPr>
                <w:rFonts w:ascii="宋体" w:hAnsi="宋体" w:cs="宋体"/>
                <w:szCs w:val="21"/>
              </w:rPr>
            </w:pPr>
          </w:p>
        </w:tc>
        <w:tc>
          <w:tcPr>
            <w:tcW w:w="1134" w:type="dxa"/>
            <w:vAlign w:val="center"/>
          </w:tcPr>
          <w:p w14:paraId="5B76B62F">
            <w:pPr>
              <w:spacing w:line="360" w:lineRule="exact"/>
              <w:jc w:val="center"/>
              <w:rPr>
                <w:rFonts w:ascii="宋体" w:hAnsi="宋体" w:cs="宋体"/>
                <w:szCs w:val="21"/>
              </w:rPr>
            </w:pPr>
            <w:r>
              <w:rPr>
                <w:rFonts w:hint="eastAsia" w:ascii="宋体" w:hAnsi="宋体" w:cs="宋体"/>
                <w:szCs w:val="21"/>
              </w:rPr>
              <w:t>用清洁剂清抹一次</w:t>
            </w:r>
          </w:p>
        </w:tc>
        <w:tc>
          <w:tcPr>
            <w:tcW w:w="1409" w:type="dxa"/>
            <w:vAlign w:val="center"/>
          </w:tcPr>
          <w:p w14:paraId="74D2FEE0">
            <w:pPr>
              <w:spacing w:line="360" w:lineRule="exact"/>
              <w:jc w:val="center"/>
              <w:rPr>
                <w:rFonts w:ascii="宋体" w:hAnsi="宋体" w:cs="宋体"/>
                <w:szCs w:val="21"/>
              </w:rPr>
            </w:pPr>
          </w:p>
        </w:tc>
        <w:tc>
          <w:tcPr>
            <w:tcW w:w="1667" w:type="dxa"/>
            <w:vAlign w:val="center"/>
          </w:tcPr>
          <w:p w14:paraId="7F40EF8A">
            <w:pPr>
              <w:spacing w:line="360" w:lineRule="exact"/>
              <w:jc w:val="center"/>
              <w:rPr>
                <w:rFonts w:ascii="宋体" w:hAnsi="宋体" w:cs="宋体"/>
                <w:szCs w:val="21"/>
              </w:rPr>
            </w:pPr>
            <w:r>
              <w:rPr>
                <w:rFonts w:hint="eastAsia" w:ascii="宋体" w:hAnsi="宋体" w:cs="宋体"/>
                <w:szCs w:val="21"/>
              </w:rPr>
              <w:t>干净明亮、无污迹</w:t>
            </w:r>
          </w:p>
        </w:tc>
      </w:tr>
      <w:tr w14:paraId="1528C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917F53B">
            <w:pPr>
              <w:spacing w:line="360" w:lineRule="exact"/>
              <w:jc w:val="center"/>
              <w:rPr>
                <w:rFonts w:ascii="宋体" w:hAnsi="宋体" w:cs="宋体"/>
                <w:szCs w:val="21"/>
              </w:rPr>
            </w:pPr>
          </w:p>
        </w:tc>
        <w:tc>
          <w:tcPr>
            <w:tcW w:w="573" w:type="dxa"/>
            <w:vAlign w:val="center"/>
          </w:tcPr>
          <w:p w14:paraId="4EE1CC80">
            <w:pPr>
              <w:spacing w:line="360" w:lineRule="exact"/>
              <w:jc w:val="center"/>
              <w:rPr>
                <w:rFonts w:ascii="宋体" w:hAnsi="宋体" w:cs="宋体"/>
                <w:szCs w:val="21"/>
              </w:rPr>
            </w:pPr>
            <w:r>
              <w:rPr>
                <w:rFonts w:hint="eastAsia" w:ascii="宋体" w:hAnsi="宋体" w:cs="宋体"/>
                <w:szCs w:val="21"/>
              </w:rPr>
              <w:t>6</w:t>
            </w:r>
          </w:p>
        </w:tc>
        <w:tc>
          <w:tcPr>
            <w:tcW w:w="1536" w:type="dxa"/>
            <w:vAlign w:val="center"/>
          </w:tcPr>
          <w:p w14:paraId="2C405110">
            <w:pPr>
              <w:spacing w:line="360" w:lineRule="exact"/>
              <w:jc w:val="center"/>
              <w:rPr>
                <w:rFonts w:ascii="宋体" w:hAnsi="宋体" w:cs="宋体"/>
                <w:szCs w:val="21"/>
              </w:rPr>
            </w:pPr>
            <w:r>
              <w:rPr>
                <w:rFonts w:hint="eastAsia" w:ascii="宋体" w:hAnsi="宋体" w:cs="宋体"/>
                <w:szCs w:val="21"/>
              </w:rPr>
              <w:t>消防设施</w:t>
            </w:r>
          </w:p>
        </w:tc>
        <w:tc>
          <w:tcPr>
            <w:tcW w:w="1276" w:type="dxa"/>
            <w:vAlign w:val="center"/>
          </w:tcPr>
          <w:p w14:paraId="3007F26A">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22EE8AB2">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7400023A">
            <w:pPr>
              <w:spacing w:line="360" w:lineRule="exact"/>
              <w:jc w:val="center"/>
              <w:rPr>
                <w:rFonts w:ascii="宋体" w:hAnsi="宋体" w:cs="宋体"/>
                <w:szCs w:val="21"/>
              </w:rPr>
            </w:pPr>
          </w:p>
        </w:tc>
        <w:tc>
          <w:tcPr>
            <w:tcW w:w="1409" w:type="dxa"/>
            <w:vAlign w:val="center"/>
          </w:tcPr>
          <w:p w14:paraId="087BBEF3">
            <w:pPr>
              <w:spacing w:line="360" w:lineRule="exact"/>
              <w:jc w:val="center"/>
              <w:rPr>
                <w:rFonts w:ascii="宋体" w:hAnsi="宋体" w:cs="宋体"/>
                <w:szCs w:val="21"/>
              </w:rPr>
            </w:pPr>
          </w:p>
        </w:tc>
        <w:tc>
          <w:tcPr>
            <w:tcW w:w="1667" w:type="dxa"/>
            <w:vAlign w:val="center"/>
          </w:tcPr>
          <w:p w14:paraId="5775A41C">
            <w:pPr>
              <w:spacing w:line="360" w:lineRule="exact"/>
              <w:jc w:val="center"/>
              <w:rPr>
                <w:rFonts w:ascii="宋体" w:hAnsi="宋体" w:cs="宋体"/>
                <w:szCs w:val="21"/>
              </w:rPr>
            </w:pPr>
            <w:r>
              <w:rPr>
                <w:rFonts w:hint="eastAsia" w:ascii="宋体" w:hAnsi="宋体" w:cs="宋体"/>
                <w:szCs w:val="21"/>
              </w:rPr>
              <w:t>干净明亮、无污迹</w:t>
            </w:r>
          </w:p>
        </w:tc>
      </w:tr>
      <w:tr w14:paraId="27D990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1CD4626">
            <w:pPr>
              <w:spacing w:line="360" w:lineRule="exact"/>
              <w:jc w:val="center"/>
              <w:rPr>
                <w:rFonts w:ascii="宋体" w:hAnsi="宋体" w:cs="宋体"/>
                <w:szCs w:val="21"/>
              </w:rPr>
            </w:pPr>
          </w:p>
        </w:tc>
        <w:tc>
          <w:tcPr>
            <w:tcW w:w="573" w:type="dxa"/>
            <w:vAlign w:val="center"/>
          </w:tcPr>
          <w:p w14:paraId="46A7E439">
            <w:pPr>
              <w:spacing w:line="360" w:lineRule="exact"/>
              <w:jc w:val="center"/>
              <w:rPr>
                <w:rFonts w:ascii="宋体" w:hAnsi="宋体" w:cs="宋体"/>
                <w:szCs w:val="21"/>
              </w:rPr>
            </w:pPr>
            <w:r>
              <w:rPr>
                <w:rFonts w:hint="eastAsia" w:ascii="宋体" w:hAnsi="宋体" w:cs="宋体"/>
                <w:szCs w:val="21"/>
              </w:rPr>
              <w:t>7</w:t>
            </w:r>
          </w:p>
        </w:tc>
        <w:tc>
          <w:tcPr>
            <w:tcW w:w="1536" w:type="dxa"/>
            <w:vAlign w:val="center"/>
          </w:tcPr>
          <w:p w14:paraId="41B10139">
            <w:pPr>
              <w:spacing w:line="360" w:lineRule="exact"/>
              <w:jc w:val="center"/>
              <w:rPr>
                <w:rFonts w:ascii="宋体" w:hAnsi="宋体" w:cs="宋体"/>
                <w:szCs w:val="21"/>
              </w:rPr>
            </w:pPr>
            <w:r>
              <w:rPr>
                <w:rFonts w:hint="eastAsia" w:ascii="宋体" w:hAnsi="宋体" w:cs="宋体"/>
                <w:szCs w:val="21"/>
              </w:rPr>
              <w:t>垃圾桶</w:t>
            </w:r>
          </w:p>
        </w:tc>
        <w:tc>
          <w:tcPr>
            <w:tcW w:w="1276" w:type="dxa"/>
            <w:vAlign w:val="center"/>
          </w:tcPr>
          <w:p w14:paraId="6731029C">
            <w:pPr>
              <w:spacing w:line="360" w:lineRule="exact"/>
              <w:jc w:val="center"/>
              <w:rPr>
                <w:rFonts w:ascii="宋体" w:hAnsi="宋体" w:cs="宋体"/>
                <w:szCs w:val="21"/>
              </w:rPr>
            </w:pPr>
            <w:r>
              <w:rPr>
                <w:rFonts w:hint="eastAsia" w:ascii="宋体" w:hAnsi="宋体" w:cs="宋体"/>
                <w:szCs w:val="21"/>
              </w:rPr>
              <w:t>清抹二次</w:t>
            </w:r>
          </w:p>
        </w:tc>
        <w:tc>
          <w:tcPr>
            <w:tcW w:w="1426" w:type="dxa"/>
            <w:vAlign w:val="center"/>
          </w:tcPr>
          <w:p w14:paraId="7D99903C">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01087250">
            <w:pPr>
              <w:spacing w:line="360" w:lineRule="exact"/>
              <w:jc w:val="center"/>
              <w:rPr>
                <w:rFonts w:ascii="宋体" w:hAnsi="宋体" w:cs="宋体"/>
                <w:szCs w:val="21"/>
              </w:rPr>
            </w:pPr>
          </w:p>
        </w:tc>
        <w:tc>
          <w:tcPr>
            <w:tcW w:w="1409" w:type="dxa"/>
            <w:vAlign w:val="center"/>
          </w:tcPr>
          <w:p w14:paraId="3F86307A">
            <w:pPr>
              <w:spacing w:line="360" w:lineRule="exact"/>
              <w:jc w:val="center"/>
              <w:rPr>
                <w:rFonts w:ascii="宋体" w:hAnsi="宋体" w:cs="宋体"/>
                <w:szCs w:val="21"/>
              </w:rPr>
            </w:pPr>
          </w:p>
        </w:tc>
        <w:tc>
          <w:tcPr>
            <w:tcW w:w="1667" w:type="dxa"/>
            <w:vAlign w:val="center"/>
          </w:tcPr>
          <w:p w14:paraId="44E8E70F">
            <w:pPr>
              <w:spacing w:line="360" w:lineRule="exact"/>
              <w:jc w:val="center"/>
              <w:rPr>
                <w:rFonts w:ascii="宋体" w:hAnsi="宋体" w:cs="宋体"/>
                <w:szCs w:val="21"/>
              </w:rPr>
            </w:pPr>
            <w:r>
              <w:rPr>
                <w:rFonts w:hint="eastAsia" w:ascii="宋体" w:hAnsi="宋体" w:cs="宋体"/>
                <w:szCs w:val="21"/>
              </w:rPr>
              <w:t>干净、无杂物、无污尘</w:t>
            </w:r>
          </w:p>
        </w:tc>
      </w:tr>
      <w:tr w14:paraId="74E59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0E01BB3D">
            <w:pPr>
              <w:spacing w:line="360" w:lineRule="exact"/>
              <w:jc w:val="center"/>
              <w:rPr>
                <w:rFonts w:ascii="宋体" w:hAnsi="宋体" w:cs="宋体"/>
                <w:szCs w:val="21"/>
              </w:rPr>
            </w:pPr>
          </w:p>
        </w:tc>
        <w:tc>
          <w:tcPr>
            <w:tcW w:w="573" w:type="dxa"/>
            <w:vAlign w:val="center"/>
          </w:tcPr>
          <w:p w14:paraId="3B3E37BF">
            <w:pPr>
              <w:spacing w:line="360" w:lineRule="exact"/>
              <w:jc w:val="center"/>
              <w:rPr>
                <w:rFonts w:ascii="宋体" w:hAnsi="宋体" w:cs="宋体"/>
                <w:szCs w:val="21"/>
              </w:rPr>
            </w:pPr>
            <w:r>
              <w:rPr>
                <w:rFonts w:hint="eastAsia" w:ascii="宋体" w:hAnsi="宋体" w:cs="宋体"/>
                <w:szCs w:val="21"/>
              </w:rPr>
              <w:t>8</w:t>
            </w:r>
          </w:p>
        </w:tc>
        <w:tc>
          <w:tcPr>
            <w:tcW w:w="1536" w:type="dxa"/>
            <w:vAlign w:val="center"/>
          </w:tcPr>
          <w:p w14:paraId="71E898D3">
            <w:pPr>
              <w:spacing w:line="360" w:lineRule="exact"/>
              <w:jc w:val="center"/>
              <w:rPr>
                <w:rFonts w:ascii="宋体" w:hAnsi="宋体" w:cs="宋体"/>
                <w:szCs w:val="21"/>
              </w:rPr>
            </w:pPr>
            <w:r>
              <w:rPr>
                <w:rFonts w:hint="eastAsia" w:ascii="宋体" w:hAnsi="宋体" w:cs="宋体"/>
                <w:szCs w:val="21"/>
              </w:rPr>
              <w:t>管道井</w:t>
            </w:r>
          </w:p>
        </w:tc>
        <w:tc>
          <w:tcPr>
            <w:tcW w:w="1276" w:type="dxa"/>
            <w:vAlign w:val="center"/>
          </w:tcPr>
          <w:p w14:paraId="45F5C3C4">
            <w:pPr>
              <w:spacing w:line="360" w:lineRule="exact"/>
              <w:jc w:val="center"/>
              <w:rPr>
                <w:rFonts w:ascii="宋体" w:hAnsi="宋体" w:cs="宋体"/>
                <w:szCs w:val="21"/>
              </w:rPr>
            </w:pPr>
          </w:p>
        </w:tc>
        <w:tc>
          <w:tcPr>
            <w:tcW w:w="1426" w:type="dxa"/>
            <w:vAlign w:val="center"/>
          </w:tcPr>
          <w:p w14:paraId="4FDC1389">
            <w:pPr>
              <w:spacing w:line="360" w:lineRule="exact"/>
              <w:jc w:val="center"/>
              <w:rPr>
                <w:rFonts w:ascii="宋体" w:hAnsi="宋体" w:cs="宋体"/>
                <w:szCs w:val="21"/>
              </w:rPr>
            </w:pPr>
          </w:p>
        </w:tc>
        <w:tc>
          <w:tcPr>
            <w:tcW w:w="1134" w:type="dxa"/>
            <w:vAlign w:val="center"/>
          </w:tcPr>
          <w:p w14:paraId="56D509CA">
            <w:pPr>
              <w:spacing w:line="360" w:lineRule="exact"/>
              <w:jc w:val="center"/>
              <w:rPr>
                <w:rFonts w:ascii="宋体" w:hAnsi="宋体" w:cs="宋体"/>
                <w:szCs w:val="21"/>
              </w:rPr>
            </w:pPr>
            <w:r>
              <w:rPr>
                <w:rFonts w:hint="eastAsia" w:ascii="宋体" w:hAnsi="宋体" w:cs="宋体"/>
                <w:szCs w:val="21"/>
              </w:rPr>
              <w:t>清扫二次</w:t>
            </w:r>
          </w:p>
        </w:tc>
        <w:tc>
          <w:tcPr>
            <w:tcW w:w="1409" w:type="dxa"/>
            <w:vAlign w:val="center"/>
          </w:tcPr>
          <w:p w14:paraId="35A55B0A">
            <w:pPr>
              <w:spacing w:line="360" w:lineRule="exact"/>
              <w:jc w:val="center"/>
              <w:rPr>
                <w:rFonts w:ascii="宋体" w:hAnsi="宋体" w:cs="宋体"/>
                <w:szCs w:val="21"/>
              </w:rPr>
            </w:pPr>
          </w:p>
        </w:tc>
        <w:tc>
          <w:tcPr>
            <w:tcW w:w="1667" w:type="dxa"/>
            <w:vAlign w:val="center"/>
          </w:tcPr>
          <w:p w14:paraId="580BFE16">
            <w:pPr>
              <w:spacing w:line="360" w:lineRule="exact"/>
              <w:jc w:val="center"/>
              <w:rPr>
                <w:rFonts w:ascii="宋体" w:hAnsi="宋体" w:cs="宋体"/>
                <w:szCs w:val="21"/>
              </w:rPr>
            </w:pPr>
            <w:r>
              <w:rPr>
                <w:rFonts w:hint="eastAsia" w:ascii="宋体" w:hAnsi="宋体" w:cs="宋体"/>
                <w:szCs w:val="21"/>
              </w:rPr>
              <w:t>干净，无蜘蛛网</w:t>
            </w:r>
          </w:p>
        </w:tc>
      </w:tr>
      <w:tr w14:paraId="7D560B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20861AC6">
            <w:pPr>
              <w:spacing w:line="360" w:lineRule="exact"/>
              <w:jc w:val="center"/>
              <w:rPr>
                <w:rFonts w:ascii="宋体" w:hAnsi="宋体" w:cs="宋体"/>
                <w:szCs w:val="21"/>
              </w:rPr>
            </w:pPr>
          </w:p>
        </w:tc>
        <w:tc>
          <w:tcPr>
            <w:tcW w:w="573" w:type="dxa"/>
            <w:vAlign w:val="center"/>
          </w:tcPr>
          <w:p w14:paraId="17B3E805">
            <w:pPr>
              <w:spacing w:line="360" w:lineRule="exact"/>
              <w:jc w:val="center"/>
              <w:rPr>
                <w:rFonts w:ascii="宋体" w:hAnsi="宋体" w:cs="宋体"/>
                <w:szCs w:val="21"/>
              </w:rPr>
            </w:pPr>
            <w:r>
              <w:rPr>
                <w:rFonts w:hint="eastAsia" w:ascii="宋体" w:hAnsi="宋体" w:cs="宋体"/>
                <w:szCs w:val="21"/>
              </w:rPr>
              <w:t>9</w:t>
            </w:r>
          </w:p>
        </w:tc>
        <w:tc>
          <w:tcPr>
            <w:tcW w:w="1536" w:type="dxa"/>
            <w:vAlign w:val="center"/>
          </w:tcPr>
          <w:p w14:paraId="5C46DECC">
            <w:pPr>
              <w:spacing w:line="360" w:lineRule="exact"/>
              <w:jc w:val="center"/>
              <w:rPr>
                <w:rFonts w:ascii="宋体" w:hAnsi="宋体" w:cs="宋体"/>
                <w:szCs w:val="21"/>
              </w:rPr>
            </w:pPr>
            <w:r>
              <w:rPr>
                <w:rFonts w:hint="eastAsia" w:ascii="宋体" w:hAnsi="宋体" w:cs="宋体"/>
                <w:szCs w:val="21"/>
              </w:rPr>
              <w:t>管道设备</w:t>
            </w:r>
          </w:p>
        </w:tc>
        <w:tc>
          <w:tcPr>
            <w:tcW w:w="1276" w:type="dxa"/>
            <w:vAlign w:val="center"/>
          </w:tcPr>
          <w:p w14:paraId="726845ED">
            <w:pPr>
              <w:spacing w:line="360" w:lineRule="exact"/>
              <w:jc w:val="center"/>
              <w:rPr>
                <w:rFonts w:ascii="宋体" w:hAnsi="宋体" w:cs="宋体"/>
                <w:szCs w:val="21"/>
              </w:rPr>
            </w:pPr>
          </w:p>
        </w:tc>
        <w:tc>
          <w:tcPr>
            <w:tcW w:w="1426" w:type="dxa"/>
            <w:vAlign w:val="center"/>
          </w:tcPr>
          <w:p w14:paraId="27440B69">
            <w:pPr>
              <w:spacing w:line="360" w:lineRule="exact"/>
              <w:jc w:val="center"/>
              <w:rPr>
                <w:rFonts w:ascii="宋体" w:hAnsi="宋体" w:cs="宋体"/>
                <w:szCs w:val="21"/>
              </w:rPr>
            </w:pPr>
          </w:p>
        </w:tc>
        <w:tc>
          <w:tcPr>
            <w:tcW w:w="1134" w:type="dxa"/>
            <w:vAlign w:val="center"/>
          </w:tcPr>
          <w:p w14:paraId="48047592">
            <w:pPr>
              <w:spacing w:line="360" w:lineRule="exact"/>
              <w:jc w:val="center"/>
              <w:rPr>
                <w:rFonts w:ascii="宋体" w:hAnsi="宋体" w:cs="宋体"/>
                <w:szCs w:val="21"/>
              </w:rPr>
            </w:pPr>
            <w:r>
              <w:rPr>
                <w:rFonts w:hint="eastAsia" w:ascii="宋体" w:hAnsi="宋体" w:cs="宋体"/>
                <w:szCs w:val="21"/>
              </w:rPr>
              <w:t>除尘一次</w:t>
            </w:r>
          </w:p>
        </w:tc>
        <w:tc>
          <w:tcPr>
            <w:tcW w:w="1409" w:type="dxa"/>
            <w:vAlign w:val="center"/>
          </w:tcPr>
          <w:p w14:paraId="7B8ED60C">
            <w:pPr>
              <w:spacing w:line="360" w:lineRule="exact"/>
              <w:jc w:val="center"/>
              <w:rPr>
                <w:rFonts w:ascii="宋体" w:hAnsi="宋体" w:cs="宋体"/>
                <w:szCs w:val="21"/>
              </w:rPr>
            </w:pPr>
          </w:p>
        </w:tc>
        <w:tc>
          <w:tcPr>
            <w:tcW w:w="1667" w:type="dxa"/>
            <w:vAlign w:val="center"/>
          </w:tcPr>
          <w:p w14:paraId="0E54088E">
            <w:pPr>
              <w:spacing w:line="360" w:lineRule="exact"/>
              <w:jc w:val="center"/>
              <w:rPr>
                <w:rFonts w:ascii="宋体" w:hAnsi="宋体" w:cs="宋体"/>
                <w:szCs w:val="21"/>
              </w:rPr>
            </w:pPr>
            <w:r>
              <w:rPr>
                <w:rFonts w:hint="eastAsia" w:ascii="宋体" w:hAnsi="宋体" w:cs="宋体"/>
                <w:szCs w:val="21"/>
              </w:rPr>
              <w:t>无灰尘</w:t>
            </w:r>
          </w:p>
        </w:tc>
      </w:tr>
      <w:tr w14:paraId="77180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1164C267">
            <w:pPr>
              <w:spacing w:line="360" w:lineRule="exact"/>
              <w:jc w:val="center"/>
              <w:rPr>
                <w:rFonts w:ascii="宋体" w:hAnsi="宋体" w:cs="宋体"/>
                <w:szCs w:val="21"/>
              </w:rPr>
            </w:pPr>
          </w:p>
        </w:tc>
        <w:tc>
          <w:tcPr>
            <w:tcW w:w="573" w:type="dxa"/>
            <w:vAlign w:val="center"/>
          </w:tcPr>
          <w:p w14:paraId="6DD1FE06">
            <w:pPr>
              <w:spacing w:line="360" w:lineRule="exact"/>
              <w:jc w:val="center"/>
              <w:rPr>
                <w:rFonts w:ascii="宋体" w:hAnsi="宋体" w:cs="宋体"/>
                <w:szCs w:val="21"/>
              </w:rPr>
            </w:pPr>
            <w:r>
              <w:rPr>
                <w:rFonts w:hint="eastAsia" w:ascii="宋体" w:hAnsi="宋体" w:cs="宋体"/>
                <w:szCs w:val="21"/>
              </w:rPr>
              <w:t>10</w:t>
            </w:r>
          </w:p>
        </w:tc>
        <w:tc>
          <w:tcPr>
            <w:tcW w:w="1536" w:type="dxa"/>
            <w:vAlign w:val="center"/>
          </w:tcPr>
          <w:p w14:paraId="5D72E8F4">
            <w:pPr>
              <w:spacing w:line="360" w:lineRule="exact"/>
              <w:jc w:val="center"/>
              <w:rPr>
                <w:rFonts w:ascii="宋体" w:hAnsi="宋体" w:cs="宋体"/>
                <w:szCs w:val="21"/>
              </w:rPr>
            </w:pPr>
            <w:r>
              <w:rPr>
                <w:rFonts w:hint="eastAsia" w:ascii="宋体" w:hAnsi="宋体" w:cs="宋体"/>
                <w:szCs w:val="21"/>
              </w:rPr>
              <w:t>防火门</w:t>
            </w:r>
          </w:p>
        </w:tc>
        <w:tc>
          <w:tcPr>
            <w:tcW w:w="1276" w:type="dxa"/>
            <w:vAlign w:val="center"/>
          </w:tcPr>
          <w:p w14:paraId="2997DB37">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3D4FB448">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6C217D3B">
            <w:pPr>
              <w:spacing w:line="360" w:lineRule="exact"/>
              <w:jc w:val="center"/>
              <w:rPr>
                <w:rFonts w:ascii="宋体" w:hAnsi="宋体" w:cs="宋体"/>
                <w:szCs w:val="21"/>
              </w:rPr>
            </w:pPr>
          </w:p>
        </w:tc>
        <w:tc>
          <w:tcPr>
            <w:tcW w:w="1409" w:type="dxa"/>
            <w:vAlign w:val="center"/>
          </w:tcPr>
          <w:p w14:paraId="39B2C8D0">
            <w:pPr>
              <w:spacing w:line="360" w:lineRule="exact"/>
              <w:jc w:val="center"/>
              <w:rPr>
                <w:rFonts w:ascii="宋体" w:hAnsi="宋体" w:cs="宋体"/>
                <w:szCs w:val="21"/>
              </w:rPr>
            </w:pPr>
          </w:p>
        </w:tc>
        <w:tc>
          <w:tcPr>
            <w:tcW w:w="1667" w:type="dxa"/>
            <w:vAlign w:val="center"/>
          </w:tcPr>
          <w:p w14:paraId="3B3FC55D">
            <w:pPr>
              <w:spacing w:line="360" w:lineRule="exact"/>
              <w:jc w:val="center"/>
              <w:rPr>
                <w:rFonts w:ascii="宋体" w:hAnsi="宋体" w:cs="宋体"/>
                <w:szCs w:val="21"/>
              </w:rPr>
            </w:pPr>
            <w:r>
              <w:rPr>
                <w:rFonts w:hint="eastAsia" w:ascii="宋体" w:hAnsi="宋体" w:cs="宋体"/>
                <w:szCs w:val="21"/>
              </w:rPr>
              <w:t>干净、无污渍</w:t>
            </w:r>
          </w:p>
        </w:tc>
      </w:tr>
      <w:tr w14:paraId="296BBD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1AD4A712">
            <w:pPr>
              <w:spacing w:line="360" w:lineRule="exact"/>
              <w:jc w:val="center"/>
              <w:rPr>
                <w:rFonts w:ascii="宋体" w:hAnsi="宋体" w:cs="宋体"/>
                <w:szCs w:val="21"/>
              </w:rPr>
            </w:pPr>
          </w:p>
        </w:tc>
        <w:tc>
          <w:tcPr>
            <w:tcW w:w="573" w:type="dxa"/>
            <w:vAlign w:val="center"/>
          </w:tcPr>
          <w:p w14:paraId="13066708">
            <w:pPr>
              <w:spacing w:line="360" w:lineRule="exact"/>
              <w:jc w:val="center"/>
              <w:rPr>
                <w:rFonts w:ascii="宋体" w:hAnsi="宋体" w:cs="宋体"/>
                <w:szCs w:val="21"/>
              </w:rPr>
            </w:pPr>
            <w:r>
              <w:rPr>
                <w:rFonts w:hint="eastAsia" w:ascii="宋体" w:hAnsi="宋体" w:cs="宋体"/>
                <w:szCs w:val="21"/>
              </w:rPr>
              <w:t>11</w:t>
            </w:r>
          </w:p>
        </w:tc>
        <w:tc>
          <w:tcPr>
            <w:tcW w:w="1536" w:type="dxa"/>
            <w:vAlign w:val="center"/>
          </w:tcPr>
          <w:p w14:paraId="6913D2EF">
            <w:pPr>
              <w:spacing w:line="360" w:lineRule="exact"/>
              <w:jc w:val="center"/>
              <w:rPr>
                <w:rFonts w:ascii="宋体" w:hAnsi="宋体" w:cs="宋体"/>
                <w:szCs w:val="21"/>
              </w:rPr>
            </w:pPr>
            <w:r>
              <w:rPr>
                <w:rFonts w:hint="eastAsia" w:ascii="宋体" w:hAnsi="宋体" w:cs="宋体"/>
                <w:szCs w:val="21"/>
              </w:rPr>
              <w:t>卫生间</w:t>
            </w:r>
          </w:p>
        </w:tc>
        <w:tc>
          <w:tcPr>
            <w:tcW w:w="1276" w:type="dxa"/>
            <w:vAlign w:val="center"/>
          </w:tcPr>
          <w:p w14:paraId="10A8FC1B">
            <w:pPr>
              <w:spacing w:line="360" w:lineRule="exact"/>
              <w:rPr>
                <w:rFonts w:ascii="宋体" w:hAnsi="宋体" w:cs="宋体"/>
                <w:spacing w:val="-16"/>
                <w:szCs w:val="21"/>
              </w:rPr>
            </w:pPr>
            <w:r>
              <w:rPr>
                <w:rFonts w:hint="eastAsia" w:ascii="宋体" w:hAnsi="宋体" w:cs="宋体"/>
                <w:spacing w:val="-16"/>
                <w:szCs w:val="21"/>
              </w:rPr>
              <w:t>清拖二次，冲洗二次</w:t>
            </w:r>
          </w:p>
        </w:tc>
        <w:tc>
          <w:tcPr>
            <w:tcW w:w="1426" w:type="dxa"/>
            <w:vAlign w:val="center"/>
          </w:tcPr>
          <w:p w14:paraId="663384F8">
            <w:pPr>
              <w:spacing w:line="360" w:lineRule="exact"/>
              <w:jc w:val="center"/>
              <w:rPr>
                <w:rFonts w:ascii="宋体" w:hAnsi="宋体" w:cs="宋体"/>
                <w:szCs w:val="21"/>
              </w:rPr>
            </w:pPr>
            <w:r>
              <w:rPr>
                <w:rFonts w:hint="eastAsia" w:ascii="宋体" w:hAnsi="宋体" w:cs="宋体"/>
                <w:szCs w:val="21"/>
              </w:rPr>
              <w:t>用清洁剂清洗二次</w:t>
            </w:r>
          </w:p>
        </w:tc>
        <w:tc>
          <w:tcPr>
            <w:tcW w:w="1134" w:type="dxa"/>
            <w:vAlign w:val="center"/>
          </w:tcPr>
          <w:p w14:paraId="600977EC">
            <w:pPr>
              <w:spacing w:line="360" w:lineRule="exact"/>
              <w:jc w:val="center"/>
              <w:rPr>
                <w:rFonts w:ascii="宋体" w:hAnsi="宋体" w:cs="宋体"/>
                <w:szCs w:val="21"/>
              </w:rPr>
            </w:pPr>
          </w:p>
        </w:tc>
        <w:tc>
          <w:tcPr>
            <w:tcW w:w="1409" w:type="dxa"/>
            <w:vAlign w:val="center"/>
          </w:tcPr>
          <w:p w14:paraId="1C8D8078">
            <w:pPr>
              <w:spacing w:line="360" w:lineRule="exact"/>
              <w:jc w:val="center"/>
              <w:rPr>
                <w:rFonts w:ascii="宋体" w:hAnsi="宋体" w:cs="宋体"/>
                <w:szCs w:val="21"/>
              </w:rPr>
            </w:pPr>
          </w:p>
        </w:tc>
        <w:tc>
          <w:tcPr>
            <w:tcW w:w="1667" w:type="dxa"/>
            <w:vAlign w:val="center"/>
          </w:tcPr>
          <w:p w14:paraId="5D7187DD">
            <w:pPr>
              <w:spacing w:line="360" w:lineRule="exact"/>
              <w:jc w:val="center"/>
              <w:rPr>
                <w:rFonts w:ascii="宋体" w:hAnsi="宋体" w:cs="宋体"/>
                <w:szCs w:val="21"/>
              </w:rPr>
            </w:pPr>
            <w:r>
              <w:rPr>
                <w:rFonts w:hint="eastAsia" w:ascii="宋体" w:hAnsi="宋体" w:cs="宋体"/>
                <w:szCs w:val="21"/>
              </w:rPr>
              <w:t>干净、无臭、无污水</w:t>
            </w:r>
          </w:p>
        </w:tc>
      </w:tr>
      <w:tr w14:paraId="52D770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restart"/>
            <w:vAlign w:val="center"/>
          </w:tcPr>
          <w:p w14:paraId="16C09360">
            <w:pPr>
              <w:spacing w:line="360" w:lineRule="exact"/>
              <w:jc w:val="center"/>
              <w:rPr>
                <w:rFonts w:ascii="宋体" w:hAnsi="宋体" w:cs="宋体"/>
                <w:szCs w:val="21"/>
              </w:rPr>
            </w:pPr>
            <w:r>
              <w:rPr>
                <w:rFonts w:hint="eastAsia" w:ascii="宋体" w:hAnsi="宋体" w:cs="宋体"/>
                <w:szCs w:val="21"/>
              </w:rPr>
              <w:t>教学楼、办公室及多功能室室内</w:t>
            </w:r>
          </w:p>
        </w:tc>
        <w:tc>
          <w:tcPr>
            <w:tcW w:w="573" w:type="dxa"/>
            <w:vAlign w:val="center"/>
          </w:tcPr>
          <w:p w14:paraId="7F79E563">
            <w:pPr>
              <w:spacing w:line="360" w:lineRule="exact"/>
              <w:jc w:val="center"/>
              <w:rPr>
                <w:rFonts w:ascii="宋体" w:hAnsi="宋体" w:cs="宋体"/>
                <w:szCs w:val="21"/>
              </w:rPr>
            </w:pPr>
            <w:r>
              <w:rPr>
                <w:rFonts w:hint="eastAsia" w:ascii="宋体" w:hAnsi="宋体" w:cs="宋体"/>
                <w:szCs w:val="21"/>
              </w:rPr>
              <w:t>1</w:t>
            </w:r>
          </w:p>
        </w:tc>
        <w:tc>
          <w:tcPr>
            <w:tcW w:w="1536" w:type="dxa"/>
            <w:vAlign w:val="center"/>
          </w:tcPr>
          <w:p w14:paraId="6F510EC0">
            <w:pPr>
              <w:spacing w:line="360" w:lineRule="exact"/>
              <w:jc w:val="center"/>
              <w:rPr>
                <w:rFonts w:ascii="宋体" w:hAnsi="宋体" w:cs="宋体"/>
                <w:szCs w:val="21"/>
              </w:rPr>
            </w:pPr>
            <w:r>
              <w:rPr>
                <w:rFonts w:hint="eastAsia" w:ascii="宋体" w:hAnsi="宋体" w:cs="宋体"/>
                <w:szCs w:val="21"/>
              </w:rPr>
              <w:t>地面</w:t>
            </w:r>
          </w:p>
        </w:tc>
        <w:tc>
          <w:tcPr>
            <w:tcW w:w="1276" w:type="dxa"/>
            <w:vAlign w:val="center"/>
          </w:tcPr>
          <w:p w14:paraId="7B65EC75">
            <w:pPr>
              <w:spacing w:line="360" w:lineRule="exact"/>
              <w:jc w:val="center"/>
              <w:rPr>
                <w:rFonts w:ascii="宋体" w:hAnsi="宋体" w:cs="宋体"/>
                <w:szCs w:val="21"/>
              </w:rPr>
            </w:pPr>
            <w:r>
              <w:rPr>
                <w:rFonts w:hint="eastAsia" w:ascii="宋体" w:hAnsi="宋体" w:cs="宋体"/>
                <w:szCs w:val="21"/>
              </w:rPr>
              <w:t>清拖一次</w:t>
            </w:r>
          </w:p>
        </w:tc>
        <w:tc>
          <w:tcPr>
            <w:tcW w:w="1426" w:type="dxa"/>
            <w:vAlign w:val="center"/>
          </w:tcPr>
          <w:p w14:paraId="2146A24B">
            <w:pPr>
              <w:spacing w:line="360" w:lineRule="exact"/>
              <w:jc w:val="center"/>
              <w:rPr>
                <w:rFonts w:ascii="宋体" w:hAnsi="宋体" w:cs="宋体"/>
                <w:szCs w:val="21"/>
              </w:rPr>
            </w:pPr>
            <w:r>
              <w:rPr>
                <w:rFonts w:hint="eastAsia" w:ascii="宋体" w:hAnsi="宋体" w:cs="宋体"/>
                <w:szCs w:val="21"/>
              </w:rPr>
              <w:t>清洗一次</w:t>
            </w:r>
          </w:p>
        </w:tc>
        <w:tc>
          <w:tcPr>
            <w:tcW w:w="1134" w:type="dxa"/>
            <w:vAlign w:val="center"/>
          </w:tcPr>
          <w:p w14:paraId="0C0A0165">
            <w:pPr>
              <w:spacing w:line="360" w:lineRule="exact"/>
              <w:jc w:val="center"/>
              <w:rPr>
                <w:rFonts w:ascii="宋体" w:hAnsi="宋体" w:cs="宋体"/>
                <w:szCs w:val="21"/>
              </w:rPr>
            </w:pPr>
          </w:p>
        </w:tc>
        <w:tc>
          <w:tcPr>
            <w:tcW w:w="1409" w:type="dxa"/>
            <w:vAlign w:val="center"/>
          </w:tcPr>
          <w:p w14:paraId="0AE3F667">
            <w:pPr>
              <w:spacing w:line="360" w:lineRule="exact"/>
              <w:jc w:val="center"/>
              <w:rPr>
                <w:rFonts w:ascii="宋体" w:hAnsi="宋体" w:cs="宋体"/>
                <w:szCs w:val="21"/>
              </w:rPr>
            </w:pPr>
          </w:p>
        </w:tc>
        <w:tc>
          <w:tcPr>
            <w:tcW w:w="1667" w:type="dxa"/>
            <w:vAlign w:val="center"/>
          </w:tcPr>
          <w:p w14:paraId="0D1665D1">
            <w:pPr>
              <w:spacing w:line="360" w:lineRule="exact"/>
              <w:jc w:val="center"/>
              <w:rPr>
                <w:rFonts w:ascii="宋体" w:hAnsi="宋体" w:cs="宋体"/>
                <w:szCs w:val="21"/>
              </w:rPr>
            </w:pPr>
            <w:r>
              <w:rPr>
                <w:rFonts w:hint="eastAsia" w:ascii="宋体" w:hAnsi="宋体" w:cs="宋体"/>
                <w:szCs w:val="21"/>
              </w:rPr>
              <w:t>无杂物、无污渍、无水渍</w:t>
            </w:r>
          </w:p>
        </w:tc>
      </w:tr>
      <w:tr w14:paraId="476BC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6DC0BECA">
            <w:pPr>
              <w:spacing w:line="360" w:lineRule="exact"/>
              <w:jc w:val="center"/>
              <w:rPr>
                <w:rFonts w:ascii="宋体" w:hAnsi="宋体" w:cs="宋体"/>
                <w:szCs w:val="21"/>
              </w:rPr>
            </w:pPr>
          </w:p>
        </w:tc>
        <w:tc>
          <w:tcPr>
            <w:tcW w:w="573" w:type="dxa"/>
            <w:vAlign w:val="center"/>
          </w:tcPr>
          <w:p w14:paraId="3D3F7991">
            <w:pPr>
              <w:spacing w:line="360" w:lineRule="exact"/>
              <w:jc w:val="center"/>
              <w:rPr>
                <w:rFonts w:ascii="宋体" w:hAnsi="宋体" w:cs="宋体"/>
                <w:szCs w:val="21"/>
              </w:rPr>
            </w:pPr>
            <w:r>
              <w:rPr>
                <w:rFonts w:hint="eastAsia" w:ascii="宋体" w:hAnsi="宋体" w:cs="宋体"/>
                <w:szCs w:val="21"/>
              </w:rPr>
              <w:t>2</w:t>
            </w:r>
          </w:p>
        </w:tc>
        <w:tc>
          <w:tcPr>
            <w:tcW w:w="1536" w:type="dxa"/>
            <w:vAlign w:val="center"/>
          </w:tcPr>
          <w:p w14:paraId="68EAC36A">
            <w:pPr>
              <w:spacing w:line="360" w:lineRule="exact"/>
              <w:jc w:val="center"/>
              <w:rPr>
                <w:rFonts w:ascii="宋体" w:hAnsi="宋体" w:cs="宋体"/>
                <w:szCs w:val="21"/>
              </w:rPr>
            </w:pPr>
            <w:r>
              <w:rPr>
                <w:rFonts w:hint="eastAsia" w:ascii="宋体" w:hAnsi="宋体" w:cs="宋体"/>
                <w:szCs w:val="21"/>
              </w:rPr>
              <w:t>墙面</w:t>
            </w:r>
          </w:p>
        </w:tc>
        <w:tc>
          <w:tcPr>
            <w:tcW w:w="1276" w:type="dxa"/>
            <w:vAlign w:val="center"/>
          </w:tcPr>
          <w:p w14:paraId="22391883">
            <w:pPr>
              <w:spacing w:line="360" w:lineRule="exact"/>
              <w:jc w:val="center"/>
              <w:rPr>
                <w:rFonts w:ascii="宋体" w:hAnsi="宋体" w:cs="宋体"/>
                <w:szCs w:val="21"/>
              </w:rPr>
            </w:pPr>
          </w:p>
        </w:tc>
        <w:tc>
          <w:tcPr>
            <w:tcW w:w="1426" w:type="dxa"/>
            <w:vAlign w:val="center"/>
          </w:tcPr>
          <w:p w14:paraId="13C0F856">
            <w:pPr>
              <w:spacing w:line="360" w:lineRule="exact"/>
              <w:jc w:val="center"/>
              <w:rPr>
                <w:rFonts w:ascii="宋体" w:hAnsi="宋体" w:cs="宋体"/>
                <w:szCs w:val="21"/>
              </w:rPr>
            </w:pPr>
            <w:r>
              <w:rPr>
                <w:rFonts w:hint="eastAsia" w:ascii="宋体" w:hAnsi="宋体" w:cs="宋体"/>
                <w:szCs w:val="21"/>
              </w:rPr>
              <w:t>清扫一次</w:t>
            </w:r>
          </w:p>
        </w:tc>
        <w:tc>
          <w:tcPr>
            <w:tcW w:w="1134" w:type="dxa"/>
            <w:vAlign w:val="center"/>
          </w:tcPr>
          <w:p w14:paraId="534A0541">
            <w:pPr>
              <w:spacing w:line="360" w:lineRule="exact"/>
              <w:jc w:val="center"/>
              <w:rPr>
                <w:rFonts w:ascii="宋体" w:hAnsi="宋体" w:cs="宋体"/>
                <w:szCs w:val="21"/>
              </w:rPr>
            </w:pPr>
          </w:p>
        </w:tc>
        <w:tc>
          <w:tcPr>
            <w:tcW w:w="1409" w:type="dxa"/>
            <w:vAlign w:val="center"/>
          </w:tcPr>
          <w:p w14:paraId="13ED2811">
            <w:pPr>
              <w:spacing w:line="360" w:lineRule="exact"/>
              <w:jc w:val="center"/>
              <w:rPr>
                <w:rFonts w:ascii="宋体" w:hAnsi="宋体" w:cs="宋体"/>
                <w:szCs w:val="21"/>
              </w:rPr>
            </w:pPr>
          </w:p>
        </w:tc>
        <w:tc>
          <w:tcPr>
            <w:tcW w:w="1667" w:type="dxa"/>
            <w:vAlign w:val="center"/>
          </w:tcPr>
          <w:p w14:paraId="62003B27">
            <w:pPr>
              <w:spacing w:line="360" w:lineRule="exact"/>
              <w:jc w:val="center"/>
              <w:rPr>
                <w:rFonts w:ascii="宋体" w:hAnsi="宋体" w:cs="宋体"/>
                <w:szCs w:val="21"/>
              </w:rPr>
            </w:pPr>
            <w:r>
              <w:rPr>
                <w:rFonts w:hint="eastAsia" w:ascii="宋体" w:hAnsi="宋体" w:cs="宋体"/>
                <w:szCs w:val="21"/>
              </w:rPr>
              <w:t>无污渍</w:t>
            </w:r>
          </w:p>
        </w:tc>
      </w:tr>
      <w:tr w14:paraId="269C1F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6061F5FB">
            <w:pPr>
              <w:spacing w:line="360" w:lineRule="exact"/>
              <w:jc w:val="center"/>
              <w:rPr>
                <w:rFonts w:ascii="宋体" w:hAnsi="宋体" w:cs="宋体"/>
                <w:szCs w:val="21"/>
              </w:rPr>
            </w:pPr>
          </w:p>
        </w:tc>
        <w:tc>
          <w:tcPr>
            <w:tcW w:w="573" w:type="dxa"/>
            <w:vAlign w:val="center"/>
          </w:tcPr>
          <w:p w14:paraId="0E9861A4">
            <w:pPr>
              <w:spacing w:line="360" w:lineRule="exact"/>
              <w:jc w:val="center"/>
              <w:rPr>
                <w:rFonts w:ascii="宋体" w:hAnsi="宋体" w:cs="宋体"/>
                <w:szCs w:val="21"/>
              </w:rPr>
            </w:pPr>
            <w:r>
              <w:rPr>
                <w:rFonts w:hint="eastAsia" w:ascii="宋体" w:hAnsi="宋体" w:cs="宋体"/>
                <w:szCs w:val="21"/>
              </w:rPr>
              <w:t>3</w:t>
            </w:r>
          </w:p>
        </w:tc>
        <w:tc>
          <w:tcPr>
            <w:tcW w:w="1536" w:type="dxa"/>
            <w:vAlign w:val="center"/>
          </w:tcPr>
          <w:p w14:paraId="11F97948">
            <w:pPr>
              <w:spacing w:line="360" w:lineRule="exact"/>
              <w:jc w:val="center"/>
              <w:rPr>
                <w:rFonts w:ascii="宋体" w:hAnsi="宋体" w:cs="宋体"/>
                <w:szCs w:val="21"/>
              </w:rPr>
            </w:pPr>
            <w:r>
              <w:rPr>
                <w:rFonts w:hint="eastAsia" w:ascii="宋体" w:hAnsi="宋体" w:cs="宋体"/>
                <w:szCs w:val="21"/>
              </w:rPr>
              <w:t>门、窗</w:t>
            </w:r>
          </w:p>
        </w:tc>
        <w:tc>
          <w:tcPr>
            <w:tcW w:w="1276" w:type="dxa"/>
            <w:vAlign w:val="center"/>
          </w:tcPr>
          <w:p w14:paraId="726C2685">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5CBE34C0">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35D29637">
            <w:pPr>
              <w:spacing w:line="360" w:lineRule="exact"/>
              <w:jc w:val="center"/>
              <w:rPr>
                <w:rFonts w:ascii="宋体" w:hAnsi="宋体" w:cs="宋体"/>
                <w:szCs w:val="21"/>
              </w:rPr>
            </w:pPr>
          </w:p>
        </w:tc>
        <w:tc>
          <w:tcPr>
            <w:tcW w:w="1409" w:type="dxa"/>
            <w:vAlign w:val="center"/>
          </w:tcPr>
          <w:p w14:paraId="6D4AD703">
            <w:pPr>
              <w:spacing w:line="360" w:lineRule="exact"/>
              <w:jc w:val="center"/>
              <w:rPr>
                <w:rFonts w:ascii="宋体" w:hAnsi="宋体" w:cs="宋体"/>
                <w:szCs w:val="21"/>
              </w:rPr>
            </w:pPr>
          </w:p>
        </w:tc>
        <w:tc>
          <w:tcPr>
            <w:tcW w:w="1667" w:type="dxa"/>
            <w:vAlign w:val="center"/>
          </w:tcPr>
          <w:p w14:paraId="48379188">
            <w:pPr>
              <w:spacing w:line="360" w:lineRule="exact"/>
              <w:jc w:val="center"/>
              <w:rPr>
                <w:rFonts w:ascii="宋体" w:hAnsi="宋体" w:cs="宋体"/>
                <w:szCs w:val="21"/>
              </w:rPr>
            </w:pPr>
            <w:r>
              <w:rPr>
                <w:rFonts w:hint="eastAsia" w:ascii="宋体" w:hAnsi="宋体" w:cs="宋体"/>
                <w:szCs w:val="21"/>
              </w:rPr>
              <w:t>无尘、无污渍</w:t>
            </w:r>
          </w:p>
        </w:tc>
      </w:tr>
      <w:tr w14:paraId="5DBE0F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705EE75">
            <w:pPr>
              <w:spacing w:line="360" w:lineRule="exact"/>
              <w:jc w:val="center"/>
              <w:rPr>
                <w:rFonts w:ascii="宋体" w:hAnsi="宋体" w:cs="宋体"/>
                <w:szCs w:val="21"/>
              </w:rPr>
            </w:pPr>
          </w:p>
        </w:tc>
        <w:tc>
          <w:tcPr>
            <w:tcW w:w="573" w:type="dxa"/>
            <w:vAlign w:val="center"/>
          </w:tcPr>
          <w:p w14:paraId="7E7EA4BA">
            <w:pPr>
              <w:spacing w:line="360" w:lineRule="exact"/>
              <w:jc w:val="center"/>
              <w:rPr>
                <w:rFonts w:ascii="宋体" w:hAnsi="宋体" w:cs="宋体"/>
                <w:szCs w:val="21"/>
              </w:rPr>
            </w:pPr>
            <w:r>
              <w:rPr>
                <w:rFonts w:hint="eastAsia" w:ascii="宋体" w:hAnsi="宋体" w:cs="宋体"/>
                <w:szCs w:val="21"/>
              </w:rPr>
              <w:t>4</w:t>
            </w:r>
          </w:p>
        </w:tc>
        <w:tc>
          <w:tcPr>
            <w:tcW w:w="1536" w:type="dxa"/>
            <w:vAlign w:val="center"/>
          </w:tcPr>
          <w:p w14:paraId="75F42CFE">
            <w:pPr>
              <w:spacing w:line="360" w:lineRule="exact"/>
              <w:jc w:val="center"/>
              <w:rPr>
                <w:rFonts w:ascii="宋体" w:hAnsi="宋体" w:cs="宋体"/>
                <w:szCs w:val="21"/>
              </w:rPr>
            </w:pPr>
            <w:r>
              <w:rPr>
                <w:rFonts w:hint="eastAsia" w:ascii="宋体" w:hAnsi="宋体" w:cs="宋体"/>
                <w:szCs w:val="21"/>
              </w:rPr>
              <w:t>桌、椅</w:t>
            </w:r>
          </w:p>
        </w:tc>
        <w:tc>
          <w:tcPr>
            <w:tcW w:w="1276" w:type="dxa"/>
            <w:vAlign w:val="center"/>
          </w:tcPr>
          <w:p w14:paraId="45B73095">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0BB8A11E">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02054C94">
            <w:pPr>
              <w:spacing w:line="360" w:lineRule="exact"/>
              <w:jc w:val="center"/>
              <w:rPr>
                <w:rFonts w:ascii="宋体" w:hAnsi="宋体" w:cs="宋体"/>
                <w:szCs w:val="21"/>
              </w:rPr>
            </w:pPr>
          </w:p>
        </w:tc>
        <w:tc>
          <w:tcPr>
            <w:tcW w:w="1409" w:type="dxa"/>
            <w:vAlign w:val="center"/>
          </w:tcPr>
          <w:p w14:paraId="67853054">
            <w:pPr>
              <w:spacing w:line="360" w:lineRule="exact"/>
              <w:jc w:val="center"/>
              <w:rPr>
                <w:rFonts w:ascii="宋体" w:hAnsi="宋体" w:cs="宋体"/>
                <w:szCs w:val="21"/>
              </w:rPr>
            </w:pPr>
          </w:p>
        </w:tc>
        <w:tc>
          <w:tcPr>
            <w:tcW w:w="1667" w:type="dxa"/>
            <w:vAlign w:val="center"/>
          </w:tcPr>
          <w:p w14:paraId="47284EEB">
            <w:pPr>
              <w:spacing w:line="360" w:lineRule="exact"/>
              <w:jc w:val="center"/>
              <w:rPr>
                <w:rFonts w:ascii="宋体" w:hAnsi="宋体" w:cs="宋体"/>
                <w:szCs w:val="21"/>
              </w:rPr>
            </w:pPr>
            <w:r>
              <w:rPr>
                <w:rFonts w:hint="eastAsia" w:ascii="宋体" w:hAnsi="宋体" w:cs="宋体"/>
                <w:szCs w:val="21"/>
              </w:rPr>
              <w:t>无污渍</w:t>
            </w:r>
          </w:p>
        </w:tc>
      </w:tr>
      <w:tr w14:paraId="559DD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499ACE3B">
            <w:pPr>
              <w:spacing w:line="360" w:lineRule="exact"/>
              <w:jc w:val="center"/>
              <w:rPr>
                <w:rFonts w:ascii="宋体" w:hAnsi="宋体" w:cs="宋体"/>
                <w:szCs w:val="21"/>
              </w:rPr>
            </w:pPr>
          </w:p>
        </w:tc>
        <w:tc>
          <w:tcPr>
            <w:tcW w:w="573" w:type="dxa"/>
            <w:vAlign w:val="center"/>
          </w:tcPr>
          <w:p w14:paraId="2786A293">
            <w:pPr>
              <w:spacing w:line="360" w:lineRule="exact"/>
              <w:jc w:val="center"/>
              <w:rPr>
                <w:rFonts w:ascii="宋体" w:hAnsi="宋体" w:cs="宋体"/>
                <w:szCs w:val="21"/>
              </w:rPr>
            </w:pPr>
            <w:r>
              <w:rPr>
                <w:rFonts w:hint="eastAsia" w:ascii="宋体" w:hAnsi="宋体" w:cs="宋体"/>
                <w:szCs w:val="21"/>
              </w:rPr>
              <w:t>5</w:t>
            </w:r>
          </w:p>
        </w:tc>
        <w:tc>
          <w:tcPr>
            <w:tcW w:w="1536" w:type="dxa"/>
            <w:vAlign w:val="center"/>
          </w:tcPr>
          <w:p w14:paraId="43489E36">
            <w:pPr>
              <w:spacing w:line="360" w:lineRule="exact"/>
              <w:jc w:val="center"/>
              <w:rPr>
                <w:rFonts w:ascii="宋体" w:hAnsi="宋体" w:cs="宋体"/>
                <w:szCs w:val="21"/>
              </w:rPr>
            </w:pPr>
            <w:r>
              <w:rPr>
                <w:rFonts w:hint="eastAsia" w:ascii="宋体" w:hAnsi="宋体" w:cs="宋体"/>
                <w:szCs w:val="21"/>
              </w:rPr>
              <w:t>饰物</w:t>
            </w:r>
          </w:p>
        </w:tc>
        <w:tc>
          <w:tcPr>
            <w:tcW w:w="1276" w:type="dxa"/>
            <w:vAlign w:val="center"/>
          </w:tcPr>
          <w:p w14:paraId="7BEB8B4E">
            <w:pPr>
              <w:spacing w:line="360" w:lineRule="exact"/>
              <w:jc w:val="center"/>
              <w:rPr>
                <w:rFonts w:ascii="宋体" w:hAnsi="宋体" w:cs="宋体"/>
                <w:szCs w:val="21"/>
              </w:rPr>
            </w:pPr>
            <w:r>
              <w:rPr>
                <w:rFonts w:hint="eastAsia" w:ascii="宋体" w:hAnsi="宋体" w:cs="宋体"/>
                <w:szCs w:val="21"/>
              </w:rPr>
              <w:t>清抹一次</w:t>
            </w:r>
          </w:p>
        </w:tc>
        <w:tc>
          <w:tcPr>
            <w:tcW w:w="1426" w:type="dxa"/>
            <w:vAlign w:val="center"/>
          </w:tcPr>
          <w:p w14:paraId="4CFEA8C4">
            <w:pPr>
              <w:spacing w:line="360" w:lineRule="exact"/>
              <w:jc w:val="center"/>
              <w:rPr>
                <w:rFonts w:ascii="宋体" w:hAnsi="宋体" w:cs="宋体"/>
                <w:szCs w:val="21"/>
              </w:rPr>
            </w:pPr>
            <w:r>
              <w:rPr>
                <w:rFonts w:hint="eastAsia" w:ascii="宋体" w:hAnsi="宋体" w:cs="宋体"/>
                <w:szCs w:val="21"/>
              </w:rPr>
              <w:t>用清洁剂清抹一次</w:t>
            </w:r>
          </w:p>
        </w:tc>
        <w:tc>
          <w:tcPr>
            <w:tcW w:w="1134" w:type="dxa"/>
            <w:vAlign w:val="center"/>
          </w:tcPr>
          <w:p w14:paraId="23A0E05B">
            <w:pPr>
              <w:spacing w:line="360" w:lineRule="exact"/>
              <w:jc w:val="center"/>
              <w:rPr>
                <w:rFonts w:ascii="宋体" w:hAnsi="宋体" w:cs="宋体"/>
                <w:szCs w:val="21"/>
              </w:rPr>
            </w:pPr>
          </w:p>
        </w:tc>
        <w:tc>
          <w:tcPr>
            <w:tcW w:w="1409" w:type="dxa"/>
            <w:vAlign w:val="center"/>
          </w:tcPr>
          <w:p w14:paraId="4B8E4CA9">
            <w:pPr>
              <w:spacing w:line="360" w:lineRule="exact"/>
              <w:jc w:val="center"/>
              <w:rPr>
                <w:rFonts w:ascii="宋体" w:hAnsi="宋体" w:cs="宋体"/>
                <w:szCs w:val="21"/>
              </w:rPr>
            </w:pPr>
          </w:p>
        </w:tc>
        <w:tc>
          <w:tcPr>
            <w:tcW w:w="1667" w:type="dxa"/>
            <w:vAlign w:val="center"/>
          </w:tcPr>
          <w:p w14:paraId="4D267F5D">
            <w:pPr>
              <w:spacing w:line="360" w:lineRule="exact"/>
              <w:jc w:val="center"/>
              <w:rPr>
                <w:rFonts w:ascii="宋体" w:hAnsi="宋体" w:cs="宋体"/>
                <w:szCs w:val="21"/>
              </w:rPr>
            </w:pPr>
            <w:r>
              <w:rPr>
                <w:rFonts w:hint="eastAsia" w:ascii="宋体" w:hAnsi="宋体" w:cs="宋体"/>
                <w:szCs w:val="21"/>
              </w:rPr>
              <w:t>无尘、无污渍</w:t>
            </w:r>
          </w:p>
        </w:tc>
      </w:tr>
      <w:tr w14:paraId="342CA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58DFCC31">
            <w:pPr>
              <w:spacing w:line="360" w:lineRule="exact"/>
              <w:jc w:val="center"/>
              <w:rPr>
                <w:rFonts w:ascii="宋体" w:hAnsi="宋体" w:cs="宋体"/>
                <w:szCs w:val="21"/>
              </w:rPr>
            </w:pPr>
          </w:p>
        </w:tc>
        <w:tc>
          <w:tcPr>
            <w:tcW w:w="573" w:type="dxa"/>
            <w:vAlign w:val="center"/>
          </w:tcPr>
          <w:p w14:paraId="58516C86">
            <w:pPr>
              <w:spacing w:line="360" w:lineRule="exact"/>
              <w:jc w:val="center"/>
              <w:rPr>
                <w:rFonts w:ascii="宋体" w:hAnsi="宋体" w:cs="宋体"/>
                <w:szCs w:val="21"/>
              </w:rPr>
            </w:pPr>
            <w:r>
              <w:rPr>
                <w:rFonts w:hint="eastAsia" w:ascii="宋体" w:hAnsi="宋体" w:cs="宋体"/>
                <w:szCs w:val="21"/>
              </w:rPr>
              <w:t>6</w:t>
            </w:r>
          </w:p>
        </w:tc>
        <w:tc>
          <w:tcPr>
            <w:tcW w:w="1536" w:type="dxa"/>
            <w:vAlign w:val="center"/>
          </w:tcPr>
          <w:p w14:paraId="5AB79D5D">
            <w:pPr>
              <w:spacing w:line="360" w:lineRule="exact"/>
              <w:jc w:val="center"/>
              <w:rPr>
                <w:rFonts w:ascii="宋体" w:hAnsi="宋体" w:cs="宋体"/>
                <w:szCs w:val="21"/>
              </w:rPr>
            </w:pPr>
            <w:r>
              <w:rPr>
                <w:rFonts w:hint="eastAsia" w:ascii="宋体" w:hAnsi="宋体" w:cs="宋体"/>
                <w:szCs w:val="21"/>
              </w:rPr>
              <w:t>天花灯饰</w:t>
            </w:r>
          </w:p>
        </w:tc>
        <w:tc>
          <w:tcPr>
            <w:tcW w:w="1276" w:type="dxa"/>
            <w:vAlign w:val="center"/>
          </w:tcPr>
          <w:p w14:paraId="5DE92C74">
            <w:pPr>
              <w:spacing w:line="360" w:lineRule="exact"/>
              <w:jc w:val="center"/>
              <w:rPr>
                <w:rFonts w:ascii="宋体" w:hAnsi="宋体" w:cs="宋体"/>
                <w:szCs w:val="21"/>
              </w:rPr>
            </w:pPr>
          </w:p>
        </w:tc>
        <w:tc>
          <w:tcPr>
            <w:tcW w:w="1426" w:type="dxa"/>
            <w:vAlign w:val="center"/>
          </w:tcPr>
          <w:p w14:paraId="1B3D04AA">
            <w:pPr>
              <w:spacing w:line="360" w:lineRule="exact"/>
              <w:jc w:val="center"/>
              <w:rPr>
                <w:rFonts w:ascii="宋体" w:hAnsi="宋体" w:cs="宋体"/>
                <w:szCs w:val="21"/>
              </w:rPr>
            </w:pPr>
            <w:r>
              <w:rPr>
                <w:rFonts w:hint="eastAsia" w:ascii="宋体" w:hAnsi="宋体" w:cs="宋体"/>
                <w:szCs w:val="21"/>
              </w:rPr>
              <w:t>清扫一次</w:t>
            </w:r>
          </w:p>
        </w:tc>
        <w:tc>
          <w:tcPr>
            <w:tcW w:w="1134" w:type="dxa"/>
            <w:vAlign w:val="center"/>
          </w:tcPr>
          <w:p w14:paraId="0319DD5C">
            <w:pPr>
              <w:spacing w:line="360" w:lineRule="exact"/>
              <w:jc w:val="center"/>
              <w:rPr>
                <w:rFonts w:ascii="宋体" w:hAnsi="宋体" w:cs="宋体"/>
                <w:szCs w:val="21"/>
              </w:rPr>
            </w:pPr>
          </w:p>
        </w:tc>
        <w:tc>
          <w:tcPr>
            <w:tcW w:w="1409" w:type="dxa"/>
            <w:vAlign w:val="center"/>
          </w:tcPr>
          <w:p w14:paraId="3416F0A0">
            <w:pPr>
              <w:spacing w:line="360" w:lineRule="exact"/>
              <w:jc w:val="center"/>
              <w:rPr>
                <w:rFonts w:ascii="宋体" w:hAnsi="宋体" w:cs="宋体"/>
                <w:szCs w:val="21"/>
              </w:rPr>
            </w:pPr>
          </w:p>
        </w:tc>
        <w:tc>
          <w:tcPr>
            <w:tcW w:w="1667" w:type="dxa"/>
            <w:vAlign w:val="center"/>
          </w:tcPr>
          <w:p w14:paraId="30CD0651">
            <w:pPr>
              <w:spacing w:line="360" w:lineRule="exact"/>
              <w:jc w:val="center"/>
              <w:rPr>
                <w:rFonts w:ascii="宋体" w:hAnsi="宋体" w:cs="宋体"/>
                <w:szCs w:val="21"/>
              </w:rPr>
            </w:pPr>
            <w:r>
              <w:rPr>
                <w:rFonts w:hint="eastAsia" w:ascii="宋体" w:hAnsi="宋体" w:cs="宋体"/>
                <w:szCs w:val="21"/>
              </w:rPr>
              <w:t>干净，无蜘蛛网</w:t>
            </w:r>
          </w:p>
        </w:tc>
      </w:tr>
      <w:tr w14:paraId="7A0752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62B9E7A3">
            <w:pPr>
              <w:spacing w:line="360" w:lineRule="exact"/>
              <w:jc w:val="center"/>
              <w:rPr>
                <w:rFonts w:ascii="宋体" w:hAnsi="宋体" w:cs="宋体"/>
                <w:szCs w:val="21"/>
              </w:rPr>
            </w:pPr>
          </w:p>
        </w:tc>
        <w:tc>
          <w:tcPr>
            <w:tcW w:w="573" w:type="dxa"/>
            <w:vAlign w:val="center"/>
          </w:tcPr>
          <w:p w14:paraId="33562921">
            <w:pPr>
              <w:spacing w:line="360" w:lineRule="exact"/>
              <w:jc w:val="center"/>
              <w:rPr>
                <w:rFonts w:ascii="宋体" w:hAnsi="宋体" w:cs="宋体"/>
                <w:szCs w:val="21"/>
              </w:rPr>
            </w:pPr>
            <w:r>
              <w:rPr>
                <w:rFonts w:hint="eastAsia" w:ascii="宋体" w:hAnsi="宋体" w:cs="宋体"/>
                <w:szCs w:val="21"/>
              </w:rPr>
              <w:t>7</w:t>
            </w:r>
          </w:p>
        </w:tc>
        <w:tc>
          <w:tcPr>
            <w:tcW w:w="1536" w:type="dxa"/>
            <w:vAlign w:val="center"/>
          </w:tcPr>
          <w:p w14:paraId="69D4283F">
            <w:pPr>
              <w:spacing w:line="360" w:lineRule="exact"/>
              <w:jc w:val="center"/>
              <w:rPr>
                <w:rFonts w:ascii="宋体" w:hAnsi="宋体" w:cs="宋体"/>
                <w:szCs w:val="21"/>
              </w:rPr>
            </w:pPr>
            <w:r>
              <w:rPr>
                <w:rFonts w:hint="eastAsia" w:ascii="宋体" w:hAnsi="宋体" w:cs="宋体"/>
                <w:szCs w:val="21"/>
              </w:rPr>
              <w:t>垃圾箱、篓</w:t>
            </w:r>
          </w:p>
        </w:tc>
        <w:tc>
          <w:tcPr>
            <w:tcW w:w="1276" w:type="dxa"/>
            <w:vAlign w:val="center"/>
          </w:tcPr>
          <w:p w14:paraId="7F7EF31B">
            <w:pPr>
              <w:spacing w:line="360" w:lineRule="exact"/>
              <w:jc w:val="center"/>
              <w:rPr>
                <w:rFonts w:ascii="宋体" w:hAnsi="宋体" w:cs="宋体"/>
                <w:spacing w:val="-10"/>
                <w:szCs w:val="21"/>
              </w:rPr>
            </w:pPr>
            <w:r>
              <w:rPr>
                <w:rFonts w:hint="eastAsia" w:ascii="宋体" w:hAnsi="宋体" w:cs="宋体"/>
                <w:spacing w:val="-10"/>
                <w:szCs w:val="21"/>
              </w:rPr>
              <w:t>上午、下午</w:t>
            </w:r>
          </w:p>
        </w:tc>
        <w:tc>
          <w:tcPr>
            <w:tcW w:w="1426" w:type="dxa"/>
            <w:vAlign w:val="center"/>
          </w:tcPr>
          <w:p w14:paraId="5A628A4E">
            <w:pPr>
              <w:spacing w:line="360" w:lineRule="exact"/>
              <w:jc w:val="center"/>
              <w:rPr>
                <w:rFonts w:ascii="宋体" w:hAnsi="宋体" w:cs="宋体"/>
                <w:szCs w:val="21"/>
              </w:rPr>
            </w:pPr>
          </w:p>
        </w:tc>
        <w:tc>
          <w:tcPr>
            <w:tcW w:w="1134" w:type="dxa"/>
            <w:vAlign w:val="center"/>
          </w:tcPr>
          <w:p w14:paraId="5C29E300">
            <w:pPr>
              <w:spacing w:line="360" w:lineRule="exact"/>
              <w:jc w:val="center"/>
              <w:rPr>
                <w:rFonts w:ascii="宋体" w:hAnsi="宋体" w:cs="宋体"/>
                <w:szCs w:val="21"/>
              </w:rPr>
            </w:pPr>
          </w:p>
        </w:tc>
        <w:tc>
          <w:tcPr>
            <w:tcW w:w="1409" w:type="dxa"/>
            <w:vAlign w:val="center"/>
          </w:tcPr>
          <w:p w14:paraId="4160864C">
            <w:pPr>
              <w:spacing w:line="360" w:lineRule="exact"/>
              <w:jc w:val="center"/>
              <w:rPr>
                <w:rFonts w:ascii="宋体" w:hAnsi="宋体" w:cs="宋体"/>
                <w:szCs w:val="21"/>
              </w:rPr>
            </w:pPr>
          </w:p>
        </w:tc>
        <w:tc>
          <w:tcPr>
            <w:tcW w:w="1667" w:type="dxa"/>
            <w:vAlign w:val="center"/>
          </w:tcPr>
          <w:p w14:paraId="3E8E3F34">
            <w:pPr>
              <w:spacing w:line="360" w:lineRule="exact"/>
              <w:jc w:val="center"/>
              <w:rPr>
                <w:rFonts w:ascii="宋体" w:hAnsi="宋体" w:cs="宋体"/>
                <w:szCs w:val="21"/>
              </w:rPr>
            </w:pPr>
            <w:r>
              <w:rPr>
                <w:rFonts w:hint="eastAsia" w:ascii="宋体" w:hAnsi="宋体" w:cs="宋体"/>
                <w:szCs w:val="21"/>
              </w:rPr>
              <w:t>无过夜垃圾</w:t>
            </w:r>
          </w:p>
        </w:tc>
      </w:tr>
      <w:tr w14:paraId="78FC5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26" w:type="dxa"/>
            <w:vMerge w:val="continue"/>
            <w:vAlign w:val="center"/>
          </w:tcPr>
          <w:p w14:paraId="35E237BD">
            <w:pPr>
              <w:spacing w:line="360" w:lineRule="exact"/>
              <w:jc w:val="center"/>
              <w:rPr>
                <w:rFonts w:ascii="宋体" w:hAnsi="宋体" w:cs="宋体"/>
                <w:szCs w:val="21"/>
              </w:rPr>
            </w:pPr>
          </w:p>
        </w:tc>
        <w:tc>
          <w:tcPr>
            <w:tcW w:w="573" w:type="dxa"/>
            <w:vAlign w:val="center"/>
          </w:tcPr>
          <w:p w14:paraId="34C318C9">
            <w:pPr>
              <w:spacing w:line="360" w:lineRule="exact"/>
              <w:jc w:val="center"/>
              <w:rPr>
                <w:rFonts w:ascii="宋体" w:hAnsi="宋体" w:cs="宋体"/>
                <w:szCs w:val="21"/>
              </w:rPr>
            </w:pPr>
            <w:r>
              <w:rPr>
                <w:rFonts w:hint="eastAsia" w:ascii="宋体" w:hAnsi="宋体" w:cs="宋体"/>
                <w:szCs w:val="21"/>
              </w:rPr>
              <w:t>8</w:t>
            </w:r>
          </w:p>
        </w:tc>
        <w:tc>
          <w:tcPr>
            <w:tcW w:w="1536" w:type="dxa"/>
            <w:vAlign w:val="center"/>
          </w:tcPr>
          <w:p w14:paraId="4E1D14F5">
            <w:pPr>
              <w:spacing w:line="360" w:lineRule="exact"/>
              <w:jc w:val="center"/>
              <w:rPr>
                <w:rFonts w:ascii="宋体" w:hAnsi="宋体" w:cs="宋体"/>
                <w:szCs w:val="21"/>
              </w:rPr>
            </w:pPr>
            <w:r>
              <w:rPr>
                <w:rFonts w:hint="eastAsia" w:ascii="宋体" w:hAnsi="宋体" w:cs="宋体"/>
                <w:szCs w:val="21"/>
              </w:rPr>
              <w:t>空调系统</w:t>
            </w:r>
          </w:p>
          <w:p w14:paraId="45C0369C">
            <w:pPr>
              <w:spacing w:line="360" w:lineRule="exact"/>
              <w:jc w:val="center"/>
              <w:rPr>
                <w:rFonts w:ascii="宋体" w:hAnsi="宋体" w:cs="宋体"/>
                <w:szCs w:val="21"/>
              </w:rPr>
            </w:pPr>
            <w:r>
              <w:rPr>
                <w:rFonts w:hint="eastAsia" w:ascii="宋体" w:hAnsi="宋体" w:cs="宋体"/>
                <w:szCs w:val="21"/>
              </w:rPr>
              <w:t>各风口</w:t>
            </w:r>
          </w:p>
        </w:tc>
        <w:tc>
          <w:tcPr>
            <w:tcW w:w="1276" w:type="dxa"/>
            <w:vAlign w:val="center"/>
          </w:tcPr>
          <w:p w14:paraId="599206A5">
            <w:pPr>
              <w:spacing w:line="360" w:lineRule="exact"/>
              <w:jc w:val="center"/>
              <w:rPr>
                <w:rFonts w:ascii="宋体" w:hAnsi="宋体" w:cs="宋体"/>
                <w:szCs w:val="21"/>
              </w:rPr>
            </w:pPr>
          </w:p>
        </w:tc>
        <w:tc>
          <w:tcPr>
            <w:tcW w:w="1426" w:type="dxa"/>
            <w:vAlign w:val="center"/>
          </w:tcPr>
          <w:p w14:paraId="72C0409F">
            <w:pPr>
              <w:spacing w:line="360" w:lineRule="exact"/>
              <w:jc w:val="center"/>
              <w:rPr>
                <w:rFonts w:ascii="宋体" w:hAnsi="宋体" w:cs="宋体"/>
                <w:szCs w:val="21"/>
              </w:rPr>
            </w:pPr>
          </w:p>
        </w:tc>
        <w:tc>
          <w:tcPr>
            <w:tcW w:w="1134" w:type="dxa"/>
            <w:vAlign w:val="center"/>
          </w:tcPr>
          <w:p w14:paraId="667272EF">
            <w:pPr>
              <w:spacing w:line="360" w:lineRule="exact"/>
              <w:jc w:val="center"/>
              <w:rPr>
                <w:rFonts w:ascii="宋体" w:hAnsi="宋体" w:cs="宋体"/>
                <w:szCs w:val="21"/>
              </w:rPr>
            </w:pPr>
            <w:r>
              <w:rPr>
                <w:rFonts w:hint="eastAsia" w:ascii="宋体" w:hAnsi="宋体" w:cs="宋体"/>
                <w:szCs w:val="21"/>
              </w:rPr>
              <w:t>清洗一次</w:t>
            </w:r>
          </w:p>
        </w:tc>
        <w:tc>
          <w:tcPr>
            <w:tcW w:w="1409" w:type="dxa"/>
            <w:vAlign w:val="center"/>
          </w:tcPr>
          <w:p w14:paraId="62FAA32E">
            <w:pPr>
              <w:spacing w:line="360" w:lineRule="exact"/>
              <w:jc w:val="center"/>
              <w:rPr>
                <w:rFonts w:ascii="宋体" w:hAnsi="宋体" w:cs="宋体"/>
                <w:szCs w:val="21"/>
              </w:rPr>
            </w:pPr>
          </w:p>
        </w:tc>
        <w:tc>
          <w:tcPr>
            <w:tcW w:w="1667" w:type="dxa"/>
            <w:vAlign w:val="center"/>
          </w:tcPr>
          <w:p w14:paraId="1765EFF8">
            <w:pPr>
              <w:spacing w:line="360" w:lineRule="exact"/>
              <w:jc w:val="center"/>
              <w:rPr>
                <w:rFonts w:ascii="宋体" w:hAnsi="宋体" w:cs="宋体"/>
                <w:szCs w:val="21"/>
              </w:rPr>
            </w:pPr>
            <w:r>
              <w:rPr>
                <w:rFonts w:hint="eastAsia" w:ascii="宋体" w:hAnsi="宋体" w:cs="宋体"/>
                <w:szCs w:val="21"/>
              </w:rPr>
              <w:t>无尘、无污渍</w:t>
            </w:r>
          </w:p>
        </w:tc>
      </w:tr>
    </w:tbl>
    <w:p w14:paraId="1625092C">
      <w:pPr>
        <w:snapToGrid w:val="0"/>
        <w:spacing w:line="360" w:lineRule="auto"/>
        <w:rPr>
          <w:rFonts w:ascii="宋体" w:hAnsi="宋体" w:cs="宋体"/>
          <w:b/>
          <w:szCs w:val="21"/>
        </w:rPr>
      </w:pPr>
      <w:r>
        <w:rPr>
          <w:rFonts w:hint="eastAsia" w:ascii="宋体" w:hAnsi="宋体" w:cs="宋体"/>
          <w:bCs/>
          <w:szCs w:val="21"/>
        </w:rPr>
        <w:t>（2）消杀服务标准</w:t>
      </w:r>
    </w:p>
    <w:tbl>
      <w:tblPr>
        <w:tblStyle w:val="42"/>
        <w:tblW w:w="96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1"/>
        <w:gridCol w:w="846"/>
        <w:gridCol w:w="992"/>
        <w:gridCol w:w="3119"/>
        <w:gridCol w:w="2559"/>
        <w:gridCol w:w="1598"/>
      </w:tblGrid>
      <w:tr w14:paraId="0D009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restart"/>
            <w:vAlign w:val="center"/>
          </w:tcPr>
          <w:p w14:paraId="6261C8B2">
            <w:pPr>
              <w:spacing w:line="320" w:lineRule="exact"/>
              <w:rPr>
                <w:rFonts w:ascii="宋体" w:hAnsi="宋体" w:cs="宋体"/>
                <w:b/>
                <w:szCs w:val="21"/>
              </w:rPr>
            </w:pPr>
            <w:r>
              <w:rPr>
                <w:rFonts w:hint="eastAsia" w:ascii="宋体" w:hAnsi="宋体" w:cs="宋体"/>
                <w:b/>
                <w:szCs w:val="21"/>
              </w:rPr>
              <w:t>序号</w:t>
            </w:r>
          </w:p>
        </w:tc>
        <w:tc>
          <w:tcPr>
            <w:tcW w:w="846" w:type="dxa"/>
            <w:vMerge w:val="restart"/>
            <w:vAlign w:val="center"/>
          </w:tcPr>
          <w:p w14:paraId="73487CF2">
            <w:pPr>
              <w:spacing w:line="320" w:lineRule="exact"/>
              <w:rPr>
                <w:rFonts w:ascii="宋体" w:hAnsi="宋体" w:cs="宋体"/>
                <w:b/>
                <w:szCs w:val="21"/>
              </w:rPr>
            </w:pPr>
            <w:r>
              <w:rPr>
                <w:rFonts w:hint="eastAsia" w:ascii="宋体" w:hAnsi="宋体" w:cs="宋体"/>
                <w:b/>
                <w:szCs w:val="21"/>
              </w:rPr>
              <w:t>位置</w:t>
            </w:r>
          </w:p>
        </w:tc>
        <w:tc>
          <w:tcPr>
            <w:tcW w:w="992" w:type="dxa"/>
            <w:vMerge w:val="restart"/>
          </w:tcPr>
          <w:p w14:paraId="09F3DE1B">
            <w:pPr>
              <w:spacing w:line="320" w:lineRule="exact"/>
              <w:rPr>
                <w:rFonts w:ascii="宋体" w:hAnsi="宋体" w:cs="宋体"/>
                <w:b/>
                <w:spacing w:val="-12"/>
                <w:szCs w:val="21"/>
              </w:rPr>
            </w:pPr>
            <w:r>
              <w:rPr>
                <w:rFonts w:hint="eastAsia" w:ascii="宋体" w:hAnsi="宋体" w:cs="宋体"/>
                <w:b/>
                <w:spacing w:val="-12"/>
                <w:szCs w:val="21"/>
              </w:rPr>
              <w:t>消杀项目</w:t>
            </w:r>
          </w:p>
        </w:tc>
        <w:tc>
          <w:tcPr>
            <w:tcW w:w="5678" w:type="dxa"/>
            <w:gridSpan w:val="2"/>
          </w:tcPr>
          <w:p w14:paraId="4A3557E8">
            <w:pPr>
              <w:spacing w:line="320" w:lineRule="exact"/>
              <w:jc w:val="center"/>
              <w:rPr>
                <w:rFonts w:ascii="宋体" w:hAnsi="宋体" w:cs="宋体"/>
                <w:b/>
                <w:szCs w:val="21"/>
              </w:rPr>
            </w:pPr>
            <w:r>
              <w:rPr>
                <w:rFonts w:hint="eastAsia" w:ascii="宋体" w:hAnsi="宋体" w:cs="宋体"/>
                <w:b/>
                <w:szCs w:val="21"/>
              </w:rPr>
              <w:t>药物消杀安排</w:t>
            </w:r>
          </w:p>
        </w:tc>
        <w:tc>
          <w:tcPr>
            <w:tcW w:w="1598" w:type="dxa"/>
            <w:vMerge w:val="restart"/>
            <w:vAlign w:val="center"/>
          </w:tcPr>
          <w:p w14:paraId="43E237F0">
            <w:pPr>
              <w:spacing w:line="320" w:lineRule="exact"/>
              <w:jc w:val="center"/>
              <w:rPr>
                <w:rFonts w:ascii="宋体" w:hAnsi="宋体" w:cs="宋体"/>
                <w:b/>
                <w:szCs w:val="21"/>
              </w:rPr>
            </w:pPr>
            <w:r>
              <w:rPr>
                <w:rFonts w:hint="eastAsia" w:ascii="宋体" w:hAnsi="宋体" w:cs="宋体"/>
                <w:b/>
                <w:szCs w:val="21"/>
              </w:rPr>
              <w:t>工作标准</w:t>
            </w:r>
          </w:p>
        </w:tc>
      </w:tr>
      <w:tr w14:paraId="68F83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tcPr>
          <w:p w14:paraId="136FB9B5">
            <w:pPr>
              <w:spacing w:line="320" w:lineRule="exact"/>
              <w:rPr>
                <w:rFonts w:ascii="宋体" w:hAnsi="宋体" w:cs="宋体"/>
                <w:szCs w:val="21"/>
              </w:rPr>
            </w:pPr>
          </w:p>
        </w:tc>
        <w:tc>
          <w:tcPr>
            <w:tcW w:w="846" w:type="dxa"/>
            <w:vMerge w:val="continue"/>
          </w:tcPr>
          <w:p w14:paraId="51BBA51E">
            <w:pPr>
              <w:spacing w:line="320" w:lineRule="exact"/>
              <w:rPr>
                <w:rFonts w:ascii="宋体" w:hAnsi="宋体" w:cs="宋体"/>
                <w:szCs w:val="21"/>
              </w:rPr>
            </w:pPr>
          </w:p>
        </w:tc>
        <w:tc>
          <w:tcPr>
            <w:tcW w:w="992" w:type="dxa"/>
            <w:vMerge w:val="continue"/>
          </w:tcPr>
          <w:p w14:paraId="3663682D">
            <w:pPr>
              <w:spacing w:line="320" w:lineRule="exact"/>
              <w:rPr>
                <w:rFonts w:ascii="宋体" w:hAnsi="宋体" w:cs="宋体"/>
                <w:szCs w:val="21"/>
              </w:rPr>
            </w:pPr>
          </w:p>
        </w:tc>
        <w:tc>
          <w:tcPr>
            <w:tcW w:w="3119" w:type="dxa"/>
          </w:tcPr>
          <w:p w14:paraId="47ED4BE5">
            <w:pPr>
              <w:spacing w:line="320" w:lineRule="exact"/>
              <w:jc w:val="center"/>
              <w:rPr>
                <w:rFonts w:ascii="宋体" w:hAnsi="宋体" w:cs="宋体"/>
                <w:b/>
                <w:szCs w:val="21"/>
              </w:rPr>
            </w:pPr>
            <w:r>
              <w:rPr>
                <w:rFonts w:hint="eastAsia" w:ascii="宋体" w:hAnsi="宋体" w:cs="宋体"/>
                <w:b/>
                <w:szCs w:val="21"/>
              </w:rPr>
              <w:t>每周</w:t>
            </w:r>
          </w:p>
        </w:tc>
        <w:tc>
          <w:tcPr>
            <w:tcW w:w="2559" w:type="dxa"/>
          </w:tcPr>
          <w:p w14:paraId="7570CF94">
            <w:pPr>
              <w:spacing w:line="320" w:lineRule="exact"/>
              <w:jc w:val="center"/>
              <w:rPr>
                <w:rFonts w:ascii="宋体" w:hAnsi="宋体" w:cs="宋体"/>
                <w:b/>
                <w:szCs w:val="21"/>
              </w:rPr>
            </w:pPr>
            <w:r>
              <w:rPr>
                <w:rFonts w:hint="eastAsia" w:ascii="宋体" w:hAnsi="宋体" w:cs="宋体"/>
                <w:b/>
                <w:szCs w:val="21"/>
              </w:rPr>
              <w:t>每月</w:t>
            </w:r>
          </w:p>
        </w:tc>
        <w:tc>
          <w:tcPr>
            <w:tcW w:w="1598" w:type="dxa"/>
            <w:vMerge w:val="continue"/>
          </w:tcPr>
          <w:p w14:paraId="5769358F">
            <w:pPr>
              <w:spacing w:line="320" w:lineRule="exact"/>
              <w:rPr>
                <w:rFonts w:ascii="宋体" w:hAnsi="宋体" w:cs="宋体"/>
                <w:szCs w:val="21"/>
              </w:rPr>
            </w:pPr>
          </w:p>
        </w:tc>
      </w:tr>
      <w:tr w14:paraId="3B918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restart"/>
            <w:vAlign w:val="center"/>
          </w:tcPr>
          <w:p w14:paraId="5660BBA5">
            <w:pPr>
              <w:spacing w:line="320" w:lineRule="exact"/>
              <w:jc w:val="center"/>
              <w:rPr>
                <w:rFonts w:ascii="宋体" w:hAnsi="宋体" w:cs="宋体"/>
                <w:szCs w:val="21"/>
              </w:rPr>
            </w:pPr>
            <w:r>
              <w:rPr>
                <w:rFonts w:hint="eastAsia" w:ascii="宋体" w:hAnsi="宋体" w:cs="宋体"/>
                <w:szCs w:val="21"/>
              </w:rPr>
              <w:t>1</w:t>
            </w:r>
          </w:p>
        </w:tc>
        <w:tc>
          <w:tcPr>
            <w:tcW w:w="846" w:type="dxa"/>
            <w:vMerge w:val="restart"/>
            <w:vAlign w:val="center"/>
          </w:tcPr>
          <w:p w14:paraId="590E50A0">
            <w:pPr>
              <w:spacing w:line="320" w:lineRule="exact"/>
              <w:jc w:val="center"/>
              <w:rPr>
                <w:rFonts w:ascii="宋体" w:hAnsi="宋体" w:cs="宋体"/>
                <w:szCs w:val="21"/>
              </w:rPr>
            </w:pPr>
            <w:r>
              <w:rPr>
                <w:rFonts w:hint="eastAsia" w:ascii="宋体" w:hAnsi="宋体" w:cs="宋体"/>
                <w:szCs w:val="21"/>
              </w:rPr>
              <w:t>卫</w:t>
            </w:r>
          </w:p>
          <w:p w14:paraId="4BF5AC71">
            <w:pPr>
              <w:spacing w:line="320" w:lineRule="exact"/>
              <w:jc w:val="center"/>
              <w:rPr>
                <w:rFonts w:ascii="宋体" w:hAnsi="宋体" w:cs="宋体"/>
                <w:szCs w:val="21"/>
              </w:rPr>
            </w:pPr>
            <w:r>
              <w:rPr>
                <w:rFonts w:hint="eastAsia" w:ascii="宋体" w:hAnsi="宋体" w:cs="宋体"/>
                <w:szCs w:val="21"/>
              </w:rPr>
              <w:t>生</w:t>
            </w:r>
          </w:p>
          <w:p w14:paraId="65D3B0E3">
            <w:pPr>
              <w:spacing w:line="320" w:lineRule="exact"/>
              <w:jc w:val="center"/>
              <w:rPr>
                <w:rFonts w:ascii="宋体" w:hAnsi="宋体" w:cs="宋体"/>
                <w:szCs w:val="21"/>
              </w:rPr>
            </w:pPr>
            <w:r>
              <w:rPr>
                <w:rFonts w:hint="eastAsia" w:ascii="宋体" w:hAnsi="宋体" w:cs="宋体"/>
                <w:szCs w:val="21"/>
              </w:rPr>
              <w:t>间</w:t>
            </w:r>
          </w:p>
        </w:tc>
        <w:tc>
          <w:tcPr>
            <w:tcW w:w="992" w:type="dxa"/>
            <w:vAlign w:val="center"/>
          </w:tcPr>
          <w:p w14:paraId="226E37B3">
            <w:pPr>
              <w:spacing w:line="320" w:lineRule="exact"/>
              <w:jc w:val="center"/>
              <w:rPr>
                <w:rFonts w:ascii="宋体" w:hAnsi="宋体" w:cs="宋体"/>
                <w:szCs w:val="21"/>
              </w:rPr>
            </w:pPr>
            <w:r>
              <w:rPr>
                <w:rFonts w:hint="eastAsia" w:ascii="宋体" w:hAnsi="宋体" w:cs="宋体"/>
                <w:szCs w:val="21"/>
              </w:rPr>
              <w:t>蟑螂</w:t>
            </w:r>
          </w:p>
        </w:tc>
        <w:tc>
          <w:tcPr>
            <w:tcW w:w="3119" w:type="dxa"/>
          </w:tcPr>
          <w:p w14:paraId="652A9D2F">
            <w:pPr>
              <w:spacing w:line="320" w:lineRule="exact"/>
              <w:rPr>
                <w:rFonts w:ascii="宋体" w:hAnsi="宋体" w:cs="宋体"/>
                <w:szCs w:val="21"/>
              </w:rPr>
            </w:pPr>
            <w:r>
              <w:rPr>
                <w:rFonts w:hint="eastAsia" w:ascii="宋体" w:hAnsi="宋体" w:cs="宋体"/>
                <w:szCs w:val="21"/>
              </w:rPr>
              <w:t>科学用药喷洒到蟑螂藏身的洞穴、缝隙、角落、墙角等处，每周一次</w:t>
            </w:r>
          </w:p>
        </w:tc>
        <w:tc>
          <w:tcPr>
            <w:tcW w:w="2559" w:type="dxa"/>
          </w:tcPr>
          <w:p w14:paraId="7C69BF9E">
            <w:pPr>
              <w:spacing w:line="320" w:lineRule="exact"/>
              <w:rPr>
                <w:rFonts w:ascii="宋体" w:hAnsi="宋体" w:cs="宋体"/>
                <w:szCs w:val="21"/>
              </w:rPr>
            </w:pPr>
          </w:p>
        </w:tc>
        <w:tc>
          <w:tcPr>
            <w:tcW w:w="1598" w:type="dxa"/>
            <w:vMerge w:val="restart"/>
            <w:vAlign w:val="center"/>
          </w:tcPr>
          <w:p w14:paraId="27DE57D3">
            <w:pPr>
              <w:spacing w:line="320" w:lineRule="exact"/>
              <w:jc w:val="center"/>
              <w:rPr>
                <w:rFonts w:ascii="宋体" w:hAnsi="宋体" w:cs="宋体"/>
                <w:szCs w:val="21"/>
              </w:rPr>
            </w:pPr>
            <w:r>
              <w:rPr>
                <w:rFonts w:hint="eastAsia" w:ascii="宋体" w:hAnsi="宋体" w:cs="宋体"/>
                <w:szCs w:val="21"/>
              </w:rPr>
              <w:t>执行《全国爱卫会除四害标准及考核鉴定办法》，灭鼠标准：鼠密度不超过5％（粉迹法）；</w:t>
            </w:r>
          </w:p>
          <w:p w14:paraId="3EB11ECE">
            <w:pPr>
              <w:spacing w:line="320" w:lineRule="exact"/>
              <w:jc w:val="center"/>
              <w:rPr>
                <w:rFonts w:ascii="宋体" w:hAnsi="宋体" w:cs="宋体"/>
                <w:szCs w:val="21"/>
              </w:rPr>
            </w:pPr>
            <w:r>
              <w:rPr>
                <w:rFonts w:hint="eastAsia" w:ascii="宋体" w:hAnsi="宋体" w:cs="宋体"/>
                <w:szCs w:val="21"/>
              </w:rPr>
              <w:t>灭蚊标准：积水中三龄幼蚊或蛹阳性率不超过3％；</w:t>
            </w:r>
          </w:p>
          <w:p w14:paraId="3B3DA7CC">
            <w:pPr>
              <w:spacing w:line="320" w:lineRule="exact"/>
              <w:jc w:val="center"/>
              <w:rPr>
                <w:rFonts w:ascii="宋体" w:hAnsi="宋体" w:cs="宋体"/>
                <w:szCs w:val="21"/>
              </w:rPr>
            </w:pPr>
            <w:r>
              <w:rPr>
                <w:rFonts w:hint="eastAsia" w:ascii="宋体" w:hAnsi="宋体" w:cs="宋体"/>
                <w:szCs w:val="21"/>
              </w:rPr>
              <w:t>灭蝇标准：蝇类孽生地三龄虫和蛹检出率不超过3％；</w:t>
            </w:r>
          </w:p>
          <w:p w14:paraId="5274010D">
            <w:pPr>
              <w:spacing w:line="320" w:lineRule="exact"/>
              <w:jc w:val="center"/>
              <w:rPr>
                <w:rFonts w:ascii="宋体" w:hAnsi="宋体" w:cs="宋体"/>
                <w:szCs w:val="21"/>
              </w:rPr>
            </w:pPr>
            <w:r>
              <w:rPr>
                <w:rFonts w:hint="eastAsia" w:ascii="宋体" w:hAnsi="宋体" w:cs="宋体"/>
                <w:szCs w:val="21"/>
              </w:rPr>
              <w:t>灭蟑螂标准：蟑螂密度不超过1％（粉迹法）；</w:t>
            </w:r>
          </w:p>
          <w:p w14:paraId="41B735AE">
            <w:pPr>
              <w:spacing w:line="320" w:lineRule="exact"/>
              <w:jc w:val="center"/>
              <w:rPr>
                <w:rFonts w:ascii="宋体" w:hAnsi="宋体" w:cs="宋体"/>
                <w:szCs w:val="21"/>
              </w:rPr>
            </w:pPr>
            <w:r>
              <w:rPr>
                <w:rFonts w:hint="eastAsia" w:ascii="宋体" w:hAnsi="宋体" w:cs="宋体"/>
                <w:szCs w:val="21"/>
              </w:rPr>
              <w:t>灭白蚁标准：按《城市房屋白蚁标准防治管理规定》执行。</w:t>
            </w:r>
          </w:p>
          <w:p w14:paraId="7DE3428E">
            <w:pPr>
              <w:spacing w:line="320" w:lineRule="exact"/>
              <w:jc w:val="center"/>
              <w:rPr>
                <w:rFonts w:ascii="宋体" w:hAnsi="宋体" w:cs="宋体"/>
                <w:szCs w:val="21"/>
              </w:rPr>
            </w:pPr>
            <w:r>
              <w:rPr>
                <w:rFonts w:hint="eastAsia" w:ascii="宋体" w:hAnsi="宋体" w:cs="宋体"/>
                <w:szCs w:val="21"/>
              </w:rPr>
              <w:t>有新规定按新规定标准。</w:t>
            </w:r>
          </w:p>
          <w:p w14:paraId="529F3CCC">
            <w:pPr>
              <w:spacing w:line="320" w:lineRule="exact"/>
              <w:rPr>
                <w:rFonts w:ascii="宋体" w:hAnsi="宋体" w:cs="宋体"/>
                <w:szCs w:val="21"/>
              </w:rPr>
            </w:pPr>
            <w:r>
              <w:rPr>
                <w:rFonts w:hint="eastAsia" w:ascii="宋体" w:hAnsi="宋体" w:cs="宋体"/>
                <w:szCs w:val="21"/>
              </w:rPr>
              <w:t>校园内林木、建筑物内无红火蚁害现象。</w:t>
            </w:r>
          </w:p>
        </w:tc>
      </w:tr>
      <w:tr w14:paraId="7B48E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tcPr>
          <w:p w14:paraId="5B0BBAF0">
            <w:pPr>
              <w:spacing w:line="320" w:lineRule="exact"/>
              <w:rPr>
                <w:rFonts w:ascii="宋体" w:hAnsi="宋体" w:cs="宋体"/>
                <w:szCs w:val="21"/>
              </w:rPr>
            </w:pPr>
          </w:p>
        </w:tc>
        <w:tc>
          <w:tcPr>
            <w:tcW w:w="846" w:type="dxa"/>
            <w:vMerge w:val="continue"/>
          </w:tcPr>
          <w:p w14:paraId="77AD11DA">
            <w:pPr>
              <w:spacing w:line="320" w:lineRule="exact"/>
              <w:rPr>
                <w:rFonts w:ascii="宋体" w:hAnsi="宋体" w:cs="宋体"/>
                <w:szCs w:val="21"/>
              </w:rPr>
            </w:pPr>
          </w:p>
        </w:tc>
        <w:tc>
          <w:tcPr>
            <w:tcW w:w="992" w:type="dxa"/>
          </w:tcPr>
          <w:p w14:paraId="544A6C2A">
            <w:pPr>
              <w:spacing w:line="320" w:lineRule="exact"/>
              <w:jc w:val="center"/>
              <w:rPr>
                <w:rFonts w:ascii="宋体" w:hAnsi="宋体" w:cs="宋体"/>
                <w:szCs w:val="21"/>
              </w:rPr>
            </w:pPr>
            <w:r>
              <w:rPr>
                <w:rFonts w:hint="eastAsia" w:ascii="宋体" w:hAnsi="宋体" w:cs="宋体"/>
                <w:szCs w:val="21"/>
              </w:rPr>
              <w:t>蚊、蝇</w:t>
            </w:r>
          </w:p>
        </w:tc>
        <w:tc>
          <w:tcPr>
            <w:tcW w:w="3119" w:type="dxa"/>
          </w:tcPr>
          <w:p w14:paraId="71D92AFF">
            <w:pPr>
              <w:spacing w:line="320" w:lineRule="exact"/>
              <w:rPr>
                <w:rFonts w:ascii="宋体" w:hAnsi="宋体" w:cs="宋体"/>
                <w:szCs w:val="21"/>
              </w:rPr>
            </w:pPr>
            <w:r>
              <w:rPr>
                <w:rFonts w:hint="eastAsia" w:ascii="宋体" w:hAnsi="宋体" w:cs="宋体"/>
                <w:szCs w:val="21"/>
              </w:rPr>
              <w:t>科学用药喷洒到蚊、蝇藏身的洞穴、缝隙、角落、墙角等处，每周一次</w:t>
            </w:r>
          </w:p>
        </w:tc>
        <w:tc>
          <w:tcPr>
            <w:tcW w:w="2559" w:type="dxa"/>
          </w:tcPr>
          <w:p w14:paraId="34B59216">
            <w:pPr>
              <w:spacing w:line="320" w:lineRule="exact"/>
              <w:rPr>
                <w:rFonts w:ascii="宋体" w:hAnsi="宋体" w:cs="宋体"/>
                <w:szCs w:val="21"/>
              </w:rPr>
            </w:pPr>
          </w:p>
        </w:tc>
        <w:tc>
          <w:tcPr>
            <w:tcW w:w="1598" w:type="dxa"/>
            <w:vMerge w:val="continue"/>
          </w:tcPr>
          <w:p w14:paraId="2F733830">
            <w:pPr>
              <w:spacing w:line="320" w:lineRule="exact"/>
              <w:rPr>
                <w:rFonts w:ascii="宋体" w:hAnsi="宋体" w:cs="宋体"/>
                <w:szCs w:val="21"/>
              </w:rPr>
            </w:pPr>
          </w:p>
        </w:tc>
      </w:tr>
      <w:tr w14:paraId="159B1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tcPr>
          <w:p w14:paraId="1D75E28B">
            <w:pPr>
              <w:spacing w:line="320" w:lineRule="exact"/>
              <w:rPr>
                <w:rFonts w:ascii="宋体" w:hAnsi="宋体" w:cs="宋体"/>
                <w:szCs w:val="21"/>
              </w:rPr>
            </w:pPr>
          </w:p>
        </w:tc>
        <w:tc>
          <w:tcPr>
            <w:tcW w:w="846" w:type="dxa"/>
            <w:vMerge w:val="continue"/>
          </w:tcPr>
          <w:p w14:paraId="40E206DD">
            <w:pPr>
              <w:spacing w:line="320" w:lineRule="exact"/>
              <w:rPr>
                <w:rFonts w:ascii="宋体" w:hAnsi="宋体" w:cs="宋体"/>
                <w:szCs w:val="21"/>
              </w:rPr>
            </w:pPr>
          </w:p>
        </w:tc>
        <w:tc>
          <w:tcPr>
            <w:tcW w:w="992" w:type="dxa"/>
          </w:tcPr>
          <w:p w14:paraId="31BFF765">
            <w:pPr>
              <w:spacing w:line="320" w:lineRule="exact"/>
              <w:jc w:val="center"/>
              <w:rPr>
                <w:rFonts w:ascii="宋体" w:hAnsi="宋体" w:cs="宋体"/>
                <w:szCs w:val="21"/>
              </w:rPr>
            </w:pPr>
            <w:r>
              <w:rPr>
                <w:rFonts w:hint="eastAsia" w:ascii="宋体" w:hAnsi="宋体" w:cs="宋体"/>
                <w:szCs w:val="21"/>
              </w:rPr>
              <w:t>老鼠</w:t>
            </w:r>
          </w:p>
        </w:tc>
        <w:tc>
          <w:tcPr>
            <w:tcW w:w="3119" w:type="dxa"/>
          </w:tcPr>
          <w:p w14:paraId="2534D9BE">
            <w:pPr>
              <w:spacing w:line="320" w:lineRule="exact"/>
              <w:rPr>
                <w:rFonts w:ascii="宋体" w:hAnsi="宋体" w:cs="宋体"/>
                <w:szCs w:val="21"/>
              </w:rPr>
            </w:pPr>
          </w:p>
        </w:tc>
        <w:tc>
          <w:tcPr>
            <w:tcW w:w="2559" w:type="dxa"/>
          </w:tcPr>
          <w:p w14:paraId="222ECB7C">
            <w:pPr>
              <w:spacing w:line="320" w:lineRule="exact"/>
              <w:rPr>
                <w:rFonts w:ascii="宋体" w:hAnsi="宋体" w:cs="宋体"/>
                <w:szCs w:val="21"/>
              </w:rPr>
            </w:pPr>
            <w:r>
              <w:rPr>
                <w:rFonts w:hint="eastAsia" w:ascii="宋体" w:hAnsi="宋体" w:cs="宋体"/>
                <w:szCs w:val="21"/>
              </w:rPr>
              <w:t>在老鼠经常出没之地投放鼠药毒饵两次，几种鼠药轮换投放</w:t>
            </w:r>
          </w:p>
        </w:tc>
        <w:tc>
          <w:tcPr>
            <w:tcW w:w="1598" w:type="dxa"/>
            <w:vMerge w:val="continue"/>
          </w:tcPr>
          <w:p w14:paraId="1AB520B9">
            <w:pPr>
              <w:spacing w:line="320" w:lineRule="exact"/>
              <w:rPr>
                <w:rFonts w:ascii="宋体" w:hAnsi="宋体" w:cs="宋体"/>
                <w:szCs w:val="21"/>
              </w:rPr>
            </w:pPr>
          </w:p>
        </w:tc>
      </w:tr>
      <w:tr w14:paraId="3444F5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restart"/>
            <w:vAlign w:val="center"/>
          </w:tcPr>
          <w:p w14:paraId="11C38CFB">
            <w:pPr>
              <w:spacing w:line="320" w:lineRule="exact"/>
              <w:jc w:val="center"/>
              <w:rPr>
                <w:rFonts w:ascii="宋体" w:hAnsi="宋体" w:cs="宋体"/>
                <w:szCs w:val="21"/>
              </w:rPr>
            </w:pPr>
            <w:r>
              <w:rPr>
                <w:rFonts w:hint="eastAsia" w:ascii="宋体" w:hAnsi="宋体" w:cs="宋体"/>
                <w:szCs w:val="21"/>
              </w:rPr>
              <w:t>2</w:t>
            </w:r>
          </w:p>
        </w:tc>
        <w:tc>
          <w:tcPr>
            <w:tcW w:w="846" w:type="dxa"/>
            <w:vMerge w:val="restart"/>
            <w:vAlign w:val="center"/>
          </w:tcPr>
          <w:p w14:paraId="00012106">
            <w:pPr>
              <w:spacing w:line="320" w:lineRule="exact"/>
              <w:jc w:val="center"/>
              <w:rPr>
                <w:rFonts w:ascii="宋体" w:hAnsi="宋体" w:cs="宋体"/>
                <w:szCs w:val="21"/>
              </w:rPr>
            </w:pPr>
            <w:r>
              <w:rPr>
                <w:rFonts w:hint="eastAsia" w:ascii="宋体" w:hAnsi="宋体" w:cs="宋体"/>
                <w:szCs w:val="21"/>
              </w:rPr>
              <w:t>消防</w:t>
            </w:r>
          </w:p>
          <w:p w14:paraId="12B740A5">
            <w:pPr>
              <w:spacing w:line="320" w:lineRule="exact"/>
              <w:jc w:val="center"/>
              <w:rPr>
                <w:rFonts w:ascii="宋体" w:hAnsi="宋体" w:cs="宋体"/>
                <w:szCs w:val="21"/>
              </w:rPr>
            </w:pPr>
            <w:r>
              <w:rPr>
                <w:rFonts w:hint="eastAsia" w:ascii="宋体" w:hAnsi="宋体" w:cs="宋体"/>
                <w:szCs w:val="21"/>
              </w:rPr>
              <w:t>通道、地下室、电梯间</w:t>
            </w:r>
          </w:p>
        </w:tc>
        <w:tc>
          <w:tcPr>
            <w:tcW w:w="992" w:type="dxa"/>
          </w:tcPr>
          <w:p w14:paraId="601A1591">
            <w:pPr>
              <w:spacing w:line="320" w:lineRule="exact"/>
              <w:jc w:val="center"/>
              <w:rPr>
                <w:rFonts w:ascii="宋体" w:hAnsi="宋体" w:cs="宋体"/>
                <w:szCs w:val="21"/>
              </w:rPr>
            </w:pPr>
            <w:r>
              <w:rPr>
                <w:rFonts w:hint="eastAsia" w:ascii="宋体" w:hAnsi="宋体" w:cs="宋体"/>
                <w:szCs w:val="21"/>
              </w:rPr>
              <w:t>蟑螂</w:t>
            </w:r>
          </w:p>
        </w:tc>
        <w:tc>
          <w:tcPr>
            <w:tcW w:w="3119" w:type="dxa"/>
          </w:tcPr>
          <w:p w14:paraId="672126C7">
            <w:pPr>
              <w:spacing w:line="320" w:lineRule="exact"/>
              <w:rPr>
                <w:rFonts w:ascii="宋体" w:hAnsi="宋体" w:cs="宋体"/>
                <w:szCs w:val="21"/>
              </w:rPr>
            </w:pPr>
            <w:r>
              <w:rPr>
                <w:rFonts w:hint="eastAsia" w:ascii="宋体" w:hAnsi="宋体" w:cs="宋体"/>
                <w:szCs w:val="21"/>
              </w:rPr>
              <w:t>科学用药喷洒到蟑螂藏身的洞穴、缝隙、角落、墙角等处，每周一次</w:t>
            </w:r>
          </w:p>
        </w:tc>
        <w:tc>
          <w:tcPr>
            <w:tcW w:w="2559" w:type="dxa"/>
          </w:tcPr>
          <w:p w14:paraId="3DDA18B3">
            <w:pPr>
              <w:spacing w:line="320" w:lineRule="exact"/>
              <w:rPr>
                <w:rFonts w:ascii="宋体" w:hAnsi="宋体" w:cs="宋体"/>
                <w:szCs w:val="21"/>
              </w:rPr>
            </w:pPr>
          </w:p>
        </w:tc>
        <w:tc>
          <w:tcPr>
            <w:tcW w:w="1598" w:type="dxa"/>
            <w:vMerge w:val="continue"/>
          </w:tcPr>
          <w:p w14:paraId="5730A39A">
            <w:pPr>
              <w:spacing w:line="320" w:lineRule="exact"/>
              <w:rPr>
                <w:rFonts w:ascii="宋体" w:hAnsi="宋体" w:cs="宋体"/>
                <w:szCs w:val="21"/>
              </w:rPr>
            </w:pPr>
          </w:p>
        </w:tc>
      </w:tr>
      <w:tr w14:paraId="6C2CC6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tcPr>
          <w:p w14:paraId="313E6EB6">
            <w:pPr>
              <w:spacing w:line="320" w:lineRule="exact"/>
              <w:rPr>
                <w:rFonts w:ascii="宋体" w:hAnsi="宋体" w:cs="宋体"/>
                <w:szCs w:val="21"/>
              </w:rPr>
            </w:pPr>
          </w:p>
        </w:tc>
        <w:tc>
          <w:tcPr>
            <w:tcW w:w="846" w:type="dxa"/>
            <w:vMerge w:val="continue"/>
          </w:tcPr>
          <w:p w14:paraId="0289E771">
            <w:pPr>
              <w:spacing w:line="320" w:lineRule="exact"/>
              <w:rPr>
                <w:rFonts w:ascii="宋体" w:hAnsi="宋体" w:cs="宋体"/>
                <w:szCs w:val="21"/>
              </w:rPr>
            </w:pPr>
          </w:p>
        </w:tc>
        <w:tc>
          <w:tcPr>
            <w:tcW w:w="992" w:type="dxa"/>
          </w:tcPr>
          <w:p w14:paraId="6BEFFC89">
            <w:pPr>
              <w:spacing w:line="320" w:lineRule="exact"/>
              <w:jc w:val="center"/>
              <w:rPr>
                <w:rFonts w:ascii="宋体" w:hAnsi="宋体" w:cs="宋体"/>
                <w:szCs w:val="21"/>
              </w:rPr>
            </w:pPr>
            <w:r>
              <w:rPr>
                <w:rFonts w:hint="eastAsia" w:ascii="宋体" w:hAnsi="宋体" w:cs="宋体"/>
                <w:szCs w:val="21"/>
              </w:rPr>
              <w:t>蚊、蝇</w:t>
            </w:r>
          </w:p>
        </w:tc>
        <w:tc>
          <w:tcPr>
            <w:tcW w:w="3119" w:type="dxa"/>
          </w:tcPr>
          <w:p w14:paraId="375A27F3">
            <w:pPr>
              <w:spacing w:line="320" w:lineRule="exact"/>
              <w:rPr>
                <w:rFonts w:ascii="宋体" w:hAnsi="宋体" w:cs="宋体"/>
                <w:szCs w:val="21"/>
              </w:rPr>
            </w:pPr>
            <w:r>
              <w:rPr>
                <w:rFonts w:hint="eastAsia" w:ascii="宋体" w:hAnsi="宋体" w:cs="宋体"/>
                <w:szCs w:val="21"/>
              </w:rPr>
              <w:t>科学用药喷洒到蚊、蝇藏身的洞穴、缝隙、角落、墙角等处，每周一次</w:t>
            </w:r>
          </w:p>
        </w:tc>
        <w:tc>
          <w:tcPr>
            <w:tcW w:w="2559" w:type="dxa"/>
          </w:tcPr>
          <w:p w14:paraId="270011F9">
            <w:pPr>
              <w:spacing w:line="320" w:lineRule="exact"/>
              <w:rPr>
                <w:rFonts w:ascii="宋体" w:hAnsi="宋体" w:cs="宋体"/>
                <w:szCs w:val="21"/>
              </w:rPr>
            </w:pPr>
          </w:p>
        </w:tc>
        <w:tc>
          <w:tcPr>
            <w:tcW w:w="1598" w:type="dxa"/>
            <w:vMerge w:val="continue"/>
          </w:tcPr>
          <w:p w14:paraId="7E040E4D">
            <w:pPr>
              <w:spacing w:line="320" w:lineRule="exact"/>
              <w:rPr>
                <w:rFonts w:ascii="宋体" w:hAnsi="宋体" w:cs="宋体"/>
                <w:szCs w:val="21"/>
              </w:rPr>
            </w:pPr>
          </w:p>
        </w:tc>
      </w:tr>
      <w:tr w14:paraId="24D768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tcPr>
          <w:p w14:paraId="53707ABB">
            <w:pPr>
              <w:spacing w:line="320" w:lineRule="exact"/>
              <w:rPr>
                <w:rFonts w:ascii="宋体" w:hAnsi="宋体" w:cs="宋体"/>
                <w:szCs w:val="21"/>
              </w:rPr>
            </w:pPr>
          </w:p>
        </w:tc>
        <w:tc>
          <w:tcPr>
            <w:tcW w:w="846" w:type="dxa"/>
            <w:vMerge w:val="continue"/>
          </w:tcPr>
          <w:p w14:paraId="5A3AA885">
            <w:pPr>
              <w:spacing w:line="320" w:lineRule="exact"/>
              <w:rPr>
                <w:rFonts w:ascii="宋体" w:hAnsi="宋体" w:cs="宋体"/>
                <w:szCs w:val="21"/>
              </w:rPr>
            </w:pPr>
          </w:p>
        </w:tc>
        <w:tc>
          <w:tcPr>
            <w:tcW w:w="992" w:type="dxa"/>
          </w:tcPr>
          <w:p w14:paraId="3FF93B64">
            <w:pPr>
              <w:spacing w:line="320" w:lineRule="exact"/>
              <w:jc w:val="center"/>
              <w:rPr>
                <w:rFonts w:ascii="宋体" w:hAnsi="宋体" w:cs="宋体"/>
                <w:szCs w:val="21"/>
              </w:rPr>
            </w:pPr>
            <w:r>
              <w:rPr>
                <w:rFonts w:hint="eastAsia" w:ascii="宋体" w:hAnsi="宋体" w:cs="宋体"/>
                <w:szCs w:val="21"/>
              </w:rPr>
              <w:t>老鼠</w:t>
            </w:r>
          </w:p>
        </w:tc>
        <w:tc>
          <w:tcPr>
            <w:tcW w:w="3119" w:type="dxa"/>
          </w:tcPr>
          <w:p w14:paraId="215C538C">
            <w:pPr>
              <w:spacing w:line="320" w:lineRule="exact"/>
              <w:rPr>
                <w:rFonts w:ascii="宋体" w:hAnsi="宋体" w:cs="宋体"/>
                <w:szCs w:val="21"/>
              </w:rPr>
            </w:pPr>
          </w:p>
        </w:tc>
        <w:tc>
          <w:tcPr>
            <w:tcW w:w="2559" w:type="dxa"/>
          </w:tcPr>
          <w:p w14:paraId="337F6AC8">
            <w:pPr>
              <w:spacing w:line="320" w:lineRule="exact"/>
              <w:rPr>
                <w:rFonts w:ascii="宋体" w:hAnsi="宋体" w:cs="宋体"/>
                <w:szCs w:val="21"/>
              </w:rPr>
            </w:pPr>
            <w:r>
              <w:rPr>
                <w:rFonts w:hint="eastAsia" w:ascii="宋体" w:hAnsi="宋体" w:cs="宋体"/>
                <w:szCs w:val="21"/>
              </w:rPr>
              <w:t>在老鼠经常出没之地投放鼠药毒饵两次，几种鼠药轮换投放</w:t>
            </w:r>
          </w:p>
        </w:tc>
        <w:tc>
          <w:tcPr>
            <w:tcW w:w="1598" w:type="dxa"/>
            <w:vMerge w:val="continue"/>
          </w:tcPr>
          <w:p w14:paraId="062EBBD9">
            <w:pPr>
              <w:spacing w:line="320" w:lineRule="exact"/>
              <w:rPr>
                <w:rFonts w:ascii="宋体" w:hAnsi="宋体" w:cs="宋体"/>
                <w:szCs w:val="21"/>
              </w:rPr>
            </w:pPr>
          </w:p>
        </w:tc>
      </w:tr>
      <w:tr w14:paraId="31815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restart"/>
            <w:vAlign w:val="center"/>
          </w:tcPr>
          <w:p w14:paraId="2F202C04">
            <w:pPr>
              <w:spacing w:line="320" w:lineRule="exact"/>
              <w:jc w:val="center"/>
              <w:rPr>
                <w:rFonts w:ascii="宋体" w:hAnsi="宋体" w:cs="宋体"/>
                <w:szCs w:val="21"/>
              </w:rPr>
            </w:pPr>
            <w:r>
              <w:rPr>
                <w:rFonts w:hint="eastAsia" w:ascii="宋体" w:hAnsi="宋体" w:cs="宋体"/>
                <w:szCs w:val="21"/>
              </w:rPr>
              <w:t>3</w:t>
            </w:r>
          </w:p>
          <w:p w14:paraId="0538EC54">
            <w:pPr>
              <w:spacing w:line="320" w:lineRule="exact"/>
              <w:jc w:val="center"/>
              <w:rPr>
                <w:rFonts w:ascii="宋体" w:hAnsi="宋体" w:cs="宋体"/>
                <w:szCs w:val="21"/>
              </w:rPr>
            </w:pPr>
          </w:p>
        </w:tc>
        <w:tc>
          <w:tcPr>
            <w:tcW w:w="846" w:type="dxa"/>
            <w:vMerge w:val="restart"/>
            <w:vAlign w:val="center"/>
          </w:tcPr>
          <w:p w14:paraId="0D3D3D40">
            <w:pPr>
              <w:spacing w:line="320" w:lineRule="exact"/>
              <w:jc w:val="center"/>
              <w:rPr>
                <w:rFonts w:ascii="宋体" w:hAnsi="宋体" w:cs="宋体"/>
                <w:szCs w:val="21"/>
              </w:rPr>
            </w:pPr>
            <w:r>
              <w:rPr>
                <w:rFonts w:hint="eastAsia" w:ascii="宋体" w:hAnsi="宋体" w:cs="宋体"/>
                <w:szCs w:val="21"/>
              </w:rPr>
              <w:t>污水井、污水沟</w:t>
            </w:r>
          </w:p>
          <w:p w14:paraId="723B3D56">
            <w:pPr>
              <w:spacing w:line="320" w:lineRule="exact"/>
              <w:jc w:val="center"/>
              <w:rPr>
                <w:rFonts w:ascii="宋体" w:hAnsi="宋体" w:cs="宋体"/>
                <w:szCs w:val="21"/>
              </w:rPr>
            </w:pPr>
          </w:p>
        </w:tc>
        <w:tc>
          <w:tcPr>
            <w:tcW w:w="992" w:type="dxa"/>
            <w:vAlign w:val="center"/>
          </w:tcPr>
          <w:p w14:paraId="4DBD3A94">
            <w:pPr>
              <w:spacing w:line="320" w:lineRule="exact"/>
              <w:jc w:val="center"/>
              <w:rPr>
                <w:rFonts w:ascii="宋体" w:hAnsi="宋体" w:cs="宋体"/>
                <w:szCs w:val="21"/>
              </w:rPr>
            </w:pPr>
            <w:r>
              <w:rPr>
                <w:rFonts w:hint="eastAsia" w:ascii="宋体" w:hAnsi="宋体" w:cs="宋体"/>
                <w:szCs w:val="21"/>
              </w:rPr>
              <w:t>蟑</w:t>
            </w:r>
          </w:p>
          <w:p w14:paraId="07CE723A">
            <w:pPr>
              <w:spacing w:line="320" w:lineRule="exact"/>
              <w:jc w:val="center"/>
              <w:rPr>
                <w:rFonts w:ascii="宋体" w:hAnsi="宋体" w:cs="宋体"/>
                <w:szCs w:val="21"/>
              </w:rPr>
            </w:pPr>
            <w:r>
              <w:rPr>
                <w:rFonts w:hint="eastAsia" w:ascii="宋体" w:hAnsi="宋体" w:cs="宋体"/>
                <w:szCs w:val="21"/>
              </w:rPr>
              <w:t>螂</w:t>
            </w:r>
          </w:p>
        </w:tc>
        <w:tc>
          <w:tcPr>
            <w:tcW w:w="3119" w:type="dxa"/>
          </w:tcPr>
          <w:p w14:paraId="576EF990">
            <w:pPr>
              <w:spacing w:line="320" w:lineRule="exact"/>
              <w:rPr>
                <w:rFonts w:ascii="宋体" w:hAnsi="宋体" w:cs="宋体"/>
                <w:szCs w:val="21"/>
              </w:rPr>
            </w:pPr>
            <w:r>
              <w:rPr>
                <w:rFonts w:hint="eastAsia" w:ascii="宋体" w:hAnsi="宋体" w:cs="宋体"/>
                <w:szCs w:val="21"/>
              </w:rPr>
              <w:t>科学用药喷洒到蟑螂藏身的洞穴、缝隙、角落、墙角等处，每周一次</w:t>
            </w:r>
          </w:p>
        </w:tc>
        <w:tc>
          <w:tcPr>
            <w:tcW w:w="2559" w:type="dxa"/>
          </w:tcPr>
          <w:p w14:paraId="59D5358D">
            <w:pPr>
              <w:spacing w:line="320" w:lineRule="exact"/>
              <w:rPr>
                <w:rFonts w:ascii="宋体" w:hAnsi="宋体" w:cs="宋体"/>
                <w:szCs w:val="21"/>
              </w:rPr>
            </w:pPr>
          </w:p>
        </w:tc>
        <w:tc>
          <w:tcPr>
            <w:tcW w:w="1598" w:type="dxa"/>
            <w:vMerge w:val="continue"/>
          </w:tcPr>
          <w:p w14:paraId="3394DACC">
            <w:pPr>
              <w:spacing w:line="320" w:lineRule="exact"/>
              <w:rPr>
                <w:rFonts w:ascii="宋体" w:hAnsi="宋体" w:cs="宋体"/>
                <w:szCs w:val="21"/>
              </w:rPr>
            </w:pPr>
          </w:p>
        </w:tc>
      </w:tr>
      <w:tr w14:paraId="13E21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vAlign w:val="center"/>
          </w:tcPr>
          <w:p w14:paraId="74B8563C">
            <w:pPr>
              <w:spacing w:line="320" w:lineRule="exact"/>
              <w:rPr>
                <w:rFonts w:ascii="宋体" w:hAnsi="宋体" w:cs="宋体"/>
                <w:szCs w:val="21"/>
              </w:rPr>
            </w:pPr>
          </w:p>
        </w:tc>
        <w:tc>
          <w:tcPr>
            <w:tcW w:w="846" w:type="dxa"/>
            <w:vMerge w:val="continue"/>
          </w:tcPr>
          <w:p w14:paraId="2065E29D">
            <w:pPr>
              <w:spacing w:line="320" w:lineRule="exact"/>
              <w:rPr>
                <w:rFonts w:ascii="宋体" w:hAnsi="宋体" w:cs="宋体"/>
                <w:szCs w:val="21"/>
              </w:rPr>
            </w:pPr>
          </w:p>
        </w:tc>
        <w:tc>
          <w:tcPr>
            <w:tcW w:w="992" w:type="dxa"/>
          </w:tcPr>
          <w:p w14:paraId="18A5804D">
            <w:pPr>
              <w:spacing w:line="320" w:lineRule="exact"/>
              <w:jc w:val="center"/>
              <w:rPr>
                <w:rFonts w:ascii="宋体" w:hAnsi="宋体" w:cs="宋体"/>
                <w:szCs w:val="21"/>
              </w:rPr>
            </w:pPr>
            <w:r>
              <w:rPr>
                <w:rFonts w:hint="eastAsia" w:ascii="宋体" w:hAnsi="宋体" w:cs="宋体"/>
                <w:szCs w:val="21"/>
              </w:rPr>
              <w:t>蚊、蝇</w:t>
            </w:r>
          </w:p>
        </w:tc>
        <w:tc>
          <w:tcPr>
            <w:tcW w:w="3119" w:type="dxa"/>
          </w:tcPr>
          <w:p w14:paraId="14514F07">
            <w:pPr>
              <w:spacing w:line="320" w:lineRule="exact"/>
              <w:rPr>
                <w:rFonts w:ascii="宋体" w:hAnsi="宋体" w:cs="宋体"/>
                <w:szCs w:val="21"/>
              </w:rPr>
            </w:pPr>
            <w:r>
              <w:rPr>
                <w:rFonts w:hint="eastAsia" w:ascii="宋体" w:hAnsi="宋体" w:cs="宋体"/>
                <w:szCs w:val="21"/>
              </w:rPr>
              <w:t>科学用药喷洒到蚊、蝇藏身的洞穴、缝隙、角落、墙角等处，每周一次</w:t>
            </w:r>
          </w:p>
        </w:tc>
        <w:tc>
          <w:tcPr>
            <w:tcW w:w="2559" w:type="dxa"/>
          </w:tcPr>
          <w:p w14:paraId="4707D084">
            <w:pPr>
              <w:spacing w:line="320" w:lineRule="exact"/>
              <w:rPr>
                <w:rFonts w:ascii="宋体" w:hAnsi="宋体" w:cs="宋体"/>
                <w:szCs w:val="21"/>
              </w:rPr>
            </w:pPr>
          </w:p>
        </w:tc>
        <w:tc>
          <w:tcPr>
            <w:tcW w:w="1598" w:type="dxa"/>
            <w:vMerge w:val="continue"/>
          </w:tcPr>
          <w:p w14:paraId="2D575759">
            <w:pPr>
              <w:spacing w:line="320" w:lineRule="exact"/>
              <w:rPr>
                <w:rFonts w:ascii="宋体" w:hAnsi="宋体" w:cs="宋体"/>
                <w:szCs w:val="21"/>
              </w:rPr>
            </w:pPr>
          </w:p>
        </w:tc>
      </w:tr>
      <w:tr w14:paraId="659A9A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vAlign w:val="center"/>
          </w:tcPr>
          <w:p w14:paraId="46D5D262">
            <w:pPr>
              <w:spacing w:line="320" w:lineRule="exact"/>
              <w:jc w:val="center"/>
              <w:rPr>
                <w:rFonts w:ascii="宋体" w:hAnsi="宋体" w:cs="宋体"/>
                <w:szCs w:val="21"/>
              </w:rPr>
            </w:pPr>
          </w:p>
        </w:tc>
        <w:tc>
          <w:tcPr>
            <w:tcW w:w="846" w:type="dxa"/>
            <w:vMerge w:val="continue"/>
            <w:vAlign w:val="center"/>
          </w:tcPr>
          <w:p w14:paraId="5509D0A0">
            <w:pPr>
              <w:spacing w:line="320" w:lineRule="exact"/>
              <w:jc w:val="center"/>
              <w:rPr>
                <w:rFonts w:ascii="宋体" w:hAnsi="宋体" w:cs="宋体"/>
                <w:szCs w:val="21"/>
              </w:rPr>
            </w:pPr>
          </w:p>
        </w:tc>
        <w:tc>
          <w:tcPr>
            <w:tcW w:w="992" w:type="dxa"/>
            <w:vAlign w:val="center"/>
          </w:tcPr>
          <w:p w14:paraId="44C47D6D">
            <w:pPr>
              <w:spacing w:line="320" w:lineRule="exact"/>
              <w:jc w:val="center"/>
              <w:rPr>
                <w:rFonts w:ascii="宋体" w:hAnsi="宋体" w:cs="宋体"/>
                <w:szCs w:val="21"/>
              </w:rPr>
            </w:pPr>
            <w:r>
              <w:rPr>
                <w:rFonts w:hint="eastAsia" w:ascii="宋体" w:hAnsi="宋体" w:cs="宋体"/>
                <w:szCs w:val="21"/>
              </w:rPr>
              <w:t>老鼠</w:t>
            </w:r>
          </w:p>
        </w:tc>
        <w:tc>
          <w:tcPr>
            <w:tcW w:w="3119" w:type="dxa"/>
          </w:tcPr>
          <w:p w14:paraId="164531DC">
            <w:pPr>
              <w:spacing w:line="320" w:lineRule="exact"/>
              <w:rPr>
                <w:rFonts w:ascii="宋体" w:hAnsi="宋体" w:cs="宋体"/>
                <w:szCs w:val="21"/>
              </w:rPr>
            </w:pPr>
          </w:p>
        </w:tc>
        <w:tc>
          <w:tcPr>
            <w:tcW w:w="2559" w:type="dxa"/>
          </w:tcPr>
          <w:p w14:paraId="4AC3DE86">
            <w:pPr>
              <w:spacing w:line="320" w:lineRule="exact"/>
              <w:rPr>
                <w:rFonts w:ascii="宋体" w:hAnsi="宋体" w:cs="宋体"/>
                <w:szCs w:val="21"/>
              </w:rPr>
            </w:pPr>
            <w:r>
              <w:rPr>
                <w:rFonts w:hint="eastAsia" w:ascii="宋体" w:hAnsi="宋体" w:cs="宋体"/>
                <w:szCs w:val="21"/>
              </w:rPr>
              <w:t>在老鼠经常出没之地投放鼠药毒饵两次，几种鼠药轮换投放</w:t>
            </w:r>
          </w:p>
        </w:tc>
        <w:tc>
          <w:tcPr>
            <w:tcW w:w="1598" w:type="dxa"/>
            <w:vMerge w:val="continue"/>
          </w:tcPr>
          <w:p w14:paraId="37708280">
            <w:pPr>
              <w:spacing w:line="320" w:lineRule="exact"/>
              <w:rPr>
                <w:rFonts w:ascii="宋体" w:hAnsi="宋体" w:cs="宋体"/>
                <w:szCs w:val="21"/>
              </w:rPr>
            </w:pPr>
          </w:p>
        </w:tc>
      </w:tr>
      <w:tr w14:paraId="728A07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restart"/>
            <w:vAlign w:val="center"/>
          </w:tcPr>
          <w:p w14:paraId="10184E13">
            <w:pPr>
              <w:spacing w:line="320" w:lineRule="exact"/>
              <w:jc w:val="center"/>
              <w:rPr>
                <w:rFonts w:ascii="宋体" w:hAnsi="宋体" w:cs="宋体"/>
                <w:szCs w:val="21"/>
              </w:rPr>
            </w:pPr>
            <w:r>
              <w:rPr>
                <w:rFonts w:hint="eastAsia" w:ascii="宋体" w:hAnsi="宋体" w:cs="宋体"/>
                <w:szCs w:val="21"/>
              </w:rPr>
              <w:t>4</w:t>
            </w:r>
          </w:p>
        </w:tc>
        <w:tc>
          <w:tcPr>
            <w:tcW w:w="846" w:type="dxa"/>
            <w:vMerge w:val="restart"/>
            <w:vAlign w:val="center"/>
          </w:tcPr>
          <w:p w14:paraId="652977A3">
            <w:pPr>
              <w:spacing w:line="320" w:lineRule="exact"/>
              <w:jc w:val="center"/>
              <w:rPr>
                <w:rFonts w:ascii="宋体" w:hAnsi="宋体" w:cs="宋体"/>
                <w:szCs w:val="21"/>
              </w:rPr>
            </w:pPr>
            <w:r>
              <w:rPr>
                <w:rFonts w:hint="eastAsia" w:ascii="宋体" w:hAnsi="宋体" w:cs="宋体"/>
                <w:szCs w:val="21"/>
              </w:rPr>
              <w:t>垃圾中转站</w:t>
            </w:r>
          </w:p>
        </w:tc>
        <w:tc>
          <w:tcPr>
            <w:tcW w:w="992" w:type="dxa"/>
            <w:vAlign w:val="center"/>
          </w:tcPr>
          <w:p w14:paraId="742C7D3B">
            <w:pPr>
              <w:spacing w:line="320" w:lineRule="exact"/>
              <w:jc w:val="center"/>
              <w:rPr>
                <w:rFonts w:ascii="宋体" w:hAnsi="宋体" w:cs="宋体"/>
                <w:szCs w:val="21"/>
              </w:rPr>
            </w:pPr>
            <w:r>
              <w:rPr>
                <w:rFonts w:hint="eastAsia" w:ascii="宋体" w:hAnsi="宋体" w:cs="宋体"/>
                <w:szCs w:val="21"/>
              </w:rPr>
              <w:t>蟑螂</w:t>
            </w:r>
          </w:p>
        </w:tc>
        <w:tc>
          <w:tcPr>
            <w:tcW w:w="3119" w:type="dxa"/>
          </w:tcPr>
          <w:p w14:paraId="653BE7D1">
            <w:pPr>
              <w:spacing w:line="320" w:lineRule="exact"/>
              <w:rPr>
                <w:rFonts w:ascii="宋体" w:hAnsi="宋体" w:cs="宋体"/>
                <w:szCs w:val="21"/>
              </w:rPr>
            </w:pPr>
            <w:r>
              <w:rPr>
                <w:rFonts w:hint="eastAsia" w:ascii="宋体" w:hAnsi="宋体" w:cs="宋体"/>
                <w:szCs w:val="21"/>
              </w:rPr>
              <w:t>科学用药喷洒到蟑螂藏身的洞穴、缝隙、角落、墙角等处，每周一次</w:t>
            </w:r>
          </w:p>
        </w:tc>
        <w:tc>
          <w:tcPr>
            <w:tcW w:w="2559" w:type="dxa"/>
          </w:tcPr>
          <w:p w14:paraId="12B49C50">
            <w:pPr>
              <w:spacing w:line="320" w:lineRule="exact"/>
              <w:rPr>
                <w:rFonts w:ascii="宋体" w:hAnsi="宋体" w:cs="宋体"/>
                <w:szCs w:val="21"/>
              </w:rPr>
            </w:pPr>
          </w:p>
        </w:tc>
        <w:tc>
          <w:tcPr>
            <w:tcW w:w="1598" w:type="dxa"/>
            <w:vMerge w:val="continue"/>
          </w:tcPr>
          <w:p w14:paraId="164608A8">
            <w:pPr>
              <w:spacing w:line="320" w:lineRule="exact"/>
              <w:rPr>
                <w:rFonts w:ascii="宋体" w:hAnsi="宋体" w:cs="宋体"/>
                <w:szCs w:val="21"/>
              </w:rPr>
            </w:pPr>
          </w:p>
        </w:tc>
      </w:tr>
      <w:tr w14:paraId="65062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5" w:hRule="atLeast"/>
          <w:jc w:val="center"/>
        </w:trPr>
        <w:tc>
          <w:tcPr>
            <w:tcW w:w="511" w:type="dxa"/>
            <w:vMerge w:val="continue"/>
          </w:tcPr>
          <w:p w14:paraId="3F7D2C42">
            <w:pPr>
              <w:spacing w:line="320" w:lineRule="exact"/>
              <w:rPr>
                <w:rFonts w:ascii="宋体" w:hAnsi="宋体" w:cs="宋体"/>
                <w:szCs w:val="21"/>
              </w:rPr>
            </w:pPr>
          </w:p>
        </w:tc>
        <w:tc>
          <w:tcPr>
            <w:tcW w:w="846" w:type="dxa"/>
            <w:vMerge w:val="continue"/>
          </w:tcPr>
          <w:p w14:paraId="13692920">
            <w:pPr>
              <w:spacing w:line="320" w:lineRule="exact"/>
              <w:rPr>
                <w:rFonts w:ascii="宋体" w:hAnsi="宋体" w:cs="宋体"/>
                <w:szCs w:val="21"/>
              </w:rPr>
            </w:pPr>
          </w:p>
        </w:tc>
        <w:tc>
          <w:tcPr>
            <w:tcW w:w="992" w:type="dxa"/>
          </w:tcPr>
          <w:p w14:paraId="430148E0">
            <w:pPr>
              <w:spacing w:line="320" w:lineRule="exact"/>
              <w:rPr>
                <w:rFonts w:ascii="宋体" w:hAnsi="宋体" w:cs="宋体"/>
                <w:szCs w:val="21"/>
              </w:rPr>
            </w:pPr>
            <w:r>
              <w:rPr>
                <w:rFonts w:hint="eastAsia" w:ascii="宋体" w:hAnsi="宋体" w:cs="宋体"/>
                <w:szCs w:val="21"/>
              </w:rPr>
              <w:t>蚊、蝇</w:t>
            </w:r>
          </w:p>
        </w:tc>
        <w:tc>
          <w:tcPr>
            <w:tcW w:w="3119" w:type="dxa"/>
          </w:tcPr>
          <w:p w14:paraId="17CFC38A">
            <w:pPr>
              <w:spacing w:line="320" w:lineRule="exact"/>
              <w:rPr>
                <w:rFonts w:ascii="宋体" w:hAnsi="宋体" w:cs="宋体"/>
                <w:szCs w:val="21"/>
              </w:rPr>
            </w:pPr>
            <w:r>
              <w:rPr>
                <w:rFonts w:hint="eastAsia" w:ascii="宋体" w:hAnsi="宋体" w:cs="宋体"/>
                <w:szCs w:val="21"/>
              </w:rPr>
              <w:t>科学用药喷洒到蚊、蝇藏身的洞穴、缝隙、角落、墙角等处，每周一次</w:t>
            </w:r>
          </w:p>
        </w:tc>
        <w:tc>
          <w:tcPr>
            <w:tcW w:w="2559" w:type="dxa"/>
          </w:tcPr>
          <w:p w14:paraId="4D4B941F">
            <w:pPr>
              <w:spacing w:line="320" w:lineRule="exact"/>
              <w:rPr>
                <w:rFonts w:ascii="宋体" w:hAnsi="宋体" w:cs="宋体"/>
                <w:szCs w:val="21"/>
              </w:rPr>
            </w:pPr>
          </w:p>
        </w:tc>
        <w:tc>
          <w:tcPr>
            <w:tcW w:w="1598" w:type="dxa"/>
            <w:vMerge w:val="continue"/>
          </w:tcPr>
          <w:p w14:paraId="695D5BA7">
            <w:pPr>
              <w:spacing w:line="320" w:lineRule="exact"/>
              <w:rPr>
                <w:rFonts w:ascii="宋体" w:hAnsi="宋体" w:cs="宋体"/>
                <w:szCs w:val="21"/>
              </w:rPr>
            </w:pPr>
          </w:p>
        </w:tc>
      </w:tr>
      <w:tr w14:paraId="5F155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7" w:hRule="atLeast"/>
          <w:jc w:val="center"/>
        </w:trPr>
        <w:tc>
          <w:tcPr>
            <w:tcW w:w="511" w:type="dxa"/>
            <w:vMerge w:val="continue"/>
          </w:tcPr>
          <w:p w14:paraId="6C0303B3">
            <w:pPr>
              <w:spacing w:line="320" w:lineRule="exact"/>
              <w:rPr>
                <w:rFonts w:ascii="宋体" w:hAnsi="宋体" w:cs="宋体"/>
                <w:szCs w:val="21"/>
              </w:rPr>
            </w:pPr>
          </w:p>
        </w:tc>
        <w:tc>
          <w:tcPr>
            <w:tcW w:w="846" w:type="dxa"/>
            <w:vMerge w:val="continue"/>
          </w:tcPr>
          <w:p w14:paraId="08EC7718">
            <w:pPr>
              <w:spacing w:line="320" w:lineRule="exact"/>
              <w:rPr>
                <w:rFonts w:ascii="宋体" w:hAnsi="宋体" w:cs="宋体"/>
                <w:szCs w:val="21"/>
              </w:rPr>
            </w:pPr>
          </w:p>
        </w:tc>
        <w:tc>
          <w:tcPr>
            <w:tcW w:w="992" w:type="dxa"/>
            <w:vAlign w:val="center"/>
          </w:tcPr>
          <w:p w14:paraId="7A8CC4BF">
            <w:pPr>
              <w:spacing w:line="320" w:lineRule="exact"/>
              <w:rPr>
                <w:rFonts w:ascii="宋体" w:hAnsi="宋体" w:cs="宋体"/>
                <w:szCs w:val="21"/>
              </w:rPr>
            </w:pPr>
            <w:r>
              <w:rPr>
                <w:rFonts w:hint="eastAsia" w:ascii="宋体" w:hAnsi="宋体" w:cs="宋体"/>
                <w:szCs w:val="21"/>
              </w:rPr>
              <w:t>老鼠</w:t>
            </w:r>
          </w:p>
        </w:tc>
        <w:tc>
          <w:tcPr>
            <w:tcW w:w="3119" w:type="dxa"/>
            <w:vAlign w:val="center"/>
          </w:tcPr>
          <w:p w14:paraId="504A74B0">
            <w:pPr>
              <w:spacing w:line="320" w:lineRule="exact"/>
              <w:rPr>
                <w:rFonts w:ascii="宋体" w:hAnsi="宋体" w:cs="宋体"/>
                <w:szCs w:val="21"/>
              </w:rPr>
            </w:pPr>
          </w:p>
        </w:tc>
        <w:tc>
          <w:tcPr>
            <w:tcW w:w="2559" w:type="dxa"/>
            <w:vAlign w:val="center"/>
          </w:tcPr>
          <w:p w14:paraId="619A7AC5">
            <w:pPr>
              <w:spacing w:line="320" w:lineRule="exact"/>
              <w:rPr>
                <w:rFonts w:ascii="宋体" w:hAnsi="宋体" w:cs="宋体"/>
                <w:szCs w:val="21"/>
              </w:rPr>
            </w:pPr>
            <w:r>
              <w:rPr>
                <w:rFonts w:hint="eastAsia" w:ascii="宋体" w:hAnsi="宋体" w:cs="宋体"/>
                <w:szCs w:val="21"/>
              </w:rPr>
              <w:t>投放鼠必杀两次</w:t>
            </w:r>
          </w:p>
        </w:tc>
        <w:tc>
          <w:tcPr>
            <w:tcW w:w="1598" w:type="dxa"/>
            <w:vMerge w:val="continue"/>
          </w:tcPr>
          <w:p w14:paraId="1CA23A67">
            <w:pPr>
              <w:spacing w:line="320" w:lineRule="exact"/>
              <w:rPr>
                <w:rFonts w:ascii="宋体" w:hAnsi="宋体" w:cs="宋体"/>
                <w:szCs w:val="21"/>
              </w:rPr>
            </w:pPr>
          </w:p>
        </w:tc>
      </w:tr>
      <w:tr w14:paraId="4E11E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250" w:hRule="atLeast"/>
          <w:jc w:val="center"/>
        </w:trPr>
        <w:tc>
          <w:tcPr>
            <w:tcW w:w="511" w:type="dxa"/>
            <w:vAlign w:val="center"/>
          </w:tcPr>
          <w:p w14:paraId="11EC6E4A">
            <w:pPr>
              <w:spacing w:line="320" w:lineRule="exact"/>
              <w:jc w:val="center"/>
              <w:rPr>
                <w:rFonts w:ascii="宋体" w:hAnsi="宋体" w:cs="宋体"/>
                <w:szCs w:val="21"/>
              </w:rPr>
            </w:pPr>
            <w:r>
              <w:rPr>
                <w:rFonts w:hint="eastAsia" w:ascii="宋体" w:hAnsi="宋体" w:cs="宋体"/>
                <w:szCs w:val="21"/>
              </w:rPr>
              <w:t>5</w:t>
            </w:r>
          </w:p>
        </w:tc>
        <w:tc>
          <w:tcPr>
            <w:tcW w:w="846" w:type="dxa"/>
            <w:vAlign w:val="center"/>
          </w:tcPr>
          <w:p w14:paraId="641D7DDA">
            <w:pPr>
              <w:spacing w:line="320" w:lineRule="exact"/>
              <w:jc w:val="center"/>
              <w:rPr>
                <w:rFonts w:ascii="宋体" w:hAnsi="宋体" w:cs="宋体"/>
                <w:szCs w:val="21"/>
              </w:rPr>
            </w:pPr>
            <w:r>
              <w:rPr>
                <w:rFonts w:hint="eastAsia" w:ascii="宋体" w:hAnsi="宋体" w:cs="宋体"/>
                <w:szCs w:val="21"/>
              </w:rPr>
              <w:t>建筑物内外</w:t>
            </w:r>
          </w:p>
        </w:tc>
        <w:tc>
          <w:tcPr>
            <w:tcW w:w="992" w:type="dxa"/>
            <w:vAlign w:val="center"/>
          </w:tcPr>
          <w:p w14:paraId="2724636F">
            <w:pPr>
              <w:spacing w:line="320" w:lineRule="exact"/>
              <w:jc w:val="center"/>
              <w:rPr>
                <w:rFonts w:ascii="宋体" w:hAnsi="宋体" w:cs="宋体"/>
                <w:szCs w:val="21"/>
              </w:rPr>
            </w:pPr>
            <w:r>
              <w:rPr>
                <w:rFonts w:hint="eastAsia" w:ascii="宋体" w:hAnsi="宋体" w:cs="宋体"/>
                <w:szCs w:val="21"/>
              </w:rPr>
              <w:t>白</w:t>
            </w:r>
          </w:p>
          <w:p w14:paraId="46C36E46">
            <w:pPr>
              <w:spacing w:line="320" w:lineRule="exact"/>
              <w:jc w:val="center"/>
              <w:rPr>
                <w:rFonts w:ascii="宋体" w:hAnsi="宋体" w:cs="宋体"/>
                <w:szCs w:val="21"/>
              </w:rPr>
            </w:pPr>
            <w:r>
              <w:rPr>
                <w:rFonts w:hint="eastAsia" w:ascii="宋体" w:hAnsi="宋体" w:cs="宋体"/>
                <w:szCs w:val="21"/>
              </w:rPr>
              <w:t>蚁、红火蚁</w:t>
            </w:r>
          </w:p>
        </w:tc>
        <w:tc>
          <w:tcPr>
            <w:tcW w:w="3119" w:type="dxa"/>
          </w:tcPr>
          <w:p w14:paraId="0FEA1613">
            <w:pPr>
              <w:spacing w:line="320" w:lineRule="exact"/>
              <w:rPr>
                <w:rFonts w:ascii="宋体" w:hAnsi="宋体" w:cs="宋体"/>
                <w:szCs w:val="21"/>
              </w:rPr>
            </w:pPr>
          </w:p>
        </w:tc>
        <w:tc>
          <w:tcPr>
            <w:tcW w:w="2559" w:type="dxa"/>
          </w:tcPr>
          <w:p w14:paraId="495D41BF">
            <w:pPr>
              <w:spacing w:line="320" w:lineRule="exact"/>
              <w:rPr>
                <w:rFonts w:ascii="宋体" w:hAnsi="宋体" w:cs="宋体"/>
                <w:szCs w:val="21"/>
              </w:rPr>
            </w:pPr>
            <w:r>
              <w:rPr>
                <w:rFonts w:hint="eastAsia" w:ascii="宋体" w:hAnsi="宋体" w:cs="宋体"/>
                <w:szCs w:val="21"/>
              </w:rPr>
              <w:t>利用其生活习性和活动规律找巢，或利用药物借助白蚁习性，在群体内进行扩散，最后使全巢白蚁死亡，具体做法：用毒死蚁、灭蚁灵等进行诱杀、毒杀一次</w:t>
            </w:r>
          </w:p>
        </w:tc>
        <w:tc>
          <w:tcPr>
            <w:tcW w:w="1598" w:type="dxa"/>
            <w:vMerge w:val="continue"/>
          </w:tcPr>
          <w:p w14:paraId="758817AC">
            <w:pPr>
              <w:spacing w:line="320" w:lineRule="exact"/>
              <w:rPr>
                <w:rFonts w:ascii="宋体" w:hAnsi="宋体" w:cs="宋体"/>
                <w:szCs w:val="21"/>
              </w:rPr>
            </w:pPr>
          </w:p>
        </w:tc>
      </w:tr>
    </w:tbl>
    <w:p w14:paraId="75A45471">
      <w:pPr>
        <w:pStyle w:val="208"/>
        <w:spacing w:before="120" w:after="120" w:line="360" w:lineRule="exact"/>
        <w:rPr>
          <w:rFonts w:ascii="宋体" w:hAnsi="宋体" w:cs="宋体"/>
          <w:kern w:val="0"/>
          <w:szCs w:val="21"/>
        </w:rPr>
      </w:pPr>
    </w:p>
    <w:p w14:paraId="39823FD8">
      <w:pPr>
        <w:pStyle w:val="3"/>
        <w:spacing w:before="0" w:after="0"/>
        <w:ind w:firstLine="422" w:firstLineChars="200"/>
        <w:rPr>
          <w:sz w:val="21"/>
          <w:szCs w:val="21"/>
        </w:rPr>
      </w:pPr>
      <w:r>
        <w:rPr>
          <w:rFonts w:hint="eastAsia"/>
          <w:sz w:val="21"/>
          <w:szCs w:val="21"/>
        </w:rPr>
        <w:t>（五）绿化服务</w:t>
      </w:r>
    </w:p>
    <w:p w14:paraId="6540F37C">
      <w:pPr>
        <w:spacing w:line="360" w:lineRule="auto"/>
        <w:ind w:firstLine="420" w:firstLineChars="200"/>
        <w:outlineLvl w:val="0"/>
        <w:rPr>
          <w:rFonts w:ascii="宋体" w:hAnsi="宋体" w:cs="宋体"/>
          <w:b/>
          <w:kern w:val="0"/>
          <w:szCs w:val="21"/>
        </w:rPr>
      </w:pPr>
      <w:r>
        <w:rPr>
          <w:rFonts w:hint="eastAsia" w:ascii="宋体" w:hAnsi="宋体" w:cs="宋体"/>
          <w:kern w:val="0"/>
          <w:szCs w:val="21"/>
        </w:rPr>
        <w:t>校园绿化管理由中标单位安排具有专业绿化管理资质的团队负责。</w:t>
      </w:r>
    </w:p>
    <w:p w14:paraId="3DE6D5D8">
      <w:pPr>
        <w:spacing w:line="360" w:lineRule="auto"/>
        <w:ind w:firstLine="422" w:firstLineChars="200"/>
        <w:rPr>
          <w:rFonts w:ascii="宋体" w:hAnsi="宋体" w:cs="宋体"/>
          <w:b/>
          <w:kern w:val="0"/>
          <w:szCs w:val="21"/>
        </w:rPr>
      </w:pPr>
      <w:r>
        <w:rPr>
          <w:rFonts w:hint="eastAsia" w:ascii="宋体" w:hAnsi="宋体" w:cs="宋体"/>
          <w:b/>
          <w:kern w:val="0"/>
          <w:szCs w:val="21"/>
        </w:rPr>
        <w:t>1.绿化日常维护要求</w:t>
      </w:r>
    </w:p>
    <w:p w14:paraId="586D1013">
      <w:pPr>
        <w:spacing w:line="360" w:lineRule="auto"/>
        <w:ind w:firstLine="420" w:firstLineChars="200"/>
        <w:rPr>
          <w:rFonts w:ascii="宋体" w:hAnsi="宋体" w:cs="宋体"/>
          <w:kern w:val="0"/>
          <w:szCs w:val="21"/>
        </w:rPr>
      </w:pPr>
      <w:r>
        <w:rPr>
          <w:rFonts w:hint="eastAsia" w:ascii="宋体" w:hAnsi="宋体" w:cs="宋体"/>
          <w:kern w:val="0"/>
          <w:szCs w:val="21"/>
        </w:rPr>
        <w:t>（1）配备专业人员进行管理，资质达标，制度完善。</w:t>
      </w:r>
    </w:p>
    <w:p w14:paraId="39A6E8D4">
      <w:pPr>
        <w:spacing w:line="360" w:lineRule="auto"/>
        <w:ind w:firstLine="420" w:firstLineChars="200"/>
        <w:rPr>
          <w:rFonts w:ascii="宋体" w:hAnsi="宋体" w:cs="宋体"/>
          <w:kern w:val="0"/>
          <w:szCs w:val="21"/>
        </w:rPr>
      </w:pPr>
      <w:r>
        <w:rPr>
          <w:rFonts w:hint="eastAsia" w:ascii="宋体" w:hAnsi="宋体" w:cs="宋体"/>
          <w:kern w:val="0"/>
          <w:szCs w:val="21"/>
        </w:rPr>
        <w:t>（2）实行标准化作业，由专人负责检查监督，必要时由学校聘请第三方专业考评。</w:t>
      </w:r>
    </w:p>
    <w:p w14:paraId="0487740C">
      <w:pPr>
        <w:spacing w:line="360" w:lineRule="auto"/>
        <w:ind w:firstLine="420" w:firstLineChars="200"/>
        <w:rPr>
          <w:rFonts w:ascii="宋体" w:hAnsi="宋体" w:cs="宋体"/>
          <w:kern w:val="0"/>
          <w:szCs w:val="21"/>
        </w:rPr>
      </w:pPr>
      <w:r>
        <w:rPr>
          <w:rFonts w:hint="eastAsia" w:ascii="宋体" w:hAnsi="宋体" w:cs="宋体"/>
          <w:kern w:val="0"/>
          <w:szCs w:val="21"/>
        </w:rPr>
        <w:t>（3）负责校区红线范围以内所有室外绿化的养护、修剪造型、施肥、浇水、除杂草、松土、杀虫、杂物清除等管理。</w:t>
      </w:r>
    </w:p>
    <w:p w14:paraId="768878BC">
      <w:pPr>
        <w:spacing w:line="360" w:lineRule="auto"/>
        <w:ind w:firstLine="420" w:firstLineChars="200"/>
        <w:rPr>
          <w:rFonts w:ascii="宋体" w:hAnsi="宋体" w:cs="宋体"/>
          <w:kern w:val="0"/>
          <w:szCs w:val="21"/>
        </w:rPr>
      </w:pPr>
      <w:r>
        <w:rPr>
          <w:rFonts w:hint="eastAsia" w:ascii="宋体" w:hAnsi="宋体" w:cs="宋体"/>
          <w:kern w:val="0"/>
          <w:szCs w:val="21"/>
        </w:rPr>
        <w:t>（4）定期修剪，及时修补和扶持，保持花木形态常美。乔、灌木以及攀援植物每年普修八次以上、切边整理三次以上，各种植物生长茂盛，无枯枝、缺枝；绿草坪养护每年不少于2次，要求土层全植被覆盖，无裸露；室内盆栽植物无积尘，适当浇水，容器中无积水，整形修剪每季度不少于一次，无枯枝败叶。</w:t>
      </w:r>
    </w:p>
    <w:p w14:paraId="6A60AB85">
      <w:pPr>
        <w:spacing w:line="360" w:lineRule="auto"/>
        <w:ind w:firstLine="420" w:firstLineChars="200"/>
        <w:rPr>
          <w:rFonts w:ascii="宋体" w:hAnsi="宋体" w:cs="宋体"/>
          <w:kern w:val="0"/>
          <w:szCs w:val="21"/>
        </w:rPr>
      </w:pPr>
      <w:r>
        <w:rPr>
          <w:rFonts w:hint="eastAsia" w:ascii="宋体" w:hAnsi="宋体" w:cs="宋体"/>
          <w:kern w:val="0"/>
          <w:szCs w:val="21"/>
        </w:rPr>
        <w:t>（5）保持绿地、操场等无枯草、树枝、树叶等，无积水，无干旱。</w:t>
      </w:r>
    </w:p>
    <w:p w14:paraId="09285865">
      <w:pPr>
        <w:spacing w:line="360" w:lineRule="auto"/>
        <w:ind w:firstLine="420" w:firstLineChars="200"/>
        <w:rPr>
          <w:rFonts w:ascii="宋体" w:hAnsi="宋体" w:cs="宋体"/>
          <w:kern w:val="0"/>
          <w:szCs w:val="21"/>
        </w:rPr>
      </w:pPr>
      <w:r>
        <w:rPr>
          <w:rFonts w:hint="eastAsia" w:ascii="宋体" w:hAnsi="宋体" w:cs="宋体"/>
          <w:kern w:val="0"/>
          <w:szCs w:val="21"/>
        </w:rPr>
        <w:t>（6）根据情况适时做好绿化病虫害的防治工作。</w:t>
      </w:r>
    </w:p>
    <w:p w14:paraId="5A63B8E2">
      <w:pPr>
        <w:spacing w:line="360" w:lineRule="auto"/>
        <w:ind w:firstLine="420" w:firstLineChars="200"/>
        <w:rPr>
          <w:rFonts w:ascii="宋体" w:hAnsi="宋体" w:cs="宋体"/>
          <w:kern w:val="0"/>
          <w:szCs w:val="21"/>
        </w:rPr>
      </w:pPr>
      <w:r>
        <w:rPr>
          <w:rFonts w:hint="eastAsia" w:ascii="宋体" w:hAnsi="宋体" w:cs="宋体"/>
          <w:kern w:val="0"/>
          <w:szCs w:val="21"/>
        </w:rPr>
        <w:t>（7）绿化达标率及辅助工具要求：校园室外绿地或花坛内各类乔、灌、草等绿化存活率达100%；绿化专业工具要求配置人工剪、电动剪、高枝剪、打草机等常用绿化养护工具，购置费由物业公司承担。</w:t>
      </w:r>
    </w:p>
    <w:p w14:paraId="44FEC322">
      <w:pPr>
        <w:spacing w:line="360" w:lineRule="auto"/>
        <w:ind w:firstLine="420" w:firstLineChars="200"/>
        <w:rPr>
          <w:rFonts w:ascii="宋体" w:hAnsi="宋体" w:cs="宋体"/>
          <w:kern w:val="0"/>
          <w:szCs w:val="21"/>
        </w:rPr>
      </w:pPr>
      <w:r>
        <w:rPr>
          <w:rFonts w:hint="eastAsia" w:ascii="宋体" w:hAnsi="宋体" w:cs="宋体"/>
          <w:kern w:val="0"/>
          <w:szCs w:val="21"/>
        </w:rPr>
        <w:t>（8）防蛇及其他有害毒虫的防治工作。</w:t>
      </w:r>
    </w:p>
    <w:p w14:paraId="40703DEF">
      <w:pPr>
        <w:spacing w:line="360" w:lineRule="auto"/>
        <w:ind w:firstLine="422" w:firstLineChars="200"/>
        <w:rPr>
          <w:rFonts w:ascii="宋体" w:hAnsi="宋体" w:cs="宋体"/>
          <w:b/>
          <w:kern w:val="0"/>
          <w:szCs w:val="21"/>
        </w:rPr>
      </w:pPr>
      <w:r>
        <w:rPr>
          <w:rFonts w:hint="eastAsia" w:ascii="宋体" w:hAnsi="宋体" w:cs="宋体"/>
          <w:b/>
          <w:kern w:val="0"/>
          <w:szCs w:val="21"/>
        </w:rPr>
        <w:t xml:space="preserve">2.校园绿化提升要求 </w:t>
      </w:r>
    </w:p>
    <w:p w14:paraId="232D67BC">
      <w:pPr>
        <w:spacing w:line="360" w:lineRule="auto"/>
        <w:ind w:firstLine="420" w:firstLineChars="200"/>
        <w:rPr>
          <w:rFonts w:ascii="宋体" w:hAnsi="宋体" w:cs="宋体"/>
          <w:kern w:val="0"/>
          <w:szCs w:val="21"/>
        </w:rPr>
      </w:pPr>
      <w:r>
        <w:rPr>
          <w:rFonts w:hint="eastAsia" w:ascii="宋体" w:hAnsi="宋体" w:cs="宋体"/>
          <w:kern w:val="0"/>
          <w:szCs w:val="21"/>
        </w:rPr>
        <w:t>（1）根据学校整体格局及规划，对公共区域的绿化进行整体提升，按不同绿化区域的条件、类型、作用以及植物不同生长习性，因地制宜、因时制宜地种植各种花草、树木，搞好校园花木的有机培植。其中，学校范围的主干道（学苑路、鹤鸣路、修远路、行知路、行知东路、行知南路、行知中路、行知北路、文体路、凌云路共计10条道路路）、足球场、鹤鸣湖及其周边配套绿化区域、湖滨广场绿地、设计学院竹园等区域按照一级管养标准实施，偏远地方的园林绿化（含其中的草坪、灌木、花卉、乔木、水池、园路和设施，如山体斜坡等区域）的管养划为三级管养，其余绿化区域管养不低于二级养护标准。</w:t>
      </w:r>
    </w:p>
    <w:p w14:paraId="2EBC5858">
      <w:pPr>
        <w:spacing w:line="360" w:lineRule="auto"/>
        <w:ind w:firstLine="420" w:firstLineChars="200"/>
        <w:rPr>
          <w:rFonts w:ascii="宋体" w:hAnsi="宋体" w:cs="宋体"/>
          <w:kern w:val="0"/>
          <w:szCs w:val="21"/>
        </w:rPr>
      </w:pPr>
      <w:r>
        <w:rPr>
          <w:rFonts w:hint="eastAsia" w:ascii="宋体" w:hAnsi="宋体" w:cs="宋体"/>
          <w:kern w:val="0"/>
          <w:szCs w:val="21"/>
        </w:rPr>
        <w:t>（2）每年铺种草皮、种植开花类乔木等植物品种数量具体按照学校规划设计要求培植。</w:t>
      </w:r>
    </w:p>
    <w:p w14:paraId="4CCD2F22">
      <w:pPr>
        <w:spacing w:line="360" w:lineRule="auto"/>
        <w:ind w:firstLine="420" w:firstLineChars="200"/>
        <w:rPr>
          <w:rFonts w:ascii="宋体" w:hAnsi="宋体" w:cs="宋体"/>
          <w:kern w:val="0"/>
          <w:szCs w:val="21"/>
        </w:rPr>
      </w:pPr>
      <w:r>
        <w:rPr>
          <w:rFonts w:hint="eastAsia" w:ascii="宋体" w:hAnsi="宋体" w:cs="宋体"/>
          <w:kern w:val="0"/>
          <w:szCs w:val="21"/>
        </w:rPr>
        <w:t>（3）树木培植要做到五结合：</w:t>
      </w:r>
    </w:p>
    <w:p w14:paraId="64ADAB3F">
      <w:pPr>
        <w:spacing w:line="360" w:lineRule="auto"/>
        <w:ind w:firstLine="840" w:firstLineChars="400"/>
        <w:rPr>
          <w:rFonts w:ascii="宋体" w:hAnsi="宋体" w:cs="宋体"/>
          <w:kern w:val="0"/>
          <w:szCs w:val="21"/>
        </w:rPr>
      </w:pPr>
      <w:r>
        <w:rPr>
          <w:rFonts w:hint="eastAsia" w:ascii="宋体" w:hAnsi="宋体" w:cs="宋体"/>
          <w:kern w:val="0"/>
          <w:szCs w:val="21"/>
        </w:rPr>
        <w:t>1）落叶树与常青树相结合，以常青树为主。</w:t>
      </w:r>
    </w:p>
    <w:p w14:paraId="406F2A8E">
      <w:pPr>
        <w:spacing w:line="360" w:lineRule="auto"/>
        <w:ind w:firstLine="840" w:firstLineChars="400"/>
        <w:rPr>
          <w:rFonts w:ascii="宋体" w:hAnsi="宋体" w:cs="宋体"/>
          <w:kern w:val="0"/>
          <w:szCs w:val="21"/>
        </w:rPr>
      </w:pPr>
      <w:r>
        <w:rPr>
          <w:rFonts w:hint="eastAsia" w:ascii="宋体" w:hAnsi="宋体" w:cs="宋体"/>
          <w:kern w:val="0"/>
          <w:szCs w:val="21"/>
        </w:rPr>
        <w:t>2）乔木与灌木相结合，以乔木为主。</w:t>
      </w:r>
    </w:p>
    <w:p w14:paraId="767D7BD1">
      <w:pPr>
        <w:spacing w:line="360" w:lineRule="auto"/>
        <w:ind w:firstLine="840" w:firstLineChars="400"/>
        <w:rPr>
          <w:rFonts w:ascii="宋体" w:hAnsi="宋体" w:cs="宋体"/>
          <w:kern w:val="0"/>
          <w:szCs w:val="21"/>
        </w:rPr>
      </w:pPr>
      <w:r>
        <w:rPr>
          <w:rFonts w:hint="eastAsia" w:ascii="宋体" w:hAnsi="宋体" w:cs="宋体"/>
          <w:kern w:val="0"/>
          <w:szCs w:val="21"/>
        </w:rPr>
        <w:t>3）观赏树与经济树相结合，以观赏树为主。</w:t>
      </w:r>
    </w:p>
    <w:p w14:paraId="01D8F267">
      <w:pPr>
        <w:spacing w:line="360" w:lineRule="auto"/>
        <w:ind w:firstLine="840" w:firstLineChars="400"/>
        <w:rPr>
          <w:rFonts w:ascii="宋体" w:hAnsi="宋体" w:cs="宋体"/>
          <w:kern w:val="0"/>
          <w:szCs w:val="21"/>
        </w:rPr>
      </w:pPr>
      <w:r>
        <w:rPr>
          <w:rFonts w:hint="eastAsia" w:ascii="宋体" w:hAnsi="宋体" w:cs="宋体"/>
          <w:kern w:val="0"/>
          <w:szCs w:val="21"/>
        </w:rPr>
        <w:t>4）木本与草本相结合，以木本为主。</w:t>
      </w:r>
    </w:p>
    <w:p w14:paraId="325381A9">
      <w:pPr>
        <w:spacing w:line="360" w:lineRule="auto"/>
        <w:ind w:firstLine="840" w:firstLineChars="400"/>
        <w:rPr>
          <w:rFonts w:ascii="宋体" w:hAnsi="宋体" w:cs="宋体"/>
          <w:kern w:val="0"/>
          <w:szCs w:val="21"/>
        </w:rPr>
      </w:pPr>
      <w:r>
        <w:rPr>
          <w:rFonts w:hint="eastAsia" w:ascii="宋体" w:hAnsi="宋体" w:cs="宋体"/>
          <w:kern w:val="0"/>
          <w:szCs w:val="21"/>
        </w:rPr>
        <w:t>5）点、线、面相结合，以点、线搭配植物为主。</w:t>
      </w:r>
    </w:p>
    <w:p w14:paraId="3BC551C7">
      <w:pPr>
        <w:spacing w:line="360" w:lineRule="auto"/>
        <w:ind w:firstLine="420" w:firstLineChars="200"/>
        <w:rPr>
          <w:rFonts w:ascii="宋体" w:hAnsi="宋体" w:cs="宋体"/>
          <w:kern w:val="0"/>
          <w:szCs w:val="21"/>
        </w:rPr>
      </w:pPr>
      <w:r>
        <w:rPr>
          <w:rFonts w:hint="eastAsia" w:ascii="宋体" w:hAnsi="宋体" w:cs="宋体"/>
          <w:kern w:val="0"/>
          <w:szCs w:val="21"/>
        </w:rPr>
        <w:t>（4）花草种植要做到配植合理，还要做到四季常青，四季花香。</w:t>
      </w:r>
    </w:p>
    <w:p w14:paraId="572A7242">
      <w:pPr>
        <w:pStyle w:val="208"/>
        <w:spacing w:line="360" w:lineRule="auto"/>
        <w:rPr>
          <w:rFonts w:ascii="宋体" w:hAnsi="宋体" w:cs="宋体"/>
          <w:kern w:val="0"/>
          <w:szCs w:val="21"/>
        </w:rPr>
      </w:pPr>
      <w:r>
        <w:rPr>
          <w:rFonts w:hint="eastAsia" w:ascii="宋体" w:hAnsi="宋体" w:cs="宋体"/>
          <w:kern w:val="0"/>
          <w:szCs w:val="21"/>
        </w:rPr>
        <w:t>（5）每年投入绿化提升的费用不少于中标价格的3%。</w:t>
      </w:r>
      <w:bookmarkStart w:id="37" w:name="_Toc25835184"/>
      <w:bookmarkStart w:id="38" w:name="_Toc42313121"/>
      <w:bookmarkStart w:id="39" w:name="_Toc51992534"/>
      <w:bookmarkStart w:id="40" w:name="_Toc59275182"/>
    </w:p>
    <w:p w14:paraId="234806A6">
      <w:pPr>
        <w:pStyle w:val="208"/>
        <w:spacing w:line="360" w:lineRule="auto"/>
        <w:rPr>
          <w:rFonts w:ascii="宋体" w:hAnsi="宋体" w:cs="宋体"/>
          <w:kern w:val="0"/>
          <w:szCs w:val="21"/>
        </w:rPr>
      </w:pPr>
    </w:p>
    <w:p w14:paraId="54917D60">
      <w:pPr>
        <w:spacing w:line="360" w:lineRule="auto"/>
        <w:ind w:firstLine="422" w:firstLineChars="200"/>
        <w:outlineLvl w:val="0"/>
        <w:rPr>
          <w:rFonts w:ascii="宋体" w:hAnsi="宋体" w:cs="宋体"/>
          <w:b/>
          <w:kern w:val="0"/>
          <w:szCs w:val="21"/>
        </w:rPr>
      </w:pPr>
      <w:r>
        <w:rPr>
          <w:rFonts w:hint="eastAsia" w:ascii="宋体" w:hAnsi="宋体" w:cs="宋体"/>
          <w:b/>
          <w:kern w:val="0"/>
          <w:szCs w:val="21"/>
        </w:rPr>
        <w:t>（六）会务服务</w:t>
      </w:r>
    </w:p>
    <w:p w14:paraId="2934CA25">
      <w:pPr>
        <w:pStyle w:val="208"/>
        <w:spacing w:line="360" w:lineRule="auto"/>
        <w:rPr>
          <w:rFonts w:ascii="宋体" w:hAnsi="宋体" w:cs="宋体"/>
          <w:kern w:val="0"/>
          <w:szCs w:val="21"/>
        </w:rPr>
      </w:pPr>
      <w:r>
        <w:rPr>
          <w:rFonts w:hint="eastAsia" w:ascii="宋体" w:hAnsi="宋体" w:cs="宋体"/>
          <w:kern w:val="0"/>
          <w:szCs w:val="21"/>
        </w:rPr>
        <w:t>（1）为校级会议室内举办的各种会议、接待活动及室外的大型会议（如技能节、校运会的开幕式、闭幕式）与接待活动等提供会务服务。中标方应配备不少于5名专业的会务服务人员，根据校方要求逢主要会议活动期间提供专业的会务服务。</w:t>
      </w:r>
    </w:p>
    <w:p w14:paraId="649D36D8">
      <w:pPr>
        <w:pStyle w:val="208"/>
        <w:spacing w:line="360" w:lineRule="auto"/>
        <w:rPr>
          <w:rFonts w:ascii="宋体" w:hAnsi="宋体" w:cs="宋体"/>
          <w:kern w:val="0"/>
          <w:szCs w:val="21"/>
        </w:rPr>
      </w:pPr>
      <w:r>
        <w:rPr>
          <w:rFonts w:hint="eastAsia" w:ascii="宋体" w:hAnsi="宋体" w:cs="宋体"/>
          <w:kern w:val="0"/>
          <w:szCs w:val="21"/>
        </w:rPr>
        <w:t>（2）根据会议室预定情况，做好会议室使用前的准备工作：包括音响、投影设备的调试、会议用水、会议用品的摆放、会场的布置、会议室的清洁。对会议中出现的突发事件，能及时采取紧急预案，保证会议正常进行。</w:t>
      </w:r>
    </w:p>
    <w:p w14:paraId="04B15844">
      <w:pPr>
        <w:pStyle w:val="208"/>
        <w:spacing w:line="360" w:lineRule="auto"/>
        <w:rPr>
          <w:rFonts w:ascii="宋体" w:hAnsi="宋体" w:cs="宋体"/>
          <w:kern w:val="0"/>
          <w:szCs w:val="21"/>
        </w:rPr>
      </w:pPr>
      <w:r>
        <w:rPr>
          <w:rFonts w:hint="eastAsia" w:ascii="宋体" w:hAnsi="宋体" w:cs="宋体"/>
          <w:kern w:val="0"/>
          <w:szCs w:val="21"/>
        </w:rPr>
        <w:t>（3）会议中的服务工作：根据会议要求，做好茶水、饮品等的服务，要求服务人员有一定的礼仪素养，仪表端庄，大方得体。</w:t>
      </w:r>
    </w:p>
    <w:p w14:paraId="3F70AA32">
      <w:pPr>
        <w:pStyle w:val="208"/>
        <w:spacing w:line="360" w:lineRule="auto"/>
        <w:rPr>
          <w:rFonts w:ascii="宋体" w:hAnsi="宋体" w:cs="宋体"/>
          <w:kern w:val="0"/>
          <w:szCs w:val="21"/>
        </w:rPr>
      </w:pPr>
      <w:r>
        <w:rPr>
          <w:rFonts w:hint="eastAsia" w:ascii="宋体" w:hAnsi="宋体" w:cs="宋体"/>
          <w:kern w:val="0"/>
          <w:szCs w:val="21"/>
        </w:rPr>
        <w:t>（4）会议后的收尾工作：及时对使用的设备进行检查，保障设备的完好，对损坏的设备要及时报修，并跟踪维修情况。</w:t>
      </w:r>
    </w:p>
    <w:p w14:paraId="111A06C4">
      <w:pPr>
        <w:pStyle w:val="208"/>
        <w:spacing w:line="360" w:lineRule="auto"/>
        <w:rPr>
          <w:rFonts w:ascii="宋体" w:hAnsi="宋体" w:cs="宋体"/>
          <w:kern w:val="0"/>
          <w:szCs w:val="21"/>
        </w:rPr>
      </w:pPr>
      <w:r>
        <w:rPr>
          <w:rFonts w:hint="eastAsia" w:ascii="宋体" w:hAnsi="宋体" w:cs="宋体"/>
          <w:kern w:val="0"/>
          <w:szCs w:val="21"/>
        </w:rPr>
        <w:t>（5）会议场地的日常清洁、保养工作，及时锁关门窗，杜绝设备的遗失和损坏。</w:t>
      </w:r>
    </w:p>
    <w:p w14:paraId="19EFFAD8">
      <w:pPr>
        <w:pStyle w:val="208"/>
        <w:spacing w:line="360" w:lineRule="auto"/>
        <w:rPr>
          <w:rFonts w:ascii="宋体" w:hAnsi="宋体" w:cs="宋体"/>
          <w:kern w:val="0"/>
          <w:szCs w:val="21"/>
        </w:rPr>
      </w:pPr>
      <w:r>
        <w:rPr>
          <w:rFonts w:hint="eastAsia" w:ascii="宋体" w:hAnsi="宋体" w:cs="宋体"/>
          <w:kern w:val="0"/>
          <w:szCs w:val="21"/>
        </w:rPr>
        <w:t>（6）会议使用后的登记，做到使用一次登记一次，责任分明，出现问题有据可查。</w:t>
      </w:r>
    </w:p>
    <w:bookmarkEnd w:id="35"/>
    <w:bookmarkEnd w:id="37"/>
    <w:bookmarkEnd w:id="38"/>
    <w:bookmarkEnd w:id="39"/>
    <w:bookmarkEnd w:id="40"/>
    <w:p w14:paraId="7677EBAD">
      <w:pPr>
        <w:spacing w:line="360" w:lineRule="auto"/>
        <w:ind w:firstLine="422" w:firstLineChars="200"/>
        <w:outlineLvl w:val="0"/>
        <w:rPr>
          <w:rFonts w:ascii="宋体" w:hAnsi="宋体" w:cs="宋体"/>
          <w:b/>
          <w:szCs w:val="21"/>
        </w:rPr>
      </w:pPr>
      <w:r>
        <w:rPr>
          <w:rFonts w:hint="eastAsia" w:ascii="宋体" w:hAnsi="宋体" w:cs="宋体"/>
          <w:b/>
          <w:kern w:val="0"/>
          <w:szCs w:val="21"/>
        </w:rPr>
        <w:t>（七）人员配置要求</w:t>
      </w:r>
    </w:p>
    <w:p w14:paraId="18AE8ED1">
      <w:pPr>
        <w:pStyle w:val="208"/>
        <w:spacing w:line="360" w:lineRule="auto"/>
        <w:rPr>
          <w:rFonts w:ascii="宋体" w:hAnsi="宋体" w:cs="宋体"/>
          <w:kern w:val="0"/>
          <w:szCs w:val="21"/>
        </w:rPr>
      </w:pPr>
      <w:r>
        <w:rPr>
          <w:rFonts w:hint="eastAsia" w:ascii="宋体" w:hAnsi="宋体" w:cs="宋体"/>
          <w:kern w:val="0"/>
          <w:szCs w:val="21"/>
        </w:rPr>
        <w:t>（1）依据项目物业管理服务的特点，构建专业、高效、合理的管理和组织架构。</w:t>
      </w:r>
    </w:p>
    <w:p w14:paraId="49D43761">
      <w:pPr>
        <w:pStyle w:val="208"/>
        <w:spacing w:line="360" w:lineRule="auto"/>
        <w:rPr>
          <w:rFonts w:ascii="宋体" w:hAnsi="宋体" w:cs="宋体"/>
          <w:kern w:val="0"/>
          <w:szCs w:val="21"/>
        </w:rPr>
      </w:pPr>
      <w:r>
        <w:rPr>
          <w:rFonts w:hint="eastAsia" w:ascii="宋体" w:hAnsi="宋体" w:cs="宋体"/>
          <w:kern w:val="0"/>
          <w:szCs w:val="21"/>
        </w:rPr>
        <w:t>（2）依据精干、高效、一专多能、忠于职守的原则配备人员，并结合学院办公运行特点，编制员工行为规范和操作性强的服务方案。</w:t>
      </w:r>
    </w:p>
    <w:p w14:paraId="19AAB57E">
      <w:pPr>
        <w:pStyle w:val="208"/>
        <w:spacing w:line="360" w:lineRule="auto"/>
        <w:rPr>
          <w:rFonts w:ascii="宋体" w:hAnsi="宋体" w:cs="宋体"/>
          <w:kern w:val="0"/>
          <w:szCs w:val="21"/>
        </w:rPr>
      </w:pPr>
      <w:r>
        <w:rPr>
          <w:rFonts w:hint="eastAsia" w:ascii="宋体" w:hAnsi="宋体" w:cs="宋体"/>
          <w:kern w:val="0"/>
          <w:szCs w:val="21"/>
        </w:rPr>
        <w:t>（3）组织架构科学、合理，保证管理落实到位；各部门具有明确的分工和职责要求。</w:t>
      </w:r>
    </w:p>
    <w:p w14:paraId="1744BA78">
      <w:pPr>
        <w:pStyle w:val="208"/>
        <w:spacing w:line="360" w:lineRule="auto"/>
        <w:rPr>
          <w:rFonts w:ascii="宋体" w:hAnsi="宋体" w:cs="宋体"/>
          <w:kern w:val="0"/>
          <w:szCs w:val="21"/>
        </w:rPr>
      </w:pPr>
      <w:r>
        <w:rPr>
          <w:rFonts w:hint="eastAsia" w:ascii="宋体" w:hAnsi="宋体" w:cs="宋体"/>
          <w:kern w:val="0"/>
          <w:szCs w:val="21"/>
        </w:rPr>
        <w:t>（4）服务人员经常性培训，包括进驻前培训、过程培训、技术培训、专业演练、法规知识培训等。</w:t>
      </w:r>
    </w:p>
    <w:p w14:paraId="49F027A7">
      <w:pPr>
        <w:pStyle w:val="208"/>
        <w:spacing w:line="360" w:lineRule="auto"/>
        <w:rPr>
          <w:rFonts w:ascii="宋体" w:hAnsi="宋体" w:cs="宋体"/>
          <w:kern w:val="0"/>
          <w:szCs w:val="21"/>
        </w:rPr>
      </w:pPr>
      <w:r>
        <w:rPr>
          <w:rFonts w:hint="eastAsia" w:ascii="宋体" w:hAnsi="宋体" w:cs="宋体"/>
          <w:kern w:val="0"/>
          <w:szCs w:val="21"/>
        </w:rPr>
        <w:t>（5）本项目配备人员清单如下（人员配置不少于以下人员数量要求）：</w:t>
      </w:r>
    </w:p>
    <w:tbl>
      <w:tblPr>
        <w:tblStyle w:val="42"/>
        <w:tblW w:w="5000" w:type="pct"/>
        <w:tblInd w:w="0" w:type="dxa"/>
        <w:tblLayout w:type="autofit"/>
        <w:tblCellMar>
          <w:top w:w="0" w:type="dxa"/>
          <w:left w:w="0" w:type="dxa"/>
          <w:bottom w:w="0" w:type="dxa"/>
          <w:right w:w="0" w:type="dxa"/>
        </w:tblCellMar>
      </w:tblPr>
      <w:tblGrid>
        <w:gridCol w:w="495"/>
        <w:gridCol w:w="1688"/>
        <w:gridCol w:w="1084"/>
        <w:gridCol w:w="5046"/>
      </w:tblGrid>
      <w:tr w14:paraId="509E5F60">
        <w:tblPrEx>
          <w:tblCellMar>
            <w:top w:w="0" w:type="dxa"/>
            <w:left w:w="0" w:type="dxa"/>
            <w:bottom w:w="0" w:type="dxa"/>
            <w:right w:w="0" w:type="dxa"/>
          </w:tblCellMar>
        </w:tblPrEx>
        <w:trPr>
          <w:trHeight w:val="20" w:hRule="atLeast"/>
        </w:trPr>
        <w:tc>
          <w:tcPr>
            <w:tcW w:w="29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FF6E3A">
            <w:pPr>
              <w:spacing w:line="400" w:lineRule="exact"/>
              <w:jc w:val="center"/>
              <w:rPr>
                <w:rFonts w:ascii="宋体" w:hAnsi="宋体" w:cs="宋体"/>
                <w:b/>
                <w:szCs w:val="21"/>
              </w:rPr>
            </w:pPr>
            <w:r>
              <w:rPr>
                <w:rFonts w:hint="eastAsia" w:ascii="宋体" w:hAnsi="宋体" w:cs="宋体"/>
                <w:b/>
                <w:szCs w:val="21"/>
              </w:rPr>
              <w:t>序号</w:t>
            </w:r>
          </w:p>
        </w:tc>
        <w:tc>
          <w:tcPr>
            <w:tcW w:w="101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108E8F">
            <w:pPr>
              <w:spacing w:line="400" w:lineRule="exact"/>
              <w:jc w:val="center"/>
              <w:rPr>
                <w:rFonts w:ascii="宋体" w:hAnsi="宋体" w:cs="宋体"/>
                <w:b/>
                <w:szCs w:val="21"/>
              </w:rPr>
            </w:pPr>
            <w:r>
              <w:rPr>
                <w:rFonts w:hint="eastAsia" w:ascii="宋体" w:hAnsi="宋体" w:cs="宋体"/>
                <w:b/>
                <w:szCs w:val="21"/>
              </w:rPr>
              <w:t>部门</w:t>
            </w:r>
          </w:p>
        </w:tc>
        <w:tc>
          <w:tcPr>
            <w:tcW w:w="652" w:type="pct"/>
            <w:tcBorders>
              <w:top w:val="single" w:color="000000" w:sz="4" w:space="0"/>
              <w:left w:val="single" w:color="000000" w:sz="4" w:space="0"/>
              <w:bottom w:val="single" w:color="000000" w:sz="4" w:space="0"/>
              <w:right w:val="single" w:color="auto" w:sz="4" w:space="0"/>
            </w:tcBorders>
            <w:shd w:val="clear" w:color="auto" w:fill="FFFFFF"/>
            <w:tcMar>
              <w:top w:w="15" w:type="dxa"/>
              <w:left w:w="15" w:type="dxa"/>
              <w:right w:w="15" w:type="dxa"/>
            </w:tcMar>
            <w:vAlign w:val="center"/>
          </w:tcPr>
          <w:p w14:paraId="262E7FD4">
            <w:pPr>
              <w:spacing w:line="400" w:lineRule="exact"/>
              <w:jc w:val="center"/>
              <w:rPr>
                <w:rFonts w:ascii="宋体" w:hAnsi="宋体" w:cs="宋体"/>
                <w:b/>
                <w:szCs w:val="21"/>
              </w:rPr>
            </w:pPr>
            <w:r>
              <w:rPr>
                <w:rFonts w:hint="eastAsia" w:ascii="宋体" w:hAnsi="宋体" w:cs="宋体"/>
                <w:b/>
                <w:szCs w:val="21"/>
              </w:rPr>
              <w:t>人员数量</w:t>
            </w:r>
          </w:p>
        </w:tc>
        <w:tc>
          <w:tcPr>
            <w:tcW w:w="3035" w:type="pct"/>
            <w:tcBorders>
              <w:top w:val="single" w:color="000000"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14:paraId="53D33DF0">
            <w:pPr>
              <w:spacing w:line="400" w:lineRule="exact"/>
              <w:jc w:val="center"/>
              <w:rPr>
                <w:rFonts w:ascii="宋体" w:hAnsi="宋体" w:cs="宋体"/>
                <w:b/>
                <w:szCs w:val="21"/>
              </w:rPr>
            </w:pPr>
            <w:r>
              <w:rPr>
                <w:rFonts w:hint="eastAsia" w:ascii="宋体" w:hAnsi="宋体" w:cs="宋体"/>
                <w:b/>
                <w:szCs w:val="21"/>
              </w:rPr>
              <w:t>人员资质要求</w:t>
            </w:r>
          </w:p>
        </w:tc>
      </w:tr>
      <w:tr w14:paraId="41D39D02">
        <w:tblPrEx>
          <w:tblCellMar>
            <w:top w:w="0" w:type="dxa"/>
            <w:left w:w="0" w:type="dxa"/>
            <w:bottom w:w="0" w:type="dxa"/>
            <w:right w:w="0" w:type="dxa"/>
          </w:tblCellMar>
        </w:tblPrEx>
        <w:trPr>
          <w:trHeight w:val="20" w:hRule="atLeast"/>
        </w:trPr>
        <w:tc>
          <w:tcPr>
            <w:tcW w:w="29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556CEF">
            <w:pPr>
              <w:spacing w:line="400" w:lineRule="exact"/>
              <w:rPr>
                <w:rFonts w:ascii="宋体" w:hAnsi="宋体" w:cs="宋体"/>
                <w:szCs w:val="21"/>
              </w:rPr>
            </w:pPr>
            <w:r>
              <w:rPr>
                <w:rFonts w:hint="eastAsia" w:ascii="宋体" w:hAnsi="宋体" w:cs="宋体"/>
                <w:szCs w:val="21"/>
              </w:rPr>
              <w:t>1</w:t>
            </w:r>
          </w:p>
        </w:tc>
        <w:tc>
          <w:tcPr>
            <w:tcW w:w="101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8A429B">
            <w:pPr>
              <w:spacing w:line="400" w:lineRule="exact"/>
              <w:rPr>
                <w:rFonts w:ascii="宋体" w:hAnsi="宋体" w:cs="宋体"/>
                <w:szCs w:val="21"/>
              </w:rPr>
            </w:pPr>
            <w:r>
              <w:rPr>
                <w:rFonts w:hint="eastAsia" w:ascii="宋体" w:hAnsi="宋体" w:cs="宋体"/>
                <w:kern w:val="0"/>
                <w:szCs w:val="21"/>
              </w:rPr>
              <w:t>物业服务中心（含管理服务中心7人，客服4人、会议服务5人，学生接送服务14人）</w:t>
            </w:r>
          </w:p>
        </w:tc>
        <w:tc>
          <w:tcPr>
            <w:tcW w:w="652" w:type="pc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415AD64">
            <w:pPr>
              <w:spacing w:line="400" w:lineRule="exact"/>
              <w:jc w:val="center"/>
              <w:rPr>
                <w:rFonts w:ascii="宋体" w:hAnsi="宋体" w:cs="宋体"/>
                <w:szCs w:val="21"/>
              </w:rPr>
            </w:pPr>
            <w:r>
              <w:rPr>
                <w:rFonts w:hint="eastAsia" w:ascii="宋体" w:hAnsi="宋体" w:cs="宋体"/>
                <w:szCs w:val="21"/>
              </w:rPr>
              <w:t>30</w:t>
            </w:r>
          </w:p>
        </w:tc>
        <w:tc>
          <w:tcPr>
            <w:tcW w:w="3035"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22F34B3">
            <w:pPr>
              <w:numPr>
                <w:ilvl w:val="0"/>
                <w:numId w:val="9"/>
              </w:numPr>
              <w:spacing w:line="400" w:lineRule="exact"/>
              <w:rPr>
                <w:rFonts w:ascii="宋体" w:hAnsi="宋体" w:cs="宋体"/>
                <w:szCs w:val="21"/>
              </w:rPr>
            </w:pPr>
            <w:r>
              <w:rPr>
                <w:rFonts w:hint="eastAsia" w:ascii="宋体" w:hAnsi="宋体" w:cs="宋体"/>
                <w:szCs w:val="21"/>
              </w:rPr>
              <w:t>项目负责人及项目助理：按照国家规定取得物业管理从业资格证书或岗位证书，要求年龄在55周岁以下，大专及以上学历，从事学校物业管理2年以上工作经验；</w:t>
            </w:r>
            <w:r>
              <w:rPr>
                <w:rFonts w:hint="eastAsia" w:ascii="宋体" w:hAnsi="宋体" w:eastAsia="宋体" w:cs="宋体"/>
                <w:color w:val="FF0000"/>
                <w:szCs w:val="21"/>
                <w:highlight w:val="yellow"/>
              </w:rPr>
              <w:t>有丰富的物业安全保卫管理经验并取得相关证书</w:t>
            </w:r>
            <w:r>
              <w:rPr>
                <w:rFonts w:hint="eastAsia" w:ascii="宋体" w:hAnsi="宋体" w:eastAsia="宋体" w:cs="宋体"/>
                <w:color w:val="FF0000"/>
                <w:szCs w:val="21"/>
                <w:highlight w:val="yellow"/>
                <w:lang w:eastAsia="zh-CN"/>
              </w:rPr>
              <w:t>，</w:t>
            </w:r>
            <w:r>
              <w:rPr>
                <w:rFonts w:hint="eastAsia" w:ascii="宋体" w:hAnsi="宋体" w:cs="宋体"/>
                <w:szCs w:val="21"/>
              </w:rPr>
              <w:t>有较强的管理能力和工作经验，熟悉ISO9001质量体系运作；</w:t>
            </w:r>
          </w:p>
          <w:p w14:paraId="10CBB9E6">
            <w:pPr>
              <w:numPr>
                <w:ilvl w:val="0"/>
                <w:numId w:val="9"/>
              </w:numPr>
              <w:spacing w:line="400" w:lineRule="exact"/>
              <w:rPr>
                <w:rFonts w:ascii="宋体" w:hAnsi="宋体" w:cs="宋体"/>
                <w:szCs w:val="21"/>
              </w:rPr>
            </w:pPr>
            <w:r>
              <w:rPr>
                <w:rFonts w:hint="eastAsia" w:ascii="宋体" w:hAnsi="宋体" w:cs="宋体"/>
                <w:szCs w:val="21"/>
              </w:rPr>
              <w:t>部门主管：大专及以上学历为主，具有从业资格证书或岗位证书，从事相关岗位2年以上工作经验。</w:t>
            </w:r>
          </w:p>
          <w:p w14:paraId="70692F0F">
            <w:pPr>
              <w:numPr>
                <w:ilvl w:val="0"/>
                <w:numId w:val="9"/>
              </w:numPr>
              <w:spacing w:line="400" w:lineRule="exact"/>
              <w:rPr>
                <w:rFonts w:ascii="宋体" w:hAnsi="宋体" w:cs="宋体"/>
                <w:szCs w:val="21"/>
              </w:rPr>
            </w:pPr>
            <w:r>
              <w:rPr>
                <w:rFonts w:hint="eastAsia" w:ascii="宋体" w:hAnsi="宋体" w:cs="宋体"/>
                <w:szCs w:val="21"/>
              </w:rPr>
              <w:t>行政文员：</w:t>
            </w:r>
            <w:r>
              <w:rPr>
                <w:rFonts w:hint="eastAsia" w:ascii="宋体" w:hAnsi="宋体" w:cs="宋体"/>
                <w:szCs w:val="21"/>
                <w:lang w:val="zh-CN"/>
              </w:rPr>
              <w:t>大专及以上学历，</w:t>
            </w:r>
            <w:r>
              <w:rPr>
                <w:rFonts w:hint="eastAsia" w:ascii="宋体" w:hAnsi="宋体" w:cs="宋体"/>
                <w:szCs w:val="21"/>
              </w:rPr>
              <w:t>熟悉ISO9001质量体系运作，能熟练运用计算机及日常办公软件。</w:t>
            </w:r>
          </w:p>
          <w:p w14:paraId="7F13038A">
            <w:pPr>
              <w:pStyle w:val="18"/>
              <w:numPr>
                <w:ilvl w:val="0"/>
                <w:numId w:val="9"/>
              </w:numPr>
              <w:spacing w:line="400" w:lineRule="exact"/>
              <w:rPr>
                <w:rFonts w:ascii="宋体" w:hAnsi="宋体" w:cs="宋体"/>
                <w:sz w:val="21"/>
                <w:szCs w:val="21"/>
              </w:rPr>
            </w:pPr>
            <w:r>
              <w:rPr>
                <w:rFonts w:hint="eastAsia" w:hAnsi="宋体" w:eastAsiaTheme="minorEastAsia"/>
                <w:kern w:val="0"/>
                <w:szCs w:val="21"/>
              </w:rPr>
              <w:t>★</w:t>
            </w:r>
            <w:r>
              <w:rPr>
                <w:rFonts w:hint="eastAsia" w:ascii="宋体" w:hAnsi="宋体" w:cs="宋体"/>
                <w:kern w:val="0"/>
                <w:sz w:val="21"/>
                <w:szCs w:val="21"/>
              </w:rPr>
              <w:t>专业接送人员必须经过专业正规培训，并取得</w:t>
            </w:r>
            <w:r>
              <w:rPr>
                <w:rFonts w:hint="eastAsia" w:ascii="宋体" w:hAnsi="宋体" w:cs="宋体"/>
                <w:kern w:val="0"/>
                <w:sz w:val="21"/>
                <w:szCs w:val="21"/>
                <w:lang w:val="en-US" w:eastAsia="zh-CN"/>
              </w:rPr>
              <w:t>电瓶车</w:t>
            </w:r>
            <w:r>
              <w:rPr>
                <w:rFonts w:hint="eastAsia" w:ascii="宋体" w:hAnsi="宋体" w:cs="宋体"/>
                <w:kern w:val="0"/>
                <w:sz w:val="21"/>
                <w:szCs w:val="21"/>
              </w:rPr>
              <w:t>相应《特种设备作业人员证》</w:t>
            </w:r>
          </w:p>
        </w:tc>
      </w:tr>
      <w:tr w14:paraId="167951B5">
        <w:tblPrEx>
          <w:tblCellMar>
            <w:top w:w="0" w:type="dxa"/>
            <w:left w:w="0" w:type="dxa"/>
            <w:bottom w:w="0" w:type="dxa"/>
            <w:right w:w="0" w:type="dxa"/>
          </w:tblCellMar>
        </w:tblPrEx>
        <w:trPr>
          <w:trHeight w:val="20" w:hRule="atLeast"/>
        </w:trPr>
        <w:tc>
          <w:tcPr>
            <w:tcW w:w="298" w:type="pct"/>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58E23690">
            <w:pPr>
              <w:spacing w:line="400" w:lineRule="exact"/>
              <w:rPr>
                <w:rFonts w:ascii="宋体" w:hAnsi="宋体" w:cs="宋体"/>
                <w:szCs w:val="21"/>
              </w:rPr>
            </w:pPr>
            <w:r>
              <w:rPr>
                <w:rFonts w:hint="eastAsia" w:ascii="宋体" w:hAnsi="宋体" w:cs="宋体"/>
                <w:szCs w:val="21"/>
              </w:rPr>
              <w:t>2</w:t>
            </w:r>
          </w:p>
        </w:tc>
        <w:tc>
          <w:tcPr>
            <w:tcW w:w="1015" w:type="pct"/>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0070A1CF">
            <w:pPr>
              <w:spacing w:line="400" w:lineRule="exact"/>
              <w:rPr>
                <w:rFonts w:ascii="宋体" w:hAnsi="宋体" w:cs="宋体"/>
                <w:szCs w:val="21"/>
              </w:rPr>
            </w:pPr>
            <w:r>
              <w:rPr>
                <w:rFonts w:hint="eastAsia" w:ascii="宋体" w:hAnsi="宋体" w:cs="宋体"/>
                <w:szCs w:val="21"/>
              </w:rPr>
              <w:t>工程部</w:t>
            </w:r>
          </w:p>
        </w:tc>
        <w:tc>
          <w:tcPr>
            <w:tcW w:w="652" w:type="pct"/>
            <w:tcBorders>
              <w:top w:val="single" w:color="auto" w:sz="4" w:space="0"/>
              <w:left w:val="single" w:color="000000" w:sz="4" w:space="0"/>
              <w:bottom w:val="single" w:color="auto" w:sz="4" w:space="0"/>
              <w:right w:val="single" w:color="auto" w:sz="4" w:space="0"/>
            </w:tcBorders>
            <w:tcMar>
              <w:top w:w="15" w:type="dxa"/>
              <w:left w:w="15" w:type="dxa"/>
              <w:right w:w="15" w:type="dxa"/>
            </w:tcMar>
            <w:vAlign w:val="center"/>
          </w:tcPr>
          <w:p w14:paraId="6DB8DEE5">
            <w:pPr>
              <w:spacing w:line="400" w:lineRule="exact"/>
              <w:jc w:val="center"/>
              <w:rPr>
                <w:rFonts w:ascii="宋体" w:hAnsi="宋体" w:cs="宋体"/>
                <w:szCs w:val="21"/>
              </w:rPr>
            </w:pPr>
            <w:r>
              <w:rPr>
                <w:rFonts w:hint="eastAsia" w:ascii="宋体" w:hAnsi="宋体" w:cs="宋体"/>
                <w:szCs w:val="21"/>
              </w:rPr>
              <w:t>42</w:t>
            </w:r>
          </w:p>
        </w:tc>
        <w:tc>
          <w:tcPr>
            <w:tcW w:w="3035" w:type="pct"/>
            <w:tcBorders>
              <w:top w:val="single" w:color="auto" w:sz="4" w:space="0"/>
              <w:left w:val="single" w:color="auto" w:sz="4" w:space="0"/>
              <w:bottom w:val="single" w:color="auto" w:sz="4" w:space="0"/>
              <w:right w:val="single" w:color="000000" w:sz="4" w:space="0"/>
            </w:tcBorders>
            <w:tcMar>
              <w:top w:w="15" w:type="dxa"/>
              <w:left w:w="15" w:type="dxa"/>
              <w:right w:w="15" w:type="dxa"/>
            </w:tcMar>
            <w:vAlign w:val="center"/>
          </w:tcPr>
          <w:p w14:paraId="27E5CEA8">
            <w:pPr>
              <w:spacing w:line="400" w:lineRule="exact"/>
              <w:rPr>
                <w:rFonts w:ascii="宋体" w:hAnsi="宋体" w:cs="宋体"/>
                <w:szCs w:val="21"/>
                <w:highlight w:val="none"/>
              </w:rPr>
            </w:pPr>
            <w:r>
              <w:rPr>
                <w:rFonts w:hint="eastAsia" w:ascii="宋体" w:hAnsi="宋体" w:cs="宋体"/>
                <w:szCs w:val="21"/>
                <w:highlight w:val="none"/>
              </w:rPr>
              <w:t>A、</w:t>
            </w:r>
            <w:r>
              <w:rPr>
                <w:rFonts w:hint="eastAsia" w:ascii="宋体" w:hAnsi="宋体" w:cs="宋体"/>
                <w:szCs w:val="21"/>
                <w:highlight w:val="none"/>
                <w:lang w:val="zh-CN"/>
              </w:rPr>
              <w:t>高中或中专以上学历，</w:t>
            </w:r>
            <w:r>
              <w:rPr>
                <w:rFonts w:hint="eastAsia" w:ascii="宋体" w:hAnsi="宋体" w:cs="宋体"/>
                <w:szCs w:val="21"/>
                <w:highlight w:val="none"/>
              </w:rPr>
              <w:t>具有行业主管部门颁发的专业上岗证书和相关等级资格证书。对房屋、公共设施及机电设备、智能化系统、消防监控系统、音响广播系统等设备有一定的维护、维修经验和能力。</w:t>
            </w:r>
          </w:p>
          <w:p w14:paraId="49B99663">
            <w:pPr>
              <w:spacing w:line="400" w:lineRule="exact"/>
              <w:rPr>
                <w:rFonts w:hint="eastAsia" w:ascii="宋体" w:hAnsi="宋体" w:cs="宋体"/>
                <w:szCs w:val="21"/>
                <w:highlight w:val="none"/>
              </w:rPr>
            </w:pPr>
            <w:r>
              <w:rPr>
                <w:rFonts w:hint="eastAsia" w:ascii="宋体" w:hAnsi="宋体" w:cs="宋体"/>
                <w:szCs w:val="21"/>
                <w:highlight w:val="none"/>
              </w:rPr>
              <w:t>B、含电气工程师1人；中央空调工1人，有电工操作证、空调制冷操作证书；分体空调工2人，有制冷操作证、高空作业证书等资质；电工23人，持电工操作证书；运行工12人；水泥工1人；木工1人；供排水1人。</w:t>
            </w:r>
          </w:p>
          <w:p w14:paraId="6C4FBE5E">
            <w:pPr>
              <w:pStyle w:val="59"/>
              <w:rPr>
                <w:highlight w:val="none"/>
              </w:rPr>
            </w:pPr>
            <w:r>
              <w:rPr>
                <w:rFonts w:hint="eastAsia" w:hAnsi="宋体" w:eastAsiaTheme="minorEastAsia"/>
                <w:color w:val="FF0000"/>
                <w:kern w:val="0"/>
                <w:szCs w:val="21"/>
                <w:highlight w:val="none"/>
              </w:rPr>
              <w:t>★</w:t>
            </w:r>
            <w:r>
              <w:rPr>
                <w:rFonts w:hint="eastAsia"/>
                <w:b/>
                <w:bCs/>
                <w:color w:val="FF0000"/>
                <w:highlight w:val="none"/>
              </w:rPr>
              <w:t>工程主管及工程师共3人【须与评分细则中“工程主管”、“工程师”为相同人员】要求均具有应急管理部门颁发的特种作业操作证【作业类别：电工作业，操作项目：低压（或高压）电工作业】，证书扫描件在投标文件中提供。</w:t>
            </w:r>
          </w:p>
        </w:tc>
      </w:tr>
      <w:tr w14:paraId="1ED8D3F1">
        <w:tblPrEx>
          <w:tblCellMar>
            <w:top w:w="0" w:type="dxa"/>
            <w:left w:w="0" w:type="dxa"/>
            <w:bottom w:w="0" w:type="dxa"/>
            <w:right w:w="0" w:type="dxa"/>
          </w:tblCellMar>
        </w:tblPrEx>
        <w:trPr>
          <w:trHeight w:val="20" w:hRule="atLeast"/>
        </w:trPr>
        <w:tc>
          <w:tcPr>
            <w:tcW w:w="29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9ACF27">
            <w:pPr>
              <w:spacing w:line="400" w:lineRule="exact"/>
              <w:rPr>
                <w:rFonts w:ascii="宋体" w:hAnsi="宋体" w:cs="宋体"/>
                <w:szCs w:val="21"/>
              </w:rPr>
            </w:pPr>
            <w:r>
              <w:rPr>
                <w:rFonts w:hint="eastAsia" w:ascii="宋体" w:hAnsi="宋体" w:cs="宋体"/>
                <w:szCs w:val="21"/>
              </w:rPr>
              <w:t>3</w:t>
            </w:r>
          </w:p>
        </w:tc>
        <w:tc>
          <w:tcPr>
            <w:tcW w:w="101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A635F9">
            <w:pPr>
              <w:spacing w:line="400" w:lineRule="exact"/>
              <w:rPr>
                <w:rFonts w:ascii="宋体" w:hAnsi="宋体" w:cs="宋体"/>
                <w:szCs w:val="21"/>
              </w:rPr>
            </w:pPr>
            <w:r>
              <w:rPr>
                <w:rFonts w:hint="eastAsia" w:ascii="宋体" w:hAnsi="宋体" w:cs="宋体"/>
                <w:szCs w:val="21"/>
              </w:rPr>
              <w:t>安保（秩序维护）部</w:t>
            </w:r>
          </w:p>
        </w:tc>
        <w:tc>
          <w:tcPr>
            <w:tcW w:w="652" w:type="pc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6B0FB244">
            <w:pPr>
              <w:spacing w:line="400" w:lineRule="exact"/>
              <w:jc w:val="center"/>
              <w:rPr>
                <w:rFonts w:ascii="宋体" w:hAnsi="宋体" w:cs="宋体"/>
                <w:szCs w:val="21"/>
              </w:rPr>
            </w:pPr>
            <w:r>
              <w:rPr>
                <w:rFonts w:hint="eastAsia" w:ascii="宋体" w:hAnsi="宋体" w:cs="宋体"/>
                <w:szCs w:val="21"/>
              </w:rPr>
              <w:t>95</w:t>
            </w:r>
          </w:p>
        </w:tc>
        <w:tc>
          <w:tcPr>
            <w:tcW w:w="3035"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191B867">
            <w:pPr>
              <w:spacing w:line="400" w:lineRule="exact"/>
              <w:rPr>
                <w:rFonts w:ascii="宋体" w:hAnsi="宋体" w:cs="宋体"/>
                <w:szCs w:val="21"/>
                <w:highlight w:val="none"/>
              </w:rPr>
            </w:pPr>
            <w:r>
              <w:rPr>
                <w:rFonts w:hint="eastAsia" w:ascii="宋体" w:hAnsi="宋体" w:cs="宋体"/>
                <w:szCs w:val="21"/>
                <w:highlight w:val="none"/>
              </w:rPr>
              <w:t>A、</w:t>
            </w:r>
            <w:r>
              <w:rPr>
                <w:rFonts w:hint="eastAsia" w:hAnsi="宋体" w:eastAsiaTheme="minorEastAsia"/>
                <w:kern w:val="0"/>
                <w:szCs w:val="21"/>
                <w:highlight w:val="none"/>
              </w:rPr>
              <w:t>★</w:t>
            </w:r>
            <w:r>
              <w:rPr>
                <w:rFonts w:hint="eastAsia" w:ascii="宋体" w:hAnsi="宋体" w:cs="宋体"/>
                <w:szCs w:val="21"/>
                <w:highlight w:val="none"/>
              </w:rPr>
              <w:t>安保（秩序维护）人员必须取得公安部门颁发的保安员证，身体健康，退伍兵及参加过相关军事培训的比例不低于安保（秩序维护）人员总数的15%，女性安保（秩序维护）人员不低于安保（秩序维护）人员总数的15%。</w:t>
            </w:r>
            <w:r>
              <w:rPr>
                <w:rFonts w:hint="eastAsia" w:ascii="宋体" w:hAnsi="宋体" w:cs="宋体"/>
                <w:szCs w:val="21"/>
                <w:highlight w:val="none"/>
                <w:lang w:val="zh-CN"/>
              </w:rPr>
              <w:t>男：</w:t>
            </w:r>
            <w:r>
              <w:rPr>
                <w:rFonts w:hint="eastAsia" w:ascii="宋体" w:hAnsi="宋体" w:cs="宋体"/>
                <w:szCs w:val="21"/>
                <w:highlight w:val="none"/>
              </w:rPr>
              <w:t>身高1.65以上，女：1.58以上。</w:t>
            </w:r>
          </w:p>
          <w:p w14:paraId="2D486634">
            <w:pPr>
              <w:spacing w:line="400" w:lineRule="exact"/>
              <w:rPr>
                <w:rFonts w:hint="eastAsia" w:ascii="宋体" w:hAnsi="宋体" w:cs="宋体"/>
                <w:szCs w:val="21"/>
                <w:highlight w:val="none"/>
              </w:rPr>
            </w:pPr>
            <w:r>
              <w:rPr>
                <w:rFonts w:hint="eastAsia" w:ascii="宋体" w:hAnsi="宋体" w:cs="宋体"/>
                <w:szCs w:val="21"/>
                <w:highlight w:val="none"/>
              </w:rPr>
              <w:t>B、消防监控室值班人员具有消防安全相关上岗证。</w:t>
            </w:r>
          </w:p>
          <w:p w14:paraId="3B4D9619">
            <w:pPr>
              <w:pStyle w:val="59"/>
              <w:rPr>
                <w:highlight w:val="none"/>
              </w:rPr>
            </w:pPr>
            <w:r>
              <w:rPr>
                <w:rFonts w:hint="eastAsia" w:hAnsi="宋体" w:eastAsiaTheme="minorEastAsia"/>
                <w:color w:val="FF0000"/>
                <w:kern w:val="0"/>
                <w:szCs w:val="21"/>
                <w:highlight w:val="none"/>
              </w:rPr>
              <w:t>★</w:t>
            </w:r>
            <w:r>
              <w:rPr>
                <w:rFonts w:hint="eastAsia"/>
                <w:b/>
                <w:bCs/>
                <w:color w:val="FF0000"/>
                <w:highlight w:val="none"/>
              </w:rPr>
              <w:t>秩序主管1人【须与评分细则中“秩序主管”为相同人员】具有人社部门或应急部门颁发的应急救援员职业资格证，证书扫描件在投标文件中提供。</w:t>
            </w:r>
          </w:p>
        </w:tc>
      </w:tr>
      <w:tr w14:paraId="5DA28491">
        <w:tblPrEx>
          <w:tblCellMar>
            <w:top w:w="0" w:type="dxa"/>
            <w:left w:w="0" w:type="dxa"/>
            <w:bottom w:w="0" w:type="dxa"/>
            <w:right w:w="0" w:type="dxa"/>
          </w:tblCellMar>
        </w:tblPrEx>
        <w:trPr>
          <w:trHeight w:val="20" w:hRule="atLeast"/>
        </w:trPr>
        <w:tc>
          <w:tcPr>
            <w:tcW w:w="29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DA1BDA">
            <w:pPr>
              <w:spacing w:line="400" w:lineRule="exact"/>
              <w:rPr>
                <w:rFonts w:ascii="宋体" w:hAnsi="宋体" w:cs="宋体"/>
                <w:szCs w:val="21"/>
              </w:rPr>
            </w:pPr>
            <w:r>
              <w:rPr>
                <w:rFonts w:hint="eastAsia" w:ascii="宋体" w:hAnsi="宋体" w:cs="宋体"/>
                <w:szCs w:val="21"/>
              </w:rPr>
              <w:t>4</w:t>
            </w:r>
          </w:p>
        </w:tc>
        <w:tc>
          <w:tcPr>
            <w:tcW w:w="101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E4A56F">
            <w:pPr>
              <w:spacing w:line="400" w:lineRule="exact"/>
              <w:rPr>
                <w:rFonts w:ascii="宋体" w:hAnsi="宋体" w:cs="宋体"/>
                <w:szCs w:val="21"/>
              </w:rPr>
            </w:pPr>
            <w:r>
              <w:rPr>
                <w:rFonts w:hint="eastAsia" w:ascii="宋体" w:hAnsi="宋体" w:cs="宋体"/>
                <w:szCs w:val="21"/>
              </w:rPr>
              <w:t>保洁部</w:t>
            </w:r>
          </w:p>
        </w:tc>
        <w:tc>
          <w:tcPr>
            <w:tcW w:w="652" w:type="pc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6BC06B9">
            <w:pPr>
              <w:spacing w:line="400" w:lineRule="exact"/>
              <w:jc w:val="center"/>
              <w:rPr>
                <w:rFonts w:ascii="宋体" w:hAnsi="宋体" w:cs="宋体"/>
                <w:szCs w:val="21"/>
              </w:rPr>
            </w:pPr>
            <w:r>
              <w:rPr>
                <w:rFonts w:hint="eastAsia" w:ascii="宋体" w:hAnsi="宋体" w:cs="宋体"/>
                <w:szCs w:val="21"/>
              </w:rPr>
              <w:t>96</w:t>
            </w:r>
          </w:p>
        </w:tc>
        <w:tc>
          <w:tcPr>
            <w:tcW w:w="3035"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6ABBD63">
            <w:pPr>
              <w:spacing w:line="400" w:lineRule="exact"/>
              <w:rPr>
                <w:rFonts w:ascii="宋体" w:hAnsi="宋体" w:cs="宋体"/>
                <w:szCs w:val="21"/>
              </w:rPr>
            </w:pPr>
            <w:r>
              <w:rPr>
                <w:rFonts w:hint="eastAsia" w:ascii="宋体" w:hAnsi="宋体" w:cs="宋体"/>
                <w:szCs w:val="21"/>
              </w:rPr>
              <w:t>身体健康。消杀作业人员须获取政府相关部门颁发的作业证件；</w:t>
            </w:r>
          </w:p>
        </w:tc>
      </w:tr>
      <w:tr w14:paraId="49D4C129">
        <w:tblPrEx>
          <w:tblCellMar>
            <w:top w:w="0" w:type="dxa"/>
            <w:left w:w="0" w:type="dxa"/>
            <w:bottom w:w="0" w:type="dxa"/>
            <w:right w:w="0" w:type="dxa"/>
          </w:tblCellMar>
        </w:tblPrEx>
        <w:trPr>
          <w:trHeight w:val="20" w:hRule="atLeast"/>
        </w:trPr>
        <w:tc>
          <w:tcPr>
            <w:tcW w:w="29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8A2B71">
            <w:pPr>
              <w:spacing w:line="400" w:lineRule="exact"/>
              <w:rPr>
                <w:rFonts w:ascii="宋体" w:hAnsi="宋体" w:cs="宋体"/>
                <w:szCs w:val="21"/>
              </w:rPr>
            </w:pPr>
            <w:r>
              <w:rPr>
                <w:rFonts w:hint="eastAsia" w:ascii="宋体" w:hAnsi="宋体" w:cs="宋体"/>
                <w:szCs w:val="21"/>
              </w:rPr>
              <w:t>5</w:t>
            </w:r>
          </w:p>
        </w:tc>
        <w:tc>
          <w:tcPr>
            <w:tcW w:w="101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B7EC5A">
            <w:pPr>
              <w:spacing w:line="400" w:lineRule="exact"/>
              <w:rPr>
                <w:rFonts w:ascii="宋体" w:hAnsi="宋体" w:cs="宋体"/>
                <w:szCs w:val="21"/>
              </w:rPr>
            </w:pPr>
            <w:r>
              <w:rPr>
                <w:rFonts w:hint="eastAsia" w:ascii="宋体" w:hAnsi="宋体" w:cs="宋体"/>
                <w:szCs w:val="21"/>
              </w:rPr>
              <w:t>绿化部</w:t>
            </w:r>
          </w:p>
        </w:tc>
        <w:tc>
          <w:tcPr>
            <w:tcW w:w="652" w:type="pc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7A14DFD1">
            <w:pPr>
              <w:spacing w:line="400" w:lineRule="exact"/>
              <w:jc w:val="center"/>
              <w:rPr>
                <w:rFonts w:ascii="宋体" w:hAnsi="宋体" w:cs="宋体"/>
                <w:szCs w:val="21"/>
              </w:rPr>
            </w:pPr>
            <w:r>
              <w:rPr>
                <w:rFonts w:hint="eastAsia" w:ascii="宋体" w:hAnsi="宋体" w:cs="宋体"/>
                <w:szCs w:val="21"/>
              </w:rPr>
              <w:t>26</w:t>
            </w:r>
          </w:p>
        </w:tc>
        <w:tc>
          <w:tcPr>
            <w:tcW w:w="3035"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FEB34AC">
            <w:pPr>
              <w:spacing w:line="400" w:lineRule="exact"/>
              <w:rPr>
                <w:rFonts w:ascii="宋体" w:hAnsi="宋体" w:cs="宋体"/>
                <w:szCs w:val="21"/>
              </w:rPr>
            </w:pPr>
            <w:r>
              <w:rPr>
                <w:rFonts w:hint="eastAsia" w:ascii="宋体" w:hAnsi="宋体" w:cs="宋体"/>
                <w:szCs w:val="21"/>
              </w:rPr>
              <w:t>A：专业技术人员5名：园林工程师1名，本科及以上学历，园林相关专业，需持中级工程师及以上（园林相关专业）专业技术资格；绿化主管 1 名，需具备园林、园艺、植物、城市绿化专业职业资格证书，5 年以上绿化管理经验，有较强的管理能力和协调能力；绿化技术员 3名，需具备园林、园艺、植物、城市绿化相关专业职业资格证书或相关专业学历（其中1人熟悉盆景养护和造型、1人熟悉植物病虫害的防治、1人熟悉草坪养护）；</w:t>
            </w:r>
          </w:p>
          <w:p w14:paraId="4FD34A32">
            <w:pPr>
              <w:spacing w:line="400" w:lineRule="exact"/>
              <w:rPr>
                <w:rFonts w:ascii="宋体" w:hAnsi="宋体" w:cs="宋体"/>
                <w:szCs w:val="21"/>
              </w:rPr>
            </w:pPr>
            <w:r>
              <w:rPr>
                <w:rFonts w:hint="eastAsia" w:ascii="宋体" w:hAnsi="宋体" w:cs="宋体"/>
                <w:szCs w:val="21"/>
              </w:rPr>
              <w:t>B、一线岗位人员 21 名，身体健康，吃苦耐劳，服从管理，具备 3 年以上较丰富绿化管养经验。</w:t>
            </w:r>
          </w:p>
        </w:tc>
      </w:tr>
      <w:tr w14:paraId="7BD05422">
        <w:tblPrEx>
          <w:tblCellMar>
            <w:top w:w="0" w:type="dxa"/>
            <w:left w:w="0" w:type="dxa"/>
            <w:bottom w:w="0" w:type="dxa"/>
            <w:right w:w="0" w:type="dxa"/>
          </w:tblCellMar>
        </w:tblPrEx>
        <w:trPr>
          <w:trHeight w:val="20" w:hRule="atLeast"/>
        </w:trPr>
        <w:tc>
          <w:tcPr>
            <w:tcW w:w="29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C3F002">
            <w:pPr>
              <w:spacing w:line="400" w:lineRule="exact"/>
              <w:rPr>
                <w:rFonts w:ascii="宋体" w:hAnsi="宋体" w:cs="宋体"/>
                <w:szCs w:val="21"/>
              </w:rPr>
            </w:pPr>
            <w:r>
              <w:rPr>
                <w:rFonts w:hint="eastAsia" w:ascii="宋体" w:hAnsi="宋体" w:cs="宋体"/>
                <w:szCs w:val="21"/>
              </w:rPr>
              <w:t>6</w:t>
            </w:r>
          </w:p>
        </w:tc>
        <w:tc>
          <w:tcPr>
            <w:tcW w:w="101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80CF21">
            <w:pPr>
              <w:spacing w:line="400" w:lineRule="exact"/>
              <w:rPr>
                <w:rFonts w:ascii="宋体" w:hAnsi="宋体" w:cs="宋体"/>
                <w:szCs w:val="21"/>
              </w:rPr>
            </w:pPr>
            <w:r>
              <w:rPr>
                <w:rFonts w:hint="eastAsia" w:ascii="宋体" w:hAnsi="宋体" w:cs="宋体"/>
                <w:szCs w:val="21"/>
              </w:rPr>
              <w:t>公寓部</w:t>
            </w:r>
          </w:p>
        </w:tc>
        <w:tc>
          <w:tcPr>
            <w:tcW w:w="652" w:type="pc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6749FE52">
            <w:pPr>
              <w:spacing w:line="400" w:lineRule="exact"/>
              <w:jc w:val="center"/>
              <w:rPr>
                <w:rFonts w:ascii="宋体" w:hAnsi="宋体" w:cs="宋体"/>
                <w:szCs w:val="21"/>
              </w:rPr>
            </w:pPr>
            <w:r>
              <w:rPr>
                <w:rFonts w:hint="eastAsia" w:ascii="宋体" w:hAnsi="宋体" w:cs="宋体"/>
                <w:szCs w:val="21"/>
              </w:rPr>
              <w:t>5</w:t>
            </w:r>
          </w:p>
        </w:tc>
        <w:tc>
          <w:tcPr>
            <w:tcW w:w="3035"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A83936E">
            <w:pPr>
              <w:spacing w:line="400" w:lineRule="exact"/>
              <w:rPr>
                <w:rFonts w:ascii="宋体" w:hAnsi="宋体" w:cs="宋体"/>
                <w:szCs w:val="21"/>
              </w:rPr>
            </w:pPr>
            <w:r>
              <w:rPr>
                <w:rFonts w:hint="eastAsia" w:ascii="宋体" w:hAnsi="宋体" w:cs="宋体"/>
                <w:szCs w:val="21"/>
              </w:rPr>
              <w:t>男60</w:t>
            </w:r>
            <w:r>
              <w:rPr>
                <w:rFonts w:hint="eastAsia" w:ascii="宋体" w:hAnsi="宋体" w:cs="宋体"/>
                <w:szCs w:val="21"/>
                <w:lang w:val="zh-CN"/>
              </w:rPr>
              <w:t>岁以下，女</w:t>
            </w:r>
            <w:r>
              <w:rPr>
                <w:rFonts w:hint="eastAsia" w:ascii="宋体" w:hAnsi="宋体" w:cs="宋体"/>
                <w:szCs w:val="21"/>
              </w:rPr>
              <w:t>50岁以下，身体健康。</w:t>
            </w:r>
            <w:r>
              <w:rPr>
                <w:rFonts w:hint="eastAsia" w:ascii="宋体" w:hAnsi="宋体" w:eastAsia="宋体"/>
                <w:color w:val="FF0000"/>
                <w:highlight w:val="yellow"/>
              </w:rPr>
              <w:t>公寓部主管要求具备心理咨询或心理辅导相关职业技能</w:t>
            </w:r>
            <w:r>
              <w:rPr>
                <w:rFonts w:hint="eastAsia" w:ascii="宋体" w:hAnsi="宋体" w:eastAsia="宋体"/>
                <w:color w:val="FF0000"/>
                <w:highlight w:val="yellow"/>
                <w:lang w:eastAsia="zh-CN"/>
              </w:rPr>
              <w:t>，</w:t>
            </w:r>
            <w:r>
              <w:rPr>
                <w:rFonts w:hint="eastAsia" w:ascii="宋体" w:hAnsi="宋体" w:cs="宋体"/>
                <w:szCs w:val="21"/>
              </w:rPr>
              <w:t>工作人员需有星级酒店相关工作经验或培训经验，踏实肯干、和蔼可亲、礼貌待人。</w:t>
            </w:r>
          </w:p>
        </w:tc>
      </w:tr>
      <w:tr w14:paraId="4729E2D6">
        <w:tblPrEx>
          <w:tblCellMar>
            <w:top w:w="0" w:type="dxa"/>
            <w:left w:w="0" w:type="dxa"/>
            <w:bottom w:w="0" w:type="dxa"/>
            <w:right w:w="0" w:type="dxa"/>
          </w:tblCellMar>
        </w:tblPrEx>
        <w:trPr>
          <w:trHeight w:val="20" w:hRule="atLeast"/>
        </w:trPr>
        <w:tc>
          <w:tcPr>
            <w:tcW w:w="1313" w:type="pct"/>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021315">
            <w:pPr>
              <w:spacing w:line="400" w:lineRule="exact"/>
              <w:rPr>
                <w:rFonts w:ascii="宋体" w:hAnsi="宋体" w:cs="宋体"/>
                <w:szCs w:val="21"/>
              </w:rPr>
            </w:pPr>
            <w:r>
              <w:rPr>
                <w:rFonts w:hint="eastAsia" w:ascii="宋体" w:hAnsi="宋体" w:cs="宋体"/>
                <w:szCs w:val="21"/>
              </w:rPr>
              <w:t>合计</w:t>
            </w:r>
          </w:p>
        </w:tc>
        <w:tc>
          <w:tcPr>
            <w:tcW w:w="3687" w:type="pct"/>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8AEF75">
            <w:pPr>
              <w:spacing w:line="400" w:lineRule="exact"/>
              <w:jc w:val="center"/>
              <w:rPr>
                <w:rFonts w:ascii="宋体" w:hAnsi="宋体" w:cs="宋体"/>
                <w:szCs w:val="21"/>
              </w:rPr>
            </w:pPr>
            <w:r>
              <w:rPr>
                <w:rFonts w:hint="eastAsia" w:ascii="宋体" w:hAnsi="宋体" w:cs="宋体"/>
                <w:szCs w:val="21"/>
              </w:rPr>
              <w:t>294人</w:t>
            </w:r>
          </w:p>
        </w:tc>
      </w:tr>
    </w:tbl>
    <w:p w14:paraId="34A4E320">
      <w:pPr>
        <w:pStyle w:val="18"/>
        <w:jc w:val="left"/>
        <w:rPr>
          <w:rFonts w:hint="eastAsia" w:ascii="宋体" w:hAnsi="宋体" w:cs="宋体"/>
          <w:sz w:val="21"/>
          <w:szCs w:val="21"/>
          <w:lang w:eastAsia="zh-CN"/>
        </w:rPr>
      </w:pPr>
    </w:p>
    <w:p w14:paraId="471C6DEC">
      <w:pPr>
        <w:pStyle w:val="18"/>
        <w:numPr>
          <w:ilvl w:val="0"/>
          <w:numId w:val="10"/>
        </w:numPr>
        <w:jc w:val="left"/>
        <w:rPr>
          <w:rFonts w:hint="eastAsia" w:ascii="宋体" w:hAnsi="宋体" w:cs="宋体"/>
          <w:sz w:val="21"/>
          <w:szCs w:val="21"/>
          <w:lang w:eastAsia="zh-CN"/>
        </w:rPr>
      </w:pPr>
      <w:r>
        <w:rPr>
          <w:rFonts w:hint="eastAsia" w:ascii="宋体" w:hAnsi="宋体" w:cs="宋体"/>
          <w:sz w:val="21"/>
          <w:szCs w:val="21"/>
          <w:lang w:eastAsia="zh-CN"/>
        </w:rPr>
        <w:t>人员岗位职责</w:t>
      </w:r>
    </w:p>
    <w:tbl>
      <w:tblPr>
        <w:tblStyle w:val="42"/>
        <w:tblW w:w="5000" w:type="pct"/>
        <w:tblInd w:w="0" w:type="dxa"/>
        <w:tblLayout w:type="fixed"/>
        <w:tblCellMar>
          <w:top w:w="0" w:type="dxa"/>
          <w:left w:w="0" w:type="dxa"/>
          <w:bottom w:w="0" w:type="dxa"/>
          <w:right w:w="0" w:type="dxa"/>
        </w:tblCellMar>
      </w:tblPr>
      <w:tblGrid>
        <w:gridCol w:w="746"/>
        <w:gridCol w:w="1300"/>
        <w:gridCol w:w="6267"/>
      </w:tblGrid>
      <w:tr w14:paraId="78B0B1DF">
        <w:tblPrEx>
          <w:tblCellMar>
            <w:top w:w="0" w:type="dxa"/>
            <w:left w:w="0" w:type="dxa"/>
            <w:bottom w:w="0" w:type="dxa"/>
            <w:right w:w="0" w:type="dxa"/>
          </w:tblCellMar>
        </w:tblPrEx>
        <w:trPr>
          <w:trHeight w:val="20" w:hRule="atLeast"/>
        </w:trPr>
        <w:tc>
          <w:tcPr>
            <w:tcW w:w="449"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F3B048">
            <w:pPr>
              <w:spacing w:line="400" w:lineRule="exact"/>
              <w:jc w:val="center"/>
              <w:rPr>
                <w:rFonts w:ascii="宋体" w:hAnsi="宋体" w:eastAsia="宋体" w:cs="宋体"/>
                <w:b/>
                <w:szCs w:val="21"/>
                <w:highlight w:val="yellow"/>
              </w:rPr>
            </w:pPr>
            <w:r>
              <w:rPr>
                <w:rFonts w:hint="eastAsia" w:ascii="宋体" w:hAnsi="宋体" w:eastAsia="宋体" w:cs="宋体"/>
                <w:b/>
                <w:szCs w:val="21"/>
                <w:highlight w:val="yellow"/>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2FD7D6">
            <w:pPr>
              <w:spacing w:line="400" w:lineRule="exact"/>
              <w:jc w:val="center"/>
              <w:rPr>
                <w:rFonts w:ascii="宋体" w:hAnsi="宋体" w:eastAsia="宋体" w:cs="宋体"/>
                <w:b/>
                <w:szCs w:val="21"/>
                <w:highlight w:val="yellow"/>
              </w:rPr>
            </w:pPr>
            <w:r>
              <w:rPr>
                <w:rFonts w:hint="eastAsia" w:ascii="宋体" w:hAnsi="宋体" w:eastAsia="宋体" w:cs="宋体"/>
                <w:b/>
                <w:szCs w:val="21"/>
                <w:highlight w:val="yellow"/>
              </w:rPr>
              <w:t>部门</w:t>
            </w:r>
          </w:p>
        </w:tc>
        <w:tc>
          <w:tcPr>
            <w:tcW w:w="3769" w:type="pct"/>
            <w:tcBorders>
              <w:top w:val="single" w:color="000000"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14:paraId="2ACFB1B5">
            <w:pPr>
              <w:spacing w:line="400" w:lineRule="exact"/>
              <w:jc w:val="center"/>
              <w:rPr>
                <w:rFonts w:ascii="宋体" w:hAnsi="宋体" w:eastAsia="宋体" w:cs="宋体"/>
                <w:b/>
                <w:szCs w:val="21"/>
                <w:highlight w:val="yellow"/>
              </w:rPr>
            </w:pPr>
            <w:r>
              <w:rPr>
                <w:rFonts w:hint="eastAsia" w:ascii="宋体" w:hAnsi="宋体" w:eastAsia="宋体" w:cs="宋体"/>
                <w:b/>
                <w:szCs w:val="21"/>
                <w:highlight w:val="yellow"/>
              </w:rPr>
              <w:t>岗位职责</w:t>
            </w:r>
          </w:p>
        </w:tc>
      </w:tr>
      <w:tr w14:paraId="7D1B3F27">
        <w:tblPrEx>
          <w:tblCellMar>
            <w:top w:w="0" w:type="dxa"/>
            <w:left w:w="0" w:type="dxa"/>
            <w:bottom w:w="0" w:type="dxa"/>
            <w:right w:w="0" w:type="dxa"/>
          </w:tblCellMar>
        </w:tblPrEx>
        <w:trPr>
          <w:trHeight w:val="20" w:hRule="atLeast"/>
        </w:trPr>
        <w:tc>
          <w:tcPr>
            <w:tcW w:w="44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D6CDDE">
            <w:pPr>
              <w:spacing w:line="400" w:lineRule="exact"/>
              <w:rPr>
                <w:rFonts w:ascii="宋体" w:hAnsi="宋体" w:eastAsia="宋体" w:cs="宋体"/>
                <w:szCs w:val="21"/>
                <w:highlight w:val="yellow"/>
              </w:rPr>
            </w:pPr>
            <w:r>
              <w:rPr>
                <w:rFonts w:hint="eastAsia" w:ascii="宋体" w:hAnsi="宋体" w:eastAsia="宋体" w:cs="宋体"/>
                <w:szCs w:val="21"/>
                <w:highlight w:val="yellow"/>
              </w:rPr>
              <w:t>1</w:t>
            </w:r>
          </w:p>
        </w:tc>
        <w:tc>
          <w:tcPr>
            <w:tcW w:w="7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17830F">
            <w:pPr>
              <w:spacing w:line="400" w:lineRule="exact"/>
              <w:rPr>
                <w:rFonts w:ascii="宋体" w:hAnsi="宋体" w:eastAsia="宋体" w:cs="宋体"/>
                <w:szCs w:val="21"/>
                <w:highlight w:val="yellow"/>
              </w:rPr>
            </w:pPr>
            <w:r>
              <w:rPr>
                <w:rFonts w:hint="eastAsia" w:ascii="宋体" w:hAnsi="宋体" w:eastAsia="宋体" w:cs="宋体"/>
                <w:kern w:val="0"/>
                <w:szCs w:val="21"/>
                <w:highlight w:val="yellow"/>
              </w:rPr>
              <w:t>物业服务中心（含管理服务中心人员，客服、会议服务，学生接送服务人员）</w:t>
            </w:r>
          </w:p>
        </w:tc>
        <w:tc>
          <w:tcPr>
            <w:tcW w:w="3769"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1FD0840F">
            <w:pPr>
              <w:spacing w:line="400" w:lineRule="exact"/>
              <w:rPr>
                <w:rFonts w:ascii="宋体" w:hAnsi="宋体" w:eastAsia="宋体"/>
                <w:highlight w:val="yellow"/>
              </w:rPr>
            </w:pPr>
            <w:r>
              <w:rPr>
                <w:rFonts w:hint="eastAsia" w:ascii="宋体" w:hAnsi="宋体" w:eastAsia="宋体" w:cs="宋体"/>
                <w:szCs w:val="21"/>
                <w:highlight w:val="yellow"/>
              </w:rPr>
              <w:t>1</w:t>
            </w:r>
            <w:r>
              <w:rPr>
                <w:rFonts w:ascii="宋体" w:hAnsi="宋体" w:eastAsia="宋体" w:cs="宋体"/>
                <w:szCs w:val="21"/>
                <w:highlight w:val="yellow"/>
              </w:rPr>
              <w:t>.</w:t>
            </w:r>
            <w:r>
              <w:rPr>
                <w:rFonts w:hint="eastAsia" w:ascii="宋体" w:hAnsi="宋体" w:eastAsia="宋体" w:cs="宋体"/>
                <w:szCs w:val="21"/>
                <w:highlight w:val="yellow"/>
              </w:rPr>
              <w:t>项目负责人（项目经理）：</w:t>
            </w:r>
            <w:r>
              <w:rPr>
                <w:rFonts w:hint="eastAsia" w:ascii="宋体" w:hAnsi="宋体" w:eastAsia="宋体"/>
                <w:highlight w:val="yellow"/>
              </w:rPr>
              <w:t>全面主持校园物业服务整体运营管理；具备项目管理经验及工程设施设备统筹管理能力，搭建项目管理制度体系，推动 ISO9001 质量管理体系落地运行，统筹团队建设、绩效考核、人员调配；审核各类运维方案、年度工作计划，把控服务标准，定期开展全域品质巡查。掌握安全保卫管理技能，主导校园全域安全统筹管理，建立安全防范管理机制。对接校方各管理部门，落实物业服务合同全部约定事项，组织各类专项迎检、突发事件统筹处置。</w:t>
            </w:r>
          </w:p>
          <w:p w14:paraId="17FDE3CD">
            <w:pPr>
              <w:spacing w:line="400" w:lineRule="exact"/>
              <w:rPr>
                <w:rFonts w:ascii="宋体" w:hAnsi="宋体" w:eastAsia="宋体" w:cs="宋体"/>
                <w:szCs w:val="21"/>
                <w:highlight w:val="yellow"/>
              </w:rPr>
            </w:pPr>
            <w:r>
              <w:rPr>
                <w:rFonts w:hint="eastAsia" w:ascii="宋体" w:hAnsi="宋体" w:eastAsia="宋体" w:cs="宋体"/>
                <w:szCs w:val="21"/>
                <w:highlight w:val="yellow"/>
              </w:rPr>
              <w:t>2</w:t>
            </w:r>
            <w:r>
              <w:rPr>
                <w:rFonts w:ascii="宋体" w:hAnsi="宋体" w:eastAsia="宋体" w:cs="宋体"/>
                <w:szCs w:val="21"/>
                <w:highlight w:val="yellow"/>
              </w:rPr>
              <w:t>.</w:t>
            </w:r>
            <w:r>
              <w:rPr>
                <w:rFonts w:hint="eastAsia" w:ascii="宋体" w:hAnsi="宋体" w:eastAsia="宋体" w:cs="宋体"/>
                <w:szCs w:val="21"/>
                <w:highlight w:val="yellow"/>
              </w:rPr>
              <w:t>项目助理：协助项目经理开展各项运营管理，资料汇总、现场巡查、内外沟通，承接项目经理交办专项工作。</w:t>
            </w:r>
          </w:p>
          <w:p w14:paraId="716BF7FB">
            <w:pPr>
              <w:spacing w:line="400" w:lineRule="exact"/>
              <w:rPr>
                <w:rFonts w:ascii="宋体" w:hAnsi="宋体" w:eastAsia="宋体" w:cs="宋体"/>
                <w:szCs w:val="21"/>
                <w:highlight w:val="yellow"/>
              </w:rPr>
            </w:pPr>
            <w:r>
              <w:rPr>
                <w:rFonts w:ascii="宋体" w:hAnsi="宋体" w:eastAsia="宋体" w:cs="宋体"/>
                <w:szCs w:val="21"/>
                <w:highlight w:val="yellow"/>
              </w:rPr>
              <w:t>3.</w:t>
            </w:r>
            <w:r>
              <w:rPr>
                <w:rFonts w:hint="eastAsia" w:ascii="宋体" w:hAnsi="宋体" w:eastAsia="宋体" w:cs="宋体"/>
                <w:szCs w:val="21"/>
                <w:highlight w:val="yellow"/>
              </w:rPr>
              <w:t>综合主管：在项目经理领导下，负责物业服务中心日常运营管理，统筹管理服务中心管理；负责项目人力资源日常管理，人员招聘、考勤、培训、岗位协调、劳动关系管理，落实用工风险防控；落实ISO9001体系台账、行政文书、资料档案、会议保障、客户投诉归口管理；协助项目经理或助理开展内部考核、流程优化，协调各部门之间工作衔接；规范学生接送服务、来访接待、会务保障标准化作业流程。</w:t>
            </w:r>
          </w:p>
          <w:p w14:paraId="553749AA">
            <w:pPr>
              <w:spacing w:line="400" w:lineRule="exact"/>
              <w:rPr>
                <w:rFonts w:ascii="宋体" w:hAnsi="宋体" w:eastAsia="宋体" w:cs="宋体"/>
                <w:szCs w:val="21"/>
                <w:highlight w:val="yellow"/>
              </w:rPr>
            </w:pPr>
            <w:r>
              <w:rPr>
                <w:rFonts w:hint="eastAsia" w:ascii="宋体" w:hAnsi="宋体" w:eastAsia="宋体" w:cs="宋体"/>
                <w:szCs w:val="21"/>
                <w:highlight w:val="yellow"/>
              </w:rPr>
              <w:t>4</w:t>
            </w:r>
            <w:r>
              <w:rPr>
                <w:rFonts w:ascii="宋体" w:hAnsi="宋体" w:eastAsia="宋体" w:cs="宋体"/>
                <w:szCs w:val="21"/>
                <w:highlight w:val="yellow"/>
              </w:rPr>
              <w:t>.</w:t>
            </w:r>
            <w:r>
              <w:rPr>
                <w:rFonts w:hint="eastAsia" w:ascii="宋体" w:hAnsi="宋体" w:eastAsia="宋体" w:cs="宋体"/>
                <w:szCs w:val="21"/>
                <w:highlight w:val="yellow"/>
              </w:rPr>
              <w:t>行政文员：负责人员考勤、文件起草、档案归档、各类台账整理，熟练操作办公软件，维护 ISO9001 体系资料。</w:t>
            </w:r>
          </w:p>
          <w:p w14:paraId="76650249">
            <w:pPr>
              <w:spacing w:line="400" w:lineRule="exact"/>
              <w:rPr>
                <w:rFonts w:ascii="宋体" w:hAnsi="宋体" w:eastAsia="宋体" w:cs="宋体"/>
                <w:szCs w:val="21"/>
                <w:highlight w:val="yellow"/>
              </w:rPr>
            </w:pPr>
            <w:r>
              <w:rPr>
                <w:rFonts w:hint="eastAsia" w:ascii="宋体" w:hAnsi="宋体" w:eastAsia="宋体" w:cs="宋体"/>
                <w:szCs w:val="21"/>
                <w:highlight w:val="yellow"/>
              </w:rPr>
              <w:t>5</w:t>
            </w:r>
            <w:r>
              <w:rPr>
                <w:rFonts w:ascii="宋体" w:hAnsi="宋体" w:eastAsia="宋体" w:cs="宋体"/>
                <w:szCs w:val="21"/>
                <w:highlight w:val="yellow"/>
              </w:rPr>
              <w:t>.</w:t>
            </w:r>
            <w:r>
              <w:rPr>
                <w:rFonts w:hint="eastAsia" w:ascii="宋体" w:hAnsi="宋体" w:eastAsia="宋体" w:cs="宋体"/>
                <w:szCs w:val="21"/>
                <w:highlight w:val="yellow"/>
              </w:rPr>
              <w:t>客服人员：接待师生诉求、投诉登记跟进、回访工作，信息上传下达。</w:t>
            </w:r>
          </w:p>
          <w:p w14:paraId="42D10660">
            <w:pPr>
              <w:spacing w:line="400" w:lineRule="exact"/>
              <w:rPr>
                <w:rFonts w:ascii="宋体" w:hAnsi="宋体" w:eastAsia="宋体" w:cs="宋体"/>
                <w:szCs w:val="21"/>
                <w:highlight w:val="yellow"/>
              </w:rPr>
            </w:pPr>
            <w:r>
              <w:rPr>
                <w:rFonts w:hint="eastAsia" w:ascii="宋体" w:hAnsi="宋体" w:eastAsia="宋体" w:cs="宋体"/>
                <w:szCs w:val="21"/>
                <w:highlight w:val="yellow"/>
              </w:rPr>
              <w:t>6</w:t>
            </w:r>
            <w:r>
              <w:rPr>
                <w:rFonts w:ascii="宋体" w:hAnsi="宋体" w:eastAsia="宋体" w:cs="宋体"/>
                <w:szCs w:val="21"/>
                <w:highlight w:val="yellow"/>
              </w:rPr>
              <w:t>.</w:t>
            </w:r>
            <w:r>
              <w:rPr>
                <w:rFonts w:hint="eastAsia" w:ascii="宋体" w:hAnsi="宋体" w:eastAsia="宋体" w:cs="宋体"/>
                <w:szCs w:val="21"/>
                <w:highlight w:val="yellow"/>
              </w:rPr>
              <w:t>会议服务人员：会议室布置、茶水保障、会议前后场地清理、会务物资管理。</w:t>
            </w:r>
          </w:p>
          <w:p w14:paraId="322430B6">
            <w:pPr>
              <w:spacing w:line="400" w:lineRule="exact"/>
              <w:rPr>
                <w:rFonts w:ascii="宋体" w:hAnsi="宋体" w:eastAsia="宋体" w:cs="宋体"/>
                <w:szCs w:val="21"/>
                <w:highlight w:val="yellow"/>
              </w:rPr>
            </w:pPr>
            <w:r>
              <w:rPr>
                <w:rFonts w:hint="eastAsia" w:ascii="宋体" w:hAnsi="宋体" w:eastAsia="宋体" w:cs="宋体"/>
                <w:szCs w:val="21"/>
                <w:highlight w:val="yellow"/>
              </w:rPr>
              <w:t>7</w:t>
            </w:r>
            <w:r>
              <w:rPr>
                <w:rFonts w:ascii="宋体" w:hAnsi="宋体" w:eastAsia="宋体" w:cs="宋体"/>
                <w:szCs w:val="21"/>
                <w:highlight w:val="yellow"/>
              </w:rPr>
              <w:t>.</w:t>
            </w:r>
            <w:r>
              <w:rPr>
                <w:rFonts w:hint="eastAsia" w:ascii="宋体" w:hAnsi="宋体" w:eastAsia="宋体" w:cs="宋体"/>
                <w:szCs w:val="21"/>
                <w:highlight w:val="yellow"/>
              </w:rPr>
              <w:t>学生接送人员：按照既定路线规范接送学生，落实乘车安全管理，做好乘车秩序维护。</w:t>
            </w:r>
          </w:p>
        </w:tc>
      </w:tr>
      <w:tr w14:paraId="203C23EF">
        <w:tblPrEx>
          <w:tblCellMar>
            <w:top w:w="0" w:type="dxa"/>
            <w:left w:w="0" w:type="dxa"/>
            <w:bottom w:w="0" w:type="dxa"/>
            <w:right w:w="0" w:type="dxa"/>
          </w:tblCellMar>
        </w:tblPrEx>
        <w:trPr>
          <w:trHeight w:val="20" w:hRule="atLeast"/>
        </w:trPr>
        <w:tc>
          <w:tcPr>
            <w:tcW w:w="449" w:type="pct"/>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25B03EAE">
            <w:pPr>
              <w:spacing w:line="400" w:lineRule="exact"/>
              <w:rPr>
                <w:rFonts w:ascii="宋体" w:hAnsi="宋体" w:eastAsia="宋体" w:cs="宋体"/>
                <w:szCs w:val="21"/>
                <w:highlight w:val="yellow"/>
              </w:rPr>
            </w:pPr>
            <w:r>
              <w:rPr>
                <w:rFonts w:hint="eastAsia" w:ascii="宋体" w:hAnsi="宋体" w:eastAsia="宋体" w:cs="宋体"/>
                <w:szCs w:val="21"/>
                <w:highlight w:val="yellow"/>
              </w:rPr>
              <w:t>2</w:t>
            </w:r>
          </w:p>
        </w:tc>
        <w:tc>
          <w:tcPr>
            <w:tcW w:w="782" w:type="pct"/>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06C2DDF2">
            <w:pPr>
              <w:spacing w:line="400" w:lineRule="exact"/>
              <w:rPr>
                <w:rFonts w:ascii="宋体" w:hAnsi="宋体" w:eastAsia="宋体" w:cs="宋体"/>
                <w:szCs w:val="21"/>
                <w:highlight w:val="yellow"/>
              </w:rPr>
            </w:pPr>
            <w:r>
              <w:rPr>
                <w:rFonts w:hint="eastAsia" w:ascii="宋体" w:hAnsi="宋体" w:eastAsia="宋体" w:cs="宋体"/>
                <w:szCs w:val="21"/>
                <w:highlight w:val="yellow"/>
              </w:rPr>
              <w:t>工程部</w:t>
            </w:r>
          </w:p>
        </w:tc>
        <w:tc>
          <w:tcPr>
            <w:tcW w:w="3769" w:type="pct"/>
            <w:tcBorders>
              <w:top w:val="single" w:color="auto" w:sz="4" w:space="0"/>
              <w:left w:val="single" w:color="auto" w:sz="4" w:space="0"/>
              <w:bottom w:val="single" w:color="auto" w:sz="4" w:space="0"/>
              <w:right w:val="single" w:color="000000" w:sz="4" w:space="0"/>
            </w:tcBorders>
            <w:tcMar>
              <w:top w:w="15" w:type="dxa"/>
              <w:left w:w="15" w:type="dxa"/>
              <w:right w:w="15" w:type="dxa"/>
            </w:tcMar>
            <w:vAlign w:val="center"/>
          </w:tcPr>
          <w:p w14:paraId="3C9E84CF">
            <w:pPr>
              <w:pStyle w:val="59"/>
              <w:spacing w:line="400" w:lineRule="exact"/>
              <w:rPr>
                <w:rFonts w:ascii="宋体" w:hAnsi="宋体"/>
                <w:highlight w:val="yellow"/>
              </w:rPr>
            </w:pPr>
            <w:r>
              <w:rPr>
                <w:rFonts w:ascii="宋体" w:hAnsi="宋体"/>
                <w:highlight w:val="yellow"/>
              </w:rPr>
              <w:t>1.</w:t>
            </w:r>
            <w:r>
              <w:rPr>
                <w:rFonts w:hint="eastAsia" w:ascii="宋体" w:hAnsi="宋体"/>
                <w:highlight w:val="yellow"/>
              </w:rPr>
              <w:t>工程主管：全面负责工程部人员管理，统筹校园配电、给排水、中央空调、分体空调、智能化、消防监控、广播音响系统全生命周期运维；编制机电设备年度维保计划、检修方案，统筹故障抢修、预防性保养，管控设备运行能耗；负责电气、制冷系统疑难故障研判，监督电工、制冷工、运行工高空作业、带电作业安全管控；对接设备维保厂商、行业监管检查，建立机电设备技术台账，组织工程班组技术培训与安全交底；统筹中央空调、制冷设备、高低压电气系统隐患排查、整改闭环。</w:t>
            </w:r>
          </w:p>
          <w:p w14:paraId="2C295AA7">
            <w:pPr>
              <w:pStyle w:val="59"/>
              <w:spacing w:line="400" w:lineRule="exact"/>
              <w:rPr>
                <w:rFonts w:ascii="宋体" w:hAnsi="宋体"/>
                <w:highlight w:val="yellow"/>
              </w:rPr>
            </w:pPr>
            <w:r>
              <w:rPr>
                <w:rFonts w:hint="eastAsia" w:ascii="宋体" w:hAnsi="宋体"/>
                <w:highlight w:val="yellow"/>
              </w:rPr>
              <w:t>2</w:t>
            </w:r>
            <w:r>
              <w:rPr>
                <w:rFonts w:ascii="宋体" w:hAnsi="宋体"/>
                <w:highlight w:val="yellow"/>
              </w:rPr>
              <w:t>.</w:t>
            </w:r>
            <w:r>
              <w:rPr>
                <w:rFonts w:hint="eastAsia" w:ascii="宋体" w:hAnsi="宋体"/>
                <w:highlight w:val="yellow"/>
              </w:rPr>
              <w:t>工程师：协助工程主管开展机电、电气专业技术管理工作，作为核心技术支撑；负责配电线路、机电控制回路、动力设备、空调系统故障深度排查、技术方案草拟；现场监督各类电气维修、设备改造作业，落实安全技术规范；整理机电设备技术档案，开展一线维修人员技术指导；参与设备负荷测算、隐患评估、零星工程技术验收。</w:t>
            </w:r>
          </w:p>
          <w:p w14:paraId="0DFFC43F">
            <w:pPr>
              <w:pStyle w:val="59"/>
              <w:spacing w:line="400" w:lineRule="exact"/>
              <w:rPr>
                <w:rFonts w:ascii="宋体" w:hAnsi="宋体"/>
                <w:highlight w:val="yellow"/>
              </w:rPr>
            </w:pPr>
            <w:r>
              <w:rPr>
                <w:rFonts w:hint="eastAsia" w:ascii="宋体" w:hAnsi="宋体"/>
                <w:highlight w:val="yellow"/>
              </w:rPr>
              <w:t>3</w:t>
            </w:r>
            <w:r>
              <w:rPr>
                <w:rFonts w:ascii="宋体" w:hAnsi="宋体"/>
                <w:highlight w:val="yellow"/>
              </w:rPr>
              <w:t>.</w:t>
            </w:r>
            <w:r>
              <w:rPr>
                <w:rFonts w:hint="eastAsia" w:ascii="宋体" w:hAnsi="宋体"/>
                <w:highlight w:val="yellow"/>
              </w:rPr>
              <w:t>中央空调工：负责中央空调机组日常巡检、基础维保、运行参数监控，故障初步排查；</w:t>
            </w:r>
          </w:p>
          <w:p w14:paraId="358CDCFA">
            <w:pPr>
              <w:pStyle w:val="59"/>
              <w:spacing w:line="400" w:lineRule="exact"/>
              <w:rPr>
                <w:rFonts w:ascii="宋体" w:hAnsi="宋体"/>
                <w:highlight w:val="yellow"/>
              </w:rPr>
            </w:pPr>
            <w:r>
              <w:rPr>
                <w:rFonts w:hint="eastAsia" w:ascii="宋体" w:hAnsi="宋体"/>
                <w:highlight w:val="yellow"/>
              </w:rPr>
              <w:t>4</w:t>
            </w:r>
            <w:r>
              <w:rPr>
                <w:rFonts w:ascii="宋体" w:hAnsi="宋体"/>
                <w:highlight w:val="yellow"/>
              </w:rPr>
              <w:t>.</w:t>
            </w:r>
            <w:r>
              <w:rPr>
                <w:rFonts w:hint="eastAsia" w:ascii="宋体" w:hAnsi="宋体"/>
                <w:highlight w:val="yellow"/>
              </w:rPr>
              <w:t>分体空调工：负责教室分体空调维修、清洗保养，高空作业规范落实；</w:t>
            </w:r>
          </w:p>
          <w:p w14:paraId="51046F68">
            <w:pPr>
              <w:pStyle w:val="59"/>
              <w:spacing w:line="400" w:lineRule="exact"/>
              <w:rPr>
                <w:rFonts w:ascii="宋体" w:hAnsi="宋体"/>
                <w:highlight w:val="yellow"/>
              </w:rPr>
            </w:pPr>
            <w:r>
              <w:rPr>
                <w:rFonts w:hint="eastAsia" w:ascii="宋体" w:hAnsi="宋体"/>
                <w:highlight w:val="yellow"/>
              </w:rPr>
              <w:t>5</w:t>
            </w:r>
            <w:r>
              <w:rPr>
                <w:rFonts w:ascii="宋体" w:hAnsi="宋体"/>
                <w:highlight w:val="yellow"/>
              </w:rPr>
              <w:t>.</w:t>
            </w:r>
            <w:r>
              <w:rPr>
                <w:rFonts w:hint="eastAsia" w:ascii="宋体" w:hAnsi="宋体"/>
                <w:highlight w:val="yellow"/>
              </w:rPr>
              <w:t>电工：校园公共照明、配电设施、电控设备巡检、维修，落实电气作业安全规范；</w:t>
            </w:r>
          </w:p>
          <w:p w14:paraId="227364EE">
            <w:pPr>
              <w:pStyle w:val="59"/>
              <w:spacing w:line="400" w:lineRule="exact"/>
              <w:rPr>
                <w:rFonts w:ascii="宋体" w:hAnsi="宋体"/>
                <w:highlight w:val="yellow"/>
              </w:rPr>
            </w:pPr>
            <w:r>
              <w:rPr>
                <w:rFonts w:ascii="宋体" w:hAnsi="宋体"/>
                <w:highlight w:val="yellow"/>
              </w:rPr>
              <w:t>6.</w:t>
            </w:r>
            <w:r>
              <w:rPr>
                <w:rFonts w:hint="eastAsia" w:ascii="宋体" w:hAnsi="宋体"/>
                <w:highlight w:val="yellow"/>
              </w:rPr>
              <w:t>运行工：配电房、水泵房、机房值守，设备日常巡视、运行数据记录，发现异常及时上报；</w:t>
            </w:r>
          </w:p>
          <w:p w14:paraId="7D36E758">
            <w:pPr>
              <w:pStyle w:val="59"/>
              <w:spacing w:line="400" w:lineRule="exact"/>
              <w:rPr>
                <w:rFonts w:ascii="宋体" w:hAnsi="宋体"/>
                <w:highlight w:val="yellow"/>
              </w:rPr>
            </w:pPr>
            <w:r>
              <w:rPr>
                <w:rFonts w:hint="eastAsia" w:ascii="宋体" w:hAnsi="宋体"/>
                <w:highlight w:val="yellow"/>
              </w:rPr>
              <w:t>7</w:t>
            </w:r>
            <w:r>
              <w:rPr>
                <w:rFonts w:ascii="宋体" w:hAnsi="宋体"/>
                <w:highlight w:val="yellow"/>
              </w:rPr>
              <w:t>.</w:t>
            </w:r>
            <w:r>
              <w:rPr>
                <w:rFonts w:hint="eastAsia" w:ascii="宋体" w:hAnsi="宋体"/>
                <w:highlight w:val="yellow"/>
              </w:rPr>
              <w:t>水泥工、木工、给排水维修工：负责房屋墙体修补、门窗维修、管网渗漏排查、给排水设施维修养护。</w:t>
            </w:r>
          </w:p>
        </w:tc>
      </w:tr>
      <w:tr w14:paraId="635E1E5C">
        <w:tblPrEx>
          <w:tblCellMar>
            <w:top w:w="0" w:type="dxa"/>
            <w:left w:w="0" w:type="dxa"/>
            <w:bottom w:w="0" w:type="dxa"/>
            <w:right w:w="0" w:type="dxa"/>
          </w:tblCellMar>
        </w:tblPrEx>
        <w:trPr>
          <w:trHeight w:val="20" w:hRule="atLeast"/>
        </w:trPr>
        <w:tc>
          <w:tcPr>
            <w:tcW w:w="44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47F16A">
            <w:pPr>
              <w:spacing w:line="400" w:lineRule="exact"/>
              <w:rPr>
                <w:rFonts w:ascii="宋体" w:hAnsi="宋体" w:eastAsia="宋体" w:cs="宋体"/>
                <w:szCs w:val="21"/>
                <w:highlight w:val="yellow"/>
              </w:rPr>
            </w:pPr>
            <w:r>
              <w:rPr>
                <w:rFonts w:hint="eastAsia" w:ascii="宋体" w:hAnsi="宋体" w:eastAsia="宋体" w:cs="宋体"/>
                <w:szCs w:val="21"/>
                <w:highlight w:val="yellow"/>
              </w:rPr>
              <w:t>3</w:t>
            </w:r>
          </w:p>
        </w:tc>
        <w:tc>
          <w:tcPr>
            <w:tcW w:w="7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B874EC">
            <w:pPr>
              <w:spacing w:line="400" w:lineRule="exact"/>
              <w:rPr>
                <w:rFonts w:ascii="宋体" w:hAnsi="宋体" w:eastAsia="宋体" w:cs="宋体"/>
                <w:szCs w:val="21"/>
                <w:highlight w:val="yellow"/>
              </w:rPr>
            </w:pPr>
            <w:r>
              <w:rPr>
                <w:rFonts w:hint="eastAsia" w:ascii="宋体" w:hAnsi="宋体" w:eastAsia="宋体" w:cs="宋体"/>
                <w:szCs w:val="21"/>
                <w:highlight w:val="yellow"/>
              </w:rPr>
              <w:t>安保（秩序维护）部</w:t>
            </w:r>
          </w:p>
        </w:tc>
        <w:tc>
          <w:tcPr>
            <w:tcW w:w="3769"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5C32447">
            <w:pPr>
              <w:spacing w:line="400" w:lineRule="exact"/>
              <w:rPr>
                <w:rFonts w:ascii="宋体" w:hAnsi="宋体" w:eastAsia="宋体" w:cs="宋体"/>
                <w:szCs w:val="21"/>
                <w:highlight w:val="yellow"/>
              </w:rPr>
            </w:pPr>
            <w:r>
              <w:rPr>
                <w:rFonts w:hint="eastAsia" w:ascii="宋体" w:hAnsi="宋体" w:eastAsia="宋体" w:cs="宋体"/>
                <w:szCs w:val="21"/>
                <w:highlight w:val="yellow"/>
              </w:rPr>
              <w:t>1</w:t>
            </w:r>
            <w:r>
              <w:rPr>
                <w:rFonts w:ascii="宋体" w:hAnsi="宋体" w:eastAsia="宋体" w:cs="宋体"/>
                <w:szCs w:val="21"/>
                <w:highlight w:val="yellow"/>
              </w:rPr>
              <w:t>.</w:t>
            </w:r>
            <w:r>
              <w:rPr>
                <w:rFonts w:hint="eastAsia" w:ascii="宋体" w:hAnsi="宋体" w:eastAsia="宋体" w:cs="宋体"/>
                <w:szCs w:val="21"/>
                <w:highlight w:val="yellow"/>
              </w:rPr>
              <w:t>秩序主管：统筹校园治安防范、门禁管控、巡逻防控、反恐防暴、大型活动安保组织；落实消防控制室规范化管理，监督持证上岗，组织消防应急演练、人员疏散演练；制定安保执勤标准，落实保安员持证上岗管理，统筹人员排班；开展校园安全隐患排查，处置治安纠纷、突发事件，对接公安、消防、教育主管部门安全检查；组织秩序队伍技能培训、队列训练、防暴实操训练。</w:t>
            </w:r>
          </w:p>
          <w:p w14:paraId="3D170539">
            <w:pPr>
              <w:pStyle w:val="59"/>
              <w:spacing w:line="400" w:lineRule="exact"/>
              <w:rPr>
                <w:rFonts w:ascii="宋体" w:hAnsi="宋体"/>
                <w:highlight w:val="yellow"/>
              </w:rPr>
            </w:pPr>
            <w:r>
              <w:rPr>
                <w:rFonts w:hint="eastAsia" w:ascii="宋体" w:hAnsi="宋体"/>
                <w:highlight w:val="yellow"/>
              </w:rPr>
              <w:t>2</w:t>
            </w:r>
            <w:r>
              <w:rPr>
                <w:rFonts w:ascii="宋体" w:hAnsi="宋体"/>
                <w:highlight w:val="yellow"/>
              </w:rPr>
              <w:t>.</w:t>
            </w:r>
            <w:r>
              <w:rPr>
                <w:rFonts w:hint="eastAsia" w:ascii="宋体" w:hAnsi="宋体"/>
                <w:highlight w:val="yellow"/>
              </w:rPr>
              <w:t>消防监控岗：持消防相关上岗证，24 小时值守消控室，监控火灾报警系统，火警甄别上报、联动设备操作，规范填写值班记录；</w:t>
            </w:r>
          </w:p>
          <w:p w14:paraId="2AB90E61">
            <w:pPr>
              <w:pStyle w:val="59"/>
              <w:spacing w:line="400" w:lineRule="exact"/>
              <w:rPr>
                <w:rFonts w:ascii="宋体" w:hAnsi="宋体"/>
                <w:highlight w:val="yellow"/>
              </w:rPr>
            </w:pPr>
            <w:r>
              <w:rPr>
                <w:rFonts w:hint="eastAsia" w:ascii="宋体" w:hAnsi="宋体"/>
                <w:highlight w:val="yellow"/>
              </w:rPr>
              <w:t>3</w:t>
            </w:r>
            <w:r>
              <w:rPr>
                <w:rFonts w:ascii="宋体" w:hAnsi="宋体"/>
                <w:highlight w:val="yellow"/>
              </w:rPr>
              <w:t>.</w:t>
            </w:r>
            <w:r>
              <w:rPr>
                <w:rFonts w:hint="eastAsia" w:ascii="宋体" w:hAnsi="宋体"/>
                <w:highlight w:val="yellow"/>
              </w:rPr>
              <w:t>秩序维护员：门岗出入管控、校园常态化巡逻，排查安全隐患；退伍安保人员承担重点防暴、应急处置任务；女安保承担来访接待、女生区域巡查等工作；</w:t>
            </w:r>
          </w:p>
        </w:tc>
      </w:tr>
      <w:tr w14:paraId="351303F1">
        <w:tblPrEx>
          <w:tblCellMar>
            <w:top w:w="0" w:type="dxa"/>
            <w:left w:w="0" w:type="dxa"/>
            <w:bottom w:w="0" w:type="dxa"/>
            <w:right w:w="0" w:type="dxa"/>
          </w:tblCellMar>
        </w:tblPrEx>
        <w:trPr>
          <w:trHeight w:val="20" w:hRule="atLeast"/>
        </w:trPr>
        <w:tc>
          <w:tcPr>
            <w:tcW w:w="44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1C4C22">
            <w:pPr>
              <w:spacing w:line="400" w:lineRule="exact"/>
              <w:rPr>
                <w:rFonts w:ascii="宋体" w:hAnsi="宋体" w:eastAsia="宋体" w:cs="宋体"/>
                <w:szCs w:val="21"/>
                <w:highlight w:val="yellow"/>
              </w:rPr>
            </w:pPr>
            <w:r>
              <w:rPr>
                <w:rFonts w:hint="eastAsia" w:ascii="宋体" w:hAnsi="宋体" w:eastAsia="宋体" w:cs="宋体"/>
                <w:szCs w:val="21"/>
                <w:highlight w:val="yellow"/>
              </w:rPr>
              <w:t>4</w:t>
            </w:r>
          </w:p>
        </w:tc>
        <w:tc>
          <w:tcPr>
            <w:tcW w:w="7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481049">
            <w:pPr>
              <w:spacing w:line="400" w:lineRule="exact"/>
              <w:rPr>
                <w:rFonts w:ascii="宋体" w:hAnsi="宋体" w:eastAsia="宋体" w:cs="宋体"/>
                <w:szCs w:val="21"/>
                <w:highlight w:val="yellow"/>
              </w:rPr>
            </w:pPr>
            <w:r>
              <w:rPr>
                <w:rFonts w:hint="eastAsia" w:ascii="宋体" w:hAnsi="宋体" w:eastAsia="宋体" w:cs="宋体"/>
                <w:szCs w:val="21"/>
                <w:highlight w:val="yellow"/>
              </w:rPr>
              <w:t>保洁部</w:t>
            </w:r>
          </w:p>
        </w:tc>
        <w:tc>
          <w:tcPr>
            <w:tcW w:w="3769"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3E4BB791">
            <w:pPr>
              <w:spacing w:line="400" w:lineRule="exact"/>
              <w:rPr>
                <w:rFonts w:ascii="宋体" w:hAnsi="宋体" w:eastAsia="宋体" w:cs="宋体"/>
                <w:szCs w:val="21"/>
                <w:highlight w:val="yellow"/>
              </w:rPr>
            </w:pPr>
            <w:r>
              <w:rPr>
                <w:rFonts w:hint="eastAsia" w:ascii="宋体" w:hAnsi="宋体" w:eastAsia="宋体" w:cs="宋体"/>
                <w:szCs w:val="21"/>
                <w:highlight w:val="yellow"/>
              </w:rPr>
              <w:t>1</w:t>
            </w:r>
            <w:r>
              <w:rPr>
                <w:rFonts w:ascii="宋体" w:hAnsi="宋体" w:eastAsia="宋体" w:cs="宋体"/>
                <w:szCs w:val="21"/>
                <w:highlight w:val="yellow"/>
              </w:rPr>
              <w:t>.</w:t>
            </w:r>
            <w:r>
              <w:rPr>
                <w:rFonts w:hint="eastAsia" w:ascii="宋体" w:hAnsi="宋体" w:eastAsia="宋体" w:cs="宋体"/>
                <w:szCs w:val="21"/>
                <w:highlight w:val="yellow"/>
              </w:rPr>
              <w:t>保洁主管：统筹保洁人员日常管理，制定全域公共区域保洁作业标准、巡回保洁方案；管理消杀作业班组，规范有害生物消杀流程，监督消杀人员持证作业，落实病媒生物防控；常态化巡查教学楼、公共区域、卫生间环境卫生质量，建立问题台账，跟踪整改；管控保洁物料采购、领用，优化保洁作业流程，组织保洁人员服务礼仪、安全作业培训。</w:t>
            </w:r>
          </w:p>
          <w:p w14:paraId="0E7EC71B">
            <w:pPr>
              <w:spacing w:line="400" w:lineRule="exact"/>
              <w:rPr>
                <w:rFonts w:ascii="宋体" w:hAnsi="宋体" w:eastAsia="宋体" w:cs="宋体"/>
                <w:szCs w:val="21"/>
                <w:highlight w:val="yellow"/>
              </w:rPr>
            </w:pPr>
            <w:r>
              <w:rPr>
                <w:rFonts w:hint="eastAsia" w:ascii="宋体" w:hAnsi="宋体" w:eastAsia="宋体" w:cs="宋体"/>
                <w:szCs w:val="21"/>
                <w:highlight w:val="yellow"/>
              </w:rPr>
              <w:t>2</w:t>
            </w:r>
            <w:r>
              <w:rPr>
                <w:rFonts w:ascii="宋体" w:hAnsi="宋体" w:eastAsia="宋体" w:cs="宋体"/>
                <w:szCs w:val="21"/>
                <w:highlight w:val="yellow"/>
              </w:rPr>
              <w:t>.</w:t>
            </w:r>
            <w:r>
              <w:rPr>
                <w:rFonts w:hint="eastAsia" w:ascii="宋体" w:hAnsi="宋体" w:eastAsia="宋体" w:cs="宋体"/>
                <w:szCs w:val="21"/>
                <w:highlight w:val="yellow"/>
              </w:rPr>
              <w:t>保洁员：负责校园公共区域清扫、垃圾收集清运、公共设施清洁；消杀作业人员持有效证件，定期开展校园四害消杀工作。</w:t>
            </w:r>
          </w:p>
        </w:tc>
      </w:tr>
      <w:tr w14:paraId="71EF81FC">
        <w:tblPrEx>
          <w:tblCellMar>
            <w:top w:w="0" w:type="dxa"/>
            <w:left w:w="0" w:type="dxa"/>
            <w:bottom w:w="0" w:type="dxa"/>
            <w:right w:w="0" w:type="dxa"/>
          </w:tblCellMar>
        </w:tblPrEx>
        <w:trPr>
          <w:trHeight w:val="20" w:hRule="atLeast"/>
        </w:trPr>
        <w:tc>
          <w:tcPr>
            <w:tcW w:w="44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4F0DC9">
            <w:pPr>
              <w:spacing w:line="400" w:lineRule="exact"/>
              <w:rPr>
                <w:rFonts w:ascii="宋体" w:hAnsi="宋体" w:eastAsia="宋体" w:cs="宋体"/>
                <w:szCs w:val="21"/>
                <w:highlight w:val="yellow"/>
              </w:rPr>
            </w:pPr>
            <w:r>
              <w:rPr>
                <w:rFonts w:hint="eastAsia" w:ascii="宋体" w:hAnsi="宋体" w:eastAsia="宋体" w:cs="宋体"/>
                <w:szCs w:val="21"/>
                <w:highlight w:val="yellow"/>
              </w:rPr>
              <w:t>5</w:t>
            </w:r>
          </w:p>
        </w:tc>
        <w:tc>
          <w:tcPr>
            <w:tcW w:w="7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14BD4A">
            <w:pPr>
              <w:spacing w:line="400" w:lineRule="exact"/>
              <w:rPr>
                <w:rFonts w:ascii="宋体" w:hAnsi="宋体" w:eastAsia="宋体" w:cs="宋体"/>
                <w:szCs w:val="21"/>
                <w:highlight w:val="yellow"/>
              </w:rPr>
            </w:pPr>
            <w:r>
              <w:rPr>
                <w:rFonts w:hint="eastAsia" w:ascii="宋体" w:hAnsi="宋体" w:eastAsia="宋体" w:cs="宋体"/>
                <w:szCs w:val="21"/>
                <w:highlight w:val="yellow"/>
              </w:rPr>
              <w:t>绿化部</w:t>
            </w:r>
          </w:p>
        </w:tc>
        <w:tc>
          <w:tcPr>
            <w:tcW w:w="3769"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E0C907E">
            <w:pPr>
              <w:spacing w:line="400" w:lineRule="exact"/>
              <w:rPr>
                <w:rFonts w:ascii="宋体" w:hAnsi="宋体" w:eastAsia="宋体" w:cs="宋体"/>
                <w:szCs w:val="21"/>
                <w:highlight w:val="yellow"/>
              </w:rPr>
            </w:pPr>
            <w:r>
              <w:rPr>
                <w:rFonts w:hint="eastAsia" w:ascii="宋体" w:hAnsi="宋体" w:eastAsia="宋体" w:cs="宋体"/>
                <w:szCs w:val="21"/>
                <w:highlight w:val="yellow"/>
              </w:rPr>
              <w:t>1</w:t>
            </w:r>
            <w:r>
              <w:rPr>
                <w:rFonts w:ascii="宋体" w:hAnsi="宋体" w:eastAsia="宋体" w:cs="宋体"/>
                <w:szCs w:val="21"/>
                <w:highlight w:val="yellow"/>
              </w:rPr>
              <w:t>.</w:t>
            </w:r>
            <w:r>
              <w:rPr>
                <w:rFonts w:hint="eastAsia" w:ascii="宋体" w:hAnsi="宋体" w:eastAsia="宋体" w:cs="宋体"/>
                <w:szCs w:val="21"/>
                <w:highlight w:val="yellow"/>
              </w:rPr>
              <w:t>绿化主管：制定校园绿化全年养护方案，统筹乔木、灌木、绿化带、草坪养护工作；指导盆景造型、植物病虫害防治、足球场草坪专项养护工作；监督绿化班组作业规范；组织苗木补种、修剪、浇灌、施肥，定期开展绿化长势巡查，评估绿化景观效果；统筹有害生物在绿化区域的源头防控，建立绿化养护台账。</w:t>
            </w:r>
          </w:p>
          <w:p w14:paraId="4FEAFDD8">
            <w:pPr>
              <w:spacing w:line="400" w:lineRule="exact"/>
              <w:rPr>
                <w:rFonts w:ascii="宋体" w:hAnsi="宋体" w:eastAsia="宋体" w:cs="宋体"/>
                <w:szCs w:val="21"/>
                <w:highlight w:val="yellow"/>
              </w:rPr>
            </w:pPr>
            <w:r>
              <w:rPr>
                <w:rFonts w:ascii="宋体" w:hAnsi="宋体" w:eastAsia="宋体" w:cs="宋体"/>
                <w:szCs w:val="21"/>
                <w:highlight w:val="yellow"/>
              </w:rPr>
              <w:t>2.</w:t>
            </w:r>
            <w:r>
              <w:rPr>
                <w:rFonts w:hint="eastAsia" w:ascii="宋体" w:hAnsi="宋体" w:eastAsia="宋体" w:cs="宋体"/>
                <w:szCs w:val="21"/>
                <w:highlight w:val="yellow"/>
              </w:rPr>
              <w:t>园林工程师：负责校园绿化整体景观规划、苗木选型、绿化改造技术方案、病虫害整体防控技术指导；</w:t>
            </w:r>
          </w:p>
          <w:p w14:paraId="2AA1C23F">
            <w:pPr>
              <w:spacing w:line="400" w:lineRule="exact"/>
              <w:rPr>
                <w:rFonts w:ascii="宋体" w:hAnsi="宋体" w:eastAsia="宋体" w:cs="宋体"/>
                <w:szCs w:val="21"/>
                <w:highlight w:val="yellow"/>
              </w:rPr>
            </w:pPr>
            <w:r>
              <w:rPr>
                <w:rFonts w:hint="eastAsia" w:ascii="宋体" w:hAnsi="宋体" w:eastAsia="宋体" w:cs="宋体"/>
                <w:szCs w:val="21"/>
                <w:highlight w:val="yellow"/>
              </w:rPr>
              <w:t>3</w:t>
            </w:r>
            <w:r>
              <w:rPr>
                <w:rFonts w:ascii="宋体" w:hAnsi="宋体" w:eastAsia="宋体" w:cs="宋体"/>
                <w:szCs w:val="21"/>
                <w:highlight w:val="yellow"/>
              </w:rPr>
              <w:t>.</w:t>
            </w:r>
            <w:r>
              <w:rPr>
                <w:rFonts w:hint="eastAsia" w:ascii="宋体" w:hAnsi="宋体" w:eastAsia="宋体" w:cs="宋体"/>
                <w:szCs w:val="21"/>
                <w:highlight w:val="yellow"/>
              </w:rPr>
              <w:t>绿化技术员：分别负责盆景养护造型、植物病虫害防治、草坪养护，为一线绿化工人提供技术指导；</w:t>
            </w:r>
          </w:p>
          <w:p w14:paraId="09344ADB">
            <w:pPr>
              <w:spacing w:line="400" w:lineRule="exact"/>
              <w:rPr>
                <w:rFonts w:ascii="宋体" w:hAnsi="宋体" w:eastAsia="宋体" w:cs="宋体"/>
                <w:szCs w:val="21"/>
                <w:highlight w:val="yellow"/>
              </w:rPr>
            </w:pPr>
            <w:r>
              <w:rPr>
                <w:rFonts w:hint="eastAsia" w:ascii="宋体" w:hAnsi="宋体" w:eastAsia="宋体" w:cs="宋体"/>
                <w:szCs w:val="21"/>
                <w:highlight w:val="yellow"/>
              </w:rPr>
              <w:t>4</w:t>
            </w:r>
            <w:r>
              <w:rPr>
                <w:rFonts w:ascii="宋体" w:hAnsi="宋体" w:eastAsia="宋体" w:cs="宋体"/>
                <w:szCs w:val="21"/>
                <w:highlight w:val="yellow"/>
              </w:rPr>
              <w:t>.</w:t>
            </w:r>
            <w:r>
              <w:rPr>
                <w:rFonts w:hint="eastAsia" w:ascii="宋体" w:hAnsi="宋体" w:eastAsia="宋体" w:cs="宋体"/>
                <w:szCs w:val="21"/>
                <w:highlight w:val="yellow"/>
              </w:rPr>
              <w:t>一线绿化养护工：绿植修剪、除草、浇灌、施肥、绿化垃圾清理，落实日常管养作业。</w:t>
            </w:r>
          </w:p>
        </w:tc>
      </w:tr>
      <w:tr w14:paraId="08AD9594">
        <w:tblPrEx>
          <w:tblCellMar>
            <w:top w:w="0" w:type="dxa"/>
            <w:left w:w="0" w:type="dxa"/>
            <w:bottom w:w="0" w:type="dxa"/>
            <w:right w:w="0" w:type="dxa"/>
          </w:tblCellMar>
        </w:tblPrEx>
        <w:trPr>
          <w:trHeight w:val="20" w:hRule="atLeast"/>
        </w:trPr>
        <w:tc>
          <w:tcPr>
            <w:tcW w:w="44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D2E6E4">
            <w:pPr>
              <w:spacing w:line="400" w:lineRule="exact"/>
              <w:rPr>
                <w:rFonts w:ascii="宋体" w:hAnsi="宋体" w:eastAsia="宋体" w:cs="宋体"/>
                <w:szCs w:val="21"/>
                <w:highlight w:val="yellow"/>
              </w:rPr>
            </w:pPr>
            <w:r>
              <w:rPr>
                <w:rFonts w:hint="eastAsia" w:ascii="宋体" w:hAnsi="宋体" w:eastAsia="宋体" w:cs="宋体"/>
                <w:szCs w:val="21"/>
                <w:highlight w:val="yellow"/>
              </w:rPr>
              <w:t>6</w:t>
            </w:r>
          </w:p>
        </w:tc>
        <w:tc>
          <w:tcPr>
            <w:tcW w:w="7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2A9401">
            <w:pPr>
              <w:spacing w:line="400" w:lineRule="exact"/>
              <w:rPr>
                <w:rFonts w:ascii="宋体" w:hAnsi="宋体" w:eastAsia="宋体" w:cs="宋体"/>
                <w:szCs w:val="21"/>
                <w:highlight w:val="yellow"/>
              </w:rPr>
            </w:pPr>
            <w:r>
              <w:rPr>
                <w:rFonts w:hint="eastAsia" w:ascii="宋体" w:hAnsi="宋体" w:eastAsia="宋体" w:cs="宋体"/>
                <w:szCs w:val="21"/>
                <w:highlight w:val="yellow"/>
              </w:rPr>
              <w:t>公寓部</w:t>
            </w:r>
          </w:p>
        </w:tc>
        <w:tc>
          <w:tcPr>
            <w:tcW w:w="3769"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91026F9">
            <w:pPr>
              <w:spacing w:line="400" w:lineRule="exact"/>
              <w:rPr>
                <w:rFonts w:ascii="宋体" w:hAnsi="宋体" w:eastAsia="宋体" w:cs="宋体"/>
                <w:szCs w:val="21"/>
                <w:highlight w:val="yellow"/>
              </w:rPr>
            </w:pPr>
            <w:r>
              <w:rPr>
                <w:rFonts w:hint="eastAsia" w:ascii="宋体" w:hAnsi="宋体" w:eastAsia="宋体" w:cs="宋体"/>
                <w:szCs w:val="21"/>
                <w:highlight w:val="yellow"/>
              </w:rPr>
              <w:t>1</w:t>
            </w:r>
            <w:r>
              <w:rPr>
                <w:rFonts w:ascii="宋体" w:hAnsi="宋体" w:eastAsia="宋体" w:cs="宋体"/>
                <w:szCs w:val="21"/>
                <w:highlight w:val="yellow"/>
              </w:rPr>
              <w:t>.</w:t>
            </w:r>
            <w:r>
              <w:rPr>
                <w:rFonts w:hint="eastAsia" w:ascii="宋体" w:hAnsi="宋体" w:eastAsia="宋体" w:cs="宋体"/>
                <w:szCs w:val="21"/>
                <w:highlight w:val="yellow"/>
              </w:rPr>
              <w:t>公寓主管：全面负责公寓部管理工作，制定学生公寓日常管理、内务标准、作息管理规范；开展学生心理情绪观察、心理疏导工作，掌握基础心理辅导技巧，及时识别学生心理异常情况并上报校方；管理公寓工作人员，落实宿舍巡查、卫生检查、安全隐患排查；规范公寓服务礼仪，协调处理学生宿舍各类诉求。</w:t>
            </w:r>
          </w:p>
          <w:p w14:paraId="60815A0C">
            <w:pPr>
              <w:spacing w:line="400" w:lineRule="exact"/>
              <w:rPr>
                <w:rFonts w:ascii="宋体" w:hAnsi="宋体" w:eastAsia="宋体" w:cs="宋体"/>
                <w:szCs w:val="21"/>
                <w:highlight w:val="yellow"/>
              </w:rPr>
            </w:pPr>
            <w:r>
              <w:rPr>
                <w:rFonts w:ascii="宋体" w:hAnsi="宋体" w:eastAsia="宋体" w:cs="宋体"/>
                <w:szCs w:val="21"/>
                <w:highlight w:val="yellow"/>
              </w:rPr>
              <w:t>2.</w:t>
            </w:r>
            <w:r>
              <w:rPr>
                <w:rFonts w:hint="eastAsia" w:ascii="宋体" w:hAnsi="宋体" w:eastAsia="宋体"/>
                <w:highlight w:val="yellow"/>
              </w:rPr>
              <w:t>公寓管理员：</w:t>
            </w:r>
            <w:r>
              <w:rPr>
                <w:rFonts w:hint="eastAsia" w:ascii="宋体" w:hAnsi="宋体" w:eastAsia="宋体" w:cs="宋体"/>
                <w:szCs w:val="21"/>
                <w:highlight w:val="yellow"/>
              </w:rPr>
              <w:t>落实学生公寓日常巡查、宿舍卫生检查、住宿秩序维护；主动关心学生状态，礼貌接待学生诉求，及时上报宿舍安全、学生异常情况。</w:t>
            </w:r>
          </w:p>
        </w:tc>
      </w:tr>
    </w:tbl>
    <w:p w14:paraId="34640484">
      <w:pPr>
        <w:pStyle w:val="19"/>
        <w:numPr>
          <w:ilvl w:val="-1"/>
          <w:numId w:val="0"/>
        </w:numPr>
        <w:rPr>
          <w:rFonts w:hint="eastAsia"/>
          <w:lang w:eastAsia="zh-CN"/>
        </w:rPr>
      </w:pPr>
    </w:p>
    <w:p w14:paraId="116B1F97">
      <w:pPr>
        <w:pStyle w:val="18"/>
        <w:jc w:val="center"/>
        <w:rPr>
          <w:rFonts w:ascii="宋体" w:hAnsi="宋体" w:cs="宋体"/>
          <w:sz w:val="21"/>
          <w:szCs w:val="21"/>
        </w:rPr>
      </w:pPr>
      <w:r>
        <w:rPr>
          <w:rFonts w:hint="eastAsia" w:ascii="宋体" w:hAnsi="宋体" w:cs="宋体"/>
          <w:sz w:val="21"/>
          <w:szCs w:val="21"/>
        </w:rPr>
        <w:t>第二部分  绿植摆放项目</w:t>
      </w:r>
    </w:p>
    <w:p w14:paraId="507C4817">
      <w:pPr>
        <w:spacing w:line="360" w:lineRule="auto"/>
        <w:ind w:firstLine="420" w:firstLineChars="200"/>
        <w:rPr>
          <w:rFonts w:ascii="宋体" w:hAnsi="宋体" w:cs="宋体"/>
          <w:kern w:val="0"/>
          <w:szCs w:val="21"/>
        </w:rPr>
      </w:pPr>
      <w:r>
        <w:rPr>
          <w:rFonts w:hint="eastAsia" w:ascii="宋体" w:hAnsi="宋体" w:cs="宋体"/>
          <w:kern w:val="0"/>
          <w:szCs w:val="21"/>
        </w:rPr>
        <w:t>学院各种会议、接待工作、庆典活动、节日（元旦、春节、五一、国庆等）用的摆花，公共场所、所有室内办公场所的绿化管理及花卉的摆放及更换，定期对室内植物进行施肥、淋水及清洁，日常摆放盆栽鲜花不少于500盆（重大节日增加不少于500盆）；荫生花卉不少于250盆。行政楼、图书馆等建筑物大厅、院领导办公室、部门负责人办公室、学校大办公室及会议室配置大盆绿植。室内摆花的品种和规格要与摆放环境相适应，该项费用由中标单位承担，</w:t>
      </w:r>
      <w:r>
        <w:rPr>
          <w:rFonts w:hint="eastAsia" w:ascii="宋体" w:hAnsi="宋体" w:cs="宋体"/>
          <w:bCs/>
          <w:szCs w:val="21"/>
        </w:rPr>
        <w:t>此项费用每年</w:t>
      </w:r>
      <w:r>
        <w:rPr>
          <w:rFonts w:hint="eastAsia" w:ascii="宋体" w:hAnsi="宋体" w:cs="宋体"/>
          <w:bCs/>
          <w:szCs w:val="21"/>
          <w:lang w:val="en-US" w:eastAsia="zh-CN"/>
        </w:rPr>
        <w:t>不超过</w:t>
      </w:r>
      <w:r>
        <w:rPr>
          <w:rFonts w:hint="eastAsia" w:ascii="宋体" w:hAnsi="宋体" w:cs="宋体"/>
          <w:bCs/>
          <w:szCs w:val="21"/>
        </w:rPr>
        <w:t>9万元，每年平方米不超过4.5元</w:t>
      </w:r>
      <w:r>
        <w:rPr>
          <w:rFonts w:hint="eastAsia" w:ascii="宋体" w:hAnsi="宋体" w:cs="宋体"/>
          <w:kern w:val="0"/>
          <w:szCs w:val="21"/>
        </w:rPr>
        <w:t>。</w:t>
      </w:r>
    </w:p>
    <w:p w14:paraId="26690EC1">
      <w:pPr>
        <w:pStyle w:val="18"/>
      </w:pPr>
    </w:p>
    <w:p w14:paraId="01316EF5">
      <w:pPr>
        <w:pStyle w:val="5"/>
        <w:spacing w:before="120" w:beforeLines="50" w:after="120" w:afterLines="50"/>
        <w:rPr>
          <w:szCs w:val="24"/>
        </w:rPr>
      </w:pPr>
      <w:r>
        <w:rPr>
          <w:rFonts w:hint="eastAsia"/>
          <w:szCs w:val="24"/>
        </w:rPr>
        <w:t>六、商务要求</w:t>
      </w:r>
    </w:p>
    <w:p w14:paraId="07883BC6">
      <w:pPr>
        <w:spacing w:line="360" w:lineRule="auto"/>
        <w:ind w:firstLine="422" w:firstLineChars="200"/>
        <w:rPr>
          <w:rFonts w:ascii="宋体" w:hAnsi="宋体" w:cs="宋体"/>
          <w:b/>
          <w:szCs w:val="21"/>
        </w:rPr>
      </w:pPr>
      <w:r>
        <w:rPr>
          <w:rFonts w:hint="eastAsia" w:ascii="宋体" w:hAnsi="宋体" w:cs="宋体"/>
          <w:b/>
          <w:szCs w:val="21"/>
        </w:rPr>
        <w:t>（一）服务时间：</w:t>
      </w:r>
    </w:p>
    <w:p w14:paraId="087B09B3">
      <w:pPr>
        <w:spacing w:line="400" w:lineRule="exact"/>
        <w:ind w:firstLine="411" w:firstLineChars="196"/>
        <w:rPr>
          <w:rFonts w:ascii="宋体" w:hAnsi="宋体"/>
          <w:szCs w:val="21"/>
        </w:rPr>
      </w:pPr>
      <w:r>
        <w:rPr>
          <w:rFonts w:hint="eastAsia" w:ascii="宋体" w:hAnsi="宋体"/>
          <w:szCs w:val="21"/>
        </w:rPr>
        <w:t>1.本项目服务期限为一年，合同期满后采购方将根据中标方服务总体质量，</w:t>
      </w:r>
      <w:r>
        <w:rPr>
          <w:rFonts w:hint="eastAsia" w:ascii="宋体" w:hAnsi="宋体"/>
          <w:kern w:val="0"/>
          <w:szCs w:val="21"/>
        </w:rPr>
        <w:t>按市政府采购相关规定</w:t>
      </w:r>
      <w:r>
        <w:rPr>
          <w:rFonts w:hint="eastAsia" w:ascii="宋体" w:hAnsi="宋体"/>
          <w:szCs w:val="21"/>
        </w:rPr>
        <w:t>，服务期满前一个月书面通知中标方续签合同（一年期）或不续签合同，合同一年一签，总服务期限不超过三年。</w:t>
      </w:r>
    </w:p>
    <w:p w14:paraId="2473F653">
      <w:pPr>
        <w:spacing w:line="400" w:lineRule="exact"/>
        <w:ind w:firstLine="411" w:firstLineChars="196"/>
        <w:rPr>
          <w:rFonts w:ascii="宋体" w:hAnsi="宋体"/>
          <w:szCs w:val="21"/>
        </w:rPr>
      </w:pPr>
      <w:r>
        <w:rPr>
          <w:rFonts w:hint="eastAsia" w:ascii="宋体" w:hAnsi="宋体"/>
          <w:szCs w:val="21"/>
        </w:rPr>
        <w:t>2.第一年的合同总价必须按本项目中标价执行，采购人不接受任何价格调整的理由，投标人在投标报价时充分考虑到工资标准调整、物价上涨等影响本项目服务价格的因素，并承担相应风险。如合同到期</w:t>
      </w:r>
      <w:r>
        <w:rPr>
          <w:rFonts w:hint="eastAsia" w:ascii="宋体" w:hAnsi="宋体"/>
          <w:kern w:val="0"/>
          <w:szCs w:val="21"/>
        </w:rPr>
        <w:t>续签合同</w:t>
      </w:r>
      <w:r>
        <w:rPr>
          <w:rFonts w:hint="eastAsia" w:ascii="宋体" w:hAnsi="宋体"/>
          <w:szCs w:val="21"/>
        </w:rPr>
        <w:t>，续签合同总价维持第一年的合同总价不变。</w:t>
      </w:r>
    </w:p>
    <w:p w14:paraId="30505EA4">
      <w:pPr>
        <w:spacing w:line="360" w:lineRule="auto"/>
        <w:ind w:firstLine="422" w:firstLineChars="200"/>
        <w:rPr>
          <w:rFonts w:ascii="宋体" w:hAnsi="宋体" w:cs="宋体"/>
          <w:b/>
          <w:szCs w:val="21"/>
        </w:rPr>
      </w:pPr>
      <w:r>
        <w:rPr>
          <w:rFonts w:hint="eastAsia" w:ascii="宋体" w:hAnsi="宋体" w:cs="宋体"/>
          <w:b/>
          <w:szCs w:val="21"/>
        </w:rPr>
        <w:t>（二）服务地点：</w:t>
      </w:r>
      <w:r>
        <w:rPr>
          <w:rFonts w:hint="eastAsia" w:ascii="宋体" w:hAnsi="宋体"/>
          <w:szCs w:val="21"/>
        </w:rPr>
        <w:t>深圳城市职业学院（深圳技师学院）</w:t>
      </w:r>
    </w:p>
    <w:p w14:paraId="6486E4CD">
      <w:pPr>
        <w:spacing w:line="360" w:lineRule="auto"/>
        <w:ind w:firstLine="422" w:firstLineChars="200"/>
        <w:rPr>
          <w:rFonts w:ascii="宋体" w:hAnsi="宋体" w:cs="宋体"/>
          <w:szCs w:val="21"/>
        </w:rPr>
      </w:pPr>
      <w:r>
        <w:rPr>
          <w:rFonts w:hint="eastAsia" w:ascii="宋体" w:hAnsi="宋体" w:cs="宋体"/>
          <w:b/>
          <w:szCs w:val="21"/>
        </w:rPr>
        <w:t>（三）付款条件：</w:t>
      </w:r>
      <w:r>
        <w:rPr>
          <w:rFonts w:hint="eastAsia" w:ascii="宋体" w:hAnsi="宋体" w:cs="宋体"/>
          <w:szCs w:val="21"/>
        </w:rPr>
        <w:t>合同金额将按月结形式，在当月服务结束并收到中标（成交）供应商提供的有效发票后，采购人将在1</w:t>
      </w:r>
      <w:r>
        <w:rPr>
          <w:rFonts w:ascii="宋体" w:hAnsi="宋体" w:cs="宋体"/>
          <w:szCs w:val="21"/>
        </w:rPr>
        <w:t>0</w:t>
      </w:r>
      <w:r>
        <w:rPr>
          <w:rFonts w:hint="eastAsia" w:ascii="宋体" w:hAnsi="宋体" w:cs="宋体"/>
          <w:szCs w:val="21"/>
        </w:rPr>
        <w:t>工作日内支付给中标（成交）供应商（12月份提前至当月12日前支付），凭中标方完税发票，由采购单位签署付款凭证,办理相关付款手续。</w:t>
      </w:r>
    </w:p>
    <w:p w14:paraId="52321882">
      <w:pPr>
        <w:spacing w:line="360" w:lineRule="auto"/>
        <w:ind w:firstLine="422" w:firstLineChars="200"/>
        <w:rPr>
          <w:b/>
        </w:rPr>
      </w:pPr>
      <w:r>
        <w:rPr>
          <w:rFonts w:hint="eastAsia" w:ascii="宋体" w:hAnsi="宋体" w:cs="宋体"/>
          <w:b/>
          <w:szCs w:val="21"/>
        </w:rPr>
        <w:t>（四）合同签订：</w:t>
      </w:r>
      <w:r>
        <w:rPr>
          <w:rFonts w:hint="eastAsia"/>
          <w:b/>
        </w:rPr>
        <w:t>采购人根据采购文件的约定及投标（响应）文件的响应内容与中标（成交）供应商签订合同。</w:t>
      </w:r>
    </w:p>
    <w:p w14:paraId="15126AE8">
      <w:pPr>
        <w:spacing w:line="360" w:lineRule="auto"/>
        <w:ind w:firstLine="422" w:firstLineChars="200"/>
        <w:rPr>
          <w:rFonts w:ascii="宋体" w:hAnsi="宋体" w:cs="宋体"/>
          <w:b/>
          <w:szCs w:val="21"/>
        </w:rPr>
      </w:pPr>
      <w:r>
        <w:rPr>
          <w:rFonts w:hint="eastAsia" w:ascii="宋体" w:hAnsi="宋体" w:cs="宋体"/>
          <w:b/>
          <w:szCs w:val="21"/>
        </w:rPr>
        <w:t>（五）履约验收考核：</w:t>
      </w:r>
    </w:p>
    <w:p w14:paraId="3109EA28">
      <w:pPr>
        <w:widowControl/>
        <w:spacing w:line="360" w:lineRule="auto"/>
        <w:ind w:firstLine="420" w:firstLineChars="200"/>
        <w:jc w:val="left"/>
        <w:rPr>
          <w:rFonts w:ascii="宋体" w:hAnsi="宋体"/>
          <w:kern w:val="0"/>
          <w:szCs w:val="21"/>
        </w:rPr>
      </w:pPr>
      <w:r>
        <w:rPr>
          <w:rFonts w:hint="eastAsia" w:ascii="宋体" w:hAnsi="宋体"/>
          <w:kern w:val="0"/>
          <w:szCs w:val="21"/>
        </w:rPr>
        <w:t>学院每月安排相关考评人员对物业管理服务状况进行量化考评。学院考评人员按照“物业管理服务完成状况量化考评表”不定期进行巡检，并将巡检情况记录在“物业服务完成状况日检表”中，学院与物业公司服务代表每月10日前依据“物业服务完成状况日检表”进行上个月汇总，汇总结果经双方代表核实签字后生效。每月汇总得分90分以上，全额支付当月物业服务费；月得分90分以下，每低1分，扣除当月物业服务费的0.3%，同时服务单位必须进行整改；得分60分以下，校方有权向相关管理部门申请提前解除合同，除因上述扣分扣除的服务费外，校方有权对物业服务单位处以合同金额10%的违约金。</w:t>
      </w:r>
    </w:p>
    <w:p w14:paraId="6B24781F">
      <w:pPr>
        <w:spacing w:line="400" w:lineRule="exact"/>
        <w:ind w:firstLine="413" w:firstLineChars="196"/>
        <w:rPr>
          <w:rFonts w:ascii="宋体" w:hAnsi="宋体"/>
          <w:szCs w:val="21"/>
        </w:rPr>
      </w:pPr>
      <w:r>
        <w:rPr>
          <w:rFonts w:hint="eastAsia" w:ascii="宋体" w:hAnsi="宋体" w:cs="宋体"/>
          <w:b/>
          <w:bCs/>
          <w:szCs w:val="21"/>
        </w:rPr>
        <w:t>（六）考核办法：</w:t>
      </w:r>
      <w:r>
        <w:rPr>
          <w:rFonts w:hint="eastAsia" w:ascii="宋体" w:hAnsi="宋体"/>
          <w:szCs w:val="21"/>
        </w:rPr>
        <w:t xml:space="preserve"> </w:t>
      </w:r>
    </w:p>
    <w:p w14:paraId="7EB99C39">
      <w:pPr>
        <w:spacing w:line="400" w:lineRule="exact"/>
        <w:ind w:firstLine="413" w:firstLineChars="196"/>
        <w:rPr>
          <w:rFonts w:ascii="宋体" w:hAnsi="宋体"/>
          <w:szCs w:val="21"/>
        </w:rPr>
      </w:pPr>
      <w:r>
        <w:rPr>
          <w:rFonts w:hint="eastAsia" w:ascii="宋体" w:hAnsi="宋体"/>
          <w:b/>
          <w:bCs/>
          <w:szCs w:val="21"/>
        </w:rPr>
        <w:t xml:space="preserve"> 考核时相关人员数量达不到要求时，按以下条款进行相应处罚：清洁人员及绿化工每少1人扣5000元，秩序维护人员每少1人扣7000元，管理人员及维修工每少1人扣9000元。每一个资质不符合视同缺一人，以上费用从当月物业管理服务费中扣除。</w:t>
      </w:r>
    </w:p>
    <w:p w14:paraId="39DC4BB0">
      <w:pPr>
        <w:spacing w:line="400" w:lineRule="exact"/>
        <w:ind w:firstLine="411" w:firstLineChars="196"/>
        <w:rPr>
          <w:rFonts w:ascii="宋体" w:hAnsi="宋体"/>
          <w:szCs w:val="21"/>
        </w:rPr>
      </w:pPr>
      <w:r>
        <w:rPr>
          <w:rFonts w:hint="eastAsia" w:ascii="宋体" w:hAnsi="宋体"/>
          <w:szCs w:val="21"/>
        </w:rPr>
        <w:t>本考核为百分制，后附4个考评表：（1）设备</w:t>
      </w:r>
      <w:r>
        <w:rPr>
          <w:rFonts w:hint="eastAsia"/>
          <w:szCs w:val="21"/>
        </w:rPr>
        <w:t>管理与维修服务量化考评表；（2）</w:t>
      </w:r>
      <w:r>
        <w:rPr>
          <w:rFonts w:hint="eastAsia" w:ascii="宋体" w:hAnsi="宋体" w:cs="宋体"/>
          <w:kern w:val="0"/>
          <w:szCs w:val="21"/>
        </w:rPr>
        <w:t>安保（秩序维护）服务完成状况量化考评表；（3）</w:t>
      </w:r>
      <w:r>
        <w:rPr>
          <w:rFonts w:hint="eastAsia" w:ascii="宋体" w:hAnsi="宋体"/>
          <w:szCs w:val="21"/>
        </w:rPr>
        <w:t>保洁消杀服务</w:t>
      </w:r>
      <w:r>
        <w:rPr>
          <w:rFonts w:hint="eastAsia" w:ascii="宋体" w:hAnsi="宋体" w:cs="宋体"/>
          <w:kern w:val="0"/>
          <w:szCs w:val="21"/>
        </w:rPr>
        <w:t>完成状况量化考评表；（4）</w:t>
      </w:r>
      <w:r>
        <w:rPr>
          <w:rFonts w:hint="eastAsia" w:ascii="宋体" w:hAnsi="宋体"/>
          <w:szCs w:val="21"/>
        </w:rPr>
        <w:t>绿化服务</w:t>
      </w:r>
      <w:r>
        <w:rPr>
          <w:rFonts w:hint="eastAsia" w:ascii="宋体" w:hAnsi="宋体" w:cs="宋体"/>
          <w:kern w:val="0"/>
          <w:szCs w:val="21"/>
        </w:rPr>
        <w:t>完成状况量化考评表。</w:t>
      </w:r>
      <w:r>
        <w:rPr>
          <w:rFonts w:hint="eastAsia" w:ascii="宋体" w:hAnsi="宋体"/>
          <w:szCs w:val="21"/>
        </w:rPr>
        <w:t>每个考评表为百分制打分，权重分别为35%、30%、20%和15%，即每个表格满分折合成考核分别为35分、30分、20分、15分，每月考核4个考评表汇总得考核分满分为100分。</w:t>
      </w:r>
    </w:p>
    <w:p w14:paraId="4BFA22C5">
      <w:pPr>
        <w:pStyle w:val="18"/>
        <w:ind w:left="630"/>
        <w:rPr>
          <w:rFonts w:ascii="宋体" w:hAnsi="宋体"/>
          <w:bCs w:val="0"/>
          <w:sz w:val="21"/>
          <w:szCs w:val="21"/>
        </w:rPr>
      </w:pPr>
      <w:r>
        <w:rPr>
          <w:rFonts w:hint="eastAsia" w:ascii="宋体" w:hAnsi="宋体"/>
          <w:bCs w:val="0"/>
          <w:sz w:val="21"/>
          <w:szCs w:val="21"/>
        </w:rPr>
        <w:t>1.设备管理与维修服务量化考评表（总分100分）</w:t>
      </w:r>
    </w:p>
    <w:tbl>
      <w:tblPr>
        <w:tblStyle w:val="42"/>
        <w:tblW w:w="4997" w:type="pct"/>
        <w:tblInd w:w="0" w:type="dxa"/>
        <w:tblLayout w:type="autofit"/>
        <w:tblCellMar>
          <w:top w:w="0" w:type="dxa"/>
          <w:left w:w="108" w:type="dxa"/>
          <w:bottom w:w="0" w:type="dxa"/>
          <w:right w:w="108" w:type="dxa"/>
        </w:tblCellMar>
      </w:tblPr>
      <w:tblGrid>
        <w:gridCol w:w="397"/>
        <w:gridCol w:w="576"/>
        <w:gridCol w:w="462"/>
        <w:gridCol w:w="2163"/>
        <w:gridCol w:w="502"/>
        <w:gridCol w:w="2258"/>
        <w:gridCol w:w="577"/>
        <w:gridCol w:w="619"/>
        <w:gridCol w:w="754"/>
      </w:tblGrid>
      <w:tr w14:paraId="3403EEBB">
        <w:tblPrEx>
          <w:tblCellMar>
            <w:top w:w="0" w:type="dxa"/>
            <w:left w:w="108" w:type="dxa"/>
            <w:bottom w:w="0" w:type="dxa"/>
            <w:right w:w="108" w:type="dxa"/>
          </w:tblCellMar>
        </w:tblPrEx>
        <w:trPr>
          <w:trHeight w:val="607" w:hRule="atLeast"/>
          <w:tblHeader/>
        </w:trPr>
        <w:tc>
          <w:tcPr>
            <w:tcW w:w="249" w:type="pct"/>
            <w:tcBorders>
              <w:top w:val="single" w:color="auto" w:sz="4" w:space="0"/>
              <w:left w:val="single" w:color="auto" w:sz="4" w:space="0"/>
              <w:bottom w:val="single" w:color="auto" w:sz="4" w:space="0"/>
              <w:right w:val="single" w:color="auto" w:sz="4" w:space="0"/>
            </w:tcBorders>
            <w:vAlign w:val="center"/>
          </w:tcPr>
          <w:p w14:paraId="58BA6462">
            <w:pPr>
              <w:widowControl/>
              <w:jc w:val="center"/>
              <w:rPr>
                <w:rFonts w:ascii="宋体" w:hAnsi="宋体" w:cs="宋体"/>
                <w:b/>
                <w:kern w:val="0"/>
                <w:sz w:val="18"/>
                <w:szCs w:val="18"/>
              </w:rPr>
            </w:pPr>
            <w:r>
              <w:rPr>
                <w:rFonts w:hint="eastAsia" w:ascii="宋体" w:hAnsi="宋体" w:cs="宋体"/>
                <w:b/>
                <w:kern w:val="0"/>
                <w:sz w:val="18"/>
                <w:szCs w:val="18"/>
              </w:rPr>
              <w:t>序号</w:t>
            </w:r>
          </w:p>
        </w:tc>
        <w:tc>
          <w:tcPr>
            <w:tcW w:w="242" w:type="pct"/>
            <w:tcBorders>
              <w:top w:val="single" w:color="auto" w:sz="4" w:space="0"/>
              <w:left w:val="nil"/>
              <w:bottom w:val="single" w:color="auto" w:sz="4" w:space="0"/>
              <w:right w:val="single" w:color="auto" w:sz="4" w:space="0"/>
            </w:tcBorders>
            <w:vAlign w:val="center"/>
          </w:tcPr>
          <w:p w14:paraId="450252A9">
            <w:pPr>
              <w:widowControl/>
              <w:jc w:val="center"/>
              <w:rPr>
                <w:rFonts w:ascii="宋体" w:hAnsi="宋体" w:cs="宋体"/>
                <w:b/>
                <w:kern w:val="0"/>
                <w:sz w:val="18"/>
                <w:szCs w:val="18"/>
              </w:rPr>
            </w:pPr>
            <w:r>
              <w:rPr>
                <w:rFonts w:hint="eastAsia" w:ascii="宋体" w:hAnsi="宋体" w:cs="宋体"/>
                <w:b/>
                <w:kern w:val="0"/>
                <w:sz w:val="18"/>
                <w:szCs w:val="18"/>
              </w:rPr>
              <w:t>检查考核项目</w:t>
            </w:r>
          </w:p>
        </w:tc>
        <w:tc>
          <w:tcPr>
            <w:tcW w:w="304" w:type="pct"/>
            <w:tcBorders>
              <w:top w:val="single" w:color="auto" w:sz="4" w:space="0"/>
              <w:left w:val="nil"/>
              <w:bottom w:val="single" w:color="auto" w:sz="4" w:space="0"/>
              <w:right w:val="single" w:color="auto" w:sz="4" w:space="0"/>
            </w:tcBorders>
            <w:vAlign w:val="center"/>
          </w:tcPr>
          <w:p w14:paraId="1D2D3351">
            <w:pPr>
              <w:widowControl/>
              <w:jc w:val="center"/>
              <w:rPr>
                <w:rFonts w:ascii="宋体" w:hAnsi="宋体" w:cs="宋体"/>
                <w:b/>
                <w:kern w:val="0"/>
                <w:sz w:val="18"/>
                <w:szCs w:val="18"/>
              </w:rPr>
            </w:pPr>
            <w:r>
              <w:rPr>
                <w:rFonts w:hint="eastAsia" w:ascii="宋体" w:hAnsi="宋体" w:cs="宋体"/>
                <w:b/>
                <w:kern w:val="0"/>
                <w:sz w:val="18"/>
                <w:szCs w:val="18"/>
              </w:rPr>
              <w:t>标准分值</w:t>
            </w:r>
          </w:p>
        </w:tc>
        <w:tc>
          <w:tcPr>
            <w:tcW w:w="1320" w:type="pct"/>
            <w:tcBorders>
              <w:top w:val="single" w:color="auto" w:sz="4" w:space="0"/>
              <w:left w:val="nil"/>
              <w:bottom w:val="single" w:color="auto" w:sz="4" w:space="0"/>
              <w:right w:val="single" w:color="auto" w:sz="4" w:space="0"/>
            </w:tcBorders>
            <w:vAlign w:val="center"/>
          </w:tcPr>
          <w:p w14:paraId="3410A93C">
            <w:pPr>
              <w:widowControl/>
              <w:jc w:val="center"/>
              <w:rPr>
                <w:rFonts w:ascii="宋体" w:hAnsi="宋体" w:cs="宋体"/>
                <w:b/>
                <w:kern w:val="0"/>
                <w:sz w:val="18"/>
                <w:szCs w:val="18"/>
              </w:rPr>
            </w:pPr>
            <w:r>
              <w:rPr>
                <w:rFonts w:hint="eastAsia" w:ascii="宋体" w:hAnsi="宋体" w:cs="宋体"/>
                <w:b/>
                <w:kern w:val="0"/>
                <w:sz w:val="18"/>
                <w:szCs w:val="18"/>
              </w:rPr>
              <w:t>检查考核标准</w:t>
            </w:r>
          </w:p>
        </w:tc>
        <w:tc>
          <w:tcPr>
            <w:tcW w:w="320" w:type="pct"/>
            <w:tcBorders>
              <w:top w:val="single" w:color="auto" w:sz="4" w:space="0"/>
              <w:left w:val="nil"/>
              <w:bottom w:val="single" w:color="auto" w:sz="4" w:space="0"/>
              <w:right w:val="single" w:color="auto" w:sz="4" w:space="0"/>
            </w:tcBorders>
            <w:vAlign w:val="center"/>
          </w:tcPr>
          <w:p w14:paraId="67008FDC">
            <w:pPr>
              <w:widowControl/>
              <w:jc w:val="center"/>
              <w:rPr>
                <w:rFonts w:ascii="宋体" w:hAnsi="宋体" w:cs="宋体"/>
                <w:b/>
                <w:kern w:val="0"/>
                <w:sz w:val="18"/>
                <w:szCs w:val="18"/>
              </w:rPr>
            </w:pPr>
            <w:r>
              <w:rPr>
                <w:rFonts w:hint="eastAsia" w:ascii="宋体" w:hAnsi="宋体" w:cs="宋体"/>
                <w:b/>
                <w:kern w:val="0"/>
                <w:sz w:val="18"/>
                <w:szCs w:val="18"/>
              </w:rPr>
              <w:t>比例分值</w:t>
            </w:r>
          </w:p>
        </w:tc>
        <w:tc>
          <w:tcPr>
            <w:tcW w:w="1375" w:type="pct"/>
            <w:tcBorders>
              <w:top w:val="single" w:color="auto" w:sz="4" w:space="0"/>
              <w:left w:val="nil"/>
              <w:bottom w:val="single" w:color="auto" w:sz="4" w:space="0"/>
              <w:right w:val="single" w:color="auto" w:sz="4" w:space="0"/>
            </w:tcBorders>
            <w:vAlign w:val="center"/>
          </w:tcPr>
          <w:p w14:paraId="20A0B10E">
            <w:pPr>
              <w:widowControl/>
              <w:jc w:val="center"/>
              <w:rPr>
                <w:rFonts w:ascii="宋体" w:hAnsi="宋体" w:cs="宋体"/>
                <w:b/>
                <w:kern w:val="0"/>
                <w:sz w:val="18"/>
                <w:szCs w:val="18"/>
              </w:rPr>
            </w:pPr>
            <w:r>
              <w:rPr>
                <w:rFonts w:hint="eastAsia" w:ascii="宋体" w:hAnsi="宋体" w:cs="宋体"/>
                <w:b/>
                <w:kern w:val="0"/>
                <w:sz w:val="18"/>
                <w:szCs w:val="18"/>
              </w:rPr>
              <w:t>扣分标准</w:t>
            </w:r>
          </w:p>
        </w:tc>
        <w:tc>
          <w:tcPr>
            <w:tcW w:w="327" w:type="pct"/>
            <w:tcBorders>
              <w:top w:val="single" w:color="auto" w:sz="4" w:space="0"/>
              <w:left w:val="nil"/>
              <w:bottom w:val="single" w:color="auto" w:sz="4" w:space="0"/>
              <w:right w:val="single" w:color="auto" w:sz="4" w:space="0"/>
            </w:tcBorders>
            <w:vAlign w:val="center"/>
          </w:tcPr>
          <w:p w14:paraId="22014E52">
            <w:pPr>
              <w:widowControl/>
              <w:jc w:val="center"/>
              <w:rPr>
                <w:rFonts w:ascii="宋体" w:hAnsi="宋体" w:cs="宋体"/>
                <w:b/>
                <w:kern w:val="0"/>
                <w:sz w:val="18"/>
                <w:szCs w:val="18"/>
              </w:rPr>
            </w:pPr>
            <w:r>
              <w:rPr>
                <w:rFonts w:hint="eastAsia" w:ascii="宋体" w:hAnsi="宋体" w:cs="宋体"/>
                <w:b/>
                <w:kern w:val="0"/>
                <w:sz w:val="18"/>
                <w:szCs w:val="18"/>
              </w:rPr>
              <w:t>评分方法</w:t>
            </w:r>
          </w:p>
        </w:tc>
        <w:tc>
          <w:tcPr>
            <w:tcW w:w="390" w:type="pct"/>
            <w:tcBorders>
              <w:top w:val="single" w:color="auto" w:sz="4" w:space="0"/>
              <w:left w:val="nil"/>
              <w:bottom w:val="single" w:color="auto" w:sz="4" w:space="0"/>
              <w:right w:val="single" w:color="auto" w:sz="4" w:space="0"/>
            </w:tcBorders>
            <w:vAlign w:val="center"/>
          </w:tcPr>
          <w:p w14:paraId="771045DD">
            <w:pPr>
              <w:widowControl/>
              <w:jc w:val="center"/>
              <w:rPr>
                <w:rFonts w:ascii="宋体" w:hAnsi="宋体" w:cs="宋体"/>
                <w:b/>
                <w:kern w:val="0"/>
                <w:sz w:val="18"/>
                <w:szCs w:val="18"/>
              </w:rPr>
            </w:pPr>
            <w:r>
              <w:rPr>
                <w:rFonts w:hint="eastAsia" w:ascii="宋体" w:hAnsi="宋体" w:cs="宋体"/>
                <w:b/>
                <w:kern w:val="0"/>
                <w:sz w:val="18"/>
                <w:szCs w:val="18"/>
              </w:rPr>
              <w:t>扣分</w:t>
            </w:r>
          </w:p>
        </w:tc>
        <w:tc>
          <w:tcPr>
            <w:tcW w:w="468" w:type="pct"/>
            <w:tcBorders>
              <w:top w:val="single" w:color="auto" w:sz="4" w:space="0"/>
              <w:left w:val="nil"/>
              <w:bottom w:val="single" w:color="auto" w:sz="4" w:space="0"/>
              <w:right w:val="single" w:color="auto" w:sz="4" w:space="0"/>
            </w:tcBorders>
            <w:vAlign w:val="center"/>
          </w:tcPr>
          <w:p w14:paraId="782CF8CF">
            <w:pPr>
              <w:widowControl/>
              <w:jc w:val="center"/>
              <w:rPr>
                <w:rFonts w:ascii="宋体" w:hAnsi="宋体" w:cs="宋体"/>
                <w:b/>
                <w:kern w:val="0"/>
                <w:sz w:val="18"/>
                <w:szCs w:val="18"/>
              </w:rPr>
            </w:pPr>
            <w:r>
              <w:rPr>
                <w:rFonts w:hint="eastAsia" w:ascii="宋体" w:hAnsi="宋体" w:cs="宋体"/>
                <w:b/>
                <w:kern w:val="0"/>
                <w:sz w:val="18"/>
                <w:szCs w:val="18"/>
              </w:rPr>
              <w:t>得分</w:t>
            </w:r>
          </w:p>
        </w:tc>
      </w:tr>
      <w:tr w14:paraId="1F7F2192">
        <w:tblPrEx>
          <w:tblCellMar>
            <w:top w:w="0" w:type="dxa"/>
            <w:left w:w="108" w:type="dxa"/>
            <w:bottom w:w="0" w:type="dxa"/>
            <w:right w:w="108" w:type="dxa"/>
          </w:tblCellMar>
        </w:tblPrEx>
        <w:trPr>
          <w:trHeight w:val="444" w:hRule="atLeast"/>
        </w:trPr>
        <w:tc>
          <w:tcPr>
            <w:tcW w:w="249" w:type="pct"/>
            <w:vMerge w:val="restart"/>
            <w:tcBorders>
              <w:top w:val="nil"/>
              <w:left w:val="single" w:color="auto" w:sz="4" w:space="0"/>
              <w:bottom w:val="single" w:color="auto" w:sz="4" w:space="0"/>
              <w:right w:val="single" w:color="auto" w:sz="4" w:space="0"/>
            </w:tcBorders>
            <w:vAlign w:val="center"/>
          </w:tcPr>
          <w:p w14:paraId="1137BDF4">
            <w:pPr>
              <w:widowControl/>
              <w:jc w:val="center"/>
              <w:rPr>
                <w:rFonts w:ascii="宋体" w:hAnsi="宋体" w:cs="宋体"/>
                <w:kern w:val="0"/>
                <w:sz w:val="18"/>
                <w:szCs w:val="18"/>
              </w:rPr>
            </w:pPr>
            <w:r>
              <w:rPr>
                <w:rFonts w:hint="eastAsia" w:ascii="宋体" w:hAnsi="宋体" w:cs="宋体"/>
                <w:kern w:val="0"/>
                <w:sz w:val="18"/>
                <w:szCs w:val="18"/>
              </w:rPr>
              <w:t>一</w:t>
            </w:r>
          </w:p>
        </w:tc>
        <w:tc>
          <w:tcPr>
            <w:tcW w:w="242" w:type="pct"/>
            <w:vMerge w:val="restart"/>
            <w:tcBorders>
              <w:top w:val="nil"/>
              <w:left w:val="single" w:color="auto" w:sz="4" w:space="0"/>
              <w:bottom w:val="nil"/>
              <w:right w:val="single" w:color="auto" w:sz="4" w:space="0"/>
            </w:tcBorders>
            <w:vAlign w:val="center"/>
          </w:tcPr>
          <w:p w14:paraId="108C43A2">
            <w:pPr>
              <w:widowControl/>
              <w:jc w:val="center"/>
              <w:rPr>
                <w:rFonts w:ascii="宋体" w:hAnsi="宋体" w:cs="宋体"/>
                <w:kern w:val="0"/>
                <w:sz w:val="18"/>
                <w:szCs w:val="18"/>
              </w:rPr>
            </w:pPr>
            <w:r>
              <w:rPr>
                <w:rFonts w:hint="eastAsia" w:ascii="宋体" w:hAnsi="宋体" w:cs="宋体"/>
                <w:kern w:val="0"/>
                <w:sz w:val="18"/>
                <w:szCs w:val="18"/>
              </w:rPr>
              <w:t>制度建设</w:t>
            </w:r>
          </w:p>
        </w:tc>
        <w:tc>
          <w:tcPr>
            <w:tcW w:w="304" w:type="pct"/>
            <w:vMerge w:val="restart"/>
            <w:tcBorders>
              <w:top w:val="nil"/>
              <w:left w:val="single" w:color="auto" w:sz="4" w:space="0"/>
              <w:bottom w:val="nil"/>
              <w:right w:val="single" w:color="auto" w:sz="4" w:space="0"/>
            </w:tcBorders>
            <w:vAlign w:val="center"/>
          </w:tcPr>
          <w:p w14:paraId="696A271D">
            <w:pPr>
              <w:widowControl/>
              <w:jc w:val="center"/>
              <w:rPr>
                <w:rFonts w:ascii="宋体" w:hAnsi="宋体" w:cs="宋体"/>
                <w:kern w:val="0"/>
                <w:sz w:val="18"/>
                <w:szCs w:val="18"/>
              </w:rPr>
            </w:pPr>
            <w:r>
              <w:rPr>
                <w:rFonts w:hint="eastAsia" w:ascii="宋体" w:hAnsi="宋体" w:cs="宋体"/>
                <w:kern w:val="0"/>
                <w:sz w:val="18"/>
                <w:szCs w:val="18"/>
              </w:rPr>
              <w:t>13</w:t>
            </w:r>
          </w:p>
        </w:tc>
        <w:tc>
          <w:tcPr>
            <w:tcW w:w="1320" w:type="pct"/>
            <w:tcBorders>
              <w:top w:val="nil"/>
              <w:left w:val="nil"/>
              <w:bottom w:val="single" w:color="auto" w:sz="4" w:space="0"/>
              <w:right w:val="single" w:color="auto" w:sz="4" w:space="0"/>
            </w:tcBorders>
            <w:vAlign w:val="center"/>
          </w:tcPr>
          <w:p w14:paraId="2FF4A37F">
            <w:pPr>
              <w:widowControl/>
              <w:jc w:val="left"/>
              <w:rPr>
                <w:rFonts w:ascii="宋体" w:hAnsi="宋体" w:cs="宋体"/>
                <w:kern w:val="0"/>
                <w:sz w:val="18"/>
                <w:szCs w:val="18"/>
              </w:rPr>
            </w:pPr>
            <w:r>
              <w:rPr>
                <w:rFonts w:hint="eastAsia" w:ascii="宋体" w:hAnsi="宋体" w:cs="宋体"/>
                <w:kern w:val="0"/>
                <w:sz w:val="18"/>
                <w:szCs w:val="18"/>
              </w:rPr>
              <w:t>建立完善的质量保证体系，水电运行组织机构完整</w:t>
            </w:r>
          </w:p>
        </w:tc>
        <w:tc>
          <w:tcPr>
            <w:tcW w:w="320" w:type="pct"/>
            <w:tcBorders>
              <w:top w:val="nil"/>
              <w:left w:val="nil"/>
              <w:bottom w:val="single" w:color="auto" w:sz="4" w:space="0"/>
              <w:right w:val="single" w:color="auto" w:sz="4" w:space="0"/>
            </w:tcBorders>
            <w:vAlign w:val="center"/>
          </w:tcPr>
          <w:p w14:paraId="6B793C5C">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21A5C375">
            <w:pPr>
              <w:widowControl/>
              <w:jc w:val="left"/>
              <w:rPr>
                <w:rFonts w:ascii="宋体" w:hAnsi="宋体" w:cs="宋体"/>
                <w:kern w:val="0"/>
                <w:sz w:val="18"/>
                <w:szCs w:val="18"/>
              </w:rPr>
            </w:pPr>
            <w:r>
              <w:rPr>
                <w:rFonts w:hint="eastAsia" w:ascii="宋体" w:hAnsi="宋体" w:cs="宋体"/>
                <w:kern w:val="0"/>
                <w:sz w:val="18"/>
                <w:szCs w:val="18"/>
              </w:rPr>
              <w:t>未建立完善的质量保证体系扣1分，机构不完整扣1分</w:t>
            </w:r>
          </w:p>
        </w:tc>
        <w:tc>
          <w:tcPr>
            <w:tcW w:w="327" w:type="pct"/>
            <w:vMerge w:val="restart"/>
            <w:tcBorders>
              <w:top w:val="nil"/>
              <w:left w:val="single" w:color="auto" w:sz="4" w:space="0"/>
              <w:bottom w:val="single" w:color="000000" w:sz="4" w:space="0"/>
              <w:right w:val="single" w:color="auto" w:sz="4" w:space="0"/>
            </w:tcBorders>
            <w:vAlign w:val="center"/>
          </w:tcPr>
          <w:p w14:paraId="47689612">
            <w:pPr>
              <w:widowControl/>
              <w:jc w:val="center"/>
              <w:rPr>
                <w:rFonts w:ascii="宋体" w:hAnsi="宋体" w:cs="宋体"/>
                <w:kern w:val="0"/>
                <w:sz w:val="18"/>
                <w:szCs w:val="18"/>
              </w:rPr>
            </w:pPr>
            <w:r>
              <w:rPr>
                <w:rFonts w:hint="eastAsia" w:ascii="宋体" w:hAnsi="宋体" w:cs="宋体"/>
                <w:kern w:val="0"/>
                <w:sz w:val="18"/>
                <w:szCs w:val="18"/>
              </w:rPr>
              <w:t>查看资料、记录现场检查等</w:t>
            </w:r>
          </w:p>
        </w:tc>
        <w:tc>
          <w:tcPr>
            <w:tcW w:w="390" w:type="pct"/>
            <w:tcBorders>
              <w:top w:val="nil"/>
              <w:left w:val="nil"/>
              <w:bottom w:val="single" w:color="auto" w:sz="4" w:space="0"/>
              <w:right w:val="single" w:color="auto" w:sz="4" w:space="0"/>
            </w:tcBorders>
            <w:vAlign w:val="center"/>
          </w:tcPr>
          <w:p w14:paraId="6CD5D9C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3A17DB8">
            <w:pPr>
              <w:widowControl/>
              <w:jc w:val="left"/>
              <w:rPr>
                <w:rFonts w:ascii="宋体" w:hAnsi="宋体" w:cs="宋体"/>
                <w:kern w:val="0"/>
                <w:sz w:val="18"/>
                <w:szCs w:val="18"/>
              </w:rPr>
            </w:pPr>
            <w:r>
              <w:rPr>
                <w:rFonts w:hint="eastAsia" w:ascii="宋体" w:hAnsi="宋体" w:cs="宋体"/>
                <w:kern w:val="0"/>
                <w:sz w:val="18"/>
                <w:szCs w:val="18"/>
              </w:rPr>
              <w:t>　</w:t>
            </w:r>
          </w:p>
        </w:tc>
      </w:tr>
      <w:tr w14:paraId="188CDEAA">
        <w:tblPrEx>
          <w:tblCellMar>
            <w:top w:w="0" w:type="dxa"/>
            <w:left w:w="108" w:type="dxa"/>
            <w:bottom w:w="0" w:type="dxa"/>
            <w:right w:w="108" w:type="dxa"/>
          </w:tblCellMar>
        </w:tblPrEx>
        <w:trPr>
          <w:trHeight w:val="750" w:hRule="atLeast"/>
        </w:trPr>
        <w:tc>
          <w:tcPr>
            <w:tcW w:w="249" w:type="pct"/>
            <w:vMerge w:val="continue"/>
            <w:tcBorders>
              <w:top w:val="nil"/>
              <w:left w:val="single" w:color="auto" w:sz="4" w:space="0"/>
              <w:bottom w:val="single" w:color="auto" w:sz="4" w:space="0"/>
              <w:right w:val="single" w:color="auto" w:sz="4" w:space="0"/>
            </w:tcBorders>
            <w:vAlign w:val="center"/>
          </w:tcPr>
          <w:p w14:paraId="674A0481">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75F5DCE9">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1F1944A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89F30D8">
            <w:pPr>
              <w:widowControl/>
              <w:jc w:val="left"/>
              <w:rPr>
                <w:rFonts w:ascii="宋体" w:hAnsi="宋体" w:cs="宋体"/>
                <w:kern w:val="0"/>
                <w:sz w:val="18"/>
                <w:szCs w:val="18"/>
              </w:rPr>
            </w:pPr>
            <w:r>
              <w:rPr>
                <w:rFonts w:hint="eastAsia" w:ascii="宋体" w:hAnsi="宋体" w:cs="宋体"/>
                <w:kern w:val="0"/>
                <w:sz w:val="18"/>
                <w:szCs w:val="18"/>
              </w:rPr>
              <w:t>提供切实可行的运行管理、维护保养、维修的实施方案和各种措施</w:t>
            </w:r>
          </w:p>
        </w:tc>
        <w:tc>
          <w:tcPr>
            <w:tcW w:w="320" w:type="pct"/>
            <w:tcBorders>
              <w:top w:val="nil"/>
              <w:left w:val="nil"/>
              <w:bottom w:val="single" w:color="auto" w:sz="4" w:space="0"/>
              <w:right w:val="single" w:color="auto" w:sz="4" w:space="0"/>
            </w:tcBorders>
            <w:vAlign w:val="center"/>
          </w:tcPr>
          <w:p w14:paraId="63673AA1">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0BAE98AF">
            <w:pPr>
              <w:widowControl/>
              <w:jc w:val="left"/>
              <w:rPr>
                <w:rFonts w:ascii="宋体" w:hAnsi="宋体" w:cs="宋体"/>
                <w:kern w:val="0"/>
                <w:sz w:val="18"/>
                <w:szCs w:val="18"/>
              </w:rPr>
            </w:pPr>
            <w:r>
              <w:rPr>
                <w:rFonts w:hint="eastAsia" w:ascii="宋体" w:hAnsi="宋体" w:cs="宋体"/>
                <w:kern w:val="0"/>
                <w:sz w:val="18"/>
                <w:szCs w:val="18"/>
              </w:rPr>
              <w:t>未提供切实可行的运行管理、维护保养、维修的实施方案和各种措施扣2分</w:t>
            </w:r>
          </w:p>
        </w:tc>
        <w:tc>
          <w:tcPr>
            <w:tcW w:w="327" w:type="pct"/>
            <w:vMerge w:val="continue"/>
            <w:tcBorders>
              <w:top w:val="nil"/>
              <w:left w:val="single" w:color="auto" w:sz="4" w:space="0"/>
              <w:bottom w:val="single" w:color="000000" w:sz="4" w:space="0"/>
              <w:right w:val="single" w:color="auto" w:sz="4" w:space="0"/>
            </w:tcBorders>
            <w:vAlign w:val="center"/>
          </w:tcPr>
          <w:p w14:paraId="6E3C6D27">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25EB3B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6EE69A2">
            <w:pPr>
              <w:widowControl/>
              <w:jc w:val="left"/>
              <w:rPr>
                <w:rFonts w:ascii="宋体" w:hAnsi="宋体" w:cs="宋体"/>
                <w:kern w:val="0"/>
                <w:sz w:val="18"/>
                <w:szCs w:val="18"/>
              </w:rPr>
            </w:pPr>
            <w:r>
              <w:rPr>
                <w:rFonts w:hint="eastAsia" w:ascii="宋体" w:hAnsi="宋体" w:cs="宋体"/>
                <w:kern w:val="0"/>
                <w:sz w:val="18"/>
                <w:szCs w:val="18"/>
              </w:rPr>
              <w:t>　</w:t>
            </w:r>
          </w:p>
        </w:tc>
      </w:tr>
      <w:tr w14:paraId="37589FDE">
        <w:tblPrEx>
          <w:tblCellMar>
            <w:top w:w="0" w:type="dxa"/>
            <w:left w:w="108" w:type="dxa"/>
            <w:bottom w:w="0" w:type="dxa"/>
            <w:right w:w="108" w:type="dxa"/>
          </w:tblCellMar>
        </w:tblPrEx>
        <w:trPr>
          <w:trHeight w:val="267" w:hRule="atLeast"/>
        </w:trPr>
        <w:tc>
          <w:tcPr>
            <w:tcW w:w="249" w:type="pct"/>
            <w:vMerge w:val="continue"/>
            <w:tcBorders>
              <w:top w:val="nil"/>
              <w:left w:val="single" w:color="auto" w:sz="4" w:space="0"/>
              <w:bottom w:val="single" w:color="auto" w:sz="4" w:space="0"/>
              <w:right w:val="single" w:color="auto" w:sz="4" w:space="0"/>
            </w:tcBorders>
            <w:vAlign w:val="center"/>
          </w:tcPr>
          <w:p w14:paraId="2FC8003C">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54B4F86F">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2FAF8B7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8ACA19B">
            <w:pPr>
              <w:widowControl/>
              <w:jc w:val="left"/>
              <w:rPr>
                <w:rFonts w:ascii="宋体" w:hAnsi="宋体" w:cs="宋体"/>
                <w:kern w:val="0"/>
                <w:sz w:val="18"/>
                <w:szCs w:val="18"/>
              </w:rPr>
            </w:pPr>
            <w:r>
              <w:rPr>
                <w:rFonts w:hint="eastAsia" w:ascii="宋体" w:hAnsi="宋体" w:cs="宋体"/>
                <w:kern w:val="0"/>
                <w:sz w:val="18"/>
                <w:szCs w:val="18"/>
              </w:rPr>
              <w:t>建立紧急发生的供配电和给排水问题的应急预案</w:t>
            </w:r>
          </w:p>
        </w:tc>
        <w:tc>
          <w:tcPr>
            <w:tcW w:w="320" w:type="pct"/>
            <w:tcBorders>
              <w:top w:val="nil"/>
              <w:left w:val="nil"/>
              <w:bottom w:val="single" w:color="auto" w:sz="4" w:space="0"/>
              <w:right w:val="single" w:color="auto" w:sz="4" w:space="0"/>
            </w:tcBorders>
            <w:vAlign w:val="center"/>
          </w:tcPr>
          <w:p w14:paraId="264C24BD">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530991FA">
            <w:pPr>
              <w:widowControl/>
              <w:jc w:val="left"/>
              <w:rPr>
                <w:rFonts w:ascii="宋体" w:hAnsi="宋体" w:cs="宋体"/>
                <w:kern w:val="0"/>
                <w:sz w:val="18"/>
                <w:szCs w:val="18"/>
              </w:rPr>
            </w:pPr>
            <w:r>
              <w:rPr>
                <w:rFonts w:hint="eastAsia" w:ascii="宋体" w:hAnsi="宋体" w:cs="宋体"/>
                <w:kern w:val="0"/>
                <w:sz w:val="18"/>
                <w:szCs w:val="18"/>
              </w:rPr>
              <w:t>无应急预案扣2分</w:t>
            </w:r>
          </w:p>
        </w:tc>
        <w:tc>
          <w:tcPr>
            <w:tcW w:w="327" w:type="pct"/>
            <w:vMerge w:val="continue"/>
            <w:tcBorders>
              <w:top w:val="nil"/>
              <w:left w:val="single" w:color="auto" w:sz="4" w:space="0"/>
              <w:bottom w:val="single" w:color="000000" w:sz="4" w:space="0"/>
              <w:right w:val="single" w:color="auto" w:sz="4" w:space="0"/>
            </w:tcBorders>
            <w:vAlign w:val="center"/>
          </w:tcPr>
          <w:p w14:paraId="6907257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B3D3BC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0FDD6B6">
            <w:pPr>
              <w:widowControl/>
              <w:jc w:val="left"/>
              <w:rPr>
                <w:rFonts w:ascii="宋体" w:hAnsi="宋体" w:cs="宋体"/>
                <w:kern w:val="0"/>
                <w:sz w:val="18"/>
                <w:szCs w:val="18"/>
              </w:rPr>
            </w:pPr>
            <w:r>
              <w:rPr>
                <w:rFonts w:hint="eastAsia" w:ascii="宋体" w:hAnsi="宋体" w:cs="宋体"/>
                <w:kern w:val="0"/>
                <w:sz w:val="18"/>
                <w:szCs w:val="18"/>
              </w:rPr>
              <w:t>　</w:t>
            </w:r>
          </w:p>
        </w:tc>
      </w:tr>
      <w:tr w14:paraId="6EFA628F">
        <w:tblPrEx>
          <w:tblCellMar>
            <w:top w:w="0" w:type="dxa"/>
            <w:left w:w="108" w:type="dxa"/>
            <w:bottom w:w="0" w:type="dxa"/>
            <w:right w:w="108" w:type="dxa"/>
          </w:tblCellMar>
        </w:tblPrEx>
        <w:trPr>
          <w:trHeight w:val="614" w:hRule="atLeast"/>
        </w:trPr>
        <w:tc>
          <w:tcPr>
            <w:tcW w:w="249" w:type="pct"/>
            <w:vMerge w:val="continue"/>
            <w:tcBorders>
              <w:top w:val="nil"/>
              <w:left w:val="single" w:color="auto" w:sz="4" w:space="0"/>
              <w:bottom w:val="single" w:color="auto" w:sz="4" w:space="0"/>
              <w:right w:val="single" w:color="auto" w:sz="4" w:space="0"/>
            </w:tcBorders>
            <w:vAlign w:val="center"/>
          </w:tcPr>
          <w:p w14:paraId="2E3D1222">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45E51550">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4348098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F186D28">
            <w:pPr>
              <w:widowControl/>
              <w:jc w:val="left"/>
              <w:rPr>
                <w:rFonts w:ascii="宋体" w:hAnsi="宋体" w:cs="宋体"/>
                <w:kern w:val="0"/>
                <w:sz w:val="18"/>
                <w:szCs w:val="18"/>
              </w:rPr>
            </w:pPr>
            <w:r>
              <w:rPr>
                <w:rFonts w:hint="eastAsia" w:ascii="宋体" w:hAnsi="宋体" w:cs="宋体"/>
                <w:kern w:val="0"/>
                <w:sz w:val="18"/>
                <w:szCs w:val="18"/>
              </w:rPr>
              <w:t>考评期内无发生重大电气设备事故、无发生重大的供排水设备事故</w:t>
            </w:r>
          </w:p>
        </w:tc>
        <w:tc>
          <w:tcPr>
            <w:tcW w:w="320" w:type="pct"/>
            <w:tcBorders>
              <w:top w:val="nil"/>
              <w:left w:val="nil"/>
              <w:bottom w:val="single" w:color="auto" w:sz="4" w:space="0"/>
              <w:right w:val="single" w:color="auto" w:sz="4" w:space="0"/>
            </w:tcBorders>
            <w:vAlign w:val="center"/>
          </w:tcPr>
          <w:p w14:paraId="0B8B9588">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7956D52E">
            <w:pPr>
              <w:widowControl/>
              <w:jc w:val="left"/>
              <w:rPr>
                <w:rFonts w:ascii="宋体" w:hAnsi="宋体" w:cs="宋体"/>
                <w:kern w:val="0"/>
                <w:sz w:val="18"/>
                <w:szCs w:val="18"/>
              </w:rPr>
            </w:pPr>
            <w:r>
              <w:rPr>
                <w:rFonts w:hint="eastAsia" w:ascii="宋体" w:hAnsi="宋体" w:cs="宋体"/>
                <w:kern w:val="0"/>
                <w:sz w:val="18"/>
                <w:szCs w:val="18"/>
              </w:rPr>
              <w:t>有发生扣2分</w:t>
            </w:r>
          </w:p>
        </w:tc>
        <w:tc>
          <w:tcPr>
            <w:tcW w:w="327" w:type="pct"/>
            <w:vMerge w:val="continue"/>
            <w:tcBorders>
              <w:top w:val="nil"/>
              <w:left w:val="single" w:color="auto" w:sz="4" w:space="0"/>
              <w:bottom w:val="single" w:color="000000" w:sz="4" w:space="0"/>
              <w:right w:val="single" w:color="auto" w:sz="4" w:space="0"/>
            </w:tcBorders>
            <w:vAlign w:val="center"/>
          </w:tcPr>
          <w:p w14:paraId="573D39E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F1914F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9F5DA1D">
            <w:pPr>
              <w:widowControl/>
              <w:jc w:val="left"/>
              <w:rPr>
                <w:rFonts w:ascii="宋体" w:hAnsi="宋体" w:cs="宋体"/>
                <w:kern w:val="0"/>
                <w:sz w:val="18"/>
                <w:szCs w:val="18"/>
              </w:rPr>
            </w:pPr>
            <w:r>
              <w:rPr>
                <w:rFonts w:hint="eastAsia" w:ascii="宋体" w:hAnsi="宋体" w:cs="宋体"/>
                <w:kern w:val="0"/>
                <w:sz w:val="18"/>
                <w:szCs w:val="18"/>
              </w:rPr>
              <w:t>　</w:t>
            </w:r>
          </w:p>
        </w:tc>
      </w:tr>
      <w:tr w14:paraId="2D32C681">
        <w:tblPrEx>
          <w:tblCellMar>
            <w:top w:w="0" w:type="dxa"/>
            <w:left w:w="108" w:type="dxa"/>
            <w:bottom w:w="0" w:type="dxa"/>
            <w:right w:w="108" w:type="dxa"/>
          </w:tblCellMar>
        </w:tblPrEx>
        <w:trPr>
          <w:trHeight w:val="250" w:hRule="atLeast"/>
        </w:trPr>
        <w:tc>
          <w:tcPr>
            <w:tcW w:w="249" w:type="pct"/>
            <w:vMerge w:val="continue"/>
            <w:tcBorders>
              <w:top w:val="nil"/>
              <w:left w:val="single" w:color="auto" w:sz="4" w:space="0"/>
              <w:bottom w:val="single" w:color="auto" w:sz="4" w:space="0"/>
              <w:right w:val="single" w:color="auto" w:sz="4" w:space="0"/>
            </w:tcBorders>
            <w:vAlign w:val="center"/>
          </w:tcPr>
          <w:p w14:paraId="161E7A7B">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04D09710">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396D9F6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80A8E3B">
            <w:pPr>
              <w:widowControl/>
              <w:jc w:val="left"/>
              <w:rPr>
                <w:rFonts w:ascii="宋体" w:hAnsi="宋体" w:cs="宋体"/>
                <w:kern w:val="0"/>
                <w:sz w:val="18"/>
                <w:szCs w:val="18"/>
              </w:rPr>
            </w:pPr>
            <w:r>
              <w:rPr>
                <w:rFonts w:hint="eastAsia" w:ascii="宋体" w:hAnsi="宋体" w:cs="宋体"/>
                <w:kern w:val="0"/>
                <w:sz w:val="18"/>
                <w:szCs w:val="18"/>
              </w:rPr>
              <w:t>发生紧急供配电和给排水问题,在第一时间赶到现场处理</w:t>
            </w:r>
          </w:p>
        </w:tc>
        <w:tc>
          <w:tcPr>
            <w:tcW w:w="320" w:type="pct"/>
            <w:tcBorders>
              <w:top w:val="nil"/>
              <w:left w:val="nil"/>
              <w:bottom w:val="single" w:color="auto" w:sz="4" w:space="0"/>
              <w:right w:val="single" w:color="auto" w:sz="4" w:space="0"/>
            </w:tcBorders>
            <w:vAlign w:val="center"/>
          </w:tcPr>
          <w:p w14:paraId="3E8D4573">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0D26FE5A">
            <w:pPr>
              <w:widowControl/>
              <w:jc w:val="left"/>
              <w:rPr>
                <w:rFonts w:ascii="宋体" w:hAnsi="宋体" w:cs="宋体"/>
                <w:kern w:val="0"/>
                <w:sz w:val="18"/>
                <w:szCs w:val="18"/>
              </w:rPr>
            </w:pPr>
            <w:r>
              <w:rPr>
                <w:rFonts w:hint="eastAsia" w:ascii="宋体" w:hAnsi="宋体" w:cs="宋体"/>
                <w:kern w:val="0"/>
                <w:sz w:val="18"/>
                <w:szCs w:val="18"/>
              </w:rPr>
              <w:t>未能在第一时间赶到现场处理的扣1分</w:t>
            </w:r>
          </w:p>
        </w:tc>
        <w:tc>
          <w:tcPr>
            <w:tcW w:w="327" w:type="pct"/>
            <w:vMerge w:val="continue"/>
            <w:tcBorders>
              <w:top w:val="nil"/>
              <w:left w:val="single" w:color="auto" w:sz="4" w:space="0"/>
              <w:bottom w:val="single" w:color="000000" w:sz="4" w:space="0"/>
              <w:right w:val="single" w:color="auto" w:sz="4" w:space="0"/>
            </w:tcBorders>
            <w:vAlign w:val="center"/>
          </w:tcPr>
          <w:p w14:paraId="637F5A0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ED1C4C4">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6DD2B6F">
            <w:pPr>
              <w:widowControl/>
              <w:jc w:val="left"/>
              <w:rPr>
                <w:rFonts w:ascii="宋体" w:hAnsi="宋体" w:cs="宋体"/>
                <w:kern w:val="0"/>
                <w:sz w:val="18"/>
                <w:szCs w:val="18"/>
              </w:rPr>
            </w:pPr>
            <w:r>
              <w:rPr>
                <w:rFonts w:hint="eastAsia" w:ascii="宋体" w:hAnsi="宋体" w:cs="宋体"/>
                <w:kern w:val="0"/>
                <w:sz w:val="18"/>
                <w:szCs w:val="18"/>
              </w:rPr>
              <w:t>　</w:t>
            </w:r>
          </w:p>
        </w:tc>
      </w:tr>
      <w:tr w14:paraId="5FA9A23B">
        <w:tblPrEx>
          <w:tblCellMar>
            <w:top w:w="0" w:type="dxa"/>
            <w:left w:w="108" w:type="dxa"/>
            <w:bottom w:w="0" w:type="dxa"/>
            <w:right w:w="108" w:type="dxa"/>
          </w:tblCellMar>
        </w:tblPrEx>
        <w:trPr>
          <w:trHeight w:val="423" w:hRule="atLeast"/>
        </w:trPr>
        <w:tc>
          <w:tcPr>
            <w:tcW w:w="249" w:type="pct"/>
            <w:vMerge w:val="continue"/>
            <w:tcBorders>
              <w:top w:val="nil"/>
              <w:left w:val="single" w:color="auto" w:sz="4" w:space="0"/>
              <w:bottom w:val="single" w:color="auto" w:sz="4" w:space="0"/>
              <w:right w:val="single" w:color="auto" w:sz="4" w:space="0"/>
            </w:tcBorders>
            <w:vAlign w:val="center"/>
          </w:tcPr>
          <w:p w14:paraId="422813BF">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452AB847">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0090247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8EB0581">
            <w:pPr>
              <w:widowControl/>
              <w:jc w:val="left"/>
              <w:rPr>
                <w:rFonts w:ascii="宋体" w:hAnsi="宋体" w:cs="宋体"/>
                <w:kern w:val="0"/>
                <w:sz w:val="18"/>
                <w:szCs w:val="18"/>
              </w:rPr>
            </w:pPr>
            <w:r>
              <w:rPr>
                <w:rFonts w:hint="eastAsia" w:ascii="宋体" w:hAnsi="宋体" w:cs="宋体"/>
                <w:kern w:val="0"/>
                <w:sz w:val="18"/>
                <w:szCs w:val="18"/>
              </w:rPr>
              <w:t>制定设备安全运行管理、岗位责任制</w:t>
            </w:r>
          </w:p>
        </w:tc>
        <w:tc>
          <w:tcPr>
            <w:tcW w:w="320" w:type="pct"/>
            <w:tcBorders>
              <w:top w:val="nil"/>
              <w:left w:val="nil"/>
              <w:bottom w:val="single" w:color="auto" w:sz="4" w:space="0"/>
              <w:right w:val="single" w:color="auto" w:sz="4" w:space="0"/>
            </w:tcBorders>
            <w:vAlign w:val="center"/>
          </w:tcPr>
          <w:p w14:paraId="2632C9B8">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4F8E4607">
            <w:pPr>
              <w:widowControl/>
              <w:jc w:val="left"/>
              <w:rPr>
                <w:rFonts w:ascii="宋体" w:hAnsi="宋体" w:cs="宋体"/>
                <w:kern w:val="0"/>
                <w:sz w:val="18"/>
                <w:szCs w:val="18"/>
              </w:rPr>
            </w:pPr>
            <w:r>
              <w:rPr>
                <w:rFonts w:hint="eastAsia" w:ascii="宋体" w:hAnsi="宋体" w:cs="宋体"/>
                <w:kern w:val="0"/>
                <w:sz w:val="18"/>
                <w:szCs w:val="18"/>
              </w:rPr>
              <w:t>未制定设备安全运行管理、岗位责任制扣1分</w:t>
            </w:r>
          </w:p>
        </w:tc>
        <w:tc>
          <w:tcPr>
            <w:tcW w:w="327" w:type="pct"/>
            <w:vMerge w:val="continue"/>
            <w:tcBorders>
              <w:top w:val="nil"/>
              <w:left w:val="single" w:color="auto" w:sz="4" w:space="0"/>
              <w:bottom w:val="single" w:color="000000" w:sz="4" w:space="0"/>
              <w:right w:val="single" w:color="auto" w:sz="4" w:space="0"/>
            </w:tcBorders>
            <w:vAlign w:val="center"/>
          </w:tcPr>
          <w:p w14:paraId="4D3265BB">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02D5CB0">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BD894D5">
            <w:pPr>
              <w:widowControl/>
              <w:jc w:val="left"/>
              <w:rPr>
                <w:rFonts w:ascii="宋体" w:hAnsi="宋体" w:cs="宋体"/>
                <w:kern w:val="0"/>
                <w:sz w:val="18"/>
                <w:szCs w:val="18"/>
              </w:rPr>
            </w:pPr>
            <w:r>
              <w:rPr>
                <w:rFonts w:hint="eastAsia" w:ascii="宋体" w:hAnsi="宋体" w:cs="宋体"/>
                <w:kern w:val="0"/>
                <w:sz w:val="18"/>
                <w:szCs w:val="18"/>
              </w:rPr>
              <w:t>　</w:t>
            </w:r>
          </w:p>
        </w:tc>
      </w:tr>
      <w:tr w14:paraId="2BC95A72">
        <w:tblPrEx>
          <w:tblCellMar>
            <w:top w:w="0" w:type="dxa"/>
            <w:left w:w="108" w:type="dxa"/>
            <w:bottom w:w="0" w:type="dxa"/>
            <w:right w:w="108" w:type="dxa"/>
          </w:tblCellMar>
        </w:tblPrEx>
        <w:trPr>
          <w:trHeight w:val="261" w:hRule="atLeast"/>
        </w:trPr>
        <w:tc>
          <w:tcPr>
            <w:tcW w:w="249" w:type="pct"/>
            <w:vMerge w:val="continue"/>
            <w:tcBorders>
              <w:top w:val="nil"/>
              <w:left w:val="single" w:color="auto" w:sz="4" w:space="0"/>
              <w:bottom w:val="single" w:color="auto" w:sz="4" w:space="0"/>
              <w:right w:val="single" w:color="auto" w:sz="4" w:space="0"/>
            </w:tcBorders>
            <w:vAlign w:val="center"/>
          </w:tcPr>
          <w:p w14:paraId="2343E261">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1561EBA7">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3AB127A1">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F51610A">
            <w:pPr>
              <w:widowControl/>
              <w:jc w:val="left"/>
              <w:rPr>
                <w:rFonts w:ascii="宋体" w:hAnsi="宋体" w:cs="宋体"/>
                <w:kern w:val="0"/>
                <w:sz w:val="18"/>
                <w:szCs w:val="18"/>
              </w:rPr>
            </w:pPr>
            <w:r>
              <w:rPr>
                <w:rFonts w:hint="eastAsia" w:ascii="宋体" w:hAnsi="宋体" w:cs="宋体"/>
                <w:kern w:val="0"/>
                <w:sz w:val="18"/>
                <w:szCs w:val="18"/>
              </w:rPr>
              <w:t>制定巡视检查、操作规程及监督检查制度</w:t>
            </w:r>
          </w:p>
        </w:tc>
        <w:tc>
          <w:tcPr>
            <w:tcW w:w="320" w:type="pct"/>
            <w:tcBorders>
              <w:top w:val="nil"/>
              <w:left w:val="nil"/>
              <w:bottom w:val="single" w:color="auto" w:sz="4" w:space="0"/>
              <w:right w:val="single" w:color="auto" w:sz="4" w:space="0"/>
            </w:tcBorders>
            <w:vAlign w:val="center"/>
          </w:tcPr>
          <w:p w14:paraId="07006861">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0EB9F8D">
            <w:pPr>
              <w:widowControl/>
              <w:jc w:val="left"/>
              <w:rPr>
                <w:rFonts w:ascii="宋体" w:hAnsi="宋体" w:cs="宋体"/>
                <w:kern w:val="0"/>
                <w:sz w:val="18"/>
                <w:szCs w:val="18"/>
              </w:rPr>
            </w:pPr>
            <w:r>
              <w:rPr>
                <w:rFonts w:hint="eastAsia" w:ascii="宋体" w:hAnsi="宋体" w:cs="宋体"/>
                <w:kern w:val="0"/>
                <w:sz w:val="18"/>
                <w:szCs w:val="18"/>
              </w:rPr>
              <w:t>未制定巡视检查、操作规程及监督检查制度扣1分</w:t>
            </w:r>
          </w:p>
        </w:tc>
        <w:tc>
          <w:tcPr>
            <w:tcW w:w="327" w:type="pct"/>
            <w:vMerge w:val="continue"/>
            <w:tcBorders>
              <w:top w:val="nil"/>
              <w:left w:val="single" w:color="auto" w:sz="4" w:space="0"/>
              <w:bottom w:val="single" w:color="000000" w:sz="4" w:space="0"/>
              <w:right w:val="single" w:color="auto" w:sz="4" w:space="0"/>
            </w:tcBorders>
            <w:vAlign w:val="center"/>
          </w:tcPr>
          <w:p w14:paraId="5903013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52AEC0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4C957C3">
            <w:pPr>
              <w:widowControl/>
              <w:jc w:val="left"/>
              <w:rPr>
                <w:rFonts w:ascii="宋体" w:hAnsi="宋体" w:cs="宋体"/>
                <w:kern w:val="0"/>
                <w:sz w:val="18"/>
                <w:szCs w:val="18"/>
              </w:rPr>
            </w:pPr>
            <w:r>
              <w:rPr>
                <w:rFonts w:hint="eastAsia" w:ascii="宋体" w:hAnsi="宋体" w:cs="宋体"/>
                <w:kern w:val="0"/>
                <w:sz w:val="18"/>
                <w:szCs w:val="18"/>
              </w:rPr>
              <w:t>　</w:t>
            </w:r>
          </w:p>
        </w:tc>
      </w:tr>
      <w:tr w14:paraId="4D25A0B3">
        <w:tblPrEx>
          <w:tblCellMar>
            <w:top w:w="0" w:type="dxa"/>
            <w:left w:w="108" w:type="dxa"/>
            <w:bottom w:w="0" w:type="dxa"/>
            <w:right w:w="108" w:type="dxa"/>
          </w:tblCellMar>
        </w:tblPrEx>
        <w:trPr>
          <w:trHeight w:val="672" w:hRule="atLeast"/>
        </w:trPr>
        <w:tc>
          <w:tcPr>
            <w:tcW w:w="249" w:type="pct"/>
            <w:vMerge w:val="continue"/>
            <w:tcBorders>
              <w:top w:val="nil"/>
              <w:left w:val="single" w:color="auto" w:sz="4" w:space="0"/>
              <w:bottom w:val="single" w:color="auto" w:sz="4" w:space="0"/>
              <w:right w:val="single" w:color="auto" w:sz="4" w:space="0"/>
            </w:tcBorders>
            <w:vAlign w:val="center"/>
          </w:tcPr>
          <w:p w14:paraId="780B5DC2">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6ED7E75B">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5C1F965B">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648BF0C">
            <w:pPr>
              <w:widowControl/>
              <w:jc w:val="left"/>
              <w:rPr>
                <w:rFonts w:ascii="宋体" w:hAnsi="宋体" w:cs="宋体"/>
                <w:kern w:val="0"/>
                <w:sz w:val="18"/>
                <w:szCs w:val="18"/>
              </w:rPr>
            </w:pPr>
            <w:r>
              <w:rPr>
                <w:rFonts w:hint="eastAsia" w:ascii="宋体" w:hAnsi="宋体" w:cs="宋体"/>
                <w:kern w:val="0"/>
                <w:sz w:val="18"/>
                <w:szCs w:val="18"/>
              </w:rPr>
              <w:t>做到科学管理、正确使用，精心维护，备齐备件，及时维修</w:t>
            </w:r>
          </w:p>
        </w:tc>
        <w:tc>
          <w:tcPr>
            <w:tcW w:w="320" w:type="pct"/>
            <w:tcBorders>
              <w:top w:val="nil"/>
              <w:left w:val="nil"/>
              <w:bottom w:val="single" w:color="auto" w:sz="4" w:space="0"/>
              <w:right w:val="single" w:color="auto" w:sz="4" w:space="0"/>
            </w:tcBorders>
            <w:vAlign w:val="center"/>
          </w:tcPr>
          <w:p w14:paraId="78825088">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0AFE61C">
            <w:pPr>
              <w:widowControl/>
              <w:jc w:val="left"/>
              <w:rPr>
                <w:rFonts w:ascii="宋体" w:hAnsi="宋体" w:cs="宋体"/>
                <w:kern w:val="0"/>
                <w:sz w:val="18"/>
                <w:szCs w:val="18"/>
              </w:rPr>
            </w:pPr>
            <w:r>
              <w:rPr>
                <w:rFonts w:hint="eastAsia" w:ascii="宋体" w:hAnsi="宋体" w:cs="宋体"/>
                <w:kern w:val="0"/>
                <w:sz w:val="18"/>
                <w:szCs w:val="18"/>
              </w:rPr>
              <w:t>备件不齐、管理不严，造成维修不及时的每次扣0．2分</w:t>
            </w:r>
          </w:p>
        </w:tc>
        <w:tc>
          <w:tcPr>
            <w:tcW w:w="327" w:type="pct"/>
            <w:vMerge w:val="continue"/>
            <w:tcBorders>
              <w:top w:val="nil"/>
              <w:left w:val="single" w:color="auto" w:sz="4" w:space="0"/>
              <w:bottom w:val="single" w:color="000000" w:sz="4" w:space="0"/>
              <w:right w:val="single" w:color="auto" w:sz="4" w:space="0"/>
            </w:tcBorders>
            <w:vAlign w:val="center"/>
          </w:tcPr>
          <w:p w14:paraId="34E001F5">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9149DE6">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DE11409">
            <w:pPr>
              <w:widowControl/>
              <w:jc w:val="left"/>
              <w:rPr>
                <w:rFonts w:ascii="宋体" w:hAnsi="宋体" w:cs="宋体"/>
                <w:kern w:val="0"/>
                <w:sz w:val="18"/>
                <w:szCs w:val="18"/>
              </w:rPr>
            </w:pPr>
            <w:r>
              <w:rPr>
                <w:rFonts w:hint="eastAsia" w:ascii="宋体" w:hAnsi="宋体" w:cs="宋体"/>
                <w:kern w:val="0"/>
                <w:sz w:val="18"/>
                <w:szCs w:val="18"/>
              </w:rPr>
              <w:t>　</w:t>
            </w:r>
          </w:p>
        </w:tc>
      </w:tr>
      <w:tr w14:paraId="36EB8AB8">
        <w:tblPrEx>
          <w:tblCellMar>
            <w:top w:w="0" w:type="dxa"/>
            <w:left w:w="108" w:type="dxa"/>
            <w:bottom w:w="0" w:type="dxa"/>
            <w:right w:w="108" w:type="dxa"/>
          </w:tblCellMar>
        </w:tblPrEx>
        <w:trPr>
          <w:trHeight w:val="313" w:hRule="atLeast"/>
        </w:trPr>
        <w:tc>
          <w:tcPr>
            <w:tcW w:w="249" w:type="pct"/>
            <w:vMerge w:val="continue"/>
            <w:tcBorders>
              <w:top w:val="nil"/>
              <w:left w:val="single" w:color="auto" w:sz="4" w:space="0"/>
              <w:bottom w:val="single" w:color="auto" w:sz="4" w:space="0"/>
              <w:right w:val="single" w:color="auto" w:sz="4" w:space="0"/>
            </w:tcBorders>
            <w:vAlign w:val="center"/>
          </w:tcPr>
          <w:p w14:paraId="5B2263DA">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58A5DF26">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560B68A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7ACF3E9">
            <w:pPr>
              <w:widowControl/>
              <w:jc w:val="left"/>
              <w:rPr>
                <w:rFonts w:ascii="宋体" w:hAnsi="宋体" w:cs="宋体"/>
                <w:kern w:val="0"/>
                <w:sz w:val="18"/>
                <w:szCs w:val="18"/>
              </w:rPr>
            </w:pPr>
            <w:r>
              <w:rPr>
                <w:rFonts w:hint="eastAsia" w:ascii="宋体" w:hAnsi="宋体" w:cs="宋体"/>
                <w:kern w:val="0"/>
                <w:sz w:val="18"/>
                <w:szCs w:val="18"/>
              </w:rPr>
              <w:t>内部有制定对水电运行管理进行考核的具体措施和办法</w:t>
            </w:r>
          </w:p>
        </w:tc>
        <w:tc>
          <w:tcPr>
            <w:tcW w:w="320" w:type="pct"/>
            <w:tcBorders>
              <w:top w:val="nil"/>
              <w:left w:val="nil"/>
              <w:bottom w:val="single" w:color="auto" w:sz="4" w:space="0"/>
              <w:right w:val="single" w:color="auto" w:sz="4" w:space="0"/>
            </w:tcBorders>
            <w:vAlign w:val="center"/>
          </w:tcPr>
          <w:p w14:paraId="0BEE72AC">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9384184">
            <w:pPr>
              <w:widowControl/>
              <w:jc w:val="left"/>
              <w:rPr>
                <w:rFonts w:ascii="宋体" w:hAnsi="宋体" w:cs="宋体"/>
                <w:kern w:val="0"/>
                <w:sz w:val="18"/>
                <w:szCs w:val="18"/>
              </w:rPr>
            </w:pPr>
            <w:r>
              <w:rPr>
                <w:rFonts w:hint="eastAsia" w:ascii="宋体" w:hAnsi="宋体" w:cs="宋体"/>
                <w:kern w:val="0"/>
                <w:sz w:val="18"/>
                <w:szCs w:val="18"/>
              </w:rPr>
              <w:t>没有制定考核具体措施和办法的扣1分</w:t>
            </w:r>
          </w:p>
        </w:tc>
        <w:tc>
          <w:tcPr>
            <w:tcW w:w="327" w:type="pct"/>
            <w:vMerge w:val="continue"/>
            <w:tcBorders>
              <w:top w:val="nil"/>
              <w:left w:val="single" w:color="auto" w:sz="4" w:space="0"/>
              <w:bottom w:val="single" w:color="000000" w:sz="4" w:space="0"/>
              <w:right w:val="single" w:color="auto" w:sz="4" w:space="0"/>
            </w:tcBorders>
            <w:vAlign w:val="center"/>
          </w:tcPr>
          <w:p w14:paraId="3A4457B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B2F94B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4CBB86F">
            <w:pPr>
              <w:widowControl/>
              <w:jc w:val="left"/>
              <w:rPr>
                <w:rFonts w:ascii="宋体" w:hAnsi="宋体" w:cs="宋体"/>
                <w:kern w:val="0"/>
                <w:sz w:val="18"/>
                <w:szCs w:val="18"/>
              </w:rPr>
            </w:pPr>
            <w:r>
              <w:rPr>
                <w:rFonts w:hint="eastAsia" w:ascii="宋体" w:hAnsi="宋体" w:cs="宋体"/>
                <w:kern w:val="0"/>
                <w:sz w:val="18"/>
                <w:szCs w:val="18"/>
              </w:rPr>
              <w:t>　</w:t>
            </w:r>
          </w:p>
        </w:tc>
      </w:tr>
      <w:tr w14:paraId="5582E9B3">
        <w:tblPrEx>
          <w:tblCellMar>
            <w:top w:w="0" w:type="dxa"/>
            <w:left w:w="108" w:type="dxa"/>
            <w:bottom w:w="0" w:type="dxa"/>
            <w:right w:w="108" w:type="dxa"/>
          </w:tblCellMar>
        </w:tblPrEx>
        <w:trPr>
          <w:trHeight w:val="137" w:hRule="atLeast"/>
        </w:trPr>
        <w:tc>
          <w:tcPr>
            <w:tcW w:w="249" w:type="pct"/>
            <w:vMerge w:val="continue"/>
            <w:tcBorders>
              <w:top w:val="nil"/>
              <w:left w:val="single" w:color="auto" w:sz="4" w:space="0"/>
              <w:bottom w:val="single" w:color="auto" w:sz="4" w:space="0"/>
              <w:right w:val="single" w:color="auto" w:sz="4" w:space="0"/>
            </w:tcBorders>
            <w:vAlign w:val="center"/>
          </w:tcPr>
          <w:p w14:paraId="55E0DABC">
            <w:pPr>
              <w:widowControl/>
              <w:jc w:val="left"/>
              <w:rPr>
                <w:rFonts w:ascii="宋体" w:hAnsi="宋体" w:cs="宋体"/>
                <w:kern w:val="0"/>
                <w:sz w:val="18"/>
                <w:szCs w:val="18"/>
              </w:rPr>
            </w:pPr>
          </w:p>
        </w:tc>
        <w:tc>
          <w:tcPr>
            <w:tcW w:w="242" w:type="pct"/>
            <w:vMerge w:val="continue"/>
            <w:tcBorders>
              <w:top w:val="nil"/>
              <w:left w:val="single" w:color="auto" w:sz="4" w:space="0"/>
              <w:bottom w:val="nil"/>
              <w:right w:val="single" w:color="auto" w:sz="4" w:space="0"/>
            </w:tcBorders>
            <w:vAlign w:val="center"/>
          </w:tcPr>
          <w:p w14:paraId="4407730F">
            <w:pPr>
              <w:widowControl/>
              <w:jc w:val="left"/>
              <w:rPr>
                <w:rFonts w:ascii="宋体" w:hAnsi="宋体" w:cs="宋体"/>
                <w:kern w:val="0"/>
                <w:sz w:val="18"/>
                <w:szCs w:val="18"/>
              </w:rPr>
            </w:pPr>
          </w:p>
        </w:tc>
        <w:tc>
          <w:tcPr>
            <w:tcW w:w="304" w:type="pct"/>
            <w:vMerge w:val="continue"/>
            <w:tcBorders>
              <w:top w:val="nil"/>
              <w:left w:val="single" w:color="auto" w:sz="4" w:space="0"/>
              <w:bottom w:val="nil"/>
              <w:right w:val="single" w:color="auto" w:sz="4" w:space="0"/>
            </w:tcBorders>
            <w:vAlign w:val="center"/>
          </w:tcPr>
          <w:p w14:paraId="632E96C1">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53D86DC">
            <w:pPr>
              <w:widowControl/>
              <w:jc w:val="left"/>
              <w:rPr>
                <w:rFonts w:ascii="宋体" w:hAnsi="宋体" w:cs="宋体"/>
                <w:kern w:val="0"/>
                <w:sz w:val="18"/>
                <w:szCs w:val="18"/>
              </w:rPr>
            </w:pPr>
            <w:r>
              <w:rPr>
                <w:rFonts w:hint="eastAsia" w:ascii="宋体" w:hAnsi="宋体" w:cs="宋体"/>
                <w:kern w:val="0"/>
                <w:sz w:val="18"/>
                <w:szCs w:val="18"/>
              </w:rPr>
              <w:t>考核结果有记录</w:t>
            </w:r>
          </w:p>
        </w:tc>
        <w:tc>
          <w:tcPr>
            <w:tcW w:w="320" w:type="pct"/>
            <w:tcBorders>
              <w:top w:val="nil"/>
              <w:left w:val="nil"/>
              <w:bottom w:val="single" w:color="auto" w:sz="4" w:space="0"/>
              <w:right w:val="single" w:color="auto" w:sz="4" w:space="0"/>
            </w:tcBorders>
            <w:vAlign w:val="center"/>
          </w:tcPr>
          <w:p w14:paraId="49D00444">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3189927">
            <w:pPr>
              <w:widowControl/>
              <w:rPr>
                <w:rFonts w:ascii="宋体" w:hAnsi="宋体" w:cs="宋体"/>
                <w:kern w:val="0"/>
                <w:sz w:val="18"/>
                <w:szCs w:val="18"/>
              </w:rPr>
            </w:pPr>
            <w:r>
              <w:rPr>
                <w:rFonts w:hint="eastAsia" w:ascii="宋体" w:hAnsi="宋体" w:cs="宋体"/>
                <w:kern w:val="0"/>
                <w:sz w:val="18"/>
                <w:szCs w:val="18"/>
              </w:rPr>
              <w:t>考核结果没记录的扣0.5分</w:t>
            </w:r>
          </w:p>
        </w:tc>
        <w:tc>
          <w:tcPr>
            <w:tcW w:w="327" w:type="pct"/>
            <w:vMerge w:val="continue"/>
            <w:tcBorders>
              <w:top w:val="nil"/>
              <w:left w:val="single" w:color="auto" w:sz="4" w:space="0"/>
              <w:bottom w:val="single" w:color="000000" w:sz="4" w:space="0"/>
              <w:right w:val="single" w:color="auto" w:sz="4" w:space="0"/>
            </w:tcBorders>
            <w:vAlign w:val="center"/>
          </w:tcPr>
          <w:p w14:paraId="6EDCEAD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5239B90">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2E28AA7">
            <w:pPr>
              <w:widowControl/>
              <w:jc w:val="left"/>
              <w:rPr>
                <w:rFonts w:ascii="宋体" w:hAnsi="宋体" w:cs="宋体"/>
                <w:kern w:val="0"/>
                <w:sz w:val="18"/>
                <w:szCs w:val="18"/>
              </w:rPr>
            </w:pPr>
            <w:r>
              <w:rPr>
                <w:rFonts w:hint="eastAsia" w:ascii="宋体" w:hAnsi="宋体" w:cs="宋体"/>
                <w:kern w:val="0"/>
                <w:sz w:val="18"/>
                <w:szCs w:val="18"/>
              </w:rPr>
              <w:t>　</w:t>
            </w:r>
          </w:p>
        </w:tc>
      </w:tr>
      <w:tr w14:paraId="60834913">
        <w:tblPrEx>
          <w:tblCellMar>
            <w:top w:w="0" w:type="dxa"/>
            <w:left w:w="108" w:type="dxa"/>
            <w:bottom w:w="0" w:type="dxa"/>
            <w:right w:w="108" w:type="dxa"/>
          </w:tblCellMar>
        </w:tblPrEx>
        <w:trPr>
          <w:trHeight w:val="127" w:hRule="atLeast"/>
        </w:trPr>
        <w:tc>
          <w:tcPr>
            <w:tcW w:w="249" w:type="pct"/>
            <w:vMerge w:val="restart"/>
            <w:tcBorders>
              <w:top w:val="nil"/>
              <w:left w:val="single" w:color="auto" w:sz="4" w:space="0"/>
              <w:bottom w:val="single" w:color="auto" w:sz="4" w:space="0"/>
              <w:right w:val="single" w:color="auto" w:sz="4" w:space="0"/>
            </w:tcBorders>
            <w:vAlign w:val="center"/>
          </w:tcPr>
          <w:p w14:paraId="2787C03B">
            <w:pPr>
              <w:widowControl/>
              <w:jc w:val="center"/>
              <w:rPr>
                <w:rFonts w:ascii="宋体" w:hAnsi="宋体" w:cs="宋体"/>
                <w:kern w:val="0"/>
                <w:sz w:val="18"/>
                <w:szCs w:val="18"/>
              </w:rPr>
            </w:pPr>
            <w:r>
              <w:rPr>
                <w:rFonts w:hint="eastAsia" w:ascii="宋体" w:hAnsi="宋体" w:cs="宋体"/>
                <w:kern w:val="0"/>
                <w:sz w:val="18"/>
                <w:szCs w:val="18"/>
              </w:rPr>
              <w:t>二</w:t>
            </w:r>
          </w:p>
        </w:tc>
        <w:tc>
          <w:tcPr>
            <w:tcW w:w="242" w:type="pct"/>
            <w:vMerge w:val="restart"/>
            <w:tcBorders>
              <w:top w:val="single" w:color="auto" w:sz="4" w:space="0"/>
              <w:left w:val="single" w:color="auto" w:sz="4" w:space="0"/>
              <w:bottom w:val="single" w:color="000000" w:sz="4" w:space="0"/>
              <w:right w:val="single" w:color="auto" w:sz="4" w:space="0"/>
            </w:tcBorders>
            <w:vAlign w:val="center"/>
          </w:tcPr>
          <w:p w14:paraId="71299F12">
            <w:pPr>
              <w:widowControl/>
              <w:jc w:val="center"/>
              <w:rPr>
                <w:rFonts w:ascii="宋体" w:hAnsi="宋体" w:cs="宋体"/>
                <w:kern w:val="0"/>
                <w:sz w:val="18"/>
                <w:szCs w:val="18"/>
              </w:rPr>
            </w:pPr>
            <w:r>
              <w:rPr>
                <w:rFonts w:hint="eastAsia" w:ascii="宋体" w:hAnsi="宋体" w:cs="宋体"/>
                <w:kern w:val="0"/>
                <w:sz w:val="18"/>
                <w:szCs w:val="18"/>
              </w:rPr>
              <w:t>安全管理</w:t>
            </w:r>
          </w:p>
        </w:tc>
        <w:tc>
          <w:tcPr>
            <w:tcW w:w="304" w:type="pct"/>
            <w:vMerge w:val="restart"/>
            <w:tcBorders>
              <w:top w:val="single" w:color="auto" w:sz="4" w:space="0"/>
              <w:left w:val="single" w:color="auto" w:sz="4" w:space="0"/>
              <w:bottom w:val="single" w:color="000000" w:sz="4" w:space="0"/>
              <w:right w:val="single" w:color="auto" w:sz="4" w:space="0"/>
            </w:tcBorders>
            <w:vAlign w:val="center"/>
          </w:tcPr>
          <w:p w14:paraId="1B98F8CF">
            <w:pPr>
              <w:widowControl/>
              <w:jc w:val="center"/>
              <w:rPr>
                <w:rFonts w:ascii="宋体" w:hAnsi="宋体" w:cs="宋体"/>
                <w:kern w:val="0"/>
                <w:sz w:val="18"/>
                <w:szCs w:val="18"/>
              </w:rPr>
            </w:pPr>
            <w:r>
              <w:rPr>
                <w:rFonts w:hint="eastAsia" w:ascii="宋体" w:hAnsi="宋体" w:cs="宋体"/>
                <w:kern w:val="0"/>
                <w:sz w:val="18"/>
                <w:szCs w:val="18"/>
              </w:rPr>
              <w:t>7</w:t>
            </w:r>
          </w:p>
        </w:tc>
        <w:tc>
          <w:tcPr>
            <w:tcW w:w="1320" w:type="pct"/>
            <w:tcBorders>
              <w:top w:val="nil"/>
              <w:left w:val="nil"/>
              <w:bottom w:val="single" w:color="auto" w:sz="4" w:space="0"/>
              <w:right w:val="single" w:color="auto" w:sz="4" w:space="0"/>
            </w:tcBorders>
            <w:vAlign w:val="center"/>
          </w:tcPr>
          <w:p w14:paraId="11D5A1A1">
            <w:pPr>
              <w:widowControl/>
              <w:jc w:val="left"/>
              <w:rPr>
                <w:rFonts w:ascii="宋体" w:hAnsi="宋体" w:cs="宋体"/>
                <w:kern w:val="0"/>
                <w:sz w:val="18"/>
                <w:szCs w:val="18"/>
              </w:rPr>
            </w:pPr>
            <w:r>
              <w:rPr>
                <w:rFonts w:hint="eastAsia" w:ascii="宋体" w:hAnsi="宋体" w:cs="宋体"/>
                <w:kern w:val="0"/>
                <w:sz w:val="18"/>
                <w:szCs w:val="18"/>
              </w:rPr>
              <w:t>建立安全检查制度</w:t>
            </w:r>
          </w:p>
        </w:tc>
        <w:tc>
          <w:tcPr>
            <w:tcW w:w="320" w:type="pct"/>
            <w:tcBorders>
              <w:top w:val="nil"/>
              <w:left w:val="nil"/>
              <w:bottom w:val="single" w:color="auto" w:sz="4" w:space="0"/>
              <w:right w:val="single" w:color="auto" w:sz="4" w:space="0"/>
            </w:tcBorders>
            <w:vAlign w:val="center"/>
          </w:tcPr>
          <w:p w14:paraId="1EA15D98">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532F0764">
            <w:pPr>
              <w:widowControl/>
              <w:jc w:val="left"/>
              <w:rPr>
                <w:rFonts w:ascii="宋体" w:hAnsi="宋体" w:cs="宋体"/>
                <w:kern w:val="0"/>
                <w:sz w:val="18"/>
                <w:szCs w:val="18"/>
              </w:rPr>
            </w:pPr>
            <w:r>
              <w:rPr>
                <w:rFonts w:hint="eastAsia" w:ascii="宋体" w:hAnsi="宋体" w:cs="宋体"/>
                <w:kern w:val="0"/>
                <w:sz w:val="18"/>
                <w:szCs w:val="18"/>
              </w:rPr>
              <w:t>未建立安全检查制度扣2分</w:t>
            </w:r>
          </w:p>
        </w:tc>
        <w:tc>
          <w:tcPr>
            <w:tcW w:w="327" w:type="pct"/>
            <w:vMerge w:val="restart"/>
            <w:tcBorders>
              <w:top w:val="nil"/>
              <w:left w:val="single" w:color="auto" w:sz="4" w:space="0"/>
              <w:bottom w:val="single" w:color="000000" w:sz="4" w:space="0"/>
              <w:right w:val="single" w:color="auto" w:sz="4" w:space="0"/>
            </w:tcBorders>
            <w:vAlign w:val="center"/>
          </w:tcPr>
          <w:p w14:paraId="649ED446">
            <w:pPr>
              <w:widowControl/>
              <w:jc w:val="center"/>
              <w:rPr>
                <w:rFonts w:ascii="宋体" w:hAnsi="宋体" w:cs="宋体"/>
                <w:kern w:val="0"/>
                <w:sz w:val="18"/>
                <w:szCs w:val="18"/>
              </w:rPr>
            </w:pPr>
            <w:r>
              <w:rPr>
                <w:rFonts w:hint="eastAsia" w:ascii="宋体" w:hAnsi="宋体" w:cs="宋体"/>
                <w:kern w:val="0"/>
                <w:sz w:val="18"/>
                <w:szCs w:val="18"/>
              </w:rPr>
              <w:t>查看资料、记录现场检查等</w:t>
            </w:r>
          </w:p>
        </w:tc>
        <w:tc>
          <w:tcPr>
            <w:tcW w:w="390" w:type="pct"/>
            <w:tcBorders>
              <w:top w:val="nil"/>
              <w:left w:val="nil"/>
              <w:bottom w:val="single" w:color="auto" w:sz="4" w:space="0"/>
              <w:right w:val="single" w:color="auto" w:sz="4" w:space="0"/>
            </w:tcBorders>
            <w:vAlign w:val="center"/>
          </w:tcPr>
          <w:p w14:paraId="72B2AF10">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B76EB9F">
            <w:pPr>
              <w:widowControl/>
              <w:jc w:val="left"/>
              <w:rPr>
                <w:rFonts w:ascii="宋体" w:hAnsi="宋体" w:cs="宋体"/>
                <w:kern w:val="0"/>
                <w:sz w:val="18"/>
                <w:szCs w:val="18"/>
              </w:rPr>
            </w:pPr>
            <w:r>
              <w:rPr>
                <w:rFonts w:hint="eastAsia" w:ascii="宋体" w:hAnsi="宋体" w:cs="宋体"/>
                <w:kern w:val="0"/>
                <w:sz w:val="18"/>
                <w:szCs w:val="18"/>
              </w:rPr>
              <w:t>　</w:t>
            </w:r>
          </w:p>
        </w:tc>
      </w:tr>
      <w:tr w14:paraId="0CEE27B1">
        <w:tblPrEx>
          <w:tblCellMar>
            <w:top w:w="0" w:type="dxa"/>
            <w:left w:w="108" w:type="dxa"/>
            <w:bottom w:w="0" w:type="dxa"/>
            <w:right w:w="108" w:type="dxa"/>
          </w:tblCellMar>
        </w:tblPrEx>
        <w:trPr>
          <w:trHeight w:val="772" w:hRule="atLeast"/>
        </w:trPr>
        <w:tc>
          <w:tcPr>
            <w:tcW w:w="249" w:type="pct"/>
            <w:vMerge w:val="continue"/>
            <w:tcBorders>
              <w:top w:val="nil"/>
              <w:left w:val="single" w:color="auto" w:sz="4" w:space="0"/>
              <w:bottom w:val="single" w:color="auto" w:sz="4" w:space="0"/>
              <w:right w:val="single" w:color="auto" w:sz="4" w:space="0"/>
            </w:tcBorders>
            <w:vAlign w:val="center"/>
          </w:tcPr>
          <w:p w14:paraId="1F96D3E2">
            <w:pPr>
              <w:widowControl/>
              <w:jc w:val="left"/>
              <w:rPr>
                <w:rFonts w:ascii="宋体" w:hAnsi="宋体" w:cs="宋体"/>
                <w:kern w:val="0"/>
                <w:sz w:val="18"/>
                <w:szCs w:val="18"/>
              </w:rPr>
            </w:pPr>
          </w:p>
        </w:tc>
        <w:tc>
          <w:tcPr>
            <w:tcW w:w="242" w:type="pct"/>
            <w:vMerge w:val="continue"/>
            <w:tcBorders>
              <w:top w:val="single" w:color="auto" w:sz="4" w:space="0"/>
              <w:left w:val="single" w:color="auto" w:sz="4" w:space="0"/>
              <w:bottom w:val="single" w:color="000000" w:sz="4" w:space="0"/>
              <w:right w:val="single" w:color="auto" w:sz="4" w:space="0"/>
            </w:tcBorders>
            <w:vAlign w:val="center"/>
          </w:tcPr>
          <w:p w14:paraId="23D52069">
            <w:pPr>
              <w:widowControl/>
              <w:jc w:val="left"/>
              <w:rPr>
                <w:rFonts w:ascii="宋体" w:hAnsi="宋体" w:cs="宋体"/>
                <w:kern w:val="0"/>
                <w:sz w:val="18"/>
                <w:szCs w:val="18"/>
              </w:rPr>
            </w:pPr>
          </w:p>
        </w:tc>
        <w:tc>
          <w:tcPr>
            <w:tcW w:w="304" w:type="pct"/>
            <w:vMerge w:val="continue"/>
            <w:tcBorders>
              <w:top w:val="single" w:color="auto" w:sz="4" w:space="0"/>
              <w:left w:val="single" w:color="auto" w:sz="4" w:space="0"/>
              <w:bottom w:val="single" w:color="000000" w:sz="4" w:space="0"/>
              <w:right w:val="single" w:color="auto" w:sz="4" w:space="0"/>
            </w:tcBorders>
            <w:vAlign w:val="center"/>
          </w:tcPr>
          <w:p w14:paraId="096DE38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0C00E44">
            <w:pPr>
              <w:widowControl/>
              <w:jc w:val="left"/>
              <w:rPr>
                <w:rFonts w:ascii="宋体" w:hAnsi="宋体" w:cs="宋体"/>
                <w:kern w:val="0"/>
                <w:sz w:val="18"/>
                <w:szCs w:val="18"/>
              </w:rPr>
            </w:pPr>
            <w:r>
              <w:rPr>
                <w:rFonts w:hint="eastAsia" w:ascii="宋体" w:hAnsi="宋体" w:cs="宋体"/>
                <w:kern w:val="0"/>
                <w:sz w:val="18"/>
                <w:szCs w:val="18"/>
              </w:rPr>
              <w:t>聘请专职安全员对所管辖区域及设备设施进行日常安全巡检和定期安全检查</w:t>
            </w:r>
          </w:p>
        </w:tc>
        <w:tc>
          <w:tcPr>
            <w:tcW w:w="320" w:type="pct"/>
            <w:tcBorders>
              <w:top w:val="nil"/>
              <w:left w:val="nil"/>
              <w:bottom w:val="single" w:color="auto" w:sz="4" w:space="0"/>
              <w:right w:val="single" w:color="auto" w:sz="4" w:space="0"/>
            </w:tcBorders>
            <w:vAlign w:val="center"/>
          </w:tcPr>
          <w:p w14:paraId="63E40A47">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479A4AE">
            <w:pPr>
              <w:widowControl/>
              <w:jc w:val="left"/>
              <w:rPr>
                <w:rFonts w:ascii="宋体" w:hAnsi="宋体" w:cs="宋体"/>
                <w:kern w:val="0"/>
                <w:sz w:val="18"/>
                <w:szCs w:val="18"/>
              </w:rPr>
            </w:pPr>
            <w:r>
              <w:rPr>
                <w:rFonts w:hint="eastAsia" w:ascii="宋体" w:hAnsi="宋体" w:cs="宋体"/>
                <w:kern w:val="0"/>
                <w:sz w:val="18"/>
                <w:szCs w:val="18"/>
              </w:rPr>
              <w:t>未聘请专职安全员对所管辖区域及设备设施进行日常安全巡检和定期安全检查扣1分</w:t>
            </w:r>
          </w:p>
        </w:tc>
        <w:tc>
          <w:tcPr>
            <w:tcW w:w="327" w:type="pct"/>
            <w:vMerge w:val="continue"/>
            <w:tcBorders>
              <w:top w:val="nil"/>
              <w:left w:val="single" w:color="auto" w:sz="4" w:space="0"/>
              <w:bottom w:val="single" w:color="000000" w:sz="4" w:space="0"/>
              <w:right w:val="single" w:color="auto" w:sz="4" w:space="0"/>
            </w:tcBorders>
            <w:vAlign w:val="center"/>
          </w:tcPr>
          <w:p w14:paraId="66E0E45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CB32395">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BC2E402">
            <w:pPr>
              <w:widowControl/>
              <w:jc w:val="left"/>
              <w:rPr>
                <w:rFonts w:ascii="宋体" w:hAnsi="宋体" w:cs="宋体"/>
                <w:kern w:val="0"/>
                <w:sz w:val="18"/>
                <w:szCs w:val="18"/>
              </w:rPr>
            </w:pPr>
            <w:r>
              <w:rPr>
                <w:rFonts w:hint="eastAsia" w:ascii="宋体" w:hAnsi="宋体" w:cs="宋体"/>
                <w:kern w:val="0"/>
                <w:sz w:val="18"/>
                <w:szCs w:val="18"/>
              </w:rPr>
              <w:t>　</w:t>
            </w:r>
          </w:p>
        </w:tc>
      </w:tr>
      <w:tr w14:paraId="09147CCD">
        <w:tblPrEx>
          <w:tblCellMar>
            <w:top w:w="0" w:type="dxa"/>
            <w:left w:w="108" w:type="dxa"/>
            <w:bottom w:w="0" w:type="dxa"/>
            <w:right w:w="108" w:type="dxa"/>
          </w:tblCellMar>
        </w:tblPrEx>
        <w:trPr>
          <w:trHeight w:val="132" w:hRule="atLeast"/>
        </w:trPr>
        <w:tc>
          <w:tcPr>
            <w:tcW w:w="249" w:type="pct"/>
            <w:vMerge w:val="continue"/>
            <w:tcBorders>
              <w:top w:val="nil"/>
              <w:left w:val="single" w:color="auto" w:sz="4" w:space="0"/>
              <w:bottom w:val="single" w:color="auto" w:sz="4" w:space="0"/>
              <w:right w:val="single" w:color="auto" w:sz="4" w:space="0"/>
            </w:tcBorders>
            <w:vAlign w:val="center"/>
          </w:tcPr>
          <w:p w14:paraId="7E8CE66E">
            <w:pPr>
              <w:widowControl/>
              <w:jc w:val="left"/>
              <w:rPr>
                <w:rFonts w:ascii="宋体" w:hAnsi="宋体" w:cs="宋体"/>
                <w:kern w:val="0"/>
                <w:sz w:val="18"/>
                <w:szCs w:val="18"/>
              </w:rPr>
            </w:pPr>
          </w:p>
        </w:tc>
        <w:tc>
          <w:tcPr>
            <w:tcW w:w="242" w:type="pct"/>
            <w:vMerge w:val="continue"/>
            <w:tcBorders>
              <w:top w:val="single" w:color="auto" w:sz="4" w:space="0"/>
              <w:left w:val="single" w:color="auto" w:sz="4" w:space="0"/>
              <w:bottom w:val="single" w:color="000000" w:sz="4" w:space="0"/>
              <w:right w:val="single" w:color="auto" w:sz="4" w:space="0"/>
            </w:tcBorders>
            <w:vAlign w:val="center"/>
          </w:tcPr>
          <w:p w14:paraId="668490A5">
            <w:pPr>
              <w:widowControl/>
              <w:jc w:val="left"/>
              <w:rPr>
                <w:rFonts w:ascii="宋体" w:hAnsi="宋体" w:cs="宋体"/>
                <w:kern w:val="0"/>
                <w:sz w:val="18"/>
                <w:szCs w:val="18"/>
              </w:rPr>
            </w:pPr>
          </w:p>
        </w:tc>
        <w:tc>
          <w:tcPr>
            <w:tcW w:w="304" w:type="pct"/>
            <w:vMerge w:val="continue"/>
            <w:tcBorders>
              <w:top w:val="single" w:color="auto" w:sz="4" w:space="0"/>
              <w:left w:val="single" w:color="auto" w:sz="4" w:space="0"/>
              <w:bottom w:val="single" w:color="000000" w:sz="4" w:space="0"/>
              <w:right w:val="single" w:color="auto" w:sz="4" w:space="0"/>
            </w:tcBorders>
            <w:vAlign w:val="center"/>
          </w:tcPr>
          <w:p w14:paraId="142E1CF0">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082DA44">
            <w:pPr>
              <w:widowControl/>
              <w:jc w:val="left"/>
              <w:rPr>
                <w:rFonts w:ascii="宋体" w:hAnsi="宋体" w:cs="宋体"/>
                <w:kern w:val="0"/>
                <w:sz w:val="18"/>
                <w:szCs w:val="18"/>
              </w:rPr>
            </w:pPr>
            <w:r>
              <w:rPr>
                <w:rFonts w:hint="eastAsia" w:ascii="宋体" w:hAnsi="宋体" w:cs="宋体"/>
                <w:kern w:val="0"/>
                <w:sz w:val="18"/>
                <w:szCs w:val="18"/>
              </w:rPr>
              <w:t>并记录备查</w:t>
            </w:r>
          </w:p>
        </w:tc>
        <w:tc>
          <w:tcPr>
            <w:tcW w:w="320" w:type="pct"/>
            <w:tcBorders>
              <w:top w:val="nil"/>
              <w:left w:val="nil"/>
              <w:bottom w:val="single" w:color="auto" w:sz="4" w:space="0"/>
              <w:right w:val="single" w:color="auto" w:sz="4" w:space="0"/>
            </w:tcBorders>
            <w:vAlign w:val="center"/>
          </w:tcPr>
          <w:p w14:paraId="665CCCA2">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DE1C704">
            <w:pPr>
              <w:widowControl/>
              <w:rPr>
                <w:rFonts w:ascii="宋体" w:hAnsi="宋体" w:cs="宋体"/>
                <w:kern w:val="0"/>
                <w:sz w:val="18"/>
                <w:szCs w:val="18"/>
              </w:rPr>
            </w:pPr>
            <w:r>
              <w:rPr>
                <w:rFonts w:hint="eastAsia" w:ascii="宋体" w:hAnsi="宋体" w:cs="宋体"/>
                <w:kern w:val="0"/>
                <w:sz w:val="18"/>
                <w:szCs w:val="18"/>
              </w:rPr>
              <w:t>检查无记录或记录不全扣0.5分</w:t>
            </w:r>
          </w:p>
        </w:tc>
        <w:tc>
          <w:tcPr>
            <w:tcW w:w="327" w:type="pct"/>
            <w:vMerge w:val="continue"/>
            <w:tcBorders>
              <w:top w:val="nil"/>
              <w:left w:val="single" w:color="auto" w:sz="4" w:space="0"/>
              <w:bottom w:val="single" w:color="000000" w:sz="4" w:space="0"/>
              <w:right w:val="single" w:color="auto" w:sz="4" w:space="0"/>
            </w:tcBorders>
            <w:vAlign w:val="center"/>
          </w:tcPr>
          <w:p w14:paraId="6026EB08">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D9A2C8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ADFB33C">
            <w:pPr>
              <w:widowControl/>
              <w:jc w:val="left"/>
              <w:rPr>
                <w:rFonts w:ascii="宋体" w:hAnsi="宋体" w:cs="宋体"/>
                <w:kern w:val="0"/>
                <w:sz w:val="18"/>
                <w:szCs w:val="18"/>
              </w:rPr>
            </w:pPr>
            <w:r>
              <w:rPr>
                <w:rFonts w:hint="eastAsia" w:ascii="宋体" w:hAnsi="宋体" w:cs="宋体"/>
                <w:kern w:val="0"/>
                <w:sz w:val="18"/>
                <w:szCs w:val="18"/>
              </w:rPr>
              <w:t>　</w:t>
            </w:r>
          </w:p>
        </w:tc>
      </w:tr>
      <w:tr w14:paraId="3966A073">
        <w:tblPrEx>
          <w:tblCellMar>
            <w:top w:w="0" w:type="dxa"/>
            <w:left w:w="108" w:type="dxa"/>
            <w:bottom w:w="0" w:type="dxa"/>
            <w:right w:w="108" w:type="dxa"/>
          </w:tblCellMar>
        </w:tblPrEx>
        <w:trPr>
          <w:trHeight w:val="279" w:hRule="atLeast"/>
        </w:trPr>
        <w:tc>
          <w:tcPr>
            <w:tcW w:w="249" w:type="pct"/>
            <w:vMerge w:val="continue"/>
            <w:tcBorders>
              <w:top w:val="nil"/>
              <w:left w:val="single" w:color="auto" w:sz="4" w:space="0"/>
              <w:bottom w:val="single" w:color="auto" w:sz="4" w:space="0"/>
              <w:right w:val="single" w:color="auto" w:sz="4" w:space="0"/>
            </w:tcBorders>
            <w:vAlign w:val="center"/>
          </w:tcPr>
          <w:p w14:paraId="505B153A">
            <w:pPr>
              <w:widowControl/>
              <w:jc w:val="left"/>
              <w:rPr>
                <w:rFonts w:ascii="宋体" w:hAnsi="宋体" w:cs="宋体"/>
                <w:kern w:val="0"/>
                <w:sz w:val="18"/>
                <w:szCs w:val="18"/>
              </w:rPr>
            </w:pPr>
          </w:p>
        </w:tc>
        <w:tc>
          <w:tcPr>
            <w:tcW w:w="242" w:type="pct"/>
            <w:vMerge w:val="continue"/>
            <w:tcBorders>
              <w:top w:val="single" w:color="auto" w:sz="4" w:space="0"/>
              <w:left w:val="single" w:color="auto" w:sz="4" w:space="0"/>
              <w:bottom w:val="single" w:color="000000" w:sz="4" w:space="0"/>
              <w:right w:val="single" w:color="auto" w:sz="4" w:space="0"/>
            </w:tcBorders>
            <w:vAlign w:val="center"/>
          </w:tcPr>
          <w:p w14:paraId="43AE1A74">
            <w:pPr>
              <w:widowControl/>
              <w:jc w:val="left"/>
              <w:rPr>
                <w:rFonts w:ascii="宋体" w:hAnsi="宋体" w:cs="宋体"/>
                <w:kern w:val="0"/>
                <w:sz w:val="18"/>
                <w:szCs w:val="18"/>
              </w:rPr>
            </w:pPr>
          </w:p>
        </w:tc>
        <w:tc>
          <w:tcPr>
            <w:tcW w:w="304" w:type="pct"/>
            <w:vMerge w:val="continue"/>
            <w:tcBorders>
              <w:top w:val="single" w:color="auto" w:sz="4" w:space="0"/>
              <w:left w:val="single" w:color="auto" w:sz="4" w:space="0"/>
              <w:bottom w:val="single" w:color="000000" w:sz="4" w:space="0"/>
              <w:right w:val="single" w:color="auto" w:sz="4" w:space="0"/>
            </w:tcBorders>
            <w:vAlign w:val="center"/>
          </w:tcPr>
          <w:p w14:paraId="4B60343B">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4F435F9">
            <w:pPr>
              <w:widowControl/>
              <w:jc w:val="left"/>
              <w:rPr>
                <w:rFonts w:ascii="宋体" w:hAnsi="宋体" w:cs="宋体"/>
                <w:kern w:val="0"/>
                <w:sz w:val="18"/>
                <w:szCs w:val="18"/>
              </w:rPr>
            </w:pPr>
            <w:r>
              <w:rPr>
                <w:rFonts w:hint="eastAsia" w:ascii="宋体" w:hAnsi="宋体" w:cs="宋体"/>
                <w:kern w:val="0"/>
                <w:sz w:val="18"/>
                <w:szCs w:val="18"/>
              </w:rPr>
              <w:t>配电机房须安排人员24小时值班</w:t>
            </w:r>
          </w:p>
        </w:tc>
        <w:tc>
          <w:tcPr>
            <w:tcW w:w="320" w:type="pct"/>
            <w:tcBorders>
              <w:top w:val="nil"/>
              <w:left w:val="nil"/>
              <w:bottom w:val="single" w:color="auto" w:sz="4" w:space="0"/>
              <w:right w:val="single" w:color="auto" w:sz="4" w:space="0"/>
            </w:tcBorders>
            <w:vAlign w:val="center"/>
          </w:tcPr>
          <w:p w14:paraId="1B13AB19">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0F01CEBF">
            <w:pPr>
              <w:widowControl/>
              <w:jc w:val="left"/>
              <w:rPr>
                <w:rFonts w:ascii="宋体" w:hAnsi="宋体" w:cs="宋体"/>
                <w:kern w:val="0"/>
                <w:sz w:val="18"/>
                <w:szCs w:val="18"/>
              </w:rPr>
            </w:pPr>
            <w:r>
              <w:rPr>
                <w:rFonts w:hint="eastAsia" w:ascii="宋体" w:hAnsi="宋体" w:cs="宋体"/>
                <w:kern w:val="0"/>
                <w:sz w:val="18"/>
                <w:szCs w:val="18"/>
              </w:rPr>
              <w:t>配电机房未安排人员24小时值班扣2分</w:t>
            </w:r>
          </w:p>
        </w:tc>
        <w:tc>
          <w:tcPr>
            <w:tcW w:w="327" w:type="pct"/>
            <w:vMerge w:val="continue"/>
            <w:tcBorders>
              <w:top w:val="nil"/>
              <w:left w:val="single" w:color="auto" w:sz="4" w:space="0"/>
              <w:bottom w:val="single" w:color="000000" w:sz="4" w:space="0"/>
              <w:right w:val="single" w:color="auto" w:sz="4" w:space="0"/>
            </w:tcBorders>
            <w:vAlign w:val="center"/>
          </w:tcPr>
          <w:p w14:paraId="6BEF0386">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53486F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AE0FEF3">
            <w:pPr>
              <w:widowControl/>
              <w:jc w:val="left"/>
              <w:rPr>
                <w:rFonts w:ascii="宋体" w:hAnsi="宋体" w:cs="宋体"/>
                <w:kern w:val="0"/>
                <w:sz w:val="18"/>
                <w:szCs w:val="18"/>
              </w:rPr>
            </w:pPr>
            <w:r>
              <w:rPr>
                <w:rFonts w:hint="eastAsia" w:ascii="宋体" w:hAnsi="宋体" w:cs="宋体"/>
                <w:kern w:val="0"/>
                <w:sz w:val="18"/>
                <w:szCs w:val="18"/>
              </w:rPr>
              <w:t>　</w:t>
            </w:r>
          </w:p>
        </w:tc>
      </w:tr>
      <w:tr w14:paraId="28A37649">
        <w:tblPrEx>
          <w:tblCellMar>
            <w:top w:w="0" w:type="dxa"/>
            <w:left w:w="108" w:type="dxa"/>
            <w:bottom w:w="0" w:type="dxa"/>
            <w:right w:w="108" w:type="dxa"/>
          </w:tblCellMar>
        </w:tblPrEx>
        <w:trPr>
          <w:trHeight w:val="296" w:hRule="atLeast"/>
        </w:trPr>
        <w:tc>
          <w:tcPr>
            <w:tcW w:w="249" w:type="pct"/>
            <w:vMerge w:val="continue"/>
            <w:tcBorders>
              <w:top w:val="nil"/>
              <w:left w:val="single" w:color="auto" w:sz="4" w:space="0"/>
              <w:bottom w:val="single" w:color="auto" w:sz="4" w:space="0"/>
              <w:right w:val="single" w:color="auto" w:sz="4" w:space="0"/>
            </w:tcBorders>
            <w:vAlign w:val="center"/>
          </w:tcPr>
          <w:p w14:paraId="673DBE71">
            <w:pPr>
              <w:widowControl/>
              <w:jc w:val="left"/>
              <w:rPr>
                <w:rFonts w:ascii="宋体" w:hAnsi="宋体" w:cs="宋体"/>
                <w:kern w:val="0"/>
                <w:sz w:val="18"/>
                <w:szCs w:val="18"/>
              </w:rPr>
            </w:pPr>
          </w:p>
        </w:tc>
        <w:tc>
          <w:tcPr>
            <w:tcW w:w="242" w:type="pct"/>
            <w:vMerge w:val="continue"/>
            <w:tcBorders>
              <w:top w:val="single" w:color="auto" w:sz="4" w:space="0"/>
              <w:left w:val="single" w:color="auto" w:sz="4" w:space="0"/>
              <w:bottom w:val="single" w:color="000000" w:sz="4" w:space="0"/>
              <w:right w:val="single" w:color="auto" w:sz="4" w:space="0"/>
            </w:tcBorders>
            <w:vAlign w:val="center"/>
          </w:tcPr>
          <w:p w14:paraId="7E0E7F44">
            <w:pPr>
              <w:widowControl/>
              <w:jc w:val="left"/>
              <w:rPr>
                <w:rFonts w:ascii="宋体" w:hAnsi="宋体" w:cs="宋体"/>
                <w:kern w:val="0"/>
                <w:sz w:val="18"/>
                <w:szCs w:val="18"/>
              </w:rPr>
            </w:pPr>
          </w:p>
        </w:tc>
        <w:tc>
          <w:tcPr>
            <w:tcW w:w="304" w:type="pct"/>
            <w:vMerge w:val="continue"/>
            <w:tcBorders>
              <w:top w:val="single" w:color="auto" w:sz="4" w:space="0"/>
              <w:left w:val="single" w:color="auto" w:sz="4" w:space="0"/>
              <w:bottom w:val="single" w:color="000000" w:sz="4" w:space="0"/>
              <w:right w:val="single" w:color="auto" w:sz="4" w:space="0"/>
            </w:tcBorders>
            <w:vAlign w:val="center"/>
          </w:tcPr>
          <w:p w14:paraId="49476AB3">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547AF31">
            <w:pPr>
              <w:widowControl/>
              <w:jc w:val="left"/>
              <w:rPr>
                <w:rFonts w:ascii="宋体" w:hAnsi="宋体" w:cs="宋体"/>
                <w:kern w:val="0"/>
                <w:sz w:val="18"/>
                <w:szCs w:val="18"/>
              </w:rPr>
            </w:pPr>
            <w:r>
              <w:rPr>
                <w:rFonts w:hint="eastAsia" w:ascii="宋体" w:hAnsi="宋体" w:cs="宋体"/>
                <w:kern w:val="0"/>
                <w:sz w:val="18"/>
                <w:szCs w:val="18"/>
              </w:rPr>
              <w:t>严格按照操作规程施工操作</w:t>
            </w:r>
          </w:p>
        </w:tc>
        <w:tc>
          <w:tcPr>
            <w:tcW w:w="320" w:type="pct"/>
            <w:tcBorders>
              <w:top w:val="nil"/>
              <w:left w:val="nil"/>
              <w:bottom w:val="single" w:color="auto" w:sz="4" w:space="0"/>
              <w:right w:val="single" w:color="auto" w:sz="4" w:space="0"/>
            </w:tcBorders>
            <w:vAlign w:val="center"/>
          </w:tcPr>
          <w:p w14:paraId="60322413">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901DB35">
            <w:pPr>
              <w:widowControl/>
              <w:jc w:val="left"/>
              <w:rPr>
                <w:rFonts w:ascii="宋体" w:hAnsi="宋体" w:cs="宋体"/>
                <w:kern w:val="0"/>
                <w:sz w:val="18"/>
                <w:szCs w:val="18"/>
              </w:rPr>
            </w:pPr>
            <w:r>
              <w:rPr>
                <w:rFonts w:hint="eastAsia" w:ascii="宋体" w:hAnsi="宋体" w:cs="宋体"/>
                <w:kern w:val="0"/>
                <w:sz w:val="18"/>
                <w:szCs w:val="18"/>
              </w:rPr>
              <w:t>未按照操作规程施工操作扣0.5分</w:t>
            </w:r>
          </w:p>
        </w:tc>
        <w:tc>
          <w:tcPr>
            <w:tcW w:w="327" w:type="pct"/>
            <w:vMerge w:val="continue"/>
            <w:tcBorders>
              <w:top w:val="nil"/>
              <w:left w:val="single" w:color="auto" w:sz="4" w:space="0"/>
              <w:bottom w:val="single" w:color="000000" w:sz="4" w:space="0"/>
              <w:right w:val="single" w:color="auto" w:sz="4" w:space="0"/>
            </w:tcBorders>
            <w:vAlign w:val="center"/>
          </w:tcPr>
          <w:p w14:paraId="7BB1E9BB">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0B8C226">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4BEB205">
            <w:pPr>
              <w:widowControl/>
              <w:jc w:val="left"/>
              <w:rPr>
                <w:rFonts w:ascii="宋体" w:hAnsi="宋体" w:cs="宋体"/>
                <w:kern w:val="0"/>
                <w:sz w:val="18"/>
                <w:szCs w:val="18"/>
              </w:rPr>
            </w:pPr>
            <w:r>
              <w:rPr>
                <w:rFonts w:hint="eastAsia" w:ascii="宋体" w:hAnsi="宋体" w:cs="宋体"/>
                <w:kern w:val="0"/>
                <w:sz w:val="18"/>
                <w:szCs w:val="18"/>
              </w:rPr>
              <w:t>　</w:t>
            </w:r>
          </w:p>
        </w:tc>
      </w:tr>
      <w:tr w14:paraId="162BBD3F">
        <w:tblPrEx>
          <w:tblCellMar>
            <w:top w:w="0" w:type="dxa"/>
            <w:left w:w="108" w:type="dxa"/>
            <w:bottom w:w="0" w:type="dxa"/>
            <w:right w:w="108" w:type="dxa"/>
          </w:tblCellMar>
        </w:tblPrEx>
        <w:trPr>
          <w:trHeight w:val="427" w:hRule="atLeast"/>
        </w:trPr>
        <w:tc>
          <w:tcPr>
            <w:tcW w:w="249" w:type="pct"/>
            <w:vMerge w:val="continue"/>
            <w:tcBorders>
              <w:top w:val="nil"/>
              <w:left w:val="single" w:color="auto" w:sz="4" w:space="0"/>
              <w:bottom w:val="single" w:color="auto" w:sz="4" w:space="0"/>
              <w:right w:val="single" w:color="auto" w:sz="4" w:space="0"/>
            </w:tcBorders>
            <w:vAlign w:val="center"/>
          </w:tcPr>
          <w:p w14:paraId="2A3630EC">
            <w:pPr>
              <w:widowControl/>
              <w:jc w:val="left"/>
              <w:rPr>
                <w:rFonts w:ascii="宋体" w:hAnsi="宋体" w:cs="宋体"/>
                <w:kern w:val="0"/>
                <w:sz w:val="18"/>
                <w:szCs w:val="18"/>
              </w:rPr>
            </w:pPr>
          </w:p>
        </w:tc>
        <w:tc>
          <w:tcPr>
            <w:tcW w:w="242" w:type="pct"/>
            <w:vMerge w:val="continue"/>
            <w:tcBorders>
              <w:top w:val="single" w:color="auto" w:sz="4" w:space="0"/>
              <w:left w:val="single" w:color="auto" w:sz="4" w:space="0"/>
              <w:bottom w:val="single" w:color="000000" w:sz="4" w:space="0"/>
              <w:right w:val="single" w:color="auto" w:sz="4" w:space="0"/>
            </w:tcBorders>
            <w:vAlign w:val="center"/>
          </w:tcPr>
          <w:p w14:paraId="31AD3674">
            <w:pPr>
              <w:widowControl/>
              <w:jc w:val="left"/>
              <w:rPr>
                <w:rFonts w:ascii="宋体" w:hAnsi="宋体" w:cs="宋体"/>
                <w:kern w:val="0"/>
                <w:sz w:val="18"/>
                <w:szCs w:val="18"/>
              </w:rPr>
            </w:pPr>
          </w:p>
        </w:tc>
        <w:tc>
          <w:tcPr>
            <w:tcW w:w="304" w:type="pct"/>
            <w:vMerge w:val="continue"/>
            <w:tcBorders>
              <w:top w:val="single" w:color="auto" w:sz="4" w:space="0"/>
              <w:left w:val="single" w:color="auto" w:sz="4" w:space="0"/>
              <w:bottom w:val="single" w:color="000000" w:sz="4" w:space="0"/>
              <w:right w:val="single" w:color="auto" w:sz="4" w:space="0"/>
            </w:tcBorders>
            <w:vAlign w:val="center"/>
          </w:tcPr>
          <w:p w14:paraId="55730D6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8362F20">
            <w:pPr>
              <w:widowControl/>
              <w:jc w:val="left"/>
              <w:rPr>
                <w:rFonts w:ascii="宋体" w:hAnsi="宋体" w:cs="宋体"/>
                <w:kern w:val="0"/>
                <w:sz w:val="18"/>
                <w:szCs w:val="18"/>
              </w:rPr>
            </w:pPr>
            <w:r>
              <w:rPr>
                <w:rFonts w:hint="eastAsia" w:ascii="宋体" w:hAnsi="宋体" w:cs="宋体"/>
                <w:kern w:val="0"/>
                <w:sz w:val="18"/>
                <w:szCs w:val="18"/>
              </w:rPr>
              <w:t>特殊作业人员持证上岗</w:t>
            </w:r>
          </w:p>
        </w:tc>
        <w:tc>
          <w:tcPr>
            <w:tcW w:w="320" w:type="pct"/>
            <w:tcBorders>
              <w:top w:val="nil"/>
              <w:left w:val="nil"/>
              <w:bottom w:val="single" w:color="auto" w:sz="4" w:space="0"/>
              <w:right w:val="single" w:color="auto" w:sz="4" w:space="0"/>
            </w:tcBorders>
            <w:vAlign w:val="center"/>
          </w:tcPr>
          <w:p w14:paraId="7F674CCC">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60312478">
            <w:pPr>
              <w:widowControl/>
              <w:jc w:val="left"/>
              <w:rPr>
                <w:rFonts w:ascii="宋体" w:hAnsi="宋体" w:cs="宋体"/>
                <w:kern w:val="0"/>
                <w:sz w:val="18"/>
                <w:szCs w:val="18"/>
              </w:rPr>
            </w:pPr>
            <w:r>
              <w:rPr>
                <w:rFonts w:hint="eastAsia" w:ascii="宋体" w:hAnsi="宋体" w:cs="宋体"/>
                <w:kern w:val="0"/>
                <w:sz w:val="18"/>
                <w:szCs w:val="18"/>
              </w:rPr>
              <w:t>每发现一个特殊作业人员无证上岗的扣0．2分</w:t>
            </w:r>
          </w:p>
        </w:tc>
        <w:tc>
          <w:tcPr>
            <w:tcW w:w="327" w:type="pct"/>
            <w:vMerge w:val="continue"/>
            <w:tcBorders>
              <w:top w:val="nil"/>
              <w:left w:val="single" w:color="auto" w:sz="4" w:space="0"/>
              <w:bottom w:val="single" w:color="000000" w:sz="4" w:space="0"/>
              <w:right w:val="single" w:color="auto" w:sz="4" w:space="0"/>
            </w:tcBorders>
            <w:vAlign w:val="center"/>
          </w:tcPr>
          <w:p w14:paraId="74C22D15">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9A425FF">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1AD2F6A">
            <w:pPr>
              <w:widowControl/>
              <w:jc w:val="left"/>
              <w:rPr>
                <w:rFonts w:ascii="宋体" w:hAnsi="宋体" w:cs="宋体"/>
                <w:kern w:val="0"/>
                <w:sz w:val="18"/>
                <w:szCs w:val="18"/>
              </w:rPr>
            </w:pPr>
            <w:r>
              <w:rPr>
                <w:rFonts w:hint="eastAsia" w:ascii="宋体" w:hAnsi="宋体" w:cs="宋体"/>
                <w:kern w:val="0"/>
                <w:sz w:val="18"/>
                <w:szCs w:val="18"/>
              </w:rPr>
              <w:t>　</w:t>
            </w:r>
          </w:p>
        </w:tc>
      </w:tr>
      <w:tr w14:paraId="4DFAADAD">
        <w:tblPrEx>
          <w:tblCellMar>
            <w:top w:w="0" w:type="dxa"/>
            <w:left w:w="108" w:type="dxa"/>
            <w:bottom w:w="0" w:type="dxa"/>
            <w:right w:w="108" w:type="dxa"/>
          </w:tblCellMar>
        </w:tblPrEx>
        <w:trPr>
          <w:trHeight w:val="265" w:hRule="atLeast"/>
        </w:trPr>
        <w:tc>
          <w:tcPr>
            <w:tcW w:w="249" w:type="pct"/>
            <w:vMerge w:val="restart"/>
            <w:tcBorders>
              <w:top w:val="nil"/>
              <w:left w:val="single" w:color="auto" w:sz="4" w:space="0"/>
              <w:bottom w:val="single" w:color="000000" w:sz="4" w:space="0"/>
              <w:right w:val="single" w:color="auto" w:sz="4" w:space="0"/>
            </w:tcBorders>
            <w:vAlign w:val="center"/>
          </w:tcPr>
          <w:p w14:paraId="21ED1290">
            <w:pPr>
              <w:widowControl/>
              <w:jc w:val="center"/>
              <w:rPr>
                <w:rFonts w:ascii="宋体" w:hAnsi="宋体" w:cs="宋体"/>
                <w:kern w:val="0"/>
                <w:sz w:val="18"/>
                <w:szCs w:val="18"/>
              </w:rPr>
            </w:pPr>
            <w:r>
              <w:rPr>
                <w:rFonts w:hint="eastAsia" w:ascii="宋体" w:hAnsi="宋体" w:cs="宋体"/>
                <w:kern w:val="0"/>
                <w:sz w:val="18"/>
                <w:szCs w:val="18"/>
              </w:rPr>
              <w:t>三</w:t>
            </w:r>
          </w:p>
        </w:tc>
        <w:tc>
          <w:tcPr>
            <w:tcW w:w="242" w:type="pct"/>
            <w:vMerge w:val="restart"/>
            <w:tcBorders>
              <w:top w:val="nil"/>
              <w:left w:val="single" w:color="auto" w:sz="4" w:space="0"/>
              <w:bottom w:val="single" w:color="000000" w:sz="4" w:space="0"/>
              <w:right w:val="single" w:color="auto" w:sz="4" w:space="0"/>
            </w:tcBorders>
            <w:vAlign w:val="center"/>
          </w:tcPr>
          <w:p w14:paraId="49EAC494">
            <w:pPr>
              <w:widowControl/>
              <w:jc w:val="center"/>
              <w:rPr>
                <w:rFonts w:ascii="宋体" w:hAnsi="宋体" w:cs="宋体"/>
                <w:kern w:val="0"/>
                <w:sz w:val="18"/>
                <w:szCs w:val="18"/>
              </w:rPr>
            </w:pPr>
            <w:r>
              <w:rPr>
                <w:rFonts w:hint="eastAsia" w:ascii="宋体" w:hAnsi="宋体" w:cs="宋体"/>
                <w:kern w:val="0"/>
                <w:sz w:val="18"/>
                <w:szCs w:val="18"/>
              </w:rPr>
              <w:t>基础管理</w:t>
            </w:r>
          </w:p>
        </w:tc>
        <w:tc>
          <w:tcPr>
            <w:tcW w:w="304" w:type="pct"/>
            <w:vMerge w:val="restart"/>
            <w:tcBorders>
              <w:top w:val="nil"/>
              <w:left w:val="single" w:color="auto" w:sz="4" w:space="0"/>
              <w:bottom w:val="single" w:color="000000" w:sz="4" w:space="0"/>
              <w:right w:val="single" w:color="auto" w:sz="4" w:space="0"/>
            </w:tcBorders>
            <w:vAlign w:val="center"/>
          </w:tcPr>
          <w:p w14:paraId="7C9467F5">
            <w:pPr>
              <w:widowControl/>
              <w:jc w:val="center"/>
              <w:rPr>
                <w:rFonts w:ascii="宋体" w:hAnsi="宋体" w:cs="宋体"/>
                <w:kern w:val="0"/>
                <w:sz w:val="18"/>
                <w:szCs w:val="18"/>
              </w:rPr>
            </w:pPr>
            <w:r>
              <w:rPr>
                <w:rFonts w:hint="eastAsia" w:ascii="宋体" w:hAnsi="宋体" w:cs="宋体"/>
                <w:kern w:val="0"/>
                <w:sz w:val="18"/>
                <w:szCs w:val="18"/>
              </w:rPr>
              <w:t>18</w:t>
            </w:r>
          </w:p>
        </w:tc>
        <w:tc>
          <w:tcPr>
            <w:tcW w:w="1320" w:type="pct"/>
            <w:tcBorders>
              <w:top w:val="nil"/>
              <w:left w:val="nil"/>
              <w:bottom w:val="single" w:color="auto" w:sz="4" w:space="0"/>
              <w:right w:val="single" w:color="auto" w:sz="4" w:space="0"/>
            </w:tcBorders>
            <w:vAlign w:val="center"/>
          </w:tcPr>
          <w:p w14:paraId="4F659049">
            <w:pPr>
              <w:widowControl/>
              <w:jc w:val="left"/>
              <w:rPr>
                <w:rFonts w:ascii="宋体" w:hAnsi="宋体" w:cs="宋体"/>
                <w:kern w:val="0"/>
                <w:sz w:val="18"/>
                <w:szCs w:val="18"/>
              </w:rPr>
            </w:pPr>
            <w:r>
              <w:rPr>
                <w:rFonts w:hint="eastAsia" w:ascii="宋体" w:hAnsi="宋体" w:cs="宋体"/>
                <w:kern w:val="0"/>
                <w:sz w:val="18"/>
                <w:szCs w:val="18"/>
              </w:rPr>
              <w:t>对服务范围内的机电的机设施、空调设备等设备设施建立维保计划</w:t>
            </w:r>
          </w:p>
        </w:tc>
        <w:tc>
          <w:tcPr>
            <w:tcW w:w="320" w:type="pct"/>
            <w:tcBorders>
              <w:top w:val="nil"/>
              <w:left w:val="nil"/>
              <w:bottom w:val="single" w:color="auto" w:sz="4" w:space="0"/>
              <w:right w:val="single" w:color="auto" w:sz="4" w:space="0"/>
            </w:tcBorders>
            <w:vAlign w:val="center"/>
          </w:tcPr>
          <w:p w14:paraId="0BD46F9A">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2C22D2AB">
            <w:pPr>
              <w:widowControl/>
              <w:jc w:val="left"/>
              <w:rPr>
                <w:rFonts w:ascii="宋体" w:hAnsi="宋体" w:cs="宋体"/>
                <w:kern w:val="0"/>
                <w:sz w:val="18"/>
                <w:szCs w:val="18"/>
              </w:rPr>
            </w:pPr>
            <w:r>
              <w:rPr>
                <w:rFonts w:hint="eastAsia" w:ascii="宋体" w:hAnsi="宋体" w:cs="宋体"/>
                <w:kern w:val="0"/>
                <w:sz w:val="18"/>
                <w:szCs w:val="18"/>
              </w:rPr>
              <w:t>没有建立维保计划的扣2分</w:t>
            </w:r>
          </w:p>
        </w:tc>
        <w:tc>
          <w:tcPr>
            <w:tcW w:w="327" w:type="pct"/>
            <w:vMerge w:val="restart"/>
            <w:tcBorders>
              <w:top w:val="nil"/>
              <w:left w:val="single" w:color="auto" w:sz="4" w:space="0"/>
              <w:bottom w:val="single" w:color="000000" w:sz="4" w:space="0"/>
              <w:right w:val="single" w:color="auto" w:sz="4" w:space="0"/>
            </w:tcBorders>
            <w:vAlign w:val="center"/>
          </w:tcPr>
          <w:p w14:paraId="1432CAAD">
            <w:pPr>
              <w:widowControl/>
              <w:jc w:val="center"/>
              <w:rPr>
                <w:rFonts w:ascii="宋体" w:hAnsi="宋体" w:cs="宋体"/>
                <w:kern w:val="0"/>
                <w:sz w:val="18"/>
                <w:szCs w:val="18"/>
              </w:rPr>
            </w:pPr>
            <w:r>
              <w:rPr>
                <w:rFonts w:hint="eastAsia" w:ascii="宋体" w:hAnsi="宋体" w:cs="宋体"/>
                <w:kern w:val="0"/>
                <w:sz w:val="18"/>
                <w:szCs w:val="18"/>
              </w:rPr>
              <w:t>查看资料、记录、现场等</w:t>
            </w:r>
          </w:p>
        </w:tc>
        <w:tc>
          <w:tcPr>
            <w:tcW w:w="390" w:type="pct"/>
            <w:tcBorders>
              <w:top w:val="nil"/>
              <w:left w:val="nil"/>
              <w:bottom w:val="single" w:color="auto" w:sz="4" w:space="0"/>
              <w:right w:val="single" w:color="auto" w:sz="4" w:space="0"/>
            </w:tcBorders>
            <w:vAlign w:val="center"/>
          </w:tcPr>
          <w:p w14:paraId="4F9FBA8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B9723DD">
            <w:pPr>
              <w:widowControl/>
              <w:jc w:val="left"/>
              <w:rPr>
                <w:rFonts w:ascii="宋体" w:hAnsi="宋体" w:cs="宋体"/>
                <w:kern w:val="0"/>
                <w:sz w:val="18"/>
                <w:szCs w:val="18"/>
              </w:rPr>
            </w:pPr>
            <w:r>
              <w:rPr>
                <w:rFonts w:hint="eastAsia" w:ascii="宋体" w:hAnsi="宋体" w:cs="宋体"/>
                <w:kern w:val="0"/>
                <w:sz w:val="18"/>
                <w:szCs w:val="18"/>
              </w:rPr>
              <w:t>　</w:t>
            </w:r>
          </w:p>
        </w:tc>
      </w:tr>
      <w:tr w14:paraId="2ACD8D5D">
        <w:tblPrEx>
          <w:tblCellMar>
            <w:top w:w="0" w:type="dxa"/>
            <w:left w:w="108" w:type="dxa"/>
            <w:bottom w:w="0" w:type="dxa"/>
            <w:right w:w="108" w:type="dxa"/>
          </w:tblCellMar>
        </w:tblPrEx>
        <w:trPr>
          <w:trHeight w:val="259" w:hRule="atLeast"/>
        </w:trPr>
        <w:tc>
          <w:tcPr>
            <w:tcW w:w="249" w:type="pct"/>
            <w:vMerge w:val="continue"/>
            <w:tcBorders>
              <w:top w:val="nil"/>
              <w:left w:val="single" w:color="auto" w:sz="4" w:space="0"/>
              <w:bottom w:val="single" w:color="000000" w:sz="4" w:space="0"/>
              <w:right w:val="single" w:color="auto" w:sz="4" w:space="0"/>
            </w:tcBorders>
            <w:vAlign w:val="center"/>
          </w:tcPr>
          <w:p w14:paraId="738F4138">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9179804">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8E48C02">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884F9D6">
            <w:pPr>
              <w:widowControl/>
              <w:jc w:val="left"/>
              <w:rPr>
                <w:rFonts w:ascii="宋体" w:hAnsi="宋体" w:cs="宋体"/>
                <w:kern w:val="0"/>
                <w:sz w:val="18"/>
                <w:szCs w:val="18"/>
              </w:rPr>
            </w:pPr>
            <w:r>
              <w:rPr>
                <w:rFonts w:hint="eastAsia" w:ascii="宋体" w:hAnsi="宋体" w:cs="宋体"/>
                <w:kern w:val="0"/>
                <w:sz w:val="18"/>
                <w:szCs w:val="18"/>
              </w:rPr>
              <w:t>按照规范实施，且有记录</w:t>
            </w:r>
          </w:p>
        </w:tc>
        <w:tc>
          <w:tcPr>
            <w:tcW w:w="320" w:type="pct"/>
            <w:tcBorders>
              <w:top w:val="nil"/>
              <w:left w:val="nil"/>
              <w:bottom w:val="single" w:color="auto" w:sz="4" w:space="0"/>
              <w:right w:val="single" w:color="auto" w:sz="4" w:space="0"/>
            </w:tcBorders>
            <w:vAlign w:val="center"/>
          </w:tcPr>
          <w:p w14:paraId="411F5C8F">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05E2481F">
            <w:pPr>
              <w:widowControl/>
              <w:jc w:val="left"/>
              <w:rPr>
                <w:rFonts w:ascii="宋体" w:hAnsi="宋体" w:cs="宋体"/>
                <w:kern w:val="0"/>
                <w:sz w:val="18"/>
                <w:szCs w:val="18"/>
              </w:rPr>
            </w:pPr>
            <w:r>
              <w:rPr>
                <w:rFonts w:hint="eastAsia" w:ascii="宋体" w:hAnsi="宋体" w:cs="宋体"/>
                <w:kern w:val="0"/>
                <w:sz w:val="18"/>
                <w:szCs w:val="18"/>
              </w:rPr>
              <w:t>没按计划实施的扣0．5分，没有记录的扣0．5分</w:t>
            </w:r>
          </w:p>
        </w:tc>
        <w:tc>
          <w:tcPr>
            <w:tcW w:w="327" w:type="pct"/>
            <w:vMerge w:val="continue"/>
            <w:tcBorders>
              <w:top w:val="nil"/>
              <w:left w:val="single" w:color="auto" w:sz="4" w:space="0"/>
              <w:bottom w:val="single" w:color="000000" w:sz="4" w:space="0"/>
              <w:right w:val="single" w:color="auto" w:sz="4" w:space="0"/>
            </w:tcBorders>
            <w:vAlign w:val="center"/>
          </w:tcPr>
          <w:p w14:paraId="3FB38DD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343C342">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25121AC">
            <w:pPr>
              <w:widowControl/>
              <w:jc w:val="left"/>
              <w:rPr>
                <w:rFonts w:ascii="宋体" w:hAnsi="宋体" w:cs="宋体"/>
                <w:kern w:val="0"/>
                <w:sz w:val="18"/>
                <w:szCs w:val="18"/>
              </w:rPr>
            </w:pPr>
            <w:r>
              <w:rPr>
                <w:rFonts w:hint="eastAsia" w:ascii="宋体" w:hAnsi="宋体" w:cs="宋体"/>
                <w:kern w:val="0"/>
                <w:sz w:val="18"/>
                <w:szCs w:val="18"/>
              </w:rPr>
              <w:t>　</w:t>
            </w:r>
          </w:p>
        </w:tc>
      </w:tr>
      <w:tr w14:paraId="2493CE59">
        <w:tblPrEx>
          <w:tblCellMar>
            <w:top w:w="0" w:type="dxa"/>
            <w:left w:w="108" w:type="dxa"/>
            <w:bottom w:w="0" w:type="dxa"/>
            <w:right w:w="108" w:type="dxa"/>
          </w:tblCellMar>
        </w:tblPrEx>
        <w:trPr>
          <w:trHeight w:val="101" w:hRule="atLeast"/>
        </w:trPr>
        <w:tc>
          <w:tcPr>
            <w:tcW w:w="249" w:type="pct"/>
            <w:vMerge w:val="continue"/>
            <w:tcBorders>
              <w:top w:val="nil"/>
              <w:left w:val="single" w:color="auto" w:sz="4" w:space="0"/>
              <w:bottom w:val="single" w:color="000000" w:sz="4" w:space="0"/>
              <w:right w:val="single" w:color="auto" w:sz="4" w:space="0"/>
            </w:tcBorders>
            <w:vAlign w:val="center"/>
          </w:tcPr>
          <w:p w14:paraId="553DC4B2">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B4FC30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FABA75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EFB9C4B">
            <w:pPr>
              <w:widowControl/>
              <w:jc w:val="left"/>
              <w:rPr>
                <w:rFonts w:ascii="宋体" w:hAnsi="宋体" w:cs="宋体"/>
                <w:kern w:val="0"/>
                <w:sz w:val="18"/>
                <w:szCs w:val="18"/>
              </w:rPr>
            </w:pPr>
            <w:r>
              <w:rPr>
                <w:rFonts w:hint="eastAsia" w:ascii="宋体" w:hAnsi="宋体" w:cs="宋体"/>
                <w:kern w:val="0"/>
                <w:sz w:val="18"/>
                <w:szCs w:val="18"/>
              </w:rPr>
              <w:t>对服务范围内的各类设施设备建立设备管理台帐</w:t>
            </w:r>
          </w:p>
        </w:tc>
        <w:tc>
          <w:tcPr>
            <w:tcW w:w="320" w:type="pct"/>
            <w:tcBorders>
              <w:top w:val="nil"/>
              <w:left w:val="nil"/>
              <w:bottom w:val="single" w:color="auto" w:sz="4" w:space="0"/>
              <w:right w:val="single" w:color="auto" w:sz="4" w:space="0"/>
            </w:tcBorders>
            <w:vAlign w:val="center"/>
          </w:tcPr>
          <w:p w14:paraId="3DA13E68">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3AB943D">
            <w:pPr>
              <w:widowControl/>
              <w:jc w:val="left"/>
              <w:rPr>
                <w:rFonts w:ascii="宋体" w:hAnsi="宋体" w:cs="宋体"/>
                <w:kern w:val="0"/>
                <w:sz w:val="18"/>
                <w:szCs w:val="18"/>
              </w:rPr>
            </w:pPr>
            <w:r>
              <w:rPr>
                <w:rFonts w:hint="eastAsia" w:ascii="宋体" w:hAnsi="宋体" w:cs="宋体"/>
                <w:kern w:val="0"/>
                <w:sz w:val="18"/>
                <w:szCs w:val="18"/>
              </w:rPr>
              <w:t>没有建立设备管理台帐的扣1分</w:t>
            </w:r>
          </w:p>
        </w:tc>
        <w:tc>
          <w:tcPr>
            <w:tcW w:w="327" w:type="pct"/>
            <w:vMerge w:val="continue"/>
            <w:tcBorders>
              <w:top w:val="nil"/>
              <w:left w:val="single" w:color="auto" w:sz="4" w:space="0"/>
              <w:bottom w:val="single" w:color="000000" w:sz="4" w:space="0"/>
              <w:right w:val="single" w:color="auto" w:sz="4" w:space="0"/>
            </w:tcBorders>
            <w:vAlign w:val="center"/>
          </w:tcPr>
          <w:p w14:paraId="6AAB78D6">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5574492">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E4F9911">
            <w:pPr>
              <w:widowControl/>
              <w:jc w:val="left"/>
              <w:rPr>
                <w:rFonts w:ascii="宋体" w:hAnsi="宋体" w:cs="宋体"/>
                <w:kern w:val="0"/>
                <w:sz w:val="18"/>
                <w:szCs w:val="18"/>
              </w:rPr>
            </w:pPr>
            <w:r>
              <w:rPr>
                <w:rFonts w:hint="eastAsia" w:ascii="宋体" w:hAnsi="宋体" w:cs="宋体"/>
                <w:kern w:val="0"/>
                <w:sz w:val="18"/>
                <w:szCs w:val="18"/>
              </w:rPr>
              <w:t>　</w:t>
            </w:r>
          </w:p>
        </w:tc>
      </w:tr>
      <w:tr w14:paraId="1236AA86">
        <w:tblPrEx>
          <w:tblCellMar>
            <w:top w:w="0" w:type="dxa"/>
            <w:left w:w="108" w:type="dxa"/>
            <w:bottom w:w="0" w:type="dxa"/>
            <w:right w:w="108" w:type="dxa"/>
          </w:tblCellMar>
        </w:tblPrEx>
        <w:trPr>
          <w:trHeight w:val="233" w:hRule="atLeast"/>
        </w:trPr>
        <w:tc>
          <w:tcPr>
            <w:tcW w:w="249" w:type="pct"/>
            <w:vMerge w:val="continue"/>
            <w:tcBorders>
              <w:top w:val="nil"/>
              <w:left w:val="single" w:color="auto" w:sz="4" w:space="0"/>
              <w:bottom w:val="single" w:color="000000" w:sz="4" w:space="0"/>
              <w:right w:val="single" w:color="auto" w:sz="4" w:space="0"/>
            </w:tcBorders>
            <w:vAlign w:val="center"/>
          </w:tcPr>
          <w:p w14:paraId="360B221A">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505DC6B">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7E530C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80E047E">
            <w:pPr>
              <w:widowControl/>
              <w:jc w:val="left"/>
              <w:rPr>
                <w:rFonts w:ascii="宋体" w:hAnsi="宋体" w:cs="宋体"/>
                <w:kern w:val="0"/>
                <w:sz w:val="18"/>
                <w:szCs w:val="18"/>
              </w:rPr>
            </w:pPr>
            <w:r>
              <w:rPr>
                <w:rFonts w:hint="eastAsia" w:ascii="宋体" w:hAnsi="宋体" w:cs="宋体"/>
                <w:kern w:val="0"/>
                <w:sz w:val="18"/>
                <w:szCs w:val="18"/>
              </w:rPr>
              <w:t>并对相关设备进行编号管理</w:t>
            </w:r>
          </w:p>
        </w:tc>
        <w:tc>
          <w:tcPr>
            <w:tcW w:w="320" w:type="pct"/>
            <w:tcBorders>
              <w:top w:val="nil"/>
              <w:left w:val="nil"/>
              <w:bottom w:val="single" w:color="auto" w:sz="4" w:space="0"/>
              <w:right w:val="single" w:color="auto" w:sz="4" w:space="0"/>
            </w:tcBorders>
            <w:vAlign w:val="center"/>
          </w:tcPr>
          <w:p w14:paraId="1E847909">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20E15798">
            <w:pPr>
              <w:widowControl/>
              <w:jc w:val="left"/>
              <w:rPr>
                <w:rFonts w:ascii="宋体" w:hAnsi="宋体" w:cs="宋体"/>
                <w:kern w:val="0"/>
                <w:sz w:val="18"/>
                <w:szCs w:val="18"/>
              </w:rPr>
            </w:pPr>
            <w:r>
              <w:rPr>
                <w:rFonts w:hint="eastAsia" w:ascii="宋体" w:hAnsi="宋体" w:cs="宋体"/>
                <w:kern w:val="0"/>
                <w:sz w:val="18"/>
                <w:szCs w:val="18"/>
              </w:rPr>
              <w:t>没有编号的每台扣0．2分</w:t>
            </w:r>
          </w:p>
        </w:tc>
        <w:tc>
          <w:tcPr>
            <w:tcW w:w="327" w:type="pct"/>
            <w:vMerge w:val="continue"/>
            <w:tcBorders>
              <w:top w:val="nil"/>
              <w:left w:val="single" w:color="auto" w:sz="4" w:space="0"/>
              <w:bottom w:val="single" w:color="000000" w:sz="4" w:space="0"/>
              <w:right w:val="single" w:color="auto" w:sz="4" w:space="0"/>
            </w:tcBorders>
            <w:vAlign w:val="center"/>
          </w:tcPr>
          <w:p w14:paraId="4E9588A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42A75B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7ED2729">
            <w:pPr>
              <w:widowControl/>
              <w:jc w:val="left"/>
              <w:rPr>
                <w:rFonts w:ascii="宋体" w:hAnsi="宋体" w:cs="宋体"/>
                <w:kern w:val="0"/>
                <w:sz w:val="18"/>
                <w:szCs w:val="18"/>
              </w:rPr>
            </w:pPr>
            <w:r>
              <w:rPr>
                <w:rFonts w:hint="eastAsia" w:ascii="宋体" w:hAnsi="宋体" w:cs="宋体"/>
                <w:kern w:val="0"/>
                <w:sz w:val="18"/>
                <w:szCs w:val="18"/>
              </w:rPr>
              <w:t>　</w:t>
            </w:r>
          </w:p>
        </w:tc>
      </w:tr>
      <w:tr w14:paraId="1FD2E1E6">
        <w:tblPrEx>
          <w:tblCellMar>
            <w:top w:w="0" w:type="dxa"/>
            <w:left w:w="108" w:type="dxa"/>
            <w:bottom w:w="0" w:type="dxa"/>
            <w:right w:w="108" w:type="dxa"/>
          </w:tblCellMar>
        </w:tblPrEx>
        <w:trPr>
          <w:trHeight w:val="375" w:hRule="atLeast"/>
        </w:trPr>
        <w:tc>
          <w:tcPr>
            <w:tcW w:w="249" w:type="pct"/>
            <w:vMerge w:val="continue"/>
            <w:tcBorders>
              <w:top w:val="nil"/>
              <w:left w:val="single" w:color="auto" w:sz="4" w:space="0"/>
              <w:bottom w:val="single" w:color="000000" w:sz="4" w:space="0"/>
              <w:right w:val="single" w:color="auto" w:sz="4" w:space="0"/>
            </w:tcBorders>
            <w:vAlign w:val="center"/>
          </w:tcPr>
          <w:p w14:paraId="26344349">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85D733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1B73F4F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E95327E">
            <w:pPr>
              <w:widowControl/>
              <w:jc w:val="left"/>
              <w:rPr>
                <w:rFonts w:ascii="宋体" w:hAnsi="宋体" w:cs="宋体"/>
                <w:kern w:val="0"/>
                <w:sz w:val="18"/>
                <w:szCs w:val="18"/>
              </w:rPr>
            </w:pPr>
            <w:r>
              <w:rPr>
                <w:rFonts w:hint="eastAsia" w:ascii="宋体" w:hAnsi="宋体" w:cs="宋体"/>
                <w:kern w:val="0"/>
                <w:sz w:val="18"/>
                <w:szCs w:val="18"/>
              </w:rPr>
              <w:t>各类设施设备标示明确，资料齐全，分类成册，查阅方更</w:t>
            </w:r>
          </w:p>
        </w:tc>
        <w:tc>
          <w:tcPr>
            <w:tcW w:w="320" w:type="pct"/>
            <w:tcBorders>
              <w:top w:val="nil"/>
              <w:left w:val="nil"/>
              <w:bottom w:val="single" w:color="auto" w:sz="4" w:space="0"/>
              <w:right w:val="single" w:color="auto" w:sz="4" w:space="0"/>
            </w:tcBorders>
            <w:vAlign w:val="center"/>
          </w:tcPr>
          <w:p w14:paraId="6AD81F44">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0525FE19">
            <w:pPr>
              <w:widowControl/>
              <w:jc w:val="left"/>
              <w:rPr>
                <w:rFonts w:ascii="宋体" w:hAnsi="宋体" w:cs="宋体"/>
                <w:kern w:val="0"/>
                <w:sz w:val="18"/>
                <w:szCs w:val="18"/>
              </w:rPr>
            </w:pPr>
            <w:r>
              <w:rPr>
                <w:rFonts w:hint="eastAsia" w:ascii="宋体" w:hAnsi="宋体" w:cs="宋体"/>
                <w:kern w:val="0"/>
                <w:sz w:val="18"/>
                <w:szCs w:val="18"/>
              </w:rPr>
              <w:t>各类设备标示不明确的扣0、5分，资料不全、查阅不更的扣0、5分</w:t>
            </w:r>
          </w:p>
        </w:tc>
        <w:tc>
          <w:tcPr>
            <w:tcW w:w="327" w:type="pct"/>
            <w:vMerge w:val="continue"/>
            <w:tcBorders>
              <w:top w:val="nil"/>
              <w:left w:val="single" w:color="auto" w:sz="4" w:space="0"/>
              <w:bottom w:val="single" w:color="000000" w:sz="4" w:space="0"/>
              <w:right w:val="single" w:color="auto" w:sz="4" w:space="0"/>
            </w:tcBorders>
            <w:vAlign w:val="center"/>
          </w:tcPr>
          <w:p w14:paraId="6D829A8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20465C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B4A8F57">
            <w:pPr>
              <w:widowControl/>
              <w:jc w:val="left"/>
              <w:rPr>
                <w:rFonts w:ascii="宋体" w:hAnsi="宋体" w:cs="宋体"/>
                <w:kern w:val="0"/>
                <w:sz w:val="18"/>
                <w:szCs w:val="18"/>
              </w:rPr>
            </w:pPr>
            <w:r>
              <w:rPr>
                <w:rFonts w:hint="eastAsia" w:ascii="宋体" w:hAnsi="宋体" w:cs="宋体"/>
                <w:kern w:val="0"/>
                <w:sz w:val="18"/>
                <w:szCs w:val="18"/>
              </w:rPr>
              <w:t>　</w:t>
            </w:r>
          </w:p>
        </w:tc>
      </w:tr>
      <w:tr w14:paraId="4D7B430F">
        <w:tblPrEx>
          <w:tblCellMar>
            <w:top w:w="0" w:type="dxa"/>
            <w:left w:w="108" w:type="dxa"/>
            <w:bottom w:w="0" w:type="dxa"/>
            <w:right w:w="108" w:type="dxa"/>
          </w:tblCellMar>
        </w:tblPrEx>
        <w:trPr>
          <w:trHeight w:val="70" w:hRule="atLeast"/>
        </w:trPr>
        <w:tc>
          <w:tcPr>
            <w:tcW w:w="249" w:type="pct"/>
            <w:vMerge w:val="continue"/>
            <w:tcBorders>
              <w:top w:val="nil"/>
              <w:left w:val="single" w:color="auto" w:sz="4" w:space="0"/>
              <w:bottom w:val="single" w:color="000000" w:sz="4" w:space="0"/>
              <w:right w:val="single" w:color="auto" w:sz="4" w:space="0"/>
            </w:tcBorders>
            <w:vAlign w:val="center"/>
          </w:tcPr>
          <w:p w14:paraId="52F6A9CB">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8F5720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8AF62B0">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77AF3B8">
            <w:pPr>
              <w:widowControl/>
              <w:jc w:val="left"/>
              <w:rPr>
                <w:rFonts w:ascii="宋体" w:hAnsi="宋体" w:cs="宋体"/>
                <w:kern w:val="0"/>
                <w:sz w:val="18"/>
                <w:szCs w:val="18"/>
              </w:rPr>
            </w:pPr>
            <w:r>
              <w:rPr>
                <w:rFonts w:hint="eastAsia" w:ascii="宋体" w:hAnsi="宋体" w:cs="宋体"/>
                <w:kern w:val="0"/>
                <w:sz w:val="18"/>
                <w:szCs w:val="18"/>
              </w:rPr>
              <w:t>接到报修后能及时赶赴事故现场进行维修协调处理</w:t>
            </w:r>
          </w:p>
        </w:tc>
        <w:tc>
          <w:tcPr>
            <w:tcW w:w="320" w:type="pct"/>
            <w:tcBorders>
              <w:top w:val="nil"/>
              <w:left w:val="nil"/>
              <w:bottom w:val="single" w:color="auto" w:sz="4" w:space="0"/>
              <w:right w:val="single" w:color="auto" w:sz="4" w:space="0"/>
            </w:tcBorders>
            <w:vAlign w:val="center"/>
          </w:tcPr>
          <w:p w14:paraId="0E7B755D">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123B45C5">
            <w:pPr>
              <w:widowControl/>
              <w:jc w:val="left"/>
              <w:rPr>
                <w:rFonts w:ascii="宋体" w:hAnsi="宋体" w:cs="宋体"/>
                <w:kern w:val="0"/>
                <w:sz w:val="18"/>
                <w:szCs w:val="18"/>
              </w:rPr>
            </w:pPr>
            <w:r>
              <w:rPr>
                <w:rFonts w:hint="eastAsia" w:ascii="宋体" w:hAnsi="宋体" w:cs="宋体"/>
                <w:kern w:val="0"/>
                <w:sz w:val="18"/>
                <w:szCs w:val="18"/>
              </w:rPr>
              <w:t>不能及时赶到现场处理的扣2分</w:t>
            </w:r>
          </w:p>
        </w:tc>
        <w:tc>
          <w:tcPr>
            <w:tcW w:w="327" w:type="pct"/>
            <w:vMerge w:val="continue"/>
            <w:tcBorders>
              <w:top w:val="nil"/>
              <w:left w:val="single" w:color="auto" w:sz="4" w:space="0"/>
              <w:bottom w:val="single" w:color="000000" w:sz="4" w:space="0"/>
              <w:right w:val="single" w:color="auto" w:sz="4" w:space="0"/>
            </w:tcBorders>
            <w:vAlign w:val="center"/>
          </w:tcPr>
          <w:p w14:paraId="6042D24E">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0A951A8">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9660211">
            <w:pPr>
              <w:widowControl/>
              <w:jc w:val="left"/>
              <w:rPr>
                <w:rFonts w:ascii="宋体" w:hAnsi="宋体" w:cs="宋体"/>
                <w:kern w:val="0"/>
                <w:sz w:val="18"/>
                <w:szCs w:val="18"/>
              </w:rPr>
            </w:pPr>
            <w:r>
              <w:rPr>
                <w:rFonts w:hint="eastAsia" w:ascii="宋体" w:hAnsi="宋体" w:cs="宋体"/>
                <w:kern w:val="0"/>
                <w:sz w:val="18"/>
                <w:szCs w:val="18"/>
              </w:rPr>
              <w:t>　</w:t>
            </w:r>
          </w:p>
        </w:tc>
      </w:tr>
      <w:tr w14:paraId="5D0B01EB">
        <w:tblPrEx>
          <w:tblCellMar>
            <w:top w:w="0" w:type="dxa"/>
            <w:left w:w="108" w:type="dxa"/>
            <w:bottom w:w="0" w:type="dxa"/>
            <w:right w:w="108" w:type="dxa"/>
          </w:tblCellMar>
        </w:tblPrEx>
        <w:trPr>
          <w:trHeight w:val="359" w:hRule="atLeast"/>
        </w:trPr>
        <w:tc>
          <w:tcPr>
            <w:tcW w:w="249" w:type="pct"/>
            <w:vMerge w:val="continue"/>
            <w:tcBorders>
              <w:top w:val="nil"/>
              <w:left w:val="single" w:color="auto" w:sz="4" w:space="0"/>
              <w:bottom w:val="single" w:color="000000" w:sz="4" w:space="0"/>
              <w:right w:val="single" w:color="auto" w:sz="4" w:space="0"/>
            </w:tcBorders>
            <w:vAlign w:val="center"/>
          </w:tcPr>
          <w:p w14:paraId="7F2C5AF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94A1E57">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1FC6DBA1">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F43E7F1">
            <w:pPr>
              <w:widowControl/>
              <w:jc w:val="left"/>
              <w:rPr>
                <w:rFonts w:ascii="宋体" w:hAnsi="宋体" w:cs="宋体"/>
                <w:kern w:val="0"/>
                <w:sz w:val="18"/>
                <w:szCs w:val="18"/>
              </w:rPr>
            </w:pPr>
            <w:r>
              <w:rPr>
                <w:rFonts w:hint="eastAsia" w:ascii="宋体" w:hAnsi="宋体" w:cs="宋体"/>
                <w:kern w:val="0"/>
                <w:sz w:val="18"/>
                <w:szCs w:val="18"/>
              </w:rPr>
              <w:t>每次报修有记录，维修处理有记录，每次维修有回访</w:t>
            </w:r>
          </w:p>
        </w:tc>
        <w:tc>
          <w:tcPr>
            <w:tcW w:w="320" w:type="pct"/>
            <w:tcBorders>
              <w:top w:val="nil"/>
              <w:left w:val="nil"/>
              <w:bottom w:val="single" w:color="auto" w:sz="4" w:space="0"/>
              <w:right w:val="single" w:color="auto" w:sz="4" w:space="0"/>
            </w:tcBorders>
            <w:vAlign w:val="center"/>
          </w:tcPr>
          <w:p w14:paraId="7C7A945F">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1245E6FF">
            <w:pPr>
              <w:widowControl/>
              <w:jc w:val="left"/>
              <w:rPr>
                <w:rFonts w:ascii="宋体" w:hAnsi="宋体" w:cs="宋体"/>
                <w:kern w:val="0"/>
                <w:sz w:val="18"/>
                <w:szCs w:val="18"/>
              </w:rPr>
            </w:pPr>
            <w:r>
              <w:rPr>
                <w:rFonts w:hint="eastAsia" w:ascii="宋体" w:hAnsi="宋体" w:cs="宋体"/>
                <w:kern w:val="0"/>
                <w:sz w:val="18"/>
                <w:szCs w:val="18"/>
              </w:rPr>
              <w:t>没有报修、维修记录的扣1分，没有回访的扣1分</w:t>
            </w:r>
          </w:p>
        </w:tc>
        <w:tc>
          <w:tcPr>
            <w:tcW w:w="327" w:type="pct"/>
            <w:vMerge w:val="continue"/>
            <w:tcBorders>
              <w:top w:val="nil"/>
              <w:left w:val="single" w:color="auto" w:sz="4" w:space="0"/>
              <w:bottom w:val="single" w:color="000000" w:sz="4" w:space="0"/>
              <w:right w:val="single" w:color="auto" w:sz="4" w:space="0"/>
            </w:tcBorders>
            <w:vAlign w:val="center"/>
          </w:tcPr>
          <w:p w14:paraId="164306D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E92D822">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A3FDAC2">
            <w:pPr>
              <w:widowControl/>
              <w:jc w:val="left"/>
              <w:rPr>
                <w:rFonts w:ascii="宋体" w:hAnsi="宋体" w:cs="宋体"/>
                <w:kern w:val="0"/>
                <w:sz w:val="18"/>
                <w:szCs w:val="18"/>
              </w:rPr>
            </w:pPr>
            <w:r>
              <w:rPr>
                <w:rFonts w:hint="eastAsia" w:ascii="宋体" w:hAnsi="宋体" w:cs="宋体"/>
                <w:kern w:val="0"/>
                <w:sz w:val="18"/>
                <w:szCs w:val="18"/>
              </w:rPr>
              <w:t>　</w:t>
            </w:r>
          </w:p>
        </w:tc>
      </w:tr>
      <w:tr w14:paraId="74CD0CBC">
        <w:tblPrEx>
          <w:tblCellMar>
            <w:top w:w="0" w:type="dxa"/>
            <w:left w:w="108" w:type="dxa"/>
            <w:bottom w:w="0" w:type="dxa"/>
            <w:right w:w="108" w:type="dxa"/>
          </w:tblCellMar>
        </w:tblPrEx>
        <w:trPr>
          <w:trHeight w:val="962" w:hRule="atLeast"/>
        </w:trPr>
        <w:tc>
          <w:tcPr>
            <w:tcW w:w="249" w:type="pct"/>
            <w:vMerge w:val="continue"/>
            <w:tcBorders>
              <w:top w:val="nil"/>
              <w:left w:val="single" w:color="auto" w:sz="4" w:space="0"/>
              <w:bottom w:val="single" w:color="000000" w:sz="4" w:space="0"/>
              <w:right w:val="single" w:color="auto" w:sz="4" w:space="0"/>
            </w:tcBorders>
            <w:vAlign w:val="center"/>
          </w:tcPr>
          <w:p w14:paraId="6A6A2CB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E77410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DC25FD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ABBFF50">
            <w:pPr>
              <w:widowControl/>
              <w:jc w:val="left"/>
              <w:rPr>
                <w:rFonts w:ascii="宋体" w:hAnsi="宋体" w:cs="宋体"/>
                <w:kern w:val="0"/>
                <w:sz w:val="18"/>
                <w:szCs w:val="18"/>
              </w:rPr>
            </w:pPr>
            <w:r>
              <w:rPr>
                <w:rFonts w:hint="eastAsia" w:ascii="宋体" w:hAnsi="宋体" w:cs="宋体"/>
                <w:kern w:val="0"/>
                <w:sz w:val="18"/>
                <w:szCs w:val="18"/>
              </w:rPr>
              <w:t>设立24小时投诉报修电话，接受师生的投诉、报修、询问、质疑，并及时处理和回访</w:t>
            </w:r>
          </w:p>
        </w:tc>
        <w:tc>
          <w:tcPr>
            <w:tcW w:w="320" w:type="pct"/>
            <w:tcBorders>
              <w:top w:val="nil"/>
              <w:left w:val="nil"/>
              <w:bottom w:val="single" w:color="auto" w:sz="4" w:space="0"/>
              <w:right w:val="single" w:color="auto" w:sz="4" w:space="0"/>
            </w:tcBorders>
            <w:vAlign w:val="center"/>
          </w:tcPr>
          <w:p w14:paraId="74094285">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3A9B8855">
            <w:pPr>
              <w:widowControl/>
              <w:jc w:val="left"/>
              <w:rPr>
                <w:rFonts w:ascii="宋体" w:hAnsi="宋体" w:cs="宋体"/>
                <w:kern w:val="0"/>
                <w:sz w:val="18"/>
                <w:szCs w:val="18"/>
              </w:rPr>
            </w:pPr>
            <w:r>
              <w:rPr>
                <w:rFonts w:hint="eastAsia" w:ascii="宋体" w:hAnsi="宋体" w:cs="宋体"/>
                <w:kern w:val="0"/>
                <w:sz w:val="18"/>
                <w:szCs w:val="18"/>
              </w:rPr>
              <w:t>未设立24小时求助投诉电话的扣1分；有制度但未按要求执行扣0．5分；有执行但不符合规定要求扣0．5分</w:t>
            </w:r>
          </w:p>
        </w:tc>
        <w:tc>
          <w:tcPr>
            <w:tcW w:w="327" w:type="pct"/>
            <w:vMerge w:val="continue"/>
            <w:tcBorders>
              <w:top w:val="nil"/>
              <w:left w:val="single" w:color="auto" w:sz="4" w:space="0"/>
              <w:bottom w:val="single" w:color="000000" w:sz="4" w:space="0"/>
              <w:right w:val="single" w:color="auto" w:sz="4" w:space="0"/>
            </w:tcBorders>
            <w:vAlign w:val="center"/>
          </w:tcPr>
          <w:p w14:paraId="0648AD5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41F07F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7CF6BA5">
            <w:pPr>
              <w:widowControl/>
              <w:jc w:val="left"/>
              <w:rPr>
                <w:rFonts w:ascii="宋体" w:hAnsi="宋体" w:cs="宋体"/>
                <w:kern w:val="0"/>
                <w:sz w:val="18"/>
                <w:szCs w:val="18"/>
              </w:rPr>
            </w:pPr>
            <w:r>
              <w:rPr>
                <w:rFonts w:hint="eastAsia" w:ascii="宋体" w:hAnsi="宋体" w:cs="宋体"/>
                <w:kern w:val="0"/>
                <w:sz w:val="18"/>
                <w:szCs w:val="18"/>
              </w:rPr>
              <w:t>　</w:t>
            </w:r>
          </w:p>
        </w:tc>
      </w:tr>
      <w:tr w14:paraId="7362D15D">
        <w:tblPrEx>
          <w:tblCellMar>
            <w:top w:w="0" w:type="dxa"/>
            <w:left w:w="108" w:type="dxa"/>
            <w:bottom w:w="0" w:type="dxa"/>
            <w:right w:w="108" w:type="dxa"/>
          </w:tblCellMar>
        </w:tblPrEx>
        <w:trPr>
          <w:trHeight w:val="646" w:hRule="atLeast"/>
        </w:trPr>
        <w:tc>
          <w:tcPr>
            <w:tcW w:w="249" w:type="pct"/>
            <w:vMerge w:val="continue"/>
            <w:tcBorders>
              <w:top w:val="nil"/>
              <w:left w:val="single" w:color="auto" w:sz="4" w:space="0"/>
              <w:bottom w:val="single" w:color="000000" w:sz="4" w:space="0"/>
              <w:right w:val="single" w:color="auto" w:sz="4" w:space="0"/>
            </w:tcBorders>
            <w:vAlign w:val="center"/>
          </w:tcPr>
          <w:p w14:paraId="09414FA1">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BA9B014">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49F055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BC64B41">
            <w:pPr>
              <w:widowControl/>
              <w:jc w:val="left"/>
              <w:rPr>
                <w:rFonts w:ascii="宋体" w:hAnsi="宋体" w:cs="宋体"/>
                <w:kern w:val="0"/>
                <w:sz w:val="18"/>
                <w:szCs w:val="18"/>
              </w:rPr>
            </w:pPr>
            <w:r>
              <w:rPr>
                <w:rFonts w:hint="eastAsia" w:ascii="宋体" w:hAnsi="宋体" w:cs="宋体"/>
                <w:kern w:val="0"/>
                <w:sz w:val="18"/>
                <w:szCs w:val="18"/>
              </w:rPr>
              <w:t>对校方安排布置的工作任务以及和各职能部门知会、联络事宜能够及时完成并反馈</w:t>
            </w:r>
          </w:p>
        </w:tc>
        <w:tc>
          <w:tcPr>
            <w:tcW w:w="320" w:type="pct"/>
            <w:tcBorders>
              <w:top w:val="nil"/>
              <w:left w:val="nil"/>
              <w:bottom w:val="single" w:color="auto" w:sz="4" w:space="0"/>
              <w:right w:val="single" w:color="auto" w:sz="4" w:space="0"/>
            </w:tcBorders>
            <w:vAlign w:val="center"/>
          </w:tcPr>
          <w:p w14:paraId="66C016C4">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7CDADCF2">
            <w:pPr>
              <w:widowControl/>
              <w:jc w:val="left"/>
              <w:rPr>
                <w:rFonts w:ascii="宋体" w:hAnsi="宋体" w:cs="宋体"/>
                <w:kern w:val="0"/>
                <w:sz w:val="18"/>
                <w:szCs w:val="18"/>
              </w:rPr>
            </w:pPr>
            <w:r>
              <w:rPr>
                <w:rFonts w:hint="eastAsia" w:ascii="宋体" w:hAnsi="宋体" w:cs="宋体"/>
                <w:kern w:val="0"/>
                <w:sz w:val="18"/>
                <w:szCs w:val="18"/>
              </w:rPr>
              <w:t>未执行、未知会的，一次扣</w:t>
            </w:r>
            <w:r>
              <w:rPr>
                <w:rFonts w:ascii="宋体" w:hAnsi="宋体"/>
                <w:kern w:val="0"/>
                <w:sz w:val="18"/>
                <w:szCs w:val="18"/>
              </w:rPr>
              <w:t>1</w:t>
            </w:r>
            <w:r>
              <w:rPr>
                <w:rFonts w:hint="eastAsia" w:ascii="宋体" w:hAnsi="宋体" w:cs="宋体"/>
                <w:kern w:val="0"/>
                <w:sz w:val="18"/>
                <w:szCs w:val="18"/>
              </w:rPr>
              <w:t>分，未完成或不反馈的扣</w:t>
            </w:r>
            <w:r>
              <w:rPr>
                <w:rFonts w:ascii="宋体" w:hAnsi="宋体"/>
                <w:kern w:val="0"/>
                <w:sz w:val="18"/>
                <w:szCs w:val="18"/>
              </w:rPr>
              <w:t>1</w:t>
            </w:r>
            <w:r>
              <w:rPr>
                <w:rFonts w:hint="eastAsia" w:ascii="宋体" w:hAnsi="宋体" w:cs="宋体"/>
                <w:kern w:val="0"/>
                <w:sz w:val="18"/>
                <w:szCs w:val="18"/>
              </w:rPr>
              <w:t>分。</w:t>
            </w:r>
          </w:p>
        </w:tc>
        <w:tc>
          <w:tcPr>
            <w:tcW w:w="327" w:type="pct"/>
            <w:vMerge w:val="continue"/>
            <w:tcBorders>
              <w:top w:val="nil"/>
              <w:left w:val="single" w:color="auto" w:sz="4" w:space="0"/>
              <w:bottom w:val="single" w:color="000000" w:sz="4" w:space="0"/>
              <w:right w:val="single" w:color="auto" w:sz="4" w:space="0"/>
            </w:tcBorders>
            <w:vAlign w:val="center"/>
          </w:tcPr>
          <w:p w14:paraId="4F48BE68">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D9ACC66">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AD9BD86">
            <w:pPr>
              <w:widowControl/>
              <w:jc w:val="left"/>
              <w:rPr>
                <w:rFonts w:ascii="宋体" w:hAnsi="宋体" w:cs="宋体"/>
                <w:kern w:val="0"/>
                <w:sz w:val="18"/>
                <w:szCs w:val="18"/>
              </w:rPr>
            </w:pPr>
            <w:r>
              <w:rPr>
                <w:rFonts w:hint="eastAsia" w:ascii="宋体" w:hAnsi="宋体" w:cs="宋体"/>
                <w:kern w:val="0"/>
                <w:sz w:val="18"/>
                <w:szCs w:val="18"/>
              </w:rPr>
              <w:t>　</w:t>
            </w:r>
          </w:p>
        </w:tc>
      </w:tr>
      <w:tr w14:paraId="1AC05415">
        <w:tblPrEx>
          <w:tblCellMar>
            <w:top w:w="0" w:type="dxa"/>
            <w:left w:w="108" w:type="dxa"/>
            <w:bottom w:w="0" w:type="dxa"/>
            <w:right w:w="108" w:type="dxa"/>
          </w:tblCellMar>
        </w:tblPrEx>
        <w:trPr>
          <w:trHeight w:val="306" w:hRule="atLeast"/>
        </w:trPr>
        <w:tc>
          <w:tcPr>
            <w:tcW w:w="249" w:type="pct"/>
            <w:vMerge w:val="continue"/>
            <w:tcBorders>
              <w:top w:val="nil"/>
              <w:left w:val="single" w:color="auto" w:sz="4" w:space="0"/>
              <w:bottom w:val="single" w:color="000000" w:sz="4" w:space="0"/>
              <w:right w:val="single" w:color="auto" w:sz="4" w:space="0"/>
            </w:tcBorders>
            <w:vAlign w:val="center"/>
          </w:tcPr>
          <w:p w14:paraId="387D47A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03741330">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F9CED29">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6E67BB9">
            <w:pPr>
              <w:widowControl/>
              <w:jc w:val="left"/>
              <w:rPr>
                <w:rFonts w:ascii="宋体" w:hAnsi="宋体" w:cs="宋体"/>
                <w:kern w:val="0"/>
                <w:sz w:val="18"/>
                <w:szCs w:val="18"/>
              </w:rPr>
            </w:pPr>
            <w:r>
              <w:rPr>
                <w:rFonts w:hint="eastAsia" w:ascii="宋体" w:hAnsi="宋体" w:cs="宋体"/>
                <w:kern w:val="0"/>
                <w:sz w:val="18"/>
                <w:szCs w:val="18"/>
              </w:rPr>
              <w:t>对各岗位员工的工作情况按管理制度的要求进行检查、整改</w:t>
            </w:r>
          </w:p>
        </w:tc>
        <w:tc>
          <w:tcPr>
            <w:tcW w:w="320" w:type="pct"/>
            <w:tcBorders>
              <w:top w:val="nil"/>
              <w:left w:val="nil"/>
              <w:bottom w:val="single" w:color="auto" w:sz="4" w:space="0"/>
              <w:right w:val="single" w:color="auto" w:sz="4" w:space="0"/>
            </w:tcBorders>
            <w:vAlign w:val="center"/>
          </w:tcPr>
          <w:p w14:paraId="117070E4">
            <w:pPr>
              <w:widowControl/>
              <w:jc w:val="center"/>
              <w:rPr>
                <w:rFonts w:ascii="宋体" w:hAnsi="宋体" w:cs="宋体"/>
                <w:kern w:val="0"/>
                <w:sz w:val="18"/>
                <w:szCs w:val="18"/>
              </w:rPr>
            </w:pPr>
            <w:r>
              <w:rPr>
                <w:rFonts w:hint="eastAsia" w:ascii="宋体" w:hAnsi="宋体" w:cs="宋体"/>
                <w:kern w:val="0"/>
                <w:sz w:val="18"/>
                <w:szCs w:val="18"/>
              </w:rPr>
              <w:t>2</w:t>
            </w:r>
          </w:p>
        </w:tc>
        <w:tc>
          <w:tcPr>
            <w:tcW w:w="1375" w:type="pct"/>
            <w:tcBorders>
              <w:top w:val="nil"/>
              <w:left w:val="nil"/>
              <w:bottom w:val="single" w:color="auto" w:sz="4" w:space="0"/>
              <w:right w:val="single" w:color="auto" w:sz="4" w:space="0"/>
            </w:tcBorders>
            <w:vAlign w:val="center"/>
          </w:tcPr>
          <w:p w14:paraId="7C4F855C">
            <w:pPr>
              <w:widowControl/>
              <w:jc w:val="left"/>
              <w:rPr>
                <w:rFonts w:ascii="宋体" w:hAnsi="宋体" w:cs="宋体"/>
                <w:kern w:val="0"/>
                <w:sz w:val="18"/>
                <w:szCs w:val="18"/>
              </w:rPr>
            </w:pPr>
            <w:r>
              <w:rPr>
                <w:rFonts w:hint="eastAsia" w:ascii="宋体" w:hAnsi="宋体" w:cs="宋体"/>
                <w:kern w:val="0"/>
                <w:sz w:val="18"/>
                <w:szCs w:val="18"/>
              </w:rPr>
              <w:t>未按管理制度的要求按时检查、整改，每次扣1分</w:t>
            </w:r>
          </w:p>
        </w:tc>
        <w:tc>
          <w:tcPr>
            <w:tcW w:w="327" w:type="pct"/>
            <w:vMerge w:val="continue"/>
            <w:tcBorders>
              <w:top w:val="nil"/>
              <w:left w:val="single" w:color="auto" w:sz="4" w:space="0"/>
              <w:bottom w:val="single" w:color="000000" w:sz="4" w:space="0"/>
              <w:right w:val="single" w:color="auto" w:sz="4" w:space="0"/>
            </w:tcBorders>
            <w:vAlign w:val="center"/>
          </w:tcPr>
          <w:p w14:paraId="0DD4786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7D3445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5C661C6">
            <w:pPr>
              <w:widowControl/>
              <w:jc w:val="left"/>
              <w:rPr>
                <w:rFonts w:ascii="宋体" w:hAnsi="宋体" w:cs="宋体"/>
                <w:kern w:val="0"/>
                <w:sz w:val="18"/>
                <w:szCs w:val="18"/>
              </w:rPr>
            </w:pPr>
            <w:r>
              <w:rPr>
                <w:rFonts w:hint="eastAsia" w:ascii="宋体" w:hAnsi="宋体" w:cs="宋体"/>
                <w:kern w:val="0"/>
                <w:sz w:val="18"/>
                <w:szCs w:val="18"/>
              </w:rPr>
              <w:t>　</w:t>
            </w:r>
          </w:p>
        </w:tc>
      </w:tr>
      <w:tr w14:paraId="34E01DEA">
        <w:tblPrEx>
          <w:tblCellMar>
            <w:top w:w="0" w:type="dxa"/>
            <w:left w:w="108" w:type="dxa"/>
            <w:bottom w:w="0" w:type="dxa"/>
            <w:right w:w="108" w:type="dxa"/>
          </w:tblCellMar>
        </w:tblPrEx>
        <w:trPr>
          <w:trHeight w:val="300" w:hRule="atLeast"/>
        </w:trPr>
        <w:tc>
          <w:tcPr>
            <w:tcW w:w="249" w:type="pct"/>
            <w:vMerge w:val="continue"/>
            <w:tcBorders>
              <w:top w:val="nil"/>
              <w:left w:val="single" w:color="auto" w:sz="4" w:space="0"/>
              <w:bottom w:val="single" w:color="000000" w:sz="4" w:space="0"/>
              <w:right w:val="single" w:color="auto" w:sz="4" w:space="0"/>
            </w:tcBorders>
            <w:vAlign w:val="center"/>
          </w:tcPr>
          <w:p w14:paraId="2CA9108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6C5D186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ECF344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FCE44C9">
            <w:pPr>
              <w:widowControl/>
              <w:jc w:val="left"/>
              <w:rPr>
                <w:rFonts w:ascii="宋体" w:hAnsi="宋体" w:cs="宋体"/>
                <w:kern w:val="0"/>
                <w:sz w:val="18"/>
                <w:szCs w:val="18"/>
              </w:rPr>
            </w:pPr>
            <w:r>
              <w:rPr>
                <w:rFonts w:hint="eastAsia" w:ascii="宋体" w:hAnsi="宋体" w:cs="宋体"/>
                <w:kern w:val="0"/>
                <w:sz w:val="18"/>
                <w:szCs w:val="18"/>
              </w:rPr>
              <w:t>并保持检查及整改记录</w:t>
            </w:r>
          </w:p>
        </w:tc>
        <w:tc>
          <w:tcPr>
            <w:tcW w:w="320" w:type="pct"/>
            <w:tcBorders>
              <w:top w:val="nil"/>
              <w:left w:val="nil"/>
              <w:bottom w:val="single" w:color="auto" w:sz="4" w:space="0"/>
              <w:right w:val="single" w:color="auto" w:sz="4" w:space="0"/>
            </w:tcBorders>
            <w:vAlign w:val="center"/>
          </w:tcPr>
          <w:p w14:paraId="50D69ABB">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12804B6C">
            <w:pPr>
              <w:widowControl/>
              <w:jc w:val="left"/>
              <w:rPr>
                <w:rFonts w:ascii="宋体" w:hAnsi="宋体" w:cs="宋体"/>
                <w:kern w:val="0"/>
                <w:sz w:val="18"/>
                <w:szCs w:val="18"/>
              </w:rPr>
            </w:pPr>
            <w:r>
              <w:rPr>
                <w:rFonts w:hint="eastAsia" w:ascii="宋体" w:hAnsi="宋体" w:cs="宋体"/>
                <w:kern w:val="0"/>
                <w:sz w:val="18"/>
                <w:szCs w:val="18"/>
              </w:rPr>
              <w:t>未保存相关检查整改记录，每次0.5分</w:t>
            </w:r>
          </w:p>
        </w:tc>
        <w:tc>
          <w:tcPr>
            <w:tcW w:w="327" w:type="pct"/>
            <w:vMerge w:val="continue"/>
            <w:tcBorders>
              <w:top w:val="nil"/>
              <w:left w:val="single" w:color="auto" w:sz="4" w:space="0"/>
              <w:bottom w:val="single" w:color="000000" w:sz="4" w:space="0"/>
              <w:right w:val="single" w:color="auto" w:sz="4" w:space="0"/>
            </w:tcBorders>
            <w:vAlign w:val="center"/>
          </w:tcPr>
          <w:p w14:paraId="769567D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A9A368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62D5C81">
            <w:pPr>
              <w:widowControl/>
              <w:jc w:val="left"/>
              <w:rPr>
                <w:rFonts w:ascii="宋体" w:hAnsi="宋体" w:cs="宋体"/>
                <w:kern w:val="0"/>
                <w:sz w:val="18"/>
                <w:szCs w:val="18"/>
              </w:rPr>
            </w:pPr>
            <w:r>
              <w:rPr>
                <w:rFonts w:hint="eastAsia" w:ascii="宋体" w:hAnsi="宋体" w:cs="宋体"/>
                <w:kern w:val="0"/>
                <w:sz w:val="18"/>
                <w:szCs w:val="18"/>
              </w:rPr>
              <w:t>　</w:t>
            </w:r>
          </w:p>
        </w:tc>
      </w:tr>
      <w:tr w14:paraId="16720B9B">
        <w:tblPrEx>
          <w:tblCellMar>
            <w:top w:w="0" w:type="dxa"/>
            <w:left w:w="108" w:type="dxa"/>
            <w:bottom w:w="0" w:type="dxa"/>
            <w:right w:w="108" w:type="dxa"/>
          </w:tblCellMar>
        </w:tblPrEx>
        <w:trPr>
          <w:trHeight w:val="570" w:hRule="atLeast"/>
        </w:trPr>
        <w:tc>
          <w:tcPr>
            <w:tcW w:w="249" w:type="pct"/>
            <w:vMerge w:val="restart"/>
            <w:tcBorders>
              <w:top w:val="nil"/>
              <w:left w:val="single" w:color="auto" w:sz="4" w:space="0"/>
              <w:bottom w:val="single" w:color="000000" w:sz="4" w:space="0"/>
              <w:right w:val="single" w:color="auto" w:sz="4" w:space="0"/>
            </w:tcBorders>
            <w:vAlign w:val="center"/>
          </w:tcPr>
          <w:p w14:paraId="3C2C33A1">
            <w:pPr>
              <w:widowControl/>
              <w:jc w:val="center"/>
              <w:rPr>
                <w:rFonts w:ascii="宋体" w:hAnsi="宋体" w:cs="宋体"/>
                <w:kern w:val="0"/>
                <w:sz w:val="18"/>
                <w:szCs w:val="18"/>
              </w:rPr>
            </w:pPr>
            <w:r>
              <w:rPr>
                <w:rFonts w:hint="eastAsia" w:ascii="宋体" w:hAnsi="宋体" w:cs="宋体"/>
                <w:kern w:val="0"/>
                <w:sz w:val="18"/>
                <w:szCs w:val="18"/>
              </w:rPr>
              <w:t>四</w:t>
            </w:r>
          </w:p>
        </w:tc>
        <w:tc>
          <w:tcPr>
            <w:tcW w:w="242" w:type="pct"/>
            <w:vMerge w:val="restart"/>
            <w:tcBorders>
              <w:top w:val="nil"/>
              <w:left w:val="single" w:color="auto" w:sz="4" w:space="0"/>
              <w:bottom w:val="single" w:color="000000" w:sz="4" w:space="0"/>
              <w:right w:val="single" w:color="auto" w:sz="4" w:space="0"/>
            </w:tcBorders>
            <w:vAlign w:val="center"/>
          </w:tcPr>
          <w:p w14:paraId="7BE4284A">
            <w:pPr>
              <w:widowControl/>
              <w:jc w:val="center"/>
              <w:rPr>
                <w:rFonts w:ascii="宋体" w:hAnsi="宋体" w:cs="宋体"/>
                <w:kern w:val="0"/>
                <w:sz w:val="18"/>
                <w:szCs w:val="18"/>
              </w:rPr>
            </w:pPr>
            <w:r>
              <w:rPr>
                <w:rFonts w:hint="eastAsia" w:ascii="宋体" w:hAnsi="宋体" w:cs="宋体"/>
                <w:kern w:val="0"/>
                <w:sz w:val="18"/>
                <w:szCs w:val="18"/>
              </w:rPr>
              <w:t>配电室</w:t>
            </w:r>
          </w:p>
          <w:p w14:paraId="3F167E1A">
            <w:pPr>
              <w:widowControl/>
              <w:jc w:val="center"/>
              <w:rPr>
                <w:rFonts w:ascii="宋体" w:hAnsi="宋体" w:cs="宋体"/>
                <w:kern w:val="0"/>
                <w:sz w:val="18"/>
                <w:szCs w:val="18"/>
              </w:rPr>
            </w:pPr>
            <w:r>
              <w:rPr>
                <w:rFonts w:hint="eastAsia" w:ascii="宋体" w:hAnsi="宋体" w:cs="宋体"/>
                <w:kern w:val="0"/>
                <w:sz w:val="18"/>
                <w:szCs w:val="18"/>
              </w:rPr>
              <w:t>管理</w:t>
            </w:r>
          </w:p>
        </w:tc>
        <w:tc>
          <w:tcPr>
            <w:tcW w:w="304" w:type="pct"/>
            <w:vMerge w:val="restart"/>
            <w:tcBorders>
              <w:top w:val="nil"/>
              <w:left w:val="single" w:color="auto" w:sz="4" w:space="0"/>
              <w:bottom w:val="single" w:color="000000" w:sz="4" w:space="0"/>
              <w:right w:val="single" w:color="auto" w:sz="4" w:space="0"/>
            </w:tcBorders>
            <w:vAlign w:val="center"/>
          </w:tcPr>
          <w:p w14:paraId="5FDBAE35">
            <w:pPr>
              <w:widowControl/>
              <w:jc w:val="center"/>
              <w:rPr>
                <w:rFonts w:ascii="宋体" w:hAnsi="宋体" w:cs="宋体"/>
                <w:kern w:val="0"/>
                <w:sz w:val="18"/>
                <w:szCs w:val="18"/>
              </w:rPr>
            </w:pPr>
            <w:r>
              <w:rPr>
                <w:rFonts w:hint="eastAsia" w:ascii="宋体" w:hAnsi="宋体" w:cs="宋体"/>
                <w:kern w:val="0"/>
                <w:sz w:val="18"/>
                <w:szCs w:val="18"/>
              </w:rPr>
              <w:t>6</w:t>
            </w:r>
          </w:p>
        </w:tc>
        <w:tc>
          <w:tcPr>
            <w:tcW w:w="1320" w:type="pct"/>
            <w:tcBorders>
              <w:top w:val="nil"/>
              <w:left w:val="nil"/>
              <w:bottom w:val="single" w:color="auto" w:sz="4" w:space="0"/>
              <w:right w:val="single" w:color="auto" w:sz="4" w:space="0"/>
            </w:tcBorders>
            <w:vAlign w:val="center"/>
          </w:tcPr>
          <w:p w14:paraId="0D6A873D">
            <w:pPr>
              <w:widowControl/>
              <w:jc w:val="left"/>
              <w:rPr>
                <w:rFonts w:ascii="宋体" w:hAnsi="宋体" w:cs="宋体"/>
                <w:kern w:val="0"/>
                <w:sz w:val="18"/>
                <w:szCs w:val="18"/>
              </w:rPr>
            </w:pPr>
            <w:r>
              <w:rPr>
                <w:rFonts w:hint="eastAsia" w:ascii="宋体" w:hAnsi="宋体" w:cs="宋体"/>
                <w:kern w:val="0"/>
                <w:sz w:val="18"/>
                <w:szCs w:val="18"/>
              </w:rPr>
              <w:t>基础设施完好</w:t>
            </w:r>
          </w:p>
        </w:tc>
        <w:tc>
          <w:tcPr>
            <w:tcW w:w="320" w:type="pct"/>
            <w:tcBorders>
              <w:top w:val="nil"/>
              <w:left w:val="nil"/>
              <w:bottom w:val="single" w:color="auto" w:sz="4" w:space="0"/>
              <w:right w:val="single" w:color="auto" w:sz="4" w:space="0"/>
            </w:tcBorders>
            <w:vAlign w:val="center"/>
          </w:tcPr>
          <w:p w14:paraId="15A43C74">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B94F85E">
            <w:pPr>
              <w:widowControl/>
              <w:jc w:val="left"/>
              <w:rPr>
                <w:rFonts w:ascii="宋体" w:hAnsi="宋体" w:cs="宋体"/>
                <w:kern w:val="0"/>
                <w:sz w:val="18"/>
                <w:szCs w:val="18"/>
              </w:rPr>
            </w:pPr>
            <w:r>
              <w:rPr>
                <w:rFonts w:hint="eastAsia" w:ascii="宋体" w:hAnsi="宋体" w:cs="宋体"/>
                <w:kern w:val="0"/>
                <w:sz w:val="18"/>
                <w:szCs w:val="18"/>
              </w:rPr>
              <w:t>基础设施有损坏的扣0.5分</w:t>
            </w:r>
          </w:p>
        </w:tc>
        <w:tc>
          <w:tcPr>
            <w:tcW w:w="327" w:type="pct"/>
            <w:vMerge w:val="restart"/>
            <w:tcBorders>
              <w:top w:val="nil"/>
              <w:left w:val="single" w:color="auto" w:sz="4" w:space="0"/>
              <w:bottom w:val="single" w:color="000000" w:sz="4" w:space="0"/>
              <w:right w:val="single" w:color="auto" w:sz="4" w:space="0"/>
            </w:tcBorders>
            <w:vAlign w:val="center"/>
          </w:tcPr>
          <w:p w14:paraId="46CE6099">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54BE5178">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2831918">
            <w:pPr>
              <w:widowControl/>
              <w:jc w:val="left"/>
              <w:rPr>
                <w:rFonts w:ascii="宋体" w:hAnsi="宋体" w:cs="宋体"/>
                <w:kern w:val="0"/>
                <w:sz w:val="18"/>
                <w:szCs w:val="18"/>
              </w:rPr>
            </w:pPr>
            <w:r>
              <w:rPr>
                <w:rFonts w:hint="eastAsia" w:ascii="宋体" w:hAnsi="宋体" w:cs="宋体"/>
                <w:kern w:val="0"/>
                <w:sz w:val="18"/>
                <w:szCs w:val="18"/>
              </w:rPr>
              <w:t>　</w:t>
            </w:r>
          </w:p>
        </w:tc>
      </w:tr>
      <w:tr w14:paraId="3710AE06">
        <w:tblPrEx>
          <w:tblCellMar>
            <w:top w:w="0" w:type="dxa"/>
            <w:left w:w="108" w:type="dxa"/>
            <w:bottom w:w="0" w:type="dxa"/>
            <w:right w:w="108" w:type="dxa"/>
          </w:tblCellMar>
        </w:tblPrEx>
        <w:trPr>
          <w:trHeight w:val="570" w:hRule="atLeast"/>
        </w:trPr>
        <w:tc>
          <w:tcPr>
            <w:tcW w:w="249" w:type="pct"/>
            <w:vMerge w:val="continue"/>
            <w:tcBorders>
              <w:top w:val="nil"/>
              <w:left w:val="single" w:color="auto" w:sz="4" w:space="0"/>
              <w:bottom w:val="single" w:color="000000" w:sz="4" w:space="0"/>
              <w:right w:val="single" w:color="auto" w:sz="4" w:space="0"/>
            </w:tcBorders>
            <w:vAlign w:val="center"/>
          </w:tcPr>
          <w:p w14:paraId="784EA75C">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951A5D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2033B5B">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FF4F198">
            <w:pPr>
              <w:widowControl/>
              <w:jc w:val="left"/>
              <w:rPr>
                <w:rFonts w:ascii="宋体" w:hAnsi="宋体" w:cs="宋体"/>
                <w:kern w:val="0"/>
                <w:sz w:val="18"/>
                <w:szCs w:val="18"/>
              </w:rPr>
            </w:pPr>
            <w:r>
              <w:rPr>
                <w:rFonts w:hint="eastAsia" w:ascii="宋体" w:hAnsi="宋体" w:cs="宋体"/>
                <w:kern w:val="0"/>
                <w:sz w:val="18"/>
                <w:szCs w:val="18"/>
              </w:rPr>
              <w:t>应急联系电话、责任人明确</w:t>
            </w:r>
          </w:p>
        </w:tc>
        <w:tc>
          <w:tcPr>
            <w:tcW w:w="320" w:type="pct"/>
            <w:tcBorders>
              <w:top w:val="nil"/>
              <w:left w:val="nil"/>
              <w:bottom w:val="single" w:color="auto" w:sz="4" w:space="0"/>
              <w:right w:val="single" w:color="auto" w:sz="4" w:space="0"/>
            </w:tcBorders>
            <w:vAlign w:val="center"/>
          </w:tcPr>
          <w:p w14:paraId="3745CC7A">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AB61738">
            <w:pPr>
              <w:widowControl/>
              <w:jc w:val="left"/>
              <w:rPr>
                <w:rFonts w:ascii="宋体" w:hAnsi="宋体" w:cs="宋体"/>
                <w:kern w:val="0"/>
                <w:sz w:val="18"/>
                <w:szCs w:val="18"/>
              </w:rPr>
            </w:pPr>
            <w:r>
              <w:rPr>
                <w:rFonts w:hint="eastAsia" w:ascii="宋体" w:hAnsi="宋体" w:cs="宋体"/>
                <w:kern w:val="0"/>
                <w:sz w:val="18"/>
                <w:szCs w:val="18"/>
              </w:rPr>
              <w:t>应急联系电话、责任人不明确的扣0．5分</w:t>
            </w:r>
          </w:p>
        </w:tc>
        <w:tc>
          <w:tcPr>
            <w:tcW w:w="327" w:type="pct"/>
            <w:vMerge w:val="continue"/>
            <w:tcBorders>
              <w:top w:val="nil"/>
              <w:left w:val="single" w:color="auto" w:sz="4" w:space="0"/>
              <w:bottom w:val="single" w:color="000000" w:sz="4" w:space="0"/>
              <w:right w:val="single" w:color="auto" w:sz="4" w:space="0"/>
            </w:tcBorders>
            <w:vAlign w:val="center"/>
          </w:tcPr>
          <w:p w14:paraId="4228ACA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575FBB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4845556">
            <w:pPr>
              <w:widowControl/>
              <w:jc w:val="left"/>
              <w:rPr>
                <w:rFonts w:ascii="宋体" w:hAnsi="宋体" w:cs="宋体"/>
                <w:kern w:val="0"/>
                <w:sz w:val="18"/>
                <w:szCs w:val="18"/>
              </w:rPr>
            </w:pPr>
            <w:r>
              <w:rPr>
                <w:rFonts w:hint="eastAsia" w:ascii="宋体" w:hAnsi="宋体" w:cs="宋体"/>
                <w:kern w:val="0"/>
                <w:sz w:val="18"/>
                <w:szCs w:val="18"/>
              </w:rPr>
              <w:t>　</w:t>
            </w:r>
          </w:p>
        </w:tc>
      </w:tr>
      <w:tr w14:paraId="3E102266">
        <w:tblPrEx>
          <w:tblCellMar>
            <w:top w:w="0" w:type="dxa"/>
            <w:left w:w="108" w:type="dxa"/>
            <w:bottom w:w="0" w:type="dxa"/>
            <w:right w:w="108" w:type="dxa"/>
          </w:tblCellMar>
        </w:tblPrEx>
        <w:trPr>
          <w:trHeight w:val="275" w:hRule="atLeast"/>
        </w:trPr>
        <w:tc>
          <w:tcPr>
            <w:tcW w:w="249" w:type="pct"/>
            <w:vMerge w:val="continue"/>
            <w:tcBorders>
              <w:top w:val="nil"/>
              <w:left w:val="single" w:color="auto" w:sz="4" w:space="0"/>
              <w:bottom w:val="single" w:color="000000" w:sz="4" w:space="0"/>
              <w:right w:val="single" w:color="auto" w:sz="4" w:space="0"/>
            </w:tcBorders>
            <w:vAlign w:val="center"/>
          </w:tcPr>
          <w:p w14:paraId="5A213071">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6C93169">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27ED33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14D853C">
            <w:pPr>
              <w:widowControl/>
              <w:jc w:val="left"/>
              <w:rPr>
                <w:rFonts w:ascii="宋体" w:hAnsi="宋体" w:cs="宋体"/>
                <w:kern w:val="0"/>
                <w:sz w:val="18"/>
                <w:szCs w:val="18"/>
              </w:rPr>
            </w:pPr>
            <w:r>
              <w:rPr>
                <w:rFonts w:hint="eastAsia" w:ascii="宋体" w:hAnsi="宋体" w:cs="宋体"/>
                <w:kern w:val="0"/>
                <w:sz w:val="18"/>
                <w:szCs w:val="18"/>
              </w:rPr>
              <w:t>电气设备运行良好，无异味，温度、运行声音正常</w:t>
            </w:r>
          </w:p>
        </w:tc>
        <w:tc>
          <w:tcPr>
            <w:tcW w:w="320" w:type="pct"/>
            <w:tcBorders>
              <w:top w:val="nil"/>
              <w:left w:val="nil"/>
              <w:bottom w:val="single" w:color="auto" w:sz="4" w:space="0"/>
              <w:right w:val="single" w:color="auto" w:sz="4" w:space="0"/>
            </w:tcBorders>
            <w:vAlign w:val="center"/>
          </w:tcPr>
          <w:p w14:paraId="49F70A71">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44166DD">
            <w:pPr>
              <w:widowControl/>
              <w:jc w:val="left"/>
              <w:rPr>
                <w:rFonts w:ascii="宋体" w:hAnsi="宋体" w:cs="宋体"/>
                <w:kern w:val="0"/>
                <w:sz w:val="18"/>
                <w:szCs w:val="18"/>
              </w:rPr>
            </w:pPr>
            <w:r>
              <w:rPr>
                <w:rFonts w:hint="eastAsia" w:ascii="宋体" w:hAnsi="宋体" w:cs="宋体"/>
                <w:kern w:val="0"/>
                <w:sz w:val="18"/>
                <w:szCs w:val="18"/>
              </w:rPr>
              <w:t>有异常的扣0．5分</w:t>
            </w:r>
          </w:p>
        </w:tc>
        <w:tc>
          <w:tcPr>
            <w:tcW w:w="327" w:type="pct"/>
            <w:vMerge w:val="continue"/>
            <w:tcBorders>
              <w:top w:val="nil"/>
              <w:left w:val="single" w:color="auto" w:sz="4" w:space="0"/>
              <w:bottom w:val="single" w:color="000000" w:sz="4" w:space="0"/>
              <w:right w:val="single" w:color="auto" w:sz="4" w:space="0"/>
            </w:tcBorders>
            <w:vAlign w:val="center"/>
          </w:tcPr>
          <w:p w14:paraId="731BD08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20903F0">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BA0CC6D">
            <w:pPr>
              <w:widowControl/>
              <w:jc w:val="left"/>
              <w:rPr>
                <w:rFonts w:ascii="宋体" w:hAnsi="宋体" w:cs="宋体"/>
                <w:kern w:val="0"/>
                <w:sz w:val="18"/>
                <w:szCs w:val="18"/>
              </w:rPr>
            </w:pPr>
            <w:r>
              <w:rPr>
                <w:rFonts w:hint="eastAsia" w:ascii="宋体" w:hAnsi="宋体" w:cs="宋体"/>
                <w:kern w:val="0"/>
                <w:sz w:val="18"/>
                <w:szCs w:val="18"/>
              </w:rPr>
              <w:t>　</w:t>
            </w:r>
          </w:p>
        </w:tc>
      </w:tr>
      <w:tr w14:paraId="0868838F">
        <w:tblPrEx>
          <w:tblCellMar>
            <w:top w:w="0" w:type="dxa"/>
            <w:left w:w="108" w:type="dxa"/>
            <w:bottom w:w="0" w:type="dxa"/>
            <w:right w:w="108" w:type="dxa"/>
          </w:tblCellMar>
        </w:tblPrEx>
        <w:trPr>
          <w:trHeight w:val="296" w:hRule="atLeast"/>
        </w:trPr>
        <w:tc>
          <w:tcPr>
            <w:tcW w:w="249" w:type="pct"/>
            <w:vMerge w:val="continue"/>
            <w:tcBorders>
              <w:top w:val="nil"/>
              <w:left w:val="single" w:color="auto" w:sz="4" w:space="0"/>
              <w:bottom w:val="single" w:color="000000" w:sz="4" w:space="0"/>
              <w:right w:val="single" w:color="auto" w:sz="4" w:space="0"/>
            </w:tcBorders>
            <w:vAlign w:val="center"/>
          </w:tcPr>
          <w:p w14:paraId="5A9531D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536658D">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18531930">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6CD4BA9">
            <w:pPr>
              <w:widowControl/>
              <w:jc w:val="left"/>
              <w:rPr>
                <w:rFonts w:ascii="宋体" w:hAnsi="宋体" w:cs="宋体"/>
                <w:kern w:val="0"/>
                <w:sz w:val="18"/>
                <w:szCs w:val="18"/>
              </w:rPr>
            </w:pPr>
            <w:r>
              <w:rPr>
                <w:rFonts w:hint="eastAsia" w:ascii="宋体" w:hAnsi="宋体" w:cs="宋体"/>
                <w:kern w:val="0"/>
                <w:sz w:val="18"/>
                <w:szCs w:val="18"/>
              </w:rPr>
              <w:t>功率因数符合要求</w:t>
            </w:r>
          </w:p>
        </w:tc>
        <w:tc>
          <w:tcPr>
            <w:tcW w:w="320" w:type="pct"/>
            <w:tcBorders>
              <w:top w:val="nil"/>
              <w:left w:val="nil"/>
              <w:bottom w:val="single" w:color="auto" w:sz="4" w:space="0"/>
              <w:right w:val="single" w:color="auto" w:sz="4" w:space="0"/>
            </w:tcBorders>
            <w:vAlign w:val="center"/>
          </w:tcPr>
          <w:p w14:paraId="42C3E49C">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11EBAF4">
            <w:pPr>
              <w:widowControl/>
              <w:jc w:val="left"/>
              <w:rPr>
                <w:rFonts w:ascii="宋体" w:hAnsi="宋体" w:cs="宋体"/>
                <w:kern w:val="0"/>
                <w:sz w:val="18"/>
                <w:szCs w:val="18"/>
              </w:rPr>
            </w:pPr>
            <w:r>
              <w:rPr>
                <w:rFonts w:hint="eastAsia" w:ascii="宋体" w:hAnsi="宋体" w:cs="宋体"/>
                <w:kern w:val="0"/>
                <w:sz w:val="18"/>
                <w:szCs w:val="18"/>
              </w:rPr>
              <w:t>功率因数不符合要求的扣0.5分</w:t>
            </w:r>
          </w:p>
        </w:tc>
        <w:tc>
          <w:tcPr>
            <w:tcW w:w="327" w:type="pct"/>
            <w:vMerge w:val="continue"/>
            <w:tcBorders>
              <w:top w:val="nil"/>
              <w:left w:val="single" w:color="auto" w:sz="4" w:space="0"/>
              <w:bottom w:val="single" w:color="000000" w:sz="4" w:space="0"/>
              <w:right w:val="single" w:color="auto" w:sz="4" w:space="0"/>
            </w:tcBorders>
            <w:vAlign w:val="center"/>
          </w:tcPr>
          <w:p w14:paraId="0CDB0E71">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B057A9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BDBB1B2">
            <w:pPr>
              <w:widowControl/>
              <w:jc w:val="left"/>
              <w:rPr>
                <w:rFonts w:ascii="宋体" w:hAnsi="宋体" w:cs="宋体"/>
                <w:kern w:val="0"/>
                <w:sz w:val="18"/>
                <w:szCs w:val="18"/>
              </w:rPr>
            </w:pPr>
            <w:r>
              <w:rPr>
                <w:rFonts w:hint="eastAsia" w:ascii="宋体" w:hAnsi="宋体" w:cs="宋体"/>
                <w:kern w:val="0"/>
                <w:sz w:val="18"/>
                <w:szCs w:val="18"/>
              </w:rPr>
              <w:t>　</w:t>
            </w:r>
          </w:p>
        </w:tc>
      </w:tr>
      <w:tr w14:paraId="0E7E63D8">
        <w:tblPrEx>
          <w:tblCellMar>
            <w:top w:w="0" w:type="dxa"/>
            <w:left w:w="108" w:type="dxa"/>
            <w:bottom w:w="0" w:type="dxa"/>
            <w:right w:w="108" w:type="dxa"/>
          </w:tblCellMar>
        </w:tblPrEx>
        <w:trPr>
          <w:trHeight w:val="298" w:hRule="atLeast"/>
        </w:trPr>
        <w:tc>
          <w:tcPr>
            <w:tcW w:w="249" w:type="pct"/>
            <w:vMerge w:val="continue"/>
            <w:tcBorders>
              <w:top w:val="nil"/>
              <w:left w:val="single" w:color="auto" w:sz="4" w:space="0"/>
              <w:bottom w:val="single" w:color="000000" w:sz="4" w:space="0"/>
              <w:right w:val="single" w:color="auto" w:sz="4" w:space="0"/>
            </w:tcBorders>
            <w:vAlign w:val="center"/>
          </w:tcPr>
          <w:p w14:paraId="7F7259B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7CE2A91">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70BEAC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BC01937">
            <w:pPr>
              <w:widowControl/>
              <w:jc w:val="left"/>
              <w:rPr>
                <w:rFonts w:ascii="宋体" w:hAnsi="宋体" w:cs="宋体"/>
                <w:kern w:val="0"/>
                <w:sz w:val="18"/>
                <w:szCs w:val="18"/>
              </w:rPr>
            </w:pPr>
            <w:r>
              <w:rPr>
                <w:rFonts w:hint="eastAsia" w:ascii="宋体" w:hAnsi="宋体" w:cs="宋体"/>
                <w:kern w:val="0"/>
                <w:sz w:val="18"/>
                <w:szCs w:val="18"/>
              </w:rPr>
              <w:t>各负荷开关标示清楚</w:t>
            </w:r>
          </w:p>
        </w:tc>
        <w:tc>
          <w:tcPr>
            <w:tcW w:w="320" w:type="pct"/>
            <w:tcBorders>
              <w:top w:val="nil"/>
              <w:left w:val="nil"/>
              <w:bottom w:val="single" w:color="auto" w:sz="4" w:space="0"/>
              <w:right w:val="single" w:color="auto" w:sz="4" w:space="0"/>
            </w:tcBorders>
            <w:vAlign w:val="center"/>
          </w:tcPr>
          <w:p w14:paraId="4481B1E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75311D1">
            <w:pPr>
              <w:widowControl/>
              <w:jc w:val="left"/>
              <w:rPr>
                <w:rFonts w:ascii="宋体" w:hAnsi="宋体" w:cs="宋体"/>
                <w:kern w:val="0"/>
                <w:sz w:val="18"/>
                <w:szCs w:val="18"/>
              </w:rPr>
            </w:pPr>
            <w:r>
              <w:rPr>
                <w:rFonts w:hint="eastAsia" w:ascii="宋体" w:hAnsi="宋体" w:cs="宋体"/>
                <w:kern w:val="0"/>
                <w:sz w:val="18"/>
                <w:szCs w:val="18"/>
              </w:rPr>
              <w:t>各负荷开关无标示或标示不清的扣0.5分</w:t>
            </w:r>
          </w:p>
        </w:tc>
        <w:tc>
          <w:tcPr>
            <w:tcW w:w="327" w:type="pct"/>
            <w:vMerge w:val="continue"/>
            <w:tcBorders>
              <w:top w:val="nil"/>
              <w:left w:val="single" w:color="auto" w:sz="4" w:space="0"/>
              <w:bottom w:val="single" w:color="000000" w:sz="4" w:space="0"/>
              <w:right w:val="single" w:color="auto" w:sz="4" w:space="0"/>
            </w:tcBorders>
            <w:vAlign w:val="center"/>
          </w:tcPr>
          <w:p w14:paraId="224771FD">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32EA534">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B858784">
            <w:pPr>
              <w:widowControl/>
              <w:jc w:val="left"/>
              <w:rPr>
                <w:rFonts w:ascii="宋体" w:hAnsi="宋体" w:cs="宋体"/>
                <w:kern w:val="0"/>
                <w:sz w:val="18"/>
                <w:szCs w:val="18"/>
              </w:rPr>
            </w:pPr>
            <w:r>
              <w:rPr>
                <w:rFonts w:hint="eastAsia" w:ascii="宋体" w:hAnsi="宋体" w:cs="宋体"/>
                <w:kern w:val="0"/>
                <w:sz w:val="18"/>
                <w:szCs w:val="18"/>
              </w:rPr>
              <w:t>　</w:t>
            </w:r>
          </w:p>
        </w:tc>
      </w:tr>
      <w:tr w14:paraId="7247B892">
        <w:tblPrEx>
          <w:tblCellMar>
            <w:top w:w="0" w:type="dxa"/>
            <w:left w:w="108" w:type="dxa"/>
            <w:bottom w:w="0" w:type="dxa"/>
            <w:right w:w="108" w:type="dxa"/>
          </w:tblCellMar>
        </w:tblPrEx>
        <w:trPr>
          <w:trHeight w:val="292" w:hRule="atLeast"/>
        </w:trPr>
        <w:tc>
          <w:tcPr>
            <w:tcW w:w="249" w:type="pct"/>
            <w:vMerge w:val="continue"/>
            <w:tcBorders>
              <w:top w:val="nil"/>
              <w:left w:val="single" w:color="auto" w:sz="4" w:space="0"/>
              <w:bottom w:val="single" w:color="000000" w:sz="4" w:space="0"/>
              <w:right w:val="single" w:color="auto" w:sz="4" w:space="0"/>
            </w:tcBorders>
            <w:vAlign w:val="center"/>
          </w:tcPr>
          <w:p w14:paraId="4D6F4A3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C7D14F0">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03D79F0">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2F14524">
            <w:pPr>
              <w:widowControl/>
              <w:jc w:val="left"/>
              <w:rPr>
                <w:rFonts w:ascii="宋体" w:hAnsi="宋体" w:cs="宋体"/>
                <w:kern w:val="0"/>
                <w:sz w:val="18"/>
                <w:szCs w:val="18"/>
              </w:rPr>
            </w:pPr>
            <w:r>
              <w:rPr>
                <w:rFonts w:hint="eastAsia" w:ascii="宋体" w:hAnsi="宋体" w:cs="宋体"/>
                <w:kern w:val="0"/>
                <w:sz w:val="18"/>
                <w:szCs w:val="18"/>
              </w:rPr>
              <w:t>接地装置良好</w:t>
            </w:r>
          </w:p>
        </w:tc>
        <w:tc>
          <w:tcPr>
            <w:tcW w:w="320" w:type="pct"/>
            <w:tcBorders>
              <w:top w:val="nil"/>
              <w:left w:val="nil"/>
              <w:bottom w:val="single" w:color="auto" w:sz="4" w:space="0"/>
              <w:right w:val="single" w:color="auto" w:sz="4" w:space="0"/>
            </w:tcBorders>
            <w:vAlign w:val="center"/>
          </w:tcPr>
          <w:p w14:paraId="59CC3E6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CAFBD88">
            <w:pPr>
              <w:widowControl/>
              <w:jc w:val="left"/>
              <w:rPr>
                <w:rFonts w:ascii="宋体" w:hAnsi="宋体" w:cs="宋体"/>
                <w:kern w:val="0"/>
                <w:sz w:val="18"/>
                <w:szCs w:val="18"/>
              </w:rPr>
            </w:pPr>
            <w:r>
              <w:rPr>
                <w:rFonts w:hint="eastAsia" w:ascii="宋体" w:hAnsi="宋体" w:cs="宋体"/>
                <w:kern w:val="0"/>
                <w:sz w:val="18"/>
                <w:szCs w:val="18"/>
              </w:rPr>
              <w:t>接地装置有损坏的扣0.5分</w:t>
            </w:r>
          </w:p>
        </w:tc>
        <w:tc>
          <w:tcPr>
            <w:tcW w:w="327" w:type="pct"/>
            <w:vMerge w:val="continue"/>
            <w:tcBorders>
              <w:top w:val="nil"/>
              <w:left w:val="single" w:color="auto" w:sz="4" w:space="0"/>
              <w:bottom w:val="single" w:color="000000" w:sz="4" w:space="0"/>
              <w:right w:val="single" w:color="auto" w:sz="4" w:space="0"/>
            </w:tcBorders>
            <w:vAlign w:val="center"/>
          </w:tcPr>
          <w:p w14:paraId="66F6FABA">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7C4A83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48DB56B">
            <w:pPr>
              <w:widowControl/>
              <w:jc w:val="left"/>
              <w:rPr>
                <w:rFonts w:ascii="宋体" w:hAnsi="宋体" w:cs="宋体"/>
                <w:kern w:val="0"/>
                <w:sz w:val="18"/>
                <w:szCs w:val="18"/>
              </w:rPr>
            </w:pPr>
            <w:r>
              <w:rPr>
                <w:rFonts w:hint="eastAsia" w:ascii="宋体" w:hAnsi="宋体" w:cs="宋体"/>
                <w:kern w:val="0"/>
                <w:sz w:val="18"/>
                <w:szCs w:val="18"/>
              </w:rPr>
              <w:t>　</w:t>
            </w:r>
          </w:p>
        </w:tc>
      </w:tr>
      <w:tr w14:paraId="1C903489">
        <w:tblPrEx>
          <w:tblCellMar>
            <w:top w:w="0" w:type="dxa"/>
            <w:left w:w="108" w:type="dxa"/>
            <w:bottom w:w="0" w:type="dxa"/>
            <w:right w:w="108" w:type="dxa"/>
          </w:tblCellMar>
        </w:tblPrEx>
        <w:trPr>
          <w:trHeight w:val="438" w:hRule="atLeast"/>
        </w:trPr>
        <w:tc>
          <w:tcPr>
            <w:tcW w:w="249" w:type="pct"/>
            <w:vMerge w:val="continue"/>
            <w:tcBorders>
              <w:top w:val="nil"/>
              <w:left w:val="single" w:color="auto" w:sz="4" w:space="0"/>
              <w:bottom w:val="single" w:color="000000" w:sz="4" w:space="0"/>
              <w:right w:val="single" w:color="auto" w:sz="4" w:space="0"/>
            </w:tcBorders>
            <w:vAlign w:val="center"/>
          </w:tcPr>
          <w:p w14:paraId="368837B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3E26DE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952E472">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251CBC9">
            <w:pPr>
              <w:widowControl/>
              <w:jc w:val="left"/>
              <w:rPr>
                <w:rFonts w:ascii="宋体" w:hAnsi="宋体" w:cs="宋体"/>
                <w:kern w:val="0"/>
                <w:sz w:val="18"/>
                <w:szCs w:val="18"/>
              </w:rPr>
            </w:pPr>
            <w:r>
              <w:rPr>
                <w:rFonts w:hint="eastAsia" w:ascii="宋体" w:hAnsi="宋体" w:cs="宋体"/>
                <w:kern w:val="0"/>
                <w:sz w:val="18"/>
                <w:szCs w:val="18"/>
              </w:rPr>
              <w:t>现场操作规程、巡查记录、维保记录、简明操作图齐全</w:t>
            </w:r>
          </w:p>
        </w:tc>
        <w:tc>
          <w:tcPr>
            <w:tcW w:w="320" w:type="pct"/>
            <w:tcBorders>
              <w:top w:val="nil"/>
              <w:left w:val="nil"/>
              <w:bottom w:val="single" w:color="auto" w:sz="4" w:space="0"/>
              <w:right w:val="single" w:color="auto" w:sz="4" w:space="0"/>
            </w:tcBorders>
            <w:vAlign w:val="center"/>
          </w:tcPr>
          <w:p w14:paraId="126C2A95">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16ECF5DA">
            <w:pPr>
              <w:widowControl/>
              <w:jc w:val="left"/>
              <w:rPr>
                <w:rFonts w:ascii="宋体" w:hAnsi="宋体" w:cs="宋体"/>
                <w:kern w:val="0"/>
                <w:sz w:val="18"/>
                <w:szCs w:val="18"/>
              </w:rPr>
            </w:pPr>
            <w:r>
              <w:rPr>
                <w:rFonts w:hint="eastAsia" w:ascii="宋体" w:hAnsi="宋体" w:cs="宋体"/>
                <w:kern w:val="0"/>
                <w:sz w:val="18"/>
                <w:szCs w:val="18"/>
              </w:rPr>
              <w:t>现场无操作规程、巡查记录、维保记录、简明操作图的扣0.5分</w:t>
            </w:r>
          </w:p>
        </w:tc>
        <w:tc>
          <w:tcPr>
            <w:tcW w:w="327" w:type="pct"/>
            <w:vMerge w:val="continue"/>
            <w:tcBorders>
              <w:top w:val="nil"/>
              <w:left w:val="single" w:color="auto" w:sz="4" w:space="0"/>
              <w:bottom w:val="single" w:color="000000" w:sz="4" w:space="0"/>
              <w:right w:val="single" w:color="auto" w:sz="4" w:space="0"/>
            </w:tcBorders>
            <w:vAlign w:val="center"/>
          </w:tcPr>
          <w:p w14:paraId="4F6B6F1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412060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FB94C79">
            <w:pPr>
              <w:widowControl/>
              <w:jc w:val="left"/>
              <w:rPr>
                <w:rFonts w:ascii="宋体" w:hAnsi="宋体" w:cs="宋体"/>
                <w:kern w:val="0"/>
                <w:sz w:val="18"/>
                <w:szCs w:val="18"/>
              </w:rPr>
            </w:pPr>
            <w:r>
              <w:rPr>
                <w:rFonts w:hint="eastAsia" w:ascii="宋体" w:hAnsi="宋体" w:cs="宋体"/>
                <w:kern w:val="0"/>
                <w:sz w:val="18"/>
                <w:szCs w:val="18"/>
              </w:rPr>
              <w:t>　</w:t>
            </w:r>
          </w:p>
        </w:tc>
      </w:tr>
      <w:tr w14:paraId="3EAAC3F0">
        <w:tblPrEx>
          <w:tblCellMar>
            <w:top w:w="0" w:type="dxa"/>
            <w:left w:w="108" w:type="dxa"/>
            <w:bottom w:w="0" w:type="dxa"/>
            <w:right w:w="108" w:type="dxa"/>
          </w:tblCellMar>
        </w:tblPrEx>
        <w:trPr>
          <w:trHeight w:val="418" w:hRule="atLeast"/>
        </w:trPr>
        <w:tc>
          <w:tcPr>
            <w:tcW w:w="249" w:type="pct"/>
            <w:vMerge w:val="continue"/>
            <w:tcBorders>
              <w:top w:val="nil"/>
              <w:left w:val="single" w:color="auto" w:sz="4" w:space="0"/>
              <w:bottom w:val="single" w:color="000000" w:sz="4" w:space="0"/>
              <w:right w:val="single" w:color="auto" w:sz="4" w:space="0"/>
            </w:tcBorders>
            <w:vAlign w:val="center"/>
          </w:tcPr>
          <w:p w14:paraId="7248CEA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872726E">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4245E12">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B63D162">
            <w:pPr>
              <w:widowControl/>
              <w:jc w:val="left"/>
              <w:rPr>
                <w:rFonts w:ascii="宋体" w:hAnsi="宋体" w:cs="宋体"/>
                <w:kern w:val="0"/>
                <w:sz w:val="18"/>
                <w:szCs w:val="18"/>
              </w:rPr>
            </w:pPr>
            <w:r>
              <w:rPr>
                <w:rFonts w:hint="eastAsia" w:ascii="宋体" w:hAnsi="宋体" w:cs="宋体"/>
                <w:kern w:val="0"/>
                <w:sz w:val="18"/>
                <w:szCs w:val="18"/>
              </w:rPr>
              <w:t>室内无积水、无灰尘、无杂物、无鼠害</w:t>
            </w:r>
          </w:p>
        </w:tc>
        <w:tc>
          <w:tcPr>
            <w:tcW w:w="320" w:type="pct"/>
            <w:tcBorders>
              <w:top w:val="nil"/>
              <w:left w:val="nil"/>
              <w:bottom w:val="single" w:color="auto" w:sz="4" w:space="0"/>
              <w:right w:val="single" w:color="auto" w:sz="4" w:space="0"/>
            </w:tcBorders>
            <w:vAlign w:val="center"/>
          </w:tcPr>
          <w:p w14:paraId="5CA2B5F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12EDA12">
            <w:pPr>
              <w:widowControl/>
              <w:jc w:val="left"/>
              <w:rPr>
                <w:rFonts w:ascii="宋体" w:hAnsi="宋体" w:cs="宋体"/>
                <w:kern w:val="0"/>
                <w:sz w:val="18"/>
                <w:szCs w:val="18"/>
              </w:rPr>
            </w:pPr>
            <w:r>
              <w:rPr>
                <w:rFonts w:hint="eastAsia" w:ascii="宋体" w:hAnsi="宋体" w:cs="宋体"/>
                <w:kern w:val="0"/>
                <w:sz w:val="18"/>
                <w:szCs w:val="18"/>
              </w:rPr>
              <w:t>室内环境卫生未达到要求的扣0.5分</w:t>
            </w:r>
          </w:p>
        </w:tc>
        <w:tc>
          <w:tcPr>
            <w:tcW w:w="327" w:type="pct"/>
            <w:vMerge w:val="continue"/>
            <w:tcBorders>
              <w:top w:val="nil"/>
              <w:left w:val="single" w:color="auto" w:sz="4" w:space="0"/>
              <w:bottom w:val="single" w:color="000000" w:sz="4" w:space="0"/>
              <w:right w:val="single" w:color="auto" w:sz="4" w:space="0"/>
            </w:tcBorders>
            <w:vAlign w:val="center"/>
          </w:tcPr>
          <w:p w14:paraId="4B3BD254">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42612F4">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BB43E58">
            <w:pPr>
              <w:widowControl/>
              <w:jc w:val="left"/>
              <w:rPr>
                <w:rFonts w:ascii="宋体" w:hAnsi="宋体" w:cs="宋体"/>
                <w:kern w:val="0"/>
                <w:sz w:val="18"/>
                <w:szCs w:val="18"/>
              </w:rPr>
            </w:pPr>
            <w:r>
              <w:rPr>
                <w:rFonts w:hint="eastAsia" w:ascii="宋体" w:hAnsi="宋体" w:cs="宋体"/>
                <w:kern w:val="0"/>
                <w:sz w:val="18"/>
                <w:szCs w:val="18"/>
              </w:rPr>
              <w:t>　</w:t>
            </w:r>
          </w:p>
        </w:tc>
      </w:tr>
      <w:tr w14:paraId="71CC15BD">
        <w:tblPrEx>
          <w:tblCellMar>
            <w:top w:w="0" w:type="dxa"/>
            <w:left w:w="108" w:type="dxa"/>
            <w:bottom w:w="0" w:type="dxa"/>
            <w:right w:w="108" w:type="dxa"/>
          </w:tblCellMar>
        </w:tblPrEx>
        <w:trPr>
          <w:trHeight w:val="257" w:hRule="atLeast"/>
        </w:trPr>
        <w:tc>
          <w:tcPr>
            <w:tcW w:w="249" w:type="pct"/>
            <w:vMerge w:val="continue"/>
            <w:tcBorders>
              <w:top w:val="nil"/>
              <w:left w:val="single" w:color="auto" w:sz="4" w:space="0"/>
              <w:bottom w:val="single" w:color="000000" w:sz="4" w:space="0"/>
              <w:right w:val="single" w:color="auto" w:sz="4" w:space="0"/>
            </w:tcBorders>
            <w:vAlign w:val="center"/>
          </w:tcPr>
          <w:p w14:paraId="7283DFD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020B7D14">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2F4DD9C">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358D616">
            <w:pPr>
              <w:widowControl/>
              <w:jc w:val="left"/>
              <w:rPr>
                <w:rFonts w:ascii="宋体" w:hAnsi="宋体" w:cs="宋体"/>
                <w:kern w:val="0"/>
                <w:sz w:val="18"/>
                <w:szCs w:val="18"/>
              </w:rPr>
            </w:pPr>
            <w:r>
              <w:rPr>
                <w:rFonts w:hint="eastAsia" w:ascii="宋体" w:hAnsi="宋体" w:cs="宋体"/>
                <w:kern w:val="0"/>
                <w:sz w:val="18"/>
                <w:szCs w:val="18"/>
              </w:rPr>
              <w:t>无乱拉乱接线路</w:t>
            </w:r>
          </w:p>
        </w:tc>
        <w:tc>
          <w:tcPr>
            <w:tcW w:w="320" w:type="pct"/>
            <w:tcBorders>
              <w:top w:val="nil"/>
              <w:left w:val="nil"/>
              <w:bottom w:val="single" w:color="auto" w:sz="4" w:space="0"/>
              <w:right w:val="single" w:color="auto" w:sz="4" w:space="0"/>
            </w:tcBorders>
            <w:vAlign w:val="center"/>
          </w:tcPr>
          <w:p w14:paraId="3BFD2E72">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03A3303F">
            <w:pPr>
              <w:widowControl/>
              <w:jc w:val="left"/>
              <w:rPr>
                <w:rFonts w:ascii="宋体" w:hAnsi="宋体" w:cs="宋体"/>
                <w:kern w:val="0"/>
                <w:sz w:val="18"/>
                <w:szCs w:val="18"/>
              </w:rPr>
            </w:pPr>
            <w:r>
              <w:rPr>
                <w:rFonts w:hint="eastAsia" w:ascii="宋体" w:hAnsi="宋体" w:cs="宋体"/>
                <w:kern w:val="0"/>
                <w:sz w:val="18"/>
                <w:szCs w:val="18"/>
              </w:rPr>
              <w:t>有乱拉乱接的扣0.5分</w:t>
            </w:r>
          </w:p>
        </w:tc>
        <w:tc>
          <w:tcPr>
            <w:tcW w:w="327" w:type="pct"/>
            <w:vMerge w:val="continue"/>
            <w:tcBorders>
              <w:top w:val="nil"/>
              <w:left w:val="single" w:color="auto" w:sz="4" w:space="0"/>
              <w:bottom w:val="single" w:color="000000" w:sz="4" w:space="0"/>
              <w:right w:val="single" w:color="auto" w:sz="4" w:space="0"/>
            </w:tcBorders>
            <w:vAlign w:val="center"/>
          </w:tcPr>
          <w:p w14:paraId="7890F987">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D2A75A3">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878AA5F">
            <w:pPr>
              <w:widowControl/>
              <w:jc w:val="left"/>
              <w:rPr>
                <w:rFonts w:ascii="宋体" w:hAnsi="宋体" w:cs="宋体"/>
                <w:kern w:val="0"/>
                <w:sz w:val="18"/>
                <w:szCs w:val="18"/>
              </w:rPr>
            </w:pPr>
            <w:r>
              <w:rPr>
                <w:rFonts w:hint="eastAsia" w:ascii="宋体" w:hAnsi="宋体" w:cs="宋体"/>
                <w:kern w:val="0"/>
                <w:sz w:val="18"/>
                <w:szCs w:val="18"/>
              </w:rPr>
              <w:t>　</w:t>
            </w:r>
          </w:p>
        </w:tc>
      </w:tr>
      <w:tr w14:paraId="40C805A0">
        <w:tblPrEx>
          <w:tblCellMar>
            <w:top w:w="0" w:type="dxa"/>
            <w:left w:w="108" w:type="dxa"/>
            <w:bottom w:w="0" w:type="dxa"/>
            <w:right w:w="108" w:type="dxa"/>
          </w:tblCellMar>
        </w:tblPrEx>
        <w:trPr>
          <w:trHeight w:val="273" w:hRule="atLeast"/>
        </w:trPr>
        <w:tc>
          <w:tcPr>
            <w:tcW w:w="249" w:type="pct"/>
            <w:vMerge w:val="continue"/>
            <w:tcBorders>
              <w:top w:val="nil"/>
              <w:left w:val="single" w:color="auto" w:sz="4" w:space="0"/>
              <w:bottom w:val="single" w:color="000000" w:sz="4" w:space="0"/>
              <w:right w:val="single" w:color="auto" w:sz="4" w:space="0"/>
            </w:tcBorders>
            <w:vAlign w:val="center"/>
          </w:tcPr>
          <w:p w14:paraId="191396F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5F5381D">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E154AA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6A51F49">
            <w:pPr>
              <w:widowControl/>
              <w:jc w:val="left"/>
              <w:rPr>
                <w:rFonts w:ascii="宋体" w:hAnsi="宋体" w:cs="宋体"/>
                <w:kern w:val="0"/>
                <w:sz w:val="18"/>
                <w:szCs w:val="18"/>
              </w:rPr>
            </w:pPr>
            <w:r>
              <w:rPr>
                <w:rFonts w:hint="eastAsia" w:ascii="宋体" w:hAnsi="宋体" w:cs="宋体"/>
                <w:kern w:val="0"/>
                <w:sz w:val="18"/>
                <w:szCs w:val="18"/>
              </w:rPr>
              <w:t>消防器材保持完好</w:t>
            </w:r>
          </w:p>
        </w:tc>
        <w:tc>
          <w:tcPr>
            <w:tcW w:w="320" w:type="pct"/>
            <w:tcBorders>
              <w:top w:val="nil"/>
              <w:left w:val="nil"/>
              <w:bottom w:val="single" w:color="auto" w:sz="4" w:space="0"/>
              <w:right w:val="single" w:color="auto" w:sz="4" w:space="0"/>
            </w:tcBorders>
            <w:vAlign w:val="center"/>
          </w:tcPr>
          <w:p w14:paraId="43F7FAB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14650E1">
            <w:pPr>
              <w:widowControl/>
              <w:jc w:val="left"/>
              <w:rPr>
                <w:rFonts w:ascii="宋体" w:hAnsi="宋体" w:cs="宋体"/>
                <w:kern w:val="0"/>
                <w:sz w:val="18"/>
                <w:szCs w:val="18"/>
              </w:rPr>
            </w:pPr>
            <w:r>
              <w:rPr>
                <w:rFonts w:hint="eastAsia" w:ascii="宋体" w:hAnsi="宋体" w:cs="宋体"/>
                <w:kern w:val="0"/>
                <w:sz w:val="18"/>
                <w:szCs w:val="18"/>
              </w:rPr>
              <w:t>有缺损的扣0.5分</w:t>
            </w:r>
          </w:p>
        </w:tc>
        <w:tc>
          <w:tcPr>
            <w:tcW w:w="327" w:type="pct"/>
            <w:vMerge w:val="continue"/>
            <w:tcBorders>
              <w:top w:val="nil"/>
              <w:left w:val="single" w:color="auto" w:sz="4" w:space="0"/>
              <w:bottom w:val="single" w:color="000000" w:sz="4" w:space="0"/>
              <w:right w:val="single" w:color="auto" w:sz="4" w:space="0"/>
            </w:tcBorders>
            <w:vAlign w:val="center"/>
          </w:tcPr>
          <w:p w14:paraId="1C4D862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8A1879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FA6A889">
            <w:pPr>
              <w:widowControl/>
              <w:jc w:val="left"/>
              <w:rPr>
                <w:rFonts w:ascii="宋体" w:hAnsi="宋体" w:cs="宋体"/>
                <w:kern w:val="0"/>
                <w:sz w:val="18"/>
                <w:szCs w:val="18"/>
              </w:rPr>
            </w:pPr>
            <w:r>
              <w:rPr>
                <w:rFonts w:hint="eastAsia" w:ascii="宋体" w:hAnsi="宋体" w:cs="宋体"/>
                <w:kern w:val="0"/>
                <w:sz w:val="18"/>
                <w:szCs w:val="18"/>
              </w:rPr>
              <w:t>　</w:t>
            </w:r>
          </w:p>
        </w:tc>
      </w:tr>
      <w:tr w14:paraId="67BF53EF">
        <w:tblPrEx>
          <w:tblCellMar>
            <w:top w:w="0" w:type="dxa"/>
            <w:left w:w="108" w:type="dxa"/>
            <w:bottom w:w="0" w:type="dxa"/>
            <w:right w:w="108" w:type="dxa"/>
          </w:tblCellMar>
        </w:tblPrEx>
        <w:trPr>
          <w:trHeight w:val="263" w:hRule="atLeast"/>
        </w:trPr>
        <w:tc>
          <w:tcPr>
            <w:tcW w:w="249" w:type="pct"/>
            <w:vMerge w:val="continue"/>
            <w:tcBorders>
              <w:top w:val="nil"/>
              <w:left w:val="single" w:color="auto" w:sz="4" w:space="0"/>
              <w:bottom w:val="single" w:color="000000" w:sz="4" w:space="0"/>
              <w:right w:val="single" w:color="auto" w:sz="4" w:space="0"/>
            </w:tcBorders>
            <w:vAlign w:val="center"/>
          </w:tcPr>
          <w:p w14:paraId="3CDBCE39">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DD2E32D">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33DF1D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3858A48">
            <w:pPr>
              <w:widowControl/>
              <w:jc w:val="left"/>
              <w:rPr>
                <w:rFonts w:ascii="宋体" w:hAnsi="宋体" w:cs="宋体"/>
                <w:kern w:val="0"/>
                <w:sz w:val="18"/>
                <w:szCs w:val="18"/>
              </w:rPr>
            </w:pPr>
            <w:r>
              <w:rPr>
                <w:rFonts w:hint="eastAsia" w:ascii="宋体" w:hAnsi="宋体" w:cs="宋体"/>
                <w:kern w:val="0"/>
                <w:sz w:val="18"/>
                <w:szCs w:val="18"/>
              </w:rPr>
              <w:t>通风照明良好，室内温度不超</w:t>
            </w:r>
            <w:r>
              <w:rPr>
                <w:rFonts w:ascii="宋体" w:hAnsi="宋体"/>
                <w:kern w:val="0"/>
                <w:sz w:val="18"/>
                <w:szCs w:val="18"/>
              </w:rPr>
              <w:t>40</w:t>
            </w:r>
            <w:r>
              <w:rPr>
                <w:rFonts w:hint="eastAsia" w:ascii="宋体" w:hAnsi="宋体" w:cs="宋体"/>
                <w:kern w:val="0"/>
                <w:sz w:val="18"/>
                <w:szCs w:val="18"/>
              </w:rPr>
              <w:t>度。</w:t>
            </w:r>
          </w:p>
        </w:tc>
        <w:tc>
          <w:tcPr>
            <w:tcW w:w="320" w:type="pct"/>
            <w:tcBorders>
              <w:top w:val="nil"/>
              <w:left w:val="nil"/>
              <w:bottom w:val="single" w:color="auto" w:sz="4" w:space="0"/>
              <w:right w:val="single" w:color="auto" w:sz="4" w:space="0"/>
            </w:tcBorders>
            <w:vAlign w:val="center"/>
          </w:tcPr>
          <w:p w14:paraId="4DABB2C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EFDDE2C">
            <w:pPr>
              <w:widowControl/>
              <w:jc w:val="left"/>
              <w:rPr>
                <w:rFonts w:ascii="宋体" w:hAnsi="宋体" w:cs="宋体"/>
                <w:kern w:val="0"/>
                <w:sz w:val="18"/>
                <w:szCs w:val="18"/>
              </w:rPr>
            </w:pPr>
            <w:r>
              <w:rPr>
                <w:rFonts w:hint="eastAsia" w:ascii="宋体" w:hAnsi="宋体" w:cs="宋体"/>
                <w:kern w:val="0"/>
                <w:sz w:val="18"/>
                <w:szCs w:val="18"/>
              </w:rPr>
              <w:t>照明有损坏，温度过高的扣0.5分</w:t>
            </w:r>
          </w:p>
        </w:tc>
        <w:tc>
          <w:tcPr>
            <w:tcW w:w="327" w:type="pct"/>
            <w:vMerge w:val="continue"/>
            <w:tcBorders>
              <w:top w:val="nil"/>
              <w:left w:val="single" w:color="auto" w:sz="4" w:space="0"/>
              <w:bottom w:val="single" w:color="000000" w:sz="4" w:space="0"/>
              <w:right w:val="single" w:color="auto" w:sz="4" w:space="0"/>
            </w:tcBorders>
            <w:vAlign w:val="center"/>
          </w:tcPr>
          <w:p w14:paraId="7D311B4B">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6B1B47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3063B77">
            <w:pPr>
              <w:widowControl/>
              <w:jc w:val="left"/>
              <w:rPr>
                <w:rFonts w:ascii="宋体" w:hAnsi="宋体" w:cs="宋体"/>
                <w:kern w:val="0"/>
                <w:sz w:val="18"/>
                <w:szCs w:val="18"/>
              </w:rPr>
            </w:pPr>
            <w:r>
              <w:rPr>
                <w:rFonts w:hint="eastAsia" w:ascii="宋体" w:hAnsi="宋体" w:cs="宋体"/>
                <w:kern w:val="0"/>
                <w:sz w:val="18"/>
                <w:szCs w:val="18"/>
              </w:rPr>
              <w:t>　</w:t>
            </w:r>
          </w:p>
        </w:tc>
      </w:tr>
      <w:tr w14:paraId="1E1DC803">
        <w:tblPrEx>
          <w:tblCellMar>
            <w:top w:w="0" w:type="dxa"/>
            <w:left w:w="108" w:type="dxa"/>
            <w:bottom w:w="0" w:type="dxa"/>
            <w:right w:w="108" w:type="dxa"/>
          </w:tblCellMar>
        </w:tblPrEx>
        <w:trPr>
          <w:trHeight w:val="147" w:hRule="atLeast"/>
        </w:trPr>
        <w:tc>
          <w:tcPr>
            <w:tcW w:w="249" w:type="pct"/>
            <w:vMerge w:val="restart"/>
            <w:tcBorders>
              <w:top w:val="nil"/>
              <w:left w:val="single" w:color="auto" w:sz="4" w:space="0"/>
              <w:bottom w:val="single" w:color="auto" w:sz="4" w:space="0"/>
              <w:right w:val="single" w:color="auto" w:sz="4" w:space="0"/>
            </w:tcBorders>
            <w:vAlign w:val="center"/>
          </w:tcPr>
          <w:p w14:paraId="014B0A98">
            <w:pPr>
              <w:widowControl/>
              <w:jc w:val="center"/>
              <w:rPr>
                <w:rFonts w:ascii="宋体" w:hAnsi="宋体" w:cs="宋体"/>
                <w:kern w:val="0"/>
                <w:sz w:val="18"/>
                <w:szCs w:val="18"/>
              </w:rPr>
            </w:pPr>
            <w:r>
              <w:rPr>
                <w:rFonts w:hint="eastAsia" w:ascii="宋体" w:hAnsi="宋体" w:cs="宋体"/>
                <w:kern w:val="0"/>
                <w:sz w:val="18"/>
                <w:szCs w:val="18"/>
              </w:rPr>
              <w:t>五</w:t>
            </w:r>
          </w:p>
        </w:tc>
        <w:tc>
          <w:tcPr>
            <w:tcW w:w="242" w:type="pct"/>
            <w:vMerge w:val="restart"/>
            <w:tcBorders>
              <w:top w:val="nil"/>
              <w:left w:val="single" w:color="auto" w:sz="4" w:space="0"/>
              <w:bottom w:val="single" w:color="000000" w:sz="4" w:space="0"/>
              <w:right w:val="single" w:color="auto" w:sz="4" w:space="0"/>
            </w:tcBorders>
            <w:vAlign w:val="center"/>
          </w:tcPr>
          <w:p w14:paraId="143650D9">
            <w:pPr>
              <w:widowControl/>
              <w:jc w:val="center"/>
              <w:rPr>
                <w:rFonts w:ascii="宋体" w:hAnsi="宋体" w:cs="宋体"/>
                <w:kern w:val="0"/>
                <w:sz w:val="18"/>
                <w:szCs w:val="18"/>
              </w:rPr>
            </w:pPr>
            <w:r>
              <w:rPr>
                <w:rFonts w:hint="eastAsia" w:ascii="宋体" w:hAnsi="宋体" w:cs="宋体"/>
                <w:kern w:val="0"/>
                <w:sz w:val="18"/>
                <w:szCs w:val="18"/>
              </w:rPr>
              <w:t>变压器室</w:t>
            </w:r>
          </w:p>
          <w:p w14:paraId="271D5EBB">
            <w:pPr>
              <w:widowControl/>
              <w:jc w:val="center"/>
              <w:rPr>
                <w:rFonts w:ascii="宋体" w:hAnsi="宋体" w:cs="宋体"/>
                <w:kern w:val="0"/>
                <w:sz w:val="18"/>
                <w:szCs w:val="18"/>
              </w:rPr>
            </w:pPr>
            <w:r>
              <w:rPr>
                <w:rFonts w:hint="eastAsia" w:ascii="宋体" w:hAnsi="宋体" w:cs="宋体"/>
                <w:kern w:val="0"/>
                <w:sz w:val="18"/>
                <w:szCs w:val="18"/>
              </w:rPr>
              <w:t>管理</w:t>
            </w:r>
          </w:p>
        </w:tc>
        <w:tc>
          <w:tcPr>
            <w:tcW w:w="304" w:type="pct"/>
            <w:vMerge w:val="restart"/>
            <w:tcBorders>
              <w:top w:val="nil"/>
              <w:left w:val="single" w:color="auto" w:sz="4" w:space="0"/>
              <w:bottom w:val="single" w:color="000000" w:sz="4" w:space="0"/>
              <w:right w:val="single" w:color="auto" w:sz="4" w:space="0"/>
            </w:tcBorders>
            <w:vAlign w:val="center"/>
          </w:tcPr>
          <w:p w14:paraId="67C60938">
            <w:pPr>
              <w:widowControl/>
              <w:jc w:val="center"/>
              <w:rPr>
                <w:rFonts w:ascii="宋体" w:hAnsi="宋体" w:cs="宋体"/>
                <w:kern w:val="0"/>
                <w:sz w:val="18"/>
                <w:szCs w:val="18"/>
              </w:rPr>
            </w:pPr>
            <w:r>
              <w:rPr>
                <w:rFonts w:hint="eastAsia" w:ascii="宋体" w:hAnsi="宋体" w:cs="宋体"/>
                <w:kern w:val="0"/>
                <w:sz w:val="18"/>
                <w:szCs w:val="18"/>
              </w:rPr>
              <w:t>5</w:t>
            </w:r>
          </w:p>
        </w:tc>
        <w:tc>
          <w:tcPr>
            <w:tcW w:w="1320" w:type="pct"/>
            <w:tcBorders>
              <w:top w:val="nil"/>
              <w:left w:val="nil"/>
              <w:bottom w:val="single" w:color="auto" w:sz="4" w:space="0"/>
              <w:right w:val="single" w:color="auto" w:sz="4" w:space="0"/>
            </w:tcBorders>
            <w:vAlign w:val="center"/>
          </w:tcPr>
          <w:p w14:paraId="1319E840">
            <w:pPr>
              <w:widowControl/>
              <w:jc w:val="left"/>
              <w:rPr>
                <w:rFonts w:ascii="宋体" w:hAnsi="宋体" w:cs="宋体"/>
                <w:kern w:val="0"/>
                <w:sz w:val="18"/>
                <w:szCs w:val="18"/>
              </w:rPr>
            </w:pPr>
            <w:r>
              <w:rPr>
                <w:rFonts w:hint="eastAsia" w:ascii="宋体" w:hAnsi="宋体" w:cs="宋体"/>
                <w:kern w:val="0"/>
                <w:sz w:val="18"/>
                <w:szCs w:val="18"/>
              </w:rPr>
              <w:t>基础设施完好</w:t>
            </w:r>
          </w:p>
        </w:tc>
        <w:tc>
          <w:tcPr>
            <w:tcW w:w="320" w:type="pct"/>
            <w:tcBorders>
              <w:top w:val="nil"/>
              <w:left w:val="nil"/>
              <w:bottom w:val="single" w:color="auto" w:sz="4" w:space="0"/>
              <w:right w:val="single" w:color="auto" w:sz="4" w:space="0"/>
            </w:tcBorders>
            <w:vAlign w:val="center"/>
          </w:tcPr>
          <w:p w14:paraId="6D0A3B3F">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6B2594F8">
            <w:pPr>
              <w:widowControl/>
              <w:jc w:val="left"/>
              <w:rPr>
                <w:rFonts w:ascii="宋体" w:hAnsi="宋体" w:cs="宋体"/>
                <w:kern w:val="0"/>
                <w:sz w:val="18"/>
                <w:szCs w:val="18"/>
              </w:rPr>
            </w:pPr>
            <w:r>
              <w:rPr>
                <w:rFonts w:hint="eastAsia" w:ascii="宋体" w:hAnsi="宋体" w:cs="宋体"/>
                <w:kern w:val="0"/>
                <w:sz w:val="18"/>
                <w:szCs w:val="18"/>
              </w:rPr>
              <w:t>基础设施有损坏的扣0.5分</w:t>
            </w:r>
          </w:p>
        </w:tc>
        <w:tc>
          <w:tcPr>
            <w:tcW w:w="327" w:type="pct"/>
            <w:vMerge w:val="restart"/>
            <w:tcBorders>
              <w:top w:val="nil"/>
              <w:left w:val="single" w:color="auto" w:sz="4" w:space="0"/>
              <w:bottom w:val="single" w:color="000000" w:sz="4" w:space="0"/>
              <w:right w:val="single" w:color="auto" w:sz="4" w:space="0"/>
            </w:tcBorders>
            <w:vAlign w:val="center"/>
          </w:tcPr>
          <w:p w14:paraId="38D44125">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54FF11D3">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847F009">
            <w:pPr>
              <w:widowControl/>
              <w:jc w:val="left"/>
              <w:rPr>
                <w:rFonts w:ascii="宋体" w:hAnsi="宋体" w:cs="宋体"/>
                <w:kern w:val="0"/>
                <w:sz w:val="18"/>
                <w:szCs w:val="18"/>
              </w:rPr>
            </w:pPr>
            <w:r>
              <w:rPr>
                <w:rFonts w:hint="eastAsia" w:ascii="宋体" w:hAnsi="宋体" w:cs="宋体"/>
                <w:kern w:val="0"/>
                <w:sz w:val="18"/>
                <w:szCs w:val="18"/>
              </w:rPr>
              <w:t>　</w:t>
            </w:r>
          </w:p>
        </w:tc>
      </w:tr>
      <w:tr w14:paraId="28874A29">
        <w:tblPrEx>
          <w:tblCellMar>
            <w:top w:w="0" w:type="dxa"/>
            <w:left w:w="108" w:type="dxa"/>
            <w:bottom w:w="0" w:type="dxa"/>
            <w:right w:w="108" w:type="dxa"/>
          </w:tblCellMar>
        </w:tblPrEx>
        <w:trPr>
          <w:trHeight w:val="123" w:hRule="atLeast"/>
        </w:trPr>
        <w:tc>
          <w:tcPr>
            <w:tcW w:w="249" w:type="pct"/>
            <w:vMerge w:val="continue"/>
            <w:tcBorders>
              <w:top w:val="nil"/>
              <w:left w:val="single" w:color="auto" w:sz="4" w:space="0"/>
              <w:bottom w:val="single" w:color="auto" w:sz="4" w:space="0"/>
              <w:right w:val="single" w:color="auto" w:sz="4" w:space="0"/>
            </w:tcBorders>
            <w:vAlign w:val="center"/>
          </w:tcPr>
          <w:p w14:paraId="70BBF3E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E76CEC1">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85FD70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A2EAE38">
            <w:pPr>
              <w:widowControl/>
              <w:jc w:val="left"/>
              <w:rPr>
                <w:rFonts w:ascii="宋体" w:hAnsi="宋体" w:cs="宋体"/>
                <w:kern w:val="0"/>
                <w:sz w:val="18"/>
                <w:szCs w:val="18"/>
              </w:rPr>
            </w:pPr>
            <w:r>
              <w:rPr>
                <w:rFonts w:hint="eastAsia" w:ascii="宋体" w:hAnsi="宋体" w:cs="宋体"/>
                <w:kern w:val="0"/>
                <w:sz w:val="18"/>
                <w:szCs w:val="18"/>
              </w:rPr>
              <w:t>电气设备运行良好，温度、油位正常，无异响、无漏油</w:t>
            </w:r>
          </w:p>
        </w:tc>
        <w:tc>
          <w:tcPr>
            <w:tcW w:w="320" w:type="pct"/>
            <w:tcBorders>
              <w:top w:val="nil"/>
              <w:left w:val="nil"/>
              <w:bottom w:val="single" w:color="auto" w:sz="4" w:space="0"/>
              <w:right w:val="single" w:color="auto" w:sz="4" w:space="0"/>
            </w:tcBorders>
            <w:vAlign w:val="center"/>
          </w:tcPr>
          <w:p w14:paraId="79CE72B9">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7D8B8E59">
            <w:pPr>
              <w:widowControl/>
              <w:jc w:val="left"/>
              <w:rPr>
                <w:rFonts w:ascii="宋体" w:hAnsi="宋体" w:cs="宋体"/>
                <w:kern w:val="0"/>
                <w:sz w:val="18"/>
                <w:szCs w:val="18"/>
              </w:rPr>
            </w:pPr>
            <w:r>
              <w:rPr>
                <w:rFonts w:hint="eastAsia" w:ascii="宋体" w:hAnsi="宋体" w:cs="宋体"/>
                <w:kern w:val="0"/>
                <w:sz w:val="18"/>
                <w:szCs w:val="18"/>
              </w:rPr>
              <w:t>运行有异常扣1分</w:t>
            </w:r>
          </w:p>
        </w:tc>
        <w:tc>
          <w:tcPr>
            <w:tcW w:w="327" w:type="pct"/>
            <w:vMerge w:val="continue"/>
            <w:tcBorders>
              <w:top w:val="nil"/>
              <w:left w:val="single" w:color="auto" w:sz="4" w:space="0"/>
              <w:bottom w:val="single" w:color="000000" w:sz="4" w:space="0"/>
              <w:right w:val="single" w:color="auto" w:sz="4" w:space="0"/>
            </w:tcBorders>
            <w:vAlign w:val="center"/>
          </w:tcPr>
          <w:p w14:paraId="71325165">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9353B5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5F91656">
            <w:pPr>
              <w:widowControl/>
              <w:jc w:val="left"/>
              <w:rPr>
                <w:rFonts w:ascii="宋体" w:hAnsi="宋体" w:cs="宋体"/>
                <w:kern w:val="0"/>
                <w:sz w:val="18"/>
                <w:szCs w:val="18"/>
              </w:rPr>
            </w:pPr>
            <w:r>
              <w:rPr>
                <w:rFonts w:hint="eastAsia" w:ascii="宋体" w:hAnsi="宋体" w:cs="宋体"/>
                <w:kern w:val="0"/>
                <w:sz w:val="18"/>
                <w:szCs w:val="18"/>
              </w:rPr>
              <w:t>　</w:t>
            </w:r>
          </w:p>
        </w:tc>
      </w:tr>
      <w:tr w14:paraId="693688C0">
        <w:tblPrEx>
          <w:tblCellMar>
            <w:top w:w="0" w:type="dxa"/>
            <w:left w:w="108" w:type="dxa"/>
            <w:bottom w:w="0" w:type="dxa"/>
            <w:right w:w="108" w:type="dxa"/>
          </w:tblCellMar>
        </w:tblPrEx>
        <w:trPr>
          <w:trHeight w:val="233" w:hRule="atLeast"/>
        </w:trPr>
        <w:tc>
          <w:tcPr>
            <w:tcW w:w="249" w:type="pct"/>
            <w:vMerge w:val="continue"/>
            <w:tcBorders>
              <w:top w:val="nil"/>
              <w:left w:val="single" w:color="auto" w:sz="4" w:space="0"/>
              <w:bottom w:val="single" w:color="auto" w:sz="4" w:space="0"/>
              <w:right w:val="single" w:color="auto" w:sz="4" w:space="0"/>
            </w:tcBorders>
            <w:vAlign w:val="center"/>
          </w:tcPr>
          <w:p w14:paraId="50C2B4F8">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17D26F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2195AB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1323762">
            <w:pPr>
              <w:widowControl/>
              <w:jc w:val="left"/>
              <w:rPr>
                <w:rFonts w:ascii="宋体" w:hAnsi="宋体" w:cs="宋体"/>
                <w:kern w:val="0"/>
                <w:sz w:val="18"/>
                <w:szCs w:val="18"/>
              </w:rPr>
            </w:pPr>
            <w:r>
              <w:rPr>
                <w:rFonts w:hint="eastAsia" w:ascii="宋体" w:hAnsi="宋体" w:cs="宋体"/>
                <w:kern w:val="0"/>
                <w:sz w:val="18"/>
                <w:szCs w:val="18"/>
              </w:rPr>
              <w:t>照明设施、消防设施完好</w:t>
            </w:r>
          </w:p>
        </w:tc>
        <w:tc>
          <w:tcPr>
            <w:tcW w:w="320" w:type="pct"/>
            <w:tcBorders>
              <w:top w:val="nil"/>
              <w:left w:val="nil"/>
              <w:bottom w:val="single" w:color="auto" w:sz="4" w:space="0"/>
              <w:right w:val="single" w:color="auto" w:sz="4" w:space="0"/>
            </w:tcBorders>
            <w:vAlign w:val="center"/>
          </w:tcPr>
          <w:p w14:paraId="0F31BA96">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1B3C233E">
            <w:pPr>
              <w:widowControl/>
              <w:jc w:val="left"/>
              <w:rPr>
                <w:rFonts w:ascii="宋体" w:hAnsi="宋体" w:cs="宋体"/>
                <w:kern w:val="0"/>
                <w:sz w:val="18"/>
                <w:szCs w:val="18"/>
              </w:rPr>
            </w:pPr>
            <w:r>
              <w:rPr>
                <w:rFonts w:hint="eastAsia" w:ascii="宋体" w:hAnsi="宋体" w:cs="宋体"/>
                <w:kern w:val="0"/>
                <w:sz w:val="18"/>
                <w:szCs w:val="18"/>
              </w:rPr>
              <w:t>照明有损坏扣0.5分，消防设施有缺损扣0.5分</w:t>
            </w:r>
          </w:p>
        </w:tc>
        <w:tc>
          <w:tcPr>
            <w:tcW w:w="327" w:type="pct"/>
            <w:vMerge w:val="continue"/>
            <w:tcBorders>
              <w:top w:val="nil"/>
              <w:left w:val="single" w:color="auto" w:sz="4" w:space="0"/>
              <w:bottom w:val="single" w:color="000000" w:sz="4" w:space="0"/>
              <w:right w:val="single" w:color="auto" w:sz="4" w:space="0"/>
            </w:tcBorders>
            <w:vAlign w:val="center"/>
          </w:tcPr>
          <w:p w14:paraId="0BEB9C48">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A44AB9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1BBEB18">
            <w:pPr>
              <w:widowControl/>
              <w:jc w:val="left"/>
              <w:rPr>
                <w:rFonts w:ascii="宋体" w:hAnsi="宋体" w:cs="宋体"/>
                <w:kern w:val="0"/>
                <w:sz w:val="18"/>
                <w:szCs w:val="18"/>
              </w:rPr>
            </w:pPr>
            <w:r>
              <w:rPr>
                <w:rFonts w:hint="eastAsia" w:ascii="宋体" w:hAnsi="宋体" w:cs="宋体"/>
                <w:kern w:val="0"/>
                <w:sz w:val="18"/>
                <w:szCs w:val="18"/>
              </w:rPr>
              <w:t>　</w:t>
            </w:r>
          </w:p>
        </w:tc>
      </w:tr>
      <w:tr w14:paraId="26685050">
        <w:tblPrEx>
          <w:tblCellMar>
            <w:top w:w="0" w:type="dxa"/>
            <w:left w:w="108" w:type="dxa"/>
            <w:bottom w:w="0" w:type="dxa"/>
            <w:right w:w="108" w:type="dxa"/>
          </w:tblCellMar>
        </w:tblPrEx>
        <w:trPr>
          <w:trHeight w:val="383" w:hRule="atLeast"/>
        </w:trPr>
        <w:tc>
          <w:tcPr>
            <w:tcW w:w="249" w:type="pct"/>
            <w:vMerge w:val="continue"/>
            <w:tcBorders>
              <w:top w:val="nil"/>
              <w:left w:val="single" w:color="auto" w:sz="4" w:space="0"/>
              <w:bottom w:val="single" w:color="auto" w:sz="4" w:space="0"/>
              <w:right w:val="single" w:color="auto" w:sz="4" w:space="0"/>
            </w:tcBorders>
            <w:vAlign w:val="center"/>
          </w:tcPr>
          <w:p w14:paraId="749EC65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D371767">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2488F1C">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456A8C4">
            <w:pPr>
              <w:widowControl/>
              <w:jc w:val="left"/>
              <w:rPr>
                <w:rFonts w:ascii="宋体" w:hAnsi="宋体" w:cs="宋体"/>
                <w:kern w:val="0"/>
                <w:sz w:val="18"/>
                <w:szCs w:val="18"/>
              </w:rPr>
            </w:pPr>
            <w:r>
              <w:rPr>
                <w:rFonts w:hint="eastAsia" w:ascii="宋体" w:hAnsi="宋体" w:cs="宋体"/>
                <w:kern w:val="0"/>
                <w:sz w:val="18"/>
                <w:szCs w:val="18"/>
              </w:rPr>
              <w:t>巡查记录、维保记录齐全</w:t>
            </w:r>
          </w:p>
        </w:tc>
        <w:tc>
          <w:tcPr>
            <w:tcW w:w="320" w:type="pct"/>
            <w:tcBorders>
              <w:top w:val="nil"/>
              <w:left w:val="nil"/>
              <w:bottom w:val="single" w:color="auto" w:sz="4" w:space="0"/>
              <w:right w:val="single" w:color="auto" w:sz="4" w:space="0"/>
            </w:tcBorders>
            <w:vAlign w:val="center"/>
          </w:tcPr>
          <w:p w14:paraId="43FBC3EC">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48C14E44">
            <w:pPr>
              <w:widowControl/>
              <w:jc w:val="left"/>
              <w:rPr>
                <w:rFonts w:ascii="宋体" w:hAnsi="宋体" w:cs="宋体"/>
                <w:kern w:val="0"/>
                <w:sz w:val="18"/>
                <w:szCs w:val="18"/>
              </w:rPr>
            </w:pPr>
            <w:r>
              <w:rPr>
                <w:rFonts w:hint="eastAsia" w:ascii="宋体" w:hAnsi="宋体" w:cs="宋体"/>
                <w:kern w:val="0"/>
                <w:sz w:val="18"/>
                <w:szCs w:val="18"/>
              </w:rPr>
              <w:t>无巡查记录的扣0.5分；无维保记录扣0.5分</w:t>
            </w:r>
          </w:p>
        </w:tc>
        <w:tc>
          <w:tcPr>
            <w:tcW w:w="327" w:type="pct"/>
            <w:vMerge w:val="continue"/>
            <w:tcBorders>
              <w:top w:val="nil"/>
              <w:left w:val="single" w:color="auto" w:sz="4" w:space="0"/>
              <w:bottom w:val="single" w:color="000000" w:sz="4" w:space="0"/>
              <w:right w:val="single" w:color="auto" w:sz="4" w:space="0"/>
            </w:tcBorders>
            <w:vAlign w:val="center"/>
          </w:tcPr>
          <w:p w14:paraId="391A0A17">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4F23BD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F79E23A">
            <w:pPr>
              <w:widowControl/>
              <w:jc w:val="left"/>
              <w:rPr>
                <w:rFonts w:ascii="宋体" w:hAnsi="宋体" w:cs="宋体"/>
                <w:kern w:val="0"/>
                <w:sz w:val="18"/>
                <w:szCs w:val="18"/>
              </w:rPr>
            </w:pPr>
            <w:r>
              <w:rPr>
                <w:rFonts w:hint="eastAsia" w:ascii="宋体" w:hAnsi="宋体" w:cs="宋体"/>
                <w:kern w:val="0"/>
                <w:sz w:val="18"/>
                <w:szCs w:val="18"/>
              </w:rPr>
              <w:t>　</w:t>
            </w:r>
          </w:p>
        </w:tc>
      </w:tr>
      <w:tr w14:paraId="0F0E3D2E">
        <w:tblPrEx>
          <w:tblCellMar>
            <w:top w:w="0" w:type="dxa"/>
            <w:left w:w="108" w:type="dxa"/>
            <w:bottom w:w="0" w:type="dxa"/>
            <w:right w:w="108" w:type="dxa"/>
          </w:tblCellMar>
        </w:tblPrEx>
        <w:trPr>
          <w:trHeight w:val="243" w:hRule="atLeast"/>
        </w:trPr>
        <w:tc>
          <w:tcPr>
            <w:tcW w:w="249" w:type="pct"/>
            <w:vMerge w:val="continue"/>
            <w:tcBorders>
              <w:top w:val="nil"/>
              <w:left w:val="single" w:color="auto" w:sz="4" w:space="0"/>
              <w:bottom w:val="single" w:color="auto" w:sz="4" w:space="0"/>
              <w:right w:val="single" w:color="auto" w:sz="4" w:space="0"/>
            </w:tcBorders>
            <w:vAlign w:val="center"/>
          </w:tcPr>
          <w:p w14:paraId="22BE59D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8FF6A4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E385333">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EFF4D84">
            <w:pPr>
              <w:widowControl/>
              <w:jc w:val="left"/>
              <w:rPr>
                <w:rFonts w:ascii="宋体" w:hAnsi="宋体" w:cs="宋体"/>
                <w:kern w:val="0"/>
                <w:sz w:val="18"/>
                <w:szCs w:val="18"/>
              </w:rPr>
            </w:pPr>
            <w:r>
              <w:rPr>
                <w:rFonts w:hint="eastAsia" w:ascii="宋体" w:hAnsi="宋体" w:cs="宋体"/>
                <w:kern w:val="0"/>
                <w:sz w:val="18"/>
                <w:szCs w:val="18"/>
              </w:rPr>
              <w:t>电缆沟无积水杂物</w:t>
            </w:r>
          </w:p>
        </w:tc>
        <w:tc>
          <w:tcPr>
            <w:tcW w:w="320" w:type="pct"/>
            <w:tcBorders>
              <w:top w:val="nil"/>
              <w:left w:val="nil"/>
              <w:bottom w:val="single" w:color="auto" w:sz="4" w:space="0"/>
              <w:right w:val="single" w:color="auto" w:sz="4" w:space="0"/>
            </w:tcBorders>
            <w:vAlign w:val="center"/>
          </w:tcPr>
          <w:p w14:paraId="3BB7EBFA">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F58322B">
            <w:pPr>
              <w:widowControl/>
              <w:jc w:val="left"/>
              <w:rPr>
                <w:rFonts w:ascii="宋体" w:hAnsi="宋体" w:cs="宋体"/>
                <w:kern w:val="0"/>
                <w:sz w:val="18"/>
                <w:szCs w:val="18"/>
              </w:rPr>
            </w:pPr>
            <w:r>
              <w:rPr>
                <w:rFonts w:hint="eastAsia" w:ascii="宋体" w:hAnsi="宋体" w:cs="宋体"/>
                <w:kern w:val="0"/>
                <w:sz w:val="18"/>
                <w:szCs w:val="18"/>
              </w:rPr>
              <w:t>电缆沟有积水杂物扣0.5</w:t>
            </w:r>
          </w:p>
        </w:tc>
        <w:tc>
          <w:tcPr>
            <w:tcW w:w="327" w:type="pct"/>
            <w:vMerge w:val="continue"/>
            <w:tcBorders>
              <w:top w:val="nil"/>
              <w:left w:val="single" w:color="auto" w:sz="4" w:space="0"/>
              <w:bottom w:val="single" w:color="000000" w:sz="4" w:space="0"/>
              <w:right w:val="single" w:color="auto" w:sz="4" w:space="0"/>
            </w:tcBorders>
            <w:vAlign w:val="center"/>
          </w:tcPr>
          <w:p w14:paraId="748FEDF8">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2701F7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C24FA00">
            <w:pPr>
              <w:widowControl/>
              <w:jc w:val="left"/>
              <w:rPr>
                <w:rFonts w:ascii="宋体" w:hAnsi="宋体" w:cs="宋体"/>
                <w:kern w:val="0"/>
                <w:sz w:val="18"/>
                <w:szCs w:val="18"/>
              </w:rPr>
            </w:pPr>
            <w:r>
              <w:rPr>
                <w:rFonts w:hint="eastAsia" w:ascii="宋体" w:hAnsi="宋体" w:cs="宋体"/>
                <w:kern w:val="0"/>
                <w:sz w:val="18"/>
                <w:szCs w:val="18"/>
              </w:rPr>
              <w:t>　</w:t>
            </w:r>
          </w:p>
        </w:tc>
      </w:tr>
      <w:tr w14:paraId="6300B9CD">
        <w:tblPrEx>
          <w:tblCellMar>
            <w:top w:w="0" w:type="dxa"/>
            <w:left w:w="108" w:type="dxa"/>
            <w:bottom w:w="0" w:type="dxa"/>
            <w:right w:w="108" w:type="dxa"/>
          </w:tblCellMar>
        </w:tblPrEx>
        <w:trPr>
          <w:trHeight w:val="247" w:hRule="atLeast"/>
        </w:trPr>
        <w:tc>
          <w:tcPr>
            <w:tcW w:w="249" w:type="pct"/>
            <w:vMerge w:val="continue"/>
            <w:tcBorders>
              <w:top w:val="nil"/>
              <w:left w:val="single" w:color="auto" w:sz="4" w:space="0"/>
              <w:bottom w:val="single" w:color="auto" w:sz="4" w:space="0"/>
              <w:right w:val="single" w:color="auto" w:sz="4" w:space="0"/>
            </w:tcBorders>
            <w:vAlign w:val="center"/>
          </w:tcPr>
          <w:p w14:paraId="7D6B6A77">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1BE537D">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3883509">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E12E0FE">
            <w:pPr>
              <w:widowControl/>
              <w:jc w:val="left"/>
              <w:rPr>
                <w:rFonts w:ascii="宋体" w:hAnsi="宋体" w:cs="宋体"/>
                <w:kern w:val="0"/>
                <w:sz w:val="18"/>
                <w:szCs w:val="18"/>
              </w:rPr>
            </w:pPr>
            <w:r>
              <w:rPr>
                <w:rFonts w:hint="eastAsia" w:ascii="宋体" w:hAnsi="宋体" w:cs="宋体"/>
                <w:kern w:val="0"/>
                <w:sz w:val="18"/>
                <w:szCs w:val="18"/>
              </w:rPr>
              <w:t>室内卫生整洁，通风良好</w:t>
            </w:r>
          </w:p>
        </w:tc>
        <w:tc>
          <w:tcPr>
            <w:tcW w:w="320" w:type="pct"/>
            <w:tcBorders>
              <w:top w:val="nil"/>
              <w:left w:val="nil"/>
              <w:bottom w:val="single" w:color="auto" w:sz="4" w:space="0"/>
              <w:right w:val="single" w:color="auto" w:sz="4" w:space="0"/>
            </w:tcBorders>
            <w:vAlign w:val="center"/>
          </w:tcPr>
          <w:p w14:paraId="56F2674E">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738E262">
            <w:pPr>
              <w:widowControl/>
              <w:jc w:val="left"/>
              <w:rPr>
                <w:rFonts w:ascii="宋体" w:hAnsi="宋体" w:cs="宋体"/>
                <w:kern w:val="0"/>
                <w:sz w:val="18"/>
                <w:szCs w:val="18"/>
              </w:rPr>
            </w:pPr>
            <w:r>
              <w:rPr>
                <w:rFonts w:hint="eastAsia" w:ascii="宋体" w:hAnsi="宋体" w:cs="宋体"/>
                <w:kern w:val="0"/>
                <w:sz w:val="18"/>
                <w:szCs w:val="18"/>
              </w:rPr>
              <w:t>室内卫生环境差的扣0.5分</w:t>
            </w:r>
          </w:p>
        </w:tc>
        <w:tc>
          <w:tcPr>
            <w:tcW w:w="327" w:type="pct"/>
            <w:vMerge w:val="continue"/>
            <w:tcBorders>
              <w:top w:val="nil"/>
              <w:left w:val="single" w:color="auto" w:sz="4" w:space="0"/>
              <w:bottom w:val="single" w:color="000000" w:sz="4" w:space="0"/>
              <w:right w:val="single" w:color="auto" w:sz="4" w:space="0"/>
            </w:tcBorders>
            <w:vAlign w:val="center"/>
          </w:tcPr>
          <w:p w14:paraId="6983909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DCB938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34FF574">
            <w:pPr>
              <w:widowControl/>
              <w:jc w:val="left"/>
              <w:rPr>
                <w:rFonts w:ascii="宋体" w:hAnsi="宋体" w:cs="宋体"/>
                <w:kern w:val="0"/>
                <w:sz w:val="18"/>
                <w:szCs w:val="18"/>
              </w:rPr>
            </w:pPr>
            <w:r>
              <w:rPr>
                <w:rFonts w:hint="eastAsia" w:ascii="宋体" w:hAnsi="宋体" w:cs="宋体"/>
                <w:kern w:val="0"/>
                <w:sz w:val="18"/>
                <w:szCs w:val="18"/>
              </w:rPr>
              <w:t>　</w:t>
            </w:r>
          </w:p>
        </w:tc>
      </w:tr>
      <w:tr w14:paraId="288B02E5">
        <w:tblPrEx>
          <w:tblCellMar>
            <w:top w:w="0" w:type="dxa"/>
            <w:left w:w="108" w:type="dxa"/>
            <w:bottom w:w="0" w:type="dxa"/>
            <w:right w:w="108" w:type="dxa"/>
          </w:tblCellMar>
        </w:tblPrEx>
        <w:trPr>
          <w:trHeight w:val="187" w:hRule="atLeast"/>
        </w:trPr>
        <w:tc>
          <w:tcPr>
            <w:tcW w:w="249" w:type="pct"/>
            <w:vMerge w:val="restart"/>
            <w:tcBorders>
              <w:top w:val="nil"/>
              <w:left w:val="single" w:color="auto" w:sz="4" w:space="0"/>
              <w:bottom w:val="single" w:color="000000" w:sz="4" w:space="0"/>
              <w:right w:val="single" w:color="auto" w:sz="4" w:space="0"/>
            </w:tcBorders>
            <w:vAlign w:val="center"/>
          </w:tcPr>
          <w:p w14:paraId="42D9C08E">
            <w:pPr>
              <w:widowControl/>
              <w:jc w:val="center"/>
              <w:rPr>
                <w:rFonts w:ascii="宋体" w:hAnsi="宋体" w:cs="宋体"/>
                <w:kern w:val="0"/>
                <w:sz w:val="18"/>
                <w:szCs w:val="18"/>
              </w:rPr>
            </w:pPr>
            <w:r>
              <w:rPr>
                <w:rFonts w:hint="eastAsia" w:ascii="宋体" w:hAnsi="宋体" w:cs="宋体"/>
                <w:kern w:val="0"/>
                <w:sz w:val="18"/>
                <w:szCs w:val="18"/>
              </w:rPr>
              <w:t>六</w:t>
            </w:r>
          </w:p>
        </w:tc>
        <w:tc>
          <w:tcPr>
            <w:tcW w:w="242" w:type="pct"/>
            <w:vMerge w:val="restart"/>
            <w:tcBorders>
              <w:top w:val="nil"/>
              <w:left w:val="single" w:color="auto" w:sz="4" w:space="0"/>
              <w:bottom w:val="single" w:color="000000" w:sz="4" w:space="0"/>
              <w:right w:val="single" w:color="auto" w:sz="4" w:space="0"/>
            </w:tcBorders>
            <w:vAlign w:val="center"/>
          </w:tcPr>
          <w:p w14:paraId="216A3AE3">
            <w:pPr>
              <w:widowControl/>
              <w:jc w:val="center"/>
              <w:rPr>
                <w:rFonts w:ascii="宋体" w:hAnsi="宋体" w:cs="宋体"/>
                <w:kern w:val="0"/>
                <w:sz w:val="18"/>
                <w:szCs w:val="18"/>
              </w:rPr>
            </w:pPr>
            <w:r>
              <w:rPr>
                <w:rFonts w:hint="eastAsia" w:ascii="宋体" w:hAnsi="宋体" w:cs="宋体"/>
                <w:kern w:val="0"/>
                <w:sz w:val="18"/>
                <w:szCs w:val="18"/>
              </w:rPr>
              <w:t>水泵房</w:t>
            </w:r>
          </w:p>
          <w:p w14:paraId="472E0E41">
            <w:pPr>
              <w:widowControl/>
              <w:jc w:val="center"/>
              <w:rPr>
                <w:rFonts w:ascii="宋体" w:hAnsi="宋体" w:cs="宋体"/>
                <w:kern w:val="0"/>
                <w:sz w:val="18"/>
                <w:szCs w:val="18"/>
              </w:rPr>
            </w:pPr>
            <w:r>
              <w:rPr>
                <w:rFonts w:hint="eastAsia" w:ascii="宋体" w:hAnsi="宋体" w:cs="宋体"/>
                <w:kern w:val="0"/>
                <w:sz w:val="18"/>
                <w:szCs w:val="18"/>
              </w:rPr>
              <w:t>管理</w:t>
            </w:r>
          </w:p>
        </w:tc>
        <w:tc>
          <w:tcPr>
            <w:tcW w:w="304" w:type="pct"/>
            <w:vMerge w:val="restart"/>
            <w:tcBorders>
              <w:top w:val="nil"/>
              <w:left w:val="single" w:color="auto" w:sz="4" w:space="0"/>
              <w:bottom w:val="single" w:color="000000" w:sz="4" w:space="0"/>
              <w:right w:val="single" w:color="auto" w:sz="4" w:space="0"/>
            </w:tcBorders>
            <w:vAlign w:val="center"/>
          </w:tcPr>
          <w:p w14:paraId="597A8403">
            <w:pPr>
              <w:widowControl/>
              <w:jc w:val="center"/>
              <w:rPr>
                <w:rFonts w:ascii="宋体" w:hAnsi="宋体" w:cs="宋体"/>
                <w:kern w:val="0"/>
                <w:sz w:val="18"/>
                <w:szCs w:val="18"/>
              </w:rPr>
            </w:pPr>
            <w:r>
              <w:rPr>
                <w:rFonts w:hint="eastAsia" w:ascii="宋体" w:hAnsi="宋体" w:cs="宋体"/>
                <w:kern w:val="0"/>
                <w:sz w:val="18"/>
                <w:szCs w:val="18"/>
              </w:rPr>
              <w:t>8</w:t>
            </w:r>
          </w:p>
        </w:tc>
        <w:tc>
          <w:tcPr>
            <w:tcW w:w="1320" w:type="pct"/>
            <w:tcBorders>
              <w:top w:val="nil"/>
              <w:left w:val="nil"/>
              <w:bottom w:val="single" w:color="auto" w:sz="4" w:space="0"/>
              <w:right w:val="single" w:color="auto" w:sz="4" w:space="0"/>
            </w:tcBorders>
            <w:vAlign w:val="center"/>
          </w:tcPr>
          <w:p w14:paraId="0E8AE30D">
            <w:pPr>
              <w:widowControl/>
              <w:jc w:val="left"/>
              <w:rPr>
                <w:rFonts w:ascii="宋体" w:hAnsi="宋体" w:cs="宋体"/>
                <w:kern w:val="0"/>
                <w:sz w:val="18"/>
                <w:szCs w:val="18"/>
              </w:rPr>
            </w:pPr>
            <w:r>
              <w:rPr>
                <w:rFonts w:hint="eastAsia" w:ascii="宋体" w:hAnsi="宋体" w:cs="宋体"/>
                <w:kern w:val="0"/>
                <w:sz w:val="18"/>
                <w:szCs w:val="18"/>
              </w:rPr>
              <w:t>建立正常供水管理值班制度</w:t>
            </w:r>
          </w:p>
        </w:tc>
        <w:tc>
          <w:tcPr>
            <w:tcW w:w="320" w:type="pct"/>
            <w:tcBorders>
              <w:top w:val="nil"/>
              <w:left w:val="nil"/>
              <w:bottom w:val="single" w:color="auto" w:sz="4" w:space="0"/>
              <w:right w:val="single" w:color="auto" w:sz="4" w:space="0"/>
            </w:tcBorders>
            <w:vAlign w:val="center"/>
          </w:tcPr>
          <w:p w14:paraId="5F5DC12B">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00DE70CC">
            <w:pPr>
              <w:widowControl/>
              <w:jc w:val="left"/>
              <w:rPr>
                <w:rFonts w:ascii="宋体" w:hAnsi="宋体" w:cs="宋体"/>
                <w:kern w:val="0"/>
                <w:sz w:val="18"/>
                <w:szCs w:val="18"/>
              </w:rPr>
            </w:pPr>
            <w:r>
              <w:rPr>
                <w:rFonts w:hint="eastAsia" w:ascii="宋体" w:hAnsi="宋体" w:cs="宋体"/>
                <w:kern w:val="0"/>
                <w:sz w:val="18"/>
                <w:szCs w:val="18"/>
              </w:rPr>
              <w:t>未建立值班制度扣1分</w:t>
            </w:r>
          </w:p>
        </w:tc>
        <w:tc>
          <w:tcPr>
            <w:tcW w:w="327" w:type="pct"/>
            <w:vMerge w:val="restart"/>
            <w:tcBorders>
              <w:top w:val="nil"/>
              <w:left w:val="single" w:color="auto" w:sz="4" w:space="0"/>
              <w:bottom w:val="single" w:color="000000" w:sz="4" w:space="0"/>
              <w:right w:val="single" w:color="auto" w:sz="4" w:space="0"/>
            </w:tcBorders>
            <w:vAlign w:val="center"/>
          </w:tcPr>
          <w:p w14:paraId="0955BB6C">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45BE5A8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934D660">
            <w:pPr>
              <w:widowControl/>
              <w:jc w:val="left"/>
              <w:rPr>
                <w:rFonts w:ascii="宋体" w:hAnsi="宋体" w:cs="宋体"/>
                <w:kern w:val="0"/>
                <w:sz w:val="18"/>
                <w:szCs w:val="18"/>
              </w:rPr>
            </w:pPr>
            <w:r>
              <w:rPr>
                <w:rFonts w:hint="eastAsia" w:ascii="宋体" w:hAnsi="宋体" w:cs="宋体"/>
                <w:kern w:val="0"/>
                <w:sz w:val="18"/>
                <w:szCs w:val="18"/>
              </w:rPr>
              <w:t>　</w:t>
            </w:r>
          </w:p>
        </w:tc>
      </w:tr>
      <w:tr w14:paraId="7A43ADD0">
        <w:tblPrEx>
          <w:tblCellMar>
            <w:top w:w="0" w:type="dxa"/>
            <w:left w:w="108" w:type="dxa"/>
            <w:bottom w:w="0" w:type="dxa"/>
            <w:right w:w="108" w:type="dxa"/>
          </w:tblCellMar>
        </w:tblPrEx>
        <w:trPr>
          <w:trHeight w:val="489" w:hRule="atLeast"/>
        </w:trPr>
        <w:tc>
          <w:tcPr>
            <w:tcW w:w="249" w:type="pct"/>
            <w:vMerge w:val="continue"/>
            <w:tcBorders>
              <w:top w:val="nil"/>
              <w:left w:val="single" w:color="auto" w:sz="4" w:space="0"/>
              <w:bottom w:val="single" w:color="000000" w:sz="4" w:space="0"/>
              <w:right w:val="single" w:color="auto" w:sz="4" w:space="0"/>
            </w:tcBorders>
            <w:vAlign w:val="center"/>
          </w:tcPr>
          <w:p w14:paraId="6563D522">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412A750">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CDCC693">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A211971">
            <w:pPr>
              <w:widowControl/>
              <w:jc w:val="left"/>
              <w:rPr>
                <w:rFonts w:ascii="宋体" w:hAnsi="宋体" w:cs="宋体"/>
                <w:kern w:val="0"/>
                <w:sz w:val="18"/>
                <w:szCs w:val="18"/>
              </w:rPr>
            </w:pPr>
            <w:r>
              <w:rPr>
                <w:rFonts w:hint="eastAsia" w:ascii="宋体" w:hAnsi="宋体" w:cs="宋体"/>
                <w:kern w:val="0"/>
                <w:sz w:val="18"/>
                <w:szCs w:val="18"/>
              </w:rPr>
              <w:t>保证给排水系统正常运行</w:t>
            </w:r>
          </w:p>
        </w:tc>
        <w:tc>
          <w:tcPr>
            <w:tcW w:w="320" w:type="pct"/>
            <w:tcBorders>
              <w:top w:val="nil"/>
              <w:left w:val="nil"/>
              <w:bottom w:val="single" w:color="auto" w:sz="4" w:space="0"/>
              <w:right w:val="single" w:color="auto" w:sz="4" w:space="0"/>
            </w:tcBorders>
            <w:vAlign w:val="center"/>
          </w:tcPr>
          <w:p w14:paraId="678D9E38">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7D65D26B">
            <w:pPr>
              <w:widowControl/>
              <w:jc w:val="left"/>
              <w:rPr>
                <w:rFonts w:ascii="宋体" w:hAnsi="宋体" w:cs="宋体"/>
                <w:kern w:val="0"/>
                <w:sz w:val="18"/>
                <w:szCs w:val="18"/>
              </w:rPr>
            </w:pPr>
            <w:r>
              <w:rPr>
                <w:rFonts w:hint="eastAsia" w:ascii="宋体" w:hAnsi="宋体" w:cs="宋体"/>
                <w:kern w:val="0"/>
                <w:sz w:val="18"/>
                <w:szCs w:val="18"/>
              </w:rPr>
              <w:t>不能保证给排水系统正常运行的扣1分</w:t>
            </w:r>
          </w:p>
        </w:tc>
        <w:tc>
          <w:tcPr>
            <w:tcW w:w="327" w:type="pct"/>
            <w:vMerge w:val="continue"/>
            <w:tcBorders>
              <w:top w:val="nil"/>
              <w:left w:val="single" w:color="auto" w:sz="4" w:space="0"/>
              <w:bottom w:val="single" w:color="000000" w:sz="4" w:space="0"/>
              <w:right w:val="single" w:color="auto" w:sz="4" w:space="0"/>
            </w:tcBorders>
            <w:vAlign w:val="center"/>
          </w:tcPr>
          <w:p w14:paraId="48859E3A">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CE522B4">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0F206A7">
            <w:pPr>
              <w:widowControl/>
              <w:jc w:val="left"/>
              <w:rPr>
                <w:rFonts w:ascii="宋体" w:hAnsi="宋体" w:cs="宋体"/>
                <w:kern w:val="0"/>
                <w:sz w:val="18"/>
                <w:szCs w:val="18"/>
              </w:rPr>
            </w:pPr>
            <w:r>
              <w:rPr>
                <w:rFonts w:hint="eastAsia" w:ascii="宋体" w:hAnsi="宋体" w:cs="宋体"/>
                <w:kern w:val="0"/>
                <w:sz w:val="18"/>
                <w:szCs w:val="18"/>
              </w:rPr>
              <w:t>　</w:t>
            </w:r>
          </w:p>
        </w:tc>
      </w:tr>
      <w:tr w14:paraId="62AA307E">
        <w:tblPrEx>
          <w:tblCellMar>
            <w:top w:w="0" w:type="dxa"/>
            <w:left w:w="108" w:type="dxa"/>
            <w:bottom w:w="0" w:type="dxa"/>
            <w:right w:w="108" w:type="dxa"/>
          </w:tblCellMar>
        </w:tblPrEx>
        <w:trPr>
          <w:trHeight w:val="296" w:hRule="atLeast"/>
        </w:trPr>
        <w:tc>
          <w:tcPr>
            <w:tcW w:w="249" w:type="pct"/>
            <w:vMerge w:val="continue"/>
            <w:tcBorders>
              <w:top w:val="nil"/>
              <w:left w:val="single" w:color="auto" w:sz="4" w:space="0"/>
              <w:bottom w:val="single" w:color="000000" w:sz="4" w:space="0"/>
              <w:right w:val="single" w:color="auto" w:sz="4" w:space="0"/>
            </w:tcBorders>
            <w:vAlign w:val="center"/>
          </w:tcPr>
          <w:p w14:paraId="4D8DD83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929AF3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295C22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54F2F43">
            <w:pPr>
              <w:widowControl/>
              <w:jc w:val="left"/>
              <w:rPr>
                <w:rFonts w:ascii="宋体" w:hAnsi="宋体" w:cs="宋体"/>
                <w:kern w:val="0"/>
                <w:sz w:val="18"/>
                <w:szCs w:val="18"/>
              </w:rPr>
            </w:pPr>
            <w:r>
              <w:rPr>
                <w:rFonts w:hint="eastAsia" w:ascii="宋体" w:hAnsi="宋体" w:cs="宋体"/>
                <w:kern w:val="0"/>
                <w:sz w:val="18"/>
                <w:szCs w:val="18"/>
              </w:rPr>
              <w:t>按要求对生活水箱及消防水池进行定期清洗和消毒</w:t>
            </w:r>
          </w:p>
        </w:tc>
        <w:tc>
          <w:tcPr>
            <w:tcW w:w="320" w:type="pct"/>
            <w:tcBorders>
              <w:top w:val="nil"/>
              <w:left w:val="nil"/>
              <w:bottom w:val="single" w:color="auto" w:sz="4" w:space="0"/>
              <w:right w:val="single" w:color="auto" w:sz="4" w:space="0"/>
            </w:tcBorders>
            <w:vAlign w:val="center"/>
          </w:tcPr>
          <w:p w14:paraId="78169A8E">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02C1B39E">
            <w:pPr>
              <w:widowControl/>
              <w:jc w:val="left"/>
              <w:rPr>
                <w:rFonts w:ascii="宋体" w:hAnsi="宋体" w:cs="宋体"/>
                <w:kern w:val="0"/>
                <w:sz w:val="18"/>
                <w:szCs w:val="18"/>
              </w:rPr>
            </w:pPr>
            <w:r>
              <w:rPr>
                <w:rFonts w:hint="eastAsia" w:ascii="宋体" w:hAnsi="宋体" w:cs="宋体"/>
                <w:kern w:val="0"/>
                <w:sz w:val="18"/>
                <w:szCs w:val="18"/>
              </w:rPr>
              <w:t>未能按要求进行扣1分</w:t>
            </w:r>
          </w:p>
        </w:tc>
        <w:tc>
          <w:tcPr>
            <w:tcW w:w="327" w:type="pct"/>
            <w:vMerge w:val="continue"/>
            <w:tcBorders>
              <w:top w:val="nil"/>
              <w:left w:val="single" w:color="auto" w:sz="4" w:space="0"/>
              <w:bottom w:val="single" w:color="000000" w:sz="4" w:space="0"/>
              <w:right w:val="single" w:color="auto" w:sz="4" w:space="0"/>
            </w:tcBorders>
            <w:vAlign w:val="center"/>
          </w:tcPr>
          <w:p w14:paraId="38954644">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E3220A6">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98CF60D">
            <w:pPr>
              <w:widowControl/>
              <w:jc w:val="left"/>
              <w:rPr>
                <w:rFonts w:ascii="宋体" w:hAnsi="宋体" w:cs="宋体"/>
                <w:kern w:val="0"/>
                <w:sz w:val="18"/>
                <w:szCs w:val="18"/>
              </w:rPr>
            </w:pPr>
            <w:r>
              <w:rPr>
                <w:rFonts w:hint="eastAsia" w:ascii="宋体" w:hAnsi="宋体" w:cs="宋体"/>
                <w:kern w:val="0"/>
                <w:sz w:val="18"/>
                <w:szCs w:val="18"/>
              </w:rPr>
              <w:t>　</w:t>
            </w:r>
          </w:p>
        </w:tc>
      </w:tr>
      <w:tr w14:paraId="1BB488F3">
        <w:tblPrEx>
          <w:tblCellMar>
            <w:top w:w="0" w:type="dxa"/>
            <w:left w:w="108" w:type="dxa"/>
            <w:bottom w:w="0" w:type="dxa"/>
            <w:right w:w="108" w:type="dxa"/>
          </w:tblCellMar>
        </w:tblPrEx>
        <w:trPr>
          <w:trHeight w:val="316" w:hRule="atLeast"/>
        </w:trPr>
        <w:tc>
          <w:tcPr>
            <w:tcW w:w="249" w:type="pct"/>
            <w:vMerge w:val="continue"/>
            <w:tcBorders>
              <w:top w:val="nil"/>
              <w:left w:val="single" w:color="auto" w:sz="4" w:space="0"/>
              <w:bottom w:val="single" w:color="000000" w:sz="4" w:space="0"/>
              <w:right w:val="single" w:color="auto" w:sz="4" w:space="0"/>
            </w:tcBorders>
            <w:vAlign w:val="center"/>
          </w:tcPr>
          <w:p w14:paraId="3D1135E4">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884F6D4">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C55998C">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6851C1D">
            <w:pPr>
              <w:widowControl/>
              <w:jc w:val="left"/>
              <w:rPr>
                <w:rFonts w:ascii="宋体" w:hAnsi="宋体" w:cs="宋体"/>
                <w:kern w:val="0"/>
                <w:sz w:val="18"/>
                <w:szCs w:val="18"/>
              </w:rPr>
            </w:pPr>
            <w:r>
              <w:rPr>
                <w:rFonts w:hint="eastAsia" w:ascii="宋体" w:hAnsi="宋体" w:cs="宋体"/>
                <w:kern w:val="0"/>
                <w:sz w:val="18"/>
                <w:szCs w:val="18"/>
              </w:rPr>
              <w:t>保证水质符合国家和深圳市相关标准</w:t>
            </w:r>
          </w:p>
        </w:tc>
        <w:tc>
          <w:tcPr>
            <w:tcW w:w="320" w:type="pct"/>
            <w:tcBorders>
              <w:top w:val="nil"/>
              <w:left w:val="nil"/>
              <w:bottom w:val="single" w:color="auto" w:sz="4" w:space="0"/>
              <w:right w:val="single" w:color="auto" w:sz="4" w:space="0"/>
            </w:tcBorders>
            <w:vAlign w:val="center"/>
          </w:tcPr>
          <w:p w14:paraId="6B7117D0">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6CAD5C5E">
            <w:pPr>
              <w:widowControl/>
              <w:jc w:val="left"/>
              <w:rPr>
                <w:rFonts w:ascii="宋体" w:hAnsi="宋体" w:cs="宋体"/>
                <w:kern w:val="0"/>
                <w:sz w:val="18"/>
                <w:szCs w:val="18"/>
              </w:rPr>
            </w:pPr>
            <w:r>
              <w:rPr>
                <w:rFonts w:hint="eastAsia" w:ascii="宋体" w:hAnsi="宋体" w:cs="宋体"/>
                <w:kern w:val="0"/>
                <w:sz w:val="18"/>
                <w:szCs w:val="18"/>
              </w:rPr>
              <w:t>水质不符合相关标准要求的扣1分</w:t>
            </w:r>
          </w:p>
        </w:tc>
        <w:tc>
          <w:tcPr>
            <w:tcW w:w="327" w:type="pct"/>
            <w:vMerge w:val="continue"/>
            <w:tcBorders>
              <w:top w:val="nil"/>
              <w:left w:val="single" w:color="auto" w:sz="4" w:space="0"/>
              <w:bottom w:val="single" w:color="000000" w:sz="4" w:space="0"/>
              <w:right w:val="single" w:color="auto" w:sz="4" w:space="0"/>
            </w:tcBorders>
            <w:vAlign w:val="center"/>
          </w:tcPr>
          <w:p w14:paraId="72757F7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22ED7E3">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vMerge w:val="restart"/>
            <w:tcBorders>
              <w:top w:val="nil"/>
              <w:left w:val="single" w:color="auto" w:sz="4" w:space="0"/>
              <w:bottom w:val="single" w:color="auto" w:sz="4" w:space="0"/>
              <w:right w:val="single" w:color="auto" w:sz="4" w:space="0"/>
            </w:tcBorders>
          </w:tcPr>
          <w:p w14:paraId="6D40E7A7">
            <w:pPr>
              <w:widowControl/>
              <w:rPr>
                <w:rFonts w:ascii="宋体" w:hAnsi="宋体" w:cs="宋体"/>
                <w:kern w:val="0"/>
                <w:sz w:val="18"/>
                <w:szCs w:val="18"/>
              </w:rPr>
            </w:pPr>
            <w:r>
              <w:rPr>
                <w:rFonts w:hint="eastAsia" w:ascii="宋体" w:hAnsi="宋体" w:cs="宋体"/>
                <w:kern w:val="0"/>
                <w:sz w:val="18"/>
                <w:szCs w:val="18"/>
              </w:rPr>
              <w:t>　</w:t>
            </w:r>
          </w:p>
        </w:tc>
      </w:tr>
      <w:tr w14:paraId="2617B6A6">
        <w:tblPrEx>
          <w:tblCellMar>
            <w:top w:w="0" w:type="dxa"/>
            <w:left w:w="108" w:type="dxa"/>
            <w:bottom w:w="0" w:type="dxa"/>
            <w:right w:w="108" w:type="dxa"/>
          </w:tblCellMar>
        </w:tblPrEx>
        <w:trPr>
          <w:trHeight w:val="307" w:hRule="atLeast"/>
        </w:trPr>
        <w:tc>
          <w:tcPr>
            <w:tcW w:w="249" w:type="pct"/>
            <w:vMerge w:val="continue"/>
            <w:tcBorders>
              <w:top w:val="nil"/>
              <w:left w:val="single" w:color="auto" w:sz="4" w:space="0"/>
              <w:bottom w:val="single" w:color="000000" w:sz="4" w:space="0"/>
              <w:right w:val="single" w:color="auto" w:sz="4" w:space="0"/>
            </w:tcBorders>
            <w:vAlign w:val="center"/>
          </w:tcPr>
          <w:p w14:paraId="2D944DD8">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463BC50">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821813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1350F22">
            <w:pPr>
              <w:widowControl/>
              <w:jc w:val="left"/>
              <w:rPr>
                <w:rFonts w:ascii="宋体" w:hAnsi="宋体" w:cs="宋体"/>
                <w:kern w:val="0"/>
                <w:sz w:val="18"/>
                <w:szCs w:val="18"/>
              </w:rPr>
            </w:pPr>
            <w:r>
              <w:rPr>
                <w:rFonts w:hint="eastAsia" w:ascii="宋体" w:hAnsi="宋体" w:cs="宋体"/>
                <w:kern w:val="0"/>
                <w:sz w:val="18"/>
                <w:szCs w:val="18"/>
              </w:rPr>
              <w:t>各阀门、管道走向标示清楚</w:t>
            </w:r>
          </w:p>
        </w:tc>
        <w:tc>
          <w:tcPr>
            <w:tcW w:w="320" w:type="pct"/>
            <w:tcBorders>
              <w:top w:val="nil"/>
              <w:left w:val="nil"/>
              <w:bottom w:val="single" w:color="auto" w:sz="4" w:space="0"/>
              <w:right w:val="single" w:color="auto" w:sz="4" w:space="0"/>
            </w:tcBorders>
            <w:vAlign w:val="center"/>
          </w:tcPr>
          <w:p w14:paraId="11D7AF0B">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2E3AAE2">
            <w:pPr>
              <w:widowControl/>
              <w:jc w:val="left"/>
              <w:rPr>
                <w:rFonts w:ascii="宋体" w:hAnsi="宋体" w:cs="宋体"/>
                <w:kern w:val="0"/>
                <w:sz w:val="18"/>
                <w:szCs w:val="18"/>
              </w:rPr>
            </w:pPr>
            <w:r>
              <w:rPr>
                <w:rFonts w:hint="eastAsia" w:ascii="宋体" w:hAnsi="宋体" w:cs="宋体"/>
                <w:kern w:val="0"/>
                <w:sz w:val="18"/>
                <w:szCs w:val="18"/>
              </w:rPr>
              <w:t>标示不清扣0.5分</w:t>
            </w:r>
          </w:p>
        </w:tc>
        <w:tc>
          <w:tcPr>
            <w:tcW w:w="327" w:type="pct"/>
            <w:vMerge w:val="continue"/>
            <w:tcBorders>
              <w:top w:val="nil"/>
              <w:left w:val="single" w:color="auto" w:sz="4" w:space="0"/>
              <w:bottom w:val="single" w:color="000000" w:sz="4" w:space="0"/>
              <w:right w:val="single" w:color="auto" w:sz="4" w:space="0"/>
            </w:tcBorders>
            <w:vAlign w:val="center"/>
          </w:tcPr>
          <w:p w14:paraId="5ABCDD46">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ECF8AE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vMerge w:val="continue"/>
            <w:tcBorders>
              <w:top w:val="nil"/>
              <w:left w:val="single" w:color="auto" w:sz="4" w:space="0"/>
              <w:bottom w:val="single" w:color="auto" w:sz="4" w:space="0"/>
              <w:right w:val="single" w:color="auto" w:sz="4" w:space="0"/>
            </w:tcBorders>
            <w:vAlign w:val="center"/>
          </w:tcPr>
          <w:p w14:paraId="5E759CE4">
            <w:pPr>
              <w:widowControl/>
              <w:jc w:val="left"/>
              <w:rPr>
                <w:rFonts w:ascii="宋体" w:hAnsi="宋体" w:cs="宋体"/>
                <w:kern w:val="0"/>
                <w:sz w:val="18"/>
                <w:szCs w:val="18"/>
              </w:rPr>
            </w:pPr>
          </w:p>
        </w:tc>
      </w:tr>
      <w:tr w14:paraId="2E738AD2">
        <w:tblPrEx>
          <w:tblCellMar>
            <w:top w:w="0" w:type="dxa"/>
            <w:left w:w="108" w:type="dxa"/>
            <w:bottom w:w="0" w:type="dxa"/>
            <w:right w:w="108" w:type="dxa"/>
          </w:tblCellMar>
        </w:tblPrEx>
        <w:trPr>
          <w:trHeight w:val="127" w:hRule="atLeast"/>
        </w:trPr>
        <w:tc>
          <w:tcPr>
            <w:tcW w:w="249" w:type="pct"/>
            <w:vMerge w:val="continue"/>
            <w:tcBorders>
              <w:top w:val="nil"/>
              <w:left w:val="single" w:color="auto" w:sz="4" w:space="0"/>
              <w:bottom w:val="single" w:color="000000" w:sz="4" w:space="0"/>
              <w:right w:val="single" w:color="auto" w:sz="4" w:space="0"/>
            </w:tcBorders>
            <w:vAlign w:val="center"/>
          </w:tcPr>
          <w:p w14:paraId="6D1B253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DAB7EF0">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C62606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A577D57">
            <w:pPr>
              <w:widowControl/>
              <w:jc w:val="left"/>
              <w:rPr>
                <w:rFonts w:ascii="宋体" w:hAnsi="宋体" w:cs="宋体"/>
                <w:kern w:val="0"/>
                <w:sz w:val="18"/>
                <w:szCs w:val="18"/>
              </w:rPr>
            </w:pPr>
            <w:r>
              <w:rPr>
                <w:rFonts w:hint="eastAsia" w:ascii="宋体" w:hAnsi="宋体" w:cs="宋体"/>
                <w:kern w:val="0"/>
                <w:sz w:val="18"/>
                <w:szCs w:val="18"/>
              </w:rPr>
              <w:t>日常巡查保养记录齐全</w:t>
            </w:r>
          </w:p>
        </w:tc>
        <w:tc>
          <w:tcPr>
            <w:tcW w:w="320" w:type="pct"/>
            <w:tcBorders>
              <w:top w:val="nil"/>
              <w:left w:val="nil"/>
              <w:bottom w:val="single" w:color="auto" w:sz="4" w:space="0"/>
              <w:right w:val="single" w:color="auto" w:sz="4" w:space="0"/>
            </w:tcBorders>
            <w:vAlign w:val="center"/>
          </w:tcPr>
          <w:p w14:paraId="729DDDD1">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18DF4D6">
            <w:pPr>
              <w:widowControl/>
              <w:jc w:val="left"/>
              <w:rPr>
                <w:rFonts w:ascii="宋体" w:hAnsi="宋体" w:cs="宋体"/>
                <w:kern w:val="0"/>
                <w:sz w:val="18"/>
                <w:szCs w:val="18"/>
              </w:rPr>
            </w:pPr>
            <w:r>
              <w:rPr>
                <w:rFonts w:hint="eastAsia" w:ascii="宋体" w:hAnsi="宋体" w:cs="宋体"/>
                <w:kern w:val="0"/>
                <w:sz w:val="18"/>
                <w:szCs w:val="18"/>
              </w:rPr>
              <w:t>日常巡查保养记录不全扣0.5分</w:t>
            </w:r>
          </w:p>
        </w:tc>
        <w:tc>
          <w:tcPr>
            <w:tcW w:w="327" w:type="pct"/>
            <w:vMerge w:val="continue"/>
            <w:tcBorders>
              <w:top w:val="nil"/>
              <w:left w:val="single" w:color="auto" w:sz="4" w:space="0"/>
              <w:bottom w:val="single" w:color="000000" w:sz="4" w:space="0"/>
              <w:right w:val="single" w:color="auto" w:sz="4" w:space="0"/>
            </w:tcBorders>
            <w:vAlign w:val="center"/>
          </w:tcPr>
          <w:p w14:paraId="16B39E5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950816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vMerge w:val="continue"/>
            <w:tcBorders>
              <w:top w:val="nil"/>
              <w:left w:val="single" w:color="auto" w:sz="4" w:space="0"/>
              <w:bottom w:val="single" w:color="auto" w:sz="4" w:space="0"/>
              <w:right w:val="single" w:color="auto" w:sz="4" w:space="0"/>
            </w:tcBorders>
            <w:vAlign w:val="center"/>
          </w:tcPr>
          <w:p w14:paraId="70FD388B">
            <w:pPr>
              <w:widowControl/>
              <w:jc w:val="left"/>
              <w:rPr>
                <w:rFonts w:ascii="宋体" w:hAnsi="宋体" w:cs="宋体"/>
                <w:kern w:val="0"/>
                <w:sz w:val="18"/>
                <w:szCs w:val="18"/>
              </w:rPr>
            </w:pPr>
          </w:p>
        </w:tc>
      </w:tr>
      <w:tr w14:paraId="10478704">
        <w:tblPrEx>
          <w:tblCellMar>
            <w:top w:w="0" w:type="dxa"/>
            <w:left w:w="108" w:type="dxa"/>
            <w:bottom w:w="0" w:type="dxa"/>
            <w:right w:w="108" w:type="dxa"/>
          </w:tblCellMar>
        </w:tblPrEx>
        <w:trPr>
          <w:trHeight w:val="273" w:hRule="atLeast"/>
        </w:trPr>
        <w:tc>
          <w:tcPr>
            <w:tcW w:w="249" w:type="pct"/>
            <w:vMerge w:val="continue"/>
            <w:tcBorders>
              <w:top w:val="nil"/>
              <w:left w:val="single" w:color="auto" w:sz="4" w:space="0"/>
              <w:bottom w:val="single" w:color="000000" w:sz="4" w:space="0"/>
              <w:right w:val="single" w:color="auto" w:sz="4" w:space="0"/>
            </w:tcBorders>
            <w:vAlign w:val="center"/>
          </w:tcPr>
          <w:p w14:paraId="4B8D21A7">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F536CEB">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519E4F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15A7432">
            <w:pPr>
              <w:widowControl/>
              <w:jc w:val="left"/>
              <w:rPr>
                <w:rFonts w:ascii="宋体" w:hAnsi="宋体" w:cs="宋体"/>
                <w:kern w:val="0"/>
                <w:sz w:val="18"/>
                <w:szCs w:val="18"/>
              </w:rPr>
            </w:pPr>
            <w:r>
              <w:rPr>
                <w:rFonts w:hint="eastAsia" w:ascii="宋体" w:hAnsi="宋体" w:cs="宋体"/>
                <w:kern w:val="0"/>
                <w:sz w:val="18"/>
                <w:szCs w:val="18"/>
              </w:rPr>
              <w:t>水池箱盖完好（上锁）</w:t>
            </w:r>
          </w:p>
        </w:tc>
        <w:tc>
          <w:tcPr>
            <w:tcW w:w="320" w:type="pct"/>
            <w:tcBorders>
              <w:top w:val="nil"/>
              <w:left w:val="nil"/>
              <w:bottom w:val="single" w:color="auto" w:sz="4" w:space="0"/>
              <w:right w:val="single" w:color="auto" w:sz="4" w:space="0"/>
            </w:tcBorders>
            <w:vAlign w:val="center"/>
          </w:tcPr>
          <w:p w14:paraId="6714387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194CE315">
            <w:pPr>
              <w:widowControl/>
              <w:jc w:val="left"/>
              <w:rPr>
                <w:rFonts w:ascii="宋体" w:hAnsi="宋体" w:cs="宋体"/>
                <w:kern w:val="0"/>
                <w:sz w:val="18"/>
                <w:szCs w:val="18"/>
              </w:rPr>
            </w:pPr>
            <w:r>
              <w:rPr>
                <w:rFonts w:hint="eastAsia" w:ascii="宋体" w:hAnsi="宋体" w:cs="宋体"/>
                <w:kern w:val="0"/>
                <w:sz w:val="18"/>
                <w:szCs w:val="18"/>
              </w:rPr>
              <w:t>水池箱盖有缺损或没上锁扣0.5分</w:t>
            </w:r>
          </w:p>
        </w:tc>
        <w:tc>
          <w:tcPr>
            <w:tcW w:w="327" w:type="pct"/>
            <w:vMerge w:val="continue"/>
            <w:tcBorders>
              <w:top w:val="nil"/>
              <w:left w:val="single" w:color="auto" w:sz="4" w:space="0"/>
              <w:bottom w:val="single" w:color="000000" w:sz="4" w:space="0"/>
              <w:right w:val="single" w:color="auto" w:sz="4" w:space="0"/>
            </w:tcBorders>
            <w:vAlign w:val="center"/>
          </w:tcPr>
          <w:p w14:paraId="6AC25A8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0B0E50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vMerge w:val="continue"/>
            <w:tcBorders>
              <w:top w:val="nil"/>
              <w:left w:val="single" w:color="auto" w:sz="4" w:space="0"/>
              <w:bottom w:val="single" w:color="auto" w:sz="4" w:space="0"/>
              <w:right w:val="single" w:color="auto" w:sz="4" w:space="0"/>
            </w:tcBorders>
            <w:vAlign w:val="center"/>
          </w:tcPr>
          <w:p w14:paraId="6045D67D">
            <w:pPr>
              <w:widowControl/>
              <w:jc w:val="left"/>
              <w:rPr>
                <w:rFonts w:ascii="宋体" w:hAnsi="宋体" w:cs="宋体"/>
                <w:kern w:val="0"/>
                <w:sz w:val="18"/>
                <w:szCs w:val="18"/>
              </w:rPr>
            </w:pPr>
          </w:p>
        </w:tc>
      </w:tr>
      <w:tr w14:paraId="4A928DBD">
        <w:tblPrEx>
          <w:tblCellMar>
            <w:top w:w="0" w:type="dxa"/>
            <w:left w:w="108" w:type="dxa"/>
            <w:bottom w:w="0" w:type="dxa"/>
            <w:right w:w="108" w:type="dxa"/>
          </w:tblCellMar>
        </w:tblPrEx>
        <w:trPr>
          <w:trHeight w:val="277" w:hRule="atLeast"/>
        </w:trPr>
        <w:tc>
          <w:tcPr>
            <w:tcW w:w="249" w:type="pct"/>
            <w:vMerge w:val="continue"/>
            <w:tcBorders>
              <w:top w:val="nil"/>
              <w:left w:val="single" w:color="auto" w:sz="4" w:space="0"/>
              <w:bottom w:val="single" w:color="000000" w:sz="4" w:space="0"/>
              <w:right w:val="single" w:color="auto" w:sz="4" w:space="0"/>
            </w:tcBorders>
            <w:vAlign w:val="center"/>
          </w:tcPr>
          <w:p w14:paraId="14C4CD49">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7BE5886">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BDBF95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C261187">
            <w:pPr>
              <w:widowControl/>
              <w:jc w:val="left"/>
              <w:rPr>
                <w:rFonts w:ascii="宋体" w:hAnsi="宋体" w:cs="宋体"/>
                <w:kern w:val="0"/>
                <w:sz w:val="18"/>
                <w:szCs w:val="18"/>
              </w:rPr>
            </w:pPr>
            <w:r>
              <w:rPr>
                <w:rFonts w:hint="eastAsia" w:ascii="宋体" w:hAnsi="宋体" w:cs="宋体"/>
                <w:kern w:val="0"/>
                <w:sz w:val="18"/>
                <w:szCs w:val="18"/>
              </w:rPr>
              <w:t>室内、水池周围环境整洁</w:t>
            </w:r>
          </w:p>
        </w:tc>
        <w:tc>
          <w:tcPr>
            <w:tcW w:w="320" w:type="pct"/>
            <w:tcBorders>
              <w:top w:val="nil"/>
              <w:left w:val="nil"/>
              <w:bottom w:val="single" w:color="auto" w:sz="4" w:space="0"/>
              <w:right w:val="single" w:color="auto" w:sz="4" w:space="0"/>
            </w:tcBorders>
            <w:vAlign w:val="center"/>
          </w:tcPr>
          <w:p w14:paraId="15677AB5">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6181D19">
            <w:pPr>
              <w:widowControl/>
              <w:jc w:val="left"/>
              <w:rPr>
                <w:rFonts w:ascii="宋体" w:hAnsi="宋体" w:cs="宋体"/>
                <w:kern w:val="0"/>
                <w:sz w:val="18"/>
                <w:szCs w:val="18"/>
              </w:rPr>
            </w:pPr>
            <w:r>
              <w:rPr>
                <w:rFonts w:hint="eastAsia" w:ascii="宋体" w:hAnsi="宋体" w:cs="宋体"/>
                <w:kern w:val="0"/>
                <w:sz w:val="18"/>
                <w:szCs w:val="18"/>
              </w:rPr>
              <w:t>水池周围环境差的扣0.5分</w:t>
            </w:r>
          </w:p>
        </w:tc>
        <w:tc>
          <w:tcPr>
            <w:tcW w:w="327" w:type="pct"/>
            <w:vMerge w:val="continue"/>
            <w:tcBorders>
              <w:top w:val="nil"/>
              <w:left w:val="single" w:color="auto" w:sz="4" w:space="0"/>
              <w:bottom w:val="single" w:color="000000" w:sz="4" w:space="0"/>
              <w:right w:val="single" w:color="auto" w:sz="4" w:space="0"/>
            </w:tcBorders>
            <w:vAlign w:val="center"/>
          </w:tcPr>
          <w:p w14:paraId="6A1AF03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29DD87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3908C86">
            <w:pPr>
              <w:widowControl/>
              <w:jc w:val="left"/>
              <w:rPr>
                <w:rFonts w:ascii="宋体" w:hAnsi="宋体" w:cs="宋体"/>
                <w:kern w:val="0"/>
                <w:sz w:val="18"/>
                <w:szCs w:val="18"/>
              </w:rPr>
            </w:pPr>
            <w:r>
              <w:rPr>
                <w:rFonts w:hint="eastAsia" w:ascii="宋体" w:hAnsi="宋体" w:cs="宋体"/>
                <w:kern w:val="0"/>
                <w:sz w:val="18"/>
                <w:szCs w:val="18"/>
              </w:rPr>
              <w:t>　</w:t>
            </w:r>
          </w:p>
        </w:tc>
      </w:tr>
      <w:tr w14:paraId="67C05699">
        <w:tblPrEx>
          <w:tblCellMar>
            <w:top w:w="0" w:type="dxa"/>
            <w:left w:w="108" w:type="dxa"/>
            <w:bottom w:w="0" w:type="dxa"/>
            <w:right w:w="108" w:type="dxa"/>
          </w:tblCellMar>
        </w:tblPrEx>
        <w:trPr>
          <w:trHeight w:val="296" w:hRule="atLeast"/>
        </w:trPr>
        <w:tc>
          <w:tcPr>
            <w:tcW w:w="249" w:type="pct"/>
            <w:vMerge w:val="continue"/>
            <w:tcBorders>
              <w:top w:val="nil"/>
              <w:left w:val="single" w:color="auto" w:sz="4" w:space="0"/>
              <w:bottom w:val="single" w:color="000000" w:sz="4" w:space="0"/>
              <w:right w:val="single" w:color="auto" w:sz="4" w:space="0"/>
            </w:tcBorders>
            <w:vAlign w:val="center"/>
          </w:tcPr>
          <w:p w14:paraId="54AD60F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7D4837E">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1E76332B">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4AAD9B0">
            <w:pPr>
              <w:widowControl/>
              <w:jc w:val="left"/>
              <w:rPr>
                <w:rFonts w:ascii="宋体" w:hAnsi="宋体" w:cs="宋体"/>
                <w:kern w:val="0"/>
                <w:sz w:val="18"/>
                <w:szCs w:val="18"/>
              </w:rPr>
            </w:pPr>
            <w:r>
              <w:rPr>
                <w:rFonts w:hint="eastAsia" w:ascii="宋体" w:hAnsi="宋体" w:cs="宋体"/>
                <w:kern w:val="0"/>
                <w:sz w:val="18"/>
                <w:szCs w:val="18"/>
              </w:rPr>
              <w:t>配电柜开关完好</w:t>
            </w:r>
          </w:p>
        </w:tc>
        <w:tc>
          <w:tcPr>
            <w:tcW w:w="320" w:type="pct"/>
            <w:tcBorders>
              <w:top w:val="nil"/>
              <w:left w:val="nil"/>
              <w:bottom w:val="single" w:color="auto" w:sz="4" w:space="0"/>
              <w:right w:val="single" w:color="auto" w:sz="4" w:space="0"/>
            </w:tcBorders>
            <w:vAlign w:val="center"/>
          </w:tcPr>
          <w:p w14:paraId="3AC805AA">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13C1D6A9">
            <w:pPr>
              <w:widowControl/>
              <w:jc w:val="left"/>
              <w:rPr>
                <w:rFonts w:ascii="宋体" w:hAnsi="宋体" w:cs="宋体"/>
                <w:kern w:val="0"/>
                <w:sz w:val="18"/>
                <w:szCs w:val="18"/>
              </w:rPr>
            </w:pPr>
            <w:r>
              <w:rPr>
                <w:rFonts w:hint="eastAsia" w:ascii="宋体" w:hAnsi="宋体" w:cs="宋体"/>
                <w:kern w:val="0"/>
                <w:sz w:val="18"/>
                <w:szCs w:val="18"/>
              </w:rPr>
              <w:t>有缺损、温度高、标示不清扣0.5分</w:t>
            </w:r>
          </w:p>
        </w:tc>
        <w:tc>
          <w:tcPr>
            <w:tcW w:w="327" w:type="pct"/>
            <w:vMerge w:val="continue"/>
            <w:tcBorders>
              <w:top w:val="nil"/>
              <w:left w:val="single" w:color="auto" w:sz="4" w:space="0"/>
              <w:bottom w:val="single" w:color="000000" w:sz="4" w:space="0"/>
              <w:right w:val="single" w:color="auto" w:sz="4" w:space="0"/>
            </w:tcBorders>
            <w:vAlign w:val="center"/>
          </w:tcPr>
          <w:p w14:paraId="62AC6C8D">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C45CC05">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CEA9FA1">
            <w:pPr>
              <w:widowControl/>
              <w:jc w:val="left"/>
              <w:rPr>
                <w:rFonts w:ascii="宋体" w:hAnsi="宋体" w:cs="宋体"/>
                <w:kern w:val="0"/>
                <w:sz w:val="18"/>
                <w:szCs w:val="18"/>
              </w:rPr>
            </w:pPr>
            <w:r>
              <w:rPr>
                <w:rFonts w:hint="eastAsia" w:ascii="宋体" w:hAnsi="宋体" w:cs="宋体"/>
                <w:kern w:val="0"/>
                <w:sz w:val="18"/>
                <w:szCs w:val="18"/>
              </w:rPr>
              <w:t>　</w:t>
            </w:r>
          </w:p>
        </w:tc>
      </w:tr>
      <w:tr w14:paraId="0C7C5A93">
        <w:tblPrEx>
          <w:tblCellMar>
            <w:top w:w="0" w:type="dxa"/>
            <w:left w:w="108" w:type="dxa"/>
            <w:bottom w:w="0" w:type="dxa"/>
            <w:right w:w="108" w:type="dxa"/>
          </w:tblCellMar>
        </w:tblPrEx>
        <w:trPr>
          <w:trHeight w:val="271" w:hRule="atLeast"/>
        </w:trPr>
        <w:tc>
          <w:tcPr>
            <w:tcW w:w="249" w:type="pct"/>
            <w:vMerge w:val="continue"/>
            <w:tcBorders>
              <w:top w:val="nil"/>
              <w:left w:val="single" w:color="auto" w:sz="4" w:space="0"/>
              <w:bottom w:val="single" w:color="000000" w:sz="4" w:space="0"/>
              <w:right w:val="single" w:color="auto" w:sz="4" w:space="0"/>
            </w:tcBorders>
            <w:vAlign w:val="center"/>
          </w:tcPr>
          <w:p w14:paraId="7EF6D37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CCCBAA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5A74B1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CB893CD">
            <w:pPr>
              <w:widowControl/>
              <w:jc w:val="left"/>
              <w:rPr>
                <w:rFonts w:ascii="宋体" w:hAnsi="宋体" w:cs="宋体"/>
                <w:kern w:val="0"/>
                <w:sz w:val="18"/>
                <w:szCs w:val="18"/>
              </w:rPr>
            </w:pPr>
            <w:r>
              <w:rPr>
                <w:rFonts w:hint="eastAsia" w:ascii="宋体" w:hAnsi="宋体" w:cs="宋体"/>
                <w:kern w:val="0"/>
                <w:sz w:val="18"/>
                <w:szCs w:val="18"/>
              </w:rPr>
              <w:t>水泵机组运行正常</w:t>
            </w:r>
          </w:p>
        </w:tc>
        <w:tc>
          <w:tcPr>
            <w:tcW w:w="320" w:type="pct"/>
            <w:tcBorders>
              <w:top w:val="nil"/>
              <w:left w:val="nil"/>
              <w:bottom w:val="single" w:color="auto" w:sz="4" w:space="0"/>
              <w:right w:val="single" w:color="auto" w:sz="4" w:space="0"/>
            </w:tcBorders>
            <w:vAlign w:val="center"/>
          </w:tcPr>
          <w:p w14:paraId="29C8B76A">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F8B68E4">
            <w:pPr>
              <w:widowControl/>
              <w:jc w:val="left"/>
              <w:rPr>
                <w:rFonts w:ascii="宋体" w:hAnsi="宋体" w:cs="宋体"/>
                <w:kern w:val="0"/>
                <w:sz w:val="18"/>
                <w:szCs w:val="18"/>
              </w:rPr>
            </w:pPr>
            <w:r>
              <w:rPr>
                <w:rFonts w:hint="eastAsia" w:ascii="宋体" w:hAnsi="宋体" w:cs="宋体"/>
                <w:kern w:val="0"/>
                <w:sz w:val="18"/>
                <w:szCs w:val="18"/>
              </w:rPr>
              <w:t>水泵机组运行不正常扣0.5分</w:t>
            </w:r>
          </w:p>
        </w:tc>
        <w:tc>
          <w:tcPr>
            <w:tcW w:w="327" w:type="pct"/>
            <w:vMerge w:val="continue"/>
            <w:tcBorders>
              <w:top w:val="nil"/>
              <w:left w:val="single" w:color="auto" w:sz="4" w:space="0"/>
              <w:bottom w:val="single" w:color="000000" w:sz="4" w:space="0"/>
              <w:right w:val="single" w:color="auto" w:sz="4" w:space="0"/>
            </w:tcBorders>
            <w:vAlign w:val="center"/>
          </w:tcPr>
          <w:p w14:paraId="7235D37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7F5D75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13B1A80">
            <w:pPr>
              <w:widowControl/>
              <w:jc w:val="left"/>
              <w:rPr>
                <w:rFonts w:ascii="宋体" w:hAnsi="宋体" w:cs="宋体"/>
                <w:kern w:val="0"/>
                <w:sz w:val="18"/>
                <w:szCs w:val="18"/>
              </w:rPr>
            </w:pPr>
            <w:r>
              <w:rPr>
                <w:rFonts w:hint="eastAsia" w:ascii="宋体" w:hAnsi="宋体" w:cs="宋体"/>
                <w:kern w:val="0"/>
                <w:sz w:val="18"/>
                <w:szCs w:val="18"/>
              </w:rPr>
              <w:t>　</w:t>
            </w:r>
          </w:p>
        </w:tc>
      </w:tr>
      <w:tr w14:paraId="31750FF3">
        <w:tblPrEx>
          <w:tblCellMar>
            <w:top w:w="0" w:type="dxa"/>
            <w:left w:w="108" w:type="dxa"/>
            <w:bottom w:w="0" w:type="dxa"/>
            <w:right w:w="108" w:type="dxa"/>
          </w:tblCellMar>
        </w:tblPrEx>
        <w:trPr>
          <w:trHeight w:val="275" w:hRule="atLeast"/>
        </w:trPr>
        <w:tc>
          <w:tcPr>
            <w:tcW w:w="249" w:type="pct"/>
            <w:vMerge w:val="continue"/>
            <w:tcBorders>
              <w:top w:val="nil"/>
              <w:left w:val="single" w:color="auto" w:sz="4" w:space="0"/>
              <w:bottom w:val="single" w:color="000000" w:sz="4" w:space="0"/>
              <w:right w:val="single" w:color="auto" w:sz="4" w:space="0"/>
            </w:tcBorders>
            <w:vAlign w:val="center"/>
          </w:tcPr>
          <w:p w14:paraId="45F2D10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F97F06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2C46CD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ABD6CAE">
            <w:pPr>
              <w:widowControl/>
              <w:jc w:val="left"/>
              <w:rPr>
                <w:rFonts w:ascii="宋体" w:hAnsi="宋体" w:cs="宋体"/>
                <w:kern w:val="0"/>
                <w:sz w:val="18"/>
                <w:szCs w:val="18"/>
              </w:rPr>
            </w:pPr>
            <w:r>
              <w:rPr>
                <w:rFonts w:hint="eastAsia" w:ascii="宋体" w:hAnsi="宋体" w:cs="宋体"/>
                <w:kern w:val="0"/>
                <w:sz w:val="18"/>
                <w:szCs w:val="18"/>
              </w:rPr>
              <w:t>配套阀门灵活正常</w:t>
            </w:r>
          </w:p>
        </w:tc>
        <w:tc>
          <w:tcPr>
            <w:tcW w:w="320" w:type="pct"/>
            <w:tcBorders>
              <w:top w:val="nil"/>
              <w:left w:val="nil"/>
              <w:bottom w:val="single" w:color="auto" w:sz="4" w:space="0"/>
              <w:right w:val="single" w:color="auto" w:sz="4" w:space="0"/>
            </w:tcBorders>
            <w:vAlign w:val="center"/>
          </w:tcPr>
          <w:p w14:paraId="5D3DF832">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3C83965">
            <w:pPr>
              <w:widowControl/>
              <w:jc w:val="left"/>
              <w:rPr>
                <w:rFonts w:ascii="宋体" w:hAnsi="宋体" w:cs="宋体"/>
                <w:kern w:val="0"/>
                <w:sz w:val="18"/>
                <w:szCs w:val="18"/>
              </w:rPr>
            </w:pPr>
            <w:r>
              <w:rPr>
                <w:rFonts w:hint="eastAsia" w:ascii="宋体" w:hAnsi="宋体" w:cs="宋体"/>
                <w:kern w:val="0"/>
                <w:sz w:val="18"/>
                <w:szCs w:val="18"/>
              </w:rPr>
              <w:t>配套阀门失灵的扣0.5分</w:t>
            </w:r>
          </w:p>
        </w:tc>
        <w:tc>
          <w:tcPr>
            <w:tcW w:w="327" w:type="pct"/>
            <w:vMerge w:val="continue"/>
            <w:tcBorders>
              <w:top w:val="nil"/>
              <w:left w:val="single" w:color="auto" w:sz="4" w:space="0"/>
              <w:bottom w:val="single" w:color="000000" w:sz="4" w:space="0"/>
              <w:right w:val="single" w:color="auto" w:sz="4" w:space="0"/>
            </w:tcBorders>
            <w:vAlign w:val="center"/>
          </w:tcPr>
          <w:p w14:paraId="275405C7">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27E9E3E">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F87FED8">
            <w:pPr>
              <w:widowControl/>
              <w:jc w:val="left"/>
              <w:rPr>
                <w:rFonts w:ascii="宋体" w:hAnsi="宋体" w:cs="宋体"/>
                <w:kern w:val="0"/>
                <w:sz w:val="18"/>
                <w:szCs w:val="18"/>
              </w:rPr>
            </w:pPr>
            <w:r>
              <w:rPr>
                <w:rFonts w:hint="eastAsia" w:ascii="宋体" w:hAnsi="宋体" w:cs="宋体"/>
                <w:kern w:val="0"/>
                <w:sz w:val="18"/>
                <w:szCs w:val="18"/>
              </w:rPr>
              <w:t>　</w:t>
            </w:r>
          </w:p>
        </w:tc>
      </w:tr>
      <w:tr w14:paraId="63F1E44E">
        <w:tblPrEx>
          <w:tblCellMar>
            <w:top w:w="0" w:type="dxa"/>
            <w:left w:w="108" w:type="dxa"/>
            <w:bottom w:w="0" w:type="dxa"/>
            <w:right w:w="108" w:type="dxa"/>
          </w:tblCellMar>
        </w:tblPrEx>
        <w:trPr>
          <w:trHeight w:val="251" w:hRule="atLeast"/>
        </w:trPr>
        <w:tc>
          <w:tcPr>
            <w:tcW w:w="249" w:type="pct"/>
            <w:vMerge w:val="continue"/>
            <w:tcBorders>
              <w:top w:val="nil"/>
              <w:left w:val="single" w:color="auto" w:sz="4" w:space="0"/>
              <w:bottom w:val="single" w:color="000000" w:sz="4" w:space="0"/>
              <w:right w:val="single" w:color="auto" w:sz="4" w:space="0"/>
            </w:tcBorders>
            <w:vAlign w:val="center"/>
          </w:tcPr>
          <w:p w14:paraId="6FFFCBC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0917716">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2479F9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F5E4978">
            <w:pPr>
              <w:widowControl/>
              <w:jc w:val="left"/>
              <w:rPr>
                <w:rFonts w:ascii="宋体" w:hAnsi="宋体" w:cs="宋体"/>
                <w:kern w:val="0"/>
                <w:sz w:val="18"/>
                <w:szCs w:val="18"/>
              </w:rPr>
            </w:pPr>
            <w:r>
              <w:rPr>
                <w:rFonts w:hint="eastAsia" w:ascii="宋体" w:hAnsi="宋体" w:cs="宋体"/>
                <w:kern w:val="0"/>
                <w:sz w:val="18"/>
                <w:szCs w:val="18"/>
              </w:rPr>
              <w:t>溢流孔沙网完好</w:t>
            </w:r>
          </w:p>
        </w:tc>
        <w:tc>
          <w:tcPr>
            <w:tcW w:w="320" w:type="pct"/>
            <w:tcBorders>
              <w:top w:val="nil"/>
              <w:left w:val="nil"/>
              <w:bottom w:val="single" w:color="auto" w:sz="4" w:space="0"/>
              <w:right w:val="single" w:color="auto" w:sz="4" w:space="0"/>
            </w:tcBorders>
            <w:vAlign w:val="center"/>
          </w:tcPr>
          <w:p w14:paraId="1C9DDE7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AC396E1">
            <w:pPr>
              <w:widowControl/>
              <w:jc w:val="left"/>
              <w:rPr>
                <w:rFonts w:ascii="宋体" w:hAnsi="宋体" w:cs="宋体"/>
                <w:kern w:val="0"/>
                <w:sz w:val="18"/>
                <w:szCs w:val="18"/>
              </w:rPr>
            </w:pPr>
            <w:r>
              <w:rPr>
                <w:rFonts w:hint="eastAsia" w:ascii="宋体" w:hAnsi="宋体" w:cs="宋体"/>
                <w:kern w:val="0"/>
                <w:sz w:val="18"/>
                <w:szCs w:val="18"/>
              </w:rPr>
              <w:t>溢流孔沙网有损坏扣0.5分</w:t>
            </w:r>
          </w:p>
        </w:tc>
        <w:tc>
          <w:tcPr>
            <w:tcW w:w="327" w:type="pct"/>
            <w:vMerge w:val="continue"/>
            <w:tcBorders>
              <w:top w:val="nil"/>
              <w:left w:val="single" w:color="auto" w:sz="4" w:space="0"/>
              <w:bottom w:val="single" w:color="000000" w:sz="4" w:space="0"/>
              <w:right w:val="single" w:color="auto" w:sz="4" w:space="0"/>
            </w:tcBorders>
            <w:vAlign w:val="center"/>
          </w:tcPr>
          <w:p w14:paraId="7B9A2A6E">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16DC31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EF298A4">
            <w:pPr>
              <w:widowControl/>
              <w:jc w:val="left"/>
              <w:rPr>
                <w:rFonts w:ascii="宋体" w:hAnsi="宋体" w:cs="宋体"/>
                <w:kern w:val="0"/>
                <w:sz w:val="18"/>
                <w:szCs w:val="18"/>
              </w:rPr>
            </w:pPr>
            <w:r>
              <w:rPr>
                <w:rFonts w:hint="eastAsia" w:ascii="宋体" w:hAnsi="宋体" w:cs="宋体"/>
                <w:kern w:val="0"/>
                <w:sz w:val="18"/>
                <w:szCs w:val="18"/>
              </w:rPr>
              <w:t>　</w:t>
            </w:r>
          </w:p>
        </w:tc>
      </w:tr>
      <w:tr w14:paraId="46B9A063">
        <w:tblPrEx>
          <w:tblCellMar>
            <w:top w:w="0" w:type="dxa"/>
            <w:left w:w="108" w:type="dxa"/>
            <w:bottom w:w="0" w:type="dxa"/>
            <w:right w:w="108" w:type="dxa"/>
          </w:tblCellMar>
        </w:tblPrEx>
        <w:trPr>
          <w:trHeight w:val="410" w:hRule="atLeast"/>
        </w:trPr>
        <w:tc>
          <w:tcPr>
            <w:tcW w:w="249" w:type="pct"/>
            <w:vMerge w:val="restart"/>
            <w:tcBorders>
              <w:top w:val="nil"/>
              <w:left w:val="single" w:color="auto" w:sz="4" w:space="0"/>
              <w:bottom w:val="single" w:color="000000" w:sz="4" w:space="0"/>
              <w:right w:val="single" w:color="auto" w:sz="4" w:space="0"/>
            </w:tcBorders>
            <w:vAlign w:val="center"/>
          </w:tcPr>
          <w:p w14:paraId="6F38A926">
            <w:pPr>
              <w:widowControl/>
              <w:jc w:val="center"/>
              <w:rPr>
                <w:rFonts w:ascii="宋体" w:hAnsi="宋体" w:cs="宋体"/>
                <w:kern w:val="0"/>
                <w:sz w:val="18"/>
                <w:szCs w:val="18"/>
              </w:rPr>
            </w:pPr>
            <w:r>
              <w:rPr>
                <w:rFonts w:hint="eastAsia" w:ascii="宋体" w:hAnsi="宋体" w:cs="宋体"/>
                <w:kern w:val="0"/>
                <w:sz w:val="18"/>
                <w:szCs w:val="18"/>
              </w:rPr>
              <w:t>七</w:t>
            </w:r>
          </w:p>
        </w:tc>
        <w:tc>
          <w:tcPr>
            <w:tcW w:w="242" w:type="pct"/>
            <w:vMerge w:val="restart"/>
            <w:tcBorders>
              <w:top w:val="nil"/>
              <w:left w:val="single" w:color="auto" w:sz="4" w:space="0"/>
              <w:bottom w:val="single" w:color="000000" w:sz="4" w:space="0"/>
              <w:right w:val="single" w:color="auto" w:sz="4" w:space="0"/>
            </w:tcBorders>
            <w:vAlign w:val="center"/>
          </w:tcPr>
          <w:p w14:paraId="74F5C4EC">
            <w:pPr>
              <w:widowControl/>
              <w:jc w:val="center"/>
              <w:rPr>
                <w:rFonts w:ascii="宋体" w:hAnsi="宋体" w:cs="宋体"/>
                <w:kern w:val="0"/>
                <w:sz w:val="18"/>
                <w:szCs w:val="18"/>
              </w:rPr>
            </w:pPr>
            <w:r>
              <w:rPr>
                <w:rFonts w:hint="eastAsia" w:ascii="宋体" w:hAnsi="宋体" w:cs="宋体"/>
                <w:kern w:val="0"/>
                <w:sz w:val="18"/>
                <w:szCs w:val="18"/>
              </w:rPr>
              <w:t>发电机房</w:t>
            </w:r>
          </w:p>
          <w:p w14:paraId="349C5B27">
            <w:pPr>
              <w:widowControl/>
              <w:jc w:val="center"/>
              <w:rPr>
                <w:rFonts w:ascii="宋体" w:hAnsi="宋体" w:cs="宋体"/>
                <w:kern w:val="0"/>
                <w:sz w:val="18"/>
                <w:szCs w:val="18"/>
              </w:rPr>
            </w:pPr>
            <w:r>
              <w:rPr>
                <w:rFonts w:hint="eastAsia" w:ascii="宋体" w:hAnsi="宋体" w:cs="宋体"/>
                <w:kern w:val="0"/>
                <w:sz w:val="18"/>
                <w:szCs w:val="18"/>
              </w:rPr>
              <w:t>管理</w:t>
            </w:r>
          </w:p>
        </w:tc>
        <w:tc>
          <w:tcPr>
            <w:tcW w:w="304" w:type="pct"/>
            <w:vMerge w:val="restart"/>
            <w:tcBorders>
              <w:top w:val="nil"/>
              <w:left w:val="single" w:color="auto" w:sz="4" w:space="0"/>
              <w:bottom w:val="single" w:color="000000" w:sz="4" w:space="0"/>
              <w:right w:val="single" w:color="auto" w:sz="4" w:space="0"/>
            </w:tcBorders>
            <w:vAlign w:val="center"/>
          </w:tcPr>
          <w:p w14:paraId="1AF862CF">
            <w:pPr>
              <w:widowControl/>
              <w:jc w:val="center"/>
              <w:rPr>
                <w:rFonts w:ascii="宋体" w:hAnsi="宋体" w:cs="宋体"/>
                <w:kern w:val="0"/>
                <w:sz w:val="18"/>
                <w:szCs w:val="18"/>
              </w:rPr>
            </w:pPr>
            <w:r>
              <w:rPr>
                <w:rFonts w:hint="eastAsia" w:ascii="宋体" w:hAnsi="宋体" w:cs="宋体"/>
                <w:kern w:val="0"/>
                <w:sz w:val="18"/>
                <w:szCs w:val="18"/>
              </w:rPr>
              <w:t>4</w:t>
            </w:r>
          </w:p>
        </w:tc>
        <w:tc>
          <w:tcPr>
            <w:tcW w:w="1320" w:type="pct"/>
            <w:tcBorders>
              <w:top w:val="nil"/>
              <w:left w:val="nil"/>
              <w:bottom w:val="single" w:color="auto" w:sz="4" w:space="0"/>
              <w:right w:val="single" w:color="auto" w:sz="4" w:space="0"/>
            </w:tcBorders>
            <w:vAlign w:val="center"/>
          </w:tcPr>
          <w:p w14:paraId="77F539E8">
            <w:pPr>
              <w:widowControl/>
              <w:jc w:val="left"/>
              <w:rPr>
                <w:rFonts w:ascii="宋体" w:hAnsi="宋体" w:cs="宋体"/>
                <w:kern w:val="0"/>
                <w:sz w:val="18"/>
                <w:szCs w:val="18"/>
              </w:rPr>
            </w:pPr>
            <w:r>
              <w:rPr>
                <w:rFonts w:hint="eastAsia" w:ascii="宋体" w:hAnsi="宋体" w:cs="宋体"/>
                <w:kern w:val="0"/>
                <w:sz w:val="18"/>
                <w:szCs w:val="18"/>
              </w:rPr>
              <w:t>巡查保养记录齐全</w:t>
            </w:r>
          </w:p>
        </w:tc>
        <w:tc>
          <w:tcPr>
            <w:tcW w:w="320" w:type="pct"/>
            <w:tcBorders>
              <w:top w:val="nil"/>
              <w:left w:val="nil"/>
              <w:bottom w:val="single" w:color="auto" w:sz="4" w:space="0"/>
              <w:right w:val="single" w:color="auto" w:sz="4" w:space="0"/>
            </w:tcBorders>
            <w:vAlign w:val="center"/>
          </w:tcPr>
          <w:p w14:paraId="55C949FE">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157A5A5">
            <w:pPr>
              <w:widowControl/>
              <w:jc w:val="left"/>
              <w:rPr>
                <w:rFonts w:ascii="宋体" w:hAnsi="宋体" w:cs="宋体"/>
                <w:kern w:val="0"/>
                <w:sz w:val="18"/>
                <w:szCs w:val="18"/>
              </w:rPr>
            </w:pPr>
            <w:r>
              <w:rPr>
                <w:rFonts w:hint="eastAsia" w:ascii="宋体" w:hAnsi="宋体" w:cs="宋体"/>
                <w:kern w:val="0"/>
                <w:sz w:val="18"/>
                <w:szCs w:val="18"/>
              </w:rPr>
              <w:t>巡查、保养、运行记录不全的扣0.5分</w:t>
            </w:r>
          </w:p>
        </w:tc>
        <w:tc>
          <w:tcPr>
            <w:tcW w:w="327" w:type="pct"/>
            <w:vMerge w:val="restart"/>
            <w:tcBorders>
              <w:top w:val="nil"/>
              <w:left w:val="single" w:color="auto" w:sz="4" w:space="0"/>
              <w:bottom w:val="single" w:color="000000" w:sz="4" w:space="0"/>
              <w:right w:val="single" w:color="auto" w:sz="4" w:space="0"/>
            </w:tcBorders>
            <w:vAlign w:val="center"/>
          </w:tcPr>
          <w:p w14:paraId="64FA71FA">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009224B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2752FF2">
            <w:pPr>
              <w:widowControl/>
              <w:jc w:val="left"/>
              <w:rPr>
                <w:rFonts w:ascii="宋体" w:hAnsi="宋体" w:cs="宋体"/>
                <w:kern w:val="0"/>
                <w:sz w:val="18"/>
                <w:szCs w:val="18"/>
              </w:rPr>
            </w:pPr>
            <w:r>
              <w:rPr>
                <w:rFonts w:hint="eastAsia" w:ascii="宋体" w:hAnsi="宋体" w:cs="宋体"/>
                <w:kern w:val="0"/>
                <w:sz w:val="18"/>
                <w:szCs w:val="18"/>
              </w:rPr>
              <w:t>　</w:t>
            </w:r>
          </w:p>
        </w:tc>
      </w:tr>
      <w:tr w14:paraId="544DD09D">
        <w:tblPrEx>
          <w:tblCellMar>
            <w:top w:w="0" w:type="dxa"/>
            <w:left w:w="108" w:type="dxa"/>
            <w:bottom w:w="0" w:type="dxa"/>
            <w:right w:w="108" w:type="dxa"/>
          </w:tblCellMar>
        </w:tblPrEx>
        <w:trPr>
          <w:trHeight w:val="249" w:hRule="atLeast"/>
        </w:trPr>
        <w:tc>
          <w:tcPr>
            <w:tcW w:w="249" w:type="pct"/>
            <w:vMerge w:val="continue"/>
            <w:tcBorders>
              <w:top w:val="nil"/>
              <w:left w:val="single" w:color="auto" w:sz="4" w:space="0"/>
              <w:bottom w:val="single" w:color="000000" w:sz="4" w:space="0"/>
              <w:right w:val="single" w:color="auto" w:sz="4" w:space="0"/>
            </w:tcBorders>
            <w:vAlign w:val="center"/>
          </w:tcPr>
          <w:p w14:paraId="09BF629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24D2CD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FD97CA5">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585D00D">
            <w:pPr>
              <w:widowControl/>
              <w:jc w:val="left"/>
              <w:rPr>
                <w:rFonts w:ascii="宋体" w:hAnsi="宋体" w:cs="宋体"/>
                <w:kern w:val="0"/>
                <w:sz w:val="18"/>
                <w:szCs w:val="18"/>
              </w:rPr>
            </w:pPr>
            <w:r>
              <w:rPr>
                <w:rFonts w:hint="eastAsia" w:ascii="宋体" w:hAnsi="宋体" w:cs="宋体"/>
                <w:kern w:val="0"/>
                <w:sz w:val="18"/>
                <w:szCs w:val="18"/>
              </w:rPr>
              <w:t>电池容量符合启动要求</w:t>
            </w:r>
          </w:p>
        </w:tc>
        <w:tc>
          <w:tcPr>
            <w:tcW w:w="320" w:type="pct"/>
            <w:tcBorders>
              <w:top w:val="nil"/>
              <w:left w:val="nil"/>
              <w:bottom w:val="single" w:color="auto" w:sz="4" w:space="0"/>
              <w:right w:val="single" w:color="auto" w:sz="4" w:space="0"/>
            </w:tcBorders>
            <w:vAlign w:val="center"/>
          </w:tcPr>
          <w:p w14:paraId="68E756C6">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AA85246">
            <w:pPr>
              <w:widowControl/>
              <w:jc w:val="left"/>
              <w:rPr>
                <w:rFonts w:ascii="宋体" w:hAnsi="宋体" w:cs="宋体"/>
                <w:kern w:val="0"/>
                <w:sz w:val="18"/>
                <w:szCs w:val="18"/>
              </w:rPr>
            </w:pPr>
            <w:r>
              <w:rPr>
                <w:rFonts w:hint="eastAsia" w:ascii="宋体" w:hAnsi="宋体" w:cs="宋体"/>
                <w:kern w:val="0"/>
                <w:sz w:val="18"/>
                <w:szCs w:val="18"/>
              </w:rPr>
              <w:t>电池容量不符要求扣0.5分</w:t>
            </w:r>
          </w:p>
        </w:tc>
        <w:tc>
          <w:tcPr>
            <w:tcW w:w="327" w:type="pct"/>
            <w:vMerge w:val="continue"/>
            <w:tcBorders>
              <w:top w:val="nil"/>
              <w:left w:val="single" w:color="auto" w:sz="4" w:space="0"/>
              <w:bottom w:val="single" w:color="000000" w:sz="4" w:space="0"/>
              <w:right w:val="single" w:color="auto" w:sz="4" w:space="0"/>
            </w:tcBorders>
            <w:vAlign w:val="center"/>
          </w:tcPr>
          <w:p w14:paraId="4C779F6A">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C4D208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1B743C3">
            <w:pPr>
              <w:widowControl/>
              <w:jc w:val="left"/>
              <w:rPr>
                <w:rFonts w:ascii="宋体" w:hAnsi="宋体" w:cs="宋体"/>
                <w:kern w:val="0"/>
                <w:sz w:val="18"/>
                <w:szCs w:val="18"/>
              </w:rPr>
            </w:pPr>
            <w:r>
              <w:rPr>
                <w:rFonts w:hint="eastAsia" w:ascii="宋体" w:hAnsi="宋体" w:cs="宋体"/>
                <w:kern w:val="0"/>
                <w:sz w:val="18"/>
                <w:szCs w:val="18"/>
              </w:rPr>
              <w:t>　</w:t>
            </w:r>
          </w:p>
        </w:tc>
      </w:tr>
      <w:tr w14:paraId="1589C16F">
        <w:tblPrEx>
          <w:tblCellMar>
            <w:top w:w="0" w:type="dxa"/>
            <w:left w:w="108" w:type="dxa"/>
            <w:bottom w:w="0" w:type="dxa"/>
            <w:right w:w="108" w:type="dxa"/>
          </w:tblCellMar>
        </w:tblPrEx>
        <w:trPr>
          <w:trHeight w:val="297" w:hRule="atLeast"/>
        </w:trPr>
        <w:tc>
          <w:tcPr>
            <w:tcW w:w="249" w:type="pct"/>
            <w:vMerge w:val="continue"/>
            <w:tcBorders>
              <w:top w:val="nil"/>
              <w:left w:val="single" w:color="auto" w:sz="4" w:space="0"/>
              <w:bottom w:val="single" w:color="000000" w:sz="4" w:space="0"/>
              <w:right w:val="single" w:color="auto" w:sz="4" w:space="0"/>
            </w:tcBorders>
            <w:vAlign w:val="center"/>
          </w:tcPr>
          <w:p w14:paraId="5E71BCF8">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0478B936">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8492B5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D811249">
            <w:pPr>
              <w:widowControl/>
              <w:jc w:val="left"/>
              <w:rPr>
                <w:rFonts w:ascii="宋体" w:hAnsi="宋体" w:cs="宋体"/>
                <w:kern w:val="0"/>
                <w:sz w:val="18"/>
                <w:szCs w:val="18"/>
              </w:rPr>
            </w:pPr>
            <w:r>
              <w:rPr>
                <w:rFonts w:hint="eastAsia" w:ascii="宋体" w:hAnsi="宋体" w:cs="宋体"/>
                <w:kern w:val="0"/>
                <w:sz w:val="18"/>
                <w:szCs w:val="18"/>
              </w:rPr>
              <w:t>启动状况、运行状况良好</w:t>
            </w:r>
          </w:p>
        </w:tc>
        <w:tc>
          <w:tcPr>
            <w:tcW w:w="320" w:type="pct"/>
            <w:tcBorders>
              <w:top w:val="nil"/>
              <w:left w:val="nil"/>
              <w:bottom w:val="single" w:color="auto" w:sz="4" w:space="0"/>
              <w:right w:val="single" w:color="auto" w:sz="4" w:space="0"/>
            </w:tcBorders>
            <w:vAlign w:val="center"/>
          </w:tcPr>
          <w:p w14:paraId="631E5FF0">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B78A8B3">
            <w:pPr>
              <w:widowControl/>
              <w:jc w:val="left"/>
              <w:rPr>
                <w:rFonts w:ascii="宋体" w:hAnsi="宋体" w:cs="宋体"/>
                <w:kern w:val="0"/>
                <w:sz w:val="18"/>
                <w:szCs w:val="18"/>
              </w:rPr>
            </w:pPr>
            <w:r>
              <w:rPr>
                <w:rFonts w:hint="eastAsia" w:ascii="宋体" w:hAnsi="宋体" w:cs="宋体"/>
                <w:kern w:val="0"/>
                <w:sz w:val="18"/>
                <w:szCs w:val="18"/>
              </w:rPr>
              <w:t>启动不顺畅、运行不稳定扣0.5分</w:t>
            </w:r>
          </w:p>
        </w:tc>
        <w:tc>
          <w:tcPr>
            <w:tcW w:w="327" w:type="pct"/>
            <w:vMerge w:val="continue"/>
            <w:tcBorders>
              <w:top w:val="nil"/>
              <w:left w:val="single" w:color="auto" w:sz="4" w:space="0"/>
              <w:bottom w:val="single" w:color="000000" w:sz="4" w:space="0"/>
              <w:right w:val="single" w:color="auto" w:sz="4" w:space="0"/>
            </w:tcBorders>
            <w:vAlign w:val="center"/>
          </w:tcPr>
          <w:p w14:paraId="46D31D87">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18A21F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27ACA6C">
            <w:pPr>
              <w:widowControl/>
              <w:jc w:val="left"/>
              <w:rPr>
                <w:rFonts w:ascii="宋体" w:hAnsi="宋体" w:cs="宋体"/>
                <w:kern w:val="0"/>
                <w:sz w:val="18"/>
                <w:szCs w:val="18"/>
              </w:rPr>
            </w:pPr>
            <w:r>
              <w:rPr>
                <w:rFonts w:hint="eastAsia" w:ascii="宋体" w:hAnsi="宋体" w:cs="宋体"/>
                <w:kern w:val="0"/>
                <w:sz w:val="18"/>
                <w:szCs w:val="18"/>
              </w:rPr>
              <w:t>　</w:t>
            </w:r>
          </w:p>
        </w:tc>
      </w:tr>
      <w:tr w14:paraId="51D08579">
        <w:trPr>
          <w:trHeight w:val="229" w:hRule="atLeast"/>
        </w:trPr>
        <w:tc>
          <w:tcPr>
            <w:tcW w:w="249" w:type="pct"/>
            <w:vMerge w:val="continue"/>
            <w:tcBorders>
              <w:top w:val="nil"/>
              <w:left w:val="single" w:color="auto" w:sz="4" w:space="0"/>
              <w:bottom w:val="single" w:color="000000" w:sz="4" w:space="0"/>
              <w:right w:val="single" w:color="auto" w:sz="4" w:space="0"/>
            </w:tcBorders>
            <w:vAlign w:val="center"/>
          </w:tcPr>
          <w:p w14:paraId="01DE893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1FCF669">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A9DFA0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2EA3AFA">
            <w:pPr>
              <w:widowControl/>
              <w:jc w:val="left"/>
              <w:rPr>
                <w:rFonts w:ascii="宋体" w:hAnsi="宋体" w:cs="宋体"/>
                <w:kern w:val="0"/>
                <w:sz w:val="18"/>
                <w:szCs w:val="18"/>
              </w:rPr>
            </w:pPr>
            <w:r>
              <w:rPr>
                <w:rFonts w:hint="eastAsia" w:ascii="宋体" w:hAnsi="宋体" w:cs="宋体"/>
                <w:kern w:val="0"/>
                <w:sz w:val="18"/>
                <w:szCs w:val="18"/>
              </w:rPr>
              <w:t>自动开关投切灵活</w:t>
            </w:r>
          </w:p>
        </w:tc>
        <w:tc>
          <w:tcPr>
            <w:tcW w:w="320" w:type="pct"/>
            <w:tcBorders>
              <w:top w:val="nil"/>
              <w:left w:val="nil"/>
              <w:bottom w:val="single" w:color="auto" w:sz="4" w:space="0"/>
              <w:right w:val="single" w:color="auto" w:sz="4" w:space="0"/>
            </w:tcBorders>
            <w:vAlign w:val="center"/>
          </w:tcPr>
          <w:p w14:paraId="7D0FDD2E">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04BB570">
            <w:pPr>
              <w:widowControl/>
              <w:jc w:val="left"/>
              <w:rPr>
                <w:rFonts w:ascii="宋体" w:hAnsi="宋体" w:cs="宋体"/>
                <w:kern w:val="0"/>
                <w:sz w:val="18"/>
                <w:szCs w:val="18"/>
              </w:rPr>
            </w:pPr>
            <w:r>
              <w:rPr>
                <w:rFonts w:hint="eastAsia" w:ascii="宋体" w:hAnsi="宋体" w:cs="宋体"/>
                <w:kern w:val="0"/>
                <w:sz w:val="18"/>
                <w:szCs w:val="18"/>
              </w:rPr>
              <w:t>不灵活扣0.5分</w:t>
            </w:r>
          </w:p>
        </w:tc>
        <w:tc>
          <w:tcPr>
            <w:tcW w:w="327" w:type="pct"/>
            <w:vMerge w:val="continue"/>
            <w:tcBorders>
              <w:top w:val="nil"/>
              <w:left w:val="single" w:color="auto" w:sz="4" w:space="0"/>
              <w:bottom w:val="single" w:color="000000" w:sz="4" w:space="0"/>
              <w:right w:val="single" w:color="auto" w:sz="4" w:space="0"/>
            </w:tcBorders>
            <w:vAlign w:val="center"/>
          </w:tcPr>
          <w:p w14:paraId="234A92EA">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EFE496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5174B97">
            <w:pPr>
              <w:widowControl/>
              <w:jc w:val="left"/>
              <w:rPr>
                <w:rFonts w:ascii="宋体" w:hAnsi="宋体" w:cs="宋体"/>
                <w:kern w:val="0"/>
                <w:sz w:val="18"/>
                <w:szCs w:val="18"/>
              </w:rPr>
            </w:pPr>
            <w:r>
              <w:rPr>
                <w:rFonts w:hint="eastAsia" w:ascii="宋体" w:hAnsi="宋体" w:cs="宋体"/>
                <w:kern w:val="0"/>
                <w:sz w:val="18"/>
                <w:szCs w:val="18"/>
              </w:rPr>
              <w:t>　</w:t>
            </w:r>
          </w:p>
        </w:tc>
      </w:tr>
      <w:tr w14:paraId="3CB8DF61">
        <w:tblPrEx>
          <w:tblCellMar>
            <w:top w:w="0" w:type="dxa"/>
            <w:left w:w="108" w:type="dxa"/>
            <w:bottom w:w="0" w:type="dxa"/>
            <w:right w:w="108" w:type="dxa"/>
          </w:tblCellMar>
        </w:tblPrEx>
        <w:trPr>
          <w:trHeight w:val="205" w:hRule="atLeast"/>
        </w:trPr>
        <w:tc>
          <w:tcPr>
            <w:tcW w:w="249" w:type="pct"/>
            <w:vMerge w:val="continue"/>
            <w:tcBorders>
              <w:top w:val="nil"/>
              <w:left w:val="single" w:color="auto" w:sz="4" w:space="0"/>
              <w:bottom w:val="single" w:color="000000" w:sz="4" w:space="0"/>
              <w:right w:val="single" w:color="auto" w:sz="4" w:space="0"/>
            </w:tcBorders>
            <w:vAlign w:val="center"/>
          </w:tcPr>
          <w:p w14:paraId="34F0506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4EF436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A6A2873">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6A854E8">
            <w:pPr>
              <w:widowControl/>
              <w:jc w:val="left"/>
              <w:rPr>
                <w:rFonts w:ascii="宋体" w:hAnsi="宋体" w:cs="宋体"/>
                <w:kern w:val="0"/>
                <w:sz w:val="18"/>
                <w:szCs w:val="18"/>
              </w:rPr>
            </w:pPr>
            <w:r>
              <w:rPr>
                <w:rFonts w:hint="eastAsia" w:ascii="宋体" w:hAnsi="宋体" w:cs="宋体"/>
                <w:kern w:val="0"/>
                <w:sz w:val="18"/>
                <w:szCs w:val="18"/>
              </w:rPr>
              <w:t>室内无杂物，设备无积尘，卫生状况良好</w:t>
            </w:r>
          </w:p>
        </w:tc>
        <w:tc>
          <w:tcPr>
            <w:tcW w:w="320" w:type="pct"/>
            <w:tcBorders>
              <w:top w:val="nil"/>
              <w:left w:val="nil"/>
              <w:bottom w:val="single" w:color="auto" w:sz="4" w:space="0"/>
              <w:right w:val="single" w:color="auto" w:sz="4" w:space="0"/>
            </w:tcBorders>
            <w:vAlign w:val="center"/>
          </w:tcPr>
          <w:p w14:paraId="6B7F906E">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3BBC3650">
            <w:pPr>
              <w:widowControl/>
              <w:jc w:val="left"/>
              <w:rPr>
                <w:rFonts w:ascii="宋体" w:hAnsi="宋体" w:cs="宋体"/>
                <w:kern w:val="0"/>
                <w:sz w:val="18"/>
                <w:szCs w:val="18"/>
              </w:rPr>
            </w:pPr>
            <w:r>
              <w:rPr>
                <w:rFonts w:hint="eastAsia" w:ascii="宋体" w:hAnsi="宋体" w:cs="宋体"/>
                <w:kern w:val="0"/>
                <w:sz w:val="18"/>
                <w:szCs w:val="18"/>
              </w:rPr>
              <w:t>室内环境卫生差的扣0.5分</w:t>
            </w:r>
          </w:p>
        </w:tc>
        <w:tc>
          <w:tcPr>
            <w:tcW w:w="327" w:type="pct"/>
            <w:vMerge w:val="continue"/>
            <w:tcBorders>
              <w:top w:val="nil"/>
              <w:left w:val="single" w:color="auto" w:sz="4" w:space="0"/>
              <w:bottom w:val="single" w:color="000000" w:sz="4" w:space="0"/>
              <w:right w:val="single" w:color="auto" w:sz="4" w:space="0"/>
            </w:tcBorders>
            <w:vAlign w:val="center"/>
          </w:tcPr>
          <w:p w14:paraId="12EAC285">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7C4D56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0DF0F25">
            <w:pPr>
              <w:widowControl/>
              <w:jc w:val="left"/>
              <w:rPr>
                <w:rFonts w:ascii="宋体" w:hAnsi="宋体" w:cs="宋体"/>
                <w:kern w:val="0"/>
                <w:sz w:val="18"/>
                <w:szCs w:val="18"/>
              </w:rPr>
            </w:pPr>
            <w:r>
              <w:rPr>
                <w:rFonts w:hint="eastAsia" w:ascii="宋体" w:hAnsi="宋体" w:cs="宋体"/>
                <w:kern w:val="0"/>
                <w:sz w:val="18"/>
                <w:szCs w:val="18"/>
              </w:rPr>
              <w:t>　</w:t>
            </w:r>
          </w:p>
        </w:tc>
      </w:tr>
      <w:tr w14:paraId="05952461">
        <w:tblPrEx>
          <w:tblCellMar>
            <w:top w:w="0" w:type="dxa"/>
            <w:left w:w="108" w:type="dxa"/>
            <w:bottom w:w="0" w:type="dxa"/>
            <w:right w:w="108" w:type="dxa"/>
          </w:tblCellMar>
        </w:tblPrEx>
        <w:trPr>
          <w:trHeight w:val="350" w:hRule="atLeast"/>
        </w:trPr>
        <w:tc>
          <w:tcPr>
            <w:tcW w:w="249" w:type="pct"/>
            <w:vMerge w:val="continue"/>
            <w:tcBorders>
              <w:top w:val="nil"/>
              <w:left w:val="single" w:color="auto" w:sz="4" w:space="0"/>
              <w:bottom w:val="single" w:color="000000" w:sz="4" w:space="0"/>
              <w:right w:val="single" w:color="auto" w:sz="4" w:space="0"/>
            </w:tcBorders>
            <w:vAlign w:val="center"/>
          </w:tcPr>
          <w:p w14:paraId="0F9CB97C">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95D6BC9">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F4F40A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FF82AF9">
            <w:pPr>
              <w:widowControl/>
              <w:jc w:val="left"/>
              <w:rPr>
                <w:rFonts w:ascii="宋体" w:hAnsi="宋体" w:cs="宋体"/>
                <w:kern w:val="0"/>
                <w:sz w:val="18"/>
                <w:szCs w:val="18"/>
              </w:rPr>
            </w:pPr>
            <w:r>
              <w:rPr>
                <w:rFonts w:hint="eastAsia" w:ascii="宋体" w:hAnsi="宋体" w:cs="宋体"/>
                <w:kern w:val="0"/>
                <w:sz w:val="18"/>
                <w:szCs w:val="18"/>
              </w:rPr>
              <w:t>柴油机每月试运行二次，每次15-20分钟</w:t>
            </w:r>
          </w:p>
        </w:tc>
        <w:tc>
          <w:tcPr>
            <w:tcW w:w="320" w:type="pct"/>
            <w:tcBorders>
              <w:top w:val="nil"/>
              <w:left w:val="nil"/>
              <w:bottom w:val="single" w:color="auto" w:sz="4" w:space="0"/>
              <w:right w:val="single" w:color="auto" w:sz="4" w:space="0"/>
            </w:tcBorders>
            <w:vAlign w:val="center"/>
          </w:tcPr>
          <w:p w14:paraId="346E7838">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536C296">
            <w:pPr>
              <w:widowControl/>
              <w:jc w:val="left"/>
              <w:rPr>
                <w:rFonts w:ascii="宋体" w:hAnsi="宋体" w:cs="宋体"/>
                <w:kern w:val="0"/>
                <w:sz w:val="18"/>
                <w:szCs w:val="18"/>
              </w:rPr>
            </w:pPr>
            <w:r>
              <w:rPr>
                <w:rFonts w:hint="eastAsia" w:ascii="宋体" w:hAnsi="宋体" w:cs="宋体"/>
                <w:kern w:val="0"/>
                <w:sz w:val="18"/>
                <w:szCs w:val="18"/>
              </w:rPr>
              <w:t>没按要求试运行扣0.5分</w:t>
            </w:r>
          </w:p>
        </w:tc>
        <w:tc>
          <w:tcPr>
            <w:tcW w:w="327" w:type="pct"/>
            <w:vMerge w:val="continue"/>
            <w:tcBorders>
              <w:top w:val="nil"/>
              <w:left w:val="single" w:color="auto" w:sz="4" w:space="0"/>
              <w:bottom w:val="single" w:color="000000" w:sz="4" w:space="0"/>
              <w:right w:val="single" w:color="auto" w:sz="4" w:space="0"/>
            </w:tcBorders>
            <w:vAlign w:val="center"/>
          </w:tcPr>
          <w:p w14:paraId="7A1DC31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D07DAA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AE6081F">
            <w:pPr>
              <w:widowControl/>
              <w:jc w:val="left"/>
              <w:rPr>
                <w:rFonts w:ascii="宋体" w:hAnsi="宋体" w:cs="宋体"/>
                <w:kern w:val="0"/>
                <w:sz w:val="18"/>
                <w:szCs w:val="18"/>
              </w:rPr>
            </w:pPr>
            <w:r>
              <w:rPr>
                <w:rFonts w:hint="eastAsia" w:ascii="宋体" w:hAnsi="宋体" w:cs="宋体"/>
                <w:kern w:val="0"/>
                <w:sz w:val="18"/>
                <w:szCs w:val="18"/>
              </w:rPr>
              <w:t>　</w:t>
            </w:r>
          </w:p>
        </w:tc>
      </w:tr>
      <w:tr w14:paraId="3C99256F">
        <w:tblPrEx>
          <w:tblCellMar>
            <w:top w:w="0" w:type="dxa"/>
            <w:left w:w="108" w:type="dxa"/>
            <w:bottom w:w="0" w:type="dxa"/>
            <w:right w:w="108" w:type="dxa"/>
          </w:tblCellMar>
        </w:tblPrEx>
        <w:trPr>
          <w:trHeight w:val="157" w:hRule="atLeast"/>
        </w:trPr>
        <w:tc>
          <w:tcPr>
            <w:tcW w:w="249" w:type="pct"/>
            <w:vMerge w:val="continue"/>
            <w:tcBorders>
              <w:top w:val="nil"/>
              <w:left w:val="single" w:color="auto" w:sz="4" w:space="0"/>
              <w:bottom w:val="single" w:color="000000" w:sz="4" w:space="0"/>
              <w:right w:val="single" w:color="auto" w:sz="4" w:space="0"/>
            </w:tcBorders>
            <w:vAlign w:val="center"/>
          </w:tcPr>
          <w:p w14:paraId="12A9C619">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34FBF77">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154E059F">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8D99A2A">
            <w:pPr>
              <w:widowControl/>
              <w:jc w:val="left"/>
              <w:rPr>
                <w:rFonts w:ascii="宋体" w:hAnsi="宋体" w:cs="宋体"/>
                <w:kern w:val="0"/>
                <w:sz w:val="18"/>
                <w:szCs w:val="18"/>
              </w:rPr>
            </w:pPr>
            <w:r>
              <w:rPr>
                <w:rFonts w:hint="eastAsia" w:ascii="宋体" w:hAnsi="宋体" w:cs="宋体"/>
                <w:kern w:val="0"/>
                <w:sz w:val="18"/>
                <w:szCs w:val="18"/>
              </w:rPr>
              <w:t>足够五小时的用油，油箱每年清理一次</w:t>
            </w:r>
          </w:p>
        </w:tc>
        <w:tc>
          <w:tcPr>
            <w:tcW w:w="320" w:type="pct"/>
            <w:tcBorders>
              <w:top w:val="nil"/>
              <w:left w:val="nil"/>
              <w:bottom w:val="single" w:color="auto" w:sz="4" w:space="0"/>
              <w:right w:val="single" w:color="auto" w:sz="4" w:space="0"/>
            </w:tcBorders>
            <w:vAlign w:val="center"/>
          </w:tcPr>
          <w:p w14:paraId="0369577E">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A94BA0E">
            <w:pPr>
              <w:widowControl/>
              <w:jc w:val="left"/>
              <w:rPr>
                <w:rFonts w:ascii="宋体" w:hAnsi="宋体" w:cs="宋体"/>
                <w:kern w:val="0"/>
                <w:sz w:val="18"/>
                <w:szCs w:val="18"/>
              </w:rPr>
            </w:pPr>
            <w:r>
              <w:rPr>
                <w:rFonts w:hint="eastAsia" w:ascii="宋体" w:hAnsi="宋体" w:cs="宋体"/>
                <w:kern w:val="0"/>
                <w:sz w:val="18"/>
                <w:szCs w:val="18"/>
              </w:rPr>
              <w:t>备油不符合要求的扣0.5分</w:t>
            </w:r>
          </w:p>
        </w:tc>
        <w:tc>
          <w:tcPr>
            <w:tcW w:w="327" w:type="pct"/>
            <w:vMerge w:val="continue"/>
            <w:tcBorders>
              <w:top w:val="nil"/>
              <w:left w:val="single" w:color="auto" w:sz="4" w:space="0"/>
              <w:bottom w:val="single" w:color="000000" w:sz="4" w:space="0"/>
              <w:right w:val="single" w:color="auto" w:sz="4" w:space="0"/>
            </w:tcBorders>
            <w:vAlign w:val="center"/>
          </w:tcPr>
          <w:p w14:paraId="003BE84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9F2113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DC703F8">
            <w:pPr>
              <w:widowControl/>
              <w:jc w:val="left"/>
              <w:rPr>
                <w:rFonts w:ascii="宋体" w:hAnsi="宋体" w:cs="宋体"/>
                <w:kern w:val="0"/>
                <w:sz w:val="18"/>
                <w:szCs w:val="18"/>
              </w:rPr>
            </w:pPr>
            <w:r>
              <w:rPr>
                <w:rFonts w:hint="eastAsia" w:ascii="宋体" w:hAnsi="宋体" w:cs="宋体"/>
                <w:kern w:val="0"/>
                <w:sz w:val="18"/>
                <w:szCs w:val="18"/>
              </w:rPr>
              <w:t>　</w:t>
            </w:r>
          </w:p>
        </w:tc>
      </w:tr>
      <w:tr w14:paraId="6FBF9E6D">
        <w:tblPrEx>
          <w:tblCellMar>
            <w:top w:w="0" w:type="dxa"/>
            <w:left w:w="108" w:type="dxa"/>
            <w:bottom w:w="0" w:type="dxa"/>
            <w:right w:w="108" w:type="dxa"/>
          </w:tblCellMar>
        </w:tblPrEx>
        <w:trPr>
          <w:trHeight w:val="133" w:hRule="atLeast"/>
        </w:trPr>
        <w:tc>
          <w:tcPr>
            <w:tcW w:w="249" w:type="pct"/>
            <w:vMerge w:val="continue"/>
            <w:tcBorders>
              <w:top w:val="nil"/>
              <w:left w:val="single" w:color="auto" w:sz="4" w:space="0"/>
              <w:bottom w:val="single" w:color="000000" w:sz="4" w:space="0"/>
              <w:right w:val="single" w:color="auto" w:sz="4" w:space="0"/>
            </w:tcBorders>
            <w:vAlign w:val="center"/>
          </w:tcPr>
          <w:p w14:paraId="577C9C0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1FC58B6">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00EEBC6">
            <w:pPr>
              <w:widowControl/>
              <w:jc w:val="left"/>
              <w:rPr>
                <w:rFonts w:ascii="宋体" w:hAnsi="宋体" w:cs="宋体"/>
                <w:kern w:val="0"/>
                <w:sz w:val="18"/>
                <w:szCs w:val="18"/>
              </w:rPr>
            </w:pPr>
          </w:p>
        </w:tc>
        <w:tc>
          <w:tcPr>
            <w:tcW w:w="1320" w:type="pct"/>
            <w:tcBorders>
              <w:top w:val="nil"/>
              <w:left w:val="nil"/>
              <w:bottom w:val="nil"/>
              <w:right w:val="nil"/>
            </w:tcBorders>
            <w:vAlign w:val="center"/>
          </w:tcPr>
          <w:p w14:paraId="7E0C6E34">
            <w:pPr>
              <w:widowControl/>
              <w:jc w:val="left"/>
              <w:rPr>
                <w:rFonts w:ascii="宋体" w:hAnsi="宋体" w:cs="宋体"/>
                <w:kern w:val="0"/>
                <w:sz w:val="18"/>
                <w:szCs w:val="18"/>
              </w:rPr>
            </w:pPr>
            <w:r>
              <w:rPr>
                <w:rFonts w:hint="eastAsia" w:ascii="宋体" w:hAnsi="宋体" w:cs="宋体"/>
                <w:kern w:val="0"/>
                <w:sz w:val="18"/>
                <w:szCs w:val="18"/>
              </w:rPr>
              <w:t>室内配灭火器材及应急照明灯</w:t>
            </w:r>
          </w:p>
        </w:tc>
        <w:tc>
          <w:tcPr>
            <w:tcW w:w="320" w:type="pct"/>
            <w:tcBorders>
              <w:top w:val="nil"/>
              <w:left w:val="single" w:color="auto" w:sz="4" w:space="0"/>
              <w:bottom w:val="single" w:color="auto" w:sz="4" w:space="0"/>
              <w:right w:val="single" w:color="auto" w:sz="4" w:space="0"/>
            </w:tcBorders>
            <w:vAlign w:val="center"/>
          </w:tcPr>
          <w:p w14:paraId="6A37BE1C">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nil"/>
              <w:right w:val="single" w:color="auto" w:sz="4" w:space="0"/>
            </w:tcBorders>
            <w:vAlign w:val="center"/>
          </w:tcPr>
          <w:p w14:paraId="2182FDCD">
            <w:pPr>
              <w:widowControl/>
              <w:jc w:val="left"/>
              <w:rPr>
                <w:rFonts w:ascii="宋体" w:hAnsi="宋体" w:cs="宋体"/>
                <w:kern w:val="0"/>
                <w:sz w:val="18"/>
                <w:szCs w:val="18"/>
              </w:rPr>
            </w:pPr>
            <w:r>
              <w:rPr>
                <w:rFonts w:hint="eastAsia" w:ascii="宋体" w:hAnsi="宋体" w:cs="宋体"/>
                <w:kern w:val="0"/>
                <w:sz w:val="18"/>
                <w:szCs w:val="18"/>
              </w:rPr>
              <w:t>无灭火器材及应急照明扣0.5分</w:t>
            </w:r>
          </w:p>
        </w:tc>
        <w:tc>
          <w:tcPr>
            <w:tcW w:w="327" w:type="pct"/>
            <w:vMerge w:val="continue"/>
            <w:tcBorders>
              <w:top w:val="nil"/>
              <w:left w:val="single" w:color="auto" w:sz="4" w:space="0"/>
              <w:bottom w:val="single" w:color="000000" w:sz="4" w:space="0"/>
              <w:right w:val="single" w:color="auto" w:sz="4" w:space="0"/>
            </w:tcBorders>
            <w:vAlign w:val="center"/>
          </w:tcPr>
          <w:p w14:paraId="5036F97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F53A294">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53D3B2C">
            <w:pPr>
              <w:widowControl/>
              <w:jc w:val="left"/>
              <w:rPr>
                <w:rFonts w:ascii="宋体" w:hAnsi="宋体" w:cs="宋体"/>
                <w:kern w:val="0"/>
                <w:sz w:val="18"/>
                <w:szCs w:val="18"/>
              </w:rPr>
            </w:pPr>
            <w:r>
              <w:rPr>
                <w:rFonts w:hint="eastAsia" w:ascii="宋体" w:hAnsi="宋体" w:cs="宋体"/>
                <w:kern w:val="0"/>
                <w:sz w:val="18"/>
                <w:szCs w:val="18"/>
              </w:rPr>
              <w:t>　</w:t>
            </w:r>
          </w:p>
        </w:tc>
      </w:tr>
      <w:tr w14:paraId="73EDE69B">
        <w:tblPrEx>
          <w:tblCellMar>
            <w:top w:w="0" w:type="dxa"/>
            <w:left w:w="108" w:type="dxa"/>
            <w:bottom w:w="0" w:type="dxa"/>
            <w:right w:w="108" w:type="dxa"/>
          </w:tblCellMar>
        </w:tblPrEx>
        <w:trPr>
          <w:trHeight w:val="279" w:hRule="atLeast"/>
        </w:trPr>
        <w:tc>
          <w:tcPr>
            <w:tcW w:w="249" w:type="pct"/>
            <w:vMerge w:val="restart"/>
            <w:tcBorders>
              <w:top w:val="nil"/>
              <w:left w:val="single" w:color="auto" w:sz="4" w:space="0"/>
              <w:bottom w:val="single" w:color="000000" w:sz="4" w:space="0"/>
              <w:right w:val="single" w:color="auto" w:sz="4" w:space="0"/>
            </w:tcBorders>
            <w:vAlign w:val="center"/>
          </w:tcPr>
          <w:p w14:paraId="680A766D">
            <w:pPr>
              <w:widowControl/>
              <w:jc w:val="center"/>
              <w:rPr>
                <w:rFonts w:ascii="宋体" w:hAnsi="宋体" w:cs="宋体"/>
                <w:kern w:val="0"/>
                <w:sz w:val="18"/>
                <w:szCs w:val="18"/>
              </w:rPr>
            </w:pPr>
            <w:r>
              <w:rPr>
                <w:rFonts w:hint="eastAsia" w:ascii="宋体" w:hAnsi="宋体" w:cs="宋体"/>
                <w:kern w:val="0"/>
                <w:sz w:val="18"/>
                <w:szCs w:val="18"/>
              </w:rPr>
              <w:t>八</w:t>
            </w:r>
          </w:p>
        </w:tc>
        <w:tc>
          <w:tcPr>
            <w:tcW w:w="242" w:type="pct"/>
            <w:vMerge w:val="restart"/>
            <w:tcBorders>
              <w:top w:val="nil"/>
              <w:left w:val="single" w:color="auto" w:sz="4" w:space="0"/>
              <w:bottom w:val="single" w:color="000000" w:sz="4" w:space="0"/>
              <w:right w:val="single" w:color="auto" w:sz="4" w:space="0"/>
            </w:tcBorders>
            <w:vAlign w:val="center"/>
          </w:tcPr>
          <w:p w14:paraId="674E3ACC">
            <w:pPr>
              <w:widowControl/>
              <w:rPr>
                <w:rFonts w:ascii="宋体" w:hAnsi="宋体" w:cs="宋体"/>
                <w:kern w:val="0"/>
                <w:sz w:val="18"/>
                <w:szCs w:val="18"/>
              </w:rPr>
            </w:pPr>
            <w:r>
              <w:rPr>
                <w:rFonts w:hint="eastAsia" w:ascii="宋体" w:hAnsi="宋体" w:cs="宋体"/>
                <w:kern w:val="0"/>
                <w:sz w:val="18"/>
                <w:szCs w:val="18"/>
              </w:rPr>
              <w:t>空调设备</w:t>
            </w:r>
          </w:p>
          <w:p w14:paraId="15A507D4">
            <w:pPr>
              <w:widowControl/>
              <w:jc w:val="center"/>
              <w:rPr>
                <w:rFonts w:ascii="宋体" w:hAnsi="宋体" w:cs="宋体"/>
                <w:kern w:val="0"/>
                <w:sz w:val="18"/>
                <w:szCs w:val="18"/>
              </w:rPr>
            </w:pPr>
            <w:r>
              <w:rPr>
                <w:rFonts w:hint="eastAsia" w:ascii="宋体" w:hAnsi="宋体" w:cs="宋体"/>
                <w:kern w:val="0"/>
                <w:sz w:val="18"/>
                <w:szCs w:val="18"/>
              </w:rPr>
              <w:t>及</w:t>
            </w:r>
          </w:p>
          <w:p w14:paraId="7FA512EF">
            <w:pPr>
              <w:widowControl/>
              <w:jc w:val="center"/>
              <w:rPr>
                <w:rFonts w:ascii="宋体" w:hAnsi="宋体" w:cs="宋体"/>
                <w:kern w:val="0"/>
                <w:sz w:val="18"/>
                <w:szCs w:val="18"/>
              </w:rPr>
            </w:pPr>
            <w:r>
              <w:rPr>
                <w:rFonts w:hint="eastAsia" w:ascii="宋体" w:hAnsi="宋体" w:cs="宋体"/>
                <w:kern w:val="0"/>
                <w:sz w:val="18"/>
                <w:szCs w:val="18"/>
              </w:rPr>
              <w:t>机房管理</w:t>
            </w:r>
          </w:p>
        </w:tc>
        <w:tc>
          <w:tcPr>
            <w:tcW w:w="304" w:type="pct"/>
            <w:vMerge w:val="restart"/>
            <w:tcBorders>
              <w:top w:val="nil"/>
              <w:left w:val="single" w:color="auto" w:sz="4" w:space="0"/>
              <w:bottom w:val="single" w:color="000000" w:sz="4" w:space="0"/>
              <w:right w:val="single" w:color="auto" w:sz="4" w:space="0"/>
            </w:tcBorders>
            <w:vAlign w:val="center"/>
          </w:tcPr>
          <w:p w14:paraId="365B48AE">
            <w:pPr>
              <w:widowControl/>
              <w:jc w:val="center"/>
              <w:rPr>
                <w:rFonts w:ascii="宋体" w:hAnsi="宋体" w:cs="宋体"/>
                <w:kern w:val="0"/>
                <w:sz w:val="18"/>
                <w:szCs w:val="18"/>
              </w:rPr>
            </w:pPr>
            <w:r>
              <w:rPr>
                <w:rFonts w:hint="eastAsia" w:ascii="宋体" w:hAnsi="宋体" w:cs="宋体"/>
                <w:kern w:val="0"/>
                <w:sz w:val="18"/>
                <w:szCs w:val="18"/>
              </w:rPr>
              <w:t>4．5</w:t>
            </w:r>
          </w:p>
        </w:tc>
        <w:tc>
          <w:tcPr>
            <w:tcW w:w="1320" w:type="pct"/>
            <w:tcBorders>
              <w:top w:val="single" w:color="auto" w:sz="4" w:space="0"/>
              <w:left w:val="nil"/>
              <w:bottom w:val="single" w:color="auto" w:sz="4" w:space="0"/>
              <w:right w:val="single" w:color="auto" w:sz="4" w:space="0"/>
            </w:tcBorders>
            <w:vAlign w:val="center"/>
          </w:tcPr>
          <w:p w14:paraId="5CDD8DBE">
            <w:pPr>
              <w:widowControl/>
              <w:jc w:val="left"/>
              <w:rPr>
                <w:rFonts w:ascii="宋体" w:hAnsi="宋体" w:cs="宋体"/>
                <w:kern w:val="0"/>
                <w:sz w:val="18"/>
                <w:szCs w:val="18"/>
              </w:rPr>
            </w:pPr>
            <w:r>
              <w:rPr>
                <w:rFonts w:hint="eastAsia" w:ascii="宋体" w:hAnsi="宋体" w:cs="宋体"/>
                <w:kern w:val="0"/>
                <w:sz w:val="18"/>
                <w:szCs w:val="18"/>
              </w:rPr>
              <w:t>制定维保计划并实施</w:t>
            </w:r>
          </w:p>
        </w:tc>
        <w:tc>
          <w:tcPr>
            <w:tcW w:w="320" w:type="pct"/>
            <w:tcBorders>
              <w:top w:val="nil"/>
              <w:left w:val="nil"/>
              <w:bottom w:val="single" w:color="auto" w:sz="4" w:space="0"/>
              <w:right w:val="single" w:color="auto" w:sz="4" w:space="0"/>
            </w:tcBorders>
            <w:vAlign w:val="center"/>
          </w:tcPr>
          <w:p w14:paraId="7401EA17">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single" w:color="auto" w:sz="4" w:space="0"/>
              <w:left w:val="nil"/>
              <w:bottom w:val="single" w:color="auto" w:sz="4" w:space="0"/>
              <w:right w:val="single" w:color="auto" w:sz="4" w:space="0"/>
            </w:tcBorders>
            <w:vAlign w:val="center"/>
          </w:tcPr>
          <w:p w14:paraId="0193650A">
            <w:pPr>
              <w:widowControl/>
              <w:jc w:val="left"/>
              <w:rPr>
                <w:rFonts w:ascii="宋体" w:hAnsi="宋体" w:cs="宋体"/>
                <w:kern w:val="0"/>
                <w:sz w:val="18"/>
                <w:szCs w:val="18"/>
              </w:rPr>
            </w:pPr>
            <w:r>
              <w:rPr>
                <w:rFonts w:hint="eastAsia" w:ascii="宋体" w:hAnsi="宋体" w:cs="宋体"/>
                <w:kern w:val="0"/>
                <w:sz w:val="18"/>
                <w:szCs w:val="18"/>
              </w:rPr>
              <w:t>未制定维保计划的扣1分</w:t>
            </w:r>
          </w:p>
        </w:tc>
        <w:tc>
          <w:tcPr>
            <w:tcW w:w="327" w:type="pct"/>
            <w:vMerge w:val="restart"/>
            <w:tcBorders>
              <w:top w:val="nil"/>
              <w:left w:val="single" w:color="auto" w:sz="4" w:space="0"/>
              <w:bottom w:val="single" w:color="000000" w:sz="4" w:space="0"/>
              <w:right w:val="single" w:color="auto" w:sz="4" w:space="0"/>
            </w:tcBorders>
            <w:vAlign w:val="center"/>
          </w:tcPr>
          <w:p w14:paraId="4C77DA3C">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60A3C74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150A995">
            <w:pPr>
              <w:widowControl/>
              <w:jc w:val="left"/>
              <w:rPr>
                <w:rFonts w:ascii="宋体" w:hAnsi="宋体" w:cs="宋体"/>
                <w:kern w:val="0"/>
                <w:sz w:val="18"/>
                <w:szCs w:val="18"/>
              </w:rPr>
            </w:pPr>
            <w:r>
              <w:rPr>
                <w:rFonts w:hint="eastAsia" w:ascii="宋体" w:hAnsi="宋体" w:cs="宋体"/>
                <w:kern w:val="0"/>
                <w:sz w:val="18"/>
                <w:szCs w:val="18"/>
              </w:rPr>
              <w:t>　</w:t>
            </w:r>
          </w:p>
        </w:tc>
      </w:tr>
      <w:tr w14:paraId="622CF973">
        <w:tblPrEx>
          <w:tblCellMar>
            <w:top w:w="0" w:type="dxa"/>
            <w:left w:w="108" w:type="dxa"/>
            <w:bottom w:w="0" w:type="dxa"/>
            <w:right w:w="108" w:type="dxa"/>
          </w:tblCellMar>
        </w:tblPrEx>
        <w:trPr>
          <w:trHeight w:val="269" w:hRule="atLeast"/>
        </w:trPr>
        <w:tc>
          <w:tcPr>
            <w:tcW w:w="249" w:type="pct"/>
            <w:vMerge w:val="continue"/>
            <w:tcBorders>
              <w:top w:val="nil"/>
              <w:left w:val="single" w:color="auto" w:sz="4" w:space="0"/>
              <w:bottom w:val="single" w:color="000000" w:sz="4" w:space="0"/>
              <w:right w:val="single" w:color="auto" w:sz="4" w:space="0"/>
            </w:tcBorders>
            <w:vAlign w:val="center"/>
          </w:tcPr>
          <w:p w14:paraId="487C916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6F255AD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88A1B65">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1FA957E">
            <w:pPr>
              <w:widowControl/>
              <w:jc w:val="left"/>
              <w:rPr>
                <w:rFonts w:ascii="宋体" w:hAnsi="宋体" w:cs="宋体"/>
                <w:kern w:val="0"/>
                <w:sz w:val="18"/>
                <w:szCs w:val="18"/>
              </w:rPr>
            </w:pPr>
            <w:r>
              <w:rPr>
                <w:rFonts w:hint="eastAsia" w:ascii="宋体" w:hAnsi="宋体" w:cs="宋体"/>
                <w:kern w:val="0"/>
                <w:sz w:val="18"/>
                <w:szCs w:val="18"/>
              </w:rPr>
              <w:t>运行、维保记录齐全</w:t>
            </w:r>
          </w:p>
        </w:tc>
        <w:tc>
          <w:tcPr>
            <w:tcW w:w="320" w:type="pct"/>
            <w:tcBorders>
              <w:top w:val="nil"/>
              <w:left w:val="nil"/>
              <w:bottom w:val="single" w:color="auto" w:sz="4" w:space="0"/>
              <w:right w:val="single" w:color="auto" w:sz="4" w:space="0"/>
            </w:tcBorders>
            <w:vAlign w:val="center"/>
          </w:tcPr>
          <w:p w14:paraId="666CAAB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0129077">
            <w:pPr>
              <w:widowControl/>
              <w:jc w:val="left"/>
              <w:rPr>
                <w:rFonts w:ascii="宋体" w:hAnsi="宋体" w:cs="宋体"/>
                <w:kern w:val="0"/>
                <w:sz w:val="18"/>
                <w:szCs w:val="18"/>
              </w:rPr>
            </w:pPr>
            <w:r>
              <w:rPr>
                <w:rFonts w:hint="eastAsia" w:ascii="宋体" w:hAnsi="宋体" w:cs="宋体"/>
                <w:kern w:val="0"/>
                <w:sz w:val="18"/>
                <w:szCs w:val="18"/>
              </w:rPr>
              <w:t>运行、维保记录不齐扣0.5分</w:t>
            </w:r>
          </w:p>
        </w:tc>
        <w:tc>
          <w:tcPr>
            <w:tcW w:w="327" w:type="pct"/>
            <w:vMerge w:val="continue"/>
            <w:tcBorders>
              <w:top w:val="nil"/>
              <w:left w:val="single" w:color="auto" w:sz="4" w:space="0"/>
              <w:bottom w:val="single" w:color="000000" w:sz="4" w:space="0"/>
              <w:right w:val="single" w:color="auto" w:sz="4" w:space="0"/>
            </w:tcBorders>
            <w:vAlign w:val="center"/>
          </w:tcPr>
          <w:p w14:paraId="48422BE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EB12EA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B2C1FB3">
            <w:pPr>
              <w:widowControl/>
              <w:jc w:val="left"/>
              <w:rPr>
                <w:rFonts w:ascii="宋体" w:hAnsi="宋体" w:cs="宋体"/>
                <w:kern w:val="0"/>
                <w:sz w:val="18"/>
                <w:szCs w:val="18"/>
              </w:rPr>
            </w:pPr>
            <w:r>
              <w:rPr>
                <w:rFonts w:hint="eastAsia" w:ascii="宋体" w:hAnsi="宋体" w:cs="宋体"/>
                <w:kern w:val="0"/>
                <w:sz w:val="18"/>
                <w:szCs w:val="18"/>
              </w:rPr>
              <w:t>　</w:t>
            </w:r>
          </w:p>
        </w:tc>
      </w:tr>
      <w:tr w14:paraId="02B08D80">
        <w:tblPrEx>
          <w:tblCellMar>
            <w:top w:w="0" w:type="dxa"/>
            <w:left w:w="108" w:type="dxa"/>
            <w:bottom w:w="0" w:type="dxa"/>
            <w:right w:w="108" w:type="dxa"/>
          </w:tblCellMar>
        </w:tblPrEx>
        <w:trPr>
          <w:trHeight w:val="881" w:hRule="atLeast"/>
        </w:trPr>
        <w:tc>
          <w:tcPr>
            <w:tcW w:w="249" w:type="pct"/>
            <w:vMerge w:val="continue"/>
            <w:tcBorders>
              <w:top w:val="nil"/>
              <w:left w:val="single" w:color="auto" w:sz="4" w:space="0"/>
              <w:bottom w:val="single" w:color="000000" w:sz="4" w:space="0"/>
              <w:right w:val="single" w:color="auto" w:sz="4" w:space="0"/>
            </w:tcBorders>
            <w:vAlign w:val="center"/>
          </w:tcPr>
          <w:p w14:paraId="11966502">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DDCFB5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6961F35">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ACBC593">
            <w:pPr>
              <w:widowControl/>
              <w:jc w:val="left"/>
              <w:rPr>
                <w:rFonts w:ascii="宋体" w:hAnsi="宋体" w:cs="宋体"/>
                <w:kern w:val="0"/>
                <w:sz w:val="18"/>
                <w:szCs w:val="18"/>
              </w:rPr>
            </w:pPr>
            <w:r>
              <w:rPr>
                <w:rFonts w:hint="eastAsia" w:ascii="宋体" w:hAnsi="宋体" w:cs="宋体"/>
                <w:kern w:val="0"/>
                <w:sz w:val="18"/>
                <w:szCs w:val="18"/>
              </w:rPr>
              <w:t>规章制度齐全并认真执行，岗位责任制、冷冻工操作规程、故障处理制度、交接班制度、定期巡检制度等，并设置在操作控制室或机房内</w:t>
            </w:r>
          </w:p>
        </w:tc>
        <w:tc>
          <w:tcPr>
            <w:tcW w:w="320" w:type="pct"/>
            <w:tcBorders>
              <w:top w:val="nil"/>
              <w:left w:val="nil"/>
              <w:bottom w:val="single" w:color="auto" w:sz="4" w:space="0"/>
              <w:right w:val="single" w:color="auto" w:sz="4" w:space="0"/>
            </w:tcBorders>
            <w:vAlign w:val="center"/>
          </w:tcPr>
          <w:p w14:paraId="0130EF5F">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1677AFF1">
            <w:pPr>
              <w:widowControl/>
              <w:jc w:val="left"/>
              <w:rPr>
                <w:rFonts w:ascii="宋体" w:hAnsi="宋体" w:cs="宋体"/>
                <w:kern w:val="0"/>
                <w:sz w:val="18"/>
                <w:szCs w:val="18"/>
              </w:rPr>
            </w:pPr>
            <w:r>
              <w:rPr>
                <w:rFonts w:hint="eastAsia" w:ascii="宋体" w:hAnsi="宋体" w:cs="宋体"/>
                <w:kern w:val="0"/>
                <w:sz w:val="18"/>
                <w:szCs w:val="18"/>
              </w:rPr>
              <w:t>每缺一项扣0．2分</w:t>
            </w:r>
          </w:p>
        </w:tc>
        <w:tc>
          <w:tcPr>
            <w:tcW w:w="327" w:type="pct"/>
            <w:vMerge w:val="continue"/>
            <w:tcBorders>
              <w:top w:val="nil"/>
              <w:left w:val="single" w:color="auto" w:sz="4" w:space="0"/>
              <w:bottom w:val="single" w:color="000000" w:sz="4" w:space="0"/>
              <w:right w:val="single" w:color="auto" w:sz="4" w:space="0"/>
            </w:tcBorders>
            <w:vAlign w:val="center"/>
          </w:tcPr>
          <w:p w14:paraId="086197F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A88A9F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57B6F24">
            <w:pPr>
              <w:widowControl/>
              <w:jc w:val="left"/>
              <w:rPr>
                <w:rFonts w:ascii="宋体" w:hAnsi="宋体" w:cs="宋体"/>
                <w:kern w:val="0"/>
                <w:sz w:val="18"/>
                <w:szCs w:val="18"/>
              </w:rPr>
            </w:pPr>
            <w:r>
              <w:rPr>
                <w:rFonts w:hint="eastAsia" w:ascii="宋体" w:hAnsi="宋体" w:cs="宋体"/>
                <w:kern w:val="0"/>
                <w:sz w:val="18"/>
                <w:szCs w:val="18"/>
              </w:rPr>
              <w:t>　</w:t>
            </w:r>
          </w:p>
        </w:tc>
      </w:tr>
      <w:tr w14:paraId="7B006C57">
        <w:tblPrEx>
          <w:tblCellMar>
            <w:top w:w="0" w:type="dxa"/>
            <w:left w:w="108" w:type="dxa"/>
            <w:bottom w:w="0" w:type="dxa"/>
            <w:right w:w="108" w:type="dxa"/>
          </w:tblCellMar>
        </w:tblPrEx>
        <w:trPr>
          <w:trHeight w:val="257" w:hRule="atLeast"/>
        </w:trPr>
        <w:tc>
          <w:tcPr>
            <w:tcW w:w="249" w:type="pct"/>
            <w:vMerge w:val="continue"/>
            <w:tcBorders>
              <w:top w:val="nil"/>
              <w:left w:val="single" w:color="auto" w:sz="4" w:space="0"/>
              <w:bottom w:val="single" w:color="000000" w:sz="4" w:space="0"/>
              <w:right w:val="single" w:color="auto" w:sz="4" w:space="0"/>
            </w:tcBorders>
            <w:vAlign w:val="center"/>
          </w:tcPr>
          <w:p w14:paraId="2A9B3E3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53F69D7">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7C6794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5C5AF32">
            <w:pPr>
              <w:widowControl/>
              <w:jc w:val="left"/>
              <w:rPr>
                <w:rFonts w:ascii="宋体" w:hAnsi="宋体" w:cs="宋体"/>
                <w:kern w:val="0"/>
                <w:sz w:val="18"/>
                <w:szCs w:val="18"/>
              </w:rPr>
            </w:pPr>
            <w:r>
              <w:rPr>
                <w:rFonts w:hint="eastAsia" w:ascii="宋体" w:hAnsi="宋体" w:cs="宋体"/>
                <w:kern w:val="0"/>
                <w:sz w:val="18"/>
                <w:szCs w:val="18"/>
              </w:rPr>
              <w:t>各种阀门设备标识清楚</w:t>
            </w:r>
          </w:p>
        </w:tc>
        <w:tc>
          <w:tcPr>
            <w:tcW w:w="320" w:type="pct"/>
            <w:tcBorders>
              <w:top w:val="nil"/>
              <w:left w:val="nil"/>
              <w:bottom w:val="single" w:color="auto" w:sz="4" w:space="0"/>
              <w:right w:val="single" w:color="auto" w:sz="4" w:space="0"/>
            </w:tcBorders>
            <w:vAlign w:val="center"/>
          </w:tcPr>
          <w:p w14:paraId="06487FE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2940AB8">
            <w:pPr>
              <w:widowControl/>
              <w:jc w:val="left"/>
              <w:rPr>
                <w:rFonts w:ascii="宋体" w:hAnsi="宋体" w:cs="宋体"/>
                <w:kern w:val="0"/>
                <w:sz w:val="18"/>
                <w:szCs w:val="18"/>
              </w:rPr>
            </w:pPr>
            <w:r>
              <w:rPr>
                <w:rFonts w:hint="eastAsia" w:ascii="宋体" w:hAnsi="宋体" w:cs="宋体"/>
                <w:kern w:val="0"/>
                <w:sz w:val="18"/>
                <w:szCs w:val="18"/>
              </w:rPr>
              <w:t>各种阀门设备标识不清楚扣0.5分</w:t>
            </w:r>
          </w:p>
        </w:tc>
        <w:tc>
          <w:tcPr>
            <w:tcW w:w="327" w:type="pct"/>
            <w:vMerge w:val="continue"/>
            <w:tcBorders>
              <w:top w:val="nil"/>
              <w:left w:val="single" w:color="auto" w:sz="4" w:space="0"/>
              <w:bottom w:val="single" w:color="000000" w:sz="4" w:space="0"/>
              <w:right w:val="single" w:color="auto" w:sz="4" w:space="0"/>
            </w:tcBorders>
            <w:vAlign w:val="center"/>
          </w:tcPr>
          <w:p w14:paraId="243A41B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EB1691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E642294">
            <w:pPr>
              <w:widowControl/>
              <w:jc w:val="left"/>
              <w:rPr>
                <w:rFonts w:ascii="宋体" w:hAnsi="宋体" w:cs="宋体"/>
                <w:kern w:val="0"/>
                <w:sz w:val="18"/>
                <w:szCs w:val="18"/>
              </w:rPr>
            </w:pPr>
            <w:r>
              <w:rPr>
                <w:rFonts w:hint="eastAsia" w:ascii="宋体" w:hAnsi="宋体" w:cs="宋体"/>
                <w:kern w:val="0"/>
                <w:sz w:val="18"/>
                <w:szCs w:val="18"/>
              </w:rPr>
              <w:t>　</w:t>
            </w:r>
          </w:p>
        </w:tc>
      </w:tr>
      <w:tr w14:paraId="0F5DAFE7">
        <w:tblPrEx>
          <w:tblCellMar>
            <w:top w:w="0" w:type="dxa"/>
            <w:left w:w="108" w:type="dxa"/>
            <w:bottom w:w="0" w:type="dxa"/>
            <w:right w:w="108" w:type="dxa"/>
          </w:tblCellMar>
        </w:tblPrEx>
        <w:trPr>
          <w:trHeight w:val="233" w:hRule="atLeast"/>
        </w:trPr>
        <w:tc>
          <w:tcPr>
            <w:tcW w:w="249" w:type="pct"/>
            <w:vMerge w:val="continue"/>
            <w:tcBorders>
              <w:top w:val="nil"/>
              <w:left w:val="single" w:color="auto" w:sz="4" w:space="0"/>
              <w:bottom w:val="single" w:color="000000" w:sz="4" w:space="0"/>
              <w:right w:val="single" w:color="auto" w:sz="4" w:space="0"/>
            </w:tcBorders>
            <w:vAlign w:val="center"/>
          </w:tcPr>
          <w:p w14:paraId="3A61AE4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A30EC7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01FDB19">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9CA53B0">
            <w:pPr>
              <w:widowControl/>
              <w:jc w:val="left"/>
              <w:rPr>
                <w:rFonts w:ascii="宋体" w:hAnsi="宋体" w:cs="宋体"/>
                <w:kern w:val="0"/>
                <w:sz w:val="18"/>
                <w:szCs w:val="18"/>
              </w:rPr>
            </w:pPr>
            <w:r>
              <w:rPr>
                <w:rFonts w:hint="eastAsia" w:ascii="宋体" w:hAnsi="宋体" w:cs="宋体"/>
                <w:kern w:val="0"/>
                <w:sz w:val="18"/>
                <w:szCs w:val="18"/>
              </w:rPr>
              <w:t>设备运行良好</w:t>
            </w:r>
          </w:p>
        </w:tc>
        <w:tc>
          <w:tcPr>
            <w:tcW w:w="320" w:type="pct"/>
            <w:tcBorders>
              <w:top w:val="nil"/>
              <w:left w:val="nil"/>
              <w:bottom w:val="single" w:color="auto" w:sz="4" w:space="0"/>
              <w:right w:val="single" w:color="auto" w:sz="4" w:space="0"/>
            </w:tcBorders>
            <w:vAlign w:val="center"/>
          </w:tcPr>
          <w:p w14:paraId="3D66699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3F13358E">
            <w:pPr>
              <w:widowControl/>
              <w:jc w:val="left"/>
              <w:rPr>
                <w:rFonts w:ascii="宋体" w:hAnsi="宋体" w:cs="宋体"/>
                <w:kern w:val="0"/>
                <w:sz w:val="18"/>
                <w:szCs w:val="18"/>
              </w:rPr>
            </w:pPr>
            <w:r>
              <w:rPr>
                <w:rFonts w:hint="eastAsia" w:ascii="宋体" w:hAnsi="宋体" w:cs="宋体"/>
                <w:kern w:val="0"/>
                <w:sz w:val="18"/>
                <w:szCs w:val="18"/>
              </w:rPr>
              <w:t>有异常的扣0．5分</w:t>
            </w:r>
          </w:p>
        </w:tc>
        <w:tc>
          <w:tcPr>
            <w:tcW w:w="327" w:type="pct"/>
            <w:vMerge w:val="continue"/>
            <w:tcBorders>
              <w:top w:val="nil"/>
              <w:left w:val="single" w:color="auto" w:sz="4" w:space="0"/>
              <w:bottom w:val="single" w:color="000000" w:sz="4" w:space="0"/>
              <w:right w:val="single" w:color="auto" w:sz="4" w:space="0"/>
            </w:tcBorders>
            <w:vAlign w:val="center"/>
          </w:tcPr>
          <w:p w14:paraId="6FAB77E4">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6A96E53">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90CC2A9">
            <w:pPr>
              <w:widowControl/>
              <w:jc w:val="left"/>
              <w:rPr>
                <w:rFonts w:ascii="宋体" w:hAnsi="宋体" w:cs="宋体"/>
                <w:kern w:val="0"/>
                <w:sz w:val="18"/>
                <w:szCs w:val="18"/>
              </w:rPr>
            </w:pPr>
            <w:r>
              <w:rPr>
                <w:rFonts w:hint="eastAsia" w:ascii="宋体" w:hAnsi="宋体" w:cs="宋体"/>
                <w:kern w:val="0"/>
                <w:sz w:val="18"/>
                <w:szCs w:val="18"/>
              </w:rPr>
              <w:t>　</w:t>
            </w:r>
          </w:p>
        </w:tc>
      </w:tr>
      <w:tr w14:paraId="77B3C209">
        <w:tblPrEx>
          <w:tblCellMar>
            <w:top w:w="0" w:type="dxa"/>
            <w:left w:w="108" w:type="dxa"/>
            <w:bottom w:w="0" w:type="dxa"/>
            <w:right w:w="108" w:type="dxa"/>
          </w:tblCellMar>
        </w:tblPrEx>
        <w:trPr>
          <w:trHeight w:val="392" w:hRule="atLeast"/>
        </w:trPr>
        <w:tc>
          <w:tcPr>
            <w:tcW w:w="249" w:type="pct"/>
            <w:vMerge w:val="continue"/>
            <w:tcBorders>
              <w:top w:val="nil"/>
              <w:left w:val="single" w:color="auto" w:sz="4" w:space="0"/>
              <w:bottom w:val="single" w:color="000000" w:sz="4" w:space="0"/>
              <w:right w:val="single" w:color="auto" w:sz="4" w:space="0"/>
            </w:tcBorders>
            <w:vAlign w:val="center"/>
          </w:tcPr>
          <w:p w14:paraId="571FA09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2DDCDD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558D80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4110BFA">
            <w:pPr>
              <w:widowControl/>
              <w:jc w:val="left"/>
              <w:rPr>
                <w:rFonts w:ascii="宋体" w:hAnsi="宋体" w:cs="宋体"/>
                <w:kern w:val="0"/>
                <w:sz w:val="18"/>
                <w:szCs w:val="18"/>
              </w:rPr>
            </w:pPr>
            <w:r>
              <w:rPr>
                <w:rFonts w:hint="eastAsia" w:ascii="宋体" w:hAnsi="宋体" w:cs="宋体"/>
                <w:kern w:val="0"/>
                <w:sz w:val="18"/>
                <w:szCs w:val="18"/>
              </w:rPr>
              <w:t>各种压力、信号指示灯正常</w:t>
            </w:r>
          </w:p>
        </w:tc>
        <w:tc>
          <w:tcPr>
            <w:tcW w:w="320" w:type="pct"/>
            <w:tcBorders>
              <w:top w:val="nil"/>
              <w:left w:val="nil"/>
              <w:bottom w:val="single" w:color="auto" w:sz="4" w:space="0"/>
              <w:right w:val="single" w:color="auto" w:sz="4" w:space="0"/>
            </w:tcBorders>
            <w:vAlign w:val="center"/>
          </w:tcPr>
          <w:p w14:paraId="49447F88">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015A2558">
            <w:pPr>
              <w:widowControl/>
              <w:jc w:val="left"/>
              <w:rPr>
                <w:rFonts w:ascii="宋体" w:hAnsi="宋体" w:cs="宋体"/>
                <w:kern w:val="0"/>
                <w:sz w:val="18"/>
                <w:szCs w:val="18"/>
              </w:rPr>
            </w:pPr>
            <w:r>
              <w:rPr>
                <w:rFonts w:hint="eastAsia" w:ascii="宋体" w:hAnsi="宋体" w:cs="宋体"/>
                <w:kern w:val="0"/>
                <w:sz w:val="18"/>
                <w:szCs w:val="18"/>
              </w:rPr>
              <w:t>各种压力不正常、信号指示灯有损坏的每项扣0.2分</w:t>
            </w:r>
          </w:p>
        </w:tc>
        <w:tc>
          <w:tcPr>
            <w:tcW w:w="327" w:type="pct"/>
            <w:vMerge w:val="continue"/>
            <w:tcBorders>
              <w:top w:val="nil"/>
              <w:left w:val="single" w:color="auto" w:sz="4" w:space="0"/>
              <w:bottom w:val="single" w:color="000000" w:sz="4" w:space="0"/>
              <w:right w:val="single" w:color="auto" w:sz="4" w:space="0"/>
            </w:tcBorders>
            <w:vAlign w:val="center"/>
          </w:tcPr>
          <w:p w14:paraId="7EBA732F">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BF8DC8F">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DB4E39B">
            <w:pPr>
              <w:widowControl/>
              <w:jc w:val="left"/>
              <w:rPr>
                <w:rFonts w:ascii="宋体" w:hAnsi="宋体" w:cs="宋体"/>
                <w:kern w:val="0"/>
                <w:sz w:val="18"/>
                <w:szCs w:val="18"/>
              </w:rPr>
            </w:pPr>
            <w:r>
              <w:rPr>
                <w:rFonts w:hint="eastAsia" w:ascii="宋体" w:hAnsi="宋体" w:cs="宋体"/>
                <w:kern w:val="0"/>
                <w:sz w:val="18"/>
                <w:szCs w:val="18"/>
              </w:rPr>
              <w:t>　</w:t>
            </w:r>
          </w:p>
        </w:tc>
      </w:tr>
      <w:tr w14:paraId="151DFBC5">
        <w:tblPrEx>
          <w:tblCellMar>
            <w:top w:w="0" w:type="dxa"/>
            <w:left w:w="108" w:type="dxa"/>
            <w:bottom w:w="0" w:type="dxa"/>
            <w:right w:w="108" w:type="dxa"/>
          </w:tblCellMar>
        </w:tblPrEx>
        <w:trPr>
          <w:trHeight w:val="217" w:hRule="atLeast"/>
        </w:trPr>
        <w:tc>
          <w:tcPr>
            <w:tcW w:w="249" w:type="pct"/>
            <w:vMerge w:val="continue"/>
            <w:tcBorders>
              <w:top w:val="nil"/>
              <w:left w:val="single" w:color="auto" w:sz="4" w:space="0"/>
              <w:bottom w:val="single" w:color="000000" w:sz="4" w:space="0"/>
              <w:right w:val="single" w:color="auto" w:sz="4" w:space="0"/>
            </w:tcBorders>
            <w:vAlign w:val="center"/>
          </w:tcPr>
          <w:p w14:paraId="734439EA">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D99068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EDEF99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EFCA8EB">
            <w:pPr>
              <w:widowControl/>
              <w:jc w:val="left"/>
              <w:rPr>
                <w:rFonts w:ascii="宋体" w:hAnsi="宋体" w:cs="宋体"/>
                <w:kern w:val="0"/>
                <w:sz w:val="18"/>
                <w:szCs w:val="18"/>
              </w:rPr>
            </w:pPr>
            <w:r>
              <w:rPr>
                <w:rFonts w:hint="eastAsia" w:ascii="宋体" w:hAnsi="宋体" w:cs="宋体"/>
                <w:kern w:val="0"/>
                <w:sz w:val="18"/>
                <w:szCs w:val="18"/>
              </w:rPr>
              <w:t>室内环境整洁</w:t>
            </w:r>
          </w:p>
        </w:tc>
        <w:tc>
          <w:tcPr>
            <w:tcW w:w="320" w:type="pct"/>
            <w:tcBorders>
              <w:top w:val="nil"/>
              <w:left w:val="nil"/>
              <w:bottom w:val="single" w:color="auto" w:sz="4" w:space="0"/>
              <w:right w:val="single" w:color="auto" w:sz="4" w:space="0"/>
            </w:tcBorders>
            <w:vAlign w:val="center"/>
          </w:tcPr>
          <w:p w14:paraId="2CE6B54C">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58C61D7">
            <w:pPr>
              <w:widowControl/>
              <w:jc w:val="left"/>
              <w:rPr>
                <w:rFonts w:ascii="宋体" w:hAnsi="宋体" w:cs="宋体"/>
                <w:kern w:val="0"/>
                <w:sz w:val="18"/>
                <w:szCs w:val="18"/>
              </w:rPr>
            </w:pPr>
            <w:r>
              <w:rPr>
                <w:rFonts w:hint="eastAsia" w:ascii="宋体" w:hAnsi="宋体" w:cs="宋体"/>
                <w:kern w:val="0"/>
                <w:sz w:val="18"/>
                <w:szCs w:val="18"/>
              </w:rPr>
              <w:t>室内环境卫生差的扣0.5分</w:t>
            </w:r>
          </w:p>
        </w:tc>
        <w:tc>
          <w:tcPr>
            <w:tcW w:w="327" w:type="pct"/>
            <w:vMerge w:val="continue"/>
            <w:tcBorders>
              <w:top w:val="nil"/>
              <w:left w:val="single" w:color="auto" w:sz="4" w:space="0"/>
              <w:bottom w:val="single" w:color="000000" w:sz="4" w:space="0"/>
              <w:right w:val="single" w:color="auto" w:sz="4" w:space="0"/>
            </w:tcBorders>
            <w:vAlign w:val="center"/>
          </w:tcPr>
          <w:p w14:paraId="16ABDE2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2DAAC6E">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D038AD8">
            <w:pPr>
              <w:widowControl/>
              <w:jc w:val="left"/>
              <w:rPr>
                <w:rFonts w:ascii="宋体" w:hAnsi="宋体" w:cs="宋体"/>
                <w:kern w:val="0"/>
                <w:sz w:val="18"/>
                <w:szCs w:val="18"/>
              </w:rPr>
            </w:pPr>
            <w:r>
              <w:rPr>
                <w:rFonts w:hint="eastAsia" w:ascii="宋体" w:hAnsi="宋体" w:cs="宋体"/>
                <w:kern w:val="0"/>
                <w:sz w:val="18"/>
                <w:szCs w:val="18"/>
              </w:rPr>
              <w:t>　</w:t>
            </w:r>
          </w:p>
        </w:tc>
      </w:tr>
      <w:tr w14:paraId="442A8B57">
        <w:tblPrEx>
          <w:tblCellMar>
            <w:top w:w="0" w:type="dxa"/>
            <w:left w:w="108" w:type="dxa"/>
            <w:bottom w:w="0" w:type="dxa"/>
            <w:right w:w="108" w:type="dxa"/>
          </w:tblCellMar>
        </w:tblPrEx>
        <w:trPr>
          <w:trHeight w:val="363" w:hRule="atLeast"/>
        </w:trPr>
        <w:tc>
          <w:tcPr>
            <w:tcW w:w="249" w:type="pct"/>
            <w:vMerge w:val="restart"/>
            <w:tcBorders>
              <w:top w:val="nil"/>
              <w:left w:val="single" w:color="auto" w:sz="4" w:space="0"/>
              <w:bottom w:val="single" w:color="000000" w:sz="4" w:space="0"/>
              <w:right w:val="single" w:color="auto" w:sz="4" w:space="0"/>
            </w:tcBorders>
            <w:vAlign w:val="center"/>
          </w:tcPr>
          <w:p w14:paraId="229E4B69">
            <w:pPr>
              <w:widowControl/>
              <w:jc w:val="center"/>
              <w:rPr>
                <w:rFonts w:ascii="宋体" w:hAnsi="宋体" w:cs="宋体"/>
                <w:kern w:val="0"/>
                <w:sz w:val="18"/>
                <w:szCs w:val="18"/>
              </w:rPr>
            </w:pPr>
            <w:r>
              <w:rPr>
                <w:rFonts w:hint="eastAsia" w:ascii="宋体" w:hAnsi="宋体" w:cs="宋体"/>
                <w:kern w:val="0"/>
                <w:sz w:val="18"/>
                <w:szCs w:val="18"/>
              </w:rPr>
              <w:t>九</w:t>
            </w:r>
          </w:p>
        </w:tc>
        <w:tc>
          <w:tcPr>
            <w:tcW w:w="242" w:type="pct"/>
            <w:vMerge w:val="restart"/>
            <w:tcBorders>
              <w:top w:val="nil"/>
              <w:left w:val="single" w:color="auto" w:sz="4" w:space="0"/>
              <w:bottom w:val="single" w:color="000000" w:sz="4" w:space="0"/>
              <w:right w:val="single" w:color="auto" w:sz="4" w:space="0"/>
            </w:tcBorders>
            <w:vAlign w:val="center"/>
          </w:tcPr>
          <w:p w14:paraId="53F5B28A">
            <w:pPr>
              <w:widowControl/>
              <w:jc w:val="center"/>
              <w:rPr>
                <w:rFonts w:ascii="宋体" w:hAnsi="宋体" w:cs="宋体"/>
                <w:kern w:val="0"/>
                <w:sz w:val="18"/>
                <w:szCs w:val="18"/>
              </w:rPr>
            </w:pPr>
            <w:r>
              <w:rPr>
                <w:rFonts w:hint="eastAsia" w:ascii="宋体" w:hAnsi="宋体" w:cs="宋体"/>
                <w:kern w:val="0"/>
                <w:sz w:val="18"/>
                <w:szCs w:val="18"/>
              </w:rPr>
              <w:t>电梯</w:t>
            </w:r>
          </w:p>
          <w:p w14:paraId="523E46AE">
            <w:pPr>
              <w:widowControl/>
              <w:jc w:val="center"/>
              <w:rPr>
                <w:rFonts w:ascii="宋体" w:hAnsi="宋体" w:cs="宋体"/>
                <w:kern w:val="0"/>
                <w:sz w:val="18"/>
                <w:szCs w:val="18"/>
              </w:rPr>
            </w:pPr>
            <w:r>
              <w:rPr>
                <w:rFonts w:hint="eastAsia" w:ascii="宋体" w:hAnsi="宋体" w:cs="宋体"/>
                <w:kern w:val="0"/>
                <w:sz w:val="18"/>
                <w:szCs w:val="18"/>
              </w:rPr>
              <w:t>管理</w:t>
            </w:r>
          </w:p>
        </w:tc>
        <w:tc>
          <w:tcPr>
            <w:tcW w:w="304" w:type="pct"/>
            <w:vMerge w:val="restart"/>
            <w:tcBorders>
              <w:top w:val="nil"/>
              <w:left w:val="single" w:color="auto" w:sz="4" w:space="0"/>
              <w:bottom w:val="single" w:color="000000" w:sz="4" w:space="0"/>
              <w:right w:val="single" w:color="auto" w:sz="4" w:space="0"/>
            </w:tcBorders>
            <w:vAlign w:val="center"/>
          </w:tcPr>
          <w:p w14:paraId="54089144">
            <w:pPr>
              <w:widowControl/>
              <w:jc w:val="center"/>
              <w:rPr>
                <w:rFonts w:ascii="宋体" w:hAnsi="宋体" w:cs="宋体"/>
                <w:kern w:val="0"/>
                <w:sz w:val="18"/>
                <w:szCs w:val="18"/>
              </w:rPr>
            </w:pPr>
            <w:r>
              <w:rPr>
                <w:rFonts w:hint="eastAsia" w:ascii="宋体" w:hAnsi="宋体" w:cs="宋体"/>
                <w:kern w:val="0"/>
                <w:sz w:val="18"/>
                <w:szCs w:val="18"/>
              </w:rPr>
              <w:t>8</w:t>
            </w:r>
          </w:p>
        </w:tc>
        <w:tc>
          <w:tcPr>
            <w:tcW w:w="1320" w:type="pct"/>
            <w:tcBorders>
              <w:top w:val="nil"/>
              <w:left w:val="nil"/>
              <w:bottom w:val="single" w:color="auto" w:sz="4" w:space="0"/>
              <w:right w:val="single" w:color="auto" w:sz="4" w:space="0"/>
            </w:tcBorders>
            <w:vAlign w:val="center"/>
          </w:tcPr>
          <w:p w14:paraId="2EE34C6B">
            <w:pPr>
              <w:widowControl/>
              <w:jc w:val="left"/>
              <w:rPr>
                <w:rFonts w:ascii="宋体" w:hAnsi="宋体" w:cs="宋体"/>
                <w:kern w:val="0"/>
                <w:sz w:val="18"/>
                <w:szCs w:val="18"/>
              </w:rPr>
            </w:pPr>
            <w:r>
              <w:rPr>
                <w:rFonts w:hint="eastAsia" w:ascii="宋体" w:hAnsi="宋体" w:cs="宋体"/>
                <w:kern w:val="0"/>
                <w:sz w:val="18"/>
                <w:szCs w:val="18"/>
              </w:rPr>
              <w:t xml:space="preserve">配备2位电梯安全员，有年度、季度、月度维修保养计划，明确责任人，保证电梯运行、保养及维修记录完整； </w:t>
            </w:r>
          </w:p>
        </w:tc>
        <w:tc>
          <w:tcPr>
            <w:tcW w:w="320" w:type="pct"/>
            <w:tcBorders>
              <w:top w:val="nil"/>
              <w:left w:val="nil"/>
              <w:bottom w:val="single" w:color="auto" w:sz="4" w:space="0"/>
              <w:right w:val="single" w:color="auto" w:sz="4" w:space="0"/>
            </w:tcBorders>
            <w:vAlign w:val="center"/>
          </w:tcPr>
          <w:p w14:paraId="084204CA">
            <w:pPr>
              <w:widowControl/>
              <w:jc w:val="center"/>
              <w:rPr>
                <w:rFonts w:ascii="宋体" w:hAnsi="宋体" w:cs="宋体"/>
                <w:kern w:val="0"/>
                <w:sz w:val="18"/>
                <w:szCs w:val="18"/>
              </w:rPr>
            </w:pPr>
            <w:r>
              <w:rPr>
                <w:rFonts w:hint="eastAsia" w:ascii="宋体" w:hAnsi="宋体" w:cs="宋体"/>
                <w:kern w:val="0"/>
                <w:sz w:val="18"/>
                <w:szCs w:val="18"/>
              </w:rPr>
              <w:t>3</w:t>
            </w:r>
          </w:p>
        </w:tc>
        <w:tc>
          <w:tcPr>
            <w:tcW w:w="1375" w:type="pct"/>
            <w:tcBorders>
              <w:top w:val="nil"/>
              <w:left w:val="nil"/>
              <w:bottom w:val="single" w:color="auto" w:sz="4" w:space="0"/>
              <w:right w:val="single" w:color="auto" w:sz="4" w:space="0"/>
            </w:tcBorders>
            <w:vAlign w:val="center"/>
          </w:tcPr>
          <w:p w14:paraId="1D947FFF">
            <w:pPr>
              <w:widowControl/>
              <w:jc w:val="left"/>
              <w:rPr>
                <w:rFonts w:ascii="宋体" w:hAnsi="宋体" w:cs="宋体"/>
                <w:kern w:val="0"/>
                <w:sz w:val="18"/>
                <w:szCs w:val="18"/>
              </w:rPr>
            </w:pPr>
            <w:r>
              <w:rPr>
                <w:rFonts w:hint="eastAsia" w:ascii="宋体" w:hAnsi="宋体" w:cs="宋体"/>
                <w:kern w:val="0"/>
                <w:sz w:val="18"/>
                <w:szCs w:val="18"/>
              </w:rPr>
              <w:t>少一人扣1分，无</w:t>
            </w:r>
            <w:r>
              <w:rPr>
                <w:rFonts w:hint="eastAsia" w:ascii="宋体" w:hAnsi="宋体" w:cs="宋体"/>
                <w:kern w:val="0"/>
                <w:szCs w:val="21"/>
              </w:rPr>
              <w:t>年度、季度、月度维修保养计划，明确责任人，保证电梯运行、保养及维修记录</w:t>
            </w:r>
          </w:p>
        </w:tc>
        <w:tc>
          <w:tcPr>
            <w:tcW w:w="327" w:type="pct"/>
            <w:vMerge w:val="restart"/>
            <w:tcBorders>
              <w:top w:val="nil"/>
              <w:left w:val="single" w:color="auto" w:sz="4" w:space="0"/>
              <w:bottom w:val="single" w:color="000000" w:sz="4" w:space="0"/>
              <w:right w:val="single" w:color="auto" w:sz="4" w:space="0"/>
            </w:tcBorders>
            <w:vAlign w:val="center"/>
          </w:tcPr>
          <w:p w14:paraId="642196F9">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32DD2EED">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5FCE8E3">
            <w:pPr>
              <w:widowControl/>
              <w:jc w:val="left"/>
              <w:rPr>
                <w:rFonts w:ascii="宋体" w:hAnsi="宋体" w:cs="宋体"/>
                <w:kern w:val="0"/>
                <w:sz w:val="18"/>
                <w:szCs w:val="18"/>
              </w:rPr>
            </w:pPr>
            <w:r>
              <w:rPr>
                <w:rFonts w:hint="eastAsia" w:ascii="宋体" w:hAnsi="宋体" w:cs="宋体"/>
                <w:kern w:val="0"/>
                <w:sz w:val="18"/>
                <w:szCs w:val="18"/>
              </w:rPr>
              <w:t>　</w:t>
            </w:r>
          </w:p>
        </w:tc>
      </w:tr>
      <w:tr w14:paraId="424957B0">
        <w:tblPrEx>
          <w:tblCellMar>
            <w:top w:w="0" w:type="dxa"/>
            <w:left w:w="108" w:type="dxa"/>
            <w:bottom w:w="0" w:type="dxa"/>
            <w:right w:w="108" w:type="dxa"/>
          </w:tblCellMar>
        </w:tblPrEx>
        <w:trPr>
          <w:trHeight w:val="495" w:hRule="atLeast"/>
        </w:trPr>
        <w:tc>
          <w:tcPr>
            <w:tcW w:w="249" w:type="pct"/>
            <w:vMerge w:val="continue"/>
            <w:tcBorders>
              <w:top w:val="nil"/>
              <w:left w:val="single" w:color="auto" w:sz="4" w:space="0"/>
              <w:bottom w:val="single" w:color="000000" w:sz="4" w:space="0"/>
              <w:right w:val="single" w:color="auto" w:sz="4" w:space="0"/>
            </w:tcBorders>
            <w:vAlign w:val="center"/>
          </w:tcPr>
          <w:p w14:paraId="2B7381D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43185F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CD3B9A1">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0AF5798">
            <w:pPr>
              <w:widowControl/>
              <w:spacing w:line="280" w:lineRule="exact"/>
              <w:rPr>
                <w:rFonts w:ascii="宋体" w:hAnsi="宋体" w:cs="宋体"/>
                <w:kern w:val="0"/>
                <w:sz w:val="18"/>
                <w:szCs w:val="18"/>
              </w:rPr>
            </w:pPr>
            <w:r>
              <w:rPr>
                <w:rFonts w:hint="eastAsia" w:ascii="宋体" w:hAnsi="宋体" w:cs="宋体"/>
                <w:kern w:val="0"/>
                <w:sz w:val="18"/>
                <w:szCs w:val="18"/>
              </w:rPr>
              <w:t>建立操作规程及应急处理程序.电梯故障应急抢修及救援措施落实到位，电梯困人故障应保证在10分钟内抵达现场救援；一般故障保证在15分钟内到现场维修，且维修恢复时间不超过3小时；较大故障（需要更换配件）需在48小时内完成电梯恢复正常运行。</w:t>
            </w:r>
          </w:p>
        </w:tc>
        <w:tc>
          <w:tcPr>
            <w:tcW w:w="320" w:type="pct"/>
            <w:tcBorders>
              <w:top w:val="nil"/>
              <w:left w:val="nil"/>
              <w:bottom w:val="single" w:color="auto" w:sz="4" w:space="0"/>
              <w:right w:val="single" w:color="auto" w:sz="4" w:space="0"/>
            </w:tcBorders>
            <w:vAlign w:val="center"/>
          </w:tcPr>
          <w:p w14:paraId="7BF37C51">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2E3D36FA">
            <w:pPr>
              <w:widowControl/>
              <w:jc w:val="left"/>
              <w:rPr>
                <w:rFonts w:ascii="宋体" w:hAnsi="宋体" w:cs="宋体"/>
                <w:kern w:val="0"/>
                <w:sz w:val="18"/>
                <w:szCs w:val="18"/>
              </w:rPr>
            </w:pPr>
            <w:r>
              <w:rPr>
                <w:rFonts w:hint="eastAsia" w:ascii="宋体" w:hAnsi="宋体" w:cs="宋体"/>
                <w:kern w:val="0"/>
                <w:sz w:val="18"/>
                <w:szCs w:val="18"/>
              </w:rPr>
              <w:t>未建立操作规程及应急处理程序的扣1分</w:t>
            </w:r>
          </w:p>
        </w:tc>
        <w:tc>
          <w:tcPr>
            <w:tcW w:w="327" w:type="pct"/>
            <w:vMerge w:val="continue"/>
            <w:tcBorders>
              <w:top w:val="nil"/>
              <w:left w:val="single" w:color="auto" w:sz="4" w:space="0"/>
              <w:bottom w:val="single" w:color="000000" w:sz="4" w:space="0"/>
              <w:right w:val="single" w:color="auto" w:sz="4" w:space="0"/>
            </w:tcBorders>
            <w:vAlign w:val="center"/>
          </w:tcPr>
          <w:p w14:paraId="2428B358">
            <w:pPr>
              <w:widowControl/>
              <w:jc w:val="left"/>
              <w:rPr>
                <w:rFonts w:ascii="宋体" w:hAnsi="宋体" w:cs="宋体"/>
                <w:kern w:val="0"/>
                <w:sz w:val="18"/>
                <w:szCs w:val="18"/>
              </w:rPr>
            </w:pPr>
          </w:p>
        </w:tc>
        <w:tc>
          <w:tcPr>
            <w:tcW w:w="390" w:type="pct"/>
            <w:vMerge w:val="restart"/>
            <w:tcBorders>
              <w:top w:val="nil"/>
              <w:left w:val="nil"/>
              <w:right w:val="single" w:color="auto" w:sz="4" w:space="0"/>
            </w:tcBorders>
            <w:vAlign w:val="center"/>
          </w:tcPr>
          <w:p w14:paraId="5A52EEA4">
            <w:pPr>
              <w:widowControl/>
              <w:jc w:val="left"/>
              <w:rPr>
                <w:rFonts w:ascii="宋体" w:hAnsi="宋体" w:cs="宋体"/>
                <w:kern w:val="0"/>
                <w:sz w:val="18"/>
                <w:szCs w:val="18"/>
              </w:rPr>
            </w:pPr>
            <w:r>
              <w:rPr>
                <w:rFonts w:hint="eastAsia" w:ascii="宋体" w:hAnsi="宋体" w:cs="宋体"/>
                <w:kern w:val="0"/>
                <w:sz w:val="18"/>
                <w:szCs w:val="18"/>
              </w:rPr>
              <w:t>　</w:t>
            </w:r>
            <w:r>
              <w:rPr>
                <w:rFonts w:hint="eastAsia" w:ascii="宋体" w:hAnsi="宋体" w:cs="宋体"/>
                <w:kern w:val="0"/>
                <w:szCs w:val="21"/>
              </w:rPr>
              <w:t>　</w:t>
            </w:r>
          </w:p>
        </w:tc>
        <w:tc>
          <w:tcPr>
            <w:tcW w:w="468" w:type="pct"/>
            <w:vMerge w:val="restart"/>
            <w:tcBorders>
              <w:top w:val="nil"/>
              <w:left w:val="nil"/>
              <w:right w:val="single" w:color="auto" w:sz="4" w:space="0"/>
            </w:tcBorders>
            <w:vAlign w:val="center"/>
          </w:tcPr>
          <w:p w14:paraId="1B72D1C0">
            <w:pPr>
              <w:widowControl/>
              <w:jc w:val="left"/>
              <w:rPr>
                <w:rFonts w:ascii="宋体" w:hAnsi="宋体" w:cs="宋体"/>
                <w:kern w:val="0"/>
                <w:sz w:val="18"/>
                <w:szCs w:val="18"/>
              </w:rPr>
            </w:pPr>
            <w:r>
              <w:rPr>
                <w:rFonts w:hint="eastAsia" w:ascii="宋体" w:hAnsi="宋体" w:cs="宋体"/>
                <w:kern w:val="0"/>
                <w:sz w:val="18"/>
                <w:szCs w:val="18"/>
              </w:rPr>
              <w:t>　</w:t>
            </w:r>
          </w:p>
        </w:tc>
      </w:tr>
      <w:tr w14:paraId="6878677D">
        <w:tblPrEx>
          <w:tblCellMar>
            <w:top w:w="0" w:type="dxa"/>
            <w:left w:w="108" w:type="dxa"/>
            <w:bottom w:w="0" w:type="dxa"/>
            <w:right w:w="108" w:type="dxa"/>
          </w:tblCellMar>
        </w:tblPrEx>
        <w:trPr>
          <w:trHeight w:val="139" w:hRule="atLeast"/>
        </w:trPr>
        <w:tc>
          <w:tcPr>
            <w:tcW w:w="249" w:type="pct"/>
            <w:vMerge w:val="continue"/>
            <w:tcBorders>
              <w:top w:val="nil"/>
              <w:left w:val="single" w:color="auto" w:sz="4" w:space="0"/>
              <w:bottom w:val="single" w:color="000000" w:sz="4" w:space="0"/>
              <w:right w:val="single" w:color="auto" w:sz="4" w:space="0"/>
            </w:tcBorders>
            <w:vAlign w:val="center"/>
          </w:tcPr>
          <w:p w14:paraId="3ABEA9AA">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FC3DFAB">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49C3EE7">
            <w:pPr>
              <w:widowControl/>
              <w:jc w:val="left"/>
              <w:rPr>
                <w:rFonts w:ascii="宋体" w:hAnsi="宋体" w:cs="宋体"/>
                <w:kern w:val="0"/>
                <w:sz w:val="18"/>
                <w:szCs w:val="18"/>
              </w:rPr>
            </w:pPr>
          </w:p>
        </w:tc>
        <w:tc>
          <w:tcPr>
            <w:tcW w:w="1320" w:type="pct"/>
            <w:tcBorders>
              <w:top w:val="single" w:color="auto" w:sz="4" w:space="0"/>
              <w:left w:val="nil"/>
              <w:bottom w:val="single" w:color="auto" w:sz="4" w:space="0"/>
              <w:right w:val="single" w:color="auto" w:sz="4" w:space="0"/>
            </w:tcBorders>
            <w:vAlign w:val="center"/>
          </w:tcPr>
          <w:p w14:paraId="088CC94A">
            <w:pPr>
              <w:widowControl/>
              <w:spacing w:line="280" w:lineRule="exact"/>
              <w:rPr>
                <w:rFonts w:ascii="宋体" w:hAnsi="宋体" w:cs="宋体"/>
                <w:kern w:val="0"/>
                <w:szCs w:val="21"/>
              </w:rPr>
            </w:pPr>
            <w:r>
              <w:rPr>
                <w:rFonts w:hint="eastAsia" w:ascii="宋体" w:hAnsi="宋体" w:cs="宋体"/>
                <w:kern w:val="0"/>
                <w:sz w:val="18"/>
                <w:szCs w:val="18"/>
              </w:rPr>
              <w:t>按时对电梯进行自检和年检，保证取得电梯运行合格证，确保安全合法使用。</w:t>
            </w:r>
          </w:p>
        </w:tc>
        <w:tc>
          <w:tcPr>
            <w:tcW w:w="320" w:type="pct"/>
            <w:tcBorders>
              <w:top w:val="single" w:color="auto" w:sz="4" w:space="0"/>
              <w:left w:val="nil"/>
              <w:bottom w:val="single" w:color="auto" w:sz="4" w:space="0"/>
              <w:right w:val="single" w:color="auto" w:sz="4" w:space="0"/>
            </w:tcBorders>
            <w:vAlign w:val="center"/>
          </w:tcPr>
          <w:p w14:paraId="54257FDB">
            <w:pPr>
              <w:widowControl/>
              <w:spacing w:line="280" w:lineRule="exact"/>
              <w:rPr>
                <w:rFonts w:ascii="宋体" w:hAnsi="宋体" w:cs="宋体"/>
                <w:kern w:val="0"/>
                <w:szCs w:val="21"/>
              </w:rPr>
            </w:pPr>
            <w:r>
              <w:rPr>
                <w:rFonts w:hint="eastAsia" w:ascii="宋体" w:hAnsi="宋体" w:cs="宋体"/>
                <w:kern w:val="0"/>
                <w:szCs w:val="21"/>
              </w:rPr>
              <w:t>3</w:t>
            </w:r>
          </w:p>
        </w:tc>
        <w:tc>
          <w:tcPr>
            <w:tcW w:w="1375" w:type="pct"/>
            <w:tcBorders>
              <w:top w:val="single" w:color="auto" w:sz="4" w:space="0"/>
              <w:left w:val="nil"/>
              <w:bottom w:val="single" w:color="auto" w:sz="4" w:space="0"/>
              <w:right w:val="single" w:color="auto" w:sz="4" w:space="0"/>
            </w:tcBorders>
            <w:vAlign w:val="center"/>
          </w:tcPr>
          <w:p w14:paraId="70D0400B">
            <w:pPr>
              <w:widowControl/>
              <w:spacing w:line="280" w:lineRule="exact"/>
              <w:jc w:val="center"/>
              <w:rPr>
                <w:rFonts w:ascii="宋体" w:hAnsi="宋体" w:cs="宋体"/>
                <w:kern w:val="0"/>
                <w:szCs w:val="21"/>
              </w:rPr>
            </w:pPr>
            <w:r>
              <w:rPr>
                <w:rFonts w:hint="eastAsia" w:ascii="宋体" w:hAnsi="宋体" w:cs="宋体"/>
                <w:kern w:val="0"/>
                <w:szCs w:val="21"/>
              </w:rPr>
              <w:t>无电梯自检、年检扣3份</w:t>
            </w:r>
          </w:p>
        </w:tc>
        <w:tc>
          <w:tcPr>
            <w:tcW w:w="327" w:type="pct"/>
            <w:vMerge w:val="continue"/>
            <w:tcBorders>
              <w:top w:val="nil"/>
              <w:left w:val="single" w:color="auto" w:sz="4" w:space="0"/>
              <w:bottom w:val="single" w:color="000000" w:sz="4" w:space="0"/>
              <w:right w:val="single" w:color="auto" w:sz="4" w:space="0"/>
            </w:tcBorders>
            <w:vAlign w:val="center"/>
          </w:tcPr>
          <w:p w14:paraId="79B31828">
            <w:pPr>
              <w:widowControl/>
              <w:spacing w:line="280" w:lineRule="exact"/>
              <w:rPr>
                <w:rFonts w:ascii="宋体" w:hAnsi="宋体" w:cs="宋体"/>
                <w:kern w:val="0"/>
                <w:szCs w:val="21"/>
              </w:rPr>
            </w:pPr>
          </w:p>
        </w:tc>
        <w:tc>
          <w:tcPr>
            <w:tcW w:w="390" w:type="pct"/>
            <w:vMerge w:val="continue"/>
            <w:tcBorders>
              <w:left w:val="nil"/>
              <w:bottom w:val="single" w:color="auto" w:sz="4" w:space="0"/>
              <w:right w:val="single" w:color="auto" w:sz="4" w:space="0"/>
            </w:tcBorders>
            <w:vAlign w:val="center"/>
          </w:tcPr>
          <w:p w14:paraId="15E4C049">
            <w:pPr>
              <w:widowControl/>
              <w:spacing w:line="280" w:lineRule="exact"/>
              <w:jc w:val="center"/>
              <w:rPr>
                <w:rFonts w:ascii="宋体" w:hAnsi="宋体" w:cs="宋体"/>
                <w:kern w:val="0"/>
                <w:szCs w:val="21"/>
              </w:rPr>
            </w:pPr>
          </w:p>
        </w:tc>
        <w:tc>
          <w:tcPr>
            <w:tcW w:w="468" w:type="pct"/>
            <w:vMerge w:val="continue"/>
            <w:tcBorders>
              <w:left w:val="nil"/>
              <w:bottom w:val="single" w:color="auto" w:sz="4" w:space="0"/>
              <w:right w:val="single" w:color="auto" w:sz="4" w:space="0"/>
            </w:tcBorders>
            <w:vAlign w:val="center"/>
          </w:tcPr>
          <w:p w14:paraId="7E0DED88">
            <w:pPr>
              <w:widowControl/>
              <w:jc w:val="left"/>
              <w:rPr>
                <w:rFonts w:ascii="宋体" w:hAnsi="宋体" w:cs="宋体"/>
                <w:kern w:val="0"/>
                <w:sz w:val="18"/>
                <w:szCs w:val="18"/>
              </w:rPr>
            </w:pPr>
          </w:p>
        </w:tc>
      </w:tr>
      <w:tr w14:paraId="0608D814">
        <w:tblPrEx>
          <w:tblCellMar>
            <w:top w:w="0" w:type="dxa"/>
            <w:left w:w="108" w:type="dxa"/>
            <w:bottom w:w="0" w:type="dxa"/>
            <w:right w:w="108" w:type="dxa"/>
          </w:tblCellMar>
        </w:tblPrEx>
        <w:trPr>
          <w:trHeight w:val="135" w:hRule="atLeast"/>
        </w:trPr>
        <w:tc>
          <w:tcPr>
            <w:tcW w:w="249" w:type="pct"/>
            <w:vMerge w:val="continue"/>
            <w:tcBorders>
              <w:top w:val="nil"/>
              <w:left w:val="single" w:color="auto" w:sz="4" w:space="0"/>
              <w:bottom w:val="single" w:color="000000" w:sz="4" w:space="0"/>
              <w:right w:val="single" w:color="auto" w:sz="4" w:space="0"/>
            </w:tcBorders>
            <w:vAlign w:val="center"/>
          </w:tcPr>
          <w:p w14:paraId="4697EE3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1926DA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2E5E6D5">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08A006B">
            <w:pPr>
              <w:widowControl/>
              <w:jc w:val="left"/>
              <w:rPr>
                <w:rFonts w:ascii="宋体" w:hAnsi="宋体" w:cs="宋体"/>
                <w:kern w:val="0"/>
                <w:sz w:val="18"/>
                <w:szCs w:val="18"/>
              </w:rPr>
            </w:pPr>
            <w:r>
              <w:rPr>
                <w:rFonts w:hint="eastAsia" w:ascii="宋体" w:hAnsi="宋体" w:cs="宋体"/>
                <w:kern w:val="0"/>
                <w:sz w:val="18"/>
                <w:szCs w:val="18"/>
              </w:rPr>
              <w:t>电梯内应张贴：安全检验合格证、应急求助报修电话、电梯便用安全守则</w:t>
            </w:r>
          </w:p>
        </w:tc>
        <w:tc>
          <w:tcPr>
            <w:tcW w:w="320" w:type="pct"/>
            <w:tcBorders>
              <w:top w:val="nil"/>
              <w:left w:val="nil"/>
              <w:bottom w:val="single" w:color="auto" w:sz="4" w:space="0"/>
              <w:right w:val="single" w:color="auto" w:sz="4" w:space="0"/>
            </w:tcBorders>
            <w:vAlign w:val="center"/>
          </w:tcPr>
          <w:p w14:paraId="154A486D">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E346883">
            <w:pPr>
              <w:widowControl/>
              <w:jc w:val="left"/>
              <w:rPr>
                <w:rFonts w:ascii="宋体" w:hAnsi="宋体" w:cs="宋体"/>
                <w:kern w:val="0"/>
                <w:sz w:val="18"/>
                <w:szCs w:val="18"/>
              </w:rPr>
            </w:pPr>
            <w:r>
              <w:rPr>
                <w:rFonts w:hint="eastAsia" w:ascii="宋体" w:hAnsi="宋体" w:cs="宋体"/>
                <w:kern w:val="0"/>
                <w:sz w:val="18"/>
                <w:szCs w:val="18"/>
              </w:rPr>
              <w:t>未张贴安全检验合格证、应急求助报修电话、电梯使用安全守则的每项扣0.2分</w:t>
            </w:r>
          </w:p>
        </w:tc>
        <w:tc>
          <w:tcPr>
            <w:tcW w:w="327" w:type="pct"/>
            <w:vMerge w:val="continue"/>
            <w:tcBorders>
              <w:top w:val="nil"/>
              <w:left w:val="single" w:color="auto" w:sz="4" w:space="0"/>
              <w:bottom w:val="single" w:color="000000" w:sz="4" w:space="0"/>
              <w:right w:val="single" w:color="auto" w:sz="4" w:space="0"/>
            </w:tcBorders>
            <w:vAlign w:val="center"/>
          </w:tcPr>
          <w:p w14:paraId="527EDCC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52B429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5F8E22A">
            <w:pPr>
              <w:widowControl/>
              <w:jc w:val="left"/>
              <w:rPr>
                <w:rFonts w:ascii="宋体" w:hAnsi="宋体" w:cs="宋体"/>
                <w:kern w:val="0"/>
                <w:sz w:val="18"/>
                <w:szCs w:val="18"/>
              </w:rPr>
            </w:pPr>
            <w:r>
              <w:rPr>
                <w:rFonts w:hint="eastAsia" w:ascii="宋体" w:hAnsi="宋体" w:cs="宋体"/>
                <w:kern w:val="0"/>
                <w:sz w:val="18"/>
                <w:szCs w:val="18"/>
              </w:rPr>
              <w:t>　</w:t>
            </w:r>
          </w:p>
        </w:tc>
      </w:tr>
      <w:tr w14:paraId="17326FBE">
        <w:tblPrEx>
          <w:tblCellMar>
            <w:top w:w="0" w:type="dxa"/>
            <w:left w:w="108" w:type="dxa"/>
            <w:bottom w:w="0" w:type="dxa"/>
            <w:right w:w="108" w:type="dxa"/>
          </w:tblCellMar>
        </w:tblPrEx>
        <w:trPr>
          <w:trHeight w:val="296" w:hRule="atLeast"/>
        </w:trPr>
        <w:tc>
          <w:tcPr>
            <w:tcW w:w="249" w:type="pct"/>
            <w:vMerge w:val="continue"/>
            <w:tcBorders>
              <w:top w:val="nil"/>
              <w:left w:val="single" w:color="auto" w:sz="4" w:space="0"/>
              <w:bottom w:val="single" w:color="000000" w:sz="4" w:space="0"/>
              <w:right w:val="single" w:color="auto" w:sz="4" w:space="0"/>
            </w:tcBorders>
            <w:vAlign w:val="center"/>
          </w:tcPr>
          <w:p w14:paraId="7485E82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0488ABC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E5027E2">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96DD568">
            <w:pPr>
              <w:widowControl/>
              <w:jc w:val="left"/>
              <w:rPr>
                <w:rFonts w:ascii="宋体" w:hAnsi="宋体" w:cs="宋体"/>
                <w:kern w:val="0"/>
                <w:sz w:val="18"/>
                <w:szCs w:val="18"/>
              </w:rPr>
            </w:pPr>
            <w:r>
              <w:rPr>
                <w:rFonts w:hint="eastAsia" w:ascii="宋体" w:hAnsi="宋体" w:cs="宋体"/>
                <w:kern w:val="0"/>
                <w:sz w:val="18"/>
                <w:szCs w:val="18"/>
              </w:rPr>
              <w:t>箱体保持整洁</w:t>
            </w:r>
          </w:p>
        </w:tc>
        <w:tc>
          <w:tcPr>
            <w:tcW w:w="320" w:type="pct"/>
            <w:tcBorders>
              <w:top w:val="nil"/>
              <w:left w:val="nil"/>
              <w:bottom w:val="single" w:color="auto" w:sz="4" w:space="0"/>
              <w:right w:val="single" w:color="auto" w:sz="4" w:space="0"/>
            </w:tcBorders>
            <w:vAlign w:val="center"/>
          </w:tcPr>
          <w:p w14:paraId="16885F2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0CC05DF4">
            <w:pPr>
              <w:widowControl/>
              <w:jc w:val="left"/>
              <w:rPr>
                <w:rFonts w:ascii="宋体" w:hAnsi="宋体" w:cs="宋体"/>
                <w:kern w:val="0"/>
                <w:sz w:val="18"/>
                <w:szCs w:val="18"/>
              </w:rPr>
            </w:pPr>
            <w:r>
              <w:rPr>
                <w:rFonts w:hint="eastAsia" w:ascii="宋体" w:hAnsi="宋体" w:cs="宋体"/>
                <w:kern w:val="0"/>
                <w:sz w:val="18"/>
                <w:szCs w:val="18"/>
              </w:rPr>
              <w:t>箱体卫生差扣0.5分</w:t>
            </w:r>
          </w:p>
        </w:tc>
        <w:tc>
          <w:tcPr>
            <w:tcW w:w="327" w:type="pct"/>
            <w:vMerge w:val="continue"/>
            <w:tcBorders>
              <w:top w:val="nil"/>
              <w:left w:val="single" w:color="auto" w:sz="4" w:space="0"/>
              <w:bottom w:val="single" w:color="000000" w:sz="4" w:space="0"/>
              <w:right w:val="single" w:color="auto" w:sz="4" w:space="0"/>
            </w:tcBorders>
            <w:vAlign w:val="center"/>
          </w:tcPr>
          <w:p w14:paraId="2FB895F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7B1F4C2">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C0F383F">
            <w:pPr>
              <w:widowControl/>
              <w:jc w:val="left"/>
              <w:rPr>
                <w:rFonts w:ascii="宋体" w:hAnsi="宋体" w:cs="宋体"/>
                <w:kern w:val="0"/>
                <w:sz w:val="18"/>
                <w:szCs w:val="18"/>
              </w:rPr>
            </w:pPr>
            <w:r>
              <w:rPr>
                <w:rFonts w:hint="eastAsia" w:ascii="宋体" w:hAnsi="宋体" w:cs="宋体"/>
                <w:kern w:val="0"/>
                <w:sz w:val="18"/>
                <w:szCs w:val="18"/>
              </w:rPr>
              <w:t>　</w:t>
            </w:r>
          </w:p>
        </w:tc>
      </w:tr>
      <w:tr w14:paraId="3D4CD3F7">
        <w:tblPrEx>
          <w:tblCellMar>
            <w:top w:w="0" w:type="dxa"/>
            <w:left w:w="108" w:type="dxa"/>
            <w:bottom w:w="0" w:type="dxa"/>
            <w:right w:w="108" w:type="dxa"/>
          </w:tblCellMar>
        </w:tblPrEx>
        <w:trPr>
          <w:trHeight w:val="179" w:hRule="atLeast"/>
        </w:trPr>
        <w:tc>
          <w:tcPr>
            <w:tcW w:w="249" w:type="pct"/>
            <w:vMerge w:val="restart"/>
            <w:tcBorders>
              <w:top w:val="nil"/>
              <w:left w:val="single" w:color="auto" w:sz="4" w:space="0"/>
              <w:bottom w:val="single" w:color="000000" w:sz="4" w:space="0"/>
              <w:right w:val="single" w:color="auto" w:sz="4" w:space="0"/>
            </w:tcBorders>
            <w:vAlign w:val="center"/>
          </w:tcPr>
          <w:p w14:paraId="443BFAE9">
            <w:pPr>
              <w:widowControl/>
              <w:jc w:val="center"/>
              <w:rPr>
                <w:rFonts w:ascii="宋体" w:hAnsi="宋体" w:cs="宋体"/>
                <w:kern w:val="0"/>
                <w:sz w:val="18"/>
                <w:szCs w:val="18"/>
              </w:rPr>
            </w:pPr>
            <w:r>
              <w:rPr>
                <w:rFonts w:hint="eastAsia" w:ascii="宋体" w:hAnsi="宋体" w:cs="宋体"/>
                <w:kern w:val="0"/>
                <w:sz w:val="18"/>
                <w:szCs w:val="18"/>
              </w:rPr>
              <w:t>十</w:t>
            </w:r>
          </w:p>
        </w:tc>
        <w:tc>
          <w:tcPr>
            <w:tcW w:w="242" w:type="pct"/>
            <w:vMerge w:val="restart"/>
            <w:tcBorders>
              <w:top w:val="nil"/>
              <w:left w:val="single" w:color="auto" w:sz="4" w:space="0"/>
              <w:bottom w:val="single" w:color="000000" w:sz="4" w:space="0"/>
              <w:right w:val="single" w:color="auto" w:sz="4" w:space="0"/>
            </w:tcBorders>
            <w:vAlign w:val="center"/>
          </w:tcPr>
          <w:p w14:paraId="6381D46C">
            <w:pPr>
              <w:widowControl/>
              <w:jc w:val="center"/>
              <w:rPr>
                <w:rFonts w:ascii="宋体" w:hAnsi="宋体" w:cs="宋体"/>
                <w:kern w:val="0"/>
                <w:sz w:val="18"/>
                <w:szCs w:val="18"/>
              </w:rPr>
            </w:pPr>
            <w:r>
              <w:rPr>
                <w:rFonts w:hint="eastAsia" w:ascii="宋体" w:hAnsi="宋体" w:cs="宋体"/>
                <w:kern w:val="0"/>
                <w:sz w:val="18"/>
                <w:szCs w:val="18"/>
              </w:rPr>
              <w:t xml:space="preserve"> 强弱电井</w:t>
            </w:r>
          </w:p>
          <w:p w14:paraId="6FC37CFD">
            <w:pPr>
              <w:widowControl/>
              <w:jc w:val="center"/>
              <w:rPr>
                <w:rFonts w:ascii="宋体" w:hAnsi="宋体" w:cs="宋体"/>
                <w:kern w:val="0"/>
                <w:sz w:val="18"/>
                <w:szCs w:val="18"/>
              </w:rPr>
            </w:pPr>
            <w:r>
              <w:rPr>
                <w:rFonts w:hint="eastAsia" w:ascii="宋体" w:hAnsi="宋体" w:cs="宋体"/>
                <w:kern w:val="0"/>
                <w:sz w:val="18"/>
                <w:szCs w:val="18"/>
              </w:rPr>
              <w:t>、配电箱</w:t>
            </w:r>
          </w:p>
          <w:p w14:paraId="7BE78065">
            <w:pPr>
              <w:widowControl/>
              <w:rPr>
                <w:rFonts w:ascii="宋体" w:hAnsi="宋体" w:cs="宋体"/>
                <w:kern w:val="0"/>
                <w:sz w:val="18"/>
                <w:szCs w:val="18"/>
              </w:rPr>
            </w:pPr>
            <w:r>
              <w:rPr>
                <w:rFonts w:hint="eastAsia" w:ascii="宋体" w:hAnsi="宋体" w:cs="宋体"/>
                <w:kern w:val="0"/>
                <w:sz w:val="18"/>
                <w:szCs w:val="18"/>
              </w:rPr>
              <w:t>管理</w:t>
            </w:r>
          </w:p>
        </w:tc>
        <w:tc>
          <w:tcPr>
            <w:tcW w:w="304" w:type="pct"/>
            <w:vMerge w:val="restart"/>
            <w:tcBorders>
              <w:top w:val="nil"/>
              <w:left w:val="single" w:color="auto" w:sz="4" w:space="0"/>
              <w:bottom w:val="single" w:color="000000" w:sz="4" w:space="0"/>
              <w:right w:val="single" w:color="auto" w:sz="4" w:space="0"/>
            </w:tcBorders>
            <w:vAlign w:val="center"/>
          </w:tcPr>
          <w:p w14:paraId="62493870">
            <w:pPr>
              <w:widowControl/>
              <w:jc w:val="center"/>
              <w:rPr>
                <w:rFonts w:ascii="宋体" w:hAnsi="宋体" w:cs="宋体"/>
                <w:kern w:val="0"/>
                <w:sz w:val="18"/>
                <w:szCs w:val="18"/>
              </w:rPr>
            </w:pPr>
            <w:r>
              <w:rPr>
                <w:rFonts w:hint="eastAsia" w:ascii="宋体" w:hAnsi="宋体" w:cs="宋体"/>
                <w:kern w:val="0"/>
                <w:sz w:val="18"/>
                <w:szCs w:val="18"/>
              </w:rPr>
              <w:t>4</w:t>
            </w:r>
          </w:p>
        </w:tc>
        <w:tc>
          <w:tcPr>
            <w:tcW w:w="1320" w:type="pct"/>
            <w:tcBorders>
              <w:top w:val="nil"/>
              <w:left w:val="nil"/>
              <w:bottom w:val="single" w:color="auto" w:sz="4" w:space="0"/>
              <w:right w:val="single" w:color="auto" w:sz="4" w:space="0"/>
            </w:tcBorders>
            <w:vAlign w:val="center"/>
          </w:tcPr>
          <w:p w14:paraId="18D3EE14">
            <w:pPr>
              <w:widowControl/>
              <w:jc w:val="left"/>
              <w:rPr>
                <w:rFonts w:ascii="宋体" w:hAnsi="宋体" w:cs="宋体"/>
                <w:kern w:val="0"/>
                <w:sz w:val="18"/>
                <w:szCs w:val="18"/>
              </w:rPr>
            </w:pPr>
            <w:r>
              <w:rPr>
                <w:rFonts w:hint="eastAsia" w:ascii="宋体" w:hAnsi="宋体" w:cs="宋体"/>
                <w:kern w:val="0"/>
                <w:sz w:val="18"/>
                <w:szCs w:val="18"/>
              </w:rPr>
              <w:t>日常巡查保养记录齐全</w:t>
            </w:r>
          </w:p>
        </w:tc>
        <w:tc>
          <w:tcPr>
            <w:tcW w:w="320" w:type="pct"/>
            <w:tcBorders>
              <w:top w:val="nil"/>
              <w:left w:val="nil"/>
              <w:bottom w:val="single" w:color="auto" w:sz="4" w:space="0"/>
              <w:right w:val="single" w:color="auto" w:sz="4" w:space="0"/>
            </w:tcBorders>
            <w:vAlign w:val="center"/>
          </w:tcPr>
          <w:p w14:paraId="2E5DAFFA">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75456F8">
            <w:pPr>
              <w:widowControl/>
              <w:jc w:val="left"/>
              <w:rPr>
                <w:rFonts w:ascii="宋体" w:hAnsi="宋体" w:cs="宋体"/>
                <w:kern w:val="0"/>
                <w:sz w:val="18"/>
                <w:szCs w:val="18"/>
              </w:rPr>
            </w:pPr>
            <w:r>
              <w:rPr>
                <w:rFonts w:hint="eastAsia" w:ascii="宋体" w:hAnsi="宋体" w:cs="宋体"/>
                <w:kern w:val="0"/>
                <w:sz w:val="18"/>
                <w:szCs w:val="18"/>
              </w:rPr>
              <w:t>日常巡查保养记录不齐扣0.5分</w:t>
            </w:r>
          </w:p>
        </w:tc>
        <w:tc>
          <w:tcPr>
            <w:tcW w:w="327" w:type="pct"/>
            <w:vMerge w:val="restart"/>
            <w:tcBorders>
              <w:top w:val="nil"/>
              <w:left w:val="single" w:color="auto" w:sz="4" w:space="0"/>
              <w:bottom w:val="single" w:color="000000" w:sz="4" w:space="0"/>
              <w:right w:val="single" w:color="auto" w:sz="4" w:space="0"/>
            </w:tcBorders>
            <w:vAlign w:val="center"/>
          </w:tcPr>
          <w:p w14:paraId="762777A8">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4A3104E0">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F360823">
            <w:pPr>
              <w:widowControl/>
              <w:jc w:val="left"/>
              <w:rPr>
                <w:rFonts w:ascii="宋体" w:hAnsi="宋体" w:cs="宋体"/>
                <w:kern w:val="0"/>
                <w:sz w:val="18"/>
                <w:szCs w:val="18"/>
              </w:rPr>
            </w:pPr>
            <w:r>
              <w:rPr>
                <w:rFonts w:hint="eastAsia" w:ascii="宋体" w:hAnsi="宋体" w:cs="宋体"/>
                <w:kern w:val="0"/>
                <w:sz w:val="18"/>
                <w:szCs w:val="18"/>
              </w:rPr>
              <w:t>　</w:t>
            </w:r>
          </w:p>
        </w:tc>
      </w:tr>
      <w:tr w14:paraId="3FF55FBE">
        <w:tblPrEx>
          <w:tblCellMar>
            <w:top w:w="0" w:type="dxa"/>
            <w:left w:w="108" w:type="dxa"/>
            <w:bottom w:w="0" w:type="dxa"/>
            <w:right w:w="108" w:type="dxa"/>
          </w:tblCellMar>
        </w:tblPrEx>
        <w:trPr>
          <w:trHeight w:val="311" w:hRule="atLeast"/>
        </w:trPr>
        <w:tc>
          <w:tcPr>
            <w:tcW w:w="249" w:type="pct"/>
            <w:vMerge w:val="continue"/>
            <w:tcBorders>
              <w:top w:val="nil"/>
              <w:left w:val="single" w:color="auto" w:sz="4" w:space="0"/>
              <w:bottom w:val="single" w:color="000000" w:sz="4" w:space="0"/>
              <w:right w:val="single" w:color="auto" w:sz="4" w:space="0"/>
            </w:tcBorders>
            <w:vAlign w:val="center"/>
          </w:tcPr>
          <w:p w14:paraId="26F3C9E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6F713C31">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70C4FF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350FA9D">
            <w:pPr>
              <w:widowControl/>
              <w:jc w:val="left"/>
              <w:rPr>
                <w:rFonts w:ascii="宋体" w:hAnsi="宋体" w:cs="宋体"/>
                <w:kern w:val="0"/>
                <w:sz w:val="18"/>
                <w:szCs w:val="18"/>
              </w:rPr>
            </w:pPr>
            <w:r>
              <w:rPr>
                <w:rFonts w:hint="eastAsia" w:ascii="宋体" w:hAnsi="宋体" w:cs="宋体"/>
                <w:kern w:val="0"/>
                <w:sz w:val="18"/>
                <w:szCs w:val="18"/>
              </w:rPr>
              <w:t>操作通道畅通</w:t>
            </w:r>
          </w:p>
        </w:tc>
        <w:tc>
          <w:tcPr>
            <w:tcW w:w="320" w:type="pct"/>
            <w:tcBorders>
              <w:top w:val="nil"/>
              <w:left w:val="nil"/>
              <w:bottom w:val="single" w:color="auto" w:sz="4" w:space="0"/>
              <w:right w:val="single" w:color="auto" w:sz="4" w:space="0"/>
            </w:tcBorders>
            <w:vAlign w:val="center"/>
          </w:tcPr>
          <w:p w14:paraId="6716CE4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4720FC7">
            <w:pPr>
              <w:widowControl/>
              <w:jc w:val="left"/>
              <w:rPr>
                <w:rFonts w:ascii="宋体" w:hAnsi="宋体" w:cs="宋体"/>
                <w:kern w:val="0"/>
                <w:sz w:val="18"/>
                <w:szCs w:val="18"/>
              </w:rPr>
            </w:pPr>
            <w:r>
              <w:rPr>
                <w:rFonts w:hint="eastAsia" w:ascii="宋体" w:hAnsi="宋体" w:cs="宋体"/>
                <w:kern w:val="0"/>
                <w:sz w:val="18"/>
                <w:szCs w:val="18"/>
              </w:rPr>
              <w:t>操作通道不畅通扣0.5分</w:t>
            </w:r>
          </w:p>
        </w:tc>
        <w:tc>
          <w:tcPr>
            <w:tcW w:w="327" w:type="pct"/>
            <w:vMerge w:val="continue"/>
            <w:tcBorders>
              <w:top w:val="nil"/>
              <w:left w:val="single" w:color="auto" w:sz="4" w:space="0"/>
              <w:bottom w:val="single" w:color="000000" w:sz="4" w:space="0"/>
              <w:right w:val="single" w:color="auto" w:sz="4" w:space="0"/>
            </w:tcBorders>
            <w:vAlign w:val="center"/>
          </w:tcPr>
          <w:p w14:paraId="700DBF8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4DE328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BDB5AEB">
            <w:pPr>
              <w:widowControl/>
              <w:jc w:val="left"/>
              <w:rPr>
                <w:rFonts w:ascii="宋体" w:hAnsi="宋体" w:cs="宋体"/>
                <w:kern w:val="0"/>
                <w:sz w:val="18"/>
                <w:szCs w:val="18"/>
              </w:rPr>
            </w:pPr>
            <w:r>
              <w:rPr>
                <w:rFonts w:hint="eastAsia" w:ascii="宋体" w:hAnsi="宋体" w:cs="宋体"/>
                <w:kern w:val="0"/>
                <w:sz w:val="18"/>
                <w:szCs w:val="18"/>
              </w:rPr>
              <w:t>　</w:t>
            </w:r>
          </w:p>
        </w:tc>
      </w:tr>
      <w:tr w14:paraId="272F620E">
        <w:tblPrEx>
          <w:tblCellMar>
            <w:top w:w="0" w:type="dxa"/>
            <w:left w:w="108" w:type="dxa"/>
            <w:bottom w:w="0" w:type="dxa"/>
            <w:right w:w="108" w:type="dxa"/>
          </w:tblCellMar>
        </w:tblPrEx>
        <w:trPr>
          <w:trHeight w:val="314" w:hRule="atLeast"/>
        </w:trPr>
        <w:tc>
          <w:tcPr>
            <w:tcW w:w="249" w:type="pct"/>
            <w:vMerge w:val="continue"/>
            <w:tcBorders>
              <w:top w:val="nil"/>
              <w:left w:val="single" w:color="auto" w:sz="4" w:space="0"/>
              <w:bottom w:val="single" w:color="000000" w:sz="4" w:space="0"/>
              <w:right w:val="single" w:color="auto" w:sz="4" w:space="0"/>
            </w:tcBorders>
            <w:vAlign w:val="center"/>
          </w:tcPr>
          <w:p w14:paraId="4D467067">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B1D3F44">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2B2994B">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967688F">
            <w:pPr>
              <w:widowControl/>
              <w:jc w:val="left"/>
              <w:rPr>
                <w:rFonts w:ascii="宋体" w:hAnsi="宋体" w:cs="宋体"/>
                <w:kern w:val="0"/>
                <w:sz w:val="18"/>
                <w:szCs w:val="18"/>
              </w:rPr>
            </w:pPr>
            <w:r>
              <w:rPr>
                <w:rFonts w:hint="eastAsia" w:ascii="宋体" w:hAnsi="宋体" w:cs="宋体"/>
                <w:kern w:val="0"/>
                <w:sz w:val="18"/>
                <w:szCs w:val="18"/>
              </w:rPr>
              <w:t>开关温度正常</w:t>
            </w:r>
          </w:p>
        </w:tc>
        <w:tc>
          <w:tcPr>
            <w:tcW w:w="320" w:type="pct"/>
            <w:tcBorders>
              <w:top w:val="nil"/>
              <w:left w:val="nil"/>
              <w:bottom w:val="single" w:color="auto" w:sz="4" w:space="0"/>
              <w:right w:val="single" w:color="auto" w:sz="4" w:space="0"/>
            </w:tcBorders>
            <w:vAlign w:val="center"/>
          </w:tcPr>
          <w:p w14:paraId="4CA2B8A0">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B65DFBC">
            <w:pPr>
              <w:widowControl/>
              <w:jc w:val="left"/>
              <w:rPr>
                <w:rFonts w:ascii="宋体" w:hAnsi="宋体" w:cs="宋体"/>
                <w:kern w:val="0"/>
                <w:sz w:val="18"/>
                <w:szCs w:val="18"/>
              </w:rPr>
            </w:pPr>
            <w:r>
              <w:rPr>
                <w:rFonts w:hint="eastAsia" w:ascii="宋体" w:hAnsi="宋体" w:cs="宋体"/>
                <w:kern w:val="0"/>
                <w:sz w:val="18"/>
                <w:szCs w:val="18"/>
              </w:rPr>
              <w:t>开关温度不正常的扣0.5分</w:t>
            </w:r>
          </w:p>
        </w:tc>
        <w:tc>
          <w:tcPr>
            <w:tcW w:w="327" w:type="pct"/>
            <w:vMerge w:val="continue"/>
            <w:tcBorders>
              <w:top w:val="nil"/>
              <w:left w:val="single" w:color="auto" w:sz="4" w:space="0"/>
              <w:bottom w:val="single" w:color="000000" w:sz="4" w:space="0"/>
              <w:right w:val="single" w:color="auto" w:sz="4" w:space="0"/>
            </w:tcBorders>
            <w:vAlign w:val="center"/>
          </w:tcPr>
          <w:p w14:paraId="5170E595">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0EDEE938">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7A73C78">
            <w:pPr>
              <w:widowControl/>
              <w:jc w:val="left"/>
              <w:rPr>
                <w:rFonts w:ascii="宋体" w:hAnsi="宋体" w:cs="宋体"/>
                <w:kern w:val="0"/>
                <w:sz w:val="18"/>
                <w:szCs w:val="18"/>
              </w:rPr>
            </w:pPr>
            <w:r>
              <w:rPr>
                <w:rFonts w:hint="eastAsia" w:ascii="宋体" w:hAnsi="宋体" w:cs="宋体"/>
                <w:kern w:val="0"/>
                <w:sz w:val="18"/>
                <w:szCs w:val="18"/>
              </w:rPr>
              <w:t>　</w:t>
            </w:r>
          </w:p>
        </w:tc>
      </w:tr>
      <w:tr w14:paraId="4A0D7069">
        <w:tblPrEx>
          <w:tblCellMar>
            <w:top w:w="0" w:type="dxa"/>
            <w:left w:w="108" w:type="dxa"/>
            <w:bottom w:w="0" w:type="dxa"/>
            <w:right w:w="108" w:type="dxa"/>
          </w:tblCellMar>
        </w:tblPrEx>
        <w:trPr>
          <w:trHeight w:val="291" w:hRule="atLeast"/>
        </w:trPr>
        <w:tc>
          <w:tcPr>
            <w:tcW w:w="249" w:type="pct"/>
            <w:vMerge w:val="continue"/>
            <w:tcBorders>
              <w:top w:val="nil"/>
              <w:left w:val="single" w:color="auto" w:sz="4" w:space="0"/>
              <w:bottom w:val="single" w:color="000000" w:sz="4" w:space="0"/>
              <w:right w:val="single" w:color="auto" w:sz="4" w:space="0"/>
            </w:tcBorders>
            <w:vAlign w:val="center"/>
          </w:tcPr>
          <w:p w14:paraId="16361DE2">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6D9DEF2">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56BA4F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E60C79C">
            <w:pPr>
              <w:widowControl/>
              <w:jc w:val="left"/>
              <w:rPr>
                <w:rFonts w:ascii="宋体" w:hAnsi="宋体" w:cs="宋体"/>
                <w:kern w:val="0"/>
                <w:sz w:val="18"/>
                <w:szCs w:val="18"/>
              </w:rPr>
            </w:pPr>
            <w:r>
              <w:rPr>
                <w:rFonts w:hint="eastAsia" w:ascii="宋体" w:hAnsi="宋体" w:cs="宋体"/>
                <w:kern w:val="0"/>
                <w:sz w:val="18"/>
                <w:szCs w:val="18"/>
              </w:rPr>
              <w:t>箱盖及配件齐全，</w:t>
            </w:r>
          </w:p>
        </w:tc>
        <w:tc>
          <w:tcPr>
            <w:tcW w:w="320" w:type="pct"/>
            <w:tcBorders>
              <w:top w:val="nil"/>
              <w:left w:val="nil"/>
              <w:bottom w:val="single" w:color="auto" w:sz="4" w:space="0"/>
              <w:right w:val="single" w:color="auto" w:sz="4" w:space="0"/>
            </w:tcBorders>
            <w:vAlign w:val="center"/>
          </w:tcPr>
          <w:p w14:paraId="72856A35">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6755F79">
            <w:pPr>
              <w:widowControl/>
              <w:jc w:val="left"/>
              <w:rPr>
                <w:rFonts w:ascii="宋体" w:hAnsi="宋体" w:cs="宋体"/>
                <w:kern w:val="0"/>
                <w:sz w:val="18"/>
                <w:szCs w:val="18"/>
              </w:rPr>
            </w:pPr>
            <w:r>
              <w:rPr>
                <w:rFonts w:hint="eastAsia" w:ascii="宋体" w:hAnsi="宋体" w:cs="宋体"/>
                <w:kern w:val="0"/>
                <w:sz w:val="18"/>
                <w:szCs w:val="18"/>
              </w:rPr>
              <w:t>箱盖及配件不全扣0.2分</w:t>
            </w:r>
          </w:p>
        </w:tc>
        <w:tc>
          <w:tcPr>
            <w:tcW w:w="327" w:type="pct"/>
            <w:vMerge w:val="continue"/>
            <w:tcBorders>
              <w:top w:val="nil"/>
              <w:left w:val="single" w:color="auto" w:sz="4" w:space="0"/>
              <w:bottom w:val="single" w:color="000000" w:sz="4" w:space="0"/>
              <w:right w:val="single" w:color="auto" w:sz="4" w:space="0"/>
            </w:tcBorders>
            <w:vAlign w:val="center"/>
          </w:tcPr>
          <w:p w14:paraId="414AECD7">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08CBA7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C4F90AF">
            <w:pPr>
              <w:widowControl/>
              <w:jc w:val="left"/>
              <w:rPr>
                <w:rFonts w:ascii="宋体" w:hAnsi="宋体" w:cs="宋体"/>
                <w:kern w:val="0"/>
                <w:sz w:val="18"/>
                <w:szCs w:val="18"/>
              </w:rPr>
            </w:pPr>
            <w:r>
              <w:rPr>
                <w:rFonts w:hint="eastAsia" w:ascii="宋体" w:hAnsi="宋体" w:cs="宋体"/>
                <w:kern w:val="0"/>
                <w:sz w:val="18"/>
                <w:szCs w:val="18"/>
              </w:rPr>
              <w:t>　</w:t>
            </w:r>
          </w:p>
        </w:tc>
      </w:tr>
      <w:tr w14:paraId="092138FB">
        <w:tblPrEx>
          <w:tblCellMar>
            <w:top w:w="0" w:type="dxa"/>
            <w:left w:w="108" w:type="dxa"/>
            <w:bottom w:w="0" w:type="dxa"/>
            <w:right w:w="108" w:type="dxa"/>
          </w:tblCellMar>
        </w:tblPrEx>
        <w:trPr>
          <w:trHeight w:val="280" w:hRule="atLeast"/>
        </w:trPr>
        <w:tc>
          <w:tcPr>
            <w:tcW w:w="249" w:type="pct"/>
            <w:vMerge w:val="continue"/>
            <w:tcBorders>
              <w:top w:val="nil"/>
              <w:left w:val="single" w:color="auto" w:sz="4" w:space="0"/>
              <w:bottom w:val="single" w:color="000000" w:sz="4" w:space="0"/>
              <w:right w:val="single" w:color="auto" w:sz="4" w:space="0"/>
            </w:tcBorders>
            <w:vAlign w:val="center"/>
          </w:tcPr>
          <w:p w14:paraId="7EF2657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FA6CBDE">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B54E80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18B5999F">
            <w:pPr>
              <w:widowControl/>
              <w:jc w:val="left"/>
              <w:rPr>
                <w:rFonts w:ascii="宋体" w:hAnsi="宋体" w:cs="宋体"/>
                <w:kern w:val="0"/>
                <w:sz w:val="18"/>
                <w:szCs w:val="18"/>
              </w:rPr>
            </w:pPr>
            <w:r>
              <w:rPr>
                <w:rFonts w:hint="eastAsia" w:ascii="宋体" w:hAnsi="宋体" w:cs="宋体"/>
                <w:kern w:val="0"/>
                <w:sz w:val="18"/>
                <w:szCs w:val="18"/>
              </w:rPr>
              <w:t>标识清楚，接线整齐规范</w:t>
            </w:r>
          </w:p>
        </w:tc>
        <w:tc>
          <w:tcPr>
            <w:tcW w:w="320" w:type="pct"/>
            <w:tcBorders>
              <w:top w:val="nil"/>
              <w:left w:val="nil"/>
              <w:bottom w:val="single" w:color="auto" w:sz="4" w:space="0"/>
              <w:right w:val="single" w:color="auto" w:sz="4" w:space="0"/>
            </w:tcBorders>
            <w:vAlign w:val="center"/>
          </w:tcPr>
          <w:p w14:paraId="1A22A946">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BBA10F8">
            <w:pPr>
              <w:widowControl/>
              <w:jc w:val="left"/>
              <w:rPr>
                <w:rFonts w:ascii="宋体" w:hAnsi="宋体" w:cs="宋体"/>
                <w:kern w:val="0"/>
                <w:sz w:val="18"/>
                <w:szCs w:val="18"/>
              </w:rPr>
            </w:pPr>
            <w:r>
              <w:rPr>
                <w:rFonts w:hint="eastAsia" w:ascii="宋体" w:hAnsi="宋体" w:cs="宋体"/>
                <w:kern w:val="0"/>
                <w:sz w:val="18"/>
                <w:szCs w:val="18"/>
              </w:rPr>
              <w:t>标识不清楚、接线不规范扣0.5分</w:t>
            </w:r>
          </w:p>
        </w:tc>
        <w:tc>
          <w:tcPr>
            <w:tcW w:w="327" w:type="pct"/>
            <w:vMerge w:val="continue"/>
            <w:tcBorders>
              <w:top w:val="nil"/>
              <w:left w:val="single" w:color="auto" w:sz="4" w:space="0"/>
              <w:bottom w:val="single" w:color="000000" w:sz="4" w:space="0"/>
              <w:right w:val="single" w:color="auto" w:sz="4" w:space="0"/>
            </w:tcBorders>
            <w:vAlign w:val="center"/>
          </w:tcPr>
          <w:p w14:paraId="4A4254D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A6575D3">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5A63214">
            <w:pPr>
              <w:widowControl/>
              <w:jc w:val="left"/>
              <w:rPr>
                <w:rFonts w:ascii="宋体" w:hAnsi="宋体" w:cs="宋体"/>
                <w:kern w:val="0"/>
                <w:sz w:val="18"/>
                <w:szCs w:val="18"/>
              </w:rPr>
            </w:pPr>
            <w:r>
              <w:rPr>
                <w:rFonts w:hint="eastAsia" w:ascii="宋体" w:hAnsi="宋体" w:cs="宋体"/>
                <w:kern w:val="0"/>
                <w:sz w:val="18"/>
                <w:szCs w:val="18"/>
              </w:rPr>
              <w:t>　</w:t>
            </w:r>
          </w:p>
        </w:tc>
      </w:tr>
      <w:tr w14:paraId="0740B203">
        <w:tblPrEx>
          <w:tblCellMar>
            <w:top w:w="0" w:type="dxa"/>
            <w:left w:w="108" w:type="dxa"/>
            <w:bottom w:w="0" w:type="dxa"/>
            <w:right w:w="108" w:type="dxa"/>
          </w:tblCellMar>
        </w:tblPrEx>
        <w:trPr>
          <w:trHeight w:val="271" w:hRule="atLeast"/>
        </w:trPr>
        <w:tc>
          <w:tcPr>
            <w:tcW w:w="249" w:type="pct"/>
            <w:vMerge w:val="continue"/>
            <w:tcBorders>
              <w:top w:val="nil"/>
              <w:left w:val="single" w:color="auto" w:sz="4" w:space="0"/>
              <w:bottom w:val="single" w:color="000000" w:sz="4" w:space="0"/>
              <w:right w:val="single" w:color="auto" w:sz="4" w:space="0"/>
            </w:tcBorders>
            <w:vAlign w:val="center"/>
          </w:tcPr>
          <w:p w14:paraId="3E736ECF">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674C1B33">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4A7BFB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805CD06">
            <w:pPr>
              <w:widowControl/>
              <w:jc w:val="left"/>
              <w:rPr>
                <w:rFonts w:ascii="宋体" w:hAnsi="宋体" w:cs="宋体"/>
                <w:kern w:val="0"/>
                <w:sz w:val="18"/>
                <w:szCs w:val="18"/>
              </w:rPr>
            </w:pPr>
            <w:r>
              <w:rPr>
                <w:rFonts w:hint="eastAsia" w:ascii="宋体" w:hAnsi="宋体" w:cs="宋体"/>
                <w:kern w:val="0"/>
                <w:sz w:val="18"/>
                <w:szCs w:val="18"/>
              </w:rPr>
              <w:t>无私拉乱接</w:t>
            </w:r>
          </w:p>
        </w:tc>
        <w:tc>
          <w:tcPr>
            <w:tcW w:w="320" w:type="pct"/>
            <w:tcBorders>
              <w:top w:val="nil"/>
              <w:left w:val="nil"/>
              <w:bottom w:val="single" w:color="auto" w:sz="4" w:space="0"/>
              <w:right w:val="single" w:color="auto" w:sz="4" w:space="0"/>
            </w:tcBorders>
            <w:vAlign w:val="center"/>
          </w:tcPr>
          <w:p w14:paraId="3F4954E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FF6D0EF">
            <w:pPr>
              <w:widowControl/>
              <w:jc w:val="left"/>
              <w:rPr>
                <w:rFonts w:ascii="宋体" w:hAnsi="宋体" w:cs="宋体"/>
                <w:kern w:val="0"/>
                <w:sz w:val="18"/>
                <w:szCs w:val="18"/>
              </w:rPr>
            </w:pPr>
            <w:r>
              <w:rPr>
                <w:rFonts w:hint="eastAsia" w:ascii="宋体" w:hAnsi="宋体" w:cs="宋体"/>
                <w:kern w:val="0"/>
                <w:sz w:val="18"/>
                <w:szCs w:val="18"/>
              </w:rPr>
              <w:t>私拉乱接扣0.5分</w:t>
            </w:r>
          </w:p>
        </w:tc>
        <w:tc>
          <w:tcPr>
            <w:tcW w:w="327" w:type="pct"/>
            <w:vMerge w:val="continue"/>
            <w:tcBorders>
              <w:top w:val="nil"/>
              <w:left w:val="single" w:color="auto" w:sz="4" w:space="0"/>
              <w:bottom w:val="single" w:color="000000" w:sz="4" w:space="0"/>
              <w:right w:val="single" w:color="auto" w:sz="4" w:space="0"/>
            </w:tcBorders>
            <w:vAlign w:val="center"/>
          </w:tcPr>
          <w:p w14:paraId="5961A9B8">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262A0CF">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51674BC">
            <w:pPr>
              <w:widowControl/>
              <w:jc w:val="left"/>
              <w:rPr>
                <w:rFonts w:ascii="宋体" w:hAnsi="宋体" w:cs="宋体"/>
                <w:kern w:val="0"/>
                <w:sz w:val="18"/>
                <w:szCs w:val="18"/>
              </w:rPr>
            </w:pPr>
            <w:r>
              <w:rPr>
                <w:rFonts w:hint="eastAsia" w:ascii="宋体" w:hAnsi="宋体" w:cs="宋体"/>
                <w:kern w:val="0"/>
                <w:sz w:val="18"/>
                <w:szCs w:val="18"/>
              </w:rPr>
              <w:t>　</w:t>
            </w:r>
          </w:p>
        </w:tc>
      </w:tr>
      <w:tr w14:paraId="78211C00">
        <w:tblPrEx>
          <w:tblCellMar>
            <w:top w:w="0" w:type="dxa"/>
            <w:left w:w="108" w:type="dxa"/>
            <w:bottom w:w="0" w:type="dxa"/>
            <w:right w:w="108" w:type="dxa"/>
          </w:tblCellMar>
        </w:tblPrEx>
        <w:trPr>
          <w:trHeight w:val="261" w:hRule="atLeast"/>
        </w:trPr>
        <w:tc>
          <w:tcPr>
            <w:tcW w:w="249" w:type="pct"/>
            <w:vMerge w:val="continue"/>
            <w:tcBorders>
              <w:top w:val="nil"/>
              <w:left w:val="single" w:color="auto" w:sz="4" w:space="0"/>
              <w:bottom w:val="single" w:color="000000" w:sz="4" w:space="0"/>
              <w:right w:val="single" w:color="auto" w:sz="4" w:space="0"/>
            </w:tcBorders>
            <w:vAlign w:val="center"/>
          </w:tcPr>
          <w:p w14:paraId="2DA1004E">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C879CE1">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3C628AF">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28A5FCF5">
            <w:pPr>
              <w:widowControl/>
              <w:jc w:val="left"/>
              <w:rPr>
                <w:rFonts w:ascii="宋体" w:hAnsi="宋体" w:cs="宋体"/>
                <w:kern w:val="0"/>
                <w:sz w:val="18"/>
                <w:szCs w:val="18"/>
              </w:rPr>
            </w:pPr>
            <w:r>
              <w:rPr>
                <w:rFonts w:hint="eastAsia" w:ascii="宋体" w:hAnsi="宋体" w:cs="宋体"/>
                <w:kern w:val="0"/>
                <w:sz w:val="18"/>
                <w:szCs w:val="18"/>
              </w:rPr>
              <w:t>照明设施完好，开关、灯具功能正常</w:t>
            </w:r>
          </w:p>
        </w:tc>
        <w:tc>
          <w:tcPr>
            <w:tcW w:w="320" w:type="pct"/>
            <w:tcBorders>
              <w:top w:val="nil"/>
              <w:left w:val="nil"/>
              <w:bottom w:val="single" w:color="auto" w:sz="4" w:space="0"/>
              <w:right w:val="single" w:color="auto" w:sz="4" w:space="0"/>
            </w:tcBorders>
            <w:vAlign w:val="center"/>
          </w:tcPr>
          <w:p w14:paraId="7AF4214C">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43D93B4">
            <w:pPr>
              <w:widowControl/>
              <w:jc w:val="left"/>
              <w:rPr>
                <w:rFonts w:ascii="宋体" w:hAnsi="宋体" w:cs="宋体"/>
                <w:kern w:val="0"/>
                <w:sz w:val="18"/>
                <w:szCs w:val="18"/>
              </w:rPr>
            </w:pPr>
            <w:r>
              <w:rPr>
                <w:rFonts w:hint="eastAsia" w:ascii="宋体" w:hAnsi="宋体" w:cs="宋体"/>
                <w:kern w:val="0"/>
                <w:sz w:val="18"/>
                <w:szCs w:val="18"/>
              </w:rPr>
              <w:t>开关、灯具功能不正常每项扣0.2分</w:t>
            </w:r>
          </w:p>
        </w:tc>
        <w:tc>
          <w:tcPr>
            <w:tcW w:w="327" w:type="pct"/>
            <w:vMerge w:val="continue"/>
            <w:tcBorders>
              <w:top w:val="nil"/>
              <w:left w:val="single" w:color="auto" w:sz="4" w:space="0"/>
              <w:bottom w:val="single" w:color="000000" w:sz="4" w:space="0"/>
              <w:right w:val="single" w:color="auto" w:sz="4" w:space="0"/>
            </w:tcBorders>
            <w:vAlign w:val="center"/>
          </w:tcPr>
          <w:p w14:paraId="63D62CA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193D976">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41FDF93">
            <w:pPr>
              <w:widowControl/>
              <w:jc w:val="left"/>
              <w:rPr>
                <w:rFonts w:ascii="宋体" w:hAnsi="宋体" w:cs="宋体"/>
                <w:kern w:val="0"/>
                <w:sz w:val="18"/>
                <w:szCs w:val="18"/>
              </w:rPr>
            </w:pPr>
            <w:r>
              <w:rPr>
                <w:rFonts w:hint="eastAsia" w:ascii="宋体" w:hAnsi="宋体" w:cs="宋体"/>
                <w:kern w:val="0"/>
                <w:sz w:val="18"/>
                <w:szCs w:val="18"/>
              </w:rPr>
              <w:t>　</w:t>
            </w:r>
          </w:p>
        </w:tc>
      </w:tr>
      <w:tr w14:paraId="27EADCE4">
        <w:tblPrEx>
          <w:tblCellMar>
            <w:top w:w="0" w:type="dxa"/>
            <w:left w:w="108" w:type="dxa"/>
            <w:bottom w:w="0" w:type="dxa"/>
            <w:right w:w="108" w:type="dxa"/>
          </w:tblCellMar>
        </w:tblPrEx>
        <w:trPr>
          <w:trHeight w:val="265" w:hRule="atLeast"/>
        </w:trPr>
        <w:tc>
          <w:tcPr>
            <w:tcW w:w="249" w:type="pct"/>
            <w:vMerge w:val="continue"/>
            <w:tcBorders>
              <w:top w:val="nil"/>
              <w:left w:val="single" w:color="auto" w:sz="4" w:space="0"/>
              <w:bottom w:val="single" w:color="000000" w:sz="4" w:space="0"/>
              <w:right w:val="single" w:color="auto" w:sz="4" w:space="0"/>
            </w:tcBorders>
            <w:vAlign w:val="center"/>
          </w:tcPr>
          <w:p w14:paraId="4C95161C">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1118D5D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238BF2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919B40F">
            <w:pPr>
              <w:widowControl/>
              <w:jc w:val="left"/>
              <w:rPr>
                <w:rFonts w:ascii="宋体" w:hAnsi="宋体" w:cs="宋体"/>
                <w:kern w:val="0"/>
                <w:sz w:val="18"/>
                <w:szCs w:val="18"/>
              </w:rPr>
            </w:pPr>
            <w:r>
              <w:rPr>
                <w:rFonts w:hint="eastAsia" w:ascii="宋体" w:hAnsi="宋体" w:cs="宋体"/>
                <w:kern w:val="0"/>
                <w:sz w:val="18"/>
                <w:szCs w:val="18"/>
              </w:rPr>
              <w:t>无蜘蛛网、无积尘、污迹</w:t>
            </w:r>
          </w:p>
        </w:tc>
        <w:tc>
          <w:tcPr>
            <w:tcW w:w="320" w:type="pct"/>
            <w:tcBorders>
              <w:top w:val="nil"/>
              <w:left w:val="nil"/>
              <w:bottom w:val="single" w:color="auto" w:sz="4" w:space="0"/>
              <w:right w:val="single" w:color="auto" w:sz="4" w:space="0"/>
            </w:tcBorders>
            <w:vAlign w:val="center"/>
          </w:tcPr>
          <w:p w14:paraId="131C90B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tcPr>
          <w:p w14:paraId="24F2541C">
            <w:pPr>
              <w:widowControl/>
              <w:rPr>
                <w:rFonts w:ascii="宋体" w:hAnsi="宋体" w:cs="宋体"/>
                <w:kern w:val="0"/>
                <w:sz w:val="18"/>
                <w:szCs w:val="18"/>
              </w:rPr>
            </w:pPr>
            <w:r>
              <w:rPr>
                <w:rFonts w:hint="eastAsia" w:ascii="宋体" w:hAnsi="宋体" w:cs="宋体"/>
                <w:kern w:val="0"/>
                <w:sz w:val="18"/>
                <w:szCs w:val="18"/>
              </w:rPr>
              <w:t>卫生环境差的扣0.5分</w:t>
            </w:r>
          </w:p>
        </w:tc>
        <w:tc>
          <w:tcPr>
            <w:tcW w:w="327" w:type="pct"/>
            <w:vMerge w:val="continue"/>
            <w:tcBorders>
              <w:top w:val="nil"/>
              <w:left w:val="single" w:color="auto" w:sz="4" w:space="0"/>
              <w:bottom w:val="single" w:color="000000" w:sz="4" w:space="0"/>
              <w:right w:val="single" w:color="auto" w:sz="4" w:space="0"/>
            </w:tcBorders>
            <w:vAlign w:val="center"/>
          </w:tcPr>
          <w:p w14:paraId="3C29FC3A">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543D76E">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524FBF2">
            <w:pPr>
              <w:widowControl/>
              <w:jc w:val="left"/>
              <w:rPr>
                <w:rFonts w:ascii="宋体" w:hAnsi="宋体" w:cs="宋体"/>
                <w:kern w:val="0"/>
                <w:sz w:val="18"/>
                <w:szCs w:val="18"/>
              </w:rPr>
            </w:pPr>
            <w:r>
              <w:rPr>
                <w:rFonts w:hint="eastAsia" w:ascii="宋体" w:hAnsi="宋体" w:cs="宋体"/>
                <w:kern w:val="0"/>
                <w:sz w:val="18"/>
                <w:szCs w:val="18"/>
              </w:rPr>
              <w:t>　</w:t>
            </w:r>
          </w:p>
        </w:tc>
      </w:tr>
      <w:tr w14:paraId="21047285">
        <w:tblPrEx>
          <w:tblCellMar>
            <w:top w:w="0" w:type="dxa"/>
            <w:left w:w="108" w:type="dxa"/>
            <w:bottom w:w="0" w:type="dxa"/>
            <w:right w:w="108" w:type="dxa"/>
          </w:tblCellMar>
        </w:tblPrEx>
        <w:trPr>
          <w:trHeight w:val="241" w:hRule="atLeast"/>
        </w:trPr>
        <w:tc>
          <w:tcPr>
            <w:tcW w:w="249" w:type="pct"/>
            <w:vMerge w:val="restart"/>
            <w:tcBorders>
              <w:top w:val="nil"/>
              <w:left w:val="single" w:color="auto" w:sz="4" w:space="0"/>
              <w:bottom w:val="single" w:color="000000" w:sz="4" w:space="0"/>
              <w:right w:val="single" w:color="auto" w:sz="4" w:space="0"/>
            </w:tcBorders>
            <w:vAlign w:val="center"/>
          </w:tcPr>
          <w:p w14:paraId="5A43BCB5">
            <w:pPr>
              <w:widowControl/>
              <w:jc w:val="center"/>
              <w:rPr>
                <w:rFonts w:ascii="宋体" w:hAnsi="宋体" w:cs="宋体"/>
                <w:kern w:val="0"/>
                <w:sz w:val="18"/>
                <w:szCs w:val="18"/>
              </w:rPr>
            </w:pPr>
            <w:r>
              <w:rPr>
                <w:rFonts w:hint="eastAsia" w:ascii="宋体" w:hAnsi="宋体" w:cs="宋体"/>
                <w:kern w:val="0"/>
                <w:sz w:val="18"/>
                <w:szCs w:val="18"/>
              </w:rPr>
              <w:t>十一</w:t>
            </w:r>
          </w:p>
        </w:tc>
        <w:tc>
          <w:tcPr>
            <w:tcW w:w="242" w:type="pct"/>
            <w:vMerge w:val="restart"/>
            <w:tcBorders>
              <w:top w:val="nil"/>
              <w:left w:val="single" w:color="auto" w:sz="4" w:space="0"/>
              <w:bottom w:val="single" w:color="000000" w:sz="4" w:space="0"/>
              <w:right w:val="single" w:color="auto" w:sz="4" w:space="0"/>
            </w:tcBorders>
            <w:vAlign w:val="center"/>
          </w:tcPr>
          <w:p w14:paraId="0682C72A">
            <w:pPr>
              <w:widowControl/>
              <w:jc w:val="center"/>
              <w:rPr>
                <w:rFonts w:ascii="宋体" w:hAnsi="宋体" w:cs="宋体"/>
                <w:kern w:val="0"/>
                <w:sz w:val="18"/>
                <w:szCs w:val="18"/>
              </w:rPr>
            </w:pPr>
            <w:r>
              <w:rPr>
                <w:rFonts w:hint="eastAsia" w:ascii="宋体" w:hAnsi="宋体" w:cs="宋体"/>
                <w:kern w:val="0"/>
                <w:sz w:val="18"/>
                <w:szCs w:val="18"/>
              </w:rPr>
              <w:t>室外照明管理</w:t>
            </w:r>
          </w:p>
        </w:tc>
        <w:tc>
          <w:tcPr>
            <w:tcW w:w="304" w:type="pct"/>
            <w:vMerge w:val="restart"/>
            <w:tcBorders>
              <w:top w:val="nil"/>
              <w:left w:val="single" w:color="auto" w:sz="4" w:space="0"/>
              <w:bottom w:val="single" w:color="000000" w:sz="4" w:space="0"/>
              <w:right w:val="single" w:color="auto" w:sz="4" w:space="0"/>
            </w:tcBorders>
            <w:vAlign w:val="center"/>
          </w:tcPr>
          <w:p w14:paraId="3BCD563C">
            <w:pPr>
              <w:widowControl/>
              <w:jc w:val="center"/>
              <w:rPr>
                <w:rFonts w:ascii="宋体" w:hAnsi="宋体" w:cs="宋体"/>
                <w:kern w:val="0"/>
                <w:sz w:val="18"/>
                <w:szCs w:val="18"/>
              </w:rPr>
            </w:pPr>
            <w:r>
              <w:rPr>
                <w:rFonts w:hint="eastAsia" w:ascii="宋体" w:hAnsi="宋体" w:cs="宋体"/>
                <w:kern w:val="0"/>
                <w:sz w:val="18"/>
                <w:szCs w:val="18"/>
              </w:rPr>
              <w:t>4</w:t>
            </w:r>
          </w:p>
        </w:tc>
        <w:tc>
          <w:tcPr>
            <w:tcW w:w="1320" w:type="pct"/>
            <w:tcBorders>
              <w:top w:val="nil"/>
              <w:left w:val="nil"/>
              <w:bottom w:val="single" w:color="auto" w:sz="4" w:space="0"/>
              <w:right w:val="single" w:color="auto" w:sz="4" w:space="0"/>
            </w:tcBorders>
            <w:vAlign w:val="center"/>
          </w:tcPr>
          <w:p w14:paraId="51120C81">
            <w:pPr>
              <w:widowControl/>
              <w:jc w:val="left"/>
              <w:rPr>
                <w:rFonts w:ascii="宋体" w:hAnsi="宋体" w:cs="宋体"/>
                <w:kern w:val="0"/>
                <w:sz w:val="18"/>
                <w:szCs w:val="18"/>
              </w:rPr>
            </w:pPr>
            <w:r>
              <w:rPr>
                <w:rFonts w:hint="eastAsia" w:ascii="宋体" w:hAnsi="宋体" w:cs="宋体"/>
                <w:kern w:val="0"/>
                <w:sz w:val="18"/>
                <w:szCs w:val="18"/>
              </w:rPr>
              <w:t>巡查保养记录齐全</w:t>
            </w:r>
          </w:p>
        </w:tc>
        <w:tc>
          <w:tcPr>
            <w:tcW w:w="320" w:type="pct"/>
            <w:tcBorders>
              <w:top w:val="nil"/>
              <w:left w:val="nil"/>
              <w:bottom w:val="single" w:color="auto" w:sz="4" w:space="0"/>
              <w:right w:val="single" w:color="auto" w:sz="4" w:space="0"/>
            </w:tcBorders>
            <w:vAlign w:val="center"/>
          </w:tcPr>
          <w:p w14:paraId="5D3757EF">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8AFF5F3">
            <w:pPr>
              <w:widowControl/>
              <w:jc w:val="left"/>
              <w:rPr>
                <w:rFonts w:ascii="宋体" w:hAnsi="宋体" w:cs="宋体"/>
                <w:kern w:val="0"/>
                <w:sz w:val="18"/>
                <w:szCs w:val="18"/>
              </w:rPr>
            </w:pPr>
            <w:r>
              <w:rPr>
                <w:rFonts w:hint="eastAsia" w:ascii="宋体" w:hAnsi="宋体" w:cs="宋体"/>
                <w:kern w:val="0"/>
                <w:sz w:val="18"/>
                <w:szCs w:val="18"/>
              </w:rPr>
              <w:t>巡查保养记录不全扣0.5分</w:t>
            </w:r>
          </w:p>
        </w:tc>
        <w:tc>
          <w:tcPr>
            <w:tcW w:w="327" w:type="pct"/>
            <w:vMerge w:val="restart"/>
            <w:tcBorders>
              <w:top w:val="nil"/>
              <w:left w:val="single" w:color="auto" w:sz="4" w:space="0"/>
              <w:bottom w:val="single" w:color="000000" w:sz="4" w:space="0"/>
              <w:right w:val="single" w:color="auto" w:sz="4" w:space="0"/>
            </w:tcBorders>
            <w:vAlign w:val="center"/>
          </w:tcPr>
          <w:p w14:paraId="54A9E038">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30B05F96">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3BBC397">
            <w:pPr>
              <w:widowControl/>
              <w:jc w:val="left"/>
              <w:rPr>
                <w:rFonts w:ascii="宋体" w:hAnsi="宋体" w:cs="宋体"/>
                <w:kern w:val="0"/>
                <w:sz w:val="18"/>
                <w:szCs w:val="18"/>
              </w:rPr>
            </w:pPr>
            <w:r>
              <w:rPr>
                <w:rFonts w:hint="eastAsia" w:ascii="宋体" w:hAnsi="宋体" w:cs="宋体"/>
                <w:kern w:val="0"/>
                <w:sz w:val="18"/>
                <w:szCs w:val="18"/>
              </w:rPr>
              <w:t>　</w:t>
            </w:r>
          </w:p>
        </w:tc>
      </w:tr>
      <w:tr w14:paraId="4831DA5F">
        <w:tblPrEx>
          <w:tblCellMar>
            <w:top w:w="0" w:type="dxa"/>
            <w:left w:w="108" w:type="dxa"/>
            <w:bottom w:w="0" w:type="dxa"/>
            <w:right w:w="108" w:type="dxa"/>
          </w:tblCellMar>
        </w:tblPrEx>
        <w:trPr>
          <w:trHeight w:val="244" w:hRule="atLeast"/>
        </w:trPr>
        <w:tc>
          <w:tcPr>
            <w:tcW w:w="249" w:type="pct"/>
            <w:vMerge w:val="continue"/>
            <w:tcBorders>
              <w:top w:val="nil"/>
              <w:left w:val="single" w:color="auto" w:sz="4" w:space="0"/>
              <w:bottom w:val="single" w:color="000000" w:sz="4" w:space="0"/>
              <w:right w:val="single" w:color="auto" w:sz="4" w:space="0"/>
            </w:tcBorders>
            <w:vAlign w:val="center"/>
          </w:tcPr>
          <w:p w14:paraId="1F1844F1">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55328CD">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9EF4181">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194CAE9">
            <w:pPr>
              <w:widowControl/>
              <w:jc w:val="left"/>
              <w:rPr>
                <w:rFonts w:ascii="宋体" w:hAnsi="宋体" w:cs="宋体"/>
                <w:kern w:val="0"/>
                <w:sz w:val="18"/>
                <w:szCs w:val="18"/>
              </w:rPr>
            </w:pPr>
            <w:r>
              <w:rPr>
                <w:rFonts w:hint="eastAsia" w:ascii="宋体" w:hAnsi="宋体" w:cs="宋体"/>
                <w:kern w:val="0"/>
                <w:sz w:val="18"/>
                <w:szCs w:val="18"/>
              </w:rPr>
              <w:t>路灯景观灯、配件齐全</w:t>
            </w:r>
          </w:p>
        </w:tc>
        <w:tc>
          <w:tcPr>
            <w:tcW w:w="320" w:type="pct"/>
            <w:tcBorders>
              <w:top w:val="nil"/>
              <w:left w:val="nil"/>
              <w:bottom w:val="single" w:color="auto" w:sz="4" w:space="0"/>
              <w:right w:val="single" w:color="auto" w:sz="4" w:space="0"/>
            </w:tcBorders>
            <w:vAlign w:val="center"/>
          </w:tcPr>
          <w:p w14:paraId="033D2FD3">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42EA126A">
            <w:pPr>
              <w:widowControl/>
              <w:jc w:val="left"/>
              <w:rPr>
                <w:rFonts w:ascii="宋体" w:hAnsi="宋体" w:cs="宋体"/>
                <w:kern w:val="0"/>
                <w:sz w:val="18"/>
                <w:szCs w:val="18"/>
              </w:rPr>
            </w:pPr>
            <w:r>
              <w:rPr>
                <w:rFonts w:hint="eastAsia" w:ascii="宋体" w:hAnsi="宋体" w:cs="宋体"/>
                <w:kern w:val="0"/>
                <w:sz w:val="18"/>
                <w:szCs w:val="18"/>
              </w:rPr>
              <w:t>路灯景观灯设施、配件有缺损的每处扣0.5分</w:t>
            </w:r>
          </w:p>
        </w:tc>
        <w:tc>
          <w:tcPr>
            <w:tcW w:w="327" w:type="pct"/>
            <w:vMerge w:val="continue"/>
            <w:tcBorders>
              <w:top w:val="nil"/>
              <w:left w:val="single" w:color="auto" w:sz="4" w:space="0"/>
              <w:bottom w:val="single" w:color="000000" w:sz="4" w:space="0"/>
              <w:right w:val="single" w:color="auto" w:sz="4" w:space="0"/>
            </w:tcBorders>
            <w:vAlign w:val="center"/>
          </w:tcPr>
          <w:p w14:paraId="3DD50D0B">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B2D819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3F62F44">
            <w:pPr>
              <w:widowControl/>
              <w:jc w:val="left"/>
              <w:rPr>
                <w:rFonts w:ascii="宋体" w:hAnsi="宋体" w:cs="宋体"/>
                <w:kern w:val="0"/>
                <w:sz w:val="18"/>
                <w:szCs w:val="18"/>
              </w:rPr>
            </w:pPr>
            <w:r>
              <w:rPr>
                <w:rFonts w:hint="eastAsia" w:ascii="宋体" w:hAnsi="宋体" w:cs="宋体"/>
                <w:kern w:val="0"/>
                <w:sz w:val="18"/>
                <w:szCs w:val="18"/>
              </w:rPr>
              <w:t>　</w:t>
            </w:r>
          </w:p>
        </w:tc>
      </w:tr>
      <w:tr w14:paraId="3E3BE981">
        <w:tblPrEx>
          <w:tblCellMar>
            <w:top w:w="0" w:type="dxa"/>
            <w:left w:w="108" w:type="dxa"/>
            <w:bottom w:w="0" w:type="dxa"/>
            <w:right w:w="108" w:type="dxa"/>
          </w:tblCellMar>
        </w:tblPrEx>
        <w:trPr>
          <w:trHeight w:val="210" w:hRule="atLeast"/>
        </w:trPr>
        <w:tc>
          <w:tcPr>
            <w:tcW w:w="249" w:type="pct"/>
            <w:vMerge w:val="continue"/>
            <w:tcBorders>
              <w:top w:val="nil"/>
              <w:left w:val="single" w:color="auto" w:sz="4" w:space="0"/>
              <w:bottom w:val="single" w:color="000000" w:sz="4" w:space="0"/>
              <w:right w:val="single" w:color="auto" w:sz="4" w:space="0"/>
            </w:tcBorders>
            <w:vAlign w:val="center"/>
          </w:tcPr>
          <w:p w14:paraId="0A7E437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96BF68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EE27303">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2AC1E2B">
            <w:pPr>
              <w:widowControl/>
              <w:jc w:val="left"/>
              <w:rPr>
                <w:rFonts w:ascii="宋体" w:hAnsi="宋体" w:cs="宋体"/>
                <w:kern w:val="0"/>
                <w:sz w:val="18"/>
                <w:szCs w:val="18"/>
              </w:rPr>
            </w:pPr>
            <w:r>
              <w:rPr>
                <w:rFonts w:hint="eastAsia" w:ascii="宋体" w:hAnsi="宋体" w:cs="宋体"/>
                <w:kern w:val="0"/>
                <w:sz w:val="18"/>
                <w:szCs w:val="18"/>
              </w:rPr>
              <w:t>接地装置良好</w:t>
            </w:r>
          </w:p>
        </w:tc>
        <w:tc>
          <w:tcPr>
            <w:tcW w:w="320" w:type="pct"/>
            <w:tcBorders>
              <w:top w:val="nil"/>
              <w:left w:val="nil"/>
              <w:bottom w:val="single" w:color="auto" w:sz="4" w:space="0"/>
              <w:right w:val="single" w:color="auto" w:sz="4" w:space="0"/>
            </w:tcBorders>
            <w:vAlign w:val="center"/>
          </w:tcPr>
          <w:p w14:paraId="487188CD">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421A3DD">
            <w:pPr>
              <w:widowControl/>
              <w:jc w:val="left"/>
              <w:rPr>
                <w:rFonts w:ascii="宋体" w:hAnsi="宋体" w:cs="宋体"/>
                <w:kern w:val="0"/>
                <w:sz w:val="18"/>
                <w:szCs w:val="18"/>
              </w:rPr>
            </w:pPr>
            <w:r>
              <w:rPr>
                <w:rFonts w:hint="eastAsia" w:ascii="宋体" w:hAnsi="宋体" w:cs="宋体"/>
                <w:kern w:val="0"/>
                <w:sz w:val="18"/>
                <w:szCs w:val="18"/>
              </w:rPr>
              <w:t>有损坏扣0.5分</w:t>
            </w:r>
          </w:p>
        </w:tc>
        <w:tc>
          <w:tcPr>
            <w:tcW w:w="327" w:type="pct"/>
            <w:vMerge w:val="continue"/>
            <w:tcBorders>
              <w:top w:val="nil"/>
              <w:left w:val="single" w:color="auto" w:sz="4" w:space="0"/>
              <w:bottom w:val="single" w:color="000000" w:sz="4" w:space="0"/>
              <w:right w:val="single" w:color="auto" w:sz="4" w:space="0"/>
            </w:tcBorders>
            <w:vAlign w:val="center"/>
          </w:tcPr>
          <w:p w14:paraId="7FDD3FF6">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C1EE01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24141B5">
            <w:pPr>
              <w:widowControl/>
              <w:jc w:val="left"/>
              <w:rPr>
                <w:rFonts w:ascii="宋体" w:hAnsi="宋体" w:cs="宋体"/>
                <w:kern w:val="0"/>
                <w:sz w:val="18"/>
                <w:szCs w:val="18"/>
              </w:rPr>
            </w:pPr>
            <w:r>
              <w:rPr>
                <w:rFonts w:hint="eastAsia" w:ascii="宋体" w:hAnsi="宋体" w:cs="宋体"/>
                <w:kern w:val="0"/>
                <w:sz w:val="18"/>
                <w:szCs w:val="18"/>
              </w:rPr>
              <w:t>　</w:t>
            </w:r>
          </w:p>
        </w:tc>
      </w:tr>
      <w:tr w14:paraId="41759176">
        <w:tblPrEx>
          <w:tblCellMar>
            <w:top w:w="0" w:type="dxa"/>
            <w:left w:w="108" w:type="dxa"/>
            <w:bottom w:w="0" w:type="dxa"/>
            <w:right w:w="108" w:type="dxa"/>
          </w:tblCellMar>
        </w:tblPrEx>
        <w:trPr>
          <w:trHeight w:val="370" w:hRule="atLeast"/>
        </w:trPr>
        <w:tc>
          <w:tcPr>
            <w:tcW w:w="249" w:type="pct"/>
            <w:vMerge w:val="continue"/>
            <w:tcBorders>
              <w:top w:val="nil"/>
              <w:left w:val="single" w:color="auto" w:sz="4" w:space="0"/>
              <w:bottom w:val="single" w:color="000000" w:sz="4" w:space="0"/>
              <w:right w:val="single" w:color="auto" w:sz="4" w:space="0"/>
            </w:tcBorders>
            <w:vAlign w:val="center"/>
          </w:tcPr>
          <w:p w14:paraId="53D04C8F">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00C08EA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0655B5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69AD4AB">
            <w:pPr>
              <w:widowControl/>
              <w:jc w:val="left"/>
              <w:rPr>
                <w:rFonts w:ascii="宋体" w:hAnsi="宋体" w:cs="宋体"/>
                <w:kern w:val="0"/>
                <w:sz w:val="18"/>
                <w:szCs w:val="18"/>
              </w:rPr>
            </w:pPr>
            <w:r>
              <w:rPr>
                <w:rFonts w:hint="eastAsia" w:ascii="宋体" w:hAnsi="宋体" w:cs="宋体"/>
                <w:kern w:val="0"/>
                <w:sz w:val="18"/>
                <w:szCs w:val="18"/>
              </w:rPr>
              <w:t>路灯景观灯外观整洁</w:t>
            </w:r>
          </w:p>
        </w:tc>
        <w:tc>
          <w:tcPr>
            <w:tcW w:w="320" w:type="pct"/>
            <w:tcBorders>
              <w:top w:val="nil"/>
              <w:left w:val="nil"/>
              <w:bottom w:val="single" w:color="auto" w:sz="4" w:space="0"/>
              <w:right w:val="single" w:color="auto" w:sz="4" w:space="0"/>
            </w:tcBorders>
            <w:vAlign w:val="center"/>
          </w:tcPr>
          <w:p w14:paraId="264B8A73">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2FF2E23">
            <w:pPr>
              <w:widowControl/>
              <w:jc w:val="left"/>
              <w:rPr>
                <w:rFonts w:ascii="宋体" w:hAnsi="宋体" w:cs="宋体"/>
                <w:kern w:val="0"/>
                <w:sz w:val="18"/>
                <w:szCs w:val="18"/>
              </w:rPr>
            </w:pPr>
            <w:r>
              <w:rPr>
                <w:rFonts w:hint="eastAsia" w:ascii="宋体" w:hAnsi="宋体" w:cs="宋体"/>
                <w:kern w:val="0"/>
                <w:sz w:val="18"/>
                <w:szCs w:val="18"/>
              </w:rPr>
              <w:t>路灯景观灯外观有污垢、灯具有损坏的扣0.5分</w:t>
            </w:r>
          </w:p>
        </w:tc>
        <w:tc>
          <w:tcPr>
            <w:tcW w:w="327" w:type="pct"/>
            <w:vMerge w:val="continue"/>
            <w:tcBorders>
              <w:top w:val="nil"/>
              <w:left w:val="single" w:color="auto" w:sz="4" w:space="0"/>
              <w:bottom w:val="single" w:color="000000" w:sz="4" w:space="0"/>
              <w:right w:val="single" w:color="auto" w:sz="4" w:space="0"/>
            </w:tcBorders>
            <w:vAlign w:val="center"/>
          </w:tcPr>
          <w:p w14:paraId="45E6BE0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574A33F">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7F46900">
            <w:pPr>
              <w:widowControl/>
              <w:jc w:val="left"/>
              <w:rPr>
                <w:rFonts w:ascii="宋体" w:hAnsi="宋体" w:cs="宋体"/>
                <w:kern w:val="0"/>
                <w:sz w:val="18"/>
                <w:szCs w:val="18"/>
              </w:rPr>
            </w:pPr>
            <w:r>
              <w:rPr>
                <w:rFonts w:hint="eastAsia" w:ascii="宋体" w:hAnsi="宋体" w:cs="宋体"/>
                <w:kern w:val="0"/>
                <w:sz w:val="18"/>
                <w:szCs w:val="18"/>
              </w:rPr>
              <w:t>　</w:t>
            </w:r>
          </w:p>
        </w:tc>
      </w:tr>
      <w:tr w14:paraId="1304A99B">
        <w:tblPrEx>
          <w:tblCellMar>
            <w:top w:w="0" w:type="dxa"/>
            <w:left w:w="108" w:type="dxa"/>
            <w:bottom w:w="0" w:type="dxa"/>
            <w:right w:w="108" w:type="dxa"/>
          </w:tblCellMar>
        </w:tblPrEx>
        <w:trPr>
          <w:trHeight w:val="607" w:hRule="atLeast"/>
        </w:trPr>
        <w:tc>
          <w:tcPr>
            <w:tcW w:w="249" w:type="pct"/>
            <w:vMerge w:val="continue"/>
            <w:tcBorders>
              <w:top w:val="nil"/>
              <w:left w:val="single" w:color="auto" w:sz="4" w:space="0"/>
              <w:bottom w:val="single" w:color="000000" w:sz="4" w:space="0"/>
              <w:right w:val="single" w:color="auto" w:sz="4" w:space="0"/>
            </w:tcBorders>
            <w:vAlign w:val="center"/>
          </w:tcPr>
          <w:p w14:paraId="168FD90A">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6175C63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8ADE42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AE2746E">
            <w:pPr>
              <w:widowControl/>
              <w:jc w:val="left"/>
              <w:rPr>
                <w:rFonts w:ascii="宋体" w:hAnsi="宋体" w:cs="宋体"/>
                <w:kern w:val="0"/>
                <w:sz w:val="18"/>
                <w:szCs w:val="18"/>
              </w:rPr>
            </w:pPr>
            <w:r>
              <w:rPr>
                <w:rFonts w:hint="eastAsia" w:ascii="宋体" w:hAnsi="宋体" w:cs="宋体"/>
                <w:kern w:val="0"/>
                <w:sz w:val="18"/>
                <w:szCs w:val="18"/>
              </w:rPr>
              <w:t>及时更换灯具光源、清洗喷泉水池，确保节日灯光喷泉的正常使用</w:t>
            </w:r>
          </w:p>
        </w:tc>
        <w:tc>
          <w:tcPr>
            <w:tcW w:w="320" w:type="pct"/>
            <w:tcBorders>
              <w:top w:val="nil"/>
              <w:left w:val="nil"/>
              <w:bottom w:val="single" w:color="auto" w:sz="4" w:space="0"/>
              <w:right w:val="single" w:color="auto" w:sz="4" w:space="0"/>
            </w:tcBorders>
            <w:vAlign w:val="center"/>
          </w:tcPr>
          <w:p w14:paraId="2F035CCD">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3F3A79D">
            <w:pPr>
              <w:widowControl/>
              <w:jc w:val="left"/>
              <w:rPr>
                <w:rFonts w:ascii="宋体" w:hAnsi="宋体" w:cs="宋体"/>
                <w:kern w:val="0"/>
                <w:sz w:val="18"/>
                <w:szCs w:val="18"/>
              </w:rPr>
            </w:pPr>
            <w:r>
              <w:rPr>
                <w:rFonts w:hint="eastAsia" w:ascii="宋体" w:hAnsi="宋体" w:cs="宋体"/>
                <w:kern w:val="0"/>
                <w:sz w:val="18"/>
                <w:szCs w:val="18"/>
              </w:rPr>
              <w:t>有损坏,不能保证节日灯光喷泉正常使用的扣1分</w:t>
            </w:r>
          </w:p>
        </w:tc>
        <w:tc>
          <w:tcPr>
            <w:tcW w:w="327" w:type="pct"/>
            <w:vMerge w:val="continue"/>
            <w:tcBorders>
              <w:top w:val="nil"/>
              <w:left w:val="single" w:color="auto" w:sz="4" w:space="0"/>
              <w:bottom w:val="single" w:color="000000" w:sz="4" w:space="0"/>
              <w:right w:val="single" w:color="auto" w:sz="4" w:space="0"/>
            </w:tcBorders>
            <w:vAlign w:val="center"/>
          </w:tcPr>
          <w:p w14:paraId="25231AD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B6C67C5">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4F65830">
            <w:pPr>
              <w:widowControl/>
              <w:jc w:val="left"/>
              <w:rPr>
                <w:rFonts w:ascii="宋体" w:hAnsi="宋体" w:cs="宋体"/>
                <w:kern w:val="0"/>
                <w:sz w:val="18"/>
                <w:szCs w:val="18"/>
              </w:rPr>
            </w:pPr>
            <w:r>
              <w:rPr>
                <w:rFonts w:hint="eastAsia" w:ascii="宋体" w:hAnsi="宋体" w:cs="宋体"/>
                <w:kern w:val="0"/>
                <w:sz w:val="18"/>
                <w:szCs w:val="18"/>
              </w:rPr>
              <w:t>　</w:t>
            </w:r>
          </w:p>
        </w:tc>
      </w:tr>
      <w:tr w14:paraId="16AD0C9C">
        <w:tblPrEx>
          <w:tblCellMar>
            <w:top w:w="0" w:type="dxa"/>
            <w:left w:w="108" w:type="dxa"/>
            <w:bottom w:w="0" w:type="dxa"/>
            <w:right w:w="108" w:type="dxa"/>
          </w:tblCellMar>
        </w:tblPrEx>
        <w:trPr>
          <w:trHeight w:val="586" w:hRule="atLeast"/>
        </w:trPr>
        <w:tc>
          <w:tcPr>
            <w:tcW w:w="249" w:type="pct"/>
            <w:vMerge w:val="continue"/>
            <w:tcBorders>
              <w:top w:val="nil"/>
              <w:left w:val="single" w:color="auto" w:sz="4" w:space="0"/>
              <w:bottom w:val="single" w:color="000000" w:sz="4" w:space="0"/>
              <w:right w:val="single" w:color="auto" w:sz="4" w:space="0"/>
            </w:tcBorders>
            <w:vAlign w:val="center"/>
          </w:tcPr>
          <w:p w14:paraId="2EC1793B">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522C05E">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ED5182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976BBB3">
            <w:pPr>
              <w:widowControl/>
              <w:jc w:val="left"/>
              <w:rPr>
                <w:rFonts w:ascii="宋体" w:hAnsi="宋体" w:cs="宋体"/>
                <w:kern w:val="0"/>
                <w:sz w:val="18"/>
                <w:szCs w:val="18"/>
              </w:rPr>
            </w:pPr>
            <w:r>
              <w:rPr>
                <w:rFonts w:hint="eastAsia" w:ascii="宋体" w:hAnsi="宋体" w:cs="宋体"/>
                <w:kern w:val="0"/>
                <w:sz w:val="18"/>
                <w:szCs w:val="18"/>
              </w:rPr>
              <w:t>定期检测，发现故障及时维修，零修及时率达到100%，小修不过夜</w:t>
            </w:r>
          </w:p>
        </w:tc>
        <w:tc>
          <w:tcPr>
            <w:tcW w:w="320" w:type="pct"/>
            <w:tcBorders>
              <w:top w:val="nil"/>
              <w:left w:val="nil"/>
              <w:bottom w:val="single" w:color="auto" w:sz="4" w:space="0"/>
              <w:right w:val="single" w:color="auto" w:sz="4" w:space="0"/>
            </w:tcBorders>
            <w:vAlign w:val="center"/>
          </w:tcPr>
          <w:p w14:paraId="780B73C3">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4409AE23">
            <w:pPr>
              <w:widowControl/>
              <w:jc w:val="left"/>
              <w:rPr>
                <w:rFonts w:ascii="宋体" w:hAnsi="宋体" w:cs="宋体"/>
                <w:kern w:val="0"/>
                <w:sz w:val="18"/>
                <w:szCs w:val="18"/>
              </w:rPr>
            </w:pPr>
            <w:r>
              <w:rPr>
                <w:rFonts w:hint="eastAsia" w:ascii="宋体" w:hAnsi="宋体" w:cs="宋体"/>
                <w:kern w:val="0"/>
                <w:sz w:val="18"/>
                <w:szCs w:val="18"/>
              </w:rPr>
              <w:t>不达标扣0.5分</w:t>
            </w:r>
          </w:p>
        </w:tc>
        <w:tc>
          <w:tcPr>
            <w:tcW w:w="327" w:type="pct"/>
            <w:vMerge w:val="continue"/>
            <w:tcBorders>
              <w:top w:val="nil"/>
              <w:left w:val="single" w:color="auto" w:sz="4" w:space="0"/>
              <w:bottom w:val="single" w:color="000000" w:sz="4" w:space="0"/>
              <w:right w:val="single" w:color="auto" w:sz="4" w:space="0"/>
            </w:tcBorders>
            <w:vAlign w:val="center"/>
          </w:tcPr>
          <w:p w14:paraId="70BB98F9">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84B562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4105664">
            <w:pPr>
              <w:widowControl/>
              <w:jc w:val="left"/>
              <w:rPr>
                <w:rFonts w:ascii="宋体" w:hAnsi="宋体" w:cs="宋体"/>
                <w:kern w:val="0"/>
                <w:sz w:val="18"/>
                <w:szCs w:val="18"/>
              </w:rPr>
            </w:pPr>
            <w:r>
              <w:rPr>
                <w:rFonts w:hint="eastAsia" w:ascii="宋体" w:hAnsi="宋体" w:cs="宋体"/>
                <w:kern w:val="0"/>
                <w:sz w:val="18"/>
                <w:szCs w:val="18"/>
              </w:rPr>
              <w:t>　</w:t>
            </w:r>
          </w:p>
        </w:tc>
      </w:tr>
      <w:tr w14:paraId="14C5E1D4">
        <w:tblPrEx>
          <w:tblCellMar>
            <w:top w:w="0" w:type="dxa"/>
            <w:left w:w="108" w:type="dxa"/>
            <w:bottom w:w="0" w:type="dxa"/>
            <w:right w:w="108" w:type="dxa"/>
          </w:tblCellMar>
        </w:tblPrEx>
        <w:trPr>
          <w:trHeight w:val="580" w:hRule="atLeast"/>
        </w:trPr>
        <w:tc>
          <w:tcPr>
            <w:tcW w:w="249" w:type="pct"/>
            <w:vMerge w:val="restart"/>
            <w:tcBorders>
              <w:top w:val="nil"/>
              <w:left w:val="single" w:color="auto" w:sz="4" w:space="0"/>
              <w:bottom w:val="single" w:color="000000" w:sz="4" w:space="0"/>
              <w:right w:val="single" w:color="auto" w:sz="4" w:space="0"/>
            </w:tcBorders>
            <w:vAlign w:val="center"/>
          </w:tcPr>
          <w:p w14:paraId="5B73BCC3">
            <w:pPr>
              <w:widowControl/>
              <w:jc w:val="center"/>
              <w:rPr>
                <w:rFonts w:ascii="宋体" w:hAnsi="宋体" w:cs="宋体"/>
                <w:kern w:val="0"/>
                <w:sz w:val="18"/>
                <w:szCs w:val="18"/>
              </w:rPr>
            </w:pPr>
            <w:r>
              <w:rPr>
                <w:rFonts w:hint="eastAsia" w:ascii="宋体" w:hAnsi="宋体" w:cs="宋体"/>
                <w:kern w:val="0"/>
                <w:sz w:val="18"/>
                <w:szCs w:val="18"/>
              </w:rPr>
              <w:t>十三</w:t>
            </w:r>
          </w:p>
        </w:tc>
        <w:tc>
          <w:tcPr>
            <w:tcW w:w="242" w:type="pct"/>
            <w:vMerge w:val="restart"/>
            <w:tcBorders>
              <w:top w:val="nil"/>
              <w:left w:val="single" w:color="auto" w:sz="4" w:space="0"/>
              <w:bottom w:val="single" w:color="000000" w:sz="4" w:space="0"/>
              <w:right w:val="single" w:color="auto" w:sz="4" w:space="0"/>
            </w:tcBorders>
            <w:vAlign w:val="center"/>
          </w:tcPr>
          <w:p w14:paraId="203ACAC7">
            <w:pPr>
              <w:widowControl/>
              <w:jc w:val="center"/>
              <w:rPr>
                <w:rFonts w:ascii="宋体" w:hAnsi="宋体" w:cs="宋体"/>
                <w:kern w:val="0"/>
                <w:sz w:val="18"/>
                <w:szCs w:val="18"/>
              </w:rPr>
            </w:pPr>
            <w:r>
              <w:rPr>
                <w:rFonts w:hint="eastAsia" w:ascii="宋体" w:hAnsi="宋体" w:cs="宋体"/>
                <w:kern w:val="0"/>
                <w:sz w:val="18"/>
                <w:szCs w:val="18"/>
              </w:rPr>
              <w:t>室内照明</w:t>
            </w:r>
          </w:p>
          <w:p w14:paraId="62B5F19C">
            <w:pPr>
              <w:widowControl/>
              <w:jc w:val="center"/>
              <w:rPr>
                <w:rFonts w:ascii="宋体" w:hAnsi="宋体" w:cs="宋体"/>
                <w:kern w:val="0"/>
                <w:sz w:val="18"/>
                <w:szCs w:val="18"/>
              </w:rPr>
            </w:pPr>
            <w:r>
              <w:rPr>
                <w:rFonts w:hint="eastAsia" w:ascii="宋体" w:hAnsi="宋体" w:cs="宋体"/>
                <w:kern w:val="0"/>
                <w:sz w:val="18"/>
                <w:szCs w:val="18"/>
              </w:rPr>
              <w:t>插座管理</w:t>
            </w:r>
          </w:p>
        </w:tc>
        <w:tc>
          <w:tcPr>
            <w:tcW w:w="304" w:type="pct"/>
            <w:vMerge w:val="restart"/>
            <w:tcBorders>
              <w:top w:val="nil"/>
              <w:left w:val="single" w:color="auto" w:sz="4" w:space="0"/>
              <w:bottom w:val="single" w:color="000000" w:sz="4" w:space="0"/>
              <w:right w:val="single" w:color="auto" w:sz="4" w:space="0"/>
            </w:tcBorders>
            <w:vAlign w:val="center"/>
          </w:tcPr>
          <w:p w14:paraId="422DAC6F">
            <w:pPr>
              <w:widowControl/>
              <w:jc w:val="center"/>
              <w:rPr>
                <w:rFonts w:ascii="宋体" w:hAnsi="宋体" w:cs="宋体"/>
                <w:kern w:val="0"/>
                <w:sz w:val="18"/>
                <w:szCs w:val="18"/>
              </w:rPr>
            </w:pPr>
            <w:r>
              <w:rPr>
                <w:rFonts w:hint="eastAsia" w:ascii="宋体" w:hAnsi="宋体" w:cs="宋体"/>
                <w:kern w:val="0"/>
                <w:sz w:val="18"/>
                <w:szCs w:val="18"/>
              </w:rPr>
              <w:t>3</w:t>
            </w:r>
          </w:p>
        </w:tc>
        <w:tc>
          <w:tcPr>
            <w:tcW w:w="1320" w:type="pct"/>
            <w:tcBorders>
              <w:top w:val="nil"/>
              <w:left w:val="nil"/>
              <w:bottom w:val="single" w:color="auto" w:sz="4" w:space="0"/>
              <w:right w:val="single" w:color="auto" w:sz="4" w:space="0"/>
            </w:tcBorders>
            <w:vAlign w:val="center"/>
          </w:tcPr>
          <w:p w14:paraId="56E5F808">
            <w:pPr>
              <w:widowControl/>
              <w:jc w:val="left"/>
              <w:rPr>
                <w:rFonts w:ascii="宋体" w:hAnsi="宋体" w:cs="宋体"/>
                <w:kern w:val="0"/>
                <w:sz w:val="18"/>
                <w:szCs w:val="18"/>
              </w:rPr>
            </w:pPr>
            <w:r>
              <w:rPr>
                <w:rFonts w:hint="eastAsia" w:ascii="宋体" w:hAnsi="宋体" w:cs="宋体"/>
                <w:kern w:val="0"/>
                <w:sz w:val="18"/>
                <w:szCs w:val="18"/>
              </w:rPr>
              <w:t>灯具外抹每月二次，内抹每月一次，灯具灯管无积尘，灯具内无蚊虫，灯盖灯罩无蜘蛛网，保持明亮洁净</w:t>
            </w:r>
          </w:p>
        </w:tc>
        <w:tc>
          <w:tcPr>
            <w:tcW w:w="320" w:type="pct"/>
            <w:tcBorders>
              <w:top w:val="nil"/>
              <w:left w:val="nil"/>
              <w:bottom w:val="single" w:color="auto" w:sz="4" w:space="0"/>
              <w:right w:val="single" w:color="auto" w:sz="4" w:space="0"/>
            </w:tcBorders>
            <w:vAlign w:val="center"/>
          </w:tcPr>
          <w:p w14:paraId="24185FD6">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D2853EC">
            <w:pPr>
              <w:widowControl/>
              <w:jc w:val="left"/>
              <w:rPr>
                <w:rFonts w:ascii="宋体" w:hAnsi="宋体" w:cs="宋体"/>
                <w:kern w:val="0"/>
                <w:sz w:val="18"/>
                <w:szCs w:val="18"/>
              </w:rPr>
            </w:pPr>
            <w:r>
              <w:rPr>
                <w:rFonts w:hint="eastAsia" w:ascii="宋体" w:hAnsi="宋体" w:cs="宋体"/>
                <w:kern w:val="0"/>
                <w:sz w:val="18"/>
                <w:szCs w:val="18"/>
              </w:rPr>
              <w:t>灯具灯管有积尘、灯具内有蚊虫、灯盖灯罩有蜘蛛网每处扣0.2分</w:t>
            </w:r>
          </w:p>
        </w:tc>
        <w:tc>
          <w:tcPr>
            <w:tcW w:w="327" w:type="pct"/>
            <w:vMerge w:val="restart"/>
            <w:tcBorders>
              <w:top w:val="nil"/>
              <w:left w:val="single" w:color="auto" w:sz="4" w:space="0"/>
              <w:bottom w:val="single" w:color="000000" w:sz="4" w:space="0"/>
              <w:right w:val="single" w:color="auto" w:sz="4" w:space="0"/>
            </w:tcBorders>
            <w:vAlign w:val="center"/>
          </w:tcPr>
          <w:p w14:paraId="1043D640">
            <w:pPr>
              <w:widowControl/>
              <w:jc w:val="center"/>
              <w:rPr>
                <w:rFonts w:ascii="宋体" w:hAnsi="宋体" w:cs="宋体"/>
                <w:kern w:val="0"/>
                <w:sz w:val="18"/>
                <w:szCs w:val="18"/>
              </w:rPr>
            </w:pPr>
            <w:r>
              <w:rPr>
                <w:rFonts w:hint="eastAsia" w:ascii="宋体" w:hAnsi="宋体" w:cs="宋体"/>
                <w:kern w:val="0"/>
                <w:sz w:val="18"/>
                <w:szCs w:val="18"/>
              </w:rPr>
              <w:t>查看资料现场检查</w:t>
            </w:r>
          </w:p>
        </w:tc>
        <w:tc>
          <w:tcPr>
            <w:tcW w:w="390" w:type="pct"/>
            <w:tcBorders>
              <w:top w:val="nil"/>
              <w:left w:val="nil"/>
              <w:bottom w:val="single" w:color="auto" w:sz="4" w:space="0"/>
              <w:right w:val="single" w:color="auto" w:sz="4" w:space="0"/>
            </w:tcBorders>
            <w:vAlign w:val="center"/>
          </w:tcPr>
          <w:p w14:paraId="520A3C97">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501966C5">
            <w:pPr>
              <w:widowControl/>
              <w:jc w:val="left"/>
              <w:rPr>
                <w:rFonts w:ascii="宋体" w:hAnsi="宋体" w:cs="宋体"/>
                <w:kern w:val="0"/>
                <w:sz w:val="18"/>
                <w:szCs w:val="18"/>
              </w:rPr>
            </w:pPr>
            <w:r>
              <w:rPr>
                <w:rFonts w:hint="eastAsia" w:ascii="宋体" w:hAnsi="宋体" w:cs="宋体"/>
                <w:kern w:val="0"/>
                <w:sz w:val="18"/>
                <w:szCs w:val="18"/>
              </w:rPr>
              <w:t>　</w:t>
            </w:r>
          </w:p>
        </w:tc>
      </w:tr>
      <w:tr w14:paraId="21954431">
        <w:tblPrEx>
          <w:tblCellMar>
            <w:top w:w="0" w:type="dxa"/>
            <w:left w:w="108" w:type="dxa"/>
            <w:bottom w:w="0" w:type="dxa"/>
            <w:right w:w="108" w:type="dxa"/>
          </w:tblCellMar>
        </w:tblPrEx>
        <w:trPr>
          <w:trHeight w:val="418" w:hRule="atLeast"/>
        </w:trPr>
        <w:tc>
          <w:tcPr>
            <w:tcW w:w="249" w:type="pct"/>
            <w:vMerge w:val="continue"/>
            <w:tcBorders>
              <w:top w:val="nil"/>
              <w:left w:val="single" w:color="auto" w:sz="4" w:space="0"/>
              <w:bottom w:val="single" w:color="000000" w:sz="4" w:space="0"/>
              <w:right w:val="single" w:color="auto" w:sz="4" w:space="0"/>
            </w:tcBorders>
            <w:vAlign w:val="center"/>
          </w:tcPr>
          <w:p w14:paraId="232B10C0">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28748E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5A99618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E4B8912">
            <w:pPr>
              <w:widowControl/>
              <w:jc w:val="left"/>
              <w:rPr>
                <w:rFonts w:ascii="宋体" w:hAnsi="宋体" w:cs="宋体"/>
                <w:kern w:val="0"/>
                <w:sz w:val="18"/>
                <w:szCs w:val="18"/>
              </w:rPr>
            </w:pPr>
            <w:r>
              <w:rPr>
                <w:rFonts w:hint="eastAsia" w:ascii="宋体" w:hAnsi="宋体" w:cs="宋体"/>
                <w:kern w:val="0"/>
                <w:sz w:val="18"/>
                <w:szCs w:val="18"/>
              </w:rPr>
              <w:t>及时更换灯具光源、开关、插座，零修合格率100%</w:t>
            </w:r>
          </w:p>
        </w:tc>
        <w:tc>
          <w:tcPr>
            <w:tcW w:w="320" w:type="pct"/>
            <w:tcBorders>
              <w:top w:val="nil"/>
              <w:left w:val="nil"/>
              <w:bottom w:val="single" w:color="auto" w:sz="4" w:space="0"/>
              <w:right w:val="single" w:color="auto" w:sz="4" w:space="0"/>
            </w:tcBorders>
            <w:vAlign w:val="center"/>
          </w:tcPr>
          <w:p w14:paraId="492289F3">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0B4C1D11">
            <w:pPr>
              <w:widowControl/>
              <w:jc w:val="left"/>
              <w:rPr>
                <w:rFonts w:ascii="宋体" w:hAnsi="宋体" w:cs="宋体"/>
                <w:kern w:val="0"/>
                <w:sz w:val="18"/>
                <w:szCs w:val="18"/>
              </w:rPr>
            </w:pPr>
            <w:r>
              <w:rPr>
                <w:rFonts w:hint="eastAsia" w:ascii="宋体" w:hAnsi="宋体" w:cs="宋体"/>
                <w:kern w:val="0"/>
                <w:sz w:val="18"/>
                <w:szCs w:val="18"/>
              </w:rPr>
              <w:t>不达标扣0.5分</w:t>
            </w:r>
          </w:p>
        </w:tc>
        <w:tc>
          <w:tcPr>
            <w:tcW w:w="327" w:type="pct"/>
            <w:vMerge w:val="continue"/>
            <w:tcBorders>
              <w:top w:val="nil"/>
              <w:left w:val="single" w:color="auto" w:sz="4" w:space="0"/>
              <w:bottom w:val="single" w:color="000000" w:sz="4" w:space="0"/>
              <w:right w:val="single" w:color="auto" w:sz="4" w:space="0"/>
            </w:tcBorders>
            <w:vAlign w:val="center"/>
          </w:tcPr>
          <w:p w14:paraId="14F44515">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9250AF0">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29216EB">
            <w:pPr>
              <w:widowControl/>
              <w:jc w:val="left"/>
              <w:rPr>
                <w:rFonts w:ascii="宋体" w:hAnsi="宋体" w:cs="宋体"/>
                <w:kern w:val="0"/>
                <w:sz w:val="18"/>
                <w:szCs w:val="18"/>
              </w:rPr>
            </w:pPr>
            <w:r>
              <w:rPr>
                <w:rFonts w:hint="eastAsia" w:ascii="宋体" w:hAnsi="宋体" w:cs="宋体"/>
                <w:kern w:val="0"/>
                <w:sz w:val="18"/>
                <w:szCs w:val="18"/>
              </w:rPr>
              <w:t>　</w:t>
            </w:r>
          </w:p>
        </w:tc>
      </w:tr>
      <w:tr w14:paraId="3A0A5C33">
        <w:tblPrEx>
          <w:tblCellMar>
            <w:top w:w="0" w:type="dxa"/>
            <w:left w:w="108" w:type="dxa"/>
            <w:bottom w:w="0" w:type="dxa"/>
            <w:right w:w="108" w:type="dxa"/>
          </w:tblCellMar>
        </w:tblPrEx>
        <w:trPr>
          <w:trHeight w:val="297" w:hRule="atLeast"/>
        </w:trPr>
        <w:tc>
          <w:tcPr>
            <w:tcW w:w="249" w:type="pct"/>
            <w:vMerge w:val="continue"/>
            <w:tcBorders>
              <w:top w:val="nil"/>
              <w:left w:val="single" w:color="auto" w:sz="4" w:space="0"/>
              <w:bottom w:val="single" w:color="000000" w:sz="4" w:space="0"/>
              <w:right w:val="single" w:color="auto" w:sz="4" w:space="0"/>
            </w:tcBorders>
            <w:vAlign w:val="center"/>
          </w:tcPr>
          <w:p w14:paraId="3B5F7D6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30A7368">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F6C8B8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587D848">
            <w:pPr>
              <w:widowControl/>
              <w:jc w:val="left"/>
              <w:rPr>
                <w:rFonts w:ascii="宋体" w:hAnsi="宋体" w:cs="宋体"/>
                <w:kern w:val="0"/>
                <w:sz w:val="18"/>
                <w:szCs w:val="18"/>
              </w:rPr>
            </w:pPr>
            <w:r>
              <w:rPr>
                <w:rFonts w:hint="eastAsia" w:ascii="宋体" w:hAnsi="宋体" w:cs="宋体"/>
                <w:kern w:val="0"/>
                <w:sz w:val="18"/>
                <w:szCs w:val="18"/>
              </w:rPr>
              <w:t>开关、插座完好无缺，使用正常</w:t>
            </w:r>
          </w:p>
        </w:tc>
        <w:tc>
          <w:tcPr>
            <w:tcW w:w="320" w:type="pct"/>
            <w:tcBorders>
              <w:top w:val="nil"/>
              <w:left w:val="nil"/>
              <w:bottom w:val="single" w:color="auto" w:sz="4" w:space="0"/>
              <w:right w:val="single" w:color="auto" w:sz="4" w:space="0"/>
            </w:tcBorders>
            <w:vAlign w:val="center"/>
          </w:tcPr>
          <w:p w14:paraId="57198825">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26C63E9B">
            <w:pPr>
              <w:widowControl/>
              <w:jc w:val="left"/>
              <w:rPr>
                <w:rFonts w:ascii="宋体" w:hAnsi="宋体" w:cs="宋体"/>
                <w:kern w:val="0"/>
                <w:sz w:val="18"/>
                <w:szCs w:val="18"/>
              </w:rPr>
            </w:pPr>
            <w:r>
              <w:rPr>
                <w:rFonts w:hint="eastAsia" w:ascii="宋体" w:hAnsi="宋体" w:cs="宋体"/>
                <w:kern w:val="0"/>
                <w:sz w:val="18"/>
                <w:szCs w:val="18"/>
              </w:rPr>
              <w:t>开关、插座有缺损、使用不正常的扣0.5分</w:t>
            </w:r>
          </w:p>
        </w:tc>
        <w:tc>
          <w:tcPr>
            <w:tcW w:w="327" w:type="pct"/>
            <w:vMerge w:val="continue"/>
            <w:tcBorders>
              <w:top w:val="nil"/>
              <w:left w:val="single" w:color="auto" w:sz="4" w:space="0"/>
              <w:bottom w:val="single" w:color="000000" w:sz="4" w:space="0"/>
              <w:right w:val="single" w:color="auto" w:sz="4" w:space="0"/>
            </w:tcBorders>
            <w:vAlign w:val="center"/>
          </w:tcPr>
          <w:p w14:paraId="165D9144">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F21740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D39202B">
            <w:pPr>
              <w:widowControl/>
              <w:jc w:val="left"/>
              <w:rPr>
                <w:rFonts w:ascii="宋体" w:hAnsi="宋体" w:cs="宋体"/>
                <w:kern w:val="0"/>
                <w:sz w:val="18"/>
                <w:szCs w:val="18"/>
              </w:rPr>
            </w:pPr>
            <w:r>
              <w:rPr>
                <w:rFonts w:hint="eastAsia" w:ascii="宋体" w:hAnsi="宋体" w:cs="宋体"/>
                <w:kern w:val="0"/>
                <w:sz w:val="18"/>
                <w:szCs w:val="18"/>
              </w:rPr>
              <w:t>　</w:t>
            </w:r>
          </w:p>
        </w:tc>
      </w:tr>
      <w:tr w14:paraId="7987907B">
        <w:tblPrEx>
          <w:tblCellMar>
            <w:top w:w="0" w:type="dxa"/>
            <w:left w:w="108" w:type="dxa"/>
            <w:bottom w:w="0" w:type="dxa"/>
            <w:right w:w="108" w:type="dxa"/>
          </w:tblCellMar>
        </w:tblPrEx>
        <w:trPr>
          <w:trHeight w:val="291" w:hRule="atLeast"/>
        </w:trPr>
        <w:tc>
          <w:tcPr>
            <w:tcW w:w="249" w:type="pct"/>
            <w:vMerge w:val="restart"/>
            <w:tcBorders>
              <w:top w:val="nil"/>
              <w:left w:val="single" w:color="auto" w:sz="4" w:space="0"/>
              <w:bottom w:val="single" w:color="000000" w:sz="4" w:space="0"/>
              <w:right w:val="single" w:color="auto" w:sz="4" w:space="0"/>
            </w:tcBorders>
            <w:vAlign w:val="center"/>
          </w:tcPr>
          <w:p w14:paraId="4E5B098F">
            <w:pPr>
              <w:widowControl/>
              <w:jc w:val="center"/>
              <w:rPr>
                <w:rFonts w:ascii="宋体" w:hAnsi="宋体" w:cs="宋体"/>
                <w:kern w:val="0"/>
                <w:sz w:val="18"/>
                <w:szCs w:val="18"/>
              </w:rPr>
            </w:pPr>
            <w:r>
              <w:rPr>
                <w:rFonts w:hint="eastAsia" w:ascii="宋体" w:hAnsi="宋体" w:cs="宋体"/>
                <w:kern w:val="0"/>
                <w:sz w:val="18"/>
                <w:szCs w:val="18"/>
              </w:rPr>
              <w:t>十四</w:t>
            </w:r>
          </w:p>
        </w:tc>
        <w:tc>
          <w:tcPr>
            <w:tcW w:w="242" w:type="pct"/>
            <w:vMerge w:val="restart"/>
            <w:tcBorders>
              <w:top w:val="nil"/>
              <w:left w:val="single" w:color="auto" w:sz="4" w:space="0"/>
              <w:bottom w:val="single" w:color="000000" w:sz="4" w:space="0"/>
              <w:right w:val="single" w:color="auto" w:sz="4" w:space="0"/>
            </w:tcBorders>
            <w:vAlign w:val="center"/>
          </w:tcPr>
          <w:p w14:paraId="44C6CD9A">
            <w:pPr>
              <w:widowControl/>
              <w:jc w:val="center"/>
              <w:rPr>
                <w:rFonts w:ascii="宋体" w:hAnsi="宋体" w:cs="宋体"/>
                <w:kern w:val="0"/>
                <w:sz w:val="18"/>
                <w:szCs w:val="18"/>
              </w:rPr>
            </w:pPr>
            <w:r>
              <w:rPr>
                <w:rFonts w:hint="eastAsia" w:ascii="宋体" w:hAnsi="宋体" w:cs="宋体"/>
                <w:kern w:val="0"/>
                <w:sz w:val="18"/>
                <w:szCs w:val="18"/>
              </w:rPr>
              <w:t>给排水管道、用水设施管理</w:t>
            </w:r>
          </w:p>
        </w:tc>
        <w:tc>
          <w:tcPr>
            <w:tcW w:w="304" w:type="pct"/>
            <w:vMerge w:val="restart"/>
            <w:tcBorders>
              <w:top w:val="nil"/>
              <w:left w:val="single" w:color="auto" w:sz="4" w:space="0"/>
              <w:bottom w:val="single" w:color="000000" w:sz="4" w:space="0"/>
              <w:right w:val="single" w:color="auto" w:sz="4" w:space="0"/>
            </w:tcBorders>
            <w:vAlign w:val="center"/>
          </w:tcPr>
          <w:p w14:paraId="7D97EE35">
            <w:pPr>
              <w:widowControl/>
              <w:jc w:val="center"/>
              <w:rPr>
                <w:rFonts w:ascii="宋体" w:hAnsi="宋体" w:cs="宋体"/>
                <w:kern w:val="0"/>
                <w:sz w:val="18"/>
                <w:szCs w:val="18"/>
              </w:rPr>
            </w:pPr>
            <w:r>
              <w:rPr>
                <w:rFonts w:hint="eastAsia" w:ascii="宋体" w:hAnsi="宋体" w:cs="宋体"/>
                <w:kern w:val="0"/>
                <w:sz w:val="18"/>
                <w:szCs w:val="18"/>
              </w:rPr>
              <w:t>6</w:t>
            </w:r>
          </w:p>
        </w:tc>
        <w:tc>
          <w:tcPr>
            <w:tcW w:w="1320" w:type="pct"/>
            <w:tcBorders>
              <w:top w:val="nil"/>
              <w:left w:val="nil"/>
              <w:bottom w:val="single" w:color="auto" w:sz="4" w:space="0"/>
              <w:right w:val="single" w:color="auto" w:sz="4" w:space="0"/>
            </w:tcBorders>
            <w:vAlign w:val="center"/>
          </w:tcPr>
          <w:p w14:paraId="79B52DE6">
            <w:pPr>
              <w:widowControl/>
              <w:jc w:val="left"/>
              <w:rPr>
                <w:rFonts w:ascii="宋体" w:hAnsi="宋体" w:cs="宋体"/>
                <w:kern w:val="0"/>
                <w:sz w:val="18"/>
                <w:szCs w:val="18"/>
              </w:rPr>
            </w:pPr>
            <w:r>
              <w:rPr>
                <w:rFonts w:hint="eastAsia" w:ascii="宋体" w:hAnsi="宋体" w:cs="宋体"/>
                <w:kern w:val="0"/>
                <w:sz w:val="18"/>
                <w:szCs w:val="18"/>
              </w:rPr>
              <w:t>加强日常巡查和定期维护</w:t>
            </w:r>
          </w:p>
        </w:tc>
        <w:tc>
          <w:tcPr>
            <w:tcW w:w="320" w:type="pct"/>
            <w:tcBorders>
              <w:top w:val="nil"/>
              <w:left w:val="nil"/>
              <w:bottom w:val="single" w:color="auto" w:sz="4" w:space="0"/>
              <w:right w:val="single" w:color="auto" w:sz="4" w:space="0"/>
            </w:tcBorders>
            <w:vAlign w:val="center"/>
          </w:tcPr>
          <w:p w14:paraId="5EEA5BF0">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1B9CE237">
            <w:pPr>
              <w:widowControl/>
              <w:jc w:val="left"/>
              <w:rPr>
                <w:rFonts w:ascii="宋体" w:hAnsi="宋体" w:cs="宋体"/>
                <w:kern w:val="0"/>
                <w:sz w:val="18"/>
                <w:szCs w:val="18"/>
              </w:rPr>
            </w:pPr>
            <w:r>
              <w:rPr>
                <w:rFonts w:hint="eastAsia" w:ascii="宋体" w:hAnsi="宋体" w:cs="宋体"/>
                <w:kern w:val="0"/>
                <w:sz w:val="18"/>
                <w:szCs w:val="18"/>
              </w:rPr>
              <w:t>无记录扣0.5分</w:t>
            </w:r>
          </w:p>
        </w:tc>
        <w:tc>
          <w:tcPr>
            <w:tcW w:w="327" w:type="pct"/>
            <w:vMerge w:val="restart"/>
            <w:tcBorders>
              <w:top w:val="nil"/>
              <w:left w:val="single" w:color="auto" w:sz="4" w:space="0"/>
              <w:bottom w:val="single" w:color="000000" w:sz="4" w:space="0"/>
              <w:right w:val="single" w:color="auto" w:sz="4" w:space="0"/>
            </w:tcBorders>
            <w:vAlign w:val="center"/>
          </w:tcPr>
          <w:p w14:paraId="436E9BE3">
            <w:pPr>
              <w:widowControl/>
              <w:jc w:val="center"/>
              <w:rPr>
                <w:rFonts w:ascii="宋体" w:hAnsi="宋体" w:cs="宋体"/>
                <w:kern w:val="0"/>
                <w:sz w:val="18"/>
                <w:szCs w:val="18"/>
              </w:rPr>
            </w:pPr>
            <w:r>
              <w:rPr>
                <w:rFonts w:hint="eastAsia" w:ascii="宋体" w:hAnsi="宋体" w:cs="宋体"/>
                <w:kern w:val="0"/>
                <w:sz w:val="18"/>
                <w:szCs w:val="18"/>
              </w:rPr>
              <w:t>查看资料现场检查</w:t>
            </w:r>
          </w:p>
        </w:tc>
        <w:tc>
          <w:tcPr>
            <w:tcW w:w="390" w:type="pct"/>
            <w:tcBorders>
              <w:top w:val="nil"/>
              <w:left w:val="nil"/>
              <w:bottom w:val="single" w:color="auto" w:sz="4" w:space="0"/>
              <w:right w:val="single" w:color="auto" w:sz="4" w:space="0"/>
            </w:tcBorders>
            <w:vAlign w:val="center"/>
          </w:tcPr>
          <w:p w14:paraId="739F73C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E5B4690">
            <w:pPr>
              <w:widowControl/>
              <w:jc w:val="left"/>
              <w:rPr>
                <w:rFonts w:ascii="宋体" w:hAnsi="宋体" w:cs="宋体"/>
                <w:kern w:val="0"/>
                <w:sz w:val="18"/>
                <w:szCs w:val="18"/>
              </w:rPr>
            </w:pPr>
            <w:r>
              <w:rPr>
                <w:rFonts w:hint="eastAsia" w:ascii="宋体" w:hAnsi="宋体" w:cs="宋体"/>
                <w:kern w:val="0"/>
                <w:sz w:val="18"/>
                <w:szCs w:val="18"/>
              </w:rPr>
              <w:t>　</w:t>
            </w:r>
          </w:p>
        </w:tc>
      </w:tr>
      <w:tr w14:paraId="30182A40">
        <w:tblPrEx>
          <w:tblCellMar>
            <w:top w:w="0" w:type="dxa"/>
            <w:left w:w="108" w:type="dxa"/>
            <w:bottom w:w="0" w:type="dxa"/>
            <w:right w:w="108" w:type="dxa"/>
          </w:tblCellMar>
        </w:tblPrEx>
        <w:trPr>
          <w:trHeight w:val="281" w:hRule="atLeast"/>
        </w:trPr>
        <w:tc>
          <w:tcPr>
            <w:tcW w:w="249" w:type="pct"/>
            <w:vMerge w:val="continue"/>
            <w:tcBorders>
              <w:top w:val="nil"/>
              <w:left w:val="single" w:color="auto" w:sz="4" w:space="0"/>
              <w:bottom w:val="single" w:color="000000" w:sz="4" w:space="0"/>
              <w:right w:val="single" w:color="auto" w:sz="4" w:space="0"/>
            </w:tcBorders>
            <w:vAlign w:val="center"/>
          </w:tcPr>
          <w:p w14:paraId="0B4CCD0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0AD691E1">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92DFD02">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6FBD9137">
            <w:pPr>
              <w:widowControl/>
              <w:jc w:val="left"/>
              <w:rPr>
                <w:rFonts w:ascii="宋体" w:hAnsi="宋体" w:cs="宋体"/>
                <w:kern w:val="0"/>
                <w:sz w:val="18"/>
                <w:szCs w:val="18"/>
              </w:rPr>
            </w:pPr>
            <w:r>
              <w:rPr>
                <w:rFonts w:hint="eastAsia" w:ascii="宋体" w:hAnsi="宋体" w:cs="宋体"/>
                <w:kern w:val="0"/>
                <w:sz w:val="18"/>
                <w:szCs w:val="18"/>
              </w:rPr>
              <w:t>无跑、冒、漏、滴</w:t>
            </w:r>
          </w:p>
        </w:tc>
        <w:tc>
          <w:tcPr>
            <w:tcW w:w="320" w:type="pct"/>
            <w:tcBorders>
              <w:top w:val="nil"/>
              <w:left w:val="nil"/>
              <w:bottom w:val="single" w:color="auto" w:sz="4" w:space="0"/>
              <w:right w:val="single" w:color="auto" w:sz="4" w:space="0"/>
            </w:tcBorders>
            <w:vAlign w:val="center"/>
          </w:tcPr>
          <w:p w14:paraId="3EBC48F8">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2333C539">
            <w:pPr>
              <w:widowControl/>
              <w:jc w:val="left"/>
              <w:rPr>
                <w:rFonts w:ascii="宋体" w:hAnsi="宋体" w:cs="宋体"/>
                <w:kern w:val="0"/>
                <w:sz w:val="18"/>
                <w:szCs w:val="18"/>
              </w:rPr>
            </w:pPr>
            <w:r>
              <w:rPr>
                <w:rFonts w:hint="eastAsia" w:ascii="宋体" w:hAnsi="宋体" w:cs="宋体"/>
                <w:kern w:val="0"/>
                <w:sz w:val="18"/>
                <w:szCs w:val="18"/>
              </w:rPr>
              <w:t>每发现一处跑、冒、漏、滴的扣0.5分</w:t>
            </w:r>
          </w:p>
        </w:tc>
        <w:tc>
          <w:tcPr>
            <w:tcW w:w="327" w:type="pct"/>
            <w:vMerge w:val="continue"/>
            <w:tcBorders>
              <w:top w:val="nil"/>
              <w:left w:val="single" w:color="auto" w:sz="4" w:space="0"/>
              <w:bottom w:val="single" w:color="000000" w:sz="4" w:space="0"/>
              <w:right w:val="single" w:color="auto" w:sz="4" w:space="0"/>
            </w:tcBorders>
            <w:vAlign w:val="center"/>
          </w:tcPr>
          <w:p w14:paraId="39302AD1">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9906D8F">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CD6E84D">
            <w:pPr>
              <w:widowControl/>
              <w:jc w:val="left"/>
              <w:rPr>
                <w:rFonts w:ascii="宋体" w:hAnsi="宋体" w:cs="宋体"/>
                <w:kern w:val="0"/>
                <w:sz w:val="18"/>
                <w:szCs w:val="18"/>
              </w:rPr>
            </w:pPr>
            <w:r>
              <w:rPr>
                <w:rFonts w:hint="eastAsia" w:ascii="宋体" w:hAnsi="宋体" w:cs="宋体"/>
                <w:kern w:val="0"/>
                <w:sz w:val="18"/>
                <w:szCs w:val="18"/>
              </w:rPr>
              <w:t>　</w:t>
            </w:r>
          </w:p>
        </w:tc>
      </w:tr>
      <w:tr w14:paraId="46442A8B">
        <w:tblPrEx>
          <w:tblCellMar>
            <w:top w:w="0" w:type="dxa"/>
            <w:left w:w="108" w:type="dxa"/>
            <w:bottom w:w="0" w:type="dxa"/>
            <w:right w:w="108" w:type="dxa"/>
          </w:tblCellMar>
        </w:tblPrEx>
        <w:trPr>
          <w:trHeight w:val="417" w:hRule="atLeast"/>
        </w:trPr>
        <w:tc>
          <w:tcPr>
            <w:tcW w:w="249" w:type="pct"/>
            <w:vMerge w:val="continue"/>
            <w:tcBorders>
              <w:top w:val="nil"/>
              <w:left w:val="single" w:color="auto" w:sz="4" w:space="0"/>
              <w:bottom w:val="single" w:color="000000" w:sz="4" w:space="0"/>
              <w:right w:val="single" w:color="auto" w:sz="4" w:space="0"/>
            </w:tcBorders>
            <w:vAlign w:val="center"/>
          </w:tcPr>
          <w:p w14:paraId="3D9C55E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412AEC1">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2B69CC9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E1222C9">
            <w:pPr>
              <w:widowControl/>
              <w:jc w:val="left"/>
              <w:rPr>
                <w:rFonts w:ascii="宋体" w:hAnsi="宋体" w:cs="宋体"/>
                <w:kern w:val="0"/>
                <w:sz w:val="18"/>
                <w:szCs w:val="18"/>
              </w:rPr>
            </w:pPr>
            <w:r>
              <w:rPr>
                <w:rFonts w:hint="eastAsia" w:ascii="宋体" w:hAnsi="宋体" w:cs="宋体"/>
                <w:kern w:val="0"/>
                <w:sz w:val="18"/>
                <w:szCs w:val="18"/>
              </w:rPr>
              <w:t>定期对排水管进行清通、养护及清除污垢</w:t>
            </w:r>
          </w:p>
        </w:tc>
        <w:tc>
          <w:tcPr>
            <w:tcW w:w="320" w:type="pct"/>
            <w:tcBorders>
              <w:top w:val="nil"/>
              <w:left w:val="nil"/>
              <w:bottom w:val="single" w:color="auto" w:sz="4" w:space="0"/>
              <w:right w:val="single" w:color="auto" w:sz="4" w:space="0"/>
            </w:tcBorders>
            <w:vAlign w:val="center"/>
          </w:tcPr>
          <w:p w14:paraId="03C95A73">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054F115">
            <w:pPr>
              <w:widowControl/>
              <w:jc w:val="left"/>
              <w:rPr>
                <w:rFonts w:ascii="宋体" w:hAnsi="宋体" w:cs="宋体"/>
                <w:kern w:val="0"/>
                <w:sz w:val="18"/>
                <w:szCs w:val="18"/>
              </w:rPr>
            </w:pPr>
            <w:r>
              <w:rPr>
                <w:rFonts w:hint="eastAsia" w:ascii="宋体" w:hAnsi="宋体" w:cs="宋体"/>
                <w:kern w:val="0"/>
                <w:sz w:val="18"/>
                <w:szCs w:val="18"/>
              </w:rPr>
              <w:t>排水沟渠有淤泥、杂物的扣0.5分</w:t>
            </w:r>
          </w:p>
        </w:tc>
        <w:tc>
          <w:tcPr>
            <w:tcW w:w="327" w:type="pct"/>
            <w:vMerge w:val="continue"/>
            <w:tcBorders>
              <w:top w:val="nil"/>
              <w:left w:val="single" w:color="auto" w:sz="4" w:space="0"/>
              <w:bottom w:val="single" w:color="000000" w:sz="4" w:space="0"/>
              <w:right w:val="single" w:color="auto" w:sz="4" w:space="0"/>
            </w:tcBorders>
            <w:vAlign w:val="center"/>
          </w:tcPr>
          <w:p w14:paraId="435BD01E">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6692B1E">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986BBA0">
            <w:pPr>
              <w:widowControl/>
              <w:jc w:val="left"/>
              <w:rPr>
                <w:rFonts w:ascii="宋体" w:hAnsi="宋体" w:cs="宋体"/>
                <w:kern w:val="0"/>
                <w:sz w:val="18"/>
                <w:szCs w:val="18"/>
              </w:rPr>
            </w:pPr>
            <w:r>
              <w:rPr>
                <w:rFonts w:hint="eastAsia" w:ascii="宋体" w:hAnsi="宋体" w:cs="宋体"/>
                <w:kern w:val="0"/>
                <w:sz w:val="18"/>
                <w:szCs w:val="18"/>
              </w:rPr>
              <w:t>　</w:t>
            </w:r>
          </w:p>
        </w:tc>
      </w:tr>
      <w:tr w14:paraId="02449733">
        <w:tblPrEx>
          <w:tblCellMar>
            <w:top w:w="0" w:type="dxa"/>
            <w:left w:w="108" w:type="dxa"/>
            <w:bottom w:w="0" w:type="dxa"/>
            <w:right w:w="108" w:type="dxa"/>
          </w:tblCellMar>
        </w:tblPrEx>
        <w:trPr>
          <w:trHeight w:val="308" w:hRule="atLeast"/>
        </w:trPr>
        <w:tc>
          <w:tcPr>
            <w:tcW w:w="249" w:type="pct"/>
            <w:vMerge w:val="continue"/>
            <w:tcBorders>
              <w:top w:val="nil"/>
              <w:left w:val="single" w:color="auto" w:sz="4" w:space="0"/>
              <w:bottom w:val="single" w:color="000000" w:sz="4" w:space="0"/>
              <w:right w:val="single" w:color="auto" w:sz="4" w:space="0"/>
            </w:tcBorders>
            <w:vAlign w:val="center"/>
          </w:tcPr>
          <w:p w14:paraId="7544F62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3C4E2E2">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884C2C3">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0916FD5B">
            <w:pPr>
              <w:widowControl/>
              <w:jc w:val="left"/>
              <w:rPr>
                <w:rFonts w:ascii="宋体" w:hAnsi="宋体" w:cs="宋体"/>
                <w:kern w:val="0"/>
                <w:sz w:val="18"/>
                <w:szCs w:val="18"/>
              </w:rPr>
            </w:pPr>
            <w:r>
              <w:rPr>
                <w:rFonts w:hint="eastAsia" w:ascii="宋体" w:hAnsi="宋体" w:cs="宋体"/>
                <w:kern w:val="0"/>
                <w:sz w:val="18"/>
                <w:szCs w:val="18"/>
              </w:rPr>
              <w:t>及时清理排水井和排水沟渠淤泥、杂物</w:t>
            </w:r>
          </w:p>
        </w:tc>
        <w:tc>
          <w:tcPr>
            <w:tcW w:w="320" w:type="pct"/>
            <w:tcBorders>
              <w:top w:val="nil"/>
              <w:left w:val="nil"/>
              <w:bottom w:val="single" w:color="auto" w:sz="4" w:space="0"/>
              <w:right w:val="single" w:color="auto" w:sz="4" w:space="0"/>
            </w:tcBorders>
            <w:vAlign w:val="center"/>
          </w:tcPr>
          <w:p w14:paraId="02CC8DF6">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829F11D">
            <w:pPr>
              <w:widowControl/>
              <w:jc w:val="left"/>
              <w:rPr>
                <w:rFonts w:ascii="宋体" w:hAnsi="宋体" w:cs="宋体"/>
                <w:kern w:val="0"/>
                <w:sz w:val="18"/>
                <w:szCs w:val="18"/>
              </w:rPr>
            </w:pPr>
            <w:r>
              <w:rPr>
                <w:rFonts w:hint="eastAsia" w:ascii="宋体" w:hAnsi="宋体" w:cs="宋体"/>
                <w:kern w:val="0"/>
                <w:sz w:val="18"/>
                <w:szCs w:val="18"/>
              </w:rPr>
              <w:t>　</w:t>
            </w:r>
          </w:p>
        </w:tc>
        <w:tc>
          <w:tcPr>
            <w:tcW w:w="327" w:type="pct"/>
            <w:vMerge w:val="continue"/>
            <w:tcBorders>
              <w:top w:val="nil"/>
              <w:left w:val="single" w:color="auto" w:sz="4" w:space="0"/>
              <w:bottom w:val="single" w:color="000000" w:sz="4" w:space="0"/>
              <w:right w:val="single" w:color="auto" w:sz="4" w:space="0"/>
            </w:tcBorders>
            <w:vAlign w:val="center"/>
          </w:tcPr>
          <w:p w14:paraId="1A846403">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D2A6B2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D4E4471">
            <w:pPr>
              <w:widowControl/>
              <w:jc w:val="left"/>
              <w:rPr>
                <w:rFonts w:ascii="宋体" w:hAnsi="宋体" w:cs="宋体"/>
                <w:kern w:val="0"/>
                <w:sz w:val="18"/>
                <w:szCs w:val="18"/>
              </w:rPr>
            </w:pPr>
            <w:r>
              <w:rPr>
                <w:rFonts w:hint="eastAsia" w:ascii="宋体" w:hAnsi="宋体" w:cs="宋体"/>
                <w:kern w:val="0"/>
                <w:sz w:val="18"/>
                <w:szCs w:val="18"/>
              </w:rPr>
              <w:t>　</w:t>
            </w:r>
          </w:p>
        </w:tc>
      </w:tr>
      <w:tr w14:paraId="7C4BFD57">
        <w:tblPrEx>
          <w:tblCellMar>
            <w:top w:w="0" w:type="dxa"/>
            <w:left w:w="108" w:type="dxa"/>
            <w:bottom w:w="0" w:type="dxa"/>
            <w:right w:w="108" w:type="dxa"/>
          </w:tblCellMar>
        </w:tblPrEx>
        <w:trPr>
          <w:trHeight w:val="285" w:hRule="atLeast"/>
        </w:trPr>
        <w:tc>
          <w:tcPr>
            <w:tcW w:w="249" w:type="pct"/>
            <w:vMerge w:val="continue"/>
            <w:tcBorders>
              <w:top w:val="nil"/>
              <w:left w:val="single" w:color="auto" w:sz="4" w:space="0"/>
              <w:bottom w:val="single" w:color="000000" w:sz="4" w:space="0"/>
              <w:right w:val="single" w:color="auto" w:sz="4" w:space="0"/>
            </w:tcBorders>
            <w:vAlign w:val="center"/>
          </w:tcPr>
          <w:p w14:paraId="7657E29C">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6B7D1445">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3DA15C6">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69A5C81">
            <w:pPr>
              <w:widowControl/>
              <w:jc w:val="left"/>
              <w:rPr>
                <w:rFonts w:ascii="宋体" w:hAnsi="宋体" w:cs="宋体"/>
                <w:kern w:val="0"/>
                <w:sz w:val="18"/>
                <w:szCs w:val="18"/>
              </w:rPr>
            </w:pPr>
            <w:r>
              <w:rPr>
                <w:rFonts w:hint="eastAsia" w:ascii="宋体" w:hAnsi="宋体" w:cs="宋体"/>
                <w:kern w:val="0"/>
                <w:sz w:val="18"/>
                <w:szCs w:val="18"/>
              </w:rPr>
              <w:t>井盖和篦子完整</w:t>
            </w:r>
          </w:p>
        </w:tc>
        <w:tc>
          <w:tcPr>
            <w:tcW w:w="320" w:type="pct"/>
            <w:tcBorders>
              <w:top w:val="nil"/>
              <w:left w:val="nil"/>
              <w:bottom w:val="single" w:color="auto" w:sz="4" w:space="0"/>
              <w:right w:val="single" w:color="auto" w:sz="4" w:space="0"/>
            </w:tcBorders>
            <w:vAlign w:val="center"/>
          </w:tcPr>
          <w:p w14:paraId="7AE883B6">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75699A83">
            <w:pPr>
              <w:widowControl/>
              <w:jc w:val="left"/>
              <w:rPr>
                <w:rFonts w:ascii="宋体" w:hAnsi="宋体" w:cs="宋体"/>
                <w:kern w:val="0"/>
                <w:sz w:val="18"/>
                <w:szCs w:val="18"/>
              </w:rPr>
            </w:pPr>
            <w:r>
              <w:rPr>
                <w:rFonts w:hint="eastAsia" w:ascii="宋体" w:hAnsi="宋体" w:cs="宋体"/>
                <w:kern w:val="0"/>
                <w:sz w:val="18"/>
                <w:szCs w:val="18"/>
              </w:rPr>
              <w:t>井盖和篦子有缺损扣0.5分</w:t>
            </w:r>
          </w:p>
        </w:tc>
        <w:tc>
          <w:tcPr>
            <w:tcW w:w="327" w:type="pct"/>
            <w:vMerge w:val="continue"/>
            <w:tcBorders>
              <w:top w:val="nil"/>
              <w:left w:val="single" w:color="auto" w:sz="4" w:space="0"/>
              <w:bottom w:val="single" w:color="000000" w:sz="4" w:space="0"/>
              <w:right w:val="single" w:color="auto" w:sz="4" w:space="0"/>
            </w:tcBorders>
            <w:vAlign w:val="center"/>
          </w:tcPr>
          <w:p w14:paraId="0DF06268">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F8ABF0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AA646AF">
            <w:pPr>
              <w:widowControl/>
              <w:jc w:val="left"/>
              <w:rPr>
                <w:rFonts w:ascii="宋体" w:hAnsi="宋体" w:cs="宋体"/>
                <w:kern w:val="0"/>
                <w:sz w:val="18"/>
                <w:szCs w:val="18"/>
              </w:rPr>
            </w:pPr>
            <w:r>
              <w:rPr>
                <w:rFonts w:hint="eastAsia" w:ascii="宋体" w:hAnsi="宋体" w:cs="宋体"/>
                <w:kern w:val="0"/>
                <w:sz w:val="18"/>
                <w:szCs w:val="18"/>
              </w:rPr>
              <w:t>　</w:t>
            </w:r>
          </w:p>
        </w:tc>
      </w:tr>
      <w:tr w14:paraId="35208B51">
        <w:tblPrEx>
          <w:tblCellMar>
            <w:top w:w="0" w:type="dxa"/>
            <w:left w:w="108" w:type="dxa"/>
            <w:bottom w:w="0" w:type="dxa"/>
            <w:right w:w="108" w:type="dxa"/>
          </w:tblCellMar>
        </w:tblPrEx>
        <w:trPr>
          <w:trHeight w:val="289" w:hRule="atLeast"/>
        </w:trPr>
        <w:tc>
          <w:tcPr>
            <w:tcW w:w="249" w:type="pct"/>
            <w:vMerge w:val="continue"/>
            <w:tcBorders>
              <w:top w:val="nil"/>
              <w:left w:val="single" w:color="auto" w:sz="4" w:space="0"/>
              <w:bottom w:val="single" w:color="000000" w:sz="4" w:space="0"/>
              <w:right w:val="single" w:color="auto" w:sz="4" w:space="0"/>
            </w:tcBorders>
            <w:vAlign w:val="center"/>
          </w:tcPr>
          <w:p w14:paraId="07262192">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26C9162B">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7C5745C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0335D18">
            <w:pPr>
              <w:widowControl/>
              <w:jc w:val="left"/>
              <w:rPr>
                <w:rFonts w:ascii="宋体" w:hAnsi="宋体" w:cs="宋体"/>
                <w:kern w:val="0"/>
                <w:sz w:val="18"/>
                <w:szCs w:val="18"/>
              </w:rPr>
            </w:pPr>
            <w:r>
              <w:rPr>
                <w:rFonts w:hint="eastAsia" w:ascii="宋体" w:hAnsi="宋体" w:cs="宋体"/>
                <w:kern w:val="0"/>
                <w:sz w:val="18"/>
                <w:szCs w:val="18"/>
              </w:rPr>
              <w:t>及时发现并解决故障，零修合格率100%</w:t>
            </w:r>
          </w:p>
        </w:tc>
        <w:tc>
          <w:tcPr>
            <w:tcW w:w="320" w:type="pct"/>
            <w:tcBorders>
              <w:top w:val="nil"/>
              <w:left w:val="nil"/>
              <w:bottom w:val="single" w:color="auto" w:sz="4" w:space="0"/>
              <w:right w:val="single" w:color="auto" w:sz="4" w:space="0"/>
            </w:tcBorders>
            <w:vAlign w:val="center"/>
          </w:tcPr>
          <w:p w14:paraId="5FA9D8B1">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5934704B">
            <w:pPr>
              <w:widowControl/>
              <w:jc w:val="left"/>
              <w:rPr>
                <w:rFonts w:ascii="宋体" w:hAnsi="宋体" w:cs="宋体"/>
                <w:kern w:val="0"/>
                <w:sz w:val="18"/>
                <w:szCs w:val="18"/>
              </w:rPr>
            </w:pPr>
            <w:r>
              <w:rPr>
                <w:rFonts w:hint="eastAsia" w:ascii="宋体" w:hAnsi="宋体" w:cs="宋体"/>
                <w:kern w:val="0"/>
                <w:sz w:val="18"/>
                <w:szCs w:val="18"/>
              </w:rPr>
              <w:t>不达标扣0.5分</w:t>
            </w:r>
          </w:p>
        </w:tc>
        <w:tc>
          <w:tcPr>
            <w:tcW w:w="327" w:type="pct"/>
            <w:vMerge w:val="continue"/>
            <w:tcBorders>
              <w:top w:val="nil"/>
              <w:left w:val="single" w:color="auto" w:sz="4" w:space="0"/>
              <w:bottom w:val="single" w:color="000000" w:sz="4" w:space="0"/>
              <w:right w:val="single" w:color="auto" w:sz="4" w:space="0"/>
            </w:tcBorders>
            <w:vAlign w:val="center"/>
          </w:tcPr>
          <w:p w14:paraId="2C68DB6D">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21B4F4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EAA5B14">
            <w:pPr>
              <w:widowControl/>
              <w:jc w:val="left"/>
              <w:rPr>
                <w:rFonts w:ascii="宋体" w:hAnsi="宋体" w:cs="宋体"/>
                <w:kern w:val="0"/>
                <w:sz w:val="18"/>
                <w:szCs w:val="18"/>
              </w:rPr>
            </w:pPr>
            <w:r>
              <w:rPr>
                <w:rFonts w:hint="eastAsia" w:ascii="宋体" w:hAnsi="宋体" w:cs="宋体"/>
                <w:kern w:val="0"/>
                <w:sz w:val="18"/>
                <w:szCs w:val="18"/>
              </w:rPr>
              <w:t>　</w:t>
            </w:r>
          </w:p>
        </w:tc>
      </w:tr>
      <w:tr w14:paraId="7CBD7829">
        <w:tblPrEx>
          <w:tblCellMar>
            <w:top w:w="0" w:type="dxa"/>
            <w:left w:w="108" w:type="dxa"/>
            <w:bottom w:w="0" w:type="dxa"/>
            <w:right w:w="108" w:type="dxa"/>
          </w:tblCellMar>
        </w:tblPrEx>
        <w:trPr>
          <w:trHeight w:val="576" w:hRule="atLeast"/>
        </w:trPr>
        <w:tc>
          <w:tcPr>
            <w:tcW w:w="249" w:type="pct"/>
            <w:vMerge w:val="continue"/>
            <w:tcBorders>
              <w:top w:val="nil"/>
              <w:left w:val="single" w:color="auto" w:sz="4" w:space="0"/>
              <w:bottom w:val="single" w:color="000000" w:sz="4" w:space="0"/>
              <w:right w:val="single" w:color="auto" w:sz="4" w:space="0"/>
            </w:tcBorders>
            <w:vAlign w:val="center"/>
          </w:tcPr>
          <w:p w14:paraId="69E248AB">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644F3A7">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4DFE7414">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08855E0">
            <w:pPr>
              <w:widowControl/>
              <w:jc w:val="left"/>
              <w:rPr>
                <w:rFonts w:ascii="宋体" w:hAnsi="宋体" w:cs="宋体"/>
                <w:kern w:val="0"/>
                <w:sz w:val="18"/>
                <w:szCs w:val="18"/>
              </w:rPr>
            </w:pPr>
            <w:r>
              <w:rPr>
                <w:rFonts w:hint="eastAsia" w:ascii="宋体" w:hAnsi="宋体" w:cs="宋体"/>
                <w:kern w:val="0"/>
                <w:sz w:val="18"/>
                <w:szCs w:val="18"/>
              </w:rPr>
              <w:t>雨水井、污水井、化粪池、隔油池、阀门完好无缺损，少污积、无堵塞</w:t>
            </w:r>
          </w:p>
        </w:tc>
        <w:tc>
          <w:tcPr>
            <w:tcW w:w="320" w:type="pct"/>
            <w:tcBorders>
              <w:top w:val="nil"/>
              <w:left w:val="nil"/>
              <w:bottom w:val="single" w:color="auto" w:sz="4" w:space="0"/>
              <w:right w:val="single" w:color="auto" w:sz="4" w:space="0"/>
            </w:tcBorders>
            <w:vAlign w:val="center"/>
          </w:tcPr>
          <w:p w14:paraId="49E60842">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10FB8263">
            <w:pPr>
              <w:widowControl/>
              <w:jc w:val="left"/>
              <w:rPr>
                <w:rFonts w:ascii="宋体" w:hAnsi="宋体" w:cs="宋体"/>
                <w:kern w:val="0"/>
                <w:sz w:val="18"/>
                <w:szCs w:val="18"/>
              </w:rPr>
            </w:pPr>
            <w:r>
              <w:rPr>
                <w:rFonts w:hint="eastAsia" w:ascii="宋体" w:hAnsi="宋体" w:cs="宋体"/>
                <w:kern w:val="0"/>
                <w:sz w:val="18"/>
                <w:szCs w:val="18"/>
              </w:rPr>
              <w:t>雨水井、污水井、化粪池、隔油池、阀门有缺损和堵塞扣0.5分</w:t>
            </w:r>
          </w:p>
        </w:tc>
        <w:tc>
          <w:tcPr>
            <w:tcW w:w="327" w:type="pct"/>
            <w:vMerge w:val="continue"/>
            <w:tcBorders>
              <w:top w:val="nil"/>
              <w:left w:val="single" w:color="auto" w:sz="4" w:space="0"/>
              <w:bottom w:val="single" w:color="000000" w:sz="4" w:space="0"/>
              <w:right w:val="single" w:color="auto" w:sz="4" w:space="0"/>
            </w:tcBorders>
            <w:vAlign w:val="center"/>
          </w:tcPr>
          <w:p w14:paraId="5AB08C6F">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8274BF8">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C5AF891">
            <w:pPr>
              <w:widowControl/>
              <w:jc w:val="left"/>
              <w:rPr>
                <w:rFonts w:ascii="宋体" w:hAnsi="宋体" w:cs="宋体"/>
                <w:kern w:val="0"/>
                <w:sz w:val="18"/>
                <w:szCs w:val="18"/>
              </w:rPr>
            </w:pPr>
            <w:r>
              <w:rPr>
                <w:rFonts w:hint="eastAsia" w:ascii="宋体" w:hAnsi="宋体" w:cs="宋体"/>
                <w:kern w:val="0"/>
                <w:sz w:val="18"/>
                <w:szCs w:val="18"/>
              </w:rPr>
              <w:t>　</w:t>
            </w:r>
          </w:p>
        </w:tc>
      </w:tr>
      <w:tr w14:paraId="2D2953D9">
        <w:tblPrEx>
          <w:tblCellMar>
            <w:top w:w="0" w:type="dxa"/>
            <w:left w:w="108" w:type="dxa"/>
            <w:bottom w:w="0" w:type="dxa"/>
            <w:right w:w="108" w:type="dxa"/>
          </w:tblCellMar>
        </w:tblPrEx>
        <w:trPr>
          <w:trHeight w:val="414" w:hRule="atLeast"/>
        </w:trPr>
        <w:tc>
          <w:tcPr>
            <w:tcW w:w="249" w:type="pct"/>
            <w:vMerge w:val="restart"/>
            <w:tcBorders>
              <w:top w:val="nil"/>
              <w:left w:val="single" w:color="auto" w:sz="4" w:space="0"/>
              <w:bottom w:val="single" w:color="000000" w:sz="4" w:space="0"/>
              <w:right w:val="single" w:color="auto" w:sz="4" w:space="0"/>
            </w:tcBorders>
            <w:vAlign w:val="center"/>
          </w:tcPr>
          <w:p w14:paraId="18D0BA13">
            <w:pPr>
              <w:widowControl/>
              <w:jc w:val="center"/>
              <w:rPr>
                <w:rFonts w:ascii="宋体" w:hAnsi="宋体" w:cs="宋体"/>
                <w:kern w:val="0"/>
                <w:sz w:val="18"/>
                <w:szCs w:val="18"/>
              </w:rPr>
            </w:pPr>
            <w:r>
              <w:rPr>
                <w:rFonts w:hint="eastAsia" w:ascii="宋体" w:hAnsi="宋体" w:cs="宋体"/>
                <w:kern w:val="0"/>
                <w:sz w:val="18"/>
                <w:szCs w:val="18"/>
              </w:rPr>
              <w:t>十五</w:t>
            </w:r>
          </w:p>
        </w:tc>
        <w:tc>
          <w:tcPr>
            <w:tcW w:w="242" w:type="pct"/>
            <w:vMerge w:val="restart"/>
            <w:tcBorders>
              <w:top w:val="nil"/>
              <w:left w:val="single" w:color="auto" w:sz="4" w:space="0"/>
              <w:bottom w:val="single" w:color="000000" w:sz="4" w:space="0"/>
              <w:right w:val="single" w:color="auto" w:sz="4" w:space="0"/>
            </w:tcBorders>
            <w:vAlign w:val="center"/>
          </w:tcPr>
          <w:p w14:paraId="28CBCFB5">
            <w:pPr>
              <w:widowControl/>
              <w:jc w:val="center"/>
              <w:rPr>
                <w:rFonts w:ascii="宋体" w:hAnsi="宋体" w:cs="宋体"/>
                <w:kern w:val="0"/>
                <w:sz w:val="18"/>
                <w:szCs w:val="18"/>
              </w:rPr>
            </w:pPr>
            <w:r>
              <w:rPr>
                <w:rFonts w:hint="eastAsia" w:ascii="宋体" w:hAnsi="宋体" w:cs="宋体"/>
                <w:kern w:val="0"/>
                <w:sz w:val="18"/>
                <w:szCs w:val="18"/>
              </w:rPr>
              <w:t>太阳能</w:t>
            </w:r>
          </w:p>
          <w:p w14:paraId="35369F68">
            <w:pPr>
              <w:widowControl/>
              <w:jc w:val="center"/>
              <w:rPr>
                <w:rFonts w:ascii="宋体" w:hAnsi="宋体" w:cs="宋体"/>
                <w:kern w:val="0"/>
                <w:sz w:val="18"/>
                <w:szCs w:val="18"/>
              </w:rPr>
            </w:pPr>
            <w:r>
              <w:rPr>
                <w:rFonts w:hint="eastAsia" w:ascii="宋体" w:hAnsi="宋体" w:cs="宋体"/>
                <w:kern w:val="0"/>
                <w:sz w:val="18"/>
                <w:szCs w:val="18"/>
              </w:rPr>
              <w:t>系统管理</w:t>
            </w:r>
          </w:p>
        </w:tc>
        <w:tc>
          <w:tcPr>
            <w:tcW w:w="304" w:type="pct"/>
            <w:vMerge w:val="restart"/>
            <w:tcBorders>
              <w:top w:val="nil"/>
              <w:left w:val="single" w:color="auto" w:sz="4" w:space="0"/>
              <w:bottom w:val="single" w:color="000000" w:sz="4" w:space="0"/>
              <w:right w:val="single" w:color="auto" w:sz="4" w:space="0"/>
            </w:tcBorders>
            <w:vAlign w:val="center"/>
          </w:tcPr>
          <w:p w14:paraId="1FA7A635">
            <w:pPr>
              <w:widowControl/>
              <w:jc w:val="center"/>
              <w:rPr>
                <w:rFonts w:ascii="宋体" w:hAnsi="宋体" w:cs="宋体"/>
                <w:kern w:val="0"/>
                <w:sz w:val="18"/>
                <w:szCs w:val="18"/>
              </w:rPr>
            </w:pPr>
            <w:r>
              <w:rPr>
                <w:rFonts w:hint="eastAsia" w:ascii="宋体" w:hAnsi="宋体" w:cs="宋体"/>
                <w:kern w:val="0"/>
                <w:sz w:val="18"/>
                <w:szCs w:val="18"/>
              </w:rPr>
              <w:t>4</w:t>
            </w:r>
          </w:p>
        </w:tc>
        <w:tc>
          <w:tcPr>
            <w:tcW w:w="1320" w:type="pct"/>
            <w:tcBorders>
              <w:top w:val="nil"/>
              <w:left w:val="nil"/>
              <w:bottom w:val="single" w:color="auto" w:sz="4" w:space="0"/>
              <w:right w:val="single" w:color="auto" w:sz="4" w:space="0"/>
            </w:tcBorders>
            <w:vAlign w:val="center"/>
          </w:tcPr>
          <w:p w14:paraId="36A61B08">
            <w:pPr>
              <w:widowControl/>
              <w:jc w:val="left"/>
              <w:rPr>
                <w:rFonts w:ascii="宋体" w:hAnsi="宋体" w:cs="宋体"/>
                <w:kern w:val="0"/>
                <w:sz w:val="18"/>
                <w:szCs w:val="18"/>
              </w:rPr>
            </w:pPr>
            <w:r>
              <w:rPr>
                <w:rFonts w:hint="eastAsia" w:ascii="宋体" w:hAnsi="宋体" w:cs="宋体"/>
                <w:kern w:val="0"/>
                <w:sz w:val="18"/>
                <w:szCs w:val="18"/>
              </w:rPr>
              <w:t>燃烧机、柴油泵、锅炉运行正常</w:t>
            </w:r>
          </w:p>
        </w:tc>
        <w:tc>
          <w:tcPr>
            <w:tcW w:w="320" w:type="pct"/>
            <w:tcBorders>
              <w:top w:val="nil"/>
              <w:left w:val="nil"/>
              <w:bottom w:val="single" w:color="auto" w:sz="4" w:space="0"/>
              <w:right w:val="single" w:color="auto" w:sz="4" w:space="0"/>
            </w:tcBorders>
            <w:vAlign w:val="center"/>
          </w:tcPr>
          <w:p w14:paraId="11BC3426">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5F59557">
            <w:pPr>
              <w:widowControl/>
              <w:jc w:val="left"/>
              <w:rPr>
                <w:rFonts w:ascii="宋体" w:hAnsi="宋体" w:cs="宋体"/>
                <w:kern w:val="0"/>
                <w:sz w:val="18"/>
                <w:szCs w:val="18"/>
              </w:rPr>
            </w:pPr>
            <w:r>
              <w:rPr>
                <w:rFonts w:hint="eastAsia" w:ascii="宋体" w:hAnsi="宋体" w:cs="宋体"/>
                <w:kern w:val="0"/>
                <w:sz w:val="18"/>
                <w:szCs w:val="18"/>
              </w:rPr>
              <w:t>燃烧机、柴油泵、锅炉等设备运行不正常扣1分</w:t>
            </w:r>
          </w:p>
        </w:tc>
        <w:tc>
          <w:tcPr>
            <w:tcW w:w="327" w:type="pct"/>
            <w:vMerge w:val="restart"/>
            <w:tcBorders>
              <w:top w:val="nil"/>
              <w:left w:val="single" w:color="auto" w:sz="4" w:space="0"/>
              <w:bottom w:val="single" w:color="000000" w:sz="4" w:space="0"/>
              <w:right w:val="single" w:color="auto" w:sz="4" w:space="0"/>
            </w:tcBorders>
            <w:vAlign w:val="center"/>
          </w:tcPr>
          <w:p w14:paraId="35851FDD">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27816D6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68AD8B2">
            <w:pPr>
              <w:widowControl/>
              <w:jc w:val="left"/>
              <w:rPr>
                <w:rFonts w:ascii="宋体" w:hAnsi="宋体" w:cs="宋体"/>
                <w:kern w:val="0"/>
                <w:sz w:val="18"/>
                <w:szCs w:val="18"/>
              </w:rPr>
            </w:pPr>
            <w:r>
              <w:rPr>
                <w:rFonts w:hint="eastAsia" w:ascii="宋体" w:hAnsi="宋体" w:cs="宋体"/>
                <w:kern w:val="0"/>
                <w:sz w:val="18"/>
                <w:szCs w:val="18"/>
              </w:rPr>
              <w:t>　</w:t>
            </w:r>
          </w:p>
        </w:tc>
      </w:tr>
      <w:tr w14:paraId="3741A67B">
        <w:tblPrEx>
          <w:tblCellMar>
            <w:top w:w="0" w:type="dxa"/>
            <w:left w:w="108" w:type="dxa"/>
            <w:bottom w:w="0" w:type="dxa"/>
            <w:right w:w="108" w:type="dxa"/>
          </w:tblCellMar>
        </w:tblPrEx>
        <w:trPr>
          <w:trHeight w:val="408" w:hRule="atLeast"/>
        </w:trPr>
        <w:tc>
          <w:tcPr>
            <w:tcW w:w="249" w:type="pct"/>
            <w:vMerge w:val="continue"/>
            <w:tcBorders>
              <w:top w:val="nil"/>
              <w:left w:val="single" w:color="auto" w:sz="4" w:space="0"/>
              <w:bottom w:val="single" w:color="000000" w:sz="4" w:space="0"/>
              <w:right w:val="single" w:color="auto" w:sz="4" w:space="0"/>
            </w:tcBorders>
            <w:vAlign w:val="center"/>
          </w:tcPr>
          <w:p w14:paraId="224A2776">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1BC0789">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6D69336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34F9F20">
            <w:pPr>
              <w:widowControl/>
              <w:jc w:val="left"/>
              <w:rPr>
                <w:rFonts w:ascii="宋体" w:hAnsi="宋体" w:cs="宋体"/>
                <w:kern w:val="0"/>
                <w:sz w:val="18"/>
                <w:szCs w:val="18"/>
              </w:rPr>
            </w:pPr>
            <w:r>
              <w:rPr>
                <w:rFonts w:hint="eastAsia" w:ascii="宋体" w:hAnsi="宋体" w:cs="宋体"/>
                <w:kern w:val="0"/>
                <w:sz w:val="18"/>
                <w:szCs w:val="18"/>
              </w:rPr>
              <w:t>各种信号指示灯正常</w:t>
            </w:r>
          </w:p>
        </w:tc>
        <w:tc>
          <w:tcPr>
            <w:tcW w:w="320" w:type="pct"/>
            <w:tcBorders>
              <w:top w:val="nil"/>
              <w:left w:val="nil"/>
              <w:bottom w:val="single" w:color="auto" w:sz="4" w:space="0"/>
              <w:right w:val="single" w:color="auto" w:sz="4" w:space="0"/>
            </w:tcBorders>
            <w:vAlign w:val="center"/>
          </w:tcPr>
          <w:p w14:paraId="10080204">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147C066C">
            <w:pPr>
              <w:widowControl/>
              <w:jc w:val="left"/>
              <w:rPr>
                <w:rFonts w:ascii="宋体" w:hAnsi="宋体" w:cs="宋体"/>
                <w:kern w:val="0"/>
                <w:sz w:val="18"/>
                <w:szCs w:val="18"/>
              </w:rPr>
            </w:pPr>
            <w:r>
              <w:rPr>
                <w:rFonts w:hint="eastAsia" w:ascii="宋体" w:hAnsi="宋体" w:cs="宋体"/>
                <w:kern w:val="0"/>
                <w:sz w:val="18"/>
                <w:szCs w:val="18"/>
              </w:rPr>
              <w:t>各种信号指示灯有缺损每处扣0.2分</w:t>
            </w:r>
          </w:p>
        </w:tc>
        <w:tc>
          <w:tcPr>
            <w:tcW w:w="327" w:type="pct"/>
            <w:vMerge w:val="continue"/>
            <w:tcBorders>
              <w:top w:val="nil"/>
              <w:left w:val="single" w:color="auto" w:sz="4" w:space="0"/>
              <w:bottom w:val="single" w:color="000000" w:sz="4" w:space="0"/>
              <w:right w:val="single" w:color="auto" w:sz="4" w:space="0"/>
            </w:tcBorders>
            <w:vAlign w:val="center"/>
          </w:tcPr>
          <w:p w14:paraId="2984AEA1">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7FD039E">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E534B37">
            <w:pPr>
              <w:widowControl/>
              <w:jc w:val="left"/>
              <w:rPr>
                <w:rFonts w:ascii="宋体" w:hAnsi="宋体" w:cs="宋体"/>
                <w:kern w:val="0"/>
                <w:sz w:val="18"/>
                <w:szCs w:val="18"/>
              </w:rPr>
            </w:pPr>
            <w:r>
              <w:rPr>
                <w:rFonts w:hint="eastAsia" w:ascii="宋体" w:hAnsi="宋体" w:cs="宋体"/>
                <w:kern w:val="0"/>
                <w:sz w:val="18"/>
                <w:szCs w:val="18"/>
              </w:rPr>
              <w:t>　</w:t>
            </w:r>
          </w:p>
        </w:tc>
      </w:tr>
      <w:tr w14:paraId="60F058BD">
        <w:tblPrEx>
          <w:tblCellMar>
            <w:top w:w="0" w:type="dxa"/>
            <w:left w:w="108" w:type="dxa"/>
            <w:bottom w:w="0" w:type="dxa"/>
            <w:right w:w="108" w:type="dxa"/>
          </w:tblCellMar>
        </w:tblPrEx>
        <w:trPr>
          <w:trHeight w:val="570" w:hRule="atLeast"/>
        </w:trPr>
        <w:tc>
          <w:tcPr>
            <w:tcW w:w="249" w:type="pct"/>
            <w:vMerge w:val="continue"/>
            <w:tcBorders>
              <w:top w:val="nil"/>
              <w:left w:val="single" w:color="auto" w:sz="4" w:space="0"/>
              <w:bottom w:val="single" w:color="000000" w:sz="4" w:space="0"/>
              <w:right w:val="single" w:color="auto" w:sz="4" w:space="0"/>
            </w:tcBorders>
            <w:vAlign w:val="center"/>
          </w:tcPr>
          <w:p w14:paraId="729DB5E9">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75298632">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04CCA13F">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6F581E5">
            <w:pPr>
              <w:widowControl/>
              <w:jc w:val="left"/>
              <w:rPr>
                <w:rFonts w:ascii="宋体" w:hAnsi="宋体" w:cs="宋体"/>
                <w:kern w:val="0"/>
                <w:sz w:val="18"/>
                <w:szCs w:val="18"/>
              </w:rPr>
            </w:pPr>
            <w:r>
              <w:rPr>
                <w:rFonts w:hint="eastAsia" w:ascii="宋体" w:hAnsi="宋体" w:cs="宋体"/>
                <w:kern w:val="0"/>
                <w:sz w:val="18"/>
                <w:szCs w:val="18"/>
              </w:rPr>
              <w:t>冷、热水流动方向标示清楚，各阀门标示出开关方向和工作状况</w:t>
            </w:r>
          </w:p>
        </w:tc>
        <w:tc>
          <w:tcPr>
            <w:tcW w:w="320" w:type="pct"/>
            <w:tcBorders>
              <w:top w:val="nil"/>
              <w:left w:val="nil"/>
              <w:bottom w:val="single" w:color="auto" w:sz="4" w:space="0"/>
              <w:right w:val="single" w:color="auto" w:sz="4" w:space="0"/>
            </w:tcBorders>
            <w:vAlign w:val="center"/>
          </w:tcPr>
          <w:p w14:paraId="25148D59">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3171006">
            <w:pPr>
              <w:widowControl/>
              <w:jc w:val="left"/>
              <w:rPr>
                <w:rFonts w:ascii="宋体" w:hAnsi="宋体" w:cs="宋体"/>
                <w:kern w:val="0"/>
                <w:sz w:val="18"/>
                <w:szCs w:val="18"/>
              </w:rPr>
            </w:pPr>
            <w:r>
              <w:rPr>
                <w:rFonts w:hint="eastAsia" w:ascii="宋体" w:hAnsi="宋体" w:cs="宋体"/>
                <w:kern w:val="0"/>
                <w:sz w:val="18"/>
                <w:szCs w:val="18"/>
              </w:rPr>
              <w:t>方向标示不清扣0.5分</w:t>
            </w:r>
          </w:p>
        </w:tc>
        <w:tc>
          <w:tcPr>
            <w:tcW w:w="327" w:type="pct"/>
            <w:vMerge w:val="continue"/>
            <w:tcBorders>
              <w:top w:val="nil"/>
              <w:left w:val="single" w:color="auto" w:sz="4" w:space="0"/>
              <w:bottom w:val="single" w:color="000000" w:sz="4" w:space="0"/>
              <w:right w:val="single" w:color="auto" w:sz="4" w:space="0"/>
            </w:tcBorders>
            <w:vAlign w:val="center"/>
          </w:tcPr>
          <w:p w14:paraId="3DAB219B">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4C003DBA">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7E3C61F7">
            <w:pPr>
              <w:widowControl/>
              <w:jc w:val="left"/>
              <w:rPr>
                <w:rFonts w:ascii="宋体" w:hAnsi="宋体" w:cs="宋体"/>
                <w:kern w:val="0"/>
                <w:sz w:val="18"/>
                <w:szCs w:val="18"/>
              </w:rPr>
            </w:pPr>
            <w:r>
              <w:rPr>
                <w:rFonts w:hint="eastAsia" w:ascii="宋体" w:hAnsi="宋体" w:cs="宋体"/>
                <w:kern w:val="0"/>
                <w:sz w:val="18"/>
                <w:szCs w:val="18"/>
              </w:rPr>
              <w:t>　</w:t>
            </w:r>
          </w:p>
        </w:tc>
      </w:tr>
      <w:tr w14:paraId="5AD04754">
        <w:tblPrEx>
          <w:tblCellMar>
            <w:top w:w="0" w:type="dxa"/>
            <w:left w:w="108" w:type="dxa"/>
            <w:bottom w:w="0" w:type="dxa"/>
            <w:right w:w="108" w:type="dxa"/>
          </w:tblCellMar>
        </w:tblPrEx>
        <w:trPr>
          <w:trHeight w:val="294" w:hRule="atLeast"/>
        </w:trPr>
        <w:tc>
          <w:tcPr>
            <w:tcW w:w="249" w:type="pct"/>
            <w:vMerge w:val="continue"/>
            <w:tcBorders>
              <w:top w:val="nil"/>
              <w:left w:val="single" w:color="auto" w:sz="4" w:space="0"/>
              <w:bottom w:val="single" w:color="000000" w:sz="4" w:space="0"/>
              <w:right w:val="single" w:color="auto" w:sz="4" w:space="0"/>
            </w:tcBorders>
            <w:vAlign w:val="center"/>
          </w:tcPr>
          <w:p w14:paraId="760EE1A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1B6787C">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C80047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CE320F3">
            <w:pPr>
              <w:widowControl/>
              <w:jc w:val="left"/>
              <w:rPr>
                <w:rFonts w:ascii="宋体" w:hAnsi="宋体" w:cs="宋体"/>
                <w:kern w:val="0"/>
                <w:sz w:val="18"/>
                <w:szCs w:val="18"/>
              </w:rPr>
            </w:pPr>
            <w:r>
              <w:rPr>
                <w:rFonts w:hint="eastAsia" w:ascii="宋体" w:hAnsi="宋体" w:cs="宋体"/>
                <w:kern w:val="0"/>
                <w:sz w:val="18"/>
                <w:szCs w:val="18"/>
              </w:rPr>
              <w:t>集热板整洁</w:t>
            </w:r>
          </w:p>
        </w:tc>
        <w:tc>
          <w:tcPr>
            <w:tcW w:w="320" w:type="pct"/>
            <w:tcBorders>
              <w:top w:val="nil"/>
              <w:left w:val="nil"/>
              <w:bottom w:val="single" w:color="auto" w:sz="4" w:space="0"/>
              <w:right w:val="single" w:color="auto" w:sz="4" w:space="0"/>
            </w:tcBorders>
            <w:vAlign w:val="center"/>
          </w:tcPr>
          <w:p w14:paraId="7A46F977">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07D27984">
            <w:pPr>
              <w:widowControl/>
              <w:jc w:val="left"/>
              <w:rPr>
                <w:rFonts w:ascii="宋体" w:hAnsi="宋体" w:cs="宋体"/>
                <w:kern w:val="0"/>
                <w:sz w:val="18"/>
                <w:szCs w:val="18"/>
              </w:rPr>
            </w:pPr>
            <w:r>
              <w:rPr>
                <w:rFonts w:hint="eastAsia" w:ascii="宋体" w:hAnsi="宋体" w:cs="宋体"/>
                <w:kern w:val="0"/>
                <w:sz w:val="18"/>
                <w:szCs w:val="18"/>
              </w:rPr>
              <w:t>集热板有积尘扣0.5分</w:t>
            </w:r>
          </w:p>
        </w:tc>
        <w:tc>
          <w:tcPr>
            <w:tcW w:w="327" w:type="pct"/>
            <w:tcBorders>
              <w:top w:val="nil"/>
              <w:left w:val="single" w:color="auto" w:sz="4" w:space="0"/>
              <w:bottom w:val="single" w:color="000000" w:sz="4" w:space="0"/>
              <w:right w:val="single" w:color="auto" w:sz="4" w:space="0"/>
            </w:tcBorders>
            <w:vAlign w:val="center"/>
          </w:tcPr>
          <w:p w14:paraId="4518A610">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60C94D8E">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779C0E5">
            <w:pPr>
              <w:widowControl/>
              <w:jc w:val="left"/>
              <w:rPr>
                <w:rFonts w:ascii="宋体" w:hAnsi="宋体" w:cs="宋体"/>
                <w:kern w:val="0"/>
                <w:sz w:val="18"/>
                <w:szCs w:val="18"/>
              </w:rPr>
            </w:pPr>
            <w:r>
              <w:rPr>
                <w:rFonts w:hint="eastAsia" w:ascii="宋体" w:hAnsi="宋体" w:cs="宋体"/>
                <w:kern w:val="0"/>
                <w:sz w:val="18"/>
                <w:szCs w:val="18"/>
              </w:rPr>
              <w:t>　</w:t>
            </w:r>
          </w:p>
        </w:tc>
      </w:tr>
      <w:tr w14:paraId="0FB3BD53">
        <w:tblPrEx>
          <w:tblCellMar>
            <w:top w:w="0" w:type="dxa"/>
            <w:left w:w="108" w:type="dxa"/>
            <w:bottom w:w="0" w:type="dxa"/>
            <w:right w:w="108" w:type="dxa"/>
          </w:tblCellMar>
        </w:tblPrEx>
        <w:trPr>
          <w:trHeight w:val="271" w:hRule="atLeast"/>
        </w:trPr>
        <w:tc>
          <w:tcPr>
            <w:tcW w:w="249" w:type="pct"/>
            <w:vMerge w:val="continue"/>
            <w:tcBorders>
              <w:top w:val="nil"/>
              <w:left w:val="single" w:color="auto" w:sz="4" w:space="0"/>
              <w:bottom w:val="single" w:color="000000" w:sz="4" w:space="0"/>
              <w:right w:val="single" w:color="auto" w:sz="4" w:space="0"/>
            </w:tcBorders>
            <w:vAlign w:val="center"/>
          </w:tcPr>
          <w:p w14:paraId="0DAC4F99">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5C5072EA">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19F52D18">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6A4CF7D">
            <w:pPr>
              <w:widowControl/>
              <w:jc w:val="left"/>
              <w:rPr>
                <w:rFonts w:ascii="宋体" w:hAnsi="宋体" w:cs="宋体"/>
                <w:kern w:val="0"/>
                <w:sz w:val="18"/>
                <w:szCs w:val="18"/>
              </w:rPr>
            </w:pPr>
            <w:r>
              <w:rPr>
                <w:rFonts w:hint="eastAsia" w:ascii="宋体" w:hAnsi="宋体" w:cs="宋体"/>
                <w:kern w:val="0"/>
                <w:sz w:val="18"/>
                <w:szCs w:val="18"/>
              </w:rPr>
              <w:t>日常巡查、运行、维保记录齐全</w:t>
            </w:r>
          </w:p>
        </w:tc>
        <w:tc>
          <w:tcPr>
            <w:tcW w:w="320" w:type="pct"/>
            <w:tcBorders>
              <w:top w:val="nil"/>
              <w:left w:val="nil"/>
              <w:bottom w:val="single" w:color="auto" w:sz="4" w:space="0"/>
              <w:right w:val="single" w:color="auto" w:sz="4" w:space="0"/>
            </w:tcBorders>
            <w:vAlign w:val="center"/>
          </w:tcPr>
          <w:p w14:paraId="0A4C5EC0">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9671675">
            <w:pPr>
              <w:widowControl/>
              <w:jc w:val="left"/>
              <w:rPr>
                <w:rFonts w:ascii="宋体" w:hAnsi="宋体" w:cs="宋体"/>
                <w:kern w:val="0"/>
                <w:sz w:val="18"/>
                <w:szCs w:val="18"/>
              </w:rPr>
            </w:pPr>
            <w:r>
              <w:rPr>
                <w:rFonts w:hint="eastAsia" w:ascii="宋体" w:hAnsi="宋体" w:cs="宋体"/>
                <w:kern w:val="0"/>
                <w:sz w:val="18"/>
                <w:szCs w:val="18"/>
              </w:rPr>
              <w:t>日常巡查、维保记录不齐全扣0.5分</w:t>
            </w:r>
          </w:p>
        </w:tc>
        <w:tc>
          <w:tcPr>
            <w:tcW w:w="327" w:type="pct"/>
            <w:tcBorders>
              <w:top w:val="nil"/>
              <w:left w:val="single" w:color="auto" w:sz="4" w:space="0"/>
              <w:bottom w:val="single" w:color="000000" w:sz="4" w:space="0"/>
              <w:right w:val="single" w:color="auto" w:sz="4" w:space="0"/>
            </w:tcBorders>
            <w:vAlign w:val="center"/>
          </w:tcPr>
          <w:p w14:paraId="57C06AC2">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201A3F1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CF76F66">
            <w:pPr>
              <w:widowControl/>
              <w:jc w:val="left"/>
              <w:rPr>
                <w:rFonts w:ascii="宋体" w:hAnsi="宋体" w:cs="宋体"/>
                <w:kern w:val="0"/>
                <w:sz w:val="18"/>
                <w:szCs w:val="18"/>
              </w:rPr>
            </w:pPr>
            <w:r>
              <w:rPr>
                <w:rFonts w:hint="eastAsia" w:ascii="宋体" w:hAnsi="宋体" w:cs="宋体"/>
                <w:kern w:val="0"/>
                <w:sz w:val="18"/>
                <w:szCs w:val="18"/>
              </w:rPr>
              <w:t>　</w:t>
            </w:r>
          </w:p>
        </w:tc>
      </w:tr>
      <w:tr w14:paraId="3AC2731A">
        <w:tblPrEx>
          <w:tblCellMar>
            <w:top w:w="0" w:type="dxa"/>
            <w:left w:w="108" w:type="dxa"/>
            <w:bottom w:w="0" w:type="dxa"/>
            <w:right w:w="108" w:type="dxa"/>
          </w:tblCellMar>
        </w:tblPrEx>
        <w:trPr>
          <w:trHeight w:val="430" w:hRule="atLeast"/>
        </w:trPr>
        <w:tc>
          <w:tcPr>
            <w:tcW w:w="249" w:type="pct"/>
            <w:vMerge w:val="continue"/>
            <w:tcBorders>
              <w:top w:val="nil"/>
              <w:left w:val="single" w:color="auto" w:sz="4" w:space="0"/>
              <w:bottom w:val="single" w:color="000000" w:sz="4" w:space="0"/>
              <w:right w:val="single" w:color="auto" w:sz="4" w:space="0"/>
            </w:tcBorders>
            <w:vAlign w:val="center"/>
          </w:tcPr>
          <w:p w14:paraId="72C855ED">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7955D29">
            <w:pPr>
              <w:widowControl/>
              <w:jc w:val="left"/>
              <w:rPr>
                <w:rFonts w:ascii="宋体" w:hAnsi="宋体" w:cs="宋体"/>
                <w:kern w:val="0"/>
                <w:sz w:val="18"/>
                <w:szCs w:val="18"/>
              </w:rPr>
            </w:pPr>
          </w:p>
        </w:tc>
        <w:tc>
          <w:tcPr>
            <w:tcW w:w="304" w:type="pct"/>
            <w:vMerge w:val="continue"/>
            <w:tcBorders>
              <w:top w:val="nil"/>
              <w:left w:val="single" w:color="auto" w:sz="4" w:space="0"/>
              <w:bottom w:val="single" w:color="000000" w:sz="4" w:space="0"/>
              <w:right w:val="single" w:color="auto" w:sz="4" w:space="0"/>
            </w:tcBorders>
            <w:vAlign w:val="center"/>
          </w:tcPr>
          <w:p w14:paraId="31C14F4A">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AF27FFD">
            <w:pPr>
              <w:widowControl/>
              <w:jc w:val="left"/>
              <w:rPr>
                <w:rFonts w:ascii="宋体" w:hAnsi="宋体" w:cs="宋体"/>
                <w:kern w:val="0"/>
                <w:sz w:val="18"/>
                <w:szCs w:val="18"/>
              </w:rPr>
            </w:pPr>
            <w:r>
              <w:rPr>
                <w:rFonts w:hint="eastAsia" w:ascii="宋体" w:hAnsi="宋体" w:cs="宋体"/>
                <w:kern w:val="0"/>
                <w:sz w:val="18"/>
                <w:szCs w:val="18"/>
              </w:rPr>
              <w:t>室内整洁，并配备相应的灭火器具</w:t>
            </w:r>
          </w:p>
        </w:tc>
        <w:tc>
          <w:tcPr>
            <w:tcW w:w="320" w:type="pct"/>
            <w:tcBorders>
              <w:top w:val="nil"/>
              <w:left w:val="nil"/>
              <w:bottom w:val="single" w:color="auto" w:sz="4" w:space="0"/>
              <w:right w:val="single" w:color="auto" w:sz="4" w:space="0"/>
            </w:tcBorders>
            <w:vAlign w:val="center"/>
          </w:tcPr>
          <w:p w14:paraId="726E01D1">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65920046">
            <w:pPr>
              <w:widowControl/>
              <w:jc w:val="left"/>
              <w:rPr>
                <w:rFonts w:ascii="宋体" w:hAnsi="宋体" w:cs="宋体"/>
                <w:kern w:val="0"/>
                <w:sz w:val="18"/>
                <w:szCs w:val="18"/>
              </w:rPr>
            </w:pPr>
            <w:r>
              <w:rPr>
                <w:rFonts w:hint="eastAsia" w:ascii="宋体" w:hAnsi="宋体" w:cs="宋体"/>
                <w:kern w:val="0"/>
                <w:sz w:val="18"/>
                <w:szCs w:val="18"/>
              </w:rPr>
              <w:t>无配备灭火器,卫生状况差扣0.5分</w:t>
            </w:r>
          </w:p>
        </w:tc>
        <w:tc>
          <w:tcPr>
            <w:tcW w:w="327" w:type="pct"/>
            <w:tcBorders>
              <w:top w:val="nil"/>
              <w:left w:val="single" w:color="auto" w:sz="4" w:space="0"/>
              <w:bottom w:val="single" w:color="000000" w:sz="4" w:space="0"/>
              <w:right w:val="single" w:color="auto" w:sz="4" w:space="0"/>
            </w:tcBorders>
            <w:vAlign w:val="center"/>
          </w:tcPr>
          <w:p w14:paraId="6BBA470E">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30C04C5">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FBE1A66">
            <w:pPr>
              <w:widowControl/>
              <w:jc w:val="left"/>
              <w:rPr>
                <w:rFonts w:ascii="宋体" w:hAnsi="宋体" w:cs="宋体"/>
                <w:kern w:val="0"/>
                <w:sz w:val="18"/>
                <w:szCs w:val="18"/>
              </w:rPr>
            </w:pPr>
            <w:r>
              <w:rPr>
                <w:rFonts w:hint="eastAsia" w:ascii="宋体" w:hAnsi="宋体" w:cs="宋体"/>
                <w:kern w:val="0"/>
                <w:sz w:val="18"/>
                <w:szCs w:val="18"/>
              </w:rPr>
              <w:t>　</w:t>
            </w:r>
          </w:p>
        </w:tc>
      </w:tr>
      <w:tr w14:paraId="1B781AAF">
        <w:tblPrEx>
          <w:tblCellMar>
            <w:top w:w="0" w:type="dxa"/>
            <w:left w:w="108" w:type="dxa"/>
            <w:bottom w:w="0" w:type="dxa"/>
            <w:right w:w="108" w:type="dxa"/>
          </w:tblCellMar>
        </w:tblPrEx>
        <w:trPr>
          <w:trHeight w:val="570" w:hRule="atLeast"/>
        </w:trPr>
        <w:tc>
          <w:tcPr>
            <w:tcW w:w="249" w:type="pct"/>
            <w:vMerge w:val="restart"/>
            <w:tcBorders>
              <w:top w:val="nil"/>
              <w:left w:val="single" w:color="auto" w:sz="4" w:space="0"/>
              <w:bottom w:val="single" w:color="000000" w:sz="4" w:space="0"/>
              <w:right w:val="single" w:color="auto" w:sz="4" w:space="0"/>
            </w:tcBorders>
            <w:vAlign w:val="center"/>
          </w:tcPr>
          <w:p w14:paraId="4B43145F">
            <w:pPr>
              <w:widowControl/>
              <w:jc w:val="center"/>
              <w:rPr>
                <w:rFonts w:ascii="宋体" w:hAnsi="宋体" w:cs="宋体"/>
                <w:kern w:val="0"/>
                <w:sz w:val="18"/>
                <w:szCs w:val="18"/>
              </w:rPr>
            </w:pPr>
            <w:r>
              <w:rPr>
                <w:rFonts w:hint="eastAsia" w:ascii="宋体" w:hAnsi="宋体" w:cs="宋体"/>
                <w:kern w:val="0"/>
                <w:sz w:val="18"/>
                <w:szCs w:val="18"/>
              </w:rPr>
              <w:t>十六</w:t>
            </w:r>
          </w:p>
        </w:tc>
        <w:tc>
          <w:tcPr>
            <w:tcW w:w="242" w:type="pct"/>
            <w:vMerge w:val="restart"/>
            <w:tcBorders>
              <w:top w:val="nil"/>
              <w:left w:val="single" w:color="auto" w:sz="4" w:space="0"/>
              <w:bottom w:val="single" w:color="000000" w:sz="4" w:space="0"/>
              <w:right w:val="single" w:color="auto" w:sz="4" w:space="0"/>
            </w:tcBorders>
            <w:vAlign w:val="center"/>
          </w:tcPr>
          <w:p w14:paraId="54BB8ADF">
            <w:pPr>
              <w:widowControl/>
              <w:jc w:val="center"/>
              <w:rPr>
                <w:rFonts w:ascii="宋体" w:hAnsi="宋体" w:cs="宋体"/>
                <w:kern w:val="0"/>
                <w:sz w:val="18"/>
                <w:szCs w:val="18"/>
              </w:rPr>
            </w:pPr>
            <w:r>
              <w:rPr>
                <w:rFonts w:hint="eastAsia" w:ascii="宋体" w:hAnsi="宋体" w:cs="宋体"/>
                <w:kern w:val="0"/>
                <w:sz w:val="18"/>
                <w:szCs w:val="18"/>
              </w:rPr>
              <w:t>防雷与接地</w:t>
            </w:r>
          </w:p>
        </w:tc>
        <w:tc>
          <w:tcPr>
            <w:tcW w:w="304" w:type="pct"/>
            <w:vMerge w:val="restart"/>
            <w:tcBorders>
              <w:top w:val="nil"/>
              <w:left w:val="single" w:color="auto" w:sz="4" w:space="0"/>
              <w:right w:val="single" w:color="auto" w:sz="4" w:space="0"/>
            </w:tcBorders>
            <w:vAlign w:val="center"/>
          </w:tcPr>
          <w:p w14:paraId="691DE4D6">
            <w:pPr>
              <w:widowControl/>
              <w:jc w:val="center"/>
              <w:rPr>
                <w:rFonts w:ascii="宋体" w:hAnsi="宋体" w:cs="宋体"/>
                <w:kern w:val="0"/>
                <w:sz w:val="18"/>
                <w:szCs w:val="18"/>
              </w:rPr>
            </w:pPr>
            <w:r>
              <w:rPr>
                <w:rFonts w:hint="eastAsia" w:ascii="宋体" w:hAnsi="宋体" w:cs="宋体"/>
                <w:kern w:val="0"/>
                <w:sz w:val="18"/>
                <w:szCs w:val="18"/>
              </w:rPr>
              <w:t>2</w:t>
            </w:r>
          </w:p>
        </w:tc>
        <w:tc>
          <w:tcPr>
            <w:tcW w:w="1320" w:type="pct"/>
            <w:tcBorders>
              <w:top w:val="nil"/>
              <w:left w:val="nil"/>
              <w:bottom w:val="single" w:color="auto" w:sz="4" w:space="0"/>
              <w:right w:val="single" w:color="auto" w:sz="4" w:space="0"/>
            </w:tcBorders>
            <w:vAlign w:val="center"/>
          </w:tcPr>
          <w:p w14:paraId="1BC09347">
            <w:pPr>
              <w:widowControl/>
              <w:jc w:val="left"/>
              <w:rPr>
                <w:rFonts w:ascii="宋体" w:hAnsi="宋体" w:cs="宋体"/>
                <w:kern w:val="0"/>
                <w:sz w:val="18"/>
                <w:szCs w:val="18"/>
              </w:rPr>
            </w:pPr>
            <w:r>
              <w:rPr>
                <w:rFonts w:hint="eastAsia" w:ascii="宋体" w:hAnsi="宋体" w:cs="宋体"/>
                <w:kern w:val="0"/>
                <w:sz w:val="18"/>
                <w:szCs w:val="18"/>
              </w:rPr>
              <w:t>保持各建筑物的防雷与接地体良好，无腐蚀、断裂</w:t>
            </w:r>
          </w:p>
        </w:tc>
        <w:tc>
          <w:tcPr>
            <w:tcW w:w="320" w:type="pct"/>
            <w:tcBorders>
              <w:top w:val="nil"/>
              <w:left w:val="nil"/>
              <w:bottom w:val="single" w:color="auto" w:sz="4" w:space="0"/>
              <w:right w:val="single" w:color="auto" w:sz="4" w:space="0"/>
            </w:tcBorders>
            <w:vAlign w:val="center"/>
          </w:tcPr>
          <w:p w14:paraId="40515404">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48A0EDE4">
            <w:pPr>
              <w:widowControl/>
              <w:jc w:val="left"/>
              <w:rPr>
                <w:rFonts w:ascii="宋体" w:hAnsi="宋体" w:cs="宋体"/>
                <w:kern w:val="0"/>
                <w:sz w:val="18"/>
                <w:szCs w:val="18"/>
              </w:rPr>
            </w:pPr>
            <w:r>
              <w:rPr>
                <w:rFonts w:hint="eastAsia" w:ascii="宋体" w:hAnsi="宋体" w:cs="宋体"/>
                <w:kern w:val="0"/>
                <w:sz w:val="18"/>
                <w:szCs w:val="18"/>
              </w:rPr>
              <w:t>每发现一处防雷接地装置有腐蚀、断裂的扣0.2分</w:t>
            </w:r>
          </w:p>
        </w:tc>
        <w:tc>
          <w:tcPr>
            <w:tcW w:w="327" w:type="pct"/>
            <w:vMerge w:val="restart"/>
            <w:tcBorders>
              <w:top w:val="nil"/>
              <w:left w:val="single" w:color="auto" w:sz="4" w:space="0"/>
              <w:bottom w:val="single" w:color="000000" w:sz="4" w:space="0"/>
              <w:right w:val="single" w:color="auto" w:sz="4" w:space="0"/>
            </w:tcBorders>
            <w:vAlign w:val="center"/>
          </w:tcPr>
          <w:p w14:paraId="52489267">
            <w:pPr>
              <w:widowControl/>
              <w:jc w:val="center"/>
              <w:rPr>
                <w:rFonts w:ascii="宋体" w:hAnsi="宋体" w:cs="宋体"/>
                <w:kern w:val="0"/>
                <w:sz w:val="18"/>
                <w:szCs w:val="18"/>
              </w:rPr>
            </w:pPr>
            <w:r>
              <w:rPr>
                <w:rFonts w:hint="eastAsia" w:ascii="宋体" w:hAnsi="宋体" w:cs="宋体"/>
                <w:kern w:val="0"/>
                <w:sz w:val="18"/>
                <w:szCs w:val="18"/>
              </w:rPr>
              <w:t>现场检查</w:t>
            </w:r>
          </w:p>
        </w:tc>
        <w:tc>
          <w:tcPr>
            <w:tcW w:w="390" w:type="pct"/>
            <w:tcBorders>
              <w:top w:val="nil"/>
              <w:left w:val="nil"/>
              <w:bottom w:val="single" w:color="auto" w:sz="4" w:space="0"/>
              <w:right w:val="single" w:color="auto" w:sz="4" w:space="0"/>
            </w:tcBorders>
            <w:vAlign w:val="center"/>
          </w:tcPr>
          <w:p w14:paraId="2CCF01F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29BD472">
            <w:pPr>
              <w:widowControl/>
              <w:jc w:val="left"/>
              <w:rPr>
                <w:rFonts w:ascii="宋体" w:hAnsi="宋体" w:cs="宋体"/>
                <w:kern w:val="0"/>
                <w:sz w:val="18"/>
                <w:szCs w:val="18"/>
              </w:rPr>
            </w:pPr>
            <w:r>
              <w:rPr>
                <w:rFonts w:hint="eastAsia" w:ascii="宋体" w:hAnsi="宋体" w:cs="宋体"/>
                <w:kern w:val="0"/>
                <w:sz w:val="18"/>
                <w:szCs w:val="18"/>
              </w:rPr>
              <w:t>　</w:t>
            </w:r>
          </w:p>
        </w:tc>
      </w:tr>
      <w:tr w14:paraId="451BBB82">
        <w:tblPrEx>
          <w:tblCellMar>
            <w:top w:w="0" w:type="dxa"/>
            <w:left w:w="108" w:type="dxa"/>
            <w:bottom w:w="0" w:type="dxa"/>
            <w:right w:w="108" w:type="dxa"/>
          </w:tblCellMar>
        </w:tblPrEx>
        <w:trPr>
          <w:trHeight w:val="275" w:hRule="atLeast"/>
        </w:trPr>
        <w:tc>
          <w:tcPr>
            <w:tcW w:w="249" w:type="pct"/>
            <w:vMerge w:val="continue"/>
            <w:tcBorders>
              <w:top w:val="nil"/>
              <w:left w:val="single" w:color="auto" w:sz="4" w:space="0"/>
              <w:bottom w:val="single" w:color="000000" w:sz="4" w:space="0"/>
              <w:right w:val="single" w:color="auto" w:sz="4" w:space="0"/>
            </w:tcBorders>
            <w:vAlign w:val="center"/>
          </w:tcPr>
          <w:p w14:paraId="285DB3E5">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3EDB71FA">
            <w:pPr>
              <w:widowControl/>
              <w:jc w:val="left"/>
              <w:rPr>
                <w:rFonts w:ascii="宋体" w:hAnsi="宋体" w:cs="宋体"/>
                <w:kern w:val="0"/>
                <w:sz w:val="18"/>
                <w:szCs w:val="18"/>
              </w:rPr>
            </w:pPr>
          </w:p>
        </w:tc>
        <w:tc>
          <w:tcPr>
            <w:tcW w:w="304" w:type="pct"/>
            <w:vMerge w:val="continue"/>
            <w:tcBorders>
              <w:left w:val="single" w:color="auto" w:sz="4" w:space="0"/>
              <w:right w:val="single" w:color="auto" w:sz="4" w:space="0"/>
            </w:tcBorders>
            <w:vAlign w:val="center"/>
          </w:tcPr>
          <w:p w14:paraId="1B91974B">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40A2261">
            <w:pPr>
              <w:widowControl/>
              <w:jc w:val="left"/>
              <w:rPr>
                <w:rFonts w:ascii="宋体" w:hAnsi="宋体" w:cs="宋体"/>
                <w:kern w:val="0"/>
                <w:sz w:val="18"/>
                <w:szCs w:val="18"/>
              </w:rPr>
            </w:pPr>
            <w:r>
              <w:rPr>
                <w:rFonts w:hint="eastAsia" w:ascii="宋体" w:hAnsi="宋体" w:cs="宋体"/>
                <w:kern w:val="0"/>
                <w:sz w:val="18"/>
                <w:szCs w:val="18"/>
              </w:rPr>
              <w:t>每半年检查避雷装置安装可靠性及测量绝缘电阻</w:t>
            </w:r>
          </w:p>
        </w:tc>
        <w:tc>
          <w:tcPr>
            <w:tcW w:w="320" w:type="pct"/>
            <w:tcBorders>
              <w:top w:val="nil"/>
              <w:left w:val="nil"/>
              <w:bottom w:val="single" w:color="auto" w:sz="4" w:space="0"/>
              <w:right w:val="single" w:color="auto" w:sz="4" w:space="0"/>
            </w:tcBorders>
            <w:vAlign w:val="center"/>
          </w:tcPr>
          <w:p w14:paraId="1BB13EC8">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2263ED93">
            <w:pPr>
              <w:widowControl/>
              <w:jc w:val="left"/>
              <w:rPr>
                <w:rFonts w:ascii="宋体" w:hAnsi="宋体" w:cs="宋体"/>
                <w:kern w:val="0"/>
                <w:sz w:val="18"/>
                <w:szCs w:val="18"/>
              </w:rPr>
            </w:pPr>
            <w:r>
              <w:rPr>
                <w:rFonts w:hint="eastAsia" w:ascii="宋体" w:hAnsi="宋体" w:cs="宋体"/>
                <w:kern w:val="0"/>
                <w:sz w:val="18"/>
                <w:szCs w:val="18"/>
              </w:rPr>
              <w:t>无记录扣0.5分</w:t>
            </w:r>
          </w:p>
        </w:tc>
        <w:tc>
          <w:tcPr>
            <w:tcW w:w="327" w:type="pct"/>
            <w:vMerge w:val="continue"/>
            <w:tcBorders>
              <w:top w:val="nil"/>
              <w:left w:val="single" w:color="auto" w:sz="4" w:space="0"/>
              <w:bottom w:val="single" w:color="000000" w:sz="4" w:space="0"/>
              <w:right w:val="single" w:color="auto" w:sz="4" w:space="0"/>
            </w:tcBorders>
            <w:vAlign w:val="center"/>
          </w:tcPr>
          <w:p w14:paraId="63C890D4">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2E98A3F">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07833550">
            <w:pPr>
              <w:widowControl/>
              <w:jc w:val="left"/>
              <w:rPr>
                <w:rFonts w:ascii="宋体" w:hAnsi="宋体" w:cs="宋体"/>
                <w:kern w:val="0"/>
                <w:sz w:val="18"/>
                <w:szCs w:val="18"/>
              </w:rPr>
            </w:pPr>
            <w:r>
              <w:rPr>
                <w:rFonts w:hint="eastAsia" w:ascii="宋体" w:hAnsi="宋体" w:cs="宋体"/>
                <w:kern w:val="0"/>
                <w:sz w:val="18"/>
                <w:szCs w:val="18"/>
              </w:rPr>
              <w:t>　</w:t>
            </w:r>
          </w:p>
        </w:tc>
      </w:tr>
      <w:tr w14:paraId="726663DD">
        <w:tblPrEx>
          <w:tblCellMar>
            <w:top w:w="0" w:type="dxa"/>
            <w:left w:w="108" w:type="dxa"/>
            <w:bottom w:w="0" w:type="dxa"/>
            <w:right w:w="108" w:type="dxa"/>
          </w:tblCellMar>
        </w:tblPrEx>
        <w:trPr>
          <w:trHeight w:val="421" w:hRule="atLeast"/>
        </w:trPr>
        <w:tc>
          <w:tcPr>
            <w:tcW w:w="249" w:type="pct"/>
            <w:vMerge w:val="continue"/>
            <w:tcBorders>
              <w:top w:val="nil"/>
              <w:left w:val="single" w:color="auto" w:sz="4" w:space="0"/>
              <w:bottom w:val="single" w:color="000000" w:sz="4" w:space="0"/>
              <w:right w:val="single" w:color="auto" w:sz="4" w:space="0"/>
            </w:tcBorders>
            <w:vAlign w:val="center"/>
          </w:tcPr>
          <w:p w14:paraId="34E5F3E3">
            <w:pPr>
              <w:widowControl/>
              <w:jc w:val="left"/>
              <w:rPr>
                <w:rFonts w:ascii="宋体" w:hAnsi="宋体" w:cs="宋体"/>
                <w:kern w:val="0"/>
                <w:sz w:val="18"/>
                <w:szCs w:val="18"/>
              </w:rPr>
            </w:pPr>
          </w:p>
        </w:tc>
        <w:tc>
          <w:tcPr>
            <w:tcW w:w="242" w:type="pct"/>
            <w:vMerge w:val="continue"/>
            <w:tcBorders>
              <w:top w:val="nil"/>
              <w:left w:val="single" w:color="auto" w:sz="4" w:space="0"/>
              <w:bottom w:val="single" w:color="000000" w:sz="4" w:space="0"/>
              <w:right w:val="single" w:color="auto" w:sz="4" w:space="0"/>
            </w:tcBorders>
            <w:vAlign w:val="center"/>
          </w:tcPr>
          <w:p w14:paraId="44A1D871">
            <w:pPr>
              <w:widowControl/>
              <w:jc w:val="left"/>
              <w:rPr>
                <w:rFonts w:ascii="宋体" w:hAnsi="宋体" w:cs="宋体"/>
                <w:kern w:val="0"/>
                <w:sz w:val="18"/>
                <w:szCs w:val="18"/>
              </w:rPr>
            </w:pPr>
          </w:p>
        </w:tc>
        <w:tc>
          <w:tcPr>
            <w:tcW w:w="304" w:type="pct"/>
            <w:vMerge w:val="continue"/>
            <w:tcBorders>
              <w:left w:val="single" w:color="auto" w:sz="4" w:space="0"/>
              <w:bottom w:val="single" w:color="000000" w:sz="4" w:space="0"/>
              <w:right w:val="single" w:color="auto" w:sz="4" w:space="0"/>
            </w:tcBorders>
            <w:vAlign w:val="center"/>
          </w:tcPr>
          <w:p w14:paraId="2E3DF8A9">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72958356">
            <w:pPr>
              <w:widowControl/>
              <w:jc w:val="left"/>
              <w:rPr>
                <w:rFonts w:ascii="宋体" w:hAnsi="宋体" w:cs="宋体"/>
                <w:kern w:val="0"/>
                <w:sz w:val="18"/>
                <w:szCs w:val="18"/>
              </w:rPr>
            </w:pPr>
            <w:r>
              <w:rPr>
                <w:rFonts w:hint="eastAsia" w:ascii="宋体" w:hAnsi="宋体" w:cs="宋体"/>
                <w:kern w:val="0"/>
                <w:sz w:val="18"/>
                <w:szCs w:val="18"/>
              </w:rPr>
              <w:t>重点建筑每年进行一次避雷装置安全试验</w:t>
            </w:r>
          </w:p>
        </w:tc>
        <w:tc>
          <w:tcPr>
            <w:tcW w:w="320" w:type="pct"/>
            <w:tcBorders>
              <w:top w:val="nil"/>
              <w:left w:val="nil"/>
              <w:bottom w:val="single" w:color="auto" w:sz="4" w:space="0"/>
              <w:right w:val="single" w:color="auto" w:sz="4" w:space="0"/>
            </w:tcBorders>
            <w:vAlign w:val="center"/>
          </w:tcPr>
          <w:p w14:paraId="509F6D81">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0D24B402">
            <w:pPr>
              <w:widowControl/>
              <w:jc w:val="left"/>
              <w:rPr>
                <w:rFonts w:ascii="宋体" w:hAnsi="宋体" w:cs="宋体"/>
                <w:kern w:val="0"/>
                <w:sz w:val="18"/>
                <w:szCs w:val="18"/>
              </w:rPr>
            </w:pPr>
            <w:r>
              <w:rPr>
                <w:rFonts w:hint="eastAsia" w:ascii="宋体" w:hAnsi="宋体" w:cs="宋体"/>
                <w:kern w:val="0"/>
                <w:sz w:val="18"/>
                <w:szCs w:val="18"/>
              </w:rPr>
              <w:t>未能按要求进行安全试验扣0.5分</w:t>
            </w:r>
          </w:p>
        </w:tc>
        <w:tc>
          <w:tcPr>
            <w:tcW w:w="327" w:type="pct"/>
            <w:tcBorders>
              <w:top w:val="nil"/>
              <w:left w:val="single" w:color="auto" w:sz="4" w:space="0"/>
              <w:bottom w:val="single" w:color="000000" w:sz="4" w:space="0"/>
              <w:right w:val="single" w:color="auto" w:sz="4" w:space="0"/>
            </w:tcBorders>
            <w:vAlign w:val="center"/>
          </w:tcPr>
          <w:p w14:paraId="3BD9D3DC">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5757679C">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353A13B4">
            <w:pPr>
              <w:widowControl/>
              <w:jc w:val="left"/>
              <w:rPr>
                <w:rFonts w:ascii="宋体" w:hAnsi="宋体" w:cs="宋体"/>
                <w:kern w:val="0"/>
                <w:sz w:val="18"/>
                <w:szCs w:val="18"/>
              </w:rPr>
            </w:pPr>
            <w:r>
              <w:rPr>
                <w:rFonts w:hint="eastAsia" w:ascii="宋体" w:hAnsi="宋体" w:cs="宋体"/>
                <w:kern w:val="0"/>
                <w:sz w:val="18"/>
                <w:szCs w:val="18"/>
              </w:rPr>
              <w:t>　</w:t>
            </w:r>
          </w:p>
        </w:tc>
      </w:tr>
      <w:tr w14:paraId="3BDED87F">
        <w:tblPrEx>
          <w:tblCellMar>
            <w:top w:w="0" w:type="dxa"/>
            <w:left w:w="108" w:type="dxa"/>
            <w:bottom w:w="0" w:type="dxa"/>
            <w:right w:w="108" w:type="dxa"/>
          </w:tblCellMar>
        </w:tblPrEx>
        <w:trPr>
          <w:trHeight w:val="298" w:hRule="atLeast"/>
        </w:trPr>
        <w:tc>
          <w:tcPr>
            <w:tcW w:w="249" w:type="pct"/>
            <w:vMerge w:val="restart"/>
            <w:tcBorders>
              <w:top w:val="nil"/>
              <w:left w:val="single" w:color="auto" w:sz="4" w:space="0"/>
              <w:right w:val="single" w:color="auto" w:sz="4" w:space="0"/>
            </w:tcBorders>
            <w:vAlign w:val="center"/>
          </w:tcPr>
          <w:p w14:paraId="0923B7C8">
            <w:pPr>
              <w:widowControl/>
              <w:jc w:val="center"/>
              <w:rPr>
                <w:rFonts w:ascii="宋体" w:hAnsi="宋体" w:cs="宋体"/>
                <w:kern w:val="0"/>
                <w:sz w:val="18"/>
                <w:szCs w:val="18"/>
              </w:rPr>
            </w:pPr>
            <w:r>
              <w:rPr>
                <w:rFonts w:hint="eastAsia" w:ascii="宋体" w:hAnsi="宋体" w:cs="宋体"/>
                <w:kern w:val="0"/>
                <w:sz w:val="18"/>
                <w:szCs w:val="18"/>
              </w:rPr>
              <w:t>十七</w:t>
            </w:r>
          </w:p>
        </w:tc>
        <w:tc>
          <w:tcPr>
            <w:tcW w:w="242" w:type="pct"/>
            <w:vMerge w:val="restart"/>
            <w:tcBorders>
              <w:top w:val="nil"/>
              <w:left w:val="single" w:color="auto" w:sz="4" w:space="0"/>
              <w:right w:val="single" w:color="auto" w:sz="4" w:space="0"/>
            </w:tcBorders>
            <w:vAlign w:val="center"/>
          </w:tcPr>
          <w:p w14:paraId="13ADAF51">
            <w:pPr>
              <w:widowControl/>
              <w:jc w:val="center"/>
              <w:rPr>
                <w:rFonts w:ascii="宋体" w:hAnsi="宋体" w:cs="宋体"/>
                <w:kern w:val="0"/>
                <w:sz w:val="18"/>
                <w:szCs w:val="18"/>
              </w:rPr>
            </w:pPr>
            <w:r>
              <w:rPr>
                <w:rFonts w:hint="eastAsia" w:ascii="宋体" w:hAnsi="宋体" w:cs="宋体"/>
                <w:kern w:val="0"/>
                <w:sz w:val="18"/>
                <w:szCs w:val="18"/>
              </w:rPr>
              <w:t>临时用水</w:t>
            </w:r>
          </w:p>
          <w:p w14:paraId="5DF3CBC8">
            <w:pPr>
              <w:widowControl/>
              <w:jc w:val="center"/>
              <w:rPr>
                <w:rFonts w:ascii="宋体" w:hAnsi="宋体" w:cs="宋体"/>
                <w:kern w:val="0"/>
                <w:sz w:val="18"/>
                <w:szCs w:val="18"/>
              </w:rPr>
            </w:pPr>
            <w:r>
              <w:rPr>
                <w:rFonts w:hint="eastAsia" w:ascii="宋体" w:hAnsi="宋体" w:cs="宋体"/>
                <w:kern w:val="0"/>
                <w:sz w:val="18"/>
                <w:szCs w:val="18"/>
              </w:rPr>
              <w:t>用电管理</w:t>
            </w:r>
          </w:p>
        </w:tc>
        <w:tc>
          <w:tcPr>
            <w:tcW w:w="304" w:type="pct"/>
            <w:vMerge w:val="restart"/>
            <w:tcBorders>
              <w:top w:val="nil"/>
              <w:left w:val="single" w:color="auto" w:sz="4" w:space="0"/>
              <w:right w:val="single" w:color="auto" w:sz="4" w:space="0"/>
            </w:tcBorders>
            <w:vAlign w:val="center"/>
          </w:tcPr>
          <w:p w14:paraId="34F16285">
            <w:pPr>
              <w:widowControl/>
              <w:jc w:val="center"/>
              <w:rPr>
                <w:rFonts w:ascii="宋体" w:hAnsi="宋体" w:cs="宋体"/>
                <w:kern w:val="0"/>
                <w:sz w:val="18"/>
                <w:szCs w:val="18"/>
              </w:rPr>
            </w:pPr>
            <w:r>
              <w:rPr>
                <w:rFonts w:hint="eastAsia" w:ascii="宋体" w:hAnsi="宋体" w:cs="宋体"/>
                <w:kern w:val="0"/>
                <w:sz w:val="18"/>
                <w:szCs w:val="18"/>
              </w:rPr>
              <w:t>3．5</w:t>
            </w:r>
          </w:p>
        </w:tc>
        <w:tc>
          <w:tcPr>
            <w:tcW w:w="1320" w:type="pct"/>
            <w:tcBorders>
              <w:top w:val="nil"/>
              <w:left w:val="nil"/>
              <w:bottom w:val="single" w:color="auto" w:sz="4" w:space="0"/>
              <w:right w:val="single" w:color="auto" w:sz="4" w:space="0"/>
            </w:tcBorders>
            <w:vAlign w:val="center"/>
          </w:tcPr>
          <w:p w14:paraId="028F4C9E">
            <w:pPr>
              <w:widowControl/>
              <w:jc w:val="left"/>
              <w:rPr>
                <w:rFonts w:ascii="宋体" w:hAnsi="宋体" w:cs="宋体"/>
                <w:kern w:val="0"/>
                <w:sz w:val="18"/>
                <w:szCs w:val="18"/>
              </w:rPr>
            </w:pPr>
            <w:r>
              <w:rPr>
                <w:rFonts w:hint="eastAsia" w:ascii="宋体" w:hAnsi="宋体" w:cs="宋体"/>
                <w:kern w:val="0"/>
                <w:sz w:val="18"/>
                <w:szCs w:val="18"/>
              </w:rPr>
              <w:t>建立临时用水用电管理制度</w:t>
            </w:r>
          </w:p>
        </w:tc>
        <w:tc>
          <w:tcPr>
            <w:tcW w:w="320" w:type="pct"/>
            <w:tcBorders>
              <w:top w:val="nil"/>
              <w:left w:val="nil"/>
              <w:bottom w:val="single" w:color="auto" w:sz="4" w:space="0"/>
              <w:right w:val="single" w:color="auto" w:sz="4" w:space="0"/>
            </w:tcBorders>
            <w:vAlign w:val="center"/>
          </w:tcPr>
          <w:p w14:paraId="14BF8099">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30E89BA0">
            <w:pPr>
              <w:widowControl/>
              <w:jc w:val="left"/>
              <w:rPr>
                <w:rFonts w:ascii="宋体" w:hAnsi="宋体" w:cs="宋体"/>
                <w:kern w:val="0"/>
                <w:sz w:val="18"/>
                <w:szCs w:val="18"/>
              </w:rPr>
            </w:pPr>
            <w:r>
              <w:rPr>
                <w:rFonts w:hint="eastAsia" w:ascii="宋体" w:hAnsi="宋体" w:cs="宋体"/>
                <w:kern w:val="0"/>
                <w:sz w:val="18"/>
                <w:szCs w:val="18"/>
              </w:rPr>
              <w:t>未建立临时用水用电管理制度扣1分</w:t>
            </w:r>
          </w:p>
        </w:tc>
        <w:tc>
          <w:tcPr>
            <w:tcW w:w="327" w:type="pct"/>
            <w:tcBorders>
              <w:top w:val="nil"/>
              <w:left w:val="single" w:color="auto" w:sz="4" w:space="0"/>
              <w:bottom w:val="single" w:color="000000" w:sz="4" w:space="0"/>
              <w:right w:val="single" w:color="auto" w:sz="4" w:space="0"/>
            </w:tcBorders>
            <w:vAlign w:val="center"/>
          </w:tcPr>
          <w:p w14:paraId="3FC7EEE0">
            <w:pPr>
              <w:widowControl/>
              <w:jc w:val="center"/>
              <w:rPr>
                <w:rFonts w:ascii="宋体" w:hAnsi="宋体" w:cs="宋体"/>
                <w:kern w:val="0"/>
                <w:sz w:val="18"/>
                <w:szCs w:val="18"/>
              </w:rPr>
            </w:pPr>
            <w:r>
              <w:rPr>
                <w:rFonts w:hint="eastAsia" w:ascii="宋体" w:hAnsi="宋体" w:cs="宋体"/>
                <w:kern w:val="0"/>
                <w:sz w:val="18"/>
                <w:szCs w:val="18"/>
              </w:rPr>
              <w:t>查资料、记录、现场检查</w:t>
            </w:r>
          </w:p>
        </w:tc>
        <w:tc>
          <w:tcPr>
            <w:tcW w:w="390" w:type="pct"/>
            <w:tcBorders>
              <w:top w:val="nil"/>
              <w:left w:val="nil"/>
              <w:bottom w:val="single" w:color="auto" w:sz="4" w:space="0"/>
              <w:right w:val="single" w:color="auto" w:sz="4" w:space="0"/>
            </w:tcBorders>
            <w:vAlign w:val="center"/>
          </w:tcPr>
          <w:p w14:paraId="1BCAAB7B">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18D84637">
            <w:pPr>
              <w:widowControl/>
              <w:jc w:val="left"/>
              <w:rPr>
                <w:rFonts w:ascii="宋体" w:hAnsi="宋体" w:cs="宋体"/>
                <w:kern w:val="0"/>
                <w:sz w:val="18"/>
                <w:szCs w:val="18"/>
              </w:rPr>
            </w:pPr>
            <w:r>
              <w:rPr>
                <w:rFonts w:hint="eastAsia" w:ascii="宋体" w:hAnsi="宋体" w:cs="宋体"/>
                <w:kern w:val="0"/>
                <w:sz w:val="18"/>
                <w:szCs w:val="18"/>
              </w:rPr>
              <w:t>　</w:t>
            </w:r>
          </w:p>
        </w:tc>
      </w:tr>
      <w:tr w14:paraId="2148040B">
        <w:tblPrEx>
          <w:tblCellMar>
            <w:top w:w="0" w:type="dxa"/>
            <w:left w:w="108" w:type="dxa"/>
            <w:bottom w:w="0" w:type="dxa"/>
            <w:right w:w="108" w:type="dxa"/>
          </w:tblCellMar>
        </w:tblPrEx>
        <w:trPr>
          <w:trHeight w:val="1082" w:hRule="atLeast"/>
        </w:trPr>
        <w:tc>
          <w:tcPr>
            <w:tcW w:w="249" w:type="pct"/>
            <w:vMerge w:val="continue"/>
            <w:tcBorders>
              <w:left w:val="single" w:color="auto" w:sz="4" w:space="0"/>
              <w:right w:val="single" w:color="auto" w:sz="4" w:space="0"/>
            </w:tcBorders>
            <w:vAlign w:val="center"/>
          </w:tcPr>
          <w:p w14:paraId="67138CBA">
            <w:pPr>
              <w:widowControl/>
              <w:jc w:val="left"/>
              <w:rPr>
                <w:rFonts w:ascii="宋体" w:hAnsi="宋体" w:cs="宋体"/>
                <w:kern w:val="0"/>
                <w:sz w:val="18"/>
                <w:szCs w:val="18"/>
              </w:rPr>
            </w:pPr>
          </w:p>
        </w:tc>
        <w:tc>
          <w:tcPr>
            <w:tcW w:w="242" w:type="pct"/>
            <w:vMerge w:val="continue"/>
            <w:tcBorders>
              <w:left w:val="single" w:color="auto" w:sz="4" w:space="0"/>
              <w:right w:val="single" w:color="auto" w:sz="4" w:space="0"/>
            </w:tcBorders>
            <w:vAlign w:val="center"/>
          </w:tcPr>
          <w:p w14:paraId="7FA7869E">
            <w:pPr>
              <w:widowControl/>
              <w:jc w:val="left"/>
              <w:rPr>
                <w:rFonts w:ascii="宋体" w:hAnsi="宋体" w:cs="宋体"/>
                <w:kern w:val="0"/>
                <w:sz w:val="18"/>
                <w:szCs w:val="18"/>
              </w:rPr>
            </w:pPr>
          </w:p>
        </w:tc>
        <w:tc>
          <w:tcPr>
            <w:tcW w:w="304" w:type="pct"/>
            <w:vMerge w:val="continue"/>
            <w:tcBorders>
              <w:left w:val="single" w:color="auto" w:sz="4" w:space="0"/>
              <w:right w:val="single" w:color="auto" w:sz="4" w:space="0"/>
            </w:tcBorders>
            <w:vAlign w:val="center"/>
          </w:tcPr>
          <w:p w14:paraId="1A01DCAD">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3DDBADB6">
            <w:pPr>
              <w:widowControl/>
              <w:jc w:val="left"/>
              <w:rPr>
                <w:rFonts w:ascii="宋体" w:hAnsi="宋体" w:cs="宋体"/>
                <w:kern w:val="0"/>
                <w:sz w:val="18"/>
                <w:szCs w:val="18"/>
              </w:rPr>
            </w:pPr>
            <w:r>
              <w:rPr>
                <w:rFonts w:hint="eastAsia" w:ascii="宋体" w:hAnsi="宋体" w:cs="宋体"/>
                <w:kern w:val="0"/>
                <w:sz w:val="18"/>
                <w:szCs w:val="18"/>
              </w:rPr>
              <w:t>协助校团委、学生处等部门完成各种活动用水用电，协助校方完成大型活动、接待等应急用水用电</w:t>
            </w:r>
          </w:p>
        </w:tc>
        <w:tc>
          <w:tcPr>
            <w:tcW w:w="320" w:type="pct"/>
            <w:tcBorders>
              <w:top w:val="nil"/>
              <w:left w:val="nil"/>
              <w:bottom w:val="single" w:color="auto" w:sz="4" w:space="0"/>
              <w:right w:val="single" w:color="auto" w:sz="4" w:space="0"/>
            </w:tcBorders>
            <w:vAlign w:val="center"/>
          </w:tcPr>
          <w:p w14:paraId="4B047620">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573E5DFD">
            <w:pPr>
              <w:widowControl/>
              <w:jc w:val="left"/>
              <w:rPr>
                <w:rFonts w:ascii="宋体" w:hAnsi="宋体" w:cs="宋体"/>
                <w:kern w:val="0"/>
                <w:sz w:val="18"/>
                <w:szCs w:val="18"/>
              </w:rPr>
            </w:pPr>
            <w:r>
              <w:rPr>
                <w:rFonts w:hint="eastAsia" w:ascii="宋体" w:hAnsi="宋体" w:cs="宋体"/>
                <w:kern w:val="0"/>
                <w:sz w:val="18"/>
                <w:szCs w:val="18"/>
              </w:rPr>
              <w:t>未协助完成学校大型活动、接待、学生处、校团委等应急用水用电每次扣0.5分</w:t>
            </w:r>
          </w:p>
        </w:tc>
        <w:tc>
          <w:tcPr>
            <w:tcW w:w="327" w:type="pct"/>
            <w:tcBorders>
              <w:top w:val="nil"/>
              <w:left w:val="single" w:color="auto" w:sz="4" w:space="0"/>
              <w:bottom w:val="single" w:color="000000" w:sz="4" w:space="0"/>
              <w:right w:val="single" w:color="auto" w:sz="4" w:space="0"/>
            </w:tcBorders>
            <w:vAlign w:val="center"/>
          </w:tcPr>
          <w:p w14:paraId="49AE4B56">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18087D09">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2088CA9C">
            <w:pPr>
              <w:widowControl/>
              <w:jc w:val="left"/>
              <w:rPr>
                <w:rFonts w:ascii="宋体" w:hAnsi="宋体" w:cs="宋体"/>
                <w:kern w:val="0"/>
                <w:sz w:val="18"/>
                <w:szCs w:val="18"/>
              </w:rPr>
            </w:pPr>
            <w:r>
              <w:rPr>
                <w:rFonts w:hint="eastAsia" w:ascii="宋体" w:hAnsi="宋体" w:cs="宋体"/>
                <w:kern w:val="0"/>
                <w:sz w:val="18"/>
                <w:szCs w:val="18"/>
              </w:rPr>
              <w:t>　</w:t>
            </w:r>
          </w:p>
        </w:tc>
      </w:tr>
      <w:tr w14:paraId="70C75A63">
        <w:tblPrEx>
          <w:tblCellMar>
            <w:top w:w="0" w:type="dxa"/>
            <w:left w:w="108" w:type="dxa"/>
            <w:bottom w:w="0" w:type="dxa"/>
            <w:right w:w="108" w:type="dxa"/>
          </w:tblCellMar>
        </w:tblPrEx>
        <w:trPr>
          <w:trHeight w:val="600" w:hRule="atLeast"/>
        </w:trPr>
        <w:tc>
          <w:tcPr>
            <w:tcW w:w="249" w:type="pct"/>
            <w:vMerge w:val="continue"/>
            <w:tcBorders>
              <w:left w:val="single" w:color="auto" w:sz="4" w:space="0"/>
              <w:right w:val="single" w:color="auto" w:sz="4" w:space="0"/>
            </w:tcBorders>
            <w:vAlign w:val="center"/>
          </w:tcPr>
          <w:p w14:paraId="4EC01A94">
            <w:pPr>
              <w:widowControl/>
              <w:jc w:val="left"/>
              <w:rPr>
                <w:rFonts w:ascii="宋体" w:hAnsi="宋体" w:cs="宋体"/>
                <w:kern w:val="0"/>
                <w:sz w:val="18"/>
                <w:szCs w:val="18"/>
              </w:rPr>
            </w:pPr>
          </w:p>
        </w:tc>
        <w:tc>
          <w:tcPr>
            <w:tcW w:w="242" w:type="pct"/>
            <w:vMerge w:val="continue"/>
            <w:tcBorders>
              <w:left w:val="single" w:color="auto" w:sz="4" w:space="0"/>
              <w:right w:val="single" w:color="auto" w:sz="4" w:space="0"/>
            </w:tcBorders>
            <w:vAlign w:val="center"/>
          </w:tcPr>
          <w:p w14:paraId="6EE38A9F">
            <w:pPr>
              <w:widowControl/>
              <w:jc w:val="left"/>
              <w:rPr>
                <w:rFonts w:ascii="宋体" w:hAnsi="宋体" w:cs="宋体"/>
                <w:kern w:val="0"/>
                <w:sz w:val="18"/>
                <w:szCs w:val="18"/>
              </w:rPr>
            </w:pPr>
          </w:p>
        </w:tc>
        <w:tc>
          <w:tcPr>
            <w:tcW w:w="304" w:type="pct"/>
            <w:vMerge w:val="continue"/>
            <w:tcBorders>
              <w:left w:val="single" w:color="auto" w:sz="4" w:space="0"/>
              <w:right w:val="single" w:color="auto" w:sz="4" w:space="0"/>
            </w:tcBorders>
            <w:vAlign w:val="center"/>
          </w:tcPr>
          <w:p w14:paraId="3F54048E">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47ADF8B7">
            <w:pPr>
              <w:widowControl/>
              <w:jc w:val="left"/>
              <w:rPr>
                <w:rFonts w:ascii="宋体" w:hAnsi="宋体" w:cs="宋体"/>
                <w:kern w:val="0"/>
                <w:sz w:val="18"/>
                <w:szCs w:val="18"/>
              </w:rPr>
            </w:pPr>
            <w:r>
              <w:rPr>
                <w:rFonts w:hint="eastAsia" w:ascii="宋体" w:hAnsi="宋体" w:cs="宋体"/>
                <w:kern w:val="0"/>
                <w:sz w:val="18"/>
                <w:szCs w:val="18"/>
              </w:rPr>
              <w:t>协助完成外单位用水用电管理，进场和离场有相关专业人员现场处理，过程有专人负责管理</w:t>
            </w:r>
          </w:p>
        </w:tc>
        <w:tc>
          <w:tcPr>
            <w:tcW w:w="320" w:type="pct"/>
            <w:tcBorders>
              <w:top w:val="nil"/>
              <w:left w:val="nil"/>
              <w:bottom w:val="single" w:color="auto" w:sz="4" w:space="0"/>
              <w:right w:val="single" w:color="auto" w:sz="4" w:space="0"/>
            </w:tcBorders>
            <w:vAlign w:val="center"/>
          </w:tcPr>
          <w:p w14:paraId="26FB156C">
            <w:pPr>
              <w:widowControl/>
              <w:jc w:val="center"/>
              <w:rPr>
                <w:rFonts w:ascii="宋体" w:hAnsi="宋体" w:cs="宋体"/>
                <w:kern w:val="0"/>
                <w:sz w:val="18"/>
                <w:szCs w:val="18"/>
              </w:rPr>
            </w:pPr>
            <w:r>
              <w:rPr>
                <w:rFonts w:hint="eastAsia" w:ascii="宋体" w:hAnsi="宋体" w:cs="宋体"/>
                <w:kern w:val="0"/>
                <w:sz w:val="18"/>
                <w:szCs w:val="18"/>
              </w:rPr>
              <w:t>1</w:t>
            </w:r>
          </w:p>
        </w:tc>
        <w:tc>
          <w:tcPr>
            <w:tcW w:w="1375" w:type="pct"/>
            <w:tcBorders>
              <w:top w:val="nil"/>
              <w:left w:val="nil"/>
              <w:bottom w:val="single" w:color="auto" w:sz="4" w:space="0"/>
              <w:right w:val="single" w:color="auto" w:sz="4" w:space="0"/>
            </w:tcBorders>
            <w:vAlign w:val="center"/>
          </w:tcPr>
          <w:p w14:paraId="77D347DF">
            <w:pPr>
              <w:widowControl/>
              <w:jc w:val="left"/>
              <w:rPr>
                <w:rFonts w:ascii="宋体" w:hAnsi="宋体" w:cs="宋体"/>
                <w:kern w:val="0"/>
                <w:sz w:val="18"/>
                <w:szCs w:val="18"/>
              </w:rPr>
            </w:pPr>
            <w:r>
              <w:rPr>
                <w:rFonts w:hint="eastAsia" w:ascii="宋体" w:hAnsi="宋体" w:cs="宋体"/>
                <w:kern w:val="0"/>
                <w:sz w:val="18"/>
                <w:szCs w:val="18"/>
              </w:rPr>
              <w:t>未协助完成外单位用水用电管理扣1分</w:t>
            </w:r>
          </w:p>
        </w:tc>
        <w:tc>
          <w:tcPr>
            <w:tcW w:w="327" w:type="pct"/>
            <w:vMerge w:val="restart"/>
            <w:tcBorders>
              <w:top w:val="nil"/>
              <w:left w:val="single" w:color="auto" w:sz="4" w:space="0"/>
              <w:right w:val="single" w:color="auto" w:sz="4" w:space="0"/>
            </w:tcBorders>
            <w:vAlign w:val="center"/>
          </w:tcPr>
          <w:p w14:paraId="6A89BC66">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30B1FB45">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66076271">
            <w:pPr>
              <w:widowControl/>
              <w:jc w:val="left"/>
              <w:rPr>
                <w:rFonts w:ascii="宋体" w:hAnsi="宋体" w:cs="宋体"/>
                <w:kern w:val="0"/>
                <w:sz w:val="18"/>
                <w:szCs w:val="18"/>
              </w:rPr>
            </w:pPr>
            <w:r>
              <w:rPr>
                <w:rFonts w:hint="eastAsia" w:ascii="宋体" w:hAnsi="宋体" w:cs="宋体"/>
                <w:kern w:val="0"/>
                <w:sz w:val="18"/>
                <w:szCs w:val="18"/>
              </w:rPr>
              <w:t>　</w:t>
            </w:r>
          </w:p>
        </w:tc>
      </w:tr>
      <w:tr w14:paraId="417A34F1">
        <w:tblPrEx>
          <w:tblCellMar>
            <w:top w:w="0" w:type="dxa"/>
            <w:left w:w="108" w:type="dxa"/>
            <w:bottom w:w="0" w:type="dxa"/>
            <w:right w:w="108" w:type="dxa"/>
          </w:tblCellMar>
        </w:tblPrEx>
        <w:trPr>
          <w:trHeight w:val="491" w:hRule="atLeast"/>
        </w:trPr>
        <w:tc>
          <w:tcPr>
            <w:tcW w:w="249" w:type="pct"/>
            <w:vMerge w:val="continue"/>
            <w:tcBorders>
              <w:left w:val="single" w:color="auto" w:sz="4" w:space="0"/>
              <w:bottom w:val="single" w:color="auto" w:sz="4" w:space="0"/>
              <w:right w:val="single" w:color="auto" w:sz="4" w:space="0"/>
            </w:tcBorders>
            <w:vAlign w:val="center"/>
          </w:tcPr>
          <w:p w14:paraId="6A1C3AA2">
            <w:pPr>
              <w:widowControl/>
              <w:jc w:val="left"/>
              <w:rPr>
                <w:rFonts w:ascii="宋体" w:hAnsi="宋体" w:cs="宋体"/>
                <w:kern w:val="0"/>
                <w:sz w:val="18"/>
                <w:szCs w:val="18"/>
              </w:rPr>
            </w:pPr>
          </w:p>
        </w:tc>
        <w:tc>
          <w:tcPr>
            <w:tcW w:w="242" w:type="pct"/>
            <w:vMerge w:val="continue"/>
            <w:tcBorders>
              <w:left w:val="single" w:color="auto" w:sz="4" w:space="0"/>
              <w:bottom w:val="single" w:color="auto" w:sz="4" w:space="0"/>
              <w:right w:val="single" w:color="auto" w:sz="4" w:space="0"/>
            </w:tcBorders>
            <w:vAlign w:val="center"/>
          </w:tcPr>
          <w:p w14:paraId="254BCFF0">
            <w:pPr>
              <w:widowControl/>
              <w:jc w:val="left"/>
              <w:rPr>
                <w:rFonts w:ascii="宋体" w:hAnsi="宋体" w:cs="宋体"/>
                <w:kern w:val="0"/>
                <w:sz w:val="18"/>
                <w:szCs w:val="18"/>
              </w:rPr>
            </w:pPr>
          </w:p>
        </w:tc>
        <w:tc>
          <w:tcPr>
            <w:tcW w:w="304" w:type="pct"/>
            <w:vMerge w:val="continue"/>
            <w:tcBorders>
              <w:left w:val="single" w:color="auto" w:sz="4" w:space="0"/>
              <w:bottom w:val="single" w:color="auto" w:sz="4" w:space="0"/>
              <w:right w:val="single" w:color="auto" w:sz="4" w:space="0"/>
            </w:tcBorders>
            <w:vAlign w:val="center"/>
          </w:tcPr>
          <w:p w14:paraId="3FF01697">
            <w:pPr>
              <w:widowControl/>
              <w:jc w:val="left"/>
              <w:rPr>
                <w:rFonts w:ascii="宋体" w:hAnsi="宋体" w:cs="宋体"/>
                <w:kern w:val="0"/>
                <w:sz w:val="18"/>
                <w:szCs w:val="18"/>
              </w:rPr>
            </w:pPr>
          </w:p>
        </w:tc>
        <w:tc>
          <w:tcPr>
            <w:tcW w:w="1320" w:type="pct"/>
            <w:tcBorders>
              <w:top w:val="nil"/>
              <w:left w:val="nil"/>
              <w:bottom w:val="single" w:color="auto" w:sz="4" w:space="0"/>
              <w:right w:val="single" w:color="auto" w:sz="4" w:space="0"/>
            </w:tcBorders>
            <w:vAlign w:val="center"/>
          </w:tcPr>
          <w:p w14:paraId="5E950864">
            <w:pPr>
              <w:widowControl/>
              <w:jc w:val="left"/>
              <w:rPr>
                <w:rFonts w:ascii="宋体" w:hAnsi="宋体" w:cs="宋体"/>
                <w:kern w:val="0"/>
                <w:sz w:val="18"/>
                <w:szCs w:val="18"/>
              </w:rPr>
            </w:pPr>
            <w:r>
              <w:rPr>
                <w:rFonts w:hint="eastAsia" w:ascii="宋体" w:hAnsi="宋体" w:cs="宋体"/>
                <w:kern w:val="0"/>
                <w:sz w:val="18"/>
                <w:szCs w:val="18"/>
              </w:rPr>
              <w:t>按时抄录计量表数据，责任人明确</w:t>
            </w:r>
          </w:p>
        </w:tc>
        <w:tc>
          <w:tcPr>
            <w:tcW w:w="320" w:type="pct"/>
            <w:tcBorders>
              <w:top w:val="nil"/>
              <w:left w:val="nil"/>
              <w:bottom w:val="single" w:color="auto" w:sz="4" w:space="0"/>
              <w:right w:val="single" w:color="auto" w:sz="4" w:space="0"/>
            </w:tcBorders>
            <w:vAlign w:val="center"/>
          </w:tcPr>
          <w:p w14:paraId="2EBB4C36">
            <w:pPr>
              <w:widowControl/>
              <w:jc w:val="center"/>
              <w:rPr>
                <w:rFonts w:ascii="宋体" w:hAnsi="宋体" w:cs="宋体"/>
                <w:kern w:val="0"/>
                <w:sz w:val="18"/>
                <w:szCs w:val="18"/>
              </w:rPr>
            </w:pPr>
            <w:r>
              <w:rPr>
                <w:rFonts w:hint="eastAsia" w:ascii="宋体" w:hAnsi="宋体" w:cs="宋体"/>
                <w:kern w:val="0"/>
                <w:sz w:val="18"/>
                <w:szCs w:val="18"/>
              </w:rPr>
              <w:t>0.5</w:t>
            </w:r>
          </w:p>
        </w:tc>
        <w:tc>
          <w:tcPr>
            <w:tcW w:w="1375" w:type="pct"/>
            <w:tcBorders>
              <w:top w:val="nil"/>
              <w:left w:val="nil"/>
              <w:bottom w:val="single" w:color="auto" w:sz="4" w:space="0"/>
              <w:right w:val="single" w:color="auto" w:sz="4" w:space="0"/>
            </w:tcBorders>
            <w:vAlign w:val="center"/>
          </w:tcPr>
          <w:p w14:paraId="33FF9CF1">
            <w:pPr>
              <w:widowControl/>
              <w:jc w:val="left"/>
              <w:rPr>
                <w:rFonts w:ascii="宋体" w:hAnsi="宋体" w:cs="宋体"/>
                <w:kern w:val="0"/>
                <w:sz w:val="18"/>
                <w:szCs w:val="18"/>
              </w:rPr>
            </w:pPr>
            <w:r>
              <w:rPr>
                <w:rFonts w:hint="eastAsia" w:ascii="宋体" w:hAnsi="宋体" w:cs="宋体"/>
                <w:kern w:val="0"/>
                <w:sz w:val="18"/>
                <w:szCs w:val="18"/>
              </w:rPr>
              <w:t>未按时抄录计量表数据，责任人不明确扣0.5分</w:t>
            </w:r>
          </w:p>
        </w:tc>
        <w:tc>
          <w:tcPr>
            <w:tcW w:w="327" w:type="pct"/>
            <w:vMerge w:val="continue"/>
            <w:tcBorders>
              <w:top w:val="nil"/>
              <w:left w:val="single" w:color="auto" w:sz="4" w:space="0"/>
              <w:bottom w:val="single" w:color="auto" w:sz="4" w:space="0"/>
              <w:right w:val="single" w:color="auto" w:sz="4" w:space="0"/>
            </w:tcBorders>
            <w:vAlign w:val="center"/>
          </w:tcPr>
          <w:p w14:paraId="0339BF54">
            <w:pPr>
              <w:widowControl/>
              <w:jc w:val="left"/>
              <w:rPr>
                <w:rFonts w:ascii="宋体" w:hAnsi="宋体" w:cs="宋体"/>
                <w:kern w:val="0"/>
                <w:sz w:val="18"/>
                <w:szCs w:val="18"/>
              </w:rPr>
            </w:pPr>
          </w:p>
        </w:tc>
        <w:tc>
          <w:tcPr>
            <w:tcW w:w="390" w:type="pct"/>
            <w:tcBorders>
              <w:top w:val="nil"/>
              <w:left w:val="nil"/>
              <w:bottom w:val="single" w:color="auto" w:sz="4" w:space="0"/>
              <w:right w:val="single" w:color="auto" w:sz="4" w:space="0"/>
            </w:tcBorders>
            <w:vAlign w:val="center"/>
          </w:tcPr>
          <w:p w14:paraId="72B9CF01">
            <w:pPr>
              <w:widowControl/>
              <w:jc w:val="left"/>
              <w:rPr>
                <w:rFonts w:ascii="宋体" w:hAnsi="宋体" w:cs="宋体"/>
                <w:kern w:val="0"/>
                <w:sz w:val="18"/>
                <w:szCs w:val="18"/>
              </w:rPr>
            </w:pPr>
            <w:r>
              <w:rPr>
                <w:rFonts w:hint="eastAsia" w:ascii="宋体" w:hAnsi="宋体" w:cs="宋体"/>
                <w:kern w:val="0"/>
                <w:sz w:val="18"/>
                <w:szCs w:val="18"/>
              </w:rPr>
              <w:t>　</w:t>
            </w:r>
          </w:p>
        </w:tc>
        <w:tc>
          <w:tcPr>
            <w:tcW w:w="468" w:type="pct"/>
            <w:tcBorders>
              <w:top w:val="nil"/>
              <w:left w:val="nil"/>
              <w:bottom w:val="single" w:color="auto" w:sz="4" w:space="0"/>
              <w:right w:val="single" w:color="auto" w:sz="4" w:space="0"/>
            </w:tcBorders>
            <w:vAlign w:val="center"/>
          </w:tcPr>
          <w:p w14:paraId="449ACD42">
            <w:pPr>
              <w:widowControl/>
              <w:jc w:val="left"/>
              <w:rPr>
                <w:rFonts w:ascii="宋体" w:hAnsi="宋体" w:cs="宋体"/>
                <w:kern w:val="0"/>
                <w:sz w:val="18"/>
                <w:szCs w:val="18"/>
              </w:rPr>
            </w:pPr>
            <w:r>
              <w:rPr>
                <w:rFonts w:hint="eastAsia" w:ascii="宋体" w:hAnsi="宋体" w:cs="宋体"/>
                <w:kern w:val="0"/>
                <w:sz w:val="18"/>
                <w:szCs w:val="18"/>
              </w:rPr>
              <w:t>　</w:t>
            </w:r>
          </w:p>
        </w:tc>
      </w:tr>
      <w:tr w14:paraId="3EA0C749">
        <w:tblPrEx>
          <w:tblCellMar>
            <w:top w:w="0" w:type="dxa"/>
            <w:left w:w="108" w:type="dxa"/>
            <w:bottom w:w="0" w:type="dxa"/>
            <w:right w:w="108" w:type="dxa"/>
          </w:tblCellMar>
        </w:tblPrEx>
        <w:trPr>
          <w:trHeight w:val="202" w:hRule="atLeast"/>
        </w:trPr>
        <w:tc>
          <w:tcPr>
            <w:tcW w:w="3812" w:type="pct"/>
            <w:gridSpan w:val="6"/>
            <w:tcBorders>
              <w:top w:val="single" w:color="auto" w:sz="4" w:space="0"/>
              <w:left w:val="single" w:color="auto" w:sz="4" w:space="0"/>
              <w:bottom w:val="single" w:color="auto" w:sz="4" w:space="0"/>
              <w:right w:val="single" w:color="auto" w:sz="4" w:space="0"/>
            </w:tcBorders>
            <w:vAlign w:val="center"/>
          </w:tcPr>
          <w:p w14:paraId="241341A2">
            <w:pPr>
              <w:widowControl/>
              <w:jc w:val="left"/>
              <w:rPr>
                <w:rFonts w:ascii="宋体" w:hAnsi="宋体" w:cs="宋体"/>
                <w:kern w:val="0"/>
                <w:sz w:val="18"/>
                <w:szCs w:val="18"/>
              </w:rPr>
            </w:pPr>
            <w:r>
              <w:rPr>
                <w:rFonts w:hint="eastAsia" w:ascii="黑体" w:eastAsia="黑体"/>
                <w:szCs w:val="21"/>
              </w:rPr>
              <w:t>得   分   总   计：</w:t>
            </w:r>
          </w:p>
        </w:tc>
        <w:tc>
          <w:tcPr>
            <w:tcW w:w="1187" w:type="pct"/>
            <w:gridSpan w:val="3"/>
            <w:tcBorders>
              <w:top w:val="single" w:color="auto" w:sz="4" w:space="0"/>
              <w:left w:val="single" w:color="auto" w:sz="4" w:space="0"/>
              <w:bottom w:val="single" w:color="auto" w:sz="4" w:space="0"/>
              <w:right w:val="single" w:color="auto" w:sz="4" w:space="0"/>
            </w:tcBorders>
            <w:vAlign w:val="center"/>
          </w:tcPr>
          <w:p w14:paraId="5A6F674D">
            <w:pPr>
              <w:widowControl/>
              <w:jc w:val="left"/>
              <w:rPr>
                <w:rFonts w:ascii="宋体" w:hAnsi="宋体" w:cs="宋体"/>
                <w:kern w:val="0"/>
                <w:sz w:val="18"/>
                <w:szCs w:val="18"/>
              </w:rPr>
            </w:pPr>
          </w:p>
        </w:tc>
      </w:tr>
      <w:tr w14:paraId="0E3B9E48">
        <w:tblPrEx>
          <w:tblCellMar>
            <w:top w:w="0" w:type="dxa"/>
            <w:left w:w="108" w:type="dxa"/>
            <w:bottom w:w="0" w:type="dxa"/>
            <w:right w:w="108" w:type="dxa"/>
          </w:tblCellMar>
        </w:tblPrEx>
        <w:trPr>
          <w:trHeight w:val="130" w:hRule="atLeast"/>
        </w:trPr>
        <w:tc>
          <w:tcPr>
            <w:tcW w:w="5000" w:type="pct"/>
            <w:gridSpan w:val="9"/>
            <w:tcBorders>
              <w:top w:val="single" w:color="auto" w:sz="4" w:space="0"/>
              <w:left w:val="single" w:color="auto" w:sz="4" w:space="0"/>
              <w:bottom w:val="single" w:color="000000" w:sz="4" w:space="0"/>
              <w:right w:val="single" w:color="auto" w:sz="4" w:space="0"/>
            </w:tcBorders>
            <w:vAlign w:val="center"/>
          </w:tcPr>
          <w:p w14:paraId="56866933">
            <w:pPr>
              <w:widowControl/>
              <w:jc w:val="left"/>
              <w:rPr>
                <w:rFonts w:ascii="宋体" w:hAnsi="宋体" w:cs="宋体"/>
                <w:kern w:val="0"/>
                <w:sz w:val="18"/>
                <w:szCs w:val="18"/>
              </w:rPr>
            </w:pPr>
            <w:r>
              <w:rPr>
                <w:rFonts w:hint="eastAsia" w:ascii="宋体" w:hAnsi="宋体" w:cs="宋体"/>
                <w:kern w:val="0"/>
                <w:sz w:val="18"/>
                <w:szCs w:val="18"/>
              </w:rPr>
              <w:t>备注</w:t>
            </w:r>
          </w:p>
        </w:tc>
      </w:tr>
    </w:tbl>
    <w:p w14:paraId="17CA6910">
      <w:pPr>
        <w:pStyle w:val="18"/>
        <w:numPr>
          <w:ilvl w:val="0"/>
          <w:numId w:val="11"/>
        </w:numPr>
        <w:ind w:left="630"/>
        <w:rPr>
          <w:rFonts w:ascii="宋体" w:hAnsi="宋体" w:cs="宋体"/>
          <w:kern w:val="0"/>
          <w:sz w:val="21"/>
          <w:szCs w:val="21"/>
        </w:rPr>
      </w:pPr>
      <w:r>
        <w:rPr>
          <w:rFonts w:hint="eastAsia" w:ascii="宋体" w:hAnsi="宋体" w:cs="宋体"/>
          <w:kern w:val="0"/>
          <w:sz w:val="21"/>
          <w:szCs w:val="21"/>
        </w:rPr>
        <w:t>安保（秩序维护）服务完成状况量化考评表（总分100分）</w:t>
      </w:r>
    </w:p>
    <w:tbl>
      <w:tblPr>
        <w:tblStyle w:val="42"/>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992"/>
        <w:gridCol w:w="4671"/>
        <w:gridCol w:w="2268"/>
        <w:gridCol w:w="676"/>
      </w:tblGrid>
      <w:tr w14:paraId="2AE6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DABA76A">
            <w:pPr>
              <w:spacing w:line="360" w:lineRule="exact"/>
              <w:jc w:val="center"/>
              <w:rPr>
                <w:rFonts w:ascii="宋体" w:hAnsi="宋体"/>
                <w:b/>
                <w:sz w:val="18"/>
                <w:szCs w:val="18"/>
              </w:rPr>
            </w:pPr>
            <w:r>
              <w:rPr>
                <w:rFonts w:hint="eastAsia" w:ascii="宋体" w:hAnsi="宋体"/>
                <w:b/>
                <w:sz w:val="18"/>
                <w:szCs w:val="18"/>
              </w:rPr>
              <w:t>序号</w:t>
            </w:r>
          </w:p>
        </w:tc>
        <w:tc>
          <w:tcPr>
            <w:tcW w:w="992"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D88AD61">
            <w:pPr>
              <w:spacing w:line="360" w:lineRule="exact"/>
              <w:jc w:val="center"/>
              <w:rPr>
                <w:rFonts w:ascii="宋体" w:hAnsi="宋体"/>
                <w:b/>
                <w:sz w:val="18"/>
                <w:szCs w:val="18"/>
              </w:rPr>
            </w:pPr>
            <w:r>
              <w:rPr>
                <w:rFonts w:hint="eastAsia" w:ascii="宋体" w:hAnsi="宋体"/>
                <w:b/>
                <w:sz w:val="18"/>
                <w:szCs w:val="18"/>
              </w:rPr>
              <w:t>量化指标</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5B1334C">
            <w:pPr>
              <w:spacing w:line="360" w:lineRule="exact"/>
              <w:jc w:val="center"/>
              <w:rPr>
                <w:rFonts w:ascii="宋体" w:hAnsi="宋体"/>
                <w:b/>
                <w:sz w:val="18"/>
                <w:szCs w:val="18"/>
              </w:rPr>
            </w:pPr>
            <w:r>
              <w:rPr>
                <w:rFonts w:hint="eastAsia" w:ascii="宋体" w:hAnsi="宋体"/>
                <w:b/>
                <w:sz w:val="18"/>
                <w:szCs w:val="18"/>
              </w:rPr>
              <w:t>考评项目</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B78126A">
            <w:pPr>
              <w:spacing w:line="360" w:lineRule="exact"/>
              <w:jc w:val="center"/>
              <w:rPr>
                <w:rFonts w:ascii="宋体" w:hAnsi="宋体"/>
                <w:b/>
                <w:sz w:val="18"/>
                <w:szCs w:val="18"/>
              </w:rPr>
            </w:pPr>
            <w:r>
              <w:rPr>
                <w:rFonts w:hint="eastAsia" w:ascii="宋体" w:hAnsi="宋体"/>
                <w:b/>
                <w:sz w:val="18"/>
                <w:szCs w:val="18"/>
              </w:rPr>
              <w:t>考评标准</w:t>
            </w: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FCC029B">
            <w:pPr>
              <w:spacing w:line="360" w:lineRule="exact"/>
              <w:jc w:val="center"/>
              <w:rPr>
                <w:rFonts w:ascii="宋体" w:hAnsi="宋体"/>
                <w:b/>
                <w:sz w:val="18"/>
                <w:szCs w:val="18"/>
              </w:rPr>
            </w:pPr>
            <w:r>
              <w:rPr>
                <w:rFonts w:hint="eastAsia" w:ascii="宋体" w:hAnsi="宋体"/>
                <w:b/>
                <w:sz w:val="18"/>
                <w:szCs w:val="18"/>
              </w:rPr>
              <w:t>考评  得分</w:t>
            </w:r>
          </w:p>
        </w:tc>
      </w:tr>
      <w:tr w14:paraId="066B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6B5E8F1">
            <w:pPr>
              <w:spacing w:line="360" w:lineRule="exact"/>
              <w:jc w:val="center"/>
              <w:rPr>
                <w:rFonts w:ascii="宋体" w:hAnsi="宋体"/>
                <w:sz w:val="18"/>
                <w:szCs w:val="18"/>
              </w:rPr>
            </w:pPr>
            <w:r>
              <w:rPr>
                <w:rFonts w:hint="eastAsia" w:ascii="宋体" w:hAnsi="宋体"/>
                <w:sz w:val="18"/>
                <w:szCs w:val="18"/>
              </w:rPr>
              <w:t>1</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E0DF55B">
            <w:pPr>
              <w:spacing w:line="360" w:lineRule="exact"/>
              <w:jc w:val="center"/>
              <w:rPr>
                <w:rFonts w:ascii="宋体" w:hAnsi="宋体"/>
                <w:sz w:val="18"/>
                <w:szCs w:val="18"/>
              </w:rPr>
            </w:pPr>
            <w:r>
              <w:rPr>
                <w:rFonts w:hint="eastAsia" w:ascii="宋体" w:hAnsi="宋体"/>
                <w:sz w:val="18"/>
                <w:szCs w:val="18"/>
              </w:rPr>
              <w:t>上班工作纪律</w:t>
            </w:r>
          </w:p>
          <w:p w14:paraId="3C2EE20B">
            <w:pPr>
              <w:spacing w:line="360" w:lineRule="exact"/>
              <w:jc w:val="center"/>
              <w:rPr>
                <w:rFonts w:ascii="宋体" w:hAnsi="宋体"/>
                <w:sz w:val="18"/>
                <w:szCs w:val="18"/>
              </w:rPr>
            </w:pPr>
            <w:r>
              <w:rPr>
                <w:rFonts w:hint="eastAsia" w:ascii="宋体" w:hAnsi="宋体"/>
                <w:sz w:val="18"/>
                <w:szCs w:val="18"/>
              </w:rPr>
              <w:t>（共15分）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31DAF94">
            <w:pPr>
              <w:widowControl/>
              <w:spacing w:line="360" w:lineRule="exact"/>
              <w:rPr>
                <w:rFonts w:ascii="宋体" w:hAnsi="宋体"/>
                <w:bCs/>
                <w:sz w:val="18"/>
                <w:szCs w:val="18"/>
              </w:rPr>
            </w:pPr>
            <w:r>
              <w:rPr>
                <w:rFonts w:hint="eastAsia" w:ascii="宋体" w:hAnsi="宋体"/>
                <w:bCs/>
                <w:sz w:val="18"/>
                <w:szCs w:val="18"/>
              </w:rPr>
              <w:t>1.1、执勤时不得睡觉；不得擅自离岗、空岗或窜岗。</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A6553ED">
            <w:pPr>
              <w:spacing w:line="360" w:lineRule="exact"/>
              <w:rPr>
                <w:rFonts w:ascii="宋体" w:hAnsi="宋体"/>
                <w:sz w:val="18"/>
                <w:szCs w:val="18"/>
              </w:rPr>
            </w:pPr>
            <w:r>
              <w:rPr>
                <w:rFonts w:hint="eastAsia" w:ascii="宋体" w:hAnsi="宋体"/>
                <w:sz w:val="18"/>
                <w:szCs w:val="18"/>
              </w:rPr>
              <w:t>有一人违反扣3分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EEBBB3C">
            <w:pPr>
              <w:spacing w:line="360" w:lineRule="exact"/>
              <w:jc w:val="center"/>
              <w:rPr>
                <w:rFonts w:ascii="宋体" w:hAnsi="宋体"/>
                <w:sz w:val="18"/>
                <w:szCs w:val="18"/>
              </w:rPr>
            </w:pPr>
          </w:p>
        </w:tc>
      </w:tr>
      <w:tr w14:paraId="4F8A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6FA4BFD">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9CD6EAE">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33AC2F4">
            <w:pPr>
              <w:widowControl/>
              <w:spacing w:line="360" w:lineRule="exact"/>
              <w:rPr>
                <w:rFonts w:ascii="宋体" w:hAnsi="宋体"/>
                <w:bCs/>
                <w:sz w:val="18"/>
                <w:szCs w:val="18"/>
              </w:rPr>
            </w:pPr>
            <w:r>
              <w:rPr>
                <w:rFonts w:hint="eastAsia" w:ascii="宋体" w:hAnsi="宋体"/>
                <w:bCs/>
                <w:sz w:val="18"/>
                <w:szCs w:val="18"/>
              </w:rPr>
              <w:t>1.2、未经批准擅自调动岗位人员。</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04B6F62">
            <w:pPr>
              <w:spacing w:line="360" w:lineRule="exact"/>
              <w:rPr>
                <w:rFonts w:ascii="宋体" w:hAnsi="宋体"/>
                <w:sz w:val="18"/>
                <w:szCs w:val="18"/>
              </w:rPr>
            </w:pPr>
            <w:r>
              <w:rPr>
                <w:rFonts w:hint="eastAsia" w:ascii="宋体" w:hAnsi="宋体"/>
                <w:sz w:val="18"/>
                <w:szCs w:val="18"/>
              </w:rPr>
              <w:t>有一人违反扣5分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9BDC950">
            <w:pPr>
              <w:widowControl/>
              <w:spacing w:line="360" w:lineRule="exact"/>
              <w:rPr>
                <w:rFonts w:ascii="宋体" w:hAnsi="宋体"/>
                <w:sz w:val="18"/>
                <w:szCs w:val="18"/>
              </w:rPr>
            </w:pPr>
          </w:p>
        </w:tc>
      </w:tr>
      <w:tr w14:paraId="28810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172ECA0">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0C2D192">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3FE0E2C">
            <w:pPr>
              <w:widowControl/>
              <w:spacing w:line="360" w:lineRule="exact"/>
              <w:rPr>
                <w:rFonts w:ascii="宋体" w:hAnsi="宋体"/>
                <w:bCs/>
                <w:sz w:val="18"/>
                <w:szCs w:val="18"/>
              </w:rPr>
            </w:pPr>
            <w:r>
              <w:rPr>
                <w:rFonts w:hint="eastAsia" w:ascii="宋体" w:hAnsi="宋体"/>
                <w:bCs/>
                <w:sz w:val="18"/>
                <w:szCs w:val="18"/>
              </w:rPr>
              <w:t>1.3、上班时间不得吃零食、嘻笑打闹、干私活、闲谈、抽烟、听收录机、玩手机游戏,游戏机、闲聊电话或做其它与工作无关的事情的。</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A0A0F0F">
            <w:pPr>
              <w:spacing w:line="360" w:lineRule="exact"/>
              <w:rPr>
                <w:rFonts w:ascii="宋体" w:hAnsi="宋体"/>
                <w:sz w:val="18"/>
                <w:szCs w:val="18"/>
              </w:rPr>
            </w:pPr>
            <w:r>
              <w:rPr>
                <w:rFonts w:hint="eastAsia" w:ascii="宋体" w:hAnsi="宋体"/>
                <w:sz w:val="18"/>
                <w:szCs w:val="18"/>
              </w:rPr>
              <w:t>有一人违反扣1分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ACE79F3">
            <w:pPr>
              <w:widowControl/>
              <w:spacing w:line="360" w:lineRule="exact"/>
              <w:rPr>
                <w:rFonts w:ascii="宋体" w:hAnsi="宋体"/>
                <w:sz w:val="18"/>
                <w:szCs w:val="18"/>
              </w:rPr>
            </w:pPr>
          </w:p>
        </w:tc>
      </w:tr>
      <w:tr w14:paraId="7B33D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6B119AB">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27B8071">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A8C2136">
            <w:pPr>
              <w:widowControl/>
              <w:spacing w:line="360" w:lineRule="exact"/>
              <w:rPr>
                <w:rFonts w:ascii="宋体" w:hAnsi="宋体"/>
                <w:bCs/>
                <w:sz w:val="18"/>
                <w:szCs w:val="18"/>
              </w:rPr>
            </w:pPr>
            <w:r>
              <w:rPr>
                <w:rFonts w:hint="eastAsia" w:ascii="宋体" w:hAnsi="宋体"/>
                <w:bCs/>
                <w:sz w:val="18"/>
                <w:szCs w:val="18"/>
              </w:rPr>
              <w:t>1.4、不得在校区内进行赌博、酗酒闹事等活动。</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8A01D9B">
            <w:pPr>
              <w:spacing w:line="360" w:lineRule="exact"/>
              <w:rPr>
                <w:rFonts w:ascii="宋体" w:hAnsi="宋体"/>
                <w:sz w:val="18"/>
                <w:szCs w:val="18"/>
              </w:rPr>
            </w:pPr>
            <w:r>
              <w:rPr>
                <w:rFonts w:hint="eastAsia" w:ascii="宋体" w:hAnsi="宋体"/>
                <w:sz w:val="18"/>
                <w:szCs w:val="18"/>
              </w:rPr>
              <w:t>有一人违反扣3分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86A6299">
            <w:pPr>
              <w:widowControl/>
              <w:spacing w:line="360" w:lineRule="exact"/>
              <w:rPr>
                <w:rFonts w:ascii="宋体" w:hAnsi="宋体"/>
                <w:sz w:val="18"/>
                <w:szCs w:val="18"/>
              </w:rPr>
            </w:pPr>
          </w:p>
        </w:tc>
      </w:tr>
      <w:tr w14:paraId="55C4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A410156">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3A9D9A6">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8A384AF">
            <w:pPr>
              <w:widowControl/>
              <w:spacing w:line="360" w:lineRule="exact"/>
              <w:rPr>
                <w:rFonts w:ascii="宋体" w:hAnsi="宋体"/>
                <w:bCs/>
                <w:sz w:val="18"/>
                <w:szCs w:val="18"/>
              </w:rPr>
            </w:pPr>
            <w:r>
              <w:rPr>
                <w:rFonts w:hint="eastAsia" w:ascii="宋体" w:hAnsi="宋体"/>
                <w:bCs/>
                <w:sz w:val="18"/>
                <w:szCs w:val="18"/>
              </w:rPr>
              <w:t>1.5、不得无理取闹、拉帮结派、诽谤他人、搬弄是非、影响学校正常工作、生活秩序。</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1A183D4">
            <w:pPr>
              <w:spacing w:line="360" w:lineRule="exact"/>
              <w:rPr>
                <w:rFonts w:ascii="宋体" w:hAnsi="宋体"/>
                <w:sz w:val="18"/>
                <w:szCs w:val="18"/>
              </w:rPr>
            </w:pPr>
            <w:r>
              <w:rPr>
                <w:rFonts w:hint="eastAsia" w:ascii="宋体" w:hAnsi="宋体"/>
                <w:sz w:val="18"/>
                <w:szCs w:val="18"/>
              </w:rPr>
              <w:t>有一人违反扣1分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8D45DA3">
            <w:pPr>
              <w:widowControl/>
              <w:spacing w:line="360" w:lineRule="exact"/>
              <w:rPr>
                <w:rFonts w:ascii="宋体" w:hAnsi="宋体"/>
                <w:sz w:val="18"/>
                <w:szCs w:val="18"/>
              </w:rPr>
            </w:pPr>
          </w:p>
        </w:tc>
      </w:tr>
      <w:tr w14:paraId="51C4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28F57B7">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A003CFC">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28D301E">
            <w:pPr>
              <w:widowControl/>
              <w:spacing w:line="360" w:lineRule="exact"/>
              <w:rPr>
                <w:rFonts w:ascii="宋体" w:hAnsi="宋体"/>
                <w:bCs/>
                <w:sz w:val="18"/>
                <w:szCs w:val="18"/>
              </w:rPr>
            </w:pPr>
            <w:r>
              <w:rPr>
                <w:rFonts w:hint="eastAsia" w:ascii="宋体" w:hAnsi="宋体"/>
                <w:bCs/>
                <w:sz w:val="18"/>
                <w:szCs w:val="18"/>
              </w:rPr>
              <w:t>1.6、不得违反学校管理规章制度，给学校管理及资源造成较大损失。</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6BCF96">
            <w:pPr>
              <w:spacing w:line="360" w:lineRule="exact"/>
              <w:rPr>
                <w:rFonts w:ascii="宋体" w:hAnsi="宋体"/>
                <w:sz w:val="18"/>
                <w:szCs w:val="18"/>
              </w:rPr>
            </w:pPr>
            <w:r>
              <w:rPr>
                <w:rFonts w:hint="eastAsia" w:ascii="宋体" w:hAnsi="宋体"/>
                <w:sz w:val="18"/>
                <w:szCs w:val="18"/>
              </w:rPr>
              <w:t>有一人违反扣3分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6DE05C6">
            <w:pPr>
              <w:widowControl/>
              <w:spacing w:line="360" w:lineRule="exact"/>
              <w:rPr>
                <w:rFonts w:ascii="宋体" w:hAnsi="宋体"/>
                <w:sz w:val="18"/>
                <w:szCs w:val="18"/>
              </w:rPr>
            </w:pPr>
          </w:p>
        </w:tc>
      </w:tr>
      <w:tr w14:paraId="216DC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5D2D462">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5BC9580">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B5F95F5">
            <w:pPr>
              <w:widowControl/>
              <w:spacing w:line="360" w:lineRule="exact"/>
              <w:rPr>
                <w:rFonts w:ascii="宋体" w:hAnsi="宋体"/>
                <w:bCs/>
                <w:sz w:val="18"/>
                <w:szCs w:val="18"/>
              </w:rPr>
            </w:pPr>
            <w:r>
              <w:rPr>
                <w:rFonts w:hint="eastAsia" w:ascii="宋体" w:hAnsi="宋体"/>
                <w:bCs/>
                <w:sz w:val="18"/>
                <w:szCs w:val="18"/>
              </w:rPr>
              <w:t>1.7、要进行交接班，交接班时对物品、待办事项等要交接清楚。</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2571DC">
            <w:pPr>
              <w:spacing w:line="360" w:lineRule="exact"/>
              <w:rPr>
                <w:rFonts w:ascii="宋体" w:hAnsi="宋体"/>
                <w:sz w:val="18"/>
                <w:szCs w:val="18"/>
              </w:rPr>
            </w:pPr>
            <w:r>
              <w:rPr>
                <w:rFonts w:hint="eastAsia" w:ascii="宋体" w:hAnsi="宋体"/>
                <w:sz w:val="18"/>
                <w:szCs w:val="18"/>
              </w:rPr>
              <w:t>有一人违反扣1分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CA2D563">
            <w:pPr>
              <w:widowControl/>
              <w:spacing w:line="360" w:lineRule="exact"/>
              <w:rPr>
                <w:rFonts w:ascii="宋体" w:hAnsi="宋体"/>
                <w:sz w:val="18"/>
                <w:szCs w:val="18"/>
              </w:rPr>
            </w:pPr>
          </w:p>
        </w:tc>
      </w:tr>
      <w:tr w14:paraId="67EDD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0B9165">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03BC3D9">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3F57587">
            <w:pPr>
              <w:widowControl/>
              <w:spacing w:line="360" w:lineRule="exact"/>
              <w:rPr>
                <w:rFonts w:ascii="宋体" w:hAnsi="宋体"/>
                <w:bCs/>
                <w:sz w:val="18"/>
                <w:szCs w:val="18"/>
              </w:rPr>
            </w:pPr>
            <w:r>
              <w:rPr>
                <w:rFonts w:hint="eastAsia" w:ascii="宋体" w:hAnsi="宋体"/>
                <w:bCs/>
                <w:sz w:val="18"/>
                <w:szCs w:val="18"/>
              </w:rPr>
              <w:t>1.8、发生各种可能损坏学校利益、破坏学校正常秩序及资源环境的紧急情况，应迅速向学校主管部门领导或者有关部门反应情况及其它事项，不得因此对学校管理及资源造成损失。</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72545C5">
            <w:pPr>
              <w:spacing w:line="360" w:lineRule="exact"/>
              <w:rPr>
                <w:rFonts w:ascii="宋体" w:hAnsi="宋体"/>
                <w:sz w:val="18"/>
                <w:szCs w:val="18"/>
              </w:rPr>
            </w:pPr>
            <w:r>
              <w:rPr>
                <w:rFonts w:hint="eastAsia" w:ascii="宋体" w:hAnsi="宋体"/>
                <w:sz w:val="18"/>
                <w:szCs w:val="18"/>
              </w:rPr>
              <w:t>视损失程度扣分（2分起）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47A3C9F">
            <w:pPr>
              <w:widowControl/>
              <w:spacing w:line="360" w:lineRule="exact"/>
              <w:rPr>
                <w:rFonts w:ascii="宋体" w:hAnsi="宋体"/>
                <w:sz w:val="18"/>
                <w:szCs w:val="18"/>
              </w:rPr>
            </w:pPr>
          </w:p>
        </w:tc>
      </w:tr>
      <w:tr w14:paraId="29C5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1374D4E">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C76EE6D">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3F7F81A">
            <w:pPr>
              <w:widowControl/>
              <w:spacing w:line="360" w:lineRule="exact"/>
              <w:rPr>
                <w:rFonts w:ascii="宋体" w:hAnsi="宋体"/>
                <w:bCs/>
                <w:sz w:val="18"/>
                <w:szCs w:val="18"/>
              </w:rPr>
            </w:pPr>
            <w:r>
              <w:rPr>
                <w:rFonts w:hint="eastAsia" w:ascii="宋体" w:hAnsi="宋体"/>
                <w:bCs/>
                <w:sz w:val="18"/>
                <w:szCs w:val="18"/>
              </w:rPr>
              <w:t>1.9、保安人员在工作过程中违反规定，情况属实。</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AE4D124">
            <w:pPr>
              <w:spacing w:line="360" w:lineRule="exact"/>
              <w:rPr>
                <w:rFonts w:ascii="宋体" w:hAnsi="宋体"/>
                <w:sz w:val="18"/>
                <w:szCs w:val="18"/>
              </w:rPr>
            </w:pPr>
            <w:r>
              <w:rPr>
                <w:rFonts w:hint="eastAsia" w:ascii="宋体" w:hAnsi="宋体"/>
                <w:sz w:val="18"/>
                <w:szCs w:val="18"/>
              </w:rPr>
              <w:t>有一人违反扣5分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50AB6A3">
            <w:pPr>
              <w:widowControl/>
              <w:spacing w:line="360" w:lineRule="exact"/>
              <w:rPr>
                <w:rFonts w:ascii="宋体" w:hAnsi="宋体"/>
                <w:sz w:val="18"/>
                <w:szCs w:val="18"/>
              </w:rPr>
            </w:pPr>
          </w:p>
        </w:tc>
      </w:tr>
      <w:tr w14:paraId="0972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D0BCCD6">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F585558">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53EF7C1">
            <w:pPr>
              <w:widowControl/>
              <w:spacing w:line="360" w:lineRule="exact"/>
              <w:rPr>
                <w:rFonts w:ascii="宋体" w:hAnsi="宋体"/>
                <w:bCs/>
                <w:sz w:val="18"/>
                <w:szCs w:val="18"/>
              </w:rPr>
            </w:pPr>
            <w:r>
              <w:rPr>
                <w:rFonts w:hint="eastAsia" w:ascii="宋体" w:hAnsi="宋体"/>
                <w:bCs/>
                <w:sz w:val="18"/>
                <w:szCs w:val="18"/>
              </w:rPr>
              <w:t>1.10、做好执勤记录，字迹清楚整洁，记录详尽。</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0BD46FA">
            <w:pPr>
              <w:spacing w:line="360" w:lineRule="exact"/>
              <w:rPr>
                <w:rFonts w:ascii="宋体" w:hAnsi="宋体"/>
                <w:sz w:val="18"/>
                <w:szCs w:val="18"/>
              </w:rPr>
            </w:pPr>
            <w:r>
              <w:rPr>
                <w:rFonts w:hint="eastAsia" w:ascii="宋体" w:hAnsi="宋体"/>
                <w:sz w:val="18"/>
                <w:szCs w:val="18"/>
              </w:rPr>
              <w:t>违反一次扣0.5分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70B720D">
            <w:pPr>
              <w:widowControl/>
              <w:spacing w:line="360" w:lineRule="exact"/>
              <w:rPr>
                <w:rFonts w:ascii="宋体" w:hAnsi="宋体"/>
                <w:sz w:val="18"/>
                <w:szCs w:val="18"/>
              </w:rPr>
            </w:pPr>
          </w:p>
        </w:tc>
      </w:tr>
      <w:tr w14:paraId="7D22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4F34905">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2DE617E">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CC76996">
            <w:pPr>
              <w:widowControl/>
              <w:spacing w:line="360" w:lineRule="exact"/>
              <w:rPr>
                <w:rFonts w:ascii="宋体" w:hAnsi="宋体"/>
                <w:bCs/>
                <w:sz w:val="18"/>
                <w:szCs w:val="18"/>
              </w:rPr>
            </w:pPr>
            <w:r>
              <w:rPr>
                <w:rFonts w:hint="eastAsia" w:ascii="宋体" w:hAnsi="宋体"/>
                <w:bCs/>
                <w:sz w:val="18"/>
                <w:szCs w:val="18"/>
              </w:rPr>
              <w:t>1.11、严格执行人员进出登记制度。</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BA54A34">
            <w:pPr>
              <w:spacing w:line="360" w:lineRule="exact"/>
              <w:rPr>
                <w:rFonts w:ascii="宋体" w:hAnsi="宋体"/>
                <w:sz w:val="18"/>
                <w:szCs w:val="18"/>
              </w:rPr>
            </w:pPr>
            <w:r>
              <w:rPr>
                <w:rFonts w:hint="eastAsia" w:ascii="宋体" w:hAnsi="宋体"/>
                <w:sz w:val="18"/>
                <w:szCs w:val="18"/>
              </w:rPr>
              <w:t>一次不检查扣4分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FEDC0E1">
            <w:pPr>
              <w:widowControl/>
              <w:spacing w:line="360" w:lineRule="exact"/>
              <w:rPr>
                <w:rFonts w:ascii="宋体" w:hAnsi="宋体"/>
                <w:sz w:val="18"/>
                <w:szCs w:val="18"/>
              </w:rPr>
            </w:pPr>
          </w:p>
        </w:tc>
      </w:tr>
      <w:tr w14:paraId="2A55C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6D21E5F">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355EECF">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4DDA8EB">
            <w:pPr>
              <w:widowControl/>
              <w:spacing w:line="360" w:lineRule="exact"/>
              <w:rPr>
                <w:rFonts w:ascii="宋体" w:hAnsi="宋体"/>
                <w:bCs/>
                <w:sz w:val="18"/>
                <w:szCs w:val="18"/>
              </w:rPr>
            </w:pPr>
            <w:r>
              <w:rPr>
                <w:rFonts w:hint="eastAsia" w:ascii="宋体" w:hAnsi="宋体"/>
                <w:bCs/>
                <w:sz w:val="18"/>
                <w:szCs w:val="18"/>
              </w:rPr>
              <w:t>1.12、执勤时不得用对讲机闲聊。</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2F51036">
            <w:pPr>
              <w:spacing w:line="360" w:lineRule="exact"/>
              <w:rPr>
                <w:rFonts w:ascii="宋体" w:hAnsi="宋体"/>
                <w:sz w:val="18"/>
                <w:szCs w:val="18"/>
              </w:rPr>
            </w:pPr>
            <w:r>
              <w:rPr>
                <w:rFonts w:hint="eastAsia" w:ascii="宋体" w:hAnsi="宋体"/>
                <w:sz w:val="18"/>
                <w:szCs w:val="18"/>
              </w:rPr>
              <w:t>违反一次扣1分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FFBC7AF">
            <w:pPr>
              <w:widowControl/>
              <w:spacing w:line="360" w:lineRule="exact"/>
              <w:rPr>
                <w:rFonts w:ascii="宋体" w:hAnsi="宋体"/>
                <w:sz w:val="18"/>
                <w:szCs w:val="18"/>
              </w:rPr>
            </w:pPr>
          </w:p>
        </w:tc>
      </w:tr>
      <w:tr w14:paraId="2C3F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6884C86">
            <w:pPr>
              <w:spacing w:line="360" w:lineRule="exact"/>
              <w:jc w:val="center"/>
              <w:rPr>
                <w:rFonts w:ascii="宋体" w:hAnsi="宋体"/>
                <w:sz w:val="18"/>
                <w:szCs w:val="18"/>
              </w:rPr>
            </w:pPr>
            <w:r>
              <w:rPr>
                <w:rFonts w:hint="eastAsia" w:ascii="宋体" w:hAnsi="宋体"/>
                <w:sz w:val="18"/>
                <w:szCs w:val="18"/>
              </w:rPr>
              <w:t>2</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3C3AC45">
            <w:pPr>
              <w:spacing w:line="360" w:lineRule="exact"/>
              <w:jc w:val="center"/>
              <w:rPr>
                <w:rFonts w:ascii="宋体" w:hAnsi="宋体"/>
                <w:sz w:val="18"/>
                <w:szCs w:val="18"/>
              </w:rPr>
            </w:pPr>
            <w:r>
              <w:rPr>
                <w:rFonts w:hint="eastAsia" w:ascii="宋体" w:hAnsi="宋体"/>
                <w:sz w:val="18"/>
                <w:szCs w:val="18"/>
              </w:rPr>
              <w:t>行为规范</w:t>
            </w:r>
          </w:p>
          <w:p w14:paraId="6E8C4F3D">
            <w:pPr>
              <w:spacing w:line="360" w:lineRule="exact"/>
              <w:jc w:val="center"/>
              <w:rPr>
                <w:rFonts w:ascii="宋体" w:hAnsi="宋体"/>
                <w:sz w:val="18"/>
                <w:szCs w:val="18"/>
              </w:rPr>
            </w:pPr>
            <w:r>
              <w:rPr>
                <w:rFonts w:hint="eastAsia" w:ascii="宋体" w:hAnsi="宋体"/>
                <w:sz w:val="18"/>
                <w:szCs w:val="18"/>
              </w:rPr>
              <w:t>（共5分）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0932D2D">
            <w:pPr>
              <w:widowControl/>
              <w:spacing w:line="360" w:lineRule="exact"/>
              <w:rPr>
                <w:rFonts w:ascii="宋体" w:hAnsi="宋体"/>
                <w:bCs/>
                <w:sz w:val="18"/>
                <w:szCs w:val="18"/>
              </w:rPr>
            </w:pPr>
            <w:r>
              <w:rPr>
                <w:rFonts w:hint="eastAsia" w:ascii="宋体" w:hAnsi="宋体"/>
                <w:bCs/>
                <w:sz w:val="18"/>
                <w:szCs w:val="18"/>
              </w:rPr>
              <w:t>2.1、执勤过程中应该文明执勤、礼貌执勤，说话和气，不得与来访人员发生争吵，不得顶撞主管部门领导。</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D8F491">
            <w:pPr>
              <w:spacing w:line="360" w:lineRule="exact"/>
              <w:rPr>
                <w:rFonts w:ascii="宋体" w:hAnsi="宋体"/>
                <w:sz w:val="18"/>
                <w:szCs w:val="18"/>
              </w:rPr>
            </w:pPr>
            <w:r>
              <w:rPr>
                <w:rFonts w:hint="eastAsia" w:ascii="宋体" w:hAnsi="宋体"/>
                <w:sz w:val="18"/>
                <w:szCs w:val="18"/>
              </w:rPr>
              <w:t>出现一次扣2.5分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4CBE5D6">
            <w:pPr>
              <w:spacing w:line="360" w:lineRule="exact"/>
              <w:jc w:val="center"/>
              <w:rPr>
                <w:rFonts w:ascii="宋体" w:hAnsi="宋体"/>
                <w:sz w:val="18"/>
                <w:szCs w:val="18"/>
              </w:rPr>
            </w:pPr>
          </w:p>
        </w:tc>
      </w:tr>
      <w:tr w14:paraId="657A5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FB87AAE">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602493E">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495CC69">
            <w:pPr>
              <w:widowControl/>
              <w:spacing w:line="360" w:lineRule="exact"/>
              <w:rPr>
                <w:rFonts w:ascii="宋体" w:hAnsi="宋体"/>
                <w:bCs/>
                <w:sz w:val="18"/>
                <w:szCs w:val="18"/>
              </w:rPr>
            </w:pPr>
            <w:r>
              <w:rPr>
                <w:rFonts w:hint="eastAsia" w:ascii="宋体" w:hAnsi="宋体"/>
                <w:bCs/>
                <w:sz w:val="18"/>
                <w:szCs w:val="18"/>
              </w:rPr>
              <w:t>2.2、不准在宿舍内留宿他人。</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454FAB2">
            <w:pPr>
              <w:spacing w:line="360" w:lineRule="exact"/>
              <w:rPr>
                <w:rFonts w:ascii="宋体" w:hAnsi="宋体"/>
                <w:sz w:val="18"/>
                <w:szCs w:val="18"/>
              </w:rPr>
            </w:pPr>
            <w:r>
              <w:rPr>
                <w:rFonts w:hint="eastAsia" w:ascii="宋体" w:hAnsi="宋体"/>
                <w:sz w:val="18"/>
                <w:szCs w:val="18"/>
              </w:rPr>
              <w:t>出现一次扣2.5分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6F82413">
            <w:pPr>
              <w:widowControl/>
              <w:spacing w:line="360" w:lineRule="exact"/>
              <w:rPr>
                <w:rFonts w:ascii="宋体" w:hAnsi="宋体"/>
                <w:sz w:val="18"/>
                <w:szCs w:val="18"/>
              </w:rPr>
            </w:pPr>
          </w:p>
        </w:tc>
      </w:tr>
      <w:tr w14:paraId="768F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635745B">
            <w:pPr>
              <w:spacing w:line="360" w:lineRule="exact"/>
              <w:jc w:val="center"/>
              <w:rPr>
                <w:rFonts w:ascii="宋体" w:hAnsi="宋体"/>
                <w:sz w:val="18"/>
                <w:szCs w:val="18"/>
              </w:rPr>
            </w:pPr>
            <w:r>
              <w:rPr>
                <w:rFonts w:hint="eastAsia" w:ascii="宋体" w:hAnsi="宋体"/>
                <w:sz w:val="18"/>
                <w:szCs w:val="18"/>
              </w:rPr>
              <w:t>3</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D8CECB5">
            <w:pPr>
              <w:spacing w:line="360" w:lineRule="exact"/>
              <w:jc w:val="center"/>
              <w:rPr>
                <w:rFonts w:ascii="宋体" w:hAnsi="宋体"/>
                <w:sz w:val="18"/>
                <w:szCs w:val="18"/>
              </w:rPr>
            </w:pPr>
            <w:r>
              <w:rPr>
                <w:rFonts w:hint="eastAsia" w:ascii="宋体" w:hAnsi="宋体"/>
                <w:sz w:val="18"/>
                <w:szCs w:val="18"/>
              </w:rPr>
              <w:t>职业道德</w:t>
            </w:r>
          </w:p>
          <w:p w14:paraId="3D236D8A">
            <w:pPr>
              <w:spacing w:line="360" w:lineRule="exact"/>
              <w:jc w:val="center"/>
              <w:rPr>
                <w:rFonts w:ascii="宋体" w:hAnsi="宋体"/>
                <w:sz w:val="18"/>
                <w:szCs w:val="18"/>
              </w:rPr>
            </w:pPr>
            <w:r>
              <w:rPr>
                <w:rFonts w:hint="eastAsia" w:ascii="宋体" w:hAnsi="宋体"/>
                <w:sz w:val="18"/>
                <w:szCs w:val="18"/>
              </w:rPr>
              <w:t>（共5分）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DD9875">
            <w:pPr>
              <w:widowControl/>
              <w:spacing w:line="360" w:lineRule="exact"/>
              <w:rPr>
                <w:rFonts w:ascii="宋体" w:hAnsi="宋体"/>
                <w:bCs/>
                <w:sz w:val="18"/>
                <w:szCs w:val="18"/>
              </w:rPr>
            </w:pPr>
            <w:r>
              <w:rPr>
                <w:rFonts w:hint="eastAsia" w:ascii="宋体" w:hAnsi="宋体"/>
                <w:bCs/>
                <w:sz w:val="18"/>
                <w:szCs w:val="18"/>
              </w:rPr>
              <w:t>3.1、不得进行勒索或敲诈或其它违法行为。</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6ADF773">
            <w:pPr>
              <w:spacing w:line="360" w:lineRule="exact"/>
              <w:rPr>
                <w:rFonts w:ascii="宋体" w:hAnsi="宋体"/>
                <w:sz w:val="18"/>
                <w:szCs w:val="18"/>
              </w:rPr>
            </w:pPr>
            <w:r>
              <w:rPr>
                <w:rFonts w:hint="eastAsia" w:ascii="宋体" w:hAnsi="宋体"/>
                <w:sz w:val="18"/>
                <w:szCs w:val="18"/>
              </w:rPr>
              <w:t>出现一次该项不得分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F909F24">
            <w:pPr>
              <w:spacing w:line="360" w:lineRule="exact"/>
              <w:jc w:val="center"/>
              <w:rPr>
                <w:rFonts w:ascii="宋体" w:hAnsi="宋体"/>
                <w:sz w:val="18"/>
                <w:szCs w:val="18"/>
              </w:rPr>
            </w:pPr>
          </w:p>
        </w:tc>
      </w:tr>
      <w:tr w14:paraId="5AD14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50D5322">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304C9AF">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248F3CF">
            <w:pPr>
              <w:widowControl/>
              <w:spacing w:line="360" w:lineRule="exact"/>
              <w:rPr>
                <w:rFonts w:ascii="宋体" w:hAnsi="宋体"/>
                <w:bCs/>
                <w:sz w:val="18"/>
                <w:szCs w:val="18"/>
              </w:rPr>
            </w:pPr>
            <w:r>
              <w:rPr>
                <w:rFonts w:hint="eastAsia" w:ascii="宋体" w:hAnsi="宋体"/>
                <w:bCs/>
                <w:sz w:val="18"/>
                <w:szCs w:val="18"/>
              </w:rPr>
              <w:t>3.2、不得在工作区域内打架斗殴或打人。</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E712A8D">
            <w:pPr>
              <w:spacing w:line="360" w:lineRule="exact"/>
              <w:rPr>
                <w:rFonts w:ascii="宋体" w:hAnsi="宋体"/>
                <w:sz w:val="18"/>
                <w:szCs w:val="18"/>
              </w:rPr>
            </w:pPr>
            <w:r>
              <w:rPr>
                <w:rFonts w:hint="eastAsia" w:ascii="宋体" w:hAnsi="宋体"/>
                <w:sz w:val="18"/>
                <w:szCs w:val="18"/>
              </w:rPr>
              <w:t>出现一次该项不得分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AE7FF3B">
            <w:pPr>
              <w:widowControl/>
              <w:spacing w:line="360" w:lineRule="exact"/>
              <w:rPr>
                <w:rFonts w:ascii="宋体" w:hAnsi="宋体"/>
                <w:sz w:val="18"/>
                <w:szCs w:val="18"/>
              </w:rPr>
            </w:pPr>
          </w:p>
        </w:tc>
      </w:tr>
      <w:tr w14:paraId="2F0A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EF4B4DE">
            <w:pPr>
              <w:spacing w:line="360" w:lineRule="exact"/>
              <w:jc w:val="center"/>
              <w:rPr>
                <w:rFonts w:ascii="宋体" w:hAnsi="宋体"/>
                <w:sz w:val="18"/>
                <w:szCs w:val="18"/>
              </w:rPr>
            </w:pPr>
            <w:r>
              <w:rPr>
                <w:rFonts w:hint="eastAsia" w:ascii="宋体" w:hAnsi="宋体"/>
                <w:sz w:val="18"/>
                <w:szCs w:val="18"/>
              </w:rPr>
              <w:t>4</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38318C6">
            <w:pPr>
              <w:spacing w:line="360" w:lineRule="exact"/>
              <w:jc w:val="center"/>
              <w:rPr>
                <w:rFonts w:ascii="宋体" w:hAnsi="宋体"/>
                <w:sz w:val="18"/>
                <w:szCs w:val="18"/>
              </w:rPr>
            </w:pPr>
            <w:r>
              <w:rPr>
                <w:rFonts w:hint="eastAsia" w:ascii="宋体" w:hAnsi="宋体"/>
                <w:sz w:val="18"/>
                <w:szCs w:val="18"/>
              </w:rPr>
              <w:t>工作衔接</w:t>
            </w:r>
          </w:p>
          <w:p w14:paraId="36437820">
            <w:pPr>
              <w:spacing w:line="360" w:lineRule="exact"/>
              <w:jc w:val="center"/>
              <w:rPr>
                <w:rFonts w:ascii="宋体" w:hAnsi="宋体"/>
                <w:sz w:val="18"/>
                <w:szCs w:val="18"/>
              </w:rPr>
            </w:pPr>
            <w:r>
              <w:rPr>
                <w:rFonts w:hint="eastAsia" w:ascii="宋体" w:hAnsi="宋体"/>
                <w:sz w:val="18"/>
                <w:szCs w:val="18"/>
              </w:rPr>
              <w:t>（共10分）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9CBAEFA">
            <w:pPr>
              <w:widowControl/>
              <w:spacing w:line="360" w:lineRule="exact"/>
              <w:rPr>
                <w:rFonts w:ascii="宋体" w:hAnsi="宋体"/>
                <w:bCs/>
                <w:sz w:val="18"/>
                <w:szCs w:val="18"/>
              </w:rPr>
            </w:pPr>
            <w:r>
              <w:rPr>
                <w:rFonts w:hint="eastAsia" w:ascii="宋体" w:hAnsi="宋体"/>
                <w:bCs/>
                <w:sz w:val="18"/>
                <w:szCs w:val="18"/>
              </w:rPr>
              <w:t>4.1、主要管理人员须与学校主管部门保持必要的工作交流，每天必须向学校主管部门口头汇报工作，每星期正式向主管部门汇报所承担的物业工作开展情况、信息反馈及下月工作计划，重大情况须及时报告。</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B794401">
            <w:pPr>
              <w:spacing w:line="360" w:lineRule="exact"/>
              <w:rPr>
                <w:rFonts w:ascii="宋体" w:hAnsi="宋体"/>
                <w:sz w:val="18"/>
                <w:szCs w:val="18"/>
              </w:rPr>
            </w:pPr>
            <w:r>
              <w:rPr>
                <w:rFonts w:hint="eastAsia" w:ascii="宋体" w:hAnsi="宋体"/>
                <w:sz w:val="18"/>
                <w:szCs w:val="18"/>
              </w:rPr>
              <w:t>每星期缺少汇报一次，扣1分，遇有重大情况不汇报扣2分，因此造成严重后果扣3分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36728CB">
            <w:pPr>
              <w:spacing w:line="360" w:lineRule="exact"/>
              <w:jc w:val="center"/>
              <w:rPr>
                <w:rFonts w:ascii="宋体" w:hAnsi="宋体"/>
                <w:sz w:val="18"/>
                <w:szCs w:val="18"/>
              </w:rPr>
            </w:pPr>
          </w:p>
        </w:tc>
      </w:tr>
      <w:tr w14:paraId="7C44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C3CFF0B">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0155E51">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4D9614A">
            <w:pPr>
              <w:widowControl/>
              <w:spacing w:line="360" w:lineRule="exact"/>
              <w:rPr>
                <w:rFonts w:ascii="宋体" w:hAnsi="宋体"/>
                <w:bCs/>
                <w:sz w:val="18"/>
                <w:szCs w:val="18"/>
              </w:rPr>
            </w:pPr>
            <w:r>
              <w:rPr>
                <w:rFonts w:hint="eastAsia" w:ascii="宋体" w:hAnsi="宋体"/>
                <w:bCs/>
                <w:sz w:val="18"/>
                <w:szCs w:val="18"/>
              </w:rPr>
              <w:t>4.2、当事人资料保存完好，所有资料归学校主管部门所有。</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286B8CC">
            <w:pPr>
              <w:spacing w:line="360" w:lineRule="exact"/>
              <w:rPr>
                <w:rFonts w:ascii="宋体" w:hAnsi="宋体"/>
                <w:sz w:val="18"/>
                <w:szCs w:val="18"/>
              </w:rPr>
            </w:pPr>
            <w:r>
              <w:rPr>
                <w:rFonts w:hint="eastAsia" w:ascii="宋体" w:hAnsi="宋体"/>
                <w:sz w:val="18"/>
                <w:szCs w:val="18"/>
              </w:rPr>
              <w:t>视损坏程度扣分（0.5分起）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1B15322">
            <w:pPr>
              <w:widowControl/>
              <w:spacing w:line="360" w:lineRule="exact"/>
              <w:rPr>
                <w:rFonts w:ascii="宋体" w:hAnsi="宋体"/>
                <w:sz w:val="18"/>
                <w:szCs w:val="18"/>
              </w:rPr>
            </w:pPr>
          </w:p>
        </w:tc>
      </w:tr>
      <w:tr w14:paraId="613B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6170A80">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979E272">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FA0B3A">
            <w:pPr>
              <w:widowControl/>
              <w:spacing w:line="360" w:lineRule="exact"/>
              <w:rPr>
                <w:rFonts w:ascii="宋体" w:hAnsi="宋体"/>
                <w:bCs/>
                <w:sz w:val="18"/>
                <w:szCs w:val="18"/>
              </w:rPr>
            </w:pPr>
            <w:r>
              <w:rPr>
                <w:rFonts w:hint="eastAsia" w:ascii="宋体" w:hAnsi="宋体"/>
                <w:bCs/>
                <w:sz w:val="18"/>
                <w:szCs w:val="18"/>
              </w:rPr>
              <w:t>4.3、协主管部门，形成群防群治体系。</w:t>
            </w:r>
          </w:p>
        </w:tc>
        <w:tc>
          <w:tcPr>
            <w:tcW w:w="2268"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DDF5D40">
            <w:pPr>
              <w:spacing w:line="360" w:lineRule="exact"/>
              <w:rPr>
                <w:rFonts w:ascii="宋体" w:hAnsi="宋体"/>
                <w:sz w:val="18"/>
                <w:szCs w:val="18"/>
              </w:rPr>
            </w:pPr>
            <w:r>
              <w:rPr>
                <w:rFonts w:hint="eastAsia" w:ascii="宋体" w:hAnsi="宋体"/>
                <w:sz w:val="18"/>
                <w:szCs w:val="18"/>
              </w:rPr>
              <w:t>工作中不配合学校、派出所等单位做好教学服务及安全防范工作，视后果扣分（1分起）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FA1D366">
            <w:pPr>
              <w:widowControl/>
              <w:spacing w:line="360" w:lineRule="exact"/>
              <w:rPr>
                <w:rFonts w:ascii="宋体" w:hAnsi="宋体"/>
                <w:sz w:val="18"/>
                <w:szCs w:val="18"/>
              </w:rPr>
            </w:pPr>
          </w:p>
        </w:tc>
      </w:tr>
      <w:tr w14:paraId="35CF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4E04406">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D5BC29F">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3B15B6F">
            <w:pPr>
              <w:widowControl/>
              <w:spacing w:line="360" w:lineRule="exact"/>
              <w:rPr>
                <w:rFonts w:ascii="宋体" w:hAnsi="宋体"/>
                <w:bCs/>
                <w:sz w:val="18"/>
                <w:szCs w:val="18"/>
              </w:rPr>
            </w:pPr>
            <w:r>
              <w:rPr>
                <w:rFonts w:hint="eastAsia" w:ascii="宋体" w:hAnsi="宋体"/>
                <w:bCs/>
                <w:sz w:val="18"/>
                <w:szCs w:val="18"/>
              </w:rPr>
              <w:t>4.4、与辖区公安单位协作，内外联动，开展一体化安全防范。</w:t>
            </w:r>
          </w:p>
        </w:tc>
        <w:tc>
          <w:tcPr>
            <w:tcW w:w="2268"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2DF76F6">
            <w:pPr>
              <w:widowControl/>
              <w:spacing w:line="360" w:lineRule="exact"/>
              <w:rPr>
                <w:rFonts w:ascii="宋体" w:hAnsi="宋体"/>
                <w:sz w:val="18"/>
                <w:szCs w:val="18"/>
              </w:rPr>
            </w:pP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9CC6B5F">
            <w:pPr>
              <w:widowControl/>
              <w:spacing w:line="360" w:lineRule="exact"/>
              <w:rPr>
                <w:rFonts w:ascii="宋体" w:hAnsi="宋体"/>
                <w:sz w:val="18"/>
                <w:szCs w:val="18"/>
              </w:rPr>
            </w:pPr>
          </w:p>
        </w:tc>
      </w:tr>
      <w:tr w14:paraId="1DA3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3A97995">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10FF963">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06F5A00">
            <w:pPr>
              <w:widowControl/>
              <w:spacing w:line="360" w:lineRule="exact"/>
              <w:rPr>
                <w:rFonts w:ascii="宋体" w:hAnsi="宋体"/>
                <w:bCs/>
                <w:sz w:val="18"/>
                <w:szCs w:val="18"/>
              </w:rPr>
            </w:pPr>
            <w:r>
              <w:rPr>
                <w:rFonts w:hint="eastAsia" w:ascii="宋体" w:hAnsi="宋体"/>
                <w:bCs/>
                <w:sz w:val="18"/>
                <w:szCs w:val="18"/>
              </w:rPr>
              <w:t>4.5、与属地消防大队、辖区派出所、综治办加强合作与交流。</w:t>
            </w:r>
          </w:p>
        </w:tc>
        <w:tc>
          <w:tcPr>
            <w:tcW w:w="2268"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FDA2FD5">
            <w:pPr>
              <w:widowControl/>
              <w:spacing w:line="360" w:lineRule="exact"/>
              <w:rPr>
                <w:rFonts w:ascii="宋体" w:hAnsi="宋体"/>
                <w:sz w:val="18"/>
                <w:szCs w:val="18"/>
              </w:rPr>
            </w:pP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B01E32E">
            <w:pPr>
              <w:widowControl/>
              <w:spacing w:line="360" w:lineRule="exact"/>
              <w:rPr>
                <w:rFonts w:ascii="宋体" w:hAnsi="宋体"/>
                <w:sz w:val="18"/>
                <w:szCs w:val="18"/>
              </w:rPr>
            </w:pPr>
          </w:p>
        </w:tc>
      </w:tr>
      <w:tr w14:paraId="5661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252FEC">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0ACE03">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FD902AF">
            <w:pPr>
              <w:widowControl/>
              <w:spacing w:line="360" w:lineRule="exact"/>
              <w:rPr>
                <w:rFonts w:ascii="宋体" w:hAnsi="宋体"/>
                <w:bCs/>
                <w:sz w:val="18"/>
                <w:szCs w:val="18"/>
              </w:rPr>
            </w:pPr>
            <w:r>
              <w:rPr>
                <w:rFonts w:hint="eastAsia" w:ascii="宋体" w:hAnsi="宋体"/>
                <w:bCs/>
                <w:sz w:val="18"/>
                <w:szCs w:val="18"/>
              </w:rPr>
              <w:t>4.6、配合主管部门制定与组织落实各种涉及安全方面的活动方案，包括上级检查、学校内自查、安全演练、安全培训、安全评估等。各种管理档案的建立与归档。</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338B811">
            <w:pPr>
              <w:spacing w:line="360" w:lineRule="exact"/>
              <w:rPr>
                <w:rFonts w:ascii="宋体" w:hAnsi="宋体"/>
                <w:sz w:val="18"/>
                <w:szCs w:val="18"/>
              </w:rPr>
            </w:pPr>
            <w:r>
              <w:rPr>
                <w:rFonts w:hint="eastAsia" w:ascii="宋体" w:hAnsi="宋体"/>
                <w:sz w:val="18"/>
                <w:szCs w:val="18"/>
              </w:rPr>
              <w:t>每月检查记录一次，视损缺程度扣分（0.5分起）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AF692E9">
            <w:pPr>
              <w:widowControl/>
              <w:spacing w:line="360" w:lineRule="exact"/>
              <w:rPr>
                <w:rFonts w:ascii="宋体" w:hAnsi="宋体"/>
                <w:sz w:val="18"/>
                <w:szCs w:val="18"/>
              </w:rPr>
            </w:pPr>
          </w:p>
        </w:tc>
      </w:tr>
      <w:tr w14:paraId="590D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9E014E3">
            <w:pPr>
              <w:spacing w:line="360" w:lineRule="exact"/>
              <w:jc w:val="center"/>
              <w:rPr>
                <w:rFonts w:ascii="宋体" w:hAnsi="宋体"/>
                <w:sz w:val="18"/>
                <w:szCs w:val="18"/>
              </w:rPr>
            </w:pPr>
            <w:r>
              <w:rPr>
                <w:rFonts w:hint="eastAsia" w:ascii="宋体" w:hAnsi="宋体"/>
                <w:sz w:val="18"/>
                <w:szCs w:val="18"/>
              </w:rPr>
              <w:t>5</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9CDA3E0">
            <w:pPr>
              <w:spacing w:line="360" w:lineRule="exact"/>
              <w:jc w:val="center"/>
              <w:rPr>
                <w:rFonts w:ascii="宋体" w:hAnsi="宋体"/>
                <w:sz w:val="18"/>
                <w:szCs w:val="18"/>
              </w:rPr>
            </w:pPr>
            <w:r>
              <w:rPr>
                <w:rFonts w:hint="eastAsia" w:ascii="宋体" w:hAnsi="宋体"/>
                <w:sz w:val="18"/>
                <w:szCs w:val="18"/>
              </w:rPr>
              <w:t>治安管理</w:t>
            </w:r>
          </w:p>
          <w:p w14:paraId="217DF590">
            <w:pPr>
              <w:spacing w:line="360" w:lineRule="exact"/>
              <w:jc w:val="center"/>
              <w:rPr>
                <w:rFonts w:ascii="宋体" w:hAnsi="宋体"/>
                <w:sz w:val="18"/>
                <w:szCs w:val="18"/>
              </w:rPr>
            </w:pPr>
            <w:r>
              <w:rPr>
                <w:rFonts w:hint="eastAsia" w:ascii="宋体" w:hAnsi="宋体"/>
                <w:sz w:val="18"/>
                <w:szCs w:val="18"/>
              </w:rPr>
              <w:t>（共20分）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35CC600">
            <w:pPr>
              <w:widowControl/>
              <w:spacing w:line="360" w:lineRule="exact"/>
              <w:rPr>
                <w:rFonts w:ascii="宋体" w:hAnsi="宋体"/>
                <w:bCs/>
                <w:sz w:val="18"/>
                <w:szCs w:val="18"/>
              </w:rPr>
            </w:pPr>
            <w:r>
              <w:rPr>
                <w:rFonts w:hint="eastAsia" w:ascii="宋体" w:hAnsi="宋体"/>
                <w:bCs/>
                <w:sz w:val="18"/>
                <w:szCs w:val="18"/>
              </w:rPr>
              <w:t>5.1、无重大治安、刑事案件发生。</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A46F771">
            <w:pPr>
              <w:spacing w:line="360" w:lineRule="exact"/>
              <w:rPr>
                <w:rFonts w:ascii="宋体" w:hAnsi="宋体"/>
                <w:sz w:val="18"/>
                <w:szCs w:val="18"/>
              </w:rPr>
            </w:pPr>
            <w:r>
              <w:rPr>
                <w:rFonts w:hint="eastAsia" w:ascii="宋体" w:hAnsi="宋体"/>
                <w:sz w:val="18"/>
                <w:szCs w:val="18"/>
              </w:rPr>
              <w:t>发生一起该项不得分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CFFFD9E">
            <w:pPr>
              <w:spacing w:line="360" w:lineRule="exact"/>
              <w:jc w:val="center"/>
              <w:rPr>
                <w:rFonts w:ascii="宋体" w:hAnsi="宋体"/>
                <w:sz w:val="18"/>
                <w:szCs w:val="18"/>
              </w:rPr>
            </w:pPr>
          </w:p>
        </w:tc>
      </w:tr>
      <w:tr w14:paraId="4B165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0EB24AA">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739D297">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996994F">
            <w:pPr>
              <w:widowControl/>
              <w:spacing w:line="360" w:lineRule="exact"/>
              <w:rPr>
                <w:rFonts w:ascii="宋体" w:hAnsi="宋体"/>
                <w:bCs/>
                <w:sz w:val="18"/>
                <w:szCs w:val="18"/>
              </w:rPr>
            </w:pPr>
            <w:r>
              <w:rPr>
                <w:rFonts w:hint="eastAsia" w:ascii="宋体" w:hAnsi="宋体"/>
                <w:bCs/>
                <w:sz w:val="18"/>
                <w:szCs w:val="18"/>
              </w:rPr>
              <w:t>5.2、外来人员进出有登记（按学校门卫管理制度要求进行管理）。</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A2FF71E">
            <w:pPr>
              <w:spacing w:line="360" w:lineRule="exact"/>
              <w:rPr>
                <w:rFonts w:ascii="宋体" w:hAnsi="宋体"/>
                <w:sz w:val="18"/>
                <w:szCs w:val="18"/>
              </w:rPr>
            </w:pPr>
            <w:r>
              <w:rPr>
                <w:rFonts w:hint="eastAsia" w:ascii="宋体" w:hAnsi="宋体"/>
                <w:sz w:val="18"/>
                <w:szCs w:val="18"/>
              </w:rPr>
              <w:t>一次没按要求处理扣0.5分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D85EC82">
            <w:pPr>
              <w:widowControl/>
              <w:spacing w:line="360" w:lineRule="exact"/>
              <w:rPr>
                <w:rFonts w:ascii="宋体" w:hAnsi="宋体"/>
                <w:sz w:val="18"/>
                <w:szCs w:val="18"/>
              </w:rPr>
            </w:pPr>
          </w:p>
        </w:tc>
      </w:tr>
      <w:tr w14:paraId="56E14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2B1EDE9">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377DF74">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5EDE741">
            <w:pPr>
              <w:widowControl/>
              <w:spacing w:line="360" w:lineRule="exact"/>
              <w:rPr>
                <w:rFonts w:ascii="宋体" w:hAnsi="宋体"/>
                <w:bCs/>
                <w:sz w:val="18"/>
                <w:szCs w:val="18"/>
              </w:rPr>
            </w:pPr>
            <w:r>
              <w:rPr>
                <w:rFonts w:hint="eastAsia" w:ascii="宋体" w:hAnsi="宋体"/>
                <w:bCs/>
                <w:sz w:val="18"/>
                <w:szCs w:val="18"/>
              </w:rPr>
              <w:t>5.3、物品搬出有记录。</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B41F0E0">
            <w:pPr>
              <w:spacing w:line="360" w:lineRule="exact"/>
              <w:rPr>
                <w:rFonts w:ascii="宋体" w:hAnsi="宋体"/>
                <w:sz w:val="18"/>
                <w:szCs w:val="18"/>
              </w:rPr>
            </w:pPr>
            <w:r>
              <w:rPr>
                <w:rFonts w:hint="eastAsia" w:ascii="宋体" w:hAnsi="宋体"/>
                <w:sz w:val="18"/>
                <w:szCs w:val="18"/>
              </w:rPr>
              <w:t>一次不记录扣0.5分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1B2A2A4">
            <w:pPr>
              <w:widowControl/>
              <w:spacing w:line="360" w:lineRule="exact"/>
              <w:rPr>
                <w:rFonts w:ascii="宋体" w:hAnsi="宋体"/>
                <w:sz w:val="18"/>
                <w:szCs w:val="18"/>
              </w:rPr>
            </w:pPr>
          </w:p>
        </w:tc>
      </w:tr>
      <w:tr w14:paraId="3EAC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7CA825F">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F43F201">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66D689D">
            <w:pPr>
              <w:widowControl/>
              <w:spacing w:line="360" w:lineRule="exact"/>
              <w:rPr>
                <w:rFonts w:ascii="宋体" w:hAnsi="宋体"/>
                <w:bCs/>
                <w:sz w:val="18"/>
                <w:szCs w:val="18"/>
              </w:rPr>
            </w:pPr>
            <w:r>
              <w:rPr>
                <w:rFonts w:hint="eastAsia" w:ascii="宋体" w:hAnsi="宋体"/>
                <w:bCs/>
                <w:sz w:val="18"/>
                <w:szCs w:val="18"/>
              </w:rPr>
              <w:t>5.4、无非法占用乱占、破坏学校及周边建筑物、环境、资源、景观的非法行为。</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0A38E24">
            <w:pPr>
              <w:spacing w:line="360" w:lineRule="exact"/>
              <w:rPr>
                <w:rFonts w:ascii="宋体" w:hAnsi="宋体"/>
                <w:sz w:val="18"/>
                <w:szCs w:val="18"/>
              </w:rPr>
            </w:pPr>
            <w:r>
              <w:rPr>
                <w:rFonts w:hint="eastAsia" w:ascii="宋体" w:hAnsi="宋体"/>
                <w:sz w:val="18"/>
                <w:szCs w:val="18"/>
              </w:rPr>
              <w:t>发生一起该项不得分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E3AF0A3">
            <w:pPr>
              <w:widowControl/>
              <w:spacing w:line="360" w:lineRule="exact"/>
              <w:rPr>
                <w:rFonts w:ascii="宋体" w:hAnsi="宋体"/>
                <w:sz w:val="18"/>
                <w:szCs w:val="18"/>
              </w:rPr>
            </w:pPr>
          </w:p>
        </w:tc>
      </w:tr>
      <w:tr w14:paraId="2C52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3C89AA1">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A297022">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0F9829D">
            <w:pPr>
              <w:widowControl/>
              <w:spacing w:line="360" w:lineRule="exact"/>
              <w:rPr>
                <w:rFonts w:ascii="宋体" w:hAnsi="宋体"/>
                <w:bCs/>
                <w:sz w:val="18"/>
                <w:szCs w:val="18"/>
              </w:rPr>
            </w:pPr>
            <w:r>
              <w:rPr>
                <w:rFonts w:hint="eastAsia" w:ascii="宋体" w:hAnsi="宋体"/>
                <w:bCs/>
                <w:sz w:val="18"/>
                <w:szCs w:val="18"/>
              </w:rPr>
              <w:t>5．5、无未经主管部门批准下擅自改变物业使用功能的行为。</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6F0293E">
            <w:pPr>
              <w:spacing w:line="360" w:lineRule="exact"/>
              <w:rPr>
                <w:rFonts w:ascii="宋体" w:hAnsi="宋体"/>
                <w:sz w:val="18"/>
                <w:szCs w:val="18"/>
              </w:rPr>
            </w:pPr>
            <w:r>
              <w:rPr>
                <w:rFonts w:hint="eastAsia" w:ascii="宋体" w:hAnsi="宋体"/>
                <w:sz w:val="18"/>
                <w:szCs w:val="18"/>
              </w:rPr>
              <w:t>发生一起该项不得分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6641F28">
            <w:pPr>
              <w:widowControl/>
              <w:spacing w:line="360" w:lineRule="exact"/>
              <w:rPr>
                <w:rFonts w:ascii="宋体" w:hAnsi="宋体"/>
                <w:sz w:val="18"/>
                <w:szCs w:val="18"/>
              </w:rPr>
            </w:pPr>
          </w:p>
        </w:tc>
      </w:tr>
      <w:tr w14:paraId="7BFE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FBB34BD">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614A05D">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65B682E">
            <w:pPr>
              <w:widowControl/>
              <w:spacing w:line="360" w:lineRule="exact"/>
              <w:rPr>
                <w:rFonts w:ascii="宋体" w:hAnsi="宋体"/>
                <w:bCs/>
                <w:sz w:val="18"/>
                <w:szCs w:val="18"/>
              </w:rPr>
            </w:pPr>
            <w:r>
              <w:rPr>
                <w:rFonts w:hint="eastAsia" w:ascii="宋体" w:hAnsi="宋体"/>
                <w:bCs/>
                <w:sz w:val="18"/>
                <w:szCs w:val="18"/>
              </w:rPr>
              <w:t>5.6、在发现可疑人员或者其它不安全因素时，应及时与学校有关部门取得联络，准确地说明情况，并协助进行各种事件的处理。</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71B888B">
            <w:pPr>
              <w:spacing w:line="360" w:lineRule="exact"/>
              <w:rPr>
                <w:rFonts w:ascii="宋体" w:hAnsi="宋体"/>
                <w:sz w:val="18"/>
                <w:szCs w:val="18"/>
              </w:rPr>
            </w:pPr>
            <w:r>
              <w:rPr>
                <w:rFonts w:hint="eastAsia" w:ascii="宋体" w:hAnsi="宋体"/>
                <w:sz w:val="18"/>
                <w:szCs w:val="18"/>
              </w:rPr>
              <w:t>因汇报不及时、控制不力，造成不良后果，视后果扣分（1分起）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2A236E5">
            <w:pPr>
              <w:widowControl/>
              <w:spacing w:line="360" w:lineRule="exact"/>
              <w:rPr>
                <w:rFonts w:ascii="宋体" w:hAnsi="宋体"/>
                <w:sz w:val="18"/>
                <w:szCs w:val="18"/>
              </w:rPr>
            </w:pPr>
          </w:p>
        </w:tc>
      </w:tr>
      <w:tr w14:paraId="24B6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2AFA8F5">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777E3E9">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6287E5B">
            <w:pPr>
              <w:widowControl/>
              <w:spacing w:line="360" w:lineRule="exact"/>
              <w:rPr>
                <w:rFonts w:ascii="宋体" w:hAnsi="宋体"/>
                <w:bCs/>
                <w:sz w:val="18"/>
                <w:szCs w:val="18"/>
              </w:rPr>
            </w:pPr>
            <w:r>
              <w:rPr>
                <w:rFonts w:hint="eastAsia" w:ascii="宋体" w:hAnsi="宋体"/>
                <w:bCs/>
                <w:sz w:val="18"/>
                <w:szCs w:val="18"/>
              </w:rPr>
              <w:t>5.7、将突发事件报告给学校，并作好报警准备；情况处理完毕后，做好登记，根据需要配合公安部门的调查取证。</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9C26CEF">
            <w:pPr>
              <w:spacing w:line="360" w:lineRule="exact"/>
              <w:rPr>
                <w:rFonts w:ascii="宋体" w:hAnsi="宋体"/>
                <w:sz w:val="18"/>
                <w:szCs w:val="18"/>
              </w:rPr>
            </w:pPr>
            <w:r>
              <w:rPr>
                <w:rFonts w:hint="eastAsia" w:ascii="宋体" w:hAnsi="宋体"/>
                <w:sz w:val="18"/>
                <w:szCs w:val="18"/>
              </w:rPr>
              <w:t>工作不力拖拉视后果扣分（2分起）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3D8484E">
            <w:pPr>
              <w:widowControl/>
              <w:spacing w:line="360" w:lineRule="exact"/>
              <w:rPr>
                <w:rFonts w:ascii="宋体" w:hAnsi="宋体"/>
                <w:sz w:val="18"/>
                <w:szCs w:val="18"/>
              </w:rPr>
            </w:pPr>
          </w:p>
        </w:tc>
      </w:tr>
      <w:tr w14:paraId="01134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A01051C">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D738F49">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2F47EF9">
            <w:pPr>
              <w:widowControl/>
              <w:spacing w:line="360" w:lineRule="exact"/>
              <w:rPr>
                <w:rFonts w:ascii="宋体" w:hAnsi="宋体"/>
                <w:bCs/>
                <w:sz w:val="18"/>
                <w:szCs w:val="18"/>
              </w:rPr>
            </w:pPr>
            <w:r>
              <w:rPr>
                <w:rFonts w:hint="eastAsia" w:ascii="宋体" w:hAnsi="宋体"/>
                <w:bCs/>
                <w:sz w:val="18"/>
                <w:szCs w:val="18"/>
              </w:rPr>
              <w:t>5.8、做好交接班工作，认真填写值班记录。值班记录中应详细注明当班的值班情况、突发事件的处置经过及结果、系统的运行情况及监控设施的日检情况。</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27DD3CA">
            <w:pPr>
              <w:spacing w:line="360" w:lineRule="exact"/>
              <w:rPr>
                <w:rFonts w:ascii="宋体" w:hAnsi="宋体"/>
                <w:sz w:val="18"/>
                <w:szCs w:val="18"/>
              </w:rPr>
            </w:pPr>
            <w:r>
              <w:rPr>
                <w:rFonts w:hint="eastAsia" w:ascii="宋体" w:hAnsi="宋体"/>
                <w:sz w:val="18"/>
                <w:szCs w:val="18"/>
              </w:rPr>
              <w:t>一次无记录扣2分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1B823DD">
            <w:pPr>
              <w:widowControl/>
              <w:spacing w:line="360" w:lineRule="exact"/>
              <w:rPr>
                <w:rFonts w:ascii="宋体" w:hAnsi="宋体"/>
                <w:sz w:val="18"/>
                <w:szCs w:val="18"/>
              </w:rPr>
            </w:pPr>
          </w:p>
        </w:tc>
      </w:tr>
      <w:tr w14:paraId="7E9EE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right w:val="single" w:color="auto" w:sz="4" w:space="0"/>
            </w:tcBorders>
            <w:tcMar>
              <w:left w:w="28" w:type="dxa"/>
              <w:right w:w="28" w:type="dxa"/>
            </w:tcMar>
            <w:vAlign w:val="center"/>
          </w:tcPr>
          <w:p w14:paraId="07B760C1">
            <w:pPr>
              <w:spacing w:line="360" w:lineRule="exact"/>
              <w:jc w:val="center"/>
              <w:rPr>
                <w:rFonts w:ascii="宋体" w:hAnsi="宋体"/>
                <w:sz w:val="18"/>
                <w:szCs w:val="18"/>
              </w:rPr>
            </w:pPr>
            <w:r>
              <w:rPr>
                <w:rFonts w:hint="eastAsia" w:ascii="宋体" w:hAnsi="宋体"/>
                <w:sz w:val="18"/>
                <w:szCs w:val="18"/>
              </w:rPr>
              <w:t>6</w:t>
            </w:r>
          </w:p>
        </w:tc>
        <w:tc>
          <w:tcPr>
            <w:tcW w:w="992" w:type="dxa"/>
            <w:vMerge w:val="restart"/>
            <w:tcBorders>
              <w:top w:val="single" w:color="auto" w:sz="4" w:space="0"/>
              <w:left w:val="single" w:color="auto" w:sz="4" w:space="0"/>
              <w:right w:val="single" w:color="auto" w:sz="4" w:space="0"/>
            </w:tcBorders>
            <w:tcMar>
              <w:left w:w="28" w:type="dxa"/>
              <w:right w:w="28" w:type="dxa"/>
            </w:tcMar>
            <w:vAlign w:val="center"/>
          </w:tcPr>
          <w:p w14:paraId="7146DA4D">
            <w:pPr>
              <w:spacing w:line="360" w:lineRule="exact"/>
              <w:jc w:val="center"/>
              <w:rPr>
                <w:rFonts w:ascii="宋体" w:hAnsi="宋体"/>
                <w:sz w:val="18"/>
                <w:szCs w:val="18"/>
              </w:rPr>
            </w:pPr>
            <w:r>
              <w:rPr>
                <w:rFonts w:hint="eastAsia" w:ascii="宋体" w:hAnsi="宋体"/>
                <w:sz w:val="18"/>
                <w:szCs w:val="18"/>
              </w:rPr>
              <w:t>消防管理</w:t>
            </w:r>
          </w:p>
          <w:p w14:paraId="40DEA228">
            <w:pPr>
              <w:spacing w:line="360" w:lineRule="exact"/>
              <w:jc w:val="center"/>
              <w:rPr>
                <w:rFonts w:ascii="宋体" w:hAnsi="宋体"/>
                <w:sz w:val="18"/>
                <w:szCs w:val="18"/>
              </w:rPr>
            </w:pPr>
            <w:r>
              <w:rPr>
                <w:rFonts w:hint="eastAsia" w:ascii="宋体" w:hAnsi="宋体"/>
                <w:sz w:val="18"/>
                <w:szCs w:val="18"/>
              </w:rPr>
              <w:t>（共15分）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2F489B5">
            <w:pPr>
              <w:widowControl/>
              <w:spacing w:line="360" w:lineRule="exact"/>
              <w:rPr>
                <w:rFonts w:ascii="宋体" w:hAnsi="宋体"/>
                <w:bCs/>
                <w:sz w:val="18"/>
                <w:szCs w:val="18"/>
              </w:rPr>
            </w:pPr>
            <w:r>
              <w:rPr>
                <w:rFonts w:hint="eastAsia" w:ascii="宋体" w:hAnsi="宋体"/>
                <w:bCs/>
                <w:sz w:val="18"/>
                <w:szCs w:val="18"/>
              </w:rPr>
              <w:t>6.1、负责对各种消防设备的使用管理，做好日常防火巡查，火灾隐患排查工作，不得擅离职守。</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4D88451">
            <w:pPr>
              <w:spacing w:line="360" w:lineRule="exact"/>
              <w:rPr>
                <w:rFonts w:ascii="宋体" w:hAnsi="宋体"/>
                <w:sz w:val="18"/>
                <w:szCs w:val="18"/>
              </w:rPr>
            </w:pPr>
            <w:r>
              <w:rPr>
                <w:rFonts w:hint="eastAsia" w:ascii="宋体" w:hAnsi="宋体"/>
                <w:sz w:val="18"/>
                <w:szCs w:val="18"/>
              </w:rPr>
              <w:t>1.每日防火巡查实地抽查设备巡查记录（一次漏检扣1分）、2.抽查消防智慧系统、消防户籍化系统、广东感知消防系统线下巡查上传数据（一次漏检扣1分）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AD46A2B">
            <w:pPr>
              <w:spacing w:line="360" w:lineRule="exact"/>
              <w:jc w:val="center"/>
              <w:rPr>
                <w:rFonts w:ascii="宋体" w:hAnsi="宋体"/>
                <w:sz w:val="18"/>
                <w:szCs w:val="18"/>
              </w:rPr>
            </w:pPr>
          </w:p>
          <w:p w14:paraId="16A12A73">
            <w:pPr>
              <w:spacing w:line="360" w:lineRule="exact"/>
              <w:jc w:val="center"/>
              <w:rPr>
                <w:rFonts w:ascii="宋体" w:hAnsi="宋体"/>
                <w:sz w:val="18"/>
                <w:szCs w:val="18"/>
              </w:rPr>
            </w:pPr>
          </w:p>
        </w:tc>
      </w:tr>
      <w:tr w14:paraId="2B1B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363FCED3">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6E4F2E27">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44DC4F0">
            <w:pPr>
              <w:widowControl/>
              <w:spacing w:line="360" w:lineRule="exact"/>
              <w:rPr>
                <w:rFonts w:ascii="宋体" w:hAnsi="宋体"/>
                <w:bCs/>
                <w:sz w:val="18"/>
                <w:szCs w:val="18"/>
              </w:rPr>
            </w:pPr>
            <w:r>
              <w:rPr>
                <w:rFonts w:hint="eastAsia" w:ascii="宋体" w:hAnsi="宋体"/>
                <w:bCs/>
                <w:sz w:val="18"/>
                <w:szCs w:val="18"/>
              </w:rPr>
              <w:t>6.2、熟悉消防设施的功能，熟练掌握操作技术，不得擅自拆卸、挪用或者停用室内、外设备，保证设备正常运行。</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15E5811">
            <w:pPr>
              <w:spacing w:line="360" w:lineRule="exact"/>
              <w:rPr>
                <w:rFonts w:ascii="宋体" w:hAnsi="宋体"/>
                <w:sz w:val="18"/>
                <w:szCs w:val="18"/>
              </w:rPr>
            </w:pPr>
            <w:r>
              <w:rPr>
                <w:rFonts w:hint="eastAsia" w:ascii="宋体" w:hAnsi="宋体"/>
                <w:sz w:val="18"/>
                <w:szCs w:val="18"/>
              </w:rPr>
              <w:t>视造成后果扣分（1分起）。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A554C35">
            <w:pPr>
              <w:widowControl/>
              <w:spacing w:line="360" w:lineRule="exact"/>
              <w:rPr>
                <w:rFonts w:ascii="宋体" w:hAnsi="宋体"/>
                <w:sz w:val="18"/>
                <w:szCs w:val="18"/>
              </w:rPr>
            </w:pPr>
          </w:p>
        </w:tc>
      </w:tr>
      <w:tr w14:paraId="4C68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624073D6">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71E2F2E6">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336B1A0">
            <w:pPr>
              <w:widowControl/>
              <w:spacing w:line="360" w:lineRule="exact"/>
              <w:rPr>
                <w:rFonts w:ascii="宋体" w:hAnsi="宋体"/>
                <w:bCs/>
                <w:sz w:val="18"/>
                <w:szCs w:val="18"/>
              </w:rPr>
            </w:pPr>
            <w:r>
              <w:rPr>
                <w:rFonts w:hint="eastAsia" w:ascii="宋体" w:hAnsi="宋体"/>
                <w:bCs/>
                <w:sz w:val="18"/>
                <w:szCs w:val="18"/>
              </w:rPr>
              <w:t>6．3、做好防火排查工作，严禁在学校内燃放鞭炮、焰火、焚烧垃圾，严禁随地乱丢烟头，严禁在楼梯、通道、室内停放电单车及充电，杜绝一切可能的火险隐患。</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FC245D">
            <w:pPr>
              <w:spacing w:line="360" w:lineRule="exact"/>
              <w:rPr>
                <w:rFonts w:ascii="宋体" w:hAnsi="宋体"/>
                <w:sz w:val="18"/>
                <w:szCs w:val="18"/>
              </w:rPr>
            </w:pPr>
            <w:r>
              <w:rPr>
                <w:rFonts w:hint="eastAsia" w:ascii="宋体" w:hAnsi="宋体"/>
                <w:sz w:val="18"/>
                <w:szCs w:val="18"/>
              </w:rPr>
              <w:t>一次排查落实不到位扣分（2分起）。</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7C47CF8">
            <w:pPr>
              <w:widowControl/>
              <w:spacing w:line="360" w:lineRule="exact"/>
              <w:rPr>
                <w:rFonts w:ascii="宋体" w:hAnsi="宋体"/>
                <w:sz w:val="18"/>
                <w:szCs w:val="18"/>
              </w:rPr>
            </w:pPr>
          </w:p>
        </w:tc>
      </w:tr>
      <w:tr w14:paraId="5428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4DA4ABB0">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2359AF2F">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47CE468">
            <w:pPr>
              <w:widowControl/>
              <w:spacing w:line="360" w:lineRule="exact"/>
              <w:rPr>
                <w:rFonts w:ascii="宋体" w:hAnsi="宋体"/>
                <w:bCs/>
                <w:sz w:val="18"/>
                <w:szCs w:val="18"/>
              </w:rPr>
            </w:pPr>
            <w:r>
              <w:rPr>
                <w:rFonts w:hint="eastAsia" w:ascii="宋体" w:hAnsi="宋体"/>
                <w:bCs/>
                <w:sz w:val="18"/>
                <w:szCs w:val="18"/>
              </w:rPr>
              <w:t xml:space="preserve">6．4、所有秩序队员均是义务消防员，接受消防培训（由乙方组织），每月最少进行1次消防灭火技能培训，每半年进行最少一次消防演习，每年与有关消防单位组织最少一次联合消防演习。 </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9FAA90B">
            <w:pPr>
              <w:spacing w:line="360" w:lineRule="exact"/>
              <w:rPr>
                <w:rFonts w:ascii="宋体" w:hAnsi="宋体"/>
                <w:sz w:val="18"/>
                <w:szCs w:val="18"/>
              </w:rPr>
            </w:pPr>
            <w:r>
              <w:rPr>
                <w:rFonts w:hint="eastAsia" w:ascii="宋体" w:hAnsi="宋体"/>
                <w:sz w:val="18"/>
                <w:szCs w:val="18"/>
              </w:rPr>
              <w:t>1.每月最少进行1次消防灭火技能培训留图片资料一次不培训扣5分、2每半年进行一次消防演习，有演习记录，一次不演习扣5分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0722E71">
            <w:pPr>
              <w:widowControl/>
              <w:spacing w:line="360" w:lineRule="exact"/>
              <w:rPr>
                <w:rFonts w:ascii="宋体" w:hAnsi="宋体"/>
                <w:sz w:val="18"/>
                <w:szCs w:val="18"/>
              </w:rPr>
            </w:pPr>
          </w:p>
        </w:tc>
      </w:tr>
      <w:tr w14:paraId="638DA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29A8B524">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4783E453">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3801332">
            <w:pPr>
              <w:widowControl/>
              <w:spacing w:line="360" w:lineRule="exact"/>
              <w:rPr>
                <w:rFonts w:ascii="宋体" w:hAnsi="宋体"/>
                <w:bCs/>
                <w:sz w:val="18"/>
                <w:szCs w:val="18"/>
              </w:rPr>
            </w:pPr>
            <w:r>
              <w:rPr>
                <w:rFonts w:hint="eastAsia" w:ascii="宋体" w:hAnsi="宋体"/>
                <w:bCs/>
                <w:sz w:val="18"/>
                <w:szCs w:val="18"/>
              </w:rPr>
              <w:t>6.5、消防总控室（联动型消防主机）值班人员按消防部门规定持消防中级证，每班2人上岗，能熟练操作消防联动报警主机能按规范流程处理火警报警信息。</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C834BC2">
            <w:pPr>
              <w:spacing w:line="360" w:lineRule="exact"/>
              <w:rPr>
                <w:rFonts w:ascii="宋体" w:hAnsi="宋体"/>
                <w:sz w:val="18"/>
                <w:szCs w:val="18"/>
              </w:rPr>
            </w:pPr>
            <w:r>
              <w:rPr>
                <w:rFonts w:hint="eastAsia" w:ascii="宋体" w:hAnsi="宋体"/>
                <w:sz w:val="18"/>
                <w:szCs w:val="18"/>
              </w:rPr>
              <w:t>1.未持中级证1人扣5分2.值班员不能熟练操作主机不能按规范流程处理火警报警信息扣10分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4826BD">
            <w:pPr>
              <w:widowControl/>
              <w:spacing w:line="360" w:lineRule="exact"/>
              <w:rPr>
                <w:rFonts w:ascii="宋体" w:hAnsi="宋体"/>
                <w:sz w:val="18"/>
                <w:szCs w:val="18"/>
              </w:rPr>
            </w:pPr>
          </w:p>
        </w:tc>
      </w:tr>
      <w:tr w14:paraId="767D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2C2CE2D5">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006569C4">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E4BD9CF">
            <w:pPr>
              <w:widowControl/>
              <w:spacing w:line="360" w:lineRule="exact"/>
              <w:rPr>
                <w:rFonts w:ascii="宋体" w:hAnsi="宋体"/>
                <w:bCs/>
                <w:sz w:val="18"/>
                <w:szCs w:val="18"/>
              </w:rPr>
            </w:pPr>
            <w:r>
              <w:rPr>
                <w:rFonts w:hint="eastAsia" w:ascii="宋体" w:hAnsi="宋体"/>
                <w:bCs/>
                <w:sz w:val="18"/>
                <w:szCs w:val="18"/>
              </w:rPr>
              <w:t>6.6、在秩序部内成立兼职消防队每班次6人，每月不少于2次消防专项训练。</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DE85242">
            <w:pPr>
              <w:spacing w:line="360" w:lineRule="exact"/>
              <w:rPr>
                <w:rFonts w:ascii="宋体" w:hAnsi="宋体"/>
                <w:sz w:val="18"/>
                <w:szCs w:val="18"/>
              </w:rPr>
            </w:pPr>
            <w:r>
              <w:rPr>
                <w:rFonts w:hint="eastAsia" w:ascii="宋体" w:hAnsi="宋体"/>
                <w:sz w:val="18"/>
                <w:szCs w:val="18"/>
              </w:rPr>
              <w:t>未成立兼职消防队未训练扣5分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BC3759D">
            <w:pPr>
              <w:widowControl/>
              <w:spacing w:line="360" w:lineRule="exact"/>
              <w:rPr>
                <w:rFonts w:ascii="宋体" w:hAnsi="宋体"/>
                <w:sz w:val="18"/>
                <w:szCs w:val="18"/>
              </w:rPr>
            </w:pPr>
          </w:p>
        </w:tc>
      </w:tr>
      <w:tr w14:paraId="51AB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5F5D4311">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38B24CD2">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75274D5">
            <w:pPr>
              <w:widowControl/>
              <w:spacing w:line="360" w:lineRule="exact"/>
              <w:rPr>
                <w:rFonts w:ascii="宋体" w:hAnsi="宋体"/>
                <w:bCs/>
                <w:sz w:val="18"/>
                <w:szCs w:val="18"/>
              </w:rPr>
            </w:pPr>
            <w:r>
              <w:rPr>
                <w:rFonts w:hint="eastAsia" w:ascii="宋体" w:hAnsi="宋体"/>
                <w:bCs/>
                <w:sz w:val="18"/>
                <w:szCs w:val="18"/>
              </w:rPr>
              <w:t>6.7、灭火应急响应，1分钟就近岗位能到场核实并扑灭初期火灾，3分钟内6人组兼职消防员到场支援。</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DDA16F4">
            <w:pPr>
              <w:spacing w:line="360" w:lineRule="exact"/>
              <w:rPr>
                <w:rFonts w:ascii="宋体" w:hAnsi="宋体"/>
                <w:sz w:val="18"/>
                <w:szCs w:val="18"/>
              </w:rPr>
            </w:pPr>
            <w:r>
              <w:rPr>
                <w:rFonts w:hint="eastAsia" w:ascii="宋体" w:hAnsi="宋体"/>
                <w:sz w:val="18"/>
                <w:szCs w:val="18"/>
              </w:rPr>
              <w:t>1.动作缓慢每迟到1分钟扣1分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0AEAE3B">
            <w:pPr>
              <w:widowControl/>
              <w:spacing w:line="360" w:lineRule="exact"/>
              <w:rPr>
                <w:rFonts w:ascii="宋体" w:hAnsi="宋体"/>
                <w:sz w:val="18"/>
                <w:szCs w:val="18"/>
              </w:rPr>
            </w:pPr>
          </w:p>
        </w:tc>
      </w:tr>
      <w:tr w14:paraId="2155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right w:val="single" w:color="auto" w:sz="4" w:space="0"/>
            </w:tcBorders>
            <w:tcMar>
              <w:left w:w="28" w:type="dxa"/>
              <w:right w:w="28" w:type="dxa"/>
            </w:tcMar>
            <w:vAlign w:val="center"/>
          </w:tcPr>
          <w:p w14:paraId="4D1395B1">
            <w:pPr>
              <w:widowControl/>
              <w:spacing w:line="360" w:lineRule="exact"/>
              <w:rPr>
                <w:rFonts w:ascii="宋体" w:hAnsi="宋体"/>
                <w:sz w:val="18"/>
                <w:szCs w:val="18"/>
              </w:rPr>
            </w:pPr>
          </w:p>
        </w:tc>
        <w:tc>
          <w:tcPr>
            <w:tcW w:w="992" w:type="dxa"/>
            <w:vMerge w:val="continue"/>
            <w:tcBorders>
              <w:left w:val="single" w:color="auto" w:sz="4" w:space="0"/>
              <w:right w:val="single" w:color="auto" w:sz="4" w:space="0"/>
            </w:tcBorders>
            <w:tcMar>
              <w:left w:w="28" w:type="dxa"/>
              <w:right w:w="28" w:type="dxa"/>
            </w:tcMar>
            <w:vAlign w:val="center"/>
          </w:tcPr>
          <w:p w14:paraId="2C19E8DD">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FEFFE8E">
            <w:pPr>
              <w:widowControl/>
              <w:spacing w:line="360" w:lineRule="exact"/>
              <w:rPr>
                <w:rFonts w:ascii="宋体" w:hAnsi="宋体"/>
                <w:bCs/>
                <w:sz w:val="18"/>
                <w:szCs w:val="18"/>
              </w:rPr>
            </w:pPr>
            <w:r>
              <w:rPr>
                <w:rFonts w:hint="eastAsia" w:ascii="宋体" w:hAnsi="宋体"/>
                <w:bCs/>
                <w:sz w:val="18"/>
                <w:szCs w:val="18"/>
              </w:rPr>
              <w:t>6.8、无人为因素造成的火灾事故</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3E20152">
            <w:pPr>
              <w:spacing w:line="360" w:lineRule="exact"/>
              <w:rPr>
                <w:rFonts w:ascii="宋体" w:hAnsi="宋体"/>
                <w:sz w:val="18"/>
                <w:szCs w:val="18"/>
              </w:rPr>
            </w:pPr>
            <w:r>
              <w:rPr>
                <w:rFonts w:hint="eastAsia" w:ascii="宋体" w:hAnsi="宋体"/>
                <w:sz w:val="18"/>
                <w:szCs w:val="18"/>
              </w:rPr>
              <w:t>发生一起该项不得分</w:t>
            </w: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E719AF0">
            <w:pPr>
              <w:widowControl/>
              <w:spacing w:line="360" w:lineRule="exact"/>
              <w:rPr>
                <w:rFonts w:ascii="宋体" w:hAnsi="宋体"/>
                <w:sz w:val="18"/>
                <w:szCs w:val="18"/>
              </w:rPr>
            </w:pPr>
          </w:p>
        </w:tc>
      </w:tr>
      <w:tr w14:paraId="16A4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left w:val="single" w:color="auto" w:sz="4" w:space="0"/>
              <w:bottom w:val="single" w:color="auto" w:sz="4" w:space="0"/>
              <w:right w:val="single" w:color="auto" w:sz="4" w:space="0"/>
            </w:tcBorders>
            <w:tcMar>
              <w:left w:w="28" w:type="dxa"/>
              <w:right w:w="28" w:type="dxa"/>
            </w:tcMar>
            <w:vAlign w:val="center"/>
          </w:tcPr>
          <w:p w14:paraId="027E6A3D">
            <w:pPr>
              <w:widowControl/>
              <w:spacing w:line="360" w:lineRule="exact"/>
              <w:rPr>
                <w:rFonts w:ascii="宋体" w:hAnsi="宋体"/>
                <w:sz w:val="18"/>
                <w:szCs w:val="18"/>
              </w:rPr>
            </w:pPr>
          </w:p>
        </w:tc>
        <w:tc>
          <w:tcPr>
            <w:tcW w:w="992" w:type="dxa"/>
            <w:vMerge w:val="continue"/>
            <w:tcBorders>
              <w:left w:val="single" w:color="auto" w:sz="4" w:space="0"/>
              <w:bottom w:val="single" w:color="auto" w:sz="4" w:space="0"/>
              <w:right w:val="single" w:color="auto" w:sz="4" w:space="0"/>
            </w:tcBorders>
            <w:tcMar>
              <w:left w:w="28" w:type="dxa"/>
              <w:right w:w="28" w:type="dxa"/>
            </w:tcMar>
            <w:vAlign w:val="center"/>
          </w:tcPr>
          <w:p w14:paraId="6E021795">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2A23727">
            <w:pPr>
              <w:widowControl/>
              <w:spacing w:line="360" w:lineRule="exact"/>
              <w:rPr>
                <w:rFonts w:ascii="宋体" w:hAnsi="宋体"/>
                <w:bCs/>
                <w:sz w:val="18"/>
                <w:szCs w:val="18"/>
              </w:rPr>
            </w:pPr>
            <w:r>
              <w:rPr>
                <w:rFonts w:hint="eastAsia" w:ascii="宋体" w:hAnsi="宋体"/>
                <w:bCs/>
                <w:sz w:val="18"/>
                <w:szCs w:val="18"/>
              </w:rPr>
              <w:t>6.9、监控室值班人员应持证上岗（持消防中级证），执行24小时三班制，保持高度警惕和责任心，熟悉校园各监控点位置，熟练掌握监控系统浏览、查看、调阅等操作方法，熟练掌握各项告警的处置流程，发现异常情况，及时准确上报处理；爱护和管理设备，发现问题及时汇报检修；遵守保密制度，严禁拍照、讨论有关监控相关内容。</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8213E7">
            <w:pPr>
              <w:pStyle w:val="209"/>
              <w:spacing w:line="360" w:lineRule="exact"/>
              <w:rPr>
                <w:rFonts w:cs="Times New Roman"/>
                <w:kern w:val="2"/>
                <w:sz w:val="18"/>
                <w:szCs w:val="18"/>
                <w:lang w:eastAsia="zh-CN"/>
              </w:rPr>
            </w:pPr>
            <w:r>
              <w:rPr>
                <w:rFonts w:hint="eastAsia" w:cs="Times New Roman"/>
                <w:kern w:val="2"/>
                <w:sz w:val="18"/>
                <w:szCs w:val="18"/>
                <w:lang w:eastAsia="zh-CN"/>
              </w:rPr>
              <w:t>1.未持中级证1人扣5分</w:t>
            </w:r>
          </w:p>
          <w:p w14:paraId="352BF953">
            <w:pPr>
              <w:pStyle w:val="209"/>
              <w:spacing w:line="360" w:lineRule="exact"/>
              <w:rPr>
                <w:rFonts w:cs="Times New Roman"/>
                <w:kern w:val="2"/>
                <w:sz w:val="18"/>
                <w:szCs w:val="18"/>
                <w:lang w:eastAsia="zh-CN"/>
              </w:rPr>
            </w:pPr>
            <w:r>
              <w:rPr>
                <w:rFonts w:hint="eastAsia" w:cs="Times New Roman"/>
                <w:kern w:val="2"/>
                <w:sz w:val="18"/>
                <w:szCs w:val="18"/>
                <w:lang w:eastAsia="zh-CN"/>
              </w:rPr>
              <w:t>2.发现值班人员不熟悉监控点位置，不能熟练操作监控系统扣5分/次；</w:t>
            </w:r>
          </w:p>
          <w:p w14:paraId="4105F95B">
            <w:pPr>
              <w:pStyle w:val="209"/>
              <w:spacing w:line="360" w:lineRule="exact"/>
              <w:rPr>
                <w:rFonts w:cs="Times New Roman"/>
                <w:kern w:val="2"/>
                <w:sz w:val="18"/>
                <w:szCs w:val="18"/>
                <w:lang w:eastAsia="zh-CN"/>
              </w:rPr>
            </w:pPr>
            <w:r>
              <w:rPr>
                <w:rFonts w:hint="eastAsia" w:cs="Times New Roman"/>
                <w:kern w:val="2"/>
                <w:sz w:val="18"/>
                <w:szCs w:val="18"/>
                <w:lang w:eastAsia="zh-CN"/>
              </w:rPr>
              <w:t>3.出现异常情况，发现未按照规定流程或及时上报情况，扣5分/次；</w:t>
            </w:r>
          </w:p>
          <w:p w14:paraId="08947AF6">
            <w:pPr>
              <w:pStyle w:val="209"/>
              <w:spacing w:line="360" w:lineRule="exact"/>
              <w:rPr>
                <w:rFonts w:cs="Times New Roman"/>
                <w:kern w:val="2"/>
                <w:sz w:val="18"/>
                <w:szCs w:val="18"/>
                <w:lang w:eastAsia="zh-CN"/>
              </w:rPr>
            </w:pPr>
            <w:r>
              <w:rPr>
                <w:rFonts w:hint="eastAsia" w:cs="Times New Roman"/>
                <w:kern w:val="2"/>
                <w:sz w:val="18"/>
                <w:szCs w:val="18"/>
                <w:lang w:eastAsia="zh-CN"/>
              </w:rPr>
              <w:t>4.不遵守保密制度、出现拍照、视频外泄等情况，此项不得分，并追究相关人员责任。</w:t>
            </w:r>
          </w:p>
          <w:p w14:paraId="4C4E113F">
            <w:pPr>
              <w:pStyle w:val="209"/>
              <w:spacing w:line="360" w:lineRule="exact"/>
              <w:rPr>
                <w:spacing w:val="-4"/>
                <w:sz w:val="18"/>
                <w:szCs w:val="18"/>
                <w:lang w:eastAsia="zh-CN"/>
              </w:rPr>
            </w:pPr>
            <w:r>
              <w:rPr>
                <w:rFonts w:hint="eastAsia" w:cs="Times New Roman"/>
                <w:kern w:val="2"/>
                <w:sz w:val="18"/>
                <w:szCs w:val="18"/>
                <w:lang w:eastAsia="zh-CN"/>
              </w:rPr>
              <w:t>5.值班人员未按照24小时三班制执行，每次扣5分。</w:t>
            </w:r>
          </w:p>
          <w:p w14:paraId="0683CFBC">
            <w:pPr>
              <w:spacing w:line="360" w:lineRule="exact"/>
              <w:rPr>
                <w:rFonts w:ascii="宋体" w:hAnsi="宋体"/>
                <w:sz w:val="18"/>
                <w:szCs w:val="18"/>
              </w:rPr>
            </w:pP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3EB7A1B">
            <w:pPr>
              <w:widowControl/>
              <w:spacing w:line="360" w:lineRule="exact"/>
              <w:rPr>
                <w:rFonts w:ascii="宋体" w:hAnsi="宋体"/>
                <w:sz w:val="18"/>
                <w:szCs w:val="18"/>
              </w:rPr>
            </w:pPr>
          </w:p>
        </w:tc>
      </w:tr>
      <w:tr w14:paraId="1C49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D313628">
            <w:pPr>
              <w:spacing w:line="360" w:lineRule="exact"/>
              <w:jc w:val="center"/>
              <w:rPr>
                <w:rFonts w:ascii="宋体" w:hAnsi="宋体"/>
                <w:sz w:val="18"/>
                <w:szCs w:val="18"/>
              </w:rPr>
            </w:pPr>
            <w:r>
              <w:rPr>
                <w:rFonts w:hint="eastAsia" w:ascii="宋体" w:hAnsi="宋体"/>
                <w:sz w:val="18"/>
                <w:szCs w:val="18"/>
              </w:rPr>
              <w:t>7</w:t>
            </w:r>
          </w:p>
        </w:tc>
        <w:tc>
          <w:tcPr>
            <w:tcW w:w="992"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3ED4278">
            <w:pPr>
              <w:spacing w:line="360" w:lineRule="exact"/>
              <w:jc w:val="center"/>
              <w:rPr>
                <w:rFonts w:ascii="宋体" w:hAnsi="宋体"/>
                <w:sz w:val="18"/>
                <w:szCs w:val="18"/>
              </w:rPr>
            </w:pPr>
            <w:r>
              <w:rPr>
                <w:rFonts w:hint="eastAsia" w:ascii="宋体" w:hAnsi="宋体"/>
                <w:sz w:val="18"/>
                <w:szCs w:val="18"/>
              </w:rPr>
              <w:t>应急处置</w:t>
            </w:r>
          </w:p>
          <w:p w14:paraId="097F795B">
            <w:pPr>
              <w:spacing w:line="360" w:lineRule="exact"/>
              <w:jc w:val="center"/>
              <w:rPr>
                <w:rFonts w:ascii="宋体" w:hAnsi="宋体"/>
                <w:sz w:val="18"/>
                <w:szCs w:val="18"/>
              </w:rPr>
            </w:pPr>
            <w:r>
              <w:rPr>
                <w:rFonts w:hint="eastAsia" w:ascii="宋体" w:hAnsi="宋体"/>
                <w:sz w:val="18"/>
                <w:szCs w:val="18"/>
              </w:rPr>
              <w:t>（共5分）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8F56C3D">
            <w:pPr>
              <w:widowControl/>
              <w:spacing w:line="360" w:lineRule="exact"/>
              <w:rPr>
                <w:rFonts w:ascii="宋体" w:hAnsi="宋体"/>
                <w:bCs/>
                <w:sz w:val="18"/>
                <w:szCs w:val="18"/>
              </w:rPr>
            </w:pPr>
            <w:r>
              <w:rPr>
                <w:rFonts w:hint="eastAsia" w:ascii="宋体" w:hAnsi="宋体"/>
                <w:bCs/>
                <w:sz w:val="18"/>
                <w:szCs w:val="18"/>
              </w:rPr>
              <w:t>7.1、遇有治安、火灾、自然灾害、公共意外突发事件按学校应急预案要求能在3分钟内到达现场处置事件。</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9870A4B">
            <w:pPr>
              <w:spacing w:line="360" w:lineRule="exact"/>
              <w:rPr>
                <w:rFonts w:ascii="宋体" w:hAnsi="宋体"/>
                <w:sz w:val="18"/>
                <w:szCs w:val="18"/>
              </w:rPr>
            </w:pPr>
            <w:r>
              <w:rPr>
                <w:rFonts w:hint="eastAsia" w:ascii="宋体" w:hAnsi="宋体"/>
                <w:sz w:val="18"/>
                <w:szCs w:val="18"/>
              </w:rPr>
              <w:t>动作缓慢，不能按要求到场该项不得分</w:t>
            </w: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76AF3F0">
            <w:pPr>
              <w:spacing w:line="360" w:lineRule="exact"/>
              <w:jc w:val="center"/>
              <w:rPr>
                <w:rFonts w:ascii="宋体" w:hAnsi="宋体"/>
                <w:sz w:val="18"/>
                <w:szCs w:val="18"/>
              </w:rPr>
            </w:pPr>
          </w:p>
        </w:tc>
      </w:tr>
      <w:tr w14:paraId="42AB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5EABA6A">
            <w:pPr>
              <w:spacing w:line="360" w:lineRule="exact"/>
              <w:jc w:val="center"/>
              <w:rPr>
                <w:rFonts w:ascii="宋体" w:hAnsi="宋体"/>
                <w:sz w:val="18"/>
                <w:szCs w:val="18"/>
              </w:rPr>
            </w:pPr>
            <w:r>
              <w:rPr>
                <w:rFonts w:hint="eastAsia" w:ascii="宋体" w:hAnsi="宋体"/>
                <w:sz w:val="18"/>
                <w:szCs w:val="18"/>
              </w:rPr>
              <w:t>8</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A830F74">
            <w:pPr>
              <w:spacing w:line="360" w:lineRule="exact"/>
              <w:jc w:val="center"/>
              <w:rPr>
                <w:rFonts w:ascii="宋体" w:hAnsi="宋体"/>
                <w:sz w:val="18"/>
                <w:szCs w:val="18"/>
              </w:rPr>
            </w:pPr>
            <w:r>
              <w:rPr>
                <w:rFonts w:hint="eastAsia" w:ascii="宋体" w:hAnsi="宋体"/>
                <w:sz w:val="18"/>
                <w:szCs w:val="18"/>
              </w:rPr>
              <w:t>岗位配置、队伍建设与管理要求</w:t>
            </w:r>
          </w:p>
          <w:p w14:paraId="5F82636A">
            <w:pPr>
              <w:spacing w:line="360" w:lineRule="exact"/>
              <w:jc w:val="center"/>
              <w:rPr>
                <w:rFonts w:ascii="宋体" w:hAnsi="宋体"/>
                <w:sz w:val="18"/>
                <w:szCs w:val="18"/>
              </w:rPr>
            </w:pPr>
            <w:r>
              <w:rPr>
                <w:rFonts w:hint="eastAsia" w:ascii="宋体" w:hAnsi="宋体"/>
                <w:sz w:val="18"/>
                <w:szCs w:val="18"/>
              </w:rPr>
              <w:t>（共15分）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D9A7742">
            <w:pPr>
              <w:widowControl/>
              <w:spacing w:line="360" w:lineRule="exact"/>
              <w:rPr>
                <w:rFonts w:ascii="宋体" w:hAnsi="宋体"/>
                <w:bCs/>
                <w:sz w:val="18"/>
                <w:szCs w:val="18"/>
              </w:rPr>
            </w:pPr>
            <w:r>
              <w:rPr>
                <w:rFonts w:hint="eastAsia" w:ascii="宋体" w:hAnsi="宋体"/>
                <w:bCs/>
                <w:sz w:val="18"/>
                <w:szCs w:val="18"/>
              </w:rPr>
              <w:t>8.1、保安执勤岗位按照招标书及服务合同书的要求设置，人员数量达到招标书及服务合同书的配置要求（不含有关法律给予劳动者必要的休息日）。</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61B728F">
            <w:pPr>
              <w:pStyle w:val="16"/>
            </w:pPr>
            <w:r>
              <w:rPr>
                <w:rFonts w:hint="eastAsia" w:hAnsi="宋体"/>
                <w:sz w:val="18"/>
                <w:szCs w:val="18"/>
              </w:rPr>
              <w:t>1.自保安服务单位入驻之日起，固定岗位设置原则上内岗不少于24人，应急队根据安全保卫部工作安排排班。</w:t>
            </w:r>
          </w:p>
          <w:p w14:paraId="4FBFC0BF">
            <w:pPr>
              <w:spacing w:line="360" w:lineRule="exact"/>
              <w:rPr>
                <w:rFonts w:ascii="宋体" w:hAnsi="宋体"/>
                <w:sz w:val="18"/>
                <w:szCs w:val="18"/>
              </w:rPr>
            </w:pPr>
            <w:r>
              <w:rPr>
                <w:rFonts w:hint="eastAsia" w:ascii="宋体" w:hAnsi="宋体"/>
                <w:sz w:val="18"/>
                <w:szCs w:val="18"/>
              </w:rPr>
              <w:t>；</w:t>
            </w:r>
            <w:r>
              <w:rPr>
                <w:rFonts w:hint="eastAsia" w:ascii="宋体" w:hAnsi="宋体" w:cs="Arial"/>
                <w:snapToGrid w:val="0"/>
                <w:kern w:val="0"/>
                <w:sz w:val="18"/>
                <w:szCs w:val="18"/>
              </w:rPr>
              <w:t>2.少配置一名保安员扣5分；3.少配置三名保安员</w:t>
            </w:r>
            <w:r>
              <w:rPr>
                <w:rFonts w:hint="eastAsia" w:ascii="宋体" w:hAnsi="宋体"/>
                <w:sz w:val="18"/>
                <w:szCs w:val="18"/>
              </w:rPr>
              <w:t>该项目不得分。</w:t>
            </w: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38EF2D4">
            <w:pPr>
              <w:spacing w:line="360" w:lineRule="exact"/>
              <w:jc w:val="center"/>
              <w:rPr>
                <w:rFonts w:ascii="宋体" w:hAnsi="宋体"/>
                <w:sz w:val="18"/>
                <w:szCs w:val="18"/>
              </w:rPr>
            </w:pPr>
          </w:p>
        </w:tc>
      </w:tr>
      <w:tr w14:paraId="31882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1192371">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33E0B01">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949774A">
            <w:pPr>
              <w:widowControl/>
              <w:spacing w:line="360" w:lineRule="exact"/>
              <w:rPr>
                <w:rFonts w:ascii="宋体" w:hAnsi="宋体"/>
                <w:bCs/>
                <w:sz w:val="18"/>
                <w:szCs w:val="18"/>
              </w:rPr>
            </w:pPr>
            <w:r>
              <w:rPr>
                <w:rFonts w:hint="eastAsia" w:ascii="宋体" w:hAnsi="宋体"/>
                <w:bCs/>
                <w:sz w:val="18"/>
                <w:szCs w:val="18"/>
              </w:rPr>
              <w:t>8.2、从学校安全实际出发，经常性开展在岗人员业务培训和紧急预案演练（每月开展1次人员业务培训，每年开展2次紧急预案演练）；</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F43143F">
            <w:pPr>
              <w:spacing w:line="360" w:lineRule="exact"/>
              <w:rPr>
                <w:rFonts w:ascii="宋体" w:hAnsi="宋体"/>
                <w:sz w:val="18"/>
                <w:szCs w:val="18"/>
              </w:rPr>
            </w:pPr>
            <w:r>
              <w:rPr>
                <w:rFonts w:hint="eastAsia" w:ascii="宋体" w:hAnsi="宋体"/>
                <w:sz w:val="18"/>
                <w:szCs w:val="18"/>
              </w:rPr>
              <w:t>查看记录，缺少一次业务培训扣1分，缺少一次紧急预案演练扣2分。</w:t>
            </w: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8DD76B2">
            <w:pPr>
              <w:spacing w:line="360" w:lineRule="exact"/>
              <w:jc w:val="center"/>
              <w:rPr>
                <w:rFonts w:ascii="宋体" w:hAnsi="宋体"/>
                <w:sz w:val="18"/>
                <w:szCs w:val="18"/>
              </w:rPr>
            </w:pPr>
          </w:p>
        </w:tc>
      </w:tr>
      <w:tr w14:paraId="43C3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E558BAC">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B91CAF3">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A5F3FA3">
            <w:pPr>
              <w:widowControl/>
              <w:spacing w:line="360" w:lineRule="exact"/>
              <w:rPr>
                <w:rFonts w:ascii="宋体" w:hAnsi="宋体"/>
                <w:bCs/>
                <w:sz w:val="18"/>
                <w:szCs w:val="18"/>
              </w:rPr>
            </w:pPr>
            <w:r>
              <w:rPr>
                <w:rFonts w:hint="eastAsia" w:ascii="宋体" w:hAnsi="宋体"/>
                <w:bCs/>
                <w:sz w:val="18"/>
                <w:szCs w:val="18"/>
              </w:rPr>
              <w:t>8.3、内部管理体制健全，设立保安主管，全面负责日常保安队伍的规范化管理；</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A4026BB">
            <w:pPr>
              <w:spacing w:line="360" w:lineRule="exact"/>
              <w:rPr>
                <w:rFonts w:ascii="宋体" w:hAnsi="宋体"/>
                <w:sz w:val="18"/>
                <w:szCs w:val="18"/>
              </w:rPr>
            </w:pPr>
            <w:r>
              <w:rPr>
                <w:rFonts w:hint="eastAsia" w:ascii="宋体" w:hAnsi="宋体"/>
                <w:sz w:val="18"/>
                <w:szCs w:val="18"/>
              </w:rPr>
              <w:t>没有配置保安主管（3天以上）扣2分。15天以上没有配置保安主管的，该项目不得分。</w:t>
            </w: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7303343">
            <w:pPr>
              <w:spacing w:line="360" w:lineRule="exact"/>
              <w:jc w:val="center"/>
              <w:rPr>
                <w:rFonts w:ascii="宋体" w:hAnsi="宋体"/>
                <w:sz w:val="18"/>
                <w:szCs w:val="18"/>
              </w:rPr>
            </w:pPr>
          </w:p>
        </w:tc>
      </w:tr>
      <w:tr w14:paraId="3B4F1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CDF787D">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070B40B">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9088073">
            <w:pPr>
              <w:widowControl/>
              <w:spacing w:line="360" w:lineRule="exact"/>
              <w:rPr>
                <w:rFonts w:ascii="宋体" w:hAnsi="宋体"/>
                <w:bCs/>
                <w:sz w:val="18"/>
                <w:szCs w:val="18"/>
              </w:rPr>
            </w:pP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95D2228">
            <w:pPr>
              <w:spacing w:line="360" w:lineRule="exact"/>
              <w:rPr>
                <w:rFonts w:ascii="宋体" w:hAnsi="宋体"/>
                <w:sz w:val="18"/>
                <w:szCs w:val="18"/>
              </w:rPr>
            </w:pP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7260478">
            <w:pPr>
              <w:spacing w:line="360" w:lineRule="exact"/>
              <w:jc w:val="center"/>
              <w:rPr>
                <w:rFonts w:ascii="宋体" w:hAnsi="宋体"/>
                <w:sz w:val="18"/>
                <w:szCs w:val="18"/>
              </w:rPr>
            </w:pPr>
          </w:p>
        </w:tc>
      </w:tr>
      <w:tr w14:paraId="2883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5CAF112">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0850E6C">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27205A5">
            <w:pPr>
              <w:widowControl/>
              <w:spacing w:line="360" w:lineRule="exact"/>
              <w:rPr>
                <w:rFonts w:ascii="宋体" w:hAnsi="宋体"/>
                <w:bCs/>
                <w:sz w:val="18"/>
                <w:szCs w:val="18"/>
              </w:rPr>
            </w:pPr>
            <w:r>
              <w:rPr>
                <w:rFonts w:hint="eastAsia" w:ascii="宋体" w:hAnsi="宋体"/>
                <w:bCs/>
                <w:sz w:val="18"/>
                <w:szCs w:val="18"/>
              </w:rPr>
              <w:t>8.4、保安应聘、录用、离职等管理档案规范，手续齐全，相应资料和管理过程中所有资料必须报当地公安部门及学校保卫部门备案。</w:t>
            </w:r>
          </w:p>
        </w:tc>
        <w:tc>
          <w:tcPr>
            <w:tcW w:w="2268"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B9218FB">
            <w:pPr>
              <w:spacing w:line="360" w:lineRule="exact"/>
              <w:rPr>
                <w:rFonts w:ascii="宋体" w:hAnsi="宋体"/>
                <w:sz w:val="18"/>
                <w:szCs w:val="18"/>
              </w:rPr>
            </w:pPr>
            <w:r>
              <w:rPr>
                <w:rFonts w:hint="eastAsia" w:ascii="宋体" w:hAnsi="宋体"/>
                <w:sz w:val="18"/>
                <w:szCs w:val="18"/>
              </w:rPr>
              <w:t>管理档案不规范、手续不齐全扣0.5分。相应资料没有报主管部门备案扣2分。</w:t>
            </w:r>
          </w:p>
        </w:tc>
        <w:tc>
          <w:tcPr>
            <w:tcW w:w="676"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8F3994C">
            <w:pPr>
              <w:spacing w:line="360" w:lineRule="exact"/>
              <w:jc w:val="center"/>
              <w:rPr>
                <w:rFonts w:ascii="宋体" w:hAnsi="宋体"/>
                <w:sz w:val="18"/>
                <w:szCs w:val="18"/>
              </w:rPr>
            </w:pPr>
          </w:p>
        </w:tc>
      </w:tr>
      <w:tr w14:paraId="09B7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91A0BE9">
            <w:pPr>
              <w:spacing w:line="360" w:lineRule="exact"/>
              <w:jc w:val="center"/>
              <w:rPr>
                <w:rFonts w:ascii="宋体" w:hAnsi="宋体"/>
                <w:sz w:val="18"/>
                <w:szCs w:val="18"/>
              </w:rPr>
            </w:pPr>
            <w:r>
              <w:rPr>
                <w:rFonts w:hint="eastAsia" w:ascii="宋体" w:hAnsi="宋体"/>
                <w:sz w:val="18"/>
                <w:szCs w:val="18"/>
              </w:rPr>
              <w:t>9</w:t>
            </w:r>
          </w:p>
        </w:tc>
        <w:tc>
          <w:tcPr>
            <w:tcW w:w="992"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F44CE54">
            <w:pPr>
              <w:spacing w:line="360" w:lineRule="exact"/>
              <w:jc w:val="center"/>
              <w:rPr>
                <w:rFonts w:ascii="宋体" w:hAnsi="宋体"/>
                <w:sz w:val="18"/>
                <w:szCs w:val="18"/>
              </w:rPr>
            </w:pPr>
            <w:r>
              <w:rPr>
                <w:rFonts w:hint="eastAsia" w:ascii="宋体" w:hAnsi="宋体"/>
                <w:sz w:val="18"/>
                <w:szCs w:val="18"/>
              </w:rPr>
              <w:t>员工素质要求</w:t>
            </w:r>
          </w:p>
          <w:p w14:paraId="074AAA5F">
            <w:pPr>
              <w:spacing w:line="360" w:lineRule="exact"/>
              <w:jc w:val="center"/>
              <w:rPr>
                <w:rFonts w:ascii="宋体" w:hAnsi="宋体"/>
                <w:sz w:val="18"/>
                <w:szCs w:val="18"/>
              </w:rPr>
            </w:pPr>
            <w:r>
              <w:rPr>
                <w:rFonts w:hint="eastAsia" w:ascii="宋体" w:hAnsi="宋体"/>
                <w:sz w:val="18"/>
                <w:szCs w:val="18"/>
              </w:rPr>
              <w:t>（共10分）</w:t>
            </w: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66EB8B8">
            <w:pPr>
              <w:widowControl/>
              <w:spacing w:line="360" w:lineRule="exact"/>
              <w:rPr>
                <w:rFonts w:ascii="宋体" w:hAnsi="宋体"/>
                <w:bCs/>
                <w:sz w:val="18"/>
                <w:szCs w:val="18"/>
              </w:rPr>
            </w:pPr>
            <w:r>
              <w:rPr>
                <w:rFonts w:hint="eastAsia" w:ascii="宋体" w:hAnsi="宋体"/>
                <w:bCs/>
                <w:sz w:val="18"/>
                <w:szCs w:val="18"/>
              </w:rPr>
              <w:t>9.1、保安从业人员应知法，懂法，守法，依法办事，必须严格遵守保安从业规范，模范遵守学校内安全管理规定。</w:t>
            </w:r>
          </w:p>
        </w:tc>
        <w:tc>
          <w:tcPr>
            <w:tcW w:w="2268"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EBE6312">
            <w:pPr>
              <w:spacing w:line="360" w:lineRule="exact"/>
              <w:rPr>
                <w:rFonts w:ascii="宋体" w:hAnsi="宋体"/>
                <w:sz w:val="18"/>
                <w:szCs w:val="18"/>
              </w:rPr>
            </w:pPr>
            <w:r>
              <w:rPr>
                <w:rFonts w:hint="eastAsia" w:ascii="宋体" w:hAnsi="宋体"/>
                <w:sz w:val="18"/>
                <w:szCs w:val="18"/>
              </w:rPr>
              <w:t>不符合要求视情节轻重扣分（0.5分起）。轮换岗位的保安人数达不到要求，每超过5%扣1分（5%以内扣0.5分，5%以上不足10%按10%计算扣2分，以此递增）。人员离职不按规定告知主管部门，每人扣0.5分。</w:t>
            </w:r>
          </w:p>
        </w:tc>
        <w:tc>
          <w:tcPr>
            <w:tcW w:w="676" w:type="dxa"/>
            <w:vMerge w:val="restart"/>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7A553B2E">
            <w:pPr>
              <w:spacing w:line="360" w:lineRule="exact"/>
              <w:jc w:val="center"/>
              <w:rPr>
                <w:rFonts w:ascii="宋体" w:hAnsi="宋体"/>
                <w:sz w:val="18"/>
                <w:szCs w:val="18"/>
              </w:rPr>
            </w:pPr>
          </w:p>
        </w:tc>
      </w:tr>
      <w:tr w14:paraId="7E63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B4A2DD2">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4D6DDA19">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80F39C4">
            <w:pPr>
              <w:widowControl/>
              <w:spacing w:line="360" w:lineRule="exact"/>
              <w:rPr>
                <w:rFonts w:ascii="宋体" w:hAnsi="宋体"/>
                <w:bCs/>
                <w:sz w:val="18"/>
                <w:szCs w:val="18"/>
              </w:rPr>
            </w:pPr>
            <w:r>
              <w:rPr>
                <w:rFonts w:hint="eastAsia" w:ascii="宋体" w:hAnsi="宋体"/>
                <w:bCs/>
                <w:sz w:val="18"/>
                <w:szCs w:val="18"/>
              </w:rPr>
              <w:t>9.2、保安主管应具备专科文化程度，有较高的政治思想素养和业务水平，有较强的组织协调能力，有较强的文字功底，受过专门的保安业务培训。</w:t>
            </w:r>
          </w:p>
        </w:tc>
        <w:tc>
          <w:tcPr>
            <w:tcW w:w="2268"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11C24D2">
            <w:pPr>
              <w:widowControl/>
              <w:spacing w:line="360" w:lineRule="exact"/>
              <w:rPr>
                <w:rFonts w:ascii="宋体" w:hAnsi="宋体"/>
                <w:sz w:val="18"/>
                <w:szCs w:val="18"/>
              </w:rPr>
            </w:pP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DE6D847">
            <w:pPr>
              <w:widowControl/>
              <w:spacing w:line="360" w:lineRule="exact"/>
              <w:rPr>
                <w:rFonts w:ascii="宋体" w:hAnsi="宋体"/>
                <w:sz w:val="18"/>
                <w:szCs w:val="18"/>
              </w:rPr>
            </w:pPr>
          </w:p>
        </w:tc>
      </w:tr>
      <w:tr w14:paraId="105F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2DF939E">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5FA948B">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589F75">
            <w:pPr>
              <w:widowControl/>
              <w:spacing w:line="360" w:lineRule="exact"/>
              <w:rPr>
                <w:rFonts w:ascii="宋体" w:hAnsi="宋体"/>
                <w:bCs/>
                <w:sz w:val="18"/>
                <w:szCs w:val="18"/>
              </w:rPr>
            </w:pPr>
            <w:r>
              <w:rPr>
                <w:rFonts w:hint="eastAsia" w:ascii="宋体" w:hAnsi="宋体"/>
                <w:bCs/>
                <w:sz w:val="18"/>
                <w:szCs w:val="18"/>
              </w:rPr>
              <w:t>9.3、保安人员个人素质条件：年龄18-45岁，身高1.65米以上；女性18-45岁，身高1.55米以上，无违法犯罪记录，高中（含）以上文化程度，身体健康，没有传染病及精神病等不能控制自己行为能力的疾病病史，体貌端正，特别优秀者报安全保卫部审核同意后可以适当放宽条件。</w:t>
            </w:r>
          </w:p>
        </w:tc>
        <w:tc>
          <w:tcPr>
            <w:tcW w:w="2268"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729F41A">
            <w:pPr>
              <w:widowControl/>
              <w:spacing w:line="360" w:lineRule="exact"/>
              <w:rPr>
                <w:rFonts w:ascii="宋体" w:hAnsi="宋体"/>
                <w:sz w:val="18"/>
                <w:szCs w:val="18"/>
              </w:rPr>
            </w:pP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222AA45">
            <w:pPr>
              <w:widowControl/>
              <w:spacing w:line="360" w:lineRule="exact"/>
              <w:rPr>
                <w:rFonts w:ascii="宋体" w:hAnsi="宋体"/>
                <w:sz w:val="18"/>
                <w:szCs w:val="18"/>
              </w:rPr>
            </w:pPr>
          </w:p>
        </w:tc>
      </w:tr>
      <w:tr w14:paraId="1E4CB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FE07E07">
            <w:pPr>
              <w:widowControl/>
              <w:spacing w:line="360" w:lineRule="exact"/>
              <w:rPr>
                <w:rFonts w:ascii="宋体" w:hAnsi="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6469B713">
            <w:pPr>
              <w:widowControl/>
              <w:spacing w:line="360" w:lineRule="exact"/>
              <w:rPr>
                <w:rFonts w:ascii="宋体" w:hAnsi="宋体"/>
                <w:sz w:val="18"/>
                <w:szCs w:val="18"/>
              </w:rPr>
            </w:pPr>
          </w:p>
        </w:tc>
        <w:tc>
          <w:tcPr>
            <w:tcW w:w="4671"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1BAD7F3A">
            <w:pPr>
              <w:widowControl/>
              <w:spacing w:line="360" w:lineRule="exact"/>
              <w:rPr>
                <w:rFonts w:ascii="宋体" w:hAnsi="宋体"/>
                <w:bCs/>
                <w:sz w:val="18"/>
                <w:szCs w:val="18"/>
              </w:rPr>
            </w:pPr>
            <w:r>
              <w:rPr>
                <w:rFonts w:hint="eastAsia" w:ascii="宋体" w:hAnsi="宋体"/>
                <w:bCs/>
                <w:sz w:val="18"/>
                <w:szCs w:val="18"/>
              </w:rPr>
              <w:t>9.4、未制订奖惩方案，物质发放不及时，一次扣1-5分。</w:t>
            </w:r>
          </w:p>
        </w:tc>
        <w:tc>
          <w:tcPr>
            <w:tcW w:w="2268"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FB0628D">
            <w:pPr>
              <w:widowControl/>
              <w:spacing w:line="360" w:lineRule="exact"/>
              <w:rPr>
                <w:rFonts w:ascii="宋体" w:hAnsi="宋体"/>
                <w:sz w:val="18"/>
                <w:szCs w:val="18"/>
              </w:rPr>
            </w:pPr>
          </w:p>
        </w:tc>
        <w:tc>
          <w:tcPr>
            <w:tcW w:w="676" w:type="dxa"/>
            <w:vMerge w:val="continue"/>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5590948E">
            <w:pPr>
              <w:widowControl/>
              <w:spacing w:line="360" w:lineRule="exact"/>
              <w:rPr>
                <w:rFonts w:ascii="宋体" w:hAnsi="宋体"/>
                <w:sz w:val="18"/>
                <w:szCs w:val="18"/>
              </w:rPr>
            </w:pPr>
          </w:p>
        </w:tc>
      </w:tr>
      <w:tr w14:paraId="3632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9" w:type="dxa"/>
            <w:gridSpan w:val="3"/>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34938B3C">
            <w:pPr>
              <w:spacing w:line="360" w:lineRule="exact"/>
              <w:rPr>
                <w:rFonts w:ascii="宋体" w:hAnsi="宋体"/>
                <w:sz w:val="18"/>
                <w:szCs w:val="18"/>
              </w:rPr>
            </w:pPr>
            <w:r>
              <w:rPr>
                <w:rFonts w:hint="eastAsia" w:ascii="宋体" w:hAnsi="宋体"/>
                <w:sz w:val="18"/>
                <w:szCs w:val="18"/>
              </w:rPr>
              <w:t>得   分   总   计：</w:t>
            </w:r>
          </w:p>
        </w:tc>
        <w:tc>
          <w:tcPr>
            <w:tcW w:w="2944" w:type="dxa"/>
            <w:gridSpan w:val="2"/>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01587180">
            <w:pPr>
              <w:spacing w:line="360" w:lineRule="exact"/>
              <w:jc w:val="center"/>
              <w:rPr>
                <w:rFonts w:ascii="宋体" w:hAnsi="宋体"/>
                <w:sz w:val="18"/>
                <w:szCs w:val="18"/>
              </w:rPr>
            </w:pPr>
          </w:p>
        </w:tc>
      </w:tr>
      <w:tr w14:paraId="0F46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43" w:type="dxa"/>
            <w:gridSpan w:val="5"/>
            <w:tcBorders>
              <w:top w:val="single" w:color="auto" w:sz="4" w:space="0"/>
              <w:left w:val="single" w:color="auto" w:sz="4" w:space="0"/>
              <w:bottom w:val="single" w:color="auto" w:sz="4" w:space="0"/>
              <w:right w:val="single" w:color="auto" w:sz="4" w:space="0"/>
            </w:tcBorders>
            <w:tcMar>
              <w:left w:w="28" w:type="dxa"/>
              <w:right w:w="28" w:type="dxa"/>
            </w:tcMar>
            <w:vAlign w:val="center"/>
          </w:tcPr>
          <w:p w14:paraId="2B21EB12">
            <w:pPr>
              <w:spacing w:line="360" w:lineRule="exact"/>
              <w:rPr>
                <w:rFonts w:ascii="宋体" w:hAnsi="宋体"/>
                <w:sz w:val="18"/>
                <w:szCs w:val="18"/>
              </w:rPr>
            </w:pPr>
            <w:r>
              <w:rPr>
                <w:rFonts w:hint="eastAsia" w:ascii="宋体" w:hAnsi="宋体"/>
                <w:bCs/>
                <w:sz w:val="18"/>
                <w:szCs w:val="18"/>
              </w:rPr>
              <w:t>备  注：针对同一违规行为，若累计发生达三次及以上，自第三次起，将实施双倍扣分处罚。</w:t>
            </w:r>
          </w:p>
        </w:tc>
      </w:tr>
    </w:tbl>
    <w:p w14:paraId="052A817F">
      <w:pPr>
        <w:pStyle w:val="18"/>
        <w:rPr>
          <w:rFonts w:ascii="宋体" w:hAnsi="宋体" w:cs="宋体"/>
          <w:kern w:val="0"/>
          <w:sz w:val="21"/>
          <w:szCs w:val="21"/>
        </w:rPr>
      </w:pPr>
    </w:p>
    <w:p w14:paraId="53A45104">
      <w:pPr>
        <w:pStyle w:val="18"/>
        <w:ind w:left="630"/>
        <w:rPr>
          <w:sz w:val="30"/>
          <w:szCs w:val="30"/>
        </w:rPr>
      </w:pPr>
      <w:r>
        <w:rPr>
          <w:rFonts w:hint="eastAsia" w:ascii="宋体" w:hAnsi="宋体"/>
          <w:sz w:val="28"/>
          <w:szCs w:val="28"/>
        </w:rPr>
        <w:t>3.</w:t>
      </w:r>
      <w:r>
        <w:rPr>
          <w:rFonts w:hint="eastAsia" w:ascii="宋体" w:hAnsi="宋体"/>
          <w:sz w:val="21"/>
          <w:szCs w:val="21"/>
        </w:rPr>
        <w:t>保洁消杀服务</w:t>
      </w:r>
      <w:r>
        <w:rPr>
          <w:rFonts w:hint="eastAsia" w:ascii="宋体" w:hAnsi="宋体" w:cs="宋体"/>
          <w:kern w:val="0"/>
          <w:sz w:val="21"/>
          <w:szCs w:val="21"/>
        </w:rPr>
        <w:t>完成状况量化考评表</w:t>
      </w:r>
      <w:r>
        <w:rPr>
          <w:rFonts w:hint="eastAsia" w:ascii="宋体" w:hAnsi="宋体"/>
          <w:sz w:val="21"/>
          <w:szCs w:val="21"/>
        </w:rPr>
        <w:t>（总分100分）</w:t>
      </w:r>
    </w:p>
    <w:tbl>
      <w:tblPr>
        <w:tblStyle w:val="4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63"/>
        <w:gridCol w:w="472"/>
        <w:gridCol w:w="2690"/>
        <w:gridCol w:w="528"/>
        <w:gridCol w:w="1049"/>
        <w:gridCol w:w="916"/>
        <w:gridCol w:w="845"/>
        <w:gridCol w:w="806"/>
      </w:tblGrid>
      <w:tr w14:paraId="25B9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9" w:hRule="atLeast"/>
          <w:tblHeader/>
        </w:trPr>
        <w:tc>
          <w:tcPr>
            <w:tcW w:w="180" w:type="pct"/>
            <w:vAlign w:val="center"/>
          </w:tcPr>
          <w:p w14:paraId="75A00063">
            <w:pPr>
              <w:spacing w:line="240" w:lineRule="atLeast"/>
              <w:jc w:val="center"/>
              <w:rPr>
                <w:rFonts w:ascii="宋体" w:hAnsi="宋体"/>
                <w:bCs/>
                <w:szCs w:val="21"/>
              </w:rPr>
            </w:pPr>
            <w:r>
              <w:rPr>
                <w:rFonts w:hint="eastAsia" w:ascii="宋体" w:hAnsi="宋体"/>
                <w:bCs/>
                <w:szCs w:val="21"/>
              </w:rPr>
              <w:t>序号</w:t>
            </w:r>
          </w:p>
        </w:tc>
        <w:tc>
          <w:tcPr>
            <w:tcW w:w="349" w:type="pct"/>
            <w:vAlign w:val="center"/>
          </w:tcPr>
          <w:p w14:paraId="50BCAF94">
            <w:pPr>
              <w:spacing w:line="240" w:lineRule="atLeast"/>
              <w:jc w:val="center"/>
              <w:rPr>
                <w:rFonts w:ascii="宋体" w:hAnsi="宋体"/>
                <w:bCs/>
                <w:szCs w:val="21"/>
              </w:rPr>
            </w:pPr>
            <w:r>
              <w:rPr>
                <w:rFonts w:hint="eastAsia" w:ascii="宋体" w:hAnsi="宋体"/>
                <w:bCs/>
                <w:szCs w:val="21"/>
              </w:rPr>
              <w:t>检查考</w:t>
            </w:r>
          </w:p>
          <w:p w14:paraId="71365623">
            <w:pPr>
              <w:spacing w:line="240" w:lineRule="atLeast"/>
              <w:jc w:val="center"/>
              <w:rPr>
                <w:rFonts w:ascii="宋体" w:hAnsi="宋体"/>
                <w:bCs/>
                <w:szCs w:val="21"/>
              </w:rPr>
            </w:pPr>
            <w:r>
              <w:rPr>
                <w:rFonts w:hint="eastAsia" w:ascii="宋体" w:hAnsi="宋体"/>
                <w:bCs/>
                <w:szCs w:val="21"/>
              </w:rPr>
              <w:t>核项目</w:t>
            </w:r>
          </w:p>
        </w:tc>
        <w:tc>
          <w:tcPr>
            <w:tcW w:w="294" w:type="pct"/>
            <w:vAlign w:val="center"/>
          </w:tcPr>
          <w:p w14:paraId="251582D4">
            <w:pPr>
              <w:spacing w:line="240" w:lineRule="atLeast"/>
              <w:jc w:val="center"/>
              <w:rPr>
                <w:rFonts w:ascii="宋体" w:hAnsi="宋体"/>
                <w:bCs/>
                <w:szCs w:val="21"/>
              </w:rPr>
            </w:pPr>
            <w:r>
              <w:rPr>
                <w:rFonts w:hint="eastAsia" w:ascii="宋体" w:hAnsi="宋体"/>
                <w:bCs/>
                <w:szCs w:val="21"/>
              </w:rPr>
              <w:t>标准分值</w:t>
            </w:r>
          </w:p>
        </w:tc>
        <w:tc>
          <w:tcPr>
            <w:tcW w:w="1631" w:type="pct"/>
            <w:vAlign w:val="center"/>
          </w:tcPr>
          <w:p w14:paraId="6FDACFDB">
            <w:pPr>
              <w:spacing w:line="240" w:lineRule="atLeast"/>
              <w:jc w:val="center"/>
              <w:rPr>
                <w:rFonts w:ascii="宋体" w:hAnsi="宋体"/>
                <w:bCs/>
                <w:szCs w:val="21"/>
              </w:rPr>
            </w:pPr>
            <w:r>
              <w:rPr>
                <w:rFonts w:hint="eastAsia" w:ascii="宋体" w:hAnsi="宋体"/>
                <w:bCs/>
                <w:szCs w:val="21"/>
              </w:rPr>
              <w:t>检查考核评分标准</w:t>
            </w:r>
          </w:p>
        </w:tc>
        <w:tc>
          <w:tcPr>
            <w:tcW w:w="328" w:type="pct"/>
            <w:vAlign w:val="center"/>
          </w:tcPr>
          <w:p w14:paraId="0F290734">
            <w:pPr>
              <w:spacing w:line="240" w:lineRule="atLeast"/>
              <w:jc w:val="center"/>
              <w:rPr>
                <w:rFonts w:ascii="宋体" w:hAnsi="宋体"/>
                <w:bCs/>
                <w:szCs w:val="21"/>
              </w:rPr>
            </w:pPr>
            <w:r>
              <w:rPr>
                <w:rFonts w:hint="eastAsia" w:ascii="宋体" w:hAnsi="宋体"/>
                <w:bCs/>
                <w:szCs w:val="21"/>
              </w:rPr>
              <w:t>比例分值</w:t>
            </w:r>
          </w:p>
        </w:tc>
        <w:tc>
          <w:tcPr>
            <w:tcW w:w="642" w:type="pct"/>
            <w:vAlign w:val="center"/>
          </w:tcPr>
          <w:p w14:paraId="04E4D8D1">
            <w:pPr>
              <w:spacing w:line="240" w:lineRule="atLeast"/>
              <w:jc w:val="center"/>
              <w:rPr>
                <w:rFonts w:ascii="宋体" w:hAnsi="宋体"/>
                <w:bCs/>
                <w:szCs w:val="21"/>
              </w:rPr>
            </w:pPr>
            <w:r>
              <w:rPr>
                <w:rFonts w:hint="eastAsia" w:ascii="宋体" w:hAnsi="宋体"/>
                <w:bCs/>
                <w:szCs w:val="21"/>
              </w:rPr>
              <w:t>扣分标准</w:t>
            </w:r>
          </w:p>
        </w:tc>
        <w:tc>
          <w:tcPr>
            <w:tcW w:w="559" w:type="pct"/>
            <w:vAlign w:val="center"/>
          </w:tcPr>
          <w:p w14:paraId="2F86F56C">
            <w:pPr>
              <w:spacing w:line="240" w:lineRule="atLeast"/>
              <w:jc w:val="center"/>
              <w:rPr>
                <w:rFonts w:ascii="宋体" w:hAnsi="宋体"/>
                <w:bCs/>
                <w:szCs w:val="21"/>
              </w:rPr>
            </w:pPr>
            <w:r>
              <w:rPr>
                <w:rFonts w:hint="eastAsia" w:ascii="宋体" w:hAnsi="宋体"/>
                <w:bCs/>
                <w:szCs w:val="21"/>
              </w:rPr>
              <w:t>评分方法</w:t>
            </w:r>
          </w:p>
        </w:tc>
        <w:tc>
          <w:tcPr>
            <w:tcW w:w="519" w:type="pct"/>
            <w:vAlign w:val="center"/>
          </w:tcPr>
          <w:p w14:paraId="6F4B1562">
            <w:pPr>
              <w:spacing w:line="240" w:lineRule="atLeast"/>
              <w:jc w:val="center"/>
              <w:rPr>
                <w:rFonts w:ascii="宋体" w:hAnsi="宋体"/>
                <w:bCs/>
                <w:szCs w:val="21"/>
              </w:rPr>
            </w:pPr>
            <w:r>
              <w:rPr>
                <w:rFonts w:hint="eastAsia" w:ascii="宋体" w:hAnsi="宋体"/>
                <w:bCs/>
                <w:szCs w:val="21"/>
              </w:rPr>
              <w:t>扣分</w:t>
            </w:r>
          </w:p>
        </w:tc>
        <w:tc>
          <w:tcPr>
            <w:tcW w:w="494" w:type="pct"/>
            <w:vAlign w:val="center"/>
          </w:tcPr>
          <w:p w14:paraId="3989656A">
            <w:pPr>
              <w:spacing w:line="240" w:lineRule="atLeast"/>
              <w:jc w:val="center"/>
              <w:rPr>
                <w:rFonts w:ascii="宋体" w:hAnsi="宋体"/>
                <w:bCs/>
                <w:szCs w:val="21"/>
              </w:rPr>
            </w:pPr>
            <w:r>
              <w:rPr>
                <w:rFonts w:hint="eastAsia" w:ascii="宋体" w:hAnsi="宋体"/>
                <w:bCs/>
                <w:szCs w:val="21"/>
              </w:rPr>
              <w:t>得分</w:t>
            </w:r>
          </w:p>
        </w:tc>
      </w:tr>
      <w:tr w14:paraId="742B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Align w:val="center"/>
          </w:tcPr>
          <w:p w14:paraId="434CBB8B">
            <w:pPr>
              <w:jc w:val="center"/>
              <w:rPr>
                <w:rFonts w:ascii="宋体" w:hAnsi="宋体"/>
                <w:bCs/>
                <w:sz w:val="18"/>
                <w:szCs w:val="18"/>
              </w:rPr>
            </w:pPr>
            <w:r>
              <w:rPr>
                <w:rFonts w:hint="eastAsia" w:ascii="宋体" w:hAnsi="宋体"/>
                <w:bCs/>
                <w:sz w:val="18"/>
                <w:szCs w:val="18"/>
              </w:rPr>
              <w:t>一</w:t>
            </w:r>
          </w:p>
        </w:tc>
        <w:tc>
          <w:tcPr>
            <w:tcW w:w="349" w:type="pct"/>
            <w:vAlign w:val="center"/>
          </w:tcPr>
          <w:p w14:paraId="054B594C">
            <w:pPr>
              <w:jc w:val="center"/>
              <w:rPr>
                <w:rFonts w:ascii="宋体" w:hAnsi="宋体"/>
                <w:bCs/>
                <w:szCs w:val="21"/>
              </w:rPr>
            </w:pPr>
            <w:r>
              <w:rPr>
                <w:rFonts w:hint="eastAsia" w:ascii="宋体" w:hAnsi="宋体"/>
                <w:bCs/>
                <w:szCs w:val="21"/>
              </w:rPr>
              <w:t>工作规章制度</w:t>
            </w:r>
          </w:p>
        </w:tc>
        <w:tc>
          <w:tcPr>
            <w:tcW w:w="294" w:type="pct"/>
            <w:vAlign w:val="center"/>
          </w:tcPr>
          <w:p w14:paraId="4B0E7CB2">
            <w:pPr>
              <w:jc w:val="center"/>
              <w:rPr>
                <w:rFonts w:ascii="宋体" w:hAnsi="宋体"/>
                <w:bCs/>
                <w:sz w:val="18"/>
                <w:szCs w:val="18"/>
              </w:rPr>
            </w:pPr>
            <w:r>
              <w:rPr>
                <w:rFonts w:hint="eastAsia" w:ascii="宋体" w:hAnsi="宋体"/>
                <w:bCs/>
                <w:sz w:val="18"/>
                <w:szCs w:val="18"/>
              </w:rPr>
              <w:t>20</w:t>
            </w:r>
          </w:p>
        </w:tc>
        <w:tc>
          <w:tcPr>
            <w:tcW w:w="1631" w:type="pct"/>
            <w:vAlign w:val="center"/>
          </w:tcPr>
          <w:p w14:paraId="38946A39">
            <w:pPr>
              <w:widowControl/>
              <w:rPr>
                <w:rFonts w:ascii="宋体" w:hAnsi="宋体" w:cs="宋体"/>
                <w:bCs/>
                <w:kern w:val="0"/>
                <w:sz w:val="18"/>
                <w:szCs w:val="18"/>
              </w:rPr>
            </w:pPr>
            <w:r>
              <w:rPr>
                <w:rFonts w:hint="eastAsia" w:ascii="宋体" w:hAnsi="宋体" w:cs="宋体"/>
                <w:bCs/>
                <w:kern w:val="0"/>
                <w:sz w:val="18"/>
                <w:szCs w:val="18"/>
              </w:rPr>
              <w:t>①制订保洁绿化养护服务工作计划，提供切实可行的保洁、绿化养护服务的实施方案、作业标准和具体措施并组织实施。②各种管理台帐健全，管理资料齐备，条目清晰，标识齐全，分类明确，易于查找</w:t>
            </w:r>
          </w:p>
        </w:tc>
        <w:tc>
          <w:tcPr>
            <w:tcW w:w="328" w:type="pct"/>
            <w:vAlign w:val="center"/>
          </w:tcPr>
          <w:p w14:paraId="68756B56">
            <w:pPr>
              <w:widowControl/>
              <w:jc w:val="center"/>
              <w:rPr>
                <w:rFonts w:ascii="宋体" w:hAnsi="宋体" w:cs="宋体"/>
                <w:bCs/>
                <w:kern w:val="0"/>
                <w:sz w:val="18"/>
                <w:szCs w:val="18"/>
              </w:rPr>
            </w:pPr>
            <w:r>
              <w:rPr>
                <w:rFonts w:hint="eastAsia" w:ascii="宋体" w:hAnsi="宋体" w:cs="宋体"/>
                <w:bCs/>
                <w:kern w:val="0"/>
                <w:sz w:val="18"/>
                <w:szCs w:val="18"/>
              </w:rPr>
              <w:t>20</w:t>
            </w:r>
          </w:p>
        </w:tc>
        <w:tc>
          <w:tcPr>
            <w:tcW w:w="642" w:type="pct"/>
            <w:vAlign w:val="center"/>
          </w:tcPr>
          <w:p w14:paraId="7546CF81">
            <w:pPr>
              <w:rPr>
                <w:rFonts w:ascii="宋体" w:hAnsi="宋体"/>
                <w:bCs/>
                <w:sz w:val="18"/>
                <w:szCs w:val="18"/>
              </w:rPr>
            </w:pPr>
            <w:r>
              <w:rPr>
                <w:rFonts w:hint="eastAsia" w:ascii="宋体" w:hAnsi="宋体" w:cs="宋体"/>
                <w:bCs/>
                <w:kern w:val="0"/>
                <w:sz w:val="18"/>
                <w:szCs w:val="18"/>
              </w:rPr>
              <w:t>未提供切实可行的运行管理、维护保养实施方案的，扣20分；未提供管理台账的，因工作不力视后果酌情扣分（2分起）</w:t>
            </w:r>
          </w:p>
        </w:tc>
        <w:tc>
          <w:tcPr>
            <w:tcW w:w="559" w:type="pct"/>
            <w:vAlign w:val="center"/>
          </w:tcPr>
          <w:p w14:paraId="549A4FDF">
            <w:pPr>
              <w:jc w:val="center"/>
              <w:rPr>
                <w:rFonts w:ascii="宋体" w:hAnsi="宋体"/>
                <w:bCs/>
                <w:sz w:val="18"/>
                <w:szCs w:val="18"/>
              </w:rPr>
            </w:pPr>
            <w:r>
              <w:rPr>
                <w:rFonts w:hint="eastAsia" w:ascii="宋体" w:hAnsi="宋体"/>
                <w:bCs/>
                <w:sz w:val="18"/>
                <w:szCs w:val="18"/>
              </w:rPr>
              <w:t>现场查阅管理文件资料</w:t>
            </w:r>
          </w:p>
        </w:tc>
        <w:tc>
          <w:tcPr>
            <w:tcW w:w="519" w:type="pct"/>
            <w:vAlign w:val="center"/>
          </w:tcPr>
          <w:p w14:paraId="1BA90CF4">
            <w:pPr>
              <w:jc w:val="center"/>
              <w:rPr>
                <w:rFonts w:ascii="宋体" w:hAnsi="宋体"/>
                <w:bCs/>
                <w:sz w:val="18"/>
                <w:szCs w:val="18"/>
              </w:rPr>
            </w:pPr>
          </w:p>
        </w:tc>
        <w:tc>
          <w:tcPr>
            <w:tcW w:w="494" w:type="pct"/>
            <w:vAlign w:val="center"/>
          </w:tcPr>
          <w:p w14:paraId="37CBED4C">
            <w:pPr>
              <w:jc w:val="center"/>
              <w:rPr>
                <w:rFonts w:ascii="宋体" w:hAnsi="宋体"/>
                <w:bCs/>
                <w:sz w:val="18"/>
                <w:szCs w:val="18"/>
              </w:rPr>
            </w:pPr>
          </w:p>
        </w:tc>
      </w:tr>
      <w:tr w14:paraId="6F8C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restart"/>
            <w:vAlign w:val="center"/>
          </w:tcPr>
          <w:p w14:paraId="4537FD3C">
            <w:pPr>
              <w:jc w:val="center"/>
              <w:rPr>
                <w:rFonts w:ascii="宋体" w:hAnsi="宋体"/>
                <w:bCs/>
                <w:sz w:val="18"/>
                <w:szCs w:val="18"/>
              </w:rPr>
            </w:pPr>
            <w:r>
              <w:rPr>
                <w:rFonts w:hint="eastAsia" w:ascii="宋体" w:hAnsi="宋体"/>
                <w:bCs/>
                <w:sz w:val="18"/>
                <w:szCs w:val="18"/>
              </w:rPr>
              <w:t>二</w:t>
            </w:r>
          </w:p>
        </w:tc>
        <w:tc>
          <w:tcPr>
            <w:tcW w:w="349" w:type="pct"/>
            <w:vMerge w:val="restart"/>
            <w:vAlign w:val="center"/>
          </w:tcPr>
          <w:p w14:paraId="0ADABA33">
            <w:pPr>
              <w:jc w:val="center"/>
              <w:rPr>
                <w:rFonts w:ascii="宋体" w:hAnsi="宋体"/>
                <w:bCs/>
                <w:szCs w:val="21"/>
              </w:rPr>
            </w:pPr>
            <w:r>
              <w:rPr>
                <w:rFonts w:hint="eastAsia" w:ascii="宋体" w:hAnsi="宋体"/>
                <w:bCs/>
                <w:szCs w:val="21"/>
              </w:rPr>
              <w:t>卫生保洁作业频率</w:t>
            </w:r>
          </w:p>
        </w:tc>
        <w:tc>
          <w:tcPr>
            <w:tcW w:w="294" w:type="pct"/>
            <w:vMerge w:val="restart"/>
            <w:vAlign w:val="center"/>
          </w:tcPr>
          <w:p w14:paraId="776B615E">
            <w:pPr>
              <w:jc w:val="center"/>
              <w:rPr>
                <w:rFonts w:ascii="宋体" w:hAnsi="宋体"/>
                <w:bCs/>
                <w:sz w:val="18"/>
                <w:szCs w:val="18"/>
              </w:rPr>
            </w:pPr>
            <w:r>
              <w:rPr>
                <w:rFonts w:hint="eastAsia" w:ascii="宋体" w:hAnsi="宋体"/>
                <w:bCs/>
                <w:sz w:val="18"/>
                <w:szCs w:val="18"/>
              </w:rPr>
              <w:t>24</w:t>
            </w:r>
          </w:p>
        </w:tc>
        <w:tc>
          <w:tcPr>
            <w:tcW w:w="1631" w:type="pct"/>
            <w:vAlign w:val="center"/>
          </w:tcPr>
          <w:p w14:paraId="34E764FA">
            <w:pPr>
              <w:rPr>
                <w:rFonts w:ascii="宋体" w:hAnsi="宋体"/>
                <w:bCs/>
                <w:sz w:val="18"/>
                <w:szCs w:val="18"/>
              </w:rPr>
            </w:pPr>
            <w:r>
              <w:rPr>
                <w:rFonts w:hint="eastAsia" w:ascii="宋体" w:hAnsi="宋体"/>
                <w:bCs/>
                <w:sz w:val="18"/>
                <w:szCs w:val="18"/>
              </w:rPr>
              <w:t>楼道清洁：每日清扫1次，清运垃圾2次，拖抹1次。</w:t>
            </w:r>
          </w:p>
        </w:tc>
        <w:tc>
          <w:tcPr>
            <w:tcW w:w="328" w:type="pct"/>
            <w:vAlign w:val="center"/>
          </w:tcPr>
          <w:p w14:paraId="2A22534A">
            <w:pPr>
              <w:jc w:val="center"/>
              <w:rPr>
                <w:rFonts w:ascii="宋体" w:hAnsi="宋体"/>
                <w:bCs/>
                <w:sz w:val="18"/>
                <w:szCs w:val="18"/>
              </w:rPr>
            </w:pPr>
            <w:r>
              <w:rPr>
                <w:rFonts w:ascii="宋体" w:hAnsi="宋体"/>
                <w:bCs/>
                <w:sz w:val="18"/>
                <w:szCs w:val="18"/>
              </w:rPr>
              <w:t>2</w:t>
            </w:r>
          </w:p>
        </w:tc>
        <w:tc>
          <w:tcPr>
            <w:tcW w:w="642" w:type="pct"/>
            <w:vMerge w:val="restart"/>
            <w:vAlign w:val="center"/>
          </w:tcPr>
          <w:p w14:paraId="3045BA1D">
            <w:pPr>
              <w:rPr>
                <w:rFonts w:ascii="宋体" w:hAnsi="宋体"/>
                <w:bCs/>
                <w:sz w:val="18"/>
                <w:szCs w:val="18"/>
              </w:rPr>
            </w:pPr>
            <w:r>
              <w:rPr>
                <w:rFonts w:hint="eastAsia" w:ascii="宋体" w:hAnsi="宋体"/>
                <w:bCs/>
                <w:sz w:val="18"/>
                <w:szCs w:val="18"/>
              </w:rPr>
              <w:t>缺失一项扣2分，直至扣完为止。</w:t>
            </w:r>
          </w:p>
        </w:tc>
        <w:tc>
          <w:tcPr>
            <w:tcW w:w="559" w:type="pct"/>
            <w:vMerge w:val="restart"/>
            <w:vAlign w:val="center"/>
          </w:tcPr>
          <w:p w14:paraId="43A6E36D">
            <w:pPr>
              <w:jc w:val="center"/>
              <w:rPr>
                <w:rFonts w:ascii="宋体" w:hAnsi="宋体"/>
                <w:bCs/>
                <w:sz w:val="18"/>
                <w:szCs w:val="18"/>
              </w:rPr>
            </w:pPr>
            <w:r>
              <w:rPr>
                <w:rFonts w:hint="eastAsia" w:ascii="宋体" w:hAnsi="宋体"/>
                <w:bCs/>
                <w:sz w:val="18"/>
                <w:szCs w:val="18"/>
              </w:rPr>
              <w:t>现场检查</w:t>
            </w:r>
          </w:p>
          <w:p w14:paraId="37A3DF11">
            <w:pPr>
              <w:jc w:val="center"/>
              <w:rPr>
                <w:rFonts w:ascii="宋体" w:hAnsi="宋体"/>
                <w:bCs/>
                <w:sz w:val="18"/>
                <w:szCs w:val="18"/>
              </w:rPr>
            </w:pPr>
            <w:r>
              <w:rPr>
                <w:rFonts w:hint="eastAsia" w:ascii="宋体" w:hAnsi="宋体"/>
                <w:bCs/>
                <w:sz w:val="18"/>
                <w:szCs w:val="18"/>
              </w:rPr>
              <w:t>及查看工作日志和记录</w:t>
            </w:r>
          </w:p>
        </w:tc>
        <w:tc>
          <w:tcPr>
            <w:tcW w:w="519" w:type="pct"/>
            <w:vAlign w:val="center"/>
          </w:tcPr>
          <w:p w14:paraId="26D83B01">
            <w:pPr>
              <w:jc w:val="center"/>
              <w:rPr>
                <w:rFonts w:ascii="宋体" w:hAnsi="宋体"/>
                <w:bCs/>
                <w:sz w:val="18"/>
                <w:szCs w:val="18"/>
              </w:rPr>
            </w:pPr>
          </w:p>
        </w:tc>
        <w:tc>
          <w:tcPr>
            <w:tcW w:w="494" w:type="pct"/>
            <w:vAlign w:val="center"/>
          </w:tcPr>
          <w:p w14:paraId="77472044">
            <w:pPr>
              <w:jc w:val="center"/>
              <w:rPr>
                <w:rFonts w:ascii="宋体" w:hAnsi="宋体"/>
                <w:bCs/>
                <w:sz w:val="18"/>
                <w:szCs w:val="18"/>
              </w:rPr>
            </w:pPr>
          </w:p>
        </w:tc>
      </w:tr>
      <w:tr w14:paraId="36B8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302AB391">
            <w:pPr>
              <w:jc w:val="center"/>
              <w:rPr>
                <w:rFonts w:ascii="宋体" w:hAnsi="宋体"/>
                <w:bCs/>
                <w:sz w:val="18"/>
                <w:szCs w:val="18"/>
              </w:rPr>
            </w:pPr>
          </w:p>
        </w:tc>
        <w:tc>
          <w:tcPr>
            <w:tcW w:w="349" w:type="pct"/>
            <w:vMerge w:val="continue"/>
            <w:vAlign w:val="center"/>
          </w:tcPr>
          <w:p w14:paraId="307C1621">
            <w:pPr>
              <w:jc w:val="center"/>
              <w:rPr>
                <w:rFonts w:ascii="宋体" w:hAnsi="宋体"/>
                <w:bCs/>
                <w:szCs w:val="21"/>
              </w:rPr>
            </w:pPr>
          </w:p>
        </w:tc>
        <w:tc>
          <w:tcPr>
            <w:tcW w:w="294" w:type="pct"/>
            <w:vMerge w:val="continue"/>
            <w:vAlign w:val="center"/>
          </w:tcPr>
          <w:p w14:paraId="6FB426A0">
            <w:pPr>
              <w:jc w:val="center"/>
              <w:rPr>
                <w:rFonts w:ascii="宋体" w:hAnsi="宋体"/>
                <w:bCs/>
                <w:sz w:val="18"/>
                <w:szCs w:val="18"/>
              </w:rPr>
            </w:pPr>
          </w:p>
        </w:tc>
        <w:tc>
          <w:tcPr>
            <w:tcW w:w="1631" w:type="pct"/>
            <w:vAlign w:val="center"/>
          </w:tcPr>
          <w:p w14:paraId="09502ED3">
            <w:pPr>
              <w:rPr>
                <w:rFonts w:ascii="宋体" w:hAnsi="宋体"/>
                <w:bCs/>
                <w:sz w:val="18"/>
                <w:szCs w:val="18"/>
              </w:rPr>
            </w:pPr>
            <w:r>
              <w:rPr>
                <w:rFonts w:hint="eastAsia" w:ascii="宋体" w:hAnsi="宋体"/>
                <w:bCs/>
                <w:sz w:val="18"/>
                <w:szCs w:val="18"/>
              </w:rPr>
              <w:t>楼梯扶手、栏杆清洁：①扶手每日擦抹2次。②栏杆每日擦抹1次。</w:t>
            </w:r>
          </w:p>
        </w:tc>
        <w:tc>
          <w:tcPr>
            <w:tcW w:w="328" w:type="pct"/>
            <w:vAlign w:val="center"/>
          </w:tcPr>
          <w:p w14:paraId="442C13C1">
            <w:pPr>
              <w:jc w:val="center"/>
              <w:rPr>
                <w:rFonts w:ascii="宋体" w:hAnsi="宋体"/>
                <w:bCs/>
                <w:sz w:val="18"/>
                <w:szCs w:val="18"/>
              </w:rPr>
            </w:pPr>
            <w:r>
              <w:rPr>
                <w:rFonts w:ascii="宋体" w:hAnsi="宋体"/>
                <w:bCs/>
                <w:sz w:val="18"/>
                <w:szCs w:val="18"/>
              </w:rPr>
              <w:t>2</w:t>
            </w:r>
          </w:p>
        </w:tc>
        <w:tc>
          <w:tcPr>
            <w:tcW w:w="642" w:type="pct"/>
            <w:vMerge w:val="continue"/>
            <w:vAlign w:val="center"/>
          </w:tcPr>
          <w:p w14:paraId="1231E8A3">
            <w:pPr>
              <w:rPr>
                <w:rFonts w:ascii="宋体" w:hAnsi="宋体"/>
                <w:bCs/>
                <w:sz w:val="18"/>
                <w:szCs w:val="18"/>
              </w:rPr>
            </w:pPr>
          </w:p>
        </w:tc>
        <w:tc>
          <w:tcPr>
            <w:tcW w:w="559" w:type="pct"/>
            <w:vMerge w:val="continue"/>
            <w:vAlign w:val="center"/>
          </w:tcPr>
          <w:p w14:paraId="4991DDEA">
            <w:pPr>
              <w:jc w:val="center"/>
              <w:rPr>
                <w:rFonts w:ascii="宋体" w:hAnsi="宋体"/>
                <w:bCs/>
                <w:sz w:val="18"/>
                <w:szCs w:val="18"/>
              </w:rPr>
            </w:pPr>
          </w:p>
        </w:tc>
        <w:tc>
          <w:tcPr>
            <w:tcW w:w="519" w:type="pct"/>
            <w:vAlign w:val="center"/>
          </w:tcPr>
          <w:p w14:paraId="01E8A74C">
            <w:pPr>
              <w:jc w:val="center"/>
              <w:rPr>
                <w:rFonts w:ascii="宋体" w:hAnsi="宋体"/>
                <w:bCs/>
                <w:sz w:val="18"/>
                <w:szCs w:val="18"/>
              </w:rPr>
            </w:pPr>
          </w:p>
        </w:tc>
        <w:tc>
          <w:tcPr>
            <w:tcW w:w="494" w:type="pct"/>
            <w:vAlign w:val="center"/>
          </w:tcPr>
          <w:p w14:paraId="16DFC89E">
            <w:pPr>
              <w:jc w:val="center"/>
              <w:rPr>
                <w:rFonts w:ascii="宋体" w:hAnsi="宋体"/>
                <w:bCs/>
                <w:sz w:val="18"/>
                <w:szCs w:val="18"/>
              </w:rPr>
            </w:pPr>
          </w:p>
        </w:tc>
      </w:tr>
      <w:tr w14:paraId="1494B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295A05CA">
            <w:pPr>
              <w:jc w:val="center"/>
              <w:rPr>
                <w:rFonts w:ascii="宋体" w:hAnsi="宋体"/>
                <w:bCs/>
                <w:sz w:val="18"/>
                <w:szCs w:val="18"/>
              </w:rPr>
            </w:pPr>
          </w:p>
        </w:tc>
        <w:tc>
          <w:tcPr>
            <w:tcW w:w="349" w:type="pct"/>
            <w:vMerge w:val="continue"/>
            <w:vAlign w:val="center"/>
          </w:tcPr>
          <w:p w14:paraId="188A2408">
            <w:pPr>
              <w:jc w:val="center"/>
              <w:rPr>
                <w:rFonts w:ascii="宋体" w:hAnsi="宋体"/>
                <w:bCs/>
                <w:szCs w:val="21"/>
              </w:rPr>
            </w:pPr>
          </w:p>
        </w:tc>
        <w:tc>
          <w:tcPr>
            <w:tcW w:w="294" w:type="pct"/>
            <w:vMerge w:val="continue"/>
            <w:vAlign w:val="center"/>
          </w:tcPr>
          <w:p w14:paraId="65D65D16">
            <w:pPr>
              <w:jc w:val="center"/>
              <w:rPr>
                <w:rFonts w:ascii="宋体" w:hAnsi="宋体"/>
                <w:bCs/>
                <w:sz w:val="18"/>
                <w:szCs w:val="18"/>
              </w:rPr>
            </w:pPr>
          </w:p>
        </w:tc>
        <w:tc>
          <w:tcPr>
            <w:tcW w:w="1631" w:type="pct"/>
            <w:vAlign w:val="center"/>
          </w:tcPr>
          <w:p w14:paraId="43D5BC6D">
            <w:pPr>
              <w:rPr>
                <w:rFonts w:ascii="宋体" w:hAnsi="宋体"/>
                <w:bCs/>
                <w:sz w:val="18"/>
                <w:szCs w:val="18"/>
              </w:rPr>
            </w:pPr>
            <w:r>
              <w:rPr>
                <w:rFonts w:hint="eastAsia" w:ascii="宋体" w:hAnsi="宋体"/>
                <w:bCs/>
                <w:sz w:val="18"/>
                <w:szCs w:val="18"/>
              </w:rPr>
              <w:t>大厅：每日拖扫2次，每月打磨1次。</w:t>
            </w:r>
          </w:p>
        </w:tc>
        <w:tc>
          <w:tcPr>
            <w:tcW w:w="328" w:type="pct"/>
            <w:vAlign w:val="center"/>
          </w:tcPr>
          <w:p w14:paraId="1B06D1EB">
            <w:pPr>
              <w:jc w:val="center"/>
              <w:rPr>
                <w:rFonts w:ascii="宋体" w:hAnsi="宋体"/>
                <w:bCs/>
                <w:sz w:val="18"/>
                <w:szCs w:val="18"/>
              </w:rPr>
            </w:pPr>
            <w:r>
              <w:rPr>
                <w:rFonts w:ascii="宋体" w:hAnsi="宋体"/>
                <w:bCs/>
                <w:sz w:val="18"/>
                <w:szCs w:val="18"/>
              </w:rPr>
              <w:t>2</w:t>
            </w:r>
          </w:p>
        </w:tc>
        <w:tc>
          <w:tcPr>
            <w:tcW w:w="642" w:type="pct"/>
            <w:vMerge w:val="continue"/>
            <w:vAlign w:val="center"/>
          </w:tcPr>
          <w:p w14:paraId="663619F0">
            <w:pPr>
              <w:rPr>
                <w:rFonts w:ascii="宋体" w:hAnsi="宋体"/>
                <w:bCs/>
                <w:sz w:val="18"/>
                <w:szCs w:val="18"/>
              </w:rPr>
            </w:pPr>
          </w:p>
        </w:tc>
        <w:tc>
          <w:tcPr>
            <w:tcW w:w="559" w:type="pct"/>
            <w:vMerge w:val="continue"/>
            <w:vAlign w:val="center"/>
          </w:tcPr>
          <w:p w14:paraId="4ABB8EF9">
            <w:pPr>
              <w:jc w:val="center"/>
              <w:rPr>
                <w:rFonts w:ascii="宋体" w:hAnsi="宋体"/>
                <w:bCs/>
                <w:sz w:val="18"/>
                <w:szCs w:val="18"/>
              </w:rPr>
            </w:pPr>
          </w:p>
        </w:tc>
        <w:tc>
          <w:tcPr>
            <w:tcW w:w="519" w:type="pct"/>
            <w:vAlign w:val="center"/>
          </w:tcPr>
          <w:p w14:paraId="0FE17515">
            <w:pPr>
              <w:jc w:val="center"/>
              <w:rPr>
                <w:rFonts w:ascii="宋体" w:hAnsi="宋体"/>
                <w:bCs/>
                <w:sz w:val="18"/>
                <w:szCs w:val="18"/>
              </w:rPr>
            </w:pPr>
          </w:p>
        </w:tc>
        <w:tc>
          <w:tcPr>
            <w:tcW w:w="494" w:type="pct"/>
            <w:vAlign w:val="center"/>
          </w:tcPr>
          <w:p w14:paraId="7EFE0D3E">
            <w:pPr>
              <w:jc w:val="center"/>
              <w:rPr>
                <w:rFonts w:ascii="宋体" w:hAnsi="宋体"/>
                <w:bCs/>
                <w:sz w:val="18"/>
                <w:szCs w:val="18"/>
              </w:rPr>
            </w:pPr>
          </w:p>
        </w:tc>
      </w:tr>
      <w:tr w14:paraId="4F84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72EEB575">
            <w:pPr>
              <w:jc w:val="center"/>
              <w:rPr>
                <w:rFonts w:ascii="宋体" w:hAnsi="宋体"/>
                <w:bCs/>
                <w:sz w:val="18"/>
                <w:szCs w:val="18"/>
              </w:rPr>
            </w:pPr>
          </w:p>
        </w:tc>
        <w:tc>
          <w:tcPr>
            <w:tcW w:w="349" w:type="pct"/>
            <w:vMerge w:val="continue"/>
            <w:vAlign w:val="center"/>
          </w:tcPr>
          <w:p w14:paraId="31488792">
            <w:pPr>
              <w:jc w:val="center"/>
              <w:rPr>
                <w:rFonts w:ascii="宋体" w:hAnsi="宋体"/>
                <w:bCs/>
                <w:szCs w:val="21"/>
              </w:rPr>
            </w:pPr>
          </w:p>
        </w:tc>
        <w:tc>
          <w:tcPr>
            <w:tcW w:w="294" w:type="pct"/>
            <w:vMerge w:val="continue"/>
            <w:vAlign w:val="center"/>
          </w:tcPr>
          <w:p w14:paraId="7DF6D4F9">
            <w:pPr>
              <w:jc w:val="center"/>
              <w:rPr>
                <w:rFonts w:ascii="宋体" w:hAnsi="宋体"/>
                <w:bCs/>
                <w:sz w:val="18"/>
                <w:szCs w:val="18"/>
              </w:rPr>
            </w:pPr>
          </w:p>
        </w:tc>
        <w:tc>
          <w:tcPr>
            <w:tcW w:w="1631" w:type="pct"/>
            <w:vAlign w:val="center"/>
          </w:tcPr>
          <w:p w14:paraId="2B8C04DA">
            <w:pPr>
              <w:rPr>
                <w:rFonts w:ascii="宋体" w:hAnsi="宋体"/>
                <w:bCs/>
                <w:sz w:val="18"/>
                <w:szCs w:val="18"/>
              </w:rPr>
            </w:pPr>
            <w:r>
              <w:rPr>
                <w:rFonts w:hint="eastAsia" w:ascii="宋体" w:hAnsi="宋体"/>
                <w:bCs/>
                <w:sz w:val="18"/>
                <w:szCs w:val="18"/>
              </w:rPr>
              <w:t>墙面、开关按钮：每周清洁2次。</w:t>
            </w:r>
          </w:p>
        </w:tc>
        <w:tc>
          <w:tcPr>
            <w:tcW w:w="328" w:type="pct"/>
            <w:vAlign w:val="center"/>
          </w:tcPr>
          <w:p w14:paraId="209A287C">
            <w:pPr>
              <w:jc w:val="center"/>
              <w:rPr>
                <w:rFonts w:ascii="宋体" w:hAnsi="宋体"/>
                <w:bCs/>
                <w:sz w:val="18"/>
                <w:szCs w:val="18"/>
              </w:rPr>
            </w:pPr>
            <w:r>
              <w:rPr>
                <w:rFonts w:ascii="宋体" w:hAnsi="宋体"/>
                <w:bCs/>
                <w:sz w:val="18"/>
                <w:szCs w:val="18"/>
              </w:rPr>
              <w:t>2</w:t>
            </w:r>
          </w:p>
        </w:tc>
        <w:tc>
          <w:tcPr>
            <w:tcW w:w="642" w:type="pct"/>
            <w:vMerge w:val="continue"/>
            <w:vAlign w:val="center"/>
          </w:tcPr>
          <w:p w14:paraId="5E683EC1">
            <w:pPr>
              <w:rPr>
                <w:rFonts w:ascii="宋体" w:hAnsi="宋体"/>
                <w:bCs/>
                <w:sz w:val="18"/>
                <w:szCs w:val="18"/>
              </w:rPr>
            </w:pPr>
          </w:p>
        </w:tc>
        <w:tc>
          <w:tcPr>
            <w:tcW w:w="559" w:type="pct"/>
            <w:vMerge w:val="continue"/>
            <w:vAlign w:val="center"/>
          </w:tcPr>
          <w:p w14:paraId="5C1BE0B0">
            <w:pPr>
              <w:jc w:val="center"/>
              <w:rPr>
                <w:rFonts w:ascii="宋体" w:hAnsi="宋体"/>
                <w:bCs/>
                <w:sz w:val="18"/>
                <w:szCs w:val="18"/>
              </w:rPr>
            </w:pPr>
          </w:p>
        </w:tc>
        <w:tc>
          <w:tcPr>
            <w:tcW w:w="519" w:type="pct"/>
            <w:vAlign w:val="center"/>
          </w:tcPr>
          <w:p w14:paraId="608E5024">
            <w:pPr>
              <w:jc w:val="center"/>
              <w:rPr>
                <w:rFonts w:ascii="宋体" w:hAnsi="宋体"/>
                <w:bCs/>
                <w:sz w:val="18"/>
                <w:szCs w:val="18"/>
              </w:rPr>
            </w:pPr>
          </w:p>
        </w:tc>
        <w:tc>
          <w:tcPr>
            <w:tcW w:w="494" w:type="pct"/>
            <w:vAlign w:val="center"/>
          </w:tcPr>
          <w:p w14:paraId="28ED7BA5">
            <w:pPr>
              <w:jc w:val="center"/>
              <w:rPr>
                <w:rFonts w:ascii="宋体" w:hAnsi="宋体"/>
                <w:bCs/>
                <w:sz w:val="18"/>
                <w:szCs w:val="18"/>
              </w:rPr>
            </w:pPr>
          </w:p>
        </w:tc>
      </w:tr>
      <w:tr w14:paraId="4AB64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02339430">
            <w:pPr>
              <w:jc w:val="center"/>
              <w:rPr>
                <w:rFonts w:ascii="宋体" w:hAnsi="宋体"/>
                <w:bCs/>
                <w:sz w:val="18"/>
                <w:szCs w:val="18"/>
              </w:rPr>
            </w:pPr>
          </w:p>
        </w:tc>
        <w:tc>
          <w:tcPr>
            <w:tcW w:w="349" w:type="pct"/>
            <w:vMerge w:val="continue"/>
            <w:vAlign w:val="center"/>
          </w:tcPr>
          <w:p w14:paraId="6B2E8626">
            <w:pPr>
              <w:jc w:val="center"/>
              <w:rPr>
                <w:rFonts w:ascii="宋体" w:hAnsi="宋体"/>
                <w:bCs/>
                <w:szCs w:val="21"/>
              </w:rPr>
            </w:pPr>
          </w:p>
        </w:tc>
        <w:tc>
          <w:tcPr>
            <w:tcW w:w="294" w:type="pct"/>
            <w:vMerge w:val="continue"/>
            <w:vAlign w:val="center"/>
          </w:tcPr>
          <w:p w14:paraId="6EF22A2D">
            <w:pPr>
              <w:jc w:val="center"/>
              <w:rPr>
                <w:rFonts w:ascii="宋体" w:hAnsi="宋体"/>
                <w:bCs/>
                <w:sz w:val="18"/>
                <w:szCs w:val="18"/>
              </w:rPr>
            </w:pPr>
          </w:p>
        </w:tc>
        <w:tc>
          <w:tcPr>
            <w:tcW w:w="1631" w:type="pct"/>
            <w:vAlign w:val="center"/>
          </w:tcPr>
          <w:p w14:paraId="1DA86061">
            <w:pPr>
              <w:rPr>
                <w:rFonts w:ascii="宋体" w:hAnsi="宋体"/>
                <w:bCs/>
                <w:sz w:val="18"/>
                <w:szCs w:val="18"/>
              </w:rPr>
            </w:pPr>
            <w:r>
              <w:rPr>
                <w:rFonts w:hint="eastAsia" w:ascii="宋体" w:hAnsi="宋体"/>
                <w:bCs/>
                <w:sz w:val="18"/>
                <w:szCs w:val="18"/>
              </w:rPr>
              <w:t>电子门、防火门、信报箱：每日擦抹1次。</w:t>
            </w:r>
          </w:p>
        </w:tc>
        <w:tc>
          <w:tcPr>
            <w:tcW w:w="328" w:type="pct"/>
            <w:vAlign w:val="center"/>
          </w:tcPr>
          <w:p w14:paraId="013CDC9E">
            <w:pPr>
              <w:jc w:val="center"/>
              <w:rPr>
                <w:rFonts w:ascii="宋体" w:hAnsi="宋体"/>
                <w:bCs/>
                <w:sz w:val="18"/>
                <w:szCs w:val="18"/>
              </w:rPr>
            </w:pPr>
            <w:r>
              <w:rPr>
                <w:rFonts w:ascii="宋体" w:hAnsi="宋体"/>
                <w:bCs/>
                <w:sz w:val="18"/>
                <w:szCs w:val="18"/>
              </w:rPr>
              <w:t>2</w:t>
            </w:r>
          </w:p>
        </w:tc>
        <w:tc>
          <w:tcPr>
            <w:tcW w:w="642" w:type="pct"/>
            <w:vMerge w:val="continue"/>
            <w:vAlign w:val="center"/>
          </w:tcPr>
          <w:p w14:paraId="4A38F007">
            <w:pPr>
              <w:rPr>
                <w:rFonts w:ascii="宋体" w:hAnsi="宋体"/>
                <w:bCs/>
                <w:sz w:val="18"/>
                <w:szCs w:val="18"/>
              </w:rPr>
            </w:pPr>
          </w:p>
        </w:tc>
        <w:tc>
          <w:tcPr>
            <w:tcW w:w="559" w:type="pct"/>
            <w:vMerge w:val="continue"/>
            <w:vAlign w:val="center"/>
          </w:tcPr>
          <w:p w14:paraId="0B27F6C1">
            <w:pPr>
              <w:jc w:val="center"/>
              <w:rPr>
                <w:rFonts w:ascii="宋体" w:hAnsi="宋体"/>
                <w:bCs/>
                <w:sz w:val="18"/>
                <w:szCs w:val="18"/>
              </w:rPr>
            </w:pPr>
          </w:p>
        </w:tc>
        <w:tc>
          <w:tcPr>
            <w:tcW w:w="519" w:type="pct"/>
            <w:vAlign w:val="center"/>
          </w:tcPr>
          <w:p w14:paraId="7122FCA8">
            <w:pPr>
              <w:jc w:val="center"/>
              <w:rPr>
                <w:rFonts w:ascii="宋体" w:hAnsi="宋体"/>
                <w:bCs/>
                <w:sz w:val="18"/>
                <w:szCs w:val="18"/>
              </w:rPr>
            </w:pPr>
          </w:p>
        </w:tc>
        <w:tc>
          <w:tcPr>
            <w:tcW w:w="494" w:type="pct"/>
            <w:vAlign w:val="center"/>
          </w:tcPr>
          <w:p w14:paraId="14A48829">
            <w:pPr>
              <w:jc w:val="center"/>
              <w:rPr>
                <w:rFonts w:ascii="宋体" w:hAnsi="宋体"/>
                <w:bCs/>
                <w:sz w:val="18"/>
                <w:szCs w:val="18"/>
              </w:rPr>
            </w:pPr>
          </w:p>
        </w:tc>
      </w:tr>
      <w:tr w14:paraId="15F35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3D3D2939">
            <w:pPr>
              <w:jc w:val="center"/>
              <w:rPr>
                <w:rFonts w:ascii="宋体" w:hAnsi="宋体"/>
                <w:bCs/>
                <w:sz w:val="18"/>
                <w:szCs w:val="18"/>
              </w:rPr>
            </w:pPr>
          </w:p>
        </w:tc>
        <w:tc>
          <w:tcPr>
            <w:tcW w:w="349" w:type="pct"/>
            <w:vMerge w:val="continue"/>
            <w:vAlign w:val="center"/>
          </w:tcPr>
          <w:p w14:paraId="3595A6B6">
            <w:pPr>
              <w:jc w:val="center"/>
              <w:rPr>
                <w:rFonts w:ascii="宋体" w:hAnsi="宋体"/>
                <w:bCs/>
                <w:szCs w:val="21"/>
              </w:rPr>
            </w:pPr>
          </w:p>
        </w:tc>
        <w:tc>
          <w:tcPr>
            <w:tcW w:w="294" w:type="pct"/>
            <w:vMerge w:val="continue"/>
            <w:vAlign w:val="center"/>
          </w:tcPr>
          <w:p w14:paraId="4E2D6123">
            <w:pPr>
              <w:jc w:val="center"/>
              <w:rPr>
                <w:rFonts w:ascii="宋体" w:hAnsi="宋体"/>
                <w:bCs/>
                <w:sz w:val="18"/>
                <w:szCs w:val="18"/>
              </w:rPr>
            </w:pPr>
          </w:p>
        </w:tc>
        <w:tc>
          <w:tcPr>
            <w:tcW w:w="1631" w:type="pct"/>
            <w:vAlign w:val="center"/>
          </w:tcPr>
          <w:p w14:paraId="15F4751C">
            <w:pPr>
              <w:rPr>
                <w:rFonts w:ascii="宋体" w:hAnsi="宋体"/>
                <w:bCs/>
                <w:sz w:val="18"/>
                <w:szCs w:val="18"/>
              </w:rPr>
            </w:pPr>
            <w:r>
              <w:rPr>
                <w:rFonts w:hint="eastAsia" w:ascii="宋体" w:hAnsi="宋体"/>
                <w:bCs/>
                <w:sz w:val="18"/>
                <w:szCs w:val="18"/>
              </w:rPr>
              <w:t>消防栓、消防管道、配电箱等：每周清洁2次。</w:t>
            </w:r>
          </w:p>
        </w:tc>
        <w:tc>
          <w:tcPr>
            <w:tcW w:w="328" w:type="pct"/>
            <w:vAlign w:val="center"/>
          </w:tcPr>
          <w:p w14:paraId="6D0E6E58">
            <w:pPr>
              <w:jc w:val="center"/>
              <w:rPr>
                <w:rFonts w:ascii="宋体" w:hAnsi="宋体"/>
                <w:bCs/>
                <w:sz w:val="18"/>
                <w:szCs w:val="18"/>
              </w:rPr>
            </w:pPr>
            <w:r>
              <w:rPr>
                <w:rFonts w:ascii="宋体" w:hAnsi="宋体"/>
                <w:bCs/>
                <w:sz w:val="18"/>
                <w:szCs w:val="18"/>
              </w:rPr>
              <w:t>2</w:t>
            </w:r>
          </w:p>
        </w:tc>
        <w:tc>
          <w:tcPr>
            <w:tcW w:w="642" w:type="pct"/>
            <w:vMerge w:val="continue"/>
            <w:vAlign w:val="center"/>
          </w:tcPr>
          <w:p w14:paraId="0DCFF253">
            <w:pPr>
              <w:rPr>
                <w:rFonts w:ascii="宋体" w:hAnsi="宋体"/>
                <w:bCs/>
                <w:sz w:val="18"/>
                <w:szCs w:val="18"/>
              </w:rPr>
            </w:pPr>
          </w:p>
        </w:tc>
        <w:tc>
          <w:tcPr>
            <w:tcW w:w="559" w:type="pct"/>
            <w:vMerge w:val="continue"/>
            <w:vAlign w:val="center"/>
          </w:tcPr>
          <w:p w14:paraId="4ED6E794">
            <w:pPr>
              <w:jc w:val="center"/>
              <w:rPr>
                <w:rFonts w:ascii="宋体" w:hAnsi="宋体"/>
                <w:bCs/>
                <w:sz w:val="18"/>
                <w:szCs w:val="18"/>
              </w:rPr>
            </w:pPr>
          </w:p>
        </w:tc>
        <w:tc>
          <w:tcPr>
            <w:tcW w:w="519" w:type="pct"/>
            <w:vAlign w:val="center"/>
          </w:tcPr>
          <w:p w14:paraId="2FC85E5D">
            <w:pPr>
              <w:jc w:val="center"/>
              <w:rPr>
                <w:rFonts w:ascii="宋体" w:hAnsi="宋体"/>
                <w:bCs/>
                <w:sz w:val="18"/>
                <w:szCs w:val="18"/>
              </w:rPr>
            </w:pPr>
          </w:p>
        </w:tc>
        <w:tc>
          <w:tcPr>
            <w:tcW w:w="494" w:type="pct"/>
            <w:vAlign w:val="center"/>
          </w:tcPr>
          <w:p w14:paraId="6992CD32">
            <w:pPr>
              <w:jc w:val="center"/>
              <w:rPr>
                <w:rFonts w:ascii="宋体" w:hAnsi="宋体"/>
                <w:bCs/>
                <w:sz w:val="18"/>
                <w:szCs w:val="18"/>
              </w:rPr>
            </w:pPr>
          </w:p>
        </w:tc>
      </w:tr>
      <w:tr w14:paraId="50DD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158F21DB">
            <w:pPr>
              <w:jc w:val="center"/>
              <w:rPr>
                <w:rFonts w:ascii="宋体" w:hAnsi="宋体"/>
                <w:bCs/>
                <w:sz w:val="18"/>
                <w:szCs w:val="18"/>
              </w:rPr>
            </w:pPr>
          </w:p>
        </w:tc>
        <w:tc>
          <w:tcPr>
            <w:tcW w:w="349" w:type="pct"/>
            <w:vMerge w:val="continue"/>
            <w:vAlign w:val="center"/>
          </w:tcPr>
          <w:p w14:paraId="6532BE99">
            <w:pPr>
              <w:jc w:val="center"/>
              <w:rPr>
                <w:rFonts w:ascii="宋体" w:hAnsi="宋体"/>
                <w:bCs/>
                <w:szCs w:val="21"/>
              </w:rPr>
            </w:pPr>
          </w:p>
        </w:tc>
        <w:tc>
          <w:tcPr>
            <w:tcW w:w="294" w:type="pct"/>
            <w:vMerge w:val="continue"/>
            <w:vAlign w:val="center"/>
          </w:tcPr>
          <w:p w14:paraId="0AB88460">
            <w:pPr>
              <w:jc w:val="center"/>
              <w:rPr>
                <w:rFonts w:ascii="宋体" w:hAnsi="宋体"/>
                <w:bCs/>
                <w:sz w:val="18"/>
                <w:szCs w:val="18"/>
              </w:rPr>
            </w:pPr>
          </w:p>
        </w:tc>
        <w:tc>
          <w:tcPr>
            <w:tcW w:w="1631" w:type="pct"/>
            <w:vAlign w:val="center"/>
          </w:tcPr>
          <w:p w14:paraId="17EA4434">
            <w:pPr>
              <w:rPr>
                <w:rFonts w:ascii="宋体" w:hAnsi="宋体"/>
                <w:bCs/>
                <w:sz w:val="18"/>
                <w:szCs w:val="18"/>
              </w:rPr>
            </w:pPr>
            <w:r>
              <w:rPr>
                <w:rFonts w:hint="eastAsia" w:ascii="宋体" w:hAnsi="宋体"/>
                <w:bCs/>
                <w:sz w:val="18"/>
                <w:szCs w:val="18"/>
              </w:rPr>
              <w:t>灯具：外抹每日1次，内抹每月1次。</w:t>
            </w:r>
          </w:p>
        </w:tc>
        <w:tc>
          <w:tcPr>
            <w:tcW w:w="328" w:type="pct"/>
            <w:vAlign w:val="center"/>
          </w:tcPr>
          <w:p w14:paraId="3167DBEE">
            <w:pPr>
              <w:jc w:val="center"/>
              <w:rPr>
                <w:rFonts w:ascii="宋体" w:hAnsi="宋体"/>
                <w:bCs/>
                <w:sz w:val="18"/>
                <w:szCs w:val="18"/>
              </w:rPr>
            </w:pPr>
            <w:r>
              <w:rPr>
                <w:rFonts w:ascii="宋体" w:hAnsi="宋体"/>
                <w:bCs/>
                <w:sz w:val="18"/>
                <w:szCs w:val="18"/>
              </w:rPr>
              <w:t>2</w:t>
            </w:r>
          </w:p>
        </w:tc>
        <w:tc>
          <w:tcPr>
            <w:tcW w:w="642" w:type="pct"/>
            <w:vMerge w:val="continue"/>
            <w:vAlign w:val="center"/>
          </w:tcPr>
          <w:p w14:paraId="6B285CD8">
            <w:pPr>
              <w:rPr>
                <w:rFonts w:ascii="宋体" w:hAnsi="宋体"/>
                <w:bCs/>
                <w:sz w:val="18"/>
                <w:szCs w:val="18"/>
              </w:rPr>
            </w:pPr>
          </w:p>
        </w:tc>
        <w:tc>
          <w:tcPr>
            <w:tcW w:w="559" w:type="pct"/>
            <w:vMerge w:val="continue"/>
            <w:vAlign w:val="center"/>
          </w:tcPr>
          <w:p w14:paraId="79EEFAB6">
            <w:pPr>
              <w:jc w:val="center"/>
              <w:rPr>
                <w:rFonts w:ascii="宋体" w:hAnsi="宋体"/>
                <w:bCs/>
                <w:sz w:val="18"/>
                <w:szCs w:val="18"/>
              </w:rPr>
            </w:pPr>
          </w:p>
        </w:tc>
        <w:tc>
          <w:tcPr>
            <w:tcW w:w="519" w:type="pct"/>
            <w:vAlign w:val="center"/>
          </w:tcPr>
          <w:p w14:paraId="730C6DCB">
            <w:pPr>
              <w:jc w:val="center"/>
              <w:rPr>
                <w:rFonts w:ascii="宋体" w:hAnsi="宋体"/>
                <w:bCs/>
                <w:sz w:val="18"/>
                <w:szCs w:val="18"/>
              </w:rPr>
            </w:pPr>
          </w:p>
        </w:tc>
        <w:tc>
          <w:tcPr>
            <w:tcW w:w="494" w:type="pct"/>
            <w:vAlign w:val="center"/>
          </w:tcPr>
          <w:p w14:paraId="28B2CC83">
            <w:pPr>
              <w:jc w:val="center"/>
              <w:rPr>
                <w:rFonts w:ascii="宋体" w:hAnsi="宋体"/>
                <w:bCs/>
                <w:sz w:val="18"/>
                <w:szCs w:val="18"/>
              </w:rPr>
            </w:pPr>
          </w:p>
        </w:tc>
      </w:tr>
      <w:tr w14:paraId="169722EC">
        <w:tblPrEx>
          <w:tblCellMar>
            <w:top w:w="0" w:type="dxa"/>
            <w:left w:w="108" w:type="dxa"/>
            <w:bottom w:w="0" w:type="dxa"/>
            <w:right w:w="108" w:type="dxa"/>
          </w:tblCellMar>
        </w:tblPrEx>
        <w:tc>
          <w:tcPr>
            <w:tcW w:w="180" w:type="pct"/>
            <w:vMerge w:val="continue"/>
            <w:vAlign w:val="center"/>
          </w:tcPr>
          <w:p w14:paraId="7ED65CB6">
            <w:pPr>
              <w:jc w:val="center"/>
              <w:rPr>
                <w:rFonts w:ascii="宋体" w:hAnsi="宋体"/>
                <w:bCs/>
                <w:sz w:val="18"/>
                <w:szCs w:val="18"/>
              </w:rPr>
            </w:pPr>
          </w:p>
        </w:tc>
        <w:tc>
          <w:tcPr>
            <w:tcW w:w="349" w:type="pct"/>
            <w:vMerge w:val="continue"/>
            <w:vAlign w:val="center"/>
          </w:tcPr>
          <w:p w14:paraId="642FDA0B">
            <w:pPr>
              <w:jc w:val="center"/>
              <w:rPr>
                <w:rFonts w:ascii="宋体" w:hAnsi="宋体"/>
                <w:bCs/>
                <w:szCs w:val="21"/>
              </w:rPr>
            </w:pPr>
          </w:p>
        </w:tc>
        <w:tc>
          <w:tcPr>
            <w:tcW w:w="294" w:type="pct"/>
            <w:vMerge w:val="continue"/>
            <w:vAlign w:val="center"/>
          </w:tcPr>
          <w:p w14:paraId="76DD44B1">
            <w:pPr>
              <w:jc w:val="center"/>
              <w:rPr>
                <w:rFonts w:ascii="宋体" w:hAnsi="宋体"/>
                <w:bCs/>
                <w:sz w:val="18"/>
                <w:szCs w:val="18"/>
              </w:rPr>
            </w:pPr>
          </w:p>
        </w:tc>
        <w:tc>
          <w:tcPr>
            <w:tcW w:w="1631" w:type="pct"/>
            <w:vAlign w:val="center"/>
          </w:tcPr>
          <w:p w14:paraId="4089139A">
            <w:pPr>
              <w:rPr>
                <w:rFonts w:ascii="宋体" w:hAnsi="宋体"/>
                <w:bCs/>
                <w:sz w:val="18"/>
                <w:szCs w:val="18"/>
              </w:rPr>
            </w:pPr>
            <w:r>
              <w:rPr>
                <w:rFonts w:hint="eastAsia" w:ascii="宋体" w:hAnsi="宋体"/>
                <w:bCs/>
                <w:sz w:val="18"/>
                <w:szCs w:val="18"/>
              </w:rPr>
              <w:t>宣传栏、标识牌不锈钢表面：每日清洁擦抹1次。</w:t>
            </w:r>
          </w:p>
        </w:tc>
        <w:tc>
          <w:tcPr>
            <w:tcW w:w="328" w:type="pct"/>
            <w:vAlign w:val="center"/>
          </w:tcPr>
          <w:p w14:paraId="06BCF4BD">
            <w:pPr>
              <w:jc w:val="center"/>
              <w:rPr>
                <w:rFonts w:ascii="宋体" w:hAnsi="宋体"/>
                <w:bCs/>
                <w:sz w:val="18"/>
                <w:szCs w:val="18"/>
              </w:rPr>
            </w:pPr>
            <w:r>
              <w:rPr>
                <w:rFonts w:ascii="宋体" w:hAnsi="宋体"/>
                <w:bCs/>
                <w:sz w:val="18"/>
                <w:szCs w:val="18"/>
              </w:rPr>
              <w:t>2</w:t>
            </w:r>
          </w:p>
        </w:tc>
        <w:tc>
          <w:tcPr>
            <w:tcW w:w="642" w:type="pct"/>
            <w:vMerge w:val="continue"/>
            <w:vAlign w:val="center"/>
          </w:tcPr>
          <w:p w14:paraId="2BAA3351">
            <w:pPr>
              <w:rPr>
                <w:rFonts w:ascii="宋体" w:hAnsi="宋体"/>
                <w:bCs/>
                <w:sz w:val="18"/>
                <w:szCs w:val="18"/>
              </w:rPr>
            </w:pPr>
          </w:p>
        </w:tc>
        <w:tc>
          <w:tcPr>
            <w:tcW w:w="559" w:type="pct"/>
            <w:vMerge w:val="continue"/>
            <w:vAlign w:val="center"/>
          </w:tcPr>
          <w:p w14:paraId="242B0ED8">
            <w:pPr>
              <w:jc w:val="center"/>
              <w:rPr>
                <w:rFonts w:ascii="宋体" w:hAnsi="宋体"/>
                <w:bCs/>
                <w:sz w:val="18"/>
                <w:szCs w:val="18"/>
              </w:rPr>
            </w:pPr>
          </w:p>
        </w:tc>
        <w:tc>
          <w:tcPr>
            <w:tcW w:w="519" w:type="pct"/>
            <w:vAlign w:val="center"/>
          </w:tcPr>
          <w:p w14:paraId="53D251F9">
            <w:pPr>
              <w:jc w:val="center"/>
              <w:rPr>
                <w:rFonts w:ascii="宋体" w:hAnsi="宋体"/>
                <w:bCs/>
                <w:sz w:val="18"/>
                <w:szCs w:val="18"/>
              </w:rPr>
            </w:pPr>
          </w:p>
        </w:tc>
        <w:tc>
          <w:tcPr>
            <w:tcW w:w="494" w:type="pct"/>
            <w:vAlign w:val="center"/>
          </w:tcPr>
          <w:p w14:paraId="73529E74">
            <w:pPr>
              <w:jc w:val="center"/>
              <w:rPr>
                <w:rFonts w:ascii="宋体" w:hAnsi="宋体"/>
                <w:bCs/>
                <w:sz w:val="18"/>
                <w:szCs w:val="18"/>
              </w:rPr>
            </w:pPr>
          </w:p>
        </w:tc>
      </w:tr>
      <w:tr w14:paraId="6422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351970C3">
            <w:pPr>
              <w:jc w:val="center"/>
              <w:rPr>
                <w:rFonts w:ascii="宋体" w:hAnsi="宋体"/>
                <w:bCs/>
                <w:sz w:val="18"/>
                <w:szCs w:val="18"/>
              </w:rPr>
            </w:pPr>
          </w:p>
        </w:tc>
        <w:tc>
          <w:tcPr>
            <w:tcW w:w="349" w:type="pct"/>
            <w:vMerge w:val="continue"/>
            <w:vAlign w:val="center"/>
          </w:tcPr>
          <w:p w14:paraId="2E528065">
            <w:pPr>
              <w:jc w:val="center"/>
              <w:rPr>
                <w:rFonts w:ascii="宋体" w:hAnsi="宋体"/>
                <w:bCs/>
                <w:szCs w:val="21"/>
              </w:rPr>
            </w:pPr>
          </w:p>
        </w:tc>
        <w:tc>
          <w:tcPr>
            <w:tcW w:w="294" w:type="pct"/>
            <w:vMerge w:val="continue"/>
            <w:vAlign w:val="center"/>
          </w:tcPr>
          <w:p w14:paraId="24E0228B">
            <w:pPr>
              <w:jc w:val="center"/>
              <w:rPr>
                <w:rFonts w:ascii="宋体" w:hAnsi="宋体"/>
                <w:bCs/>
                <w:sz w:val="18"/>
                <w:szCs w:val="18"/>
              </w:rPr>
            </w:pPr>
          </w:p>
        </w:tc>
        <w:tc>
          <w:tcPr>
            <w:tcW w:w="1631" w:type="pct"/>
            <w:vAlign w:val="center"/>
          </w:tcPr>
          <w:p w14:paraId="4FF37550">
            <w:pPr>
              <w:rPr>
                <w:rFonts w:ascii="宋体" w:hAnsi="宋体"/>
                <w:bCs/>
                <w:sz w:val="18"/>
                <w:szCs w:val="18"/>
              </w:rPr>
            </w:pPr>
            <w:r>
              <w:rPr>
                <w:rFonts w:hint="eastAsia" w:ascii="宋体" w:hAnsi="宋体"/>
                <w:bCs/>
                <w:sz w:val="18"/>
                <w:szCs w:val="18"/>
              </w:rPr>
              <w:t>建筑物楼顶：每月清洁1次。</w:t>
            </w:r>
          </w:p>
        </w:tc>
        <w:tc>
          <w:tcPr>
            <w:tcW w:w="328" w:type="pct"/>
            <w:vAlign w:val="center"/>
          </w:tcPr>
          <w:p w14:paraId="6D5618A1">
            <w:pPr>
              <w:jc w:val="center"/>
              <w:rPr>
                <w:rFonts w:ascii="宋体" w:hAnsi="宋体"/>
                <w:bCs/>
                <w:sz w:val="18"/>
                <w:szCs w:val="18"/>
              </w:rPr>
            </w:pPr>
            <w:r>
              <w:rPr>
                <w:rFonts w:ascii="宋体" w:hAnsi="宋体"/>
                <w:bCs/>
                <w:sz w:val="18"/>
                <w:szCs w:val="18"/>
              </w:rPr>
              <w:t>2</w:t>
            </w:r>
          </w:p>
        </w:tc>
        <w:tc>
          <w:tcPr>
            <w:tcW w:w="642" w:type="pct"/>
            <w:vMerge w:val="continue"/>
            <w:vAlign w:val="center"/>
          </w:tcPr>
          <w:p w14:paraId="72911253">
            <w:pPr>
              <w:rPr>
                <w:rFonts w:ascii="宋体" w:hAnsi="宋体"/>
                <w:bCs/>
                <w:sz w:val="18"/>
                <w:szCs w:val="18"/>
              </w:rPr>
            </w:pPr>
          </w:p>
        </w:tc>
        <w:tc>
          <w:tcPr>
            <w:tcW w:w="559" w:type="pct"/>
            <w:vMerge w:val="continue"/>
            <w:vAlign w:val="center"/>
          </w:tcPr>
          <w:p w14:paraId="56FADF6B">
            <w:pPr>
              <w:jc w:val="center"/>
              <w:rPr>
                <w:rFonts w:ascii="宋体" w:hAnsi="宋体"/>
                <w:bCs/>
                <w:sz w:val="18"/>
                <w:szCs w:val="18"/>
              </w:rPr>
            </w:pPr>
          </w:p>
        </w:tc>
        <w:tc>
          <w:tcPr>
            <w:tcW w:w="519" w:type="pct"/>
            <w:vAlign w:val="center"/>
          </w:tcPr>
          <w:p w14:paraId="786D3E11">
            <w:pPr>
              <w:jc w:val="center"/>
              <w:rPr>
                <w:rFonts w:ascii="宋体" w:hAnsi="宋体"/>
                <w:bCs/>
                <w:sz w:val="18"/>
                <w:szCs w:val="18"/>
              </w:rPr>
            </w:pPr>
          </w:p>
        </w:tc>
        <w:tc>
          <w:tcPr>
            <w:tcW w:w="494" w:type="pct"/>
            <w:vAlign w:val="center"/>
          </w:tcPr>
          <w:p w14:paraId="5FB40C26">
            <w:pPr>
              <w:jc w:val="center"/>
              <w:rPr>
                <w:rFonts w:ascii="宋体" w:hAnsi="宋体"/>
                <w:bCs/>
                <w:sz w:val="18"/>
                <w:szCs w:val="18"/>
              </w:rPr>
            </w:pPr>
          </w:p>
        </w:tc>
      </w:tr>
      <w:tr w14:paraId="0C25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180" w:type="pct"/>
            <w:vMerge w:val="continue"/>
            <w:vAlign w:val="center"/>
          </w:tcPr>
          <w:p w14:paraId="161DD939">
            <w:pPr>
              <w:jc w:val="center"/>
              <w:rPr>
                <w:rFonts w:ascii="宋体" w:hAnsi="宋体"/>
                <w:bCs/>
                <w:sz w:val="18"/>
                <w:szCs w:val="18"/>
              </w:rPr>
            </w:pPr>
          </w:p>
        </w:tc>
        <w:tc>
          <w:tcPr>
            <w:tcW w:w="349" w:type="pct"/>
            <w:vMerge w:val="continue"/>
            <w:vAlign w:val="center"/>
          </w:tcPr>
          <w:p w14:paraId="4991E950">
            <w:pPr>
              <w:jc w:val="center"/>
              <w:rPr>
                <w:rFonts w:ascii="宋体" w:hAnsi="宋体"/>
                <w:bCs/>
                <w:szCs w:val="21"/>
              </w:rPr>
            </w:pPr>
          </w:p>
        </w:tc>
        <w:tc>
          <w:tcPr>
            <w:tcW w:w="294" w:type="pct"/>
            <w:vMerge w:val="continue"/>
            <w:vAlign w:val="center"/>
          </w:tcPr>
          <w:p w14:paraId="06D8EF10">
            <w:pPr>
              <w:jc w:val="center"/>
              <w:rPr>
                <w:rFonts w:ascii="宋体" w:hAnsi="宋体"/>
                <w:bCs/>
                <w:sz w:val="18"/>
                <w:szCs w:val="18"/>
              </w:rPr>
            </w:pPr>
          </w:p>
        </w:tc>
        <w:tc>
          <w:tcPr>
            <w:tcW w:w="1631" w:type="pct"/>
            <w:vAlign w:val="center"/>
          </w:tcPr>
          <w:p w14:paraId="6DDB5845">
            <w:pPr>
              <w:rPr>
                <w:rFonts w:ascii="宋体" w:hAnsi="宋体"/>
                <w:bCs/>
                <w:sz w:val="18"/>
                <w:szCs w:val="18"/>
              </w:rPr>
            </w:pPr>
            <w:r>
              <w:rPr>
                <w:rFonts w:hint="eastAsia" w:ascii="宋体" w:hAnsi="宋体"/>
                <w:bCs/>
                <w:sz w:val="18"/>
                <w:szCs w:val="18"/>
              </w:rPr>
              <w:t>天面、平台：每周清洁1次。</w:t>
            </w:r>
          </w:p>
        </w:tc>
        <w:tc>
          <w:tcPr>
            <w:tcW w:w="328" w:type="pct"/>
            <w:vAlign w:val="center"/>
          </w:tcPr>
          <w:p w14:paraId="46172AB5">
            <w:pPr>
              <w:jc w:val="center"/>
              <w:rPr>
                <w:rFonts w:ascii="宋体" w:hAnsi="宋体"/>
                <w:bCs/>
                <w:sz w:val="18"/>
                <w:szCs w:val="18"/>
              </w:rPr>
            </w:pPr>
            <w:r>
              <w:rPr>
                <w:rFonts w:ascii="宋体" w:hAnsi="宋体"/>
                <w:bCs/>
                <w:sz w:val="18"/>
                <w:szCs w:val="18"/>
              </w:rPr>
              <w:t>2</w:t>
            </w:r>
          </w:p>
        </w:tc>
        <w:tc>
          <w:tcPr>
            <w:tcW w:w="642" w:type="pct"/>
            <w:vMerge w:val="continue"/>
            <w:vAlign w:val="center"/>
          </w:tcPr>
          <w:p w14:paraId="73801947">
            <w:pPr>
              <w:rPr>
                <w:rFonts w:ascii="宋体" w:hAnsi="宋体"/>
                <w:bCs/>
                <w:sz w:val="18"/>
                <w:szCs w:val="18"/>
              </w:rPr>
            </w:pPr>
          </w:p>
        </w:tc>
        <w:tc>
          <w:tcPr>
            <w:tcW w:w="559" w:type="pct"/>
            <w:vMerge w:val="continue"/>
            <w:vAlign w:val="center"/>
          </w:tcPr>
          <w:p w14:paraId="438B3A87">
            <w:pPr>
              <w:jc w:val="center"/>
              <w:rPr>
                <w:rFonts w:ascii="宋体" w:hAnsi="宋体"/>
                <w:bCs/>
                <w:sz w:val="18"/>
                <w:szCs w:val="18"/>
              </w:rPr>
            </w:pPr>
          </w:p>
        </w:tc>
        <w:tc>
          <w:tcPr>
            <w:tcW w:w="519" w:type="pct"/>
            <w:vMerge w:val="restart"/>
            <w:vAlign w:val="center"/>
          </w:tcPr>
          <w:p w14:paraId="47D40E3E">
            <w:pPr>
              <w:jc w:val="center"/>
              <w:rPr>
                <w:rFonts w:ascii="宋体" w:hAnsi="宋体"/>
                <w:bCs/>
                <w:sz w:val="18"/>
                <w:szCs w:val="18"/>
              </w:rPr>
            </w:pPr>
          </w:p>
        </w:tc>
        <w:tc>
          <w:tcPr>
            <w:tcW w:w="494" w:type="pct"/>
            <w:vMerge w:val="restart"/>
            <w:vAlign w:val="center"/>
          </w:tcPr>
          <w:p w14:paraId="0D8EB514">
            <w:pPr>
              <w:jc w:val="center"/>
              <w:rPr>
                <w:rFonts w:ascii="宋体" w:hAnsi="宋体"/>
                <w:bCs/>
                <w:sz w:val="18"/>
                <w:szCs w:val="18"/>
              </w:rPr>
            </w:pPr>
          </w:p>
        </w:tc>
      </w:tr>
      <w:tr w14:paraId="4D4E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180" w:type="pct"/>
            <w:vMerge w:val="continue"/>
            <w:vAlign w:val="center"/>
          </w:tcPr>
          <w:p w14:paraId="1B689106">
            <w:pPr>
              <w:jc w:val="center"/>
              <w:rPr>
                <w:rFonts w:ascii="宋体" w:hAnsi="宋体"/>
                <w:bCs/>
                <w:sz w:val="18"/>
                <w:szCs w:val="18"/>
              </w:rPr>
            </w:pPr>
          </w:p>
        </w:tc>
        <w:tc>
          <w:tcPr>
            <w:tcW w:w="349" w:type="pct"/>
            <w:vMerge w:val="continue"/>
            <w:vAlign w:val="center"/>
          </w:tcPr>
          <w:p w14:paraId="4F4F558C">
            <w:pPr>
              <w:jc w:val="center"/>
              <w:rPr>
                <w:rFonts w:ascii="宋体" w:hAnsi="宋体"/>
                <w:bCs/>
                <w:szCs w:val="21"/>
              </w:rPr>
            </w:pPr>
          </w:p>
        </w:tc>
        <w:tc>
          <w:tcPr>
            <w:tcW w:w="294" w:type="pct"/>
            <w:vMerge w:val="continue"/>
            <w:vAlign w:val="center"/>
          </w:tcPr>
          <w:p w14:paraId="40316BBD">
            <w:pPr>
              <w:jc w:val="center"/>
              <w:rPr>
                <w:rFonts w:ascii="宋体" w:hAnsi="宋体"/>
                <w:bCs/>
                <w:sz w:val="18"/>
                <w:szCs w:val="18"/>
              </w:rPr>
            </w:pPr>
          </w:p>
        </w:tc>
        <w:tc>
          <w:tcPr>
            <w:tcW w:w="1631" w:type="pct"/>
            <w:vAlign w:val="center"/>
          </w:tcPr>
          <w:p w14:paraId="2C4C00C7">
            <w:pPr>
              <w:rPr>
                <w:rFonts w:ascii="宋体" w:hAnsi="宋体"/>
                <w:bCs/>
                <w:sz w:val="18"/>
                <w:szCs w:val="18"/>
              </w:rPr>
            </w:pPr>
            <w:r>
              <w:rPr>
                <w:rFonts w:hint="eastAsia" w:ascii="宋体" w:hAnsi="宋体"/>
                <w:bCs/>
                <w:sz w:val="18"/>
                <w:szCs w:val="18"/>
              </w:rPr>
              <w:t>卫生间：每天清拖二次，冲洗二次</w:t>
            </w:r>
          </w:p>
        </w:tc>
        <w:tc>
          <w:tcPr>
            <w:tcW w:w="328" w:type="pct"/>
            <w:vAlign w:val="center"/>
          </w:tcPr>
          <w:p w14:paraId="5F2D4F6A">
            <w:pPr>
              <w:jc w:val="center"/>
              <w:rPr>
                <w:rFonts w:ascii="宋体" w:hAnsi="宋体"/>
                <w:bCs/>
                <w:sz w:val="18"/>
                <w:szCs w:val="18"/>
              </w:rPr>
            </w:pPr>
            <w:r>
              <w:rPr>
                <w:rFonts w:ascii="宋体" w:hAnsi="宋体"/>
                <w:bCs/>
                <w:sz w:val="18"/>
                <w:szCs w:val="18"/>
              </w:rPr>
              <w:t>2</w:t>
            </w:r>
          </w:p>
        </w:tc>
        <w:tc>
          <w:tcPr>
            <w:tcW w:w="642" w:type="pct"/>
            <w:vMerge w:val="continue"/>
            <w:vAlign w:val="center"/>
          </w:tcPr>
          <w:p w14:paraId="4FBB72E1">
            <w:pPr>
              <w:rPr>
                <w:rFonts w:ascii="宋体" w:hAnsi="宋体"/>
                <w:bCs/>
                <w:sz w:val="18"/>
                <w:szCs w:val="18"/>
              </w:rPr>
            </w:pPr>
          </w:p>
        </w:tc>
        <w:tc>
          <w:tcPr>
            <w:tcW w:w="559" w:type="pct"/>
            <w:vMerge w:val="continue"/>
            <w:vAlign w:val="center"/>
          </w:tcPr>
          <w:p w14:paraId="7D4657F3">
            <w:pPr>
              <w:jc w:val="center"/>
              <w:rPr>
                <w:rFonts w:ascii="宋体" w:hAnsi="宋体"/>
                <w:bCs/>
                <w:sz w:val="18"/>
                <w:szCs w:val="18"/>
              </w:rPr>
            </w:pPr>
          </w:p>
        </w:tc>
        <w:tc>
          <w:tcPr>
            <w:tcW w:w="519" w:type="pct"/>
            <w:vMerge w:val="continue"/>
            <w:vAlign w:val="center"/>
          </w:tcPr>
          <w:p w14:paraId="48A9020D">
            <w:pPr>
              <w:jc w:val="center"/>
              <w:rPr>
                <w:rFonts w:ascii="宋体" w:hAnsi="宋体"/>
                <w:bCs/>
                <w:sz w:val="18"/>
                <w:szCs w:val="18"/>
              </w:rPr>
            </w:pPr>
          </w:p>
        </w:tc>
        <w:tc>
          <w:tcPr>
            <w:tcW w:w="494" w:type="pct"/>
            <w:vMerge w:val="continue"/>
            <w:vAlign w:val="center"/>
          </w:tcPr>
          <w:p w14:paraId="63C3AD81">
            <w:pPr>
              <w:jc w:val="center"/>
              <w:rPr>
                <w:rFonts w:ascii="宋体" w:hAnsi="宋体"/>
                <w:bCs/>
                <w:sz w:val="18"/>
                <w:szCs w:val="18"/>
              </w:rPr>
            </w:pPr>
          </w:p>
        </w:tc>
      </w:tr>
      <w:tr w14:paraId="2D118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180" w:type="pct"/>
            <w:vMerge w:val="continue"/>
            <w:vAlign w:val="center"/>
          </w:tcPr>
          <w:p w14:paraId="7FD9E7C6">
            <w:pPr>
              <w:jc w:val="center"/>
              <w:rPr>
                <w:rFonts w:ascii="宋体" w:hAnsi="宋体"/>
                <w:bCs/>
                <w:sz w:val="18"/>
                <w:szCs w:val="18"/>
              </w:rPr>
            </w:pPr>
          </w:p>
        </w:tc>
        <w:tc>
          <w:tcPr>
            <w:tcW w:w="349" w:type="pct"/>
            <w:vMerge w:val="continue"/>
            <w:vAlign w:val="center"/>
          </w:tcPr>
          <w:p w14:paraId="064B3654">
            <w:pPr>
              <w:jc w:val="center"/>
              <w:rPr>
                <w:rFonts w:ascii="宋体" w:hAnsi="宋体"/>
                <w:bCs/>
                <w:szCs w:val="21"/>
              </w:rPr>
            </w:pPr>
          </w:p>
        </w:tc>
        <w:tc>
          <w:tcPr>
            <w:tcW w:w="294" w:type="pct"/>
            <w:vMerge w:val="continue"/>
            <w:vAlign w:val="center"/>
          </w:tcPr>
          <w:p w14:paraId="42BB62E3">
            <w:pPr>
              <w:jc w:val="center"/>
              <w:rPr>
                <w:rFonts w:ascii="宋体" w:hAnsi="宋体"/>
                <w:bCs/>
                <w:sz w:val="18"/>
                <w:szCs w:val="18"/>
              </w:rPr>
            </w:pPr>
          </w:p>
        </w:tc>
        <w:tc>
          <w:tcPr>
            <w:tcW w:w="1631" w:type="pct"/>
            <w:vAlign w:val="center"/>
          </w:tcPr>
          <w:p w14:paraId="22E7F949">
            <w:pPr>
              <w:rPr>
                <w:rFonts w:ascii="宋体" w:hAnsi="宋体"/>
                <w:bCs/>
                <w:sz w:val="18"/>
                <w:szCs w:val="18"/>
              </w:rPr>
            </w:pPr>
            <w:r>
              <w:rPr>
                <w:rFonts w:hint="eastAsia" w:ascii="宋体" w:hAnsi="宋体"/>
                <w:bCs/>
                <w:sz w:val="18"/>
                <w:szCs w:val="18"/>
              </w:rPr>
              <w:t>其他作业频率参照清洁服务标准执行</w:t>
            </w:r>
          </w:p>
        </w:tc>
        <w:tc>
          <w:tcPr>
            <w:tcW w:w="328" w:type="pct"/>
            <w:vAlign w:val="center"/>
          </w:tcPr>
          <w:p w14:paraId="0F587CB4">
            <w:pPr>
              <w:jc w:val="center"/>
              <w:rPr>
                <w:rFonts w:ascii="宋体" w:hAnsi="宋体"/>
                <w:bCs/>
                <w:sz w:val="18"/>
                <w:szCs w:val="18"/>
              </w:rPr>
            </w:pPr>
            <w:r>
              <w:rPr>
                <w:rFonts w:ascii="宋体" w:hAnsi="宋体"/>
                <w:bCs/>
                <w:sz w:val="18"/>
                <w:szCs w:val="18"/>
              </w:rPr>
              <w:t>2</w:t>
            </w:r>
          </w:p>
        </w:tc>
        <w:tc>
          <w:tcPr>
            <w:tcW w:w="642" w:type="pct"/>
            <w:vMerge w:val="continue"/>
            <w:vAlign w:val="center"/>
          </w:tcPr>
          <w:p w14:paraId="0A2D4658">
            <w:pPr>
              <w:rPr>
                <w:rFonts w:ascii="宋体" w:hAnsi="宋体"/>
                <w:bCs/>
                <w:sz w:val="18"/>
                <w:szCs w:val="18"/>
              </w:rPr>
            </w:pPr>
          </w:p>
        </w:tc>
        <w:tc>
          <w:tcPr>
            <w:tcW w:w="559" w:type="pct"/>
            <w:vMerge w:val="continue"/>
            <w:vAlign w:val="center"/>
          </w:tcPr>
          <w:p w14:paraId="6E72C069">
            <w:pPr>
              <w:jc w:val="center"/>
              <w:rPr>
                <w:rFonts w:ascii="宋体" w:hAnsi="宋体"/>
                <w:bCs/>
                <w:sz w:val="18"/>
                <w:szCs w:val="18"/>
              </w:rPr>
            </w:pPr>
          </w:p>
        </w:tc>
        <w:tc>
          <w:tcPr>
            <w:tcW w:w="519" w:type="pct"/>
            <w:vMerge w:val="continue"/>
            <w:vAlign w:val="center"/>
          </w:tcPr>
          <w:p w14:paraId="5AAE052C">
            <w:pPr>
              <w:jc w:val="center"/>
              <w:rPr>
                <w:rFonts w:ascii="宋体" w:hAnsi="宋体"/>
                <w:bCs/>
                <w:sz w:val="18"/>
                <w:szCs w:val="18"/>
              </w:rPr>
            </w:pPr>
          </w:p>
        </w:tc>
        <w:tc>
          <w:tcPr>
            <w:tcW w:w="494" w:type="pct"/>
            <w:vMerge w:val="continue"/>
            <w:vAlign w:val="center"/>
          </w:tcPr>
          <w:p w14:paraId="12DC2C33">
            <w:pPr>
              <w:jc w:val="center"/>
              <w:rPr>
                <w:rFonts w:ascii="宋体" w:hAnsi="宋体"/>
                <w:bCs/>
                <w:sz w:val="18"/>
                <w:szCs w:val="18"/>
              </w:rPr>
            </w:pPr>
          </w:p>
        </w:tc>
      </w:tr>
      <w:tr w14:paraId="1FE1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restart"/>
            <w:vAlign w:val="center"/>
          </w:tcPr>
          <w:p w14:paraId="4DF26F44">
            <w:pPr>
              <w:jc w:val="center"/>
              <w:rPr>
                <w:rFonts w:ascii="宋体" w:hAnsi="宋体"/>
                <w:bCs/>
                <w:sz w:val="18"/>
                <w:szCs w:val="18"/>
              </w:rPr>
            </w:pPr>
            <w:r>
              <w:rPr>
                <w:rFonts w:hint="eastAsia" w:ascii="宋体" w:hAnsi="宋体"/>
                <w:bCs/>
                <w:sz w:val="18"/>
                <w:szCs w:val="18"/>
              </w:rPr>
              <w:t>三</w:t>
            </w:r>
          </w:p>
        </w:tc>
        <w:tc>
          <w:tcPr>
            <w:tcW w:w="349" w:type="pct"/>
            <w:vMerge w:val="restart"/>
            <w:vAlign w:val="center"/>
          </w:tcPr>
          <w:p w14:paraId="28BA5581">
            <w:pPr>
              <w:jc w:val="center"/>
              <w:rPr>
                <w:rFonts w:ascii="宋体" w:hAnsi="宋体"/>
                <w:bCs/>
                <w:szCs w:val="21"/>
              </w:rPr>
            </w:pPr>
            <w:r>
              <w:rPr>
                <w:rFonts w:hint="eastAsia" w:ascii="宋体" w:hAnsi="宋体"/>
                <w:bCs/>
                <w:szCs w:val="21"/>
              </w:rPr>
              <w:t>消杀服务作业频率</w:t>
            </w:r>
          </w:p>
        </w:tc>
        <w:tc>
          <w:tcPr>
            <w:tcW w:w="294" w:type="pct"/>
            <w:vMerge w:val="restart"/>
            <w:vAlign w:val="center"/>
          </w:tcPr>
          <w:p w14:paraId="40C72F05">
            <w:pPr>
              <w:jc w:val="center"/>
              <w:rPr>
                <w:rFonts w:ascii="宋体" w:hAnsi="宋体"/>
                <w:bCs/>
                <w:sz w:val="18"/>
                <w:szCs w:val="18"/>
              </w:rPr>
            </w:pPr>
            <w:r>
              <w:rPr>
                <w:rFonts w:hint="eastAsia" w:ascii="宋体" w:hAnsi="宋体"/>
                <w:bCs/>
                <w:sz w:val="18"/>
                <w:szCs w:val="18"/>
              </w:rPr>
              <w:t>5</w:t>
            </w:r>
          </w:p>
        </w:tc>
        <w:tc>
          <w:tcPr>
            <w:tcW w:w="1631" w:type="pct"/>
            <w:vAlign w:val="center"/>
          </w:tcPr>
          <w:p w14:paraId="0274229D">
            <w:pPr>
              <w:rPr>
                <w:rFonts w:ascii="宋体" w:hAnsi="宋体"/>
                <w:bCs/>
                <w:sz w:val="18"/>
                <w:szCs w:val="18"/>
              </w:rPr>
            </w:pPr>
            <w:r>
              <w:rPr>
                <w:rFonts w:hint="eastAsia" w:ascii="宋体" w:hAnsi="宋体"/>
                <w:bCs/>
                <w:sz w:val="18"/>
                <w:szCs w:val="18"/>
              </w:rPr>
              <w:t>灭鼠消杀：建筑物、天台、消防通道、地下室、绿化带等每月消杀1次。</w:t>
            </w:r>
          </w:p>
        </w:tc>
        <w:tc>
          <w:tcPr>
            <w:tcW w:w="328" w:type="pct"/>
            <w:vAlign w:val="center"/>
          </w:tcPr>
          <w:p w14:paraId="3CC7B6AA">
            <w:pPr>
              <w:jc w:val="center"/>
              <w:rPr>
                <w:rFonts w:ascii="宋体" w:hAnsi="宋体"/>
                <w:bCs/>
                <w:sz w:val="18"/>
                <w:szCs w:val="18"/>
              </w:rPr>
            </w:pPr>
            <w:r>
              <w:rPr>
                <w:rFonts w:ascii="宋体" w:hAnsi="宋体"/>
                <w:bCs/>
                <w:sz w:val="18"/>
                <w:szCs w:val="18"/>
              </w:rPr>
              <w:t>1</w:t>
            </w:r>
          </w:p>
        </w:tc>
        <w:tc>
          <w:tcPr>
            <w:tcW w:w="642" w:type="pct"/>
            <w:vMerge w:val="restart"/>
            <w:vAlign w:val="center"/>
          </w:tcPr>
          <w:p w14:paraId="543A095A">
            <w:pPr>
              <w:rPr>
                <w:rFonts w:ascii="宋体" w:hAnsi="宋体"/>
                <w:bCs/>
                <w:sz w:val="18"/>
                <w:szCs w:val="18"/>
              </w:rPr>
            </w:pPr>
            <w:r>
              <w:rPr>
                <w:rFonts w:hint="eastAsia" w:ascii="宋体" w:hAnsi="宋体"/>
                <w:bCs/>
                <w:sz w:val="18"/>
                <w:szCs w:val="18"/>
              </w:rPr>
              <w:t>缺失一项扣1分，直至扣完为止。</w:t>
            </w:r>
          </w:p>
        </w:tc>
        <w:tc>
          <w:tcPr>
            <w:tcW w:w="559" w:type="pct"/>
            <w:vMerge w:val="restart"/>
            <w:vAlign w:val="center"/>
          </w:tcPr>
          <w:p w14:paraId="705C0604">
            <w:pPr>
              <w:jc w:val="center"/>
              <w:rPr>
                <w:rFonts w:ascii="宋体" w:hAnsi="宋体"/>
                <w:bCs/>
                <w:sz w:val="18"/>
                <w:szCs w:val="18"/>
              </w:rPr>
            </w:pPr>
            <w:r>
              <w:rPr>
                <w:rFonts w:hint="eastAsia" w:ascii="宋体" w:hAnsi="宋体"/>
                <w:bCs/>
                <w:sz w:val="18"/>
                <w:szCs w:val="18"/>
              </w:rPr>
              <w:t>现场检查</w:t>
            </w:r>
          </w:p>
          <w:p w14:paraId="44217EA0">
            <w:pPr>
              <w:jc w:val="center"/>
              <w:rPr>
                <w:rFonts w:ascii="宋体" w:hAnsi="宋体"/>
                <w:bCs/>
                <w:sz w:val="18"/>
                <w:szCs w:val="18"/>
              </w:rPr>
            </w:pPr>
            <w:r>
              <w:rPr>
                <w:rFonts w:hint="eastAsia" w:ascii="宋体" w:hAnsi="宋体"/>
                <w:bCs/>
                <w:sz w:val="18"/>
                <w:szCs w:val="18"/>
              </w:rPr>
              <w:t>及查看工作日志和记录</w:t>
            </w:r>
          </w:p>
        </w:tc>
        <w:tc>
          <w:tcPr>
            <w:tcW w:w="519" w:type="pct"/>
            <w:vAlign w:val="center"/>
          </w:tcPr>
          <w:p w14:paraId="7D1A7979">
            <w:pPr>
              <w:jc w:val="center"/>
              <w:rPr>
                <w:rFonts w:ascii="宋体" w:hAnsi="宋体"/>
                <w:bCs/>
                <w:sz w:val="18"/>
                <w:szCs w:val="18"/>
              </w:rPr>
            </w:pPr>
          </w:p>
        </w:tc>
        <w:tc>
          <w:tcPr>
            <w:tcW w:w="494" w:type="pct"/>
            <w:vAlign w:val="center"/>
          </w:tcPr>
          <w:p w14:paraId="30C91DFE">
            <w:pPr>
              <w:jc w:val="center"/>
              <w:rPr>
                <w:rFonts w:ascii="宋体" w:hAnsi="宋体"/>
                <w:bCs/>
                <w:sz w:val="18"/>
                <w:szCs w:val="18"/>
              </w:rPr>
            </w:pPr>
          </w:p>
        </w:tc>
      </w:tr>
      <w:tr w14:paraId="22C1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16EA5DEA">
            <w:pPr>
              <w:jc w:val="center"/>
              <w:rPr>
                <w:rFonts w:ascii="宋体" w:hAnsi="宋体"/>
                <w:bCs/>
                <w:sz w:val="18"/>
                <w:szCs w:val="18"/>
              </w:rPr>
            </w:pPr>
          </w:p>
        </w:tc>
        <w:tc>
          <w:tcPr>
            <w:tcW w:w="349" w:type="pct"/>
            <w:vMerge w:val="continue"/>
            <w:vAlign w:val="center"/>
          </w:tcPr>
          <w:p w14:paraId="542A0A38">
            <w:pPr>
              <w:jc w:val="center"/>
              <w:rPr>
                <w:rFonts w:ascii="宋体" w:hAnsi="宋体"/>
                <w:bCs/>
                <w:szCs w:val="21"/>
              </w:rPr>
            </w:pPr>
          </w:p>
        </w:tc>
        <w:tc>
          <w:tcPr>
            <w:tcW w:w="294" w:type="pct"/>
            <w:vMerge w:val="continue"/>
            <w:vAlign w:val="center"/>
          </w:tcPr>
          <w:p w14:paraId="064C3F1D">
            <w:pPr>
              <w:jc w:val="center"/>
              <w:rPr>
                <w:rFonts w:ascii="宋体" w:hAnsi="宋体"/>
                <w:bCs/>
                <w:sz w:val="18"/>
                <w:szCs w:val="18"/>
              </w:rPr>
            </w:pPr>
          </w:p>
        </w:tc>
        <w:tc>
          <w:tcPr>
            <w:tcW w:w="1631" w:type="pct"/>
            <w:vAlign w:val="center"/>
          </w:tcPr>
          <w:p w14:paraId="123E5199">
            <w:pPr>
              <w:rPr>
                <w:rFonts w:ascii="宋体" w:hAnsi="宋体"/>
                <w:bCs/>
                <w:sz w:val="18"/>
                <w:szCs w:val="18"/>
              </w:rPr>
            </w:pPr>
            <w:r>
              <w:rPr>
                <w:rFonts w:hint="eastAsia" w:ascii="宋体" w:hAnsi="宋体"/>
                <w:bCs/>
                <w:sz w:val="18"/>
                <w:szCs w:val="18"/>
              </w:rPr>
              <w:t>灭蝇消杀：建筑物、垃圾桶、垃圾房每月1次。</w:t>
            </w:r>
          </w:p>
        </w:tc>
        <w:tc>
          <w:tcPr>
            <w:tcW w:w="328" w:type="pct"/>
            <w:vAlign w:val="center"/>
          </w:tcPr>
          <w:p w14:paraId="04CBDB14">
            <w:pPr>
              <w:jc w:val="center"/>
              <w:rPr>
                <w:rFonts w:ascii="宋体" w:hAnsi="宋体"/>
                <w:bCs/>
                <w:sz w:val="18"/>
                <w:szCs w:val="18"/>
              </w:rPr>
            </w:pPr>
            <w:r>
              <w:rPr>
                <w:rFonts w:ascii="宋体" w:hAnsi="宋体"/>
                <w:bCs/>
                <w:sz w:val="18"/>
                <w:szCs w:val="18"/>
              </w:rPr>
              <w:t>1</w:t>
            </w:r>
          </w:p>
        </w:tc>
        <w:tc>
          <w:tcPr>
            <w:tcW w:w="642" w:type="pct"/>
            <w:vMerge w:val="continue"/>
            <w:vAlign w:val="center"/>
          </w:tcPr>
          <w:p w14:paraId="59AD2063">
            <w:pPr>
              <w:rPr>
                <w:rFonts w:ascii="宋体" w:hAnsi="宋体"/>
                <w:bCs/>
                <w:sz w:val="18"/>
                <w:szCs w:val="18"/>
              </w:rPr>
            </w:pPr>
          </w:p>
        </w:tc>
        <w:tc>
          <w:tcPr>
            <w:tcW w:w="559" w:type="pct"/>
            <w:vMerge w:val="continue"/>
            <w:vAlign w:val="center"/>
          </w:tcPr>
          <w:p w14:paraId="58F83B40">
            <w:pPr>
              <w:jc w:val="center"/>
              <w:rPr>
                <w:rFonts w:ascii="宋体" w:hAnsi="宋体"/>
                <w:bCs/>
                <w:sz w:val="18"/>
                <w:szCs w:val="18"/>
              </w:rPr>
            </w:pPr>
          </w:p>
        </w:tc>
        <w:tc>
          <w:tcPr>
            <w:tcW w:w="519" w:type="pct"/>
            <w:vAlign w:val="center"/>
          </w:tcPr>
          <w:p w14:paraId="4B30C798">
            <w:pPr>
              <w:jc w:val="center"/>
              <w:rPr>
                <w:rFonts w:ascii="宋体" w:hAnsi="宋体"/>
                <w:bCs/>
                <w:sz w:val="18"/>
                <w:szCs w:val="18"/>
              </w:rPr>
            </w:pPr>
          </w:p>
        </w:tc>
        <w:tc>
          <w:tcPr>
            <w:tcW w:w="494" w:type="pct"/>
            <w:vAlign w:val="center"/>
          </w:tcPr>
          <w:p w14:paraId="0A26E1EA">
            <w:pPr>
              <w:jc w:val="center"/>
              <w:rPr>
                <w:rFonts w:ascii="宋体" w:hAnsi="宋体"/>
                <w:bCs/>
                <w:sz w:val="18"/>
                <w:szCs w:val="18"/>
              </w:rPr>
            </w:pPr>
          </w:p>
        </w:tc>
      </w:tr>
      <w:tr w14:paraId="1C5A1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1CC2FF3A">
            <w:pPr>
              <w:jc w:val="center"/>
              <w:rPr>
                <w:rFonts w:ascii="宋体" w:hAnsi="宋体"/>
                <w:bCs/>
                <w:sz w:val="18"/>
                <w:szCs w:val="18"/>
              </w:rPr>
            </w:pPr>
          </w:p>
        </w:tc>
        <w:tc>
          <w:tcPr>
            <w:tcW w:w="349" w:type="pct"/>
            <w:vMerge w:val="continue"/>
            <w:vAlign w:val="center"/>
          </w:tcPr>
          <w:p w14:paraId="17568D36">
            <w:pPr>
              <w:jc w:val="center"/>
              <w:rPr>
                <w:rFonts w:ascii="宋体" w:hAnsi="宋体"/>
                <w:bCs/>
                <w:szCs w:val="21"/>
              </w:rPr>
            </w:pPr>
          </w:p>
        </w:tc>
        <w:tc>
          <w:tcPr>
            <w:tcW w:w="294" w:type="pct"/>
            <w:vMerge w:val="continue"/>
            <w:vAlign w:val="center"/>
          </w:tcPr>
          <w:p w14:paraId="576A92F2">
            <w:pPr>
              <w:jc w:val="center"/>
              <w:rPr>
                <w:rFonts w:ascii="宋体" w:hAnsi="宋体"/>
                <w:bCs/>
                <w:sz w:val="18"/>
                <w:szCs w:val="18"/>
              </w:rPr>
            </w:pPr>
          </w:p>
        </w:tc>
        <w:tc>
          <w:tcPr>
            <w:tcW w:w="1631" w:type="pct"/>
            <w:vAlign w:val="center"/>
          </w:tcPr>
          <w:p w14:paraId="41E9A517">
            <w:pPr>
              <w:rPr>
                <w:rFonts w:ascii="宋体" w:hAnsi="宋体"/>
                <w:bCs/>
                <w:sz w:val="18"/>
                <w:szCs w:val="18"/>
              </w:rPr>
            </w:pPr>
            <w:r>
              <w:rPr>
                <w:rFonts w:hint="eastAsia" w:ascii="宋体" w:hAnsi="宋体"/>
                <w:bCs/>
                <w:sz w:val="18"/>
                <w:szCs w:val="18"/>
              </w:rPr>
              <w:t>灭蟑消杀：建筑物内、下水道、污水井、雨水井每周2-3次。</w:t>
            </w:r>
          </w:p>
        </w:tc>
        <w:tc>
          <w:tcPr>
            <w:tcW w:w="328" w:type="pct"/>
            <w:vAlign w:val="center"/>
          </w:tcPr>
          <w:p w14:paraId="57621085">
            <w:pPr>
              <w:jc w:val="center"/>
              <w:rPr>
                <w:rFonts w:ascii="宋体" w:hAnsi="宋体"/>
                <w:bCs/>
                <w:sz w:val="18"/>
                <w:szCs w:val="18"/>
              </w:rPr>
            </w:pPr>
            <w:r>
              <w:rPr>
                <w:rFonts w:ascii="宋体" w:hAnsi="宋体"/>
                <w:bCs/>
                <w:sz w:val="18"/>
                <w:szCs w:val="18"/>
              </w:rPr>
              <w:t>1</w:t>
            </w:r>
          </w:p>
        </w:tc>
        <w:tc>
          <w:tcPr>
            <w:tcW w:w="642" w:type="pct"/>
            <w:vMerge w:val="continue"/>
            <w:vAlign w:val="center"/>
          </w:tcPr>
          <w:p w14:paraId="6117EF3D">
            <w:pPr>
              <w:rPr>
                <w:rFonts w:ascii="宋体" w:hAnsi="宋体"/>
                <w:bCs/>
                <w:sz w:val="18"/>
                <w:szCs w:val="18"/>
              </w:rPr>
            </w:pPr>
          </w:p>
        </w:tc>
        <w:tc>
          <w:tcPr>
            <w:tcW w:w="559" w:type="pct"/>
            <w:vMerge w:val="continue"/>
            <w:vAlign w:val="center"/>
          </w:tcPr>
          <w:p w14:paraId="15D965C5">
            <w:pPr>
              <w:jc w:val="center"/>
              <w:rPr>
                <w:rFonts w:ascii="宋体" w:hAnsi="宋体"/>
                <w:bCs/>
                <w:sz w:val="18"/>
                <w:szCs w:val="18"/>
              </w:rPr>
            </w:pPr>
          </w:p>
        </w:tc>
        <w:tc>
          <w:tcPr>
            <w:tcW w:w="519" w:type="pct"/>
            <w:vAlign w:val="center"/>
          </w:tcPr>
          <w:p w14:paraId="514F96F7">
            <w:pPr>
              <w:jc w:val="center"/>
              <w:rPr>
                <w:rFonts w:ascii="宋体" w:hAnsi="宋体"/>
                <w:bCs/>
                <w:sz w:val="18"/>
                <w:szCs w:val="18"/>
              </w:rPr>
            </w:pPr>
          </w:p>
        </w:tc>
        <w:tc>
          <w:tcPr>
            <w:tcW w:w="494" w:type="pct"/>
            <w:vAlign w:val="center"/>
          </w:tcPr>
          <w:p w14:paraId="6EE0FBA7">
            <w:pPr>
              <w:jc w:val="center"/>
              <w:rPr>
                <w:rFonts w:ascii="宋体" w:hAnsi="宋体"/>
                <w:bCs/>
                <w:sz w:val="18"/>
                <w:szCs w:val="18"/>
              </w:rPr>
            </w:pPr>
          </w:p>
        </w:tc>
      </w:tr>
      <w:tr w14:paraId="760D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1C5BCBB3">
            <w:pPr>
              <w:jc w:val="center"/>
              <w:rPr>
                <w:rFonts w:ascii="宋体" w:hAnsi="宋体"/>
                <w:bCs/>
                <w:sz w:val="18"/>
                <w:szCs w:val="18"/>
              </w:rPr>
            </w:pPr>
          </w:p>
        </w:tc>
        <w:tc>
          <w:tcPr>
            <w:tcW w:w="349" w:type="pct"/>
            <w:vMerge w:val="continue"/>
            <w:vAlign w:val="center"/>
          </w:tcPr>
          <w:p w14:paraId="2FAE16E3">
            <w:pPr>
              <w:jc w:val="center"/>
              <w:rPr>
                <w:rFonts w:ascii="宋体" w:hAnsi="宋体"/>
                <w:bCs/>
                <w:szCs w:val="21"/>
              </w:rPr>
            </w:pPr>
          </w:p>
        </w:tc>
        <w:tc>
          <w:tcPr>
            <w:tcW w:w="294" w:type="pct"/>
            <w:vMerge w:val="continue"/>
            <w:vAlign w:val="center"/>
          </w:tcPr>
          <w:p w14:paraId="1B6D4C86">
            <w:pPr>
              <w:jc w:val="center"/>
              <w:rPr>
                <w:rFonts w:ascii="宋体" w:hAnsi="宋体"/>
                <w:bCs/>
                <w:sz w:val="18"/>
                <w:szCs w:val="18"/>
              </w:rPr>
            </w:pPr>
          </w:p>
        </w:tc>
        <w:tc>
          <w:tcPr>
            <w:tcW w:w="1631" w:type="pct"/>
            <w:vAlign w:val="center"/>
          </w:tcPr>
          <w:p w14:paraId="64712891">
            <w:pPr>
              <w:rPr>
                <w:rFonts w:ascii="宋体" w:hAnsi="宋体"/>
                <w:bCs/>
                <w:sz w:val="18"/>
                <w:szCs w:val="18"/>
              </w:rPr>
            </w:pPr>
            <w:r>
              <w:rPr>
                <w:rFonts w:hint="eastAsia" w:ascii="宋体" w:hAnsi="宋体"/>
                <w:bCs/>
                <w:sz w:val="18"/>
                <w:szCs w:val="18"/>
              </w:rPr>
              <w:t>灭白蚁消杀：①校园内林木、建筑物内专业白蚁防治每月1次。②随时发现蚁害及时消杀。</w:t>
            </w:r>
          </w:p>
        </w:tc>
        <w:tc>
          <w:tcPr>
            <w:tcW w:w="328" w:type="pct"/>
            <w:vAlign w:val="center"/>
          </w:tcPr>
          <w:p w14:paraId="37957A65">
            <w:pPr>
              <w:jc w:val="center"/>
              <w:rPr>
                <w:rFonts w:ascii="宋体" w:hAnsi="宋体"/>
                <w:bCs/>
                <w:sz w:val="18"/>
                <w:szCs w:val="18"/>
              </w:rPr>
            </w:pPr>
            <w:r>
              <w:rPr>
                <w:rFonts w:ascii="宋体" w:hAnsi="宋体"/>
                <w:bCs/>
                <w:sz w:val="18"/>
                <w:szCs w:val="18"/>
              </w:rPr>
              <w:t>1</w:t>
            </w:r>
          </w:p>
        </w:tc>
        <w:tc>
          <w:tcPr>
            <w:tcW w:w="642" w:type="pct"/>
            <w:vMerge w:val="continue"/>
            <w:vAlign w:val="center"/>
          </w:tcPr>
          <w:p w14:paraId="1D3BDEA9">
            <w:pPr>
              <w:rPr>
                <w:rFonts w:ascii="宋体" w:hAnsi="宋体"/>
                <w:bCs/>
                <w:sz w:val="18"/>
                <w:szCs w:val="18"/>
              </w:rPr>
            </w:pPr>
          </w:p>
        </w:tc>
        <w:tc>
          <w:tcPr>
            <w:tcW w:w="559" w:type="pct"/>
            <w:vMerge w:val="continue"/>
            <w:vAlign w:val="center"/>
          </w:tcPr>
          <w:p w14:paraId="1ED95F08">
            <w:pPr>
              <w:jc w:val="center"/>
              <w:rPr>
                <w:rFonts w:ascii="宋体" w:hAnsi="宋体"/>
                <w:bCs/>
                <w:sz w:val="18"/>
                <w:szCs w:val="18"/>
              </w:rPr>
            </w:pPr>
          </w:p>
        </w:tc>
        <w:tc>
          <w:tcPr>
            <w:tcW w:w="519" w:type="pct"/>
            <w:vAlign w:val="center"/>
          </w:tcPr>
          <w:p w14:paraId="6705D614">
            <w:pPr>
              <w:jc w:val="center"/>
              <w:rPr>
                <w:rFonts w:ascii="宋体" w:hAnsi="宋体"/>
                <w:bCs/>
                <w:sz w:val="18"/>
                <w:szCs w:val="18"/>
              </w:rPr>
            </w:pPr>
          </w:p>
        </w:tc>
        <w:tc>
          <w:tcPr>
            <w:tcW w:w="494" w:type="pct"/>
            <w:vAlign w:val="center"/>
          </w:tcPr>
          <w:p w14:paraId="2AD91032">
            <w:pPr>
              <w:jc w:val="center"/>
              <w:rPr>
                <w:rFonts w:ascii="宋体" w:hAnsi="宋体"/>
                <w:bCs/>
                <w:sz w:val="18"/>
                <w:szCs w:val="18"/>
              </w:rPr>
            </w:pPr>
          </w:p>
        </w:tc>
      </w:tr>
      <w:tr w14:paraId="63AC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80" w:type="pct"/>
            <w:vMerge w:val="continue"/>
            <w:vAlign w:val="center"/>
          </w:tcPr>
          <w:p w14:paraId="52A41FD2">
            <w:pPr>
              <w:jc w:val="center"/>
              <w:rPr>
                <w:rFonts w:ascii="宋体" w:hAnsi="宋体"/>
                <w:bCs/>
                <w:sz w:val="18"/>
                <w:szCs w:val="18"/>
              </w:rPr>
            </w:pPr>
          </w:p>
        </w:tc>
        <w:tc>
          <w:tcPr>
            <w:tcW w:w="349" w:type="pct"/>
            <w:vMerge w:val="continue"/>
            <w:vAlign w:val="center"/>
          </w:tcPr>
          <w:p w14:paraId="28ED2BEA">
            <w:pPr>
              <w:jc w:val="center"/>
              <w:rPr>
                <w:rFonts w:ascii="宋体" w:hAnsi="宋体"/>
                <w:bCs/>
                <w:szCs w:val="21"/>
              </w:rPr>
            </w:pPr>
          </w:p>
        </w:tc>
        <w:tc>
          <w:tcPr>
            <w:tcW w:w="294" w:type="pct"/>
            <w:vMerge w:val="continue"/>
            <w:vAlign w:val="center"/>
          </w:tcPr>
          <w:p w14:paraId="65FFAC2D">
            <w:pPr>
              <w:jc w:val="center"/>
              <w:rPr>
                <w:rFonts w:ascii="宋体" w:hAnsi="宋体"/>
                <w:bCs/>
                <w:sz w:val="18"/>
                <w:szCs w:val="18"/>
              </w:rPr>
            </w:pPr>
          </w:p>
        </w:tc>
        <w:tc>
          <w:tcPr>
            <w:tcW w:w="1631" w:type="pct"/>
            <w:vAlign w:val="center"/>
          </w:tcPr>
          <w:p w14:paraId="004D7C94">
            <w:pPr>
              <w:rPr>
                <w:rFonts w:ascii="宋体" w:hAnsi="宋体"/>
                <w:bCs/>
                <w:sz w:val="18"/>
                <w:szCs w:val="18"/>
              </w:rPr>
            </w:pPr>
            <w:r>
              <w:rPr>
                <w:rFonts w:hint="eastAsia" w:ascii="宋体" w:hAnsi="宋体"/>
                <w:bCs/>
                <w:sz w:val="18"/>
                <w:szCs w:val="18"/>
              </w:rPr>
              <w:t>灭蚊消杀：建筑物及地下室每月1次。</w:t>
            </w:r>
          </w:p>
        </w:tc>
        <w:tc>
          <w:tcPr>
            <w:tcW w:w="328" w:type="pct"/>
            <w:vAlign w:val="center"/>
          </w:tcPr>
          <w:p w14:paraId="551BB22B">
            <w:pPr>
              <w:jc w:val="center"/>
              <w:rPr>
                <w:rFonts w:ascii="宋体" w:hAnsi="宋体"/>
                <w:bCs/>
                <w:sz w:val="18"/>
                <w:szCs w:val="18"/>
              </w:rPr>
            </w:pPr>
            <w:r>
              <w:rPr>
                <w:rFonts w:ascii="宋体" w:hAnsi="宋体"/>
                <w:bCs/>
                <w:sz w:val="18"/>
                <w:szCs w:val="18"/>
              </w:rPr>
              <w:t>1</w:t>
            </w:r>
          </w:p>
        </w:tc>
        <w:tc>
          <w:tcPr>
            <w:tcW w:w="642" w:type="pct"/>
            <w:vMerge w:val="continue"/>
            <w:vAlign w:val="center"/>
          </w:tcPr>
          <w:p w14:paraId="6457703B">
            <w:pPr>
              <w:rPr>
                <w:rFonts w:ascii="宋体" w:hAnsi="宋体"/>
                <w:bCs/>
                <w:sz w:val="18"/>
                <w:szCs w:val="18"/>
              </w:rPr>
            </w:pPr>
          </w:p>
        </w:tc>
        <w:tc>
          <w:tcPr>
            <w:tcW w:w="559" w:type="pct"/>
            <w:vMerge w:val="continue"/>
            <w:vAlign w:val="center"/>
          </w:tcPr>
          <w:p w14:paraId="3578FA99">
            <w:pPr>
              <w:jc w:val="center"/>
              <w:rPr>
                <w:rFonts w:ascii="宋体" w:hAnsi="宋体"/>
                <w:bCs/>
                <w:sz w:val="18"/>
                <w:szCs w:val="18"/>
              </w:rPr>
            </w:pPr>
          </w:p>
        </w:tc>
        <w:tc>
          <w:tcPr>
            <w:tcW w:w="519" w:type="pct"/>
            <w:vAlign w:val="center"/>
          </w:tcPr>
          <w:p w14:paraId="13D33859">
            <w:pPr>
              <w:jc w:val="center"/>
              <w:rPr>
                <w:rFonts w:ascii="宋体" w:hAnsi="宋体"/>
                <w:bCs/>
                <w:sz w:val="18"/>
                <w:szCs w:val="18"/>
              </w:rPr>
            </w:pPr>
          </w:p>
        </w:tc>
        <w:tc>
          <w:tcPr>
            <w:tcW w:w="494" w:type="pct"/>
            <w:vAlign w:val="center"/>
          </w:tcPr>
          <w:p w14:paraId="4CE0E24D">
            <w:pPr>
              <w:jc w:val="center"/>
              <w:rPr>
                <w:rFonts w:ascii="宋体" w:hAnsi="宋体"/>
                <w:bCs/>
                <w:sz w:val="18"/>
                <w:szCs w:val="18"/>
              </w:rPr>
            </w:pPr>
          </w:p>
        </w:tc>
      </w:tr>
      <w:tr w14:paraId="081D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80" w:type="pct"/>
            <w:vMerge w:val="restart"/>
            <w:vAlign w:val="center"/>
          </w:tcPr>
          <w:p w14:paraId="0D70F0D3">
            <w:pPr>
              <w:jc w:val="center"/>
              <w:rPr>
                <w:rFonts w:ascii="宋体" w:hAnsi="宋体"/>
                <w:bCs/>
                <w:sz w:val="18"/>
                <w:szCs w:val="18"/>
              </w:rPr>
            </w:pPr>
            <w:r>
              <w:rPr>
                <w:rFonts w:hint="eastAsia" w:ascii="宋体" w:hAnsi="宋体"/>
                <w:bCs/>
                <w:sz w:val="18"/>
                <w:szCs w:val="18"/>
              </w:rPr>
              <w:t>四</w:t>
            </w:r>
          </w:p>
        </w:tc>
        <w:tc>
          <w:tcPr>
            <w:tcW w:w="349" w:type="pct"/>
            <w:vMerge w:val="restart"/>
            <w:vAlign w:val="center"/>
          </w:tcPr>
          <w:p w14:paraId="00060F51">
            <w:pPr>
              <w:jc w:val="center"/>
              <w:rPr>
                <w:rFonts w:ascii="宋体" w:hAnsi="宋体"/>
                <w:bCs/>
                <w:szCs w:val="21"/>
              </w:rPr>
            </w:pPr>
            <w:r>
              <w:rPr>
                <w:rFonts w:hint="eastAsia" w:ascii="宋体" w:hAnsi="宋体"/>
                <w:bCs/>
                <w:szCs w:val="21"/>
              </w:rPr>
              <w:t>消杀服务检查标准</w:t>
            </w:r>
          </w:p>
        </w:tc>
        <w:tc>
          <w:tcPr>
            <w:tcW w:w="294" w:type="pct"/>
            <w:vMerge w:val="restart"/>
            <w:vAlign w:val="center"/>
          </w:tcPr>
          <w:p w14:paraId="3AC8BC40">
            <w:pPr>
              <w:jc w:val="center"/>
              <w:rPr>
                <w:rFonts w:ascii="宋体" w:hAnsi="宋体"/>
                <w:bCs/>
                <w:sz w:val="18"/>
                <w:szCs w:val="18"/>
              </w:rPr>
            </w:pPr>
            <w:r>
              <w:rPr>
                <w:rFonts w:hint="eastAsia" w:ascii="宋体" w:hAnsi="宋体"/>
                <w:bCs/>
                <w:sz w:val="18"/>
                <w:szCs w:val="18"/>
              </w:rPr>
              <w:t>10</w:t>
            </w:r>
          </w:p>
        </w:tc>
        <w:tc>
          <w:tcPr>
            <w:tcW w:w="1631" w:type="pct"/>
            <w:vAlign w:val="center"/>
          </w:tcPr>
          <w:p w14:paraId="61251211">
            <w:pPr>
              <w:rPr>
                <w:rFonts w:ascii="宋体" w:hAnsi="宋体"/>
                <w:bCs/>
                <w:sz w:val="18"/>
                <w:szCs w:val="18"/>
              </w:rPr>
            </w:pPr>
            <w:r>
              <w:rPr>
                <w:rFonts w:hint="eastAsia" w:ascii="宋体" w:hAnsi="宋体"/>
                <w:bCs/>
                <w:sz w:val="18"/>
                <w:szCs w:val="18"/>
              </w:rPr>
              <w:t>灭鼠消杀： ①建筑物的阳性地方无鼠痕和鼠迹，不能见老鼠活动。②白天在室内外不见老鼠活动，绿化地上无鼠洞。</w:t>
            </w:r>
          </w:p>
        </w:tc>
        <w:tc>
          <w:tcPr>
            <w:tcW w:w="328" w:type="pct"/>
            <w:vAlign w:val="center"/>
          </w:tcPr>
          <w:p w14:paraId="4F8BF240">
            <w:pPr>
              <w:jc w:val="center"/>
              <w:rPr>
                <w:rFonts w:ascii="宋体" w:hAnsi="宋体"/>
                <w:bCs/>
                <w:sz w:val="18"/>
                <w:szCs w:val="18"/>
              </w:rPr>
            </w:pPr>
            <w:r>
              <w:rPr>
                <w:rFonts w:ascii="宋体" w:hAnsi="宋体"/>
                <w:bCs/>
                <w:sz w:val="18"/>
                <w:szCs w:val="18"/>
              </w:rPr>
              <w:t>2</w:t>
            </w:r>
          </w:p>
        </w:tc>
        <w:tc>
          <w:tcPr>
            <w:tcW w:w="642" w:type="pct"/>
            <w:vAlign w:val="center"/>
          </w:tcPr>
          <w:p w14:paraId="2F334590">
            <w:pPr>
              <w:rPr>
                <w:rFonts w:ascii="宋体" w:hAnsi="宋体"/>
                <w:bCs/>
                <w:sz w:val="18"/>
                <w:szCs w:val="18"/>
              </w:rPr>
            </w:pPr>
            <w:r>
              <w:rPr>
                <w:rFonts w:hint="eastAsia" w:ascii="宋体" w:hAnsi="宋体"/>
                <w:bCs/>
                <w:sz w:val="18"/>
                <w:szCs w:val="18"/>
              </w:rPr>
              <w:t>未达标每项扣2分，直至扣完为止。</w:t>
            </w:r>
          </w:p>
        </w:tc>
        <w:tc>
          <w:tcPr>
            <w:tcW w:w="559" w:type="pct"/>
            <w:vMerge w:val="restart"/>
            <w:vAlign w:val="center"/>
          </w:tcPr>
          <w:p w14:paraId="32280EF0">
            <w:pPr>
              <w:jc w:val="center"/>
              <w:rPr>
                <w:rFonts w:ascii="宋体" w:hAnsi="宋体"/>
                <w:bCs/>
                <w:sz w:val="18"/>
                <w:szCs w:val="18"/>
              </w:rPr>
            </w:pPr>
            <w:r>
              <w:rPr>
                <w:rFonts w:hint="eastAsia" w:ascii="宋体" w:hAnsi="宋体"/>
                <w:bCs/>
                <w:sz w:val="18"/>
                <w:szCs w:val="18"/>
              </w:rPr>
              <w:t>现场检查</w:t>
            </w:r>
          </w:p>
        </w:tc>
        <w:tc>
          <w:tcPr>
            <w:tcW w:w="519" w:type="pct"/>
            <w:vAlign w:val="center"/>
          </w:tcPr>
          <w:p w14:paraId="4D35B310">
            <w:pPr>
              <w:jc w:val="center"/>
              <w:rPr>
                <w:rFonts w:ascii="宋体" w:hAnsi="宋体"/>
                <w:bCs/>
                <w:sz w:val="18"/>
                <w:szCs w:val="18"/>
              </w:rPr>
            </w:pPr>
          </w:p>
        </w:tc>
        <w:tc>
          <w:tcPr>
            <w:tcW w:w="494" w:type="pct"/>
            <w:vAlign w:val="center"/>
          </w:tcPr>
          <w:p w14:paraId="644BD0E7">
            <w:pPr>
              <w:jc w:val="center"/>
              <w:rPr>
                <w:rFonts w:ascii="宋体" w:hAnsi="宋体"/>
                <w:bCs/>
                <w:sz w:val="18"/>
                <w:szCs w:val="18"/>
              </w:rPr>
            </w:pPr>
          </w:p>
        </w:tc>
      </w:tr>
      <w:tr w14:paraId="2048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80" w:type="pct"/>
            <w:vMerge w:val="continue"/>
            <w:vAlign w:val="center"/>
          </w:tcPr>
          <w:p w14:paraId="338743DD">
            <w:pPr>
              <w:jc w:val="center"/>
              <w:rPr>
                <w:rFonts w:ascii="宋体" w:hAnsi="宋体"/>
                <w:bCs/>
                <w:sz w:val="18"/>
                <w:szCs w:val="18"/>
              </w:rPr>
            </w:pPr>
          </w:p>
        </w:tc>
        <w:tc>
          <w:tcPr>
            <w:tcW w:w="349" w:type="pct"/>
            <w:vMerge w:val="continue"/>
            <w:vAlign w:val="center"/>
          </w:tcPr>
          <w:p w14:paraId="49168AF9">
            <w:pPr>
              <w:jc w:val="center"/>
              <w:rPr>
                <w:rFonts w:ascii="宋体" w:hAnsi="宋体"/>
                <w:bCs/>
                <w:sz w:val="18"/>
                <w:szCs w:val="18"/>
              </w:rPr>
            </w:pPr>
          </w:p>
        </w:tc>
        <w:tc>
          <w:tcPr>
            <w:tcW w:w="294" w:type="pct"/>
            <w:vMerge w:val="continue"/>
            <w:vAlign w:val="center"/>
          </w:tcPr>
          <w:p w14:paraId="0662FFCC">
            <w:pPr>
              <w:jc w:val="center"/>
              <w:rPr>
                <w:rFonts w:ascii="宋体" w:hAnsi="宋体"/>
                <w:bCs/>
                <w:sz w:val="18"/>
                <w:szCs w:val="18"/>
              </w:rPr>
            </w:pPr>
          </w:p>
        </w:tc>
        <w:tc>
          <w:tcPr>
            <w:tcW w:w="1631" w:type="pct"/>
            <w:vAlign w:val="center"/>
          </w:tcPr>
          <w:p w14:paraId="12EF23BA">
            <w:pPr>
              <w:rPr>
                <w:rFonts w:ascii="宋体" w:hAnsi="宋体"/>
                <w:bCs/>
                <w:sz w:val="18"/>
                <w:szCs w:val="18"/>
              </w:rPr>
            </w:pPr>
            <w:r>
              <w:rPr>
                <w:rFonts w:hint="eastAsia" w:ascii="宋体" w:hAnsi="宋体"/>
                <w:bCs/>
                <w:sz w:val="18"/>
                <w:szCs w:val="18"/>
              </w:rPr>
              <w:t>灭蝇消杀： ①建筑物白天和晚上在室内不得见有苍蝇。②垃圾房、垃圾桶周围可见范围内的苍蝇数目不得超过6只。</w:t>
            </w:r>
          </w:p>
        </w:tc>
        <w:tc>
          <w:tcPr>
            <w:tcW w:w="328" w:type="pct"/>
            <w:vAlign w:val="center"/>
          </w:tcPr>
          <w:p w14:paraId="6C7835B2">
            <w:pPr>
              <w:jc w:val="center"/>
              <w:rPr>
                <w:rFonts w:ascii="宋体" w:hAnsi="宋体"/>
                <w:bCs/>
                <w:sz w:val="18"/>
                <w:szCs w:val="18"/>
              </w:rPr>
            </w:pPr>
            <w:r>
              <w:rPr>
                <w:rFonts w:ascii="宋体" w:hAnsi="宋体"/>
                <w:bCs/>
                <w:sz w:val="18"/>
                <w:szCs w:val="18"/>
              </w:rPr>
              <w:t>2</w:t>
            </w:r>
          </w:p>
        </w:tc>
        <w:tc>
          <w:tcPr>
            <w:tcW w:w="642" w:type="pct"/>
            <w:vAlign w:val="center"/>
          </w:tcPr>
          <w:p w14:paraId="7970400B">
            <w:pPr>
              <w:rPr>
                <w:rFonts w:ascii="宋体" w:hAnsi="宋体"/>
                <w:bCs/>
                <w:sz w:val="18"/>
                <w:szCs w:val="18"/>
              </w:rPr>
            </w:pPr>
            <w:r>
              <w:rPr>
                <w:rFonts w:hint="eastAsia" w:ascii="宋体" w:hAnsi="宋体"/>
                <w:bCs/>
                <w:sz w:val="18"/>
                <w:szCs w:val="18"/>
              </w:rPr>
              <w:t>未达标每项扣2分，直至扣完为止。</w:t>
            </w:r>
          </w:p>
        </w:tc>
        <w:tc>
          <w:tcPr>
            <w:tcW w:w="559" w:type="pct"/>
            <w:vMerge w:val="continue"/>
            <w:vAlign w:val="center"/>
          </w:tcPr>
          <w:p w14:paraId="6DAE96D1">
            <w:pPr>
              <w:jc w:val="center"/>
              <w:rPr>
                <w:rFonts w:ascii="宋体" w:hAnsi="宋体"/>
                <w:bCs/>
                <w:sz w:val="18"/>
                <w:szCs w:val="18"/>
              </w:rPr>
            </w:pPr>
          </w:p>
        </w:tc>
        <w:tc>
          <w:tcPr>
            <w:tcW w:w="519" w:type="pct"/>
            <w:vAlign w:val="center"/>
          </w:tcPr>
          <w:p w14:paraId="57DB9A82">
            <w:pPr>
              <w:jc w:val="center"/>
              <w:rPr>
                <w:rFonts w:ascii="宋体" w:hAnsi="宋体"/>
                <w:bCs/>
                <w:sz w:val="18"/>
                <w:szCs w:val="18"/>
              </w:rPr>
            </w:pPr>
          </w:p>
        </w:tc>
        <w:tc>
          <w:tcPr>
            <w:tcW w:w="494" w:type="pct"/>
            <w:vAlign w:val="center"/>
          </w:tcPr>
          <w:p w14:paraId="21F0E177">
            <w:pPr>
              <w:jc w:val="center"/>
              <w:rPr>
                <w:rFonts w:ascii="宋体" w:hAnsi="宋体"/>
                <w:bCs/>
                <w:sz w:val="18"/>
                <w:szCs w:val="18"/>
              </w:rPr>
            </w:pPr>
          </w:p>
        </w:tc>
      </w:tr>
      <w:tr w14:paraId="68E6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80" w:type="pct"/>
            <w:vMerge w:val="continue"/>
            <w:vAlign w:val="center"/>
          </w:tcPr>
          <w:p w14:paraId="64A3B02A">
            <w:pPr>
              <w:jc w:val="center"/>
              <w:rPr>
                <w:rFonts w:ascii="宋体" w:hAnsi="宋体"/>
                <w:bCs/>
                <w:sz w:val="18"/>
                <w:szCs w:val="18"/>
              </w:rPr>
            </w:pPr>
          </w:p>
        </w:tc>
        <w:tc>
          <w:tcPr>
            <w:tcW w:w="349" w:type="pct"/>
            <w:vMerge w:val="continue"/>
            <w:vAlign w:val="center"/>
          </w:tcPr>
          <w:p w14:paraId="248239B7">
            <w:pPr>
              <w:jc w:val="center"/>
              <w:rPr>
                <w:rFonts w:ascii="宋体" w:hAnsi="宋体"/>
                <w:bCs/>
                <w:sz w:val="18"/>
                <w:szCs w:val="18"/>
              </w:rPr>
            </w:pPr>
          </w:p>
        </w:tc>
        <w:tc>
          <w:tcPr>
            <w:tcW w:w="294" w:type="pct"/>
            <w:vMerge w:val="continue"/>
            <w:vAlign w:val="center"/>
          </w:tcPr>
          <w:p w14:paraId="3E6270BE">
            <w:pPr>
              <w:jc w:val="center"/>
              <w:rPr>
                <w:rFonts w:ascii="宋体" w:hAnsi="宋体"/>
                <w:bCs/>
                <w:sz w:val="18"/>
                <w:szCs w:val="18"/>
              </w:rPr>
            </w:pPr>
          </w:p>
        </w:tc>
        <w:tc>
          <w:tcPr>
            <w:tcW w:w="1631" w:type="pct"/>
            <w:vAlign w:val="center"/>
          </w:tcPr>
          <w:p w14:paraId="471C9783">
            <w:pPr>
              <w:rPr>
                <w:rFonts w:ascii="宋体" w:hAnsi="宋体"/>
                <w:bCs/>
                <w:sz w:val="18"/>
                <w:szCs w:val="18"/>
              </w:rPr>
            </w:pPr>
            <w:r>
              <w:rPr>
                <w:rFonts w:hint="eastAsia" w:ascii="宋体" w:hAnsi="宋体"/>
                <w:bCs/>
                <w:sz w:val="18"/>
                <w:szCs w:val="18"/>
              </w:rPr>
              <w:t>灭蟑消杀： ①建筑物内白天和晚上在室内不得见蟑螂活动的痕迹。②下水道、污水井、雨水井平均查见数不超过每150㎡1只。</w:t>
            </w:r>
          </w:p>
        </w:tc>
        <w:tc>
          <w:tcPr>
            <w:tcW w:w="328" w:type="pct"/>
            <w:vAlign w:val="center"/>
          </w:tcPr>
          <w:p w14:paraId="3C90B52E">
            <w:pPr>
              <w:jc w:val="center"/>
              <w:rPr>
                <w:rFonts w:ascii="宋体" w:hAnsi="宋体"/>
                <w:bCs/>
                <w:sz w:val="18"/>
                <w:szCs w:val="18"/>
              </w:rPr>
            </w:pPr>
            <w:r>
              <w:rPr>
                <w:rFonts w:ascii="宋体" w:hAnsi="宋体"/>
                <w:bCs/>
                <w:sz w:val="18"/>
                <w:szCs w:val="18"/>
              </w:rPr>
              <w:t>2</w:t>
            </w:r>
          </w:p>
        </w:tc>
        <w:tc>
          <w:tcPr>
            <w:tcW w:w="642" w:type="pct"/>
            <w:vAlign w:val="center"/>
          </w:tcPr>
          <w:p w14:paraId="1E8511CA">
            <w:pPr>
              <w:rPr>
                <w:rFonts w:ascii="宋体" w:hAnsi="宋体"/>
                <w:bCs/>
                <w:sz w:val="18"/>
                <w:szCs w:val="18"/>
              </w:rPr>
            </w:pPr>
            <w:r>
              <w:rPr>
                <w:rFonts w:hint="eastAsia" w:ascii="宋体" w:hAnsi="宋体"/>
                <w:bCs/>
                <w:sz w:val="18"/>
                <w:szCs w:val="18"/>
              </w:rPr>
              <w:t>未达标每项扣2分，直至扣完为止。</w:t>
            </w:r>
          </w:p>
        </w:tc>
        <w:tc>
          <w:tcPr>
            <w:tcW w:w="559" w:type="pct"/>
            <w:vMerge w:val="continue"/>
            <w:vAlign w:val="center"/>
          </w:tcPr>
          <w:p w14:paraId="55C8E224">
            <w:pPr>
              <w:jc w:val="center"/>
              <w:rPr>
                <w:rFonts w:ascii="宋体" w:hAnsi="宋体"/>
                <w:bCs/>
                <w:sz w:val="18"/>
                <w:szCs w:val="18"/>
              </w:rPr>
            </w:pPr>
          </w:p>
        </w:tc>
        <w:tc>
          <w:tcPr>
            <w:tcW w:w="519" w:type="pct"/>
            <w:vAlign w:val="center"/>
          </w:tcPr>
          <w:p w14:paraId="0911EFA0">
            <w:pPr>
              <w:jc w:val="center"/>
              <w:rPr>
                <w:rFonts w:ascii="宋体" w:hAnsi="宋体"/>
                <w:bCs/>
                <w:sz w:val="18"/>
                <w:szCs w:val="18"/>
              </w:rPr>
            </w:pPr>
          </w:p>
        </w:tc>
        <w:tc>
          <w:tcPr>
            <w:tcW w:w="494" w:type="pct"/>
            <w:vAlign w:val="center"/>
          </w:tcPr>
          <w:p w14:paraId="1E2C84AE">
            <w:pPr>
              <w:jc w:val="center"/>
              <w:rPr>
                <w:rFonts w:ascii="宋体" w:hAnsi="宋体"/>
                <w:bCs/>
                <w:sz w:val="18"/>
                <w:szCs w:val="18"/>
              </w:rPr>
            </w:pPr>
          </w:p>
        </w:tc>
      </w:tr>
      <w:tr w14:paraId="4DF5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80" w:type="pct"/>
            <w:vMerge w:val="continue"/>
            <w:vAlign w:val="center"/>
          </w:tcPr>
          <w:p w14:paraId="47209EF7">
            <w:pPr>
              <w:jc w:val="center"/>
              <w:rPr>
                <w:rFonts w:ascii="宋体" w:hAnsi="宋体"/>
                <w:bCs/>
                <w:sz w:val="18"/>
                <w:szCs w:val="18"/>
              </w:rPr>
            </w:pPr>
          </w:p>
        </w:tc>
        <w:tc>
          <w:tcPr>
            <w:tcW w:w="349" w:type="pct"/>
            <w:vMerge w:val="continue"/>
            <w:vAlign w:val="center"/>
          </w:tcPr>
          <w:p w14:paraId="4396B9E6">
            <w:pPr>
              <w:jc w:val="center"/>
              <w:rPr>
                <w:rFonts w:ascii="宋体" w:hAnsi="宋体"/>
                <w:bCs/>
                <w:sz w:val="18"/>
                <w:szCs w:val="18"/>
              </w:rPr>
            </w:pPr>
          </w:p>
        </w:tc>
        <w:tc>
          <w:tcPr>
            <w:tcW w:w="294" w:type="pct"/>
            <w:vMerge w:val="continue"/>
            <w:vAlign w:val="center"/>
          </w:tcPr>
          <w:p w14:paraId="794D21DB">
            <w:pPr>
              <w:jc w:val="center"/>
              <w:rPr>
                <w:rFonts w:ascii="宋体" w:hAnsi="宋体"/>
                <w:bCs/>
                <w:sz w:val="18"/>
                <w:szCs w:val="18"/>
              </w:rPr>
            </w:pPr>
          </w:p>
        </w:tc>
        <w:tc>
          <w:tcPr>
            <w:tcW w:w="1631" w:type="pct"/>
            <w:vAlign w:val="center"/>
          </w:tcPr>
          <w:p w14:paraId="28DAF403">
            <w:pPr>
              <w:rPr>
                <w:rFonts w:ascii="宋体" w:hAnsi="宋体"/>
                <w:bCs/>
                <w:sz w:val="18"/>
                <w:szCs w:val="18"/>
              </w:rPr>
            </w:pPr>
            <w:r>
              <w:rPr>
                <w:rFonts w:hint="eastAsia" w:ascii="宋体" w:hAnsi="宋体"/>
                <w:bCs/>
                <w:sz w:val="18"/>
                <w:szCs w:val="18"/>
              </w:rPr>
              <w:t>灭白蚁消杀： 校园内林木、建筑物内无白蚁和蚁害现象。</w:t>
            </w:r>
          </w:p>
        </w:tc>
        <w:tc>
          <w:tcPr>
            <w:tcW w:w="328" w:type="pct"/>
            <w:vAlign w:val="center"/>
          </w:tcPr>
          <w:p w14:paraId="74EB6A89">
            <w:pPr>
              <w:jc w:val="center"/>
              <w:rPr>
                <w:rFonts w:ascii="宋体" w:hAnsi="宋体"/>
                <w:bCs/>
                <w:sz w:val="18"/>
                <w:szCs w:val="18"/>
              </w:rPr>
            </w:pPr>
            <w:r>
              <w:rPr>
                <w:rFonts w:ascii="宋体" w:hAnsi="宋体"/>
                <w:bCs/>
                <w:sz w:val="18"/>
                <w:szCs w:val="18"/>
              </w:rPr>
              <w:t>2</w:t>
            </w:r>
          </w:p>
        </w:tc>
        <w:tc>
          <w:tcPr>
            <w:tcW w:w="642" w:type="pct"/>
            <w:vAlign w:val="center"/>
          </w:tcPr>
          <w:p w14:paraId="0F5ED6DA">
            <w:pPr>
              <w:rPr>
                <w:rFonts w:ascii="宋体" w:hAnsi="宋体"/>
                <w:bCs/>
                <w:sz w:val="18"/>
                <w:szCs w:val="18"/>
              </w:rPr>
            </w:pPr>
            <w:r>
              <w:rPr>
                <w:rFonts w:hint="eastAsia" w:ascii="宋体" w:hAnsi="宋体"/>
                <w:bCs/>
                <w:sz w:val="18"/>
                <w:szCs w:val="18"/>
              </w:rPr>
              <w:t>未达标每项扣2分，直至扣完为止。</w:t>
            </w:r>
          </w:p>
        </w:tc>
        <w:tc>
          <w:tcPr>
            <w:tcW w:w="559" w:type="pct"/>
            <w:vMerge w:val="continue"/>
            <w:vAlign w:val="center"/>
          </w:tcPr>
          <w:p w14:paraId="0B0A5EC0">
            <w:pPr>
              <w:jc w:val="center"/>
              <w:rPr>
                <w:rFonts w:ascii="宋体" w:hAnsi="宋体"/>
                <w:bCs/>
                <w:sz w:val="18"/>
                <w:szCs w:val="18"/>
              </w:rPr>
            </w:pPr>
          </w:p>
        </w:tc>
        <w:tc>
          <w:tcPr>
            <w:tcW w:w="519" w:type="pct"/>
            <w:vAlign w:val="center"/>
          </w:tcPr>
          <w:p w14:paraId="4E67CC9C">
            <w:pPr>
              <w:jc w:val="center"/>
              <w:rPr>
                <w:rFonts w:ascii="宋体" w:hAnsi="宋体"/>
                <w:bCs/>
                <w:sz w:val="18"/>
                <w:szCs w:val="18"/>
              </w:rPr>
            </w:pPr>
          </w:p>
        </w:tc>
        <w:tc>
          <w:tcPr>
            <w:tcW w:w="494" w:type="pct"/>
            <w:vAlign w:val="center"/>
          </w:tcPr>
          <w:p w14:paraId="6B866641">
            <w:pPr>
              <w:jc w:val="center"/>
              <w:rPr>
                <w:rFonts w:ascii="宋体" w:hAnsi="宋体"/>
                <w:bCs/>
                <w:sz w:val="18"/>
                <w:szCs w:val="18"/>
              </w:rPr>
            </w:pPr>
          </w:p>
        </w:tc>
      </w:tr>
      <w:tr w14:paraId="36F4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80" w:type="pct"/>
            <w:vMerge w:val="continue"/>
            <w:vAlign w:val="center"/>
          </w:tcPr>
          <w:p w14:paraId="1C478518">
            <w:pPr>
              <w:jc w:val="center"/>
              <w:rPr>
                <w:rFonts w:ascii="宋体" w:hAnsi="宋体"/>
                <w:bCs/>
                <w:sz w:val="18"/>
                <w:szCs w:val="18"/>
              </w:rPr>
            </w:pPr>
          </w:p>
        </w:tc>
        <w:tc>
          <w:tcPr>
            <w:tcW w:w="349" w:type="pct"/>
            <w:vMerge w:val="continue"/>
            <w:vAlign w:val="center"/>
          </w:tcPr>
          <w:p w14:paraId="358B38BF">
            <w:pPr>
              <w:jc w:val="center"/>
              <w:rPr>
                <w:rFonts w:ascii="宋体" w:hAnsi="宋体"/>
                <w:bCs/>
                <w:sz w:val="18"/>
                <w:szCs w:val="18"/>
              </w:rPr>
            </w:pPr>
          </w:p>
        </w:tc>
        <w:tc>
          <w:tcPr>
            <w:tcW w:w="294" w:type="pct"/>
            <w:vMerge w:val="continue"/>
            <w:vAlign w:val="center"/>
          </w:tcPr>
          <w:p w14:paraId="556C5634">
            <w:pPr>
              <w:jc w:val="center"/>
              <w:rPr>
                <w:rFonts w:ascii="宋体" w:hAnsi="宋体"/>
                <w:bCs/>
                <w:sz w:val="18"/>
                <w:szCs w:val="18"/>
              </w:rPr>
            </w:pPr>
          </w:p>
        </w:tc>
        <w:tc>
          <w:tcPr>
            <w:tcW w:w="1631" w:type="pct"/>
            <w:vAlign w:val="center"/>
          </w:tcPr>
          <w:p w14:paraId="1EFEA74B">
            <w:pPr>
              <w:rPr>
                <w:rFonts w:ascii="宋体" w:hAnsi="宋体"/>
                <w:bCs/>
                <w:sz w:val="18"/>
                <w:szCs w:val="18"/>
              </w:rPr>
            </w:pPr>
            <w:r>
              <w:rPr>
                <w:rFonts w:hint="eastAsia" w:ascii="宋体" w:hAnsi="宋体"/>
                <w:bCs/>
                <w:sz w:val="18"/>
                <w:szCs w:val="18"/>
              </w:rPr>
              <w:t>灭蚊消杀： ①建筑物白天和晚上不得见有蚊虫。②地下室可见范围内蚊虫数目不超过10只。</w:t>
            </w:r>
          </w:p>
        </w:tc>
        <w:tc>
          <w:tcPr>
            <w:tcW w:w="328" w:type="pct"/>
            <w:vAlign w:val="center"/>
          </w:tcPr>
          <w:p w14:paraId="5456C881">
            <w:pPr>
              <w:jc w:val="center"/>
              <w:rPr>
                <w:rFonts w:ascii="宋体" w:hAnsi="宋体"/>
                <w:bCs/>
                <w:sz w:val="18"/>
                <w:szCs w:val="18"/>
              </w:rPr>
            </w:pPr>
            <w:r>
              <w:rPr>
                <w:rFonts w:ascii="宋体" w:hAnsi="宋体"/>
                <w:bCs/>
                <w:sz w:val="18"/>
                <w:szCs w:val="18"/>
              </w:rPr>
              <w:t>2</w:t>
            </w:r>
          </w:p>
        </w:tc>
        <w:tc>
          <w:tcPr>
            <w:tcW w:w="642" w:type="pct"/>
            <w:vAlign w:val="center"/>
          </w:tcPr>
          <w:p w14:paraId="4E8688E4">
            <w:pPr>
              <w:rPr>
                <w:rFonts w:ascii="宋体" w:hAnsi="宋体"/>
                <w:bCs/>
                <w:sz w:val="18"/>
                <w:szCs w:val="18"/>
              </w:rPr>
            </w:pPr>
            <w:r>
              <w:rPr>
                <w:rFonts w:hint="eastAsia" w:ascii="宋体" w:hAnsi="宋体"/>
                <w:bCs/>
                <w:sz w:val="18"/>
                <w:szCs w:val="18"/>
              </w:rPr>
              <w:t>未达标每项扣2分，直至扣完为止。</w:t>
            </w:r>
          </w:p>
        </w:tc>
        <w:tc>
          <w:tcPr>
            <w:tcW w:w="559" w:type="pct"/>
            <w:vMerge w:val="continue"/>
            <w:vAlign w:val="center"/>
          </w:tcPr>
          <w:p w14:paraId="283285DA">
            <w:pPr>
              <w:jc w:val="center"/>
              <w:rPr>
                <w:rFonts w:ascii="宋体" w:hAnsi="宋体"/>
                <w:bCs/>
                <w:sz w:val="18"/>
                <w:szCs w:val="18"/>
              </w:rPr>
            </w:pPr>
          </w:p>
        </w:tc>
        <w:tc>
          <w:tcPr>
            <w:tcW w:w="519" w:type="pct"/>
            <w:vAlign w:val="center"/>
          </w:tcPr>
          <w:p w14:paraId="2CE7A894">
            <w:pPr>
              <w:jc w:val="center"/>
              <w:rPr>
                <w:rFonts w:ascii="宋体" w:hAnsi="宋体"/>
                <w:bCs/>
                <w:sz w:val="18"/>
                <w:szCs w:val="18"/>
              </w:rPr>
            </w:pPr>
          </w:p>
        </w:tc>
        <w:tc>
          <w:tcPr>
            <w:tcW w:w="494" w:type="pct"/>
            <w:vAlign w:val="center"/>
          </w:tcPr>
          <w:p w14:paraId="011E48F9">
            <w:pPr>
              <w:jc w:val="center"/>
              <w:rPr>
                <w:rFonts w:ascii="宋体" w:hAnsi="宋体"/>
                <w:bCs/>
                <w:sz w:val="18"/>
                <w:szCs w:val="18"/>
              </w:rPr>
            </w:pPr>
          </w:p>
        </w:tc>
      </w:tr>
      <w:tr w14:paraId="2C6D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restart"/>
            <w:vAlign w:val="center"/>
          </w:tcPr>
          <w:p w14:paraId="4DB7E17A">
            <w:pPr>
              <w:rPr>
                <w:rFonts w:ascii="宋体" w:hAnsi="宋体"/>
                <w:bCs/>
                <w:sz w:val="18"/>
                <w:szCs w:val="18"/>
              </w:rPr>
            </w:pPr>
            <w:r>
              <w:rPr>
                <w:rFonts w:hint="eastAsia" w:ascii="宋体" w:hAnsi="宋体"/>
                <w:bCs/>
                <w:sz w:val="18"/>
                <w:szCs w:val="18"/>
              </w:rPr>
              <w:t>五</w:t>
            </w:r>
          </w:p>
        </w:tc>
        <w:tc>
          <w:tcPr>
            <w:tcW w:w="349" w:type="pct"/>
            <w:vMerge w:val="restart"/>
            <w:vAlign w:val="center"/>
          </w:tcPr>
          <w:p w14:paraId="4A1E9B7A">
            <w:pPr>
              <w:rPr>
                <w:rFonts w:ascii="宋体" w:hAnsi="宋体"/>
                <w:bCs/>
                <w:szCs w:val="21"/>
              </w:rPr>
            </w:pPr>
            <w:r>
              <w:rPr>
                <w:rFonts w:hint="eastAsia" w:ascii="宋体" w:hAnsi="宋体"/>
                <w:bCs/>
                <w:szCs w:val="21"/>
              </w:rPr>
              <w:t>室外公共区域保洁标准</w:t>
            </w:r>
          </w:p>
        </w:tc>
        <w:tc>
          <w:tcPr>
            <w:tcW w:w="294" w:type="pct"/>
            <w:vMerge w:val="restart"/>
            <w:vAlign w:val="center"/>
          </w:tcPr>
          <w:p w14:paraId="1C93CB9E">
            <w:pPr>
              <w:jc w:val="center"/>
              <w:rPr>
                <w:rFonts w:ascii="宋体" w:hAnsi="宋体"/>
                <w:bCs/>
                <w:sz w:val="18"/>
                <w:szCs w:val="18"/>
              </w:rPr>
            </w:pPr>
            <w:r>
              <w:rPr>
                <w:rFonts w:hint="eastAsia" w:ascii="宋体" w:hAnsi="宋体"/>
                <w:bCs/>
                <w:sz w:val="18"/>
                <w:szCs w:val="18"/>
              </w:rPr>
              <w:t>30</w:t>
            </w:r>
          </w:p>
        </w:tc>
        <w:tc>
          <w:tcPr>
            <w:tcW w:w="1631" w:type="pct"/>
            <w:vAlign w:val="center"/>
          </w:tcPr>
          <w:p w14:paraId="3E631D67">
            <w:pPr>
              <w:rPr>
                <w:rFonts w:ascii="宋体" w:hAnsi="宋体"/>
                <w:bCs/>
                <w:sz w:val="18"/>
                <w:szCs w:val="18"/>
              </w:rPr>
            </w:pPr>
            <w:r>
              <w:rPr>
                <w:rFonts w:hint="eastAsia" w:ascii="宋体" w:hAnsi="宋体"/>
                <w:bCs/>
                <w:sz w:val="18"/>
                <w:szCs w:val="18"/>
              </w:rPr>
              <w:t>道路、人行道：①地面无杂物、积水，无明显污渍、泥沙。②道路、人行道无污渍，每200㎡的烟头、纸屑、痰迹等控制在一个以内。③行人路面干净无浮尘、杂物、垃圾、香口胶和痰迹等。④路面垃圾滞留时间不能超过1小时。</w:t>
            </w:r>
          </w:p>
        </w:tc>
        <w:tc>
          <w:tcPr>
            <w:tcW w:w="328" w:type="pct"/>
            <w:vAlign w:val="center"/>
          </w:tcPr>
          <w:p w14:paraId="6312A77C">
            <w:pPr>
              <w:jc w:val="center"/>
              <w:rPr>
                <w:rFonts w:ascii="宋体" w:hAnsi="宋体"/>
                <w:bCs/>
                <w:sz w:val="18"/>
                <w:szCs w:val="18"/>
              </w:rPr>
            </w:pPr>
            <w:r>
              <w:rPr>
                <w:rFonts w:ascii="宋体" w:hAnsi="宋体"/>
                <w:bCs/>
                <w:sz w:val="18"/>
                <w:szCs w:val="18"/>
              </w:rPr>
              <w:t>4</w:t>
            </w:r>
          </w:p>
        </w:tc>
        <w:tc>
          <w:tcPr>
            <w:tcW w:w="642" w:type="pct"/>
            <w:vMerge w:val="restart"/>
            <w:vAlign w:val="center"/>
          </w:tcPr>
          <w:p w14:paraId="20320E84">
            <w:pPr>
              <w:rPr>
                <w:rFonts w:ascii="宋体" w:hAnsi="宋体"/>
                <w:bCs/>
                <w:sz w:val="18"/>
                <w:szCs w:val="18"/>
              </w:rPr>
            </w:pPr>
            <w:r>
              <w:rPr>
                <w:rFonts w:hint="eastAsia" w:ascii="宋体" w:hAnsi="宋体"/>
                <w:bCs/>
                <w:sz w:val="18"/>
                <w:szCs w:val="18"/>
              </w:rPr>
              <w:t>每项抽查２处，未达标扣2分，直至扣完为止。</w:t>
            </w:r>
          </w:p>
        </w:tc>
        <w:tc>
          <w:tcPr>
            <w:tcW w:w="559" w:type="pct"/>
            <w:vMerge w:val="restart"/>
            <w:vAlign w:val="center"/>
          </w:tcPr>
          <w:p w14:paraId="3A571FC8">
            <w:pPr>
              <w:jc w:val="center"/>
              <w:rPr>
                <w:rFonts w:ascii="宋体" w:hAnsi="宋体"/>
                <w:bCs/>
                <w:sz w:val="18"/>
                <w:szCs w:val="18"/>
              </w:rPr>
            </w:pPr>
            <w:r>
              <w:rPr>
                <w:rFonts w:hint="eastAsia" w:ascii="宋体" w:hAnsi="宋体"/>
                <w:bCs/>
                <w:sz w:val="18"/>
                <w:szCs w:val="18"/>
              </w:rPr>
              <w:t>现场检查</w:t>
            </w:r>
          </w:p>
        </w:tc>
        <w:tc>
          <w:tcPr>
            <w:tcW w:w="519" w:type="pct"/>
            <w:vAlign w:val="center"/>
          </w:tcPr>
          <w:p w14:paraId="7583989E">
            <w:pPr>
              <w:jc w:val="center"/>
              <w:rPr>
                <w:rFonts w:ascii="宋体" w:hAnsi="宋体"/>
                <w:bCs/>
                <w:sz w:val="18"/>
                <w:szCs w:val="18"/>
              </w:rPr>
            </w:pPr>
          </w:p>
        </w:tc>
        <w:tc>
          <w:tcPr>
            <w:tcW w:w="494" w:type="pct"/>
            <w:vAlign w:val="center"/>
          </w:tcPr>
          <w:p w14:paraId="1CBDE6D3">
            <w:pPr>
              <w:jc w:val="center"/>
              <w:rPr>
                <w:rFonts w:ascii="宋体" w:hAnsi="宋体"/>
                <w:bCs/>
                <w:sz w:val="18"/>
                <w:szCs w:val="18"/>
              </w:rPr>
            </w:pPr>
          </w:p>
        </w:tc>
      </w:tr>
      <w:tr w14:paraId="49CC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35640CFA">
            <w:pPr>
              <w:jc w:val="center"/>
              <w:rPr>
                <w:rFonts w:ascii="宋体" w:hAnsi="宋体"/>
                <w:bCs/>
                <w:sz w:val="18"/>
                <w:szCs w:val="18"/>
              </w:rPr>
            </w:pPr>
          </w:p>
        </w:tc>
        <w:tc>
          <w:tcPr>
            <w:tcW w:w="349" w:type="pct"/>
            <w:vMerge w:val="continue"/>
            <w:vAlign w:val="center"/>
          </w:tcPr>
          <w:p w14:paraId="491DDC9F">
            <w:pPr>
              <w:jc w:val="center"/>
              <w:rPr>
                <w:rFonts w:ascii="宋体" w:hAnsi="宋体"/>
                <w:bCs/>
                <w:szCs w:val="21"/>
              </w:rPr>
            </w:pPr>
          </w:p>
        </w:tc>
        <w:tc>
          <w:tcPr>
            <w:tcW w:w="294" w:type="pct"/>
            <w:vMerge w:val="continue"/>
            <w:vAlign w:val="center"/>
          </w:tcPr>
          <w:p w14:paraId="3A94B874">
            <w:pPr>
              <w:jc w:val="center"/>
              <w:rPr>
                <w:rFonts w:ascii="宋体" w:hAnsi="宋体"/>
                <w:bCs/>
                <w:sz w:val="18"/>
                <w:szCs w:val="18"/>
              </w:rPr>
            </w:pPr>
          </w:p>
        </w:tc>
        <w:tc>
          <w:tcPr>
            <w:tcW w:w="1631" w:type="pct"/>
            <w:vAlign w:val="center"/>
          </w:tcPr>
          <w:p w14:paraId="31443583">
            <w:pPr>
              <w:rPr>
                <w:rFonts w:ascii="宋体" w:hAnsi="宋体"/>
                <w:bCs/>
                <w:sz w:val="18"/>
                <w:szCs w:val="18"/>
              </w:rPr>
            </w:pPr>
            <w:r>
              <w:rPr>
                <w:rFonts w:hint="eastAsia" w:ascii="宋体" w:hAnsi="宋体"/>
                <w:bCs/>
                <w:sz w:val="18"/>
                <w:szCs w:val="18"/>
              </w:rPr>
              <w:t>广场、花园：①地面洁净无积尘、污渍、垃圾。②花坛外表洁净无污渍。③广场、花园里的垃圾滞留时间不超过1小时。</w:t>
            </w:r>
          </w:p>
        </w:tc>
        <w:tc>
          <w:tcPr>
            <w:tcW w:w="328" w:type="pct"/>
            <w:vAlign w:val="center"/>
          </w:tcPr>
          <w:p w14:paraId="69A85DB6">
            <w:pPr>
              <w:jc w:val="center"/>
              <w:rPr>
                <w:rFonts w:ascii="宋体" w:hAnsi="宋体"/>
                <w:bCs/>
                <w:sz w:val="18"/>
                <w:szCs w:val="18"/>
              </w:rPr>
            </w:pPr>
            <w:r>
              <w:rPr>
                <w:rFonts w:hint="eastAsia" w:ascii="宋体" w:hAnsi="宋体"/>
                <w:bCs/>
                <w:sz w:val="18"/>
                <w:szCs w:val="18"/>
              </w:rPr>
              <w:t>3</w:t>
            </w:r>
          </w:p>
        </w:tc>
        <w:tc>
          <w:tcPr>
            <w:tcW w:w="642" w:type="pct"/>
            <w:vMerge w:val="continue"/>
            <w:vAlign w:val="center"/>
          </w:tcPr>
          <w:p w14:paraId="284DB61B">
            <w:pPr>
              <w:rPr>
                <w:rFonts w:ascii="宋体" w:hAnsi="宋体"/>
                <w:bCs/>
                <w:sz w:val="18"/>
                <w:szCs w:val="18"/>
              </w:rPr>
            </w:pPr>
          </w:p>
        </w:tc>
        <w:tc>
          <w:tcPr>
            <w:tcW w:w="559" w:type="pct"/>
            <w:vMerge w:val="continue"/>
            <w:vAlign w:val="center"/>
          </w:tcPr>
          <w:p w14:paraId="59ADDCD3">
            <w:pPr>
              <w:jc w:val="center"/>
              <w:rPr>
                <w:rFonts w:ascii="宋体" w:hAnsi="宋体"/>
                <w:bCs/>
                <w:sz w:val="18"/>
                <w:szCs w:val="18"/>
              </w:rPr>
            </w:pPr>
          </w:p>
        </w:tc>
        <w:tc>
          <w:tcPr>
            <w:tcW w:w="519" w:type="pct"/>
            <w:vAlign w:val="center"/>
          </w:tcPr>
          <w:p w14:paraId="1D337FD5">
            <w:pPr>
              <w:jc w:val="center"/>
              <w:rPr>
                <w:rFonts w:ascii="宋体" w:hAnsi="宋体"/>
                <w:bCs/>
                <w:sz w:val="18"/>
                <w:szCs w:val="18"/>
              </w:rPr>
            </w:pPr>
          </w:p>
        </w:tc>
        <w:tc>
          <w:tcPr>
            <w:tcW w:w="494" w:type="pct"/>
            <w:vAlign w:val="center"/>
          </w:tcPr>
          <w:p w14:paraId="7238AA58">
            <w:pPr>
              <w:jc w:val="center"/>
              <w:rPr>
                <w:rFonts w:ascii="宋体" w:hAnsi="宋体"/>
                <w:bCs/>
                <w:sz w:val="18"/>
                <w:szCs w:val="18"/>
              </w:rPr>
            </w:pPr>
          </w:p>
        </w:tc>
      </w:tr>
      <w:tr w14:paraId="12C6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3B69DF7C">
            <w:pPr>
              <w:jc w:val="center"/>
              <w:rPr>
                <w:rFonts w:ascii="宋体" w:hAnsi="宋体"/>
                <w:bCs/>
                <w:sz w:val="18"/>
                <w:szCs w:val="18"/>
              </w:rPr>
            </w:pPr>
          </w:p>
        </w:tc>
        <w:tc>
          <w:tcPr>
            <w:tcW w:w="349" w:type="pct"/>
            <w:vMerge w:val="continue"/>
            <w:vAlign w:val="center"/>
          </w:tcPr>
          <w:p w14:paraId="1AD085C2">
            <w:pPr>
              <w:jc w:val="center"/>
              <w:rPr>
                <w:rFonts w:ascii="宋体" w:hAnsi="宋体"/>
                <w:bCs/>
                <w:szCs w:val="21"/>
              </w:rPr>
            </w:pPr>
          </w:p>
        </w:tc>
        <w:tc>
          <w:tcPr>
            <w:tcW w:w="294" w:type="pct"/>
            <w:vMerge w:val="continue"/>
            <w:vAlign w:val="center"/>
          </w:tcPr>
          <w:p w14:paraId="7A7A706E">
            <w:pPr>
              <w:jc w:val="center"/>
              <w:rPr>
                <w:rFonts w:ascii="宋体" w:hAnsi="宋体"/>
                <w:bCs/>
                <w:sz w:val="18"/>
                <w:szCs w:val="18"/>
              </w:rPr>
            </w:pPr>
          </w:p>
        </w:tc>
        <w:tc>
          <w:tcPr>
            <w:tcW w:w="1631" w:type="pct"/>
            <w:vAlign w:val="center"/>
          </w:tcPr>
          <w:p w14:paraId="25DB25E8">
            <w:pPr>
              <w:rPr>
                <w:rFonts w:ascii="宋体" w:hAnsi="宋体"/>
                <w:bCs/>
                <w:sz w:val="18"/>
                <w:szCs w:val="18"/>
              </w:rPr>
            </w:pPr>
            <w:r>
              <w:rPr>
                <w:rFonts w:hint="eastAsia" w:ascii="宋体" w:hAnsi="宋体"/>
                <w:bCs/>
                <w:sz w:val="18"/>
                <w:szCs w:val="18"/>
              </w:rPr>
              <w:t>绿化带：①目视绿化带无明显枯枝落叶、果皮、饮料罐、3cm以上的石块等垃圾杂物。②每100㎡烟头不超过2个。</w:t>
            </w:r>
          </w:p>
        </w:tc>
        <w:tc>
          <w:tcPr>
            <w:tcW w:w="328" w:type="pct"/>
            <w:vAlign w:val="center"/>
          </w:tcPr>
          <w:p w14:paraId="53858912">
            <w:pPr>
              <w:jc w:val="center"/>
              <w:rPr>
                <w:rFonts w:ascii="宋体" w:hAnsi="宋体"/>
                <w:bCs/>
                <w:sz w:val="18"/>
                <w:szCs w:val="18"/>
              </w:rPr>
            </w:pPr>
            <w:r>
              <w:rPr>
                <w:rFonts w:ascii="宋体" w:hAnsi="宋体"/>
                <w:bCs/>
                <w:sz w:val="18"/>
                <w:szCs w:val="18"/>
              </w:rPr>
              <w:t>2</w:t>
            </w:r>
          </w:p>
        </w:tc>
        <w:tc>
          <w:tcPr>
            <w:tcW w:w="642" w:type="pct"/>
            <w:vMerge w:val="continue"/>
            <w:vAlign w:val="center"/>
          </w:tcPr>
          <w:p w14:paraId="4F4A4AB1">
            <w:pPr>
              <w:rPr>
                <w:rFonts w:ascii="宋体" w:hAnsi="宋体"/>
                <w:bCs/>
                <w:sz w:val="18"/>
                <w:szCs w:val="18"/>
              </w:rPr>
            </w:pPr>
          </w:p>
        </w:tc>
        <w:tc>
          <w:tcPr>
            <w:tcW w:w="559" w:type="pct"/>
            <w:vMerge w:val="continue"/>
            <w:vAlign w:val="center"/>
          </w:tcPr>
          <w:p w14:paraId="7C8A2EC3">
            <w:pPr>
              <w:jc w:val="center"/>
              <w:rPr>
                <w:rFonts w:ascii="宋体" w:hAnsi="宋体"/>
                <w:bCs/>
                <w:sz w:val="18"/>
                <w:szCs w:val="18"/>
              </w:rPr>
            </w:pPr>
          </w:p>
        </w:tc>
        <w:tc>
          <w:tcPr>
            <w:tcW w:w="519" w:type="pct"/>
            <w:vAlign w:val="center"/>
          </w:tcPr>
          <w:p w14:paraId="64AE083D">
            <w:pPr>
              <w:jc w:val="center"/>
              <w:rPr>
                <w:rFonts w:ascii="宋体" w:hAnsi="宋体"/>
                <w:bCs/>
                <w:sz w:val="18"/>
                <w:szCs w:val="18"/>
              </w:rPr>
            </w:pPr>
          </w:p>
        </w:tc>
        <w:tc>
          <w:tcPr>
            <w:tcW w:w="494" w:type="pct"/>
            <w:vAlign w:val="center"/>
          </w:tcPr>
          <w:p w14:paraId="431888DD">
            <w:pPr>
              <w:jc w:val="center"/>
              <w:rPr>
                <w:rFonts w:ascii="宋体" w:hAnsi="宋体"/>
                <w:bCs/>
                <w:sz w:val="18"/>
                <w:szCs w:val="18"/>
              </w:rPr>
            </w:pPr>
          </w:p>
        </w:tc>
      </w:tr>
      <w:tr w14:paraId="357C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2472B091">
            <w:pPr>
              <w:jc w:val="center"/>
              <w:rPr>
                <w:rFonts w:ascii="宋体" w:hAnsi="宋体"/>
                <w:bCs/>
                <w:sz w:val="18"/>
                <w:szCs w:val="18"/>
              </w:rPr>
            </w:pPr>
          </w:p>
        </w:tc>
        <w:tc>
          <w:tcPr>
            <w:tcW w:w="349" w:type="pct"/>
            <w:vMerge w:val="continue"/>
            <w:vAlign w:val="center"/>
          </w:tcPr>
          <w:p w14:paraId="2B016240">
            <w:pPr>
              <w:jc w:val="center"/>
              <w:rPr>
                <w:rFonts w:ascii="宋体" w:hAnsi="宋体"/>
                <w:bCs/>
                <w:szCs w:val="21"/>
              </w:rPr>
            </w:pPr>
          </w:p>
        </w:tc>
        <w:tc>
          <w:tcPr>
            <w:tcW w:w="294" w:type="pct"/>
            <w:vMerge w:val="continue"/>
            <w:vAlign w:val="center"/>
          </w:tcPr>
          <w:p w14:paraId="1BE34BB1">
            <w:pPr>
              <w:jc w:val="center"/>
              <w:rPr>
                <w:rFonts w:ascii="宋体" w:hAnsi="宋体"/>
                <w:bCs/>
                <w:sz w:val="18"/>
                <w:szCs w:val="18"/>
              </w:rPr>
            </w:pPr>
          </w:p>
        </w:tc>
        <w:tc>
          <w:tcPr>
            <w:tcW w:w="1631" w:type="pct"/>
            <w:vAlign w:val="center"/>
          </w:tcPr>
          <w:p w14:paraId="67D606D4">
            <w:pPr>
              <w:rPr>
                <w:rFonts w:ascii="宋体" w:hAnsi="宋体"/>
                <w:bCs/>
                <w:sz w:val="18"/>
                <w:szCs w:val="18"/>
              </w:rPr>
            </w:pPr>
            <w:r>
              <w:rPr>
                <w:rFonts w:hint="eastAsia" w:ascii="宋体" w:hAnsi="宋体"/>
                <w:bCs/>
                <w:sz w:val="18"/>
                <w:szCs w:val="18"/>
              </w:rPr>
              <w:t>地下管井：①目视管道内壁无粘附物，井底无沉淀物。②水流畅通，井盖上无污渍、污物。</w:t>
            </w:r>
          </w:p>
        </w:tc>
        <w:tc>
          <w:tcPr>
            <w:tcW w:w="328" w:type="pct"/>
            <w:vAlign w:val="center"/>
          </w:tcPr>
          <w:p w14:paraId="017B77F4">
            <w:pPr>
              <w:jc w:val="center"/>
              <w:rPr>
                <w:rFonts w:ascii="宋体" w:hAnsi="宋体"/>
                <w:bCs/>
                <w:sz w:val="18"/>
                <w:szCs w:val="18"/>
              </w:rPr>
            </w:pPr>
            <w:r>
              <w:rPr>
                <w:rFonts w:ascii="宋体" w:hAnsi="宋体"/>
                <w:bCs/>
                <w:sz w:val="18"/>
                <w:szCs w:val="18"/>
              </w:rPr>
              <w:t>2</w:t>
            </w:r>
          </w:p>
        </w:tc>
        <w:tc>
          <w:tcPr>
            <w:tcW w:w="642" w:type="pct"/>
            <w:vMerge w:val="continue"/>
            <w:vAlign w:val="center"/>
          </w:tcPr>
          <w:p w14:paraId="0F01ADCA">
            <w:pPr>
              <w:rPr>
                <w:rFonts w:ascii="宋体" w:hAnsi="宋体"/>
                <w:bCs/>
                <w:sz w:val="18"/>
                <w:szCs w:val="18"/>
              </w:rPr>
            </w:pPr>
          </w:p>
        </w:tc>
        <w:tc>
          <w:tcPr>
            <w:tcW w:w="559" w:type="pct"/>
            <w:vMerge w:val="continue"/>
            <w:vAlign w:val="center"/>
          </w:tcPr>
          <w:p w14:paraId="644FBCE6">
            <w:pPr>
              <w:jc w:val="center"/>
              <w:rPr>
                <w:rFonts w:ascii="宋体" w:hAnsi="宋体"/>
                <w:bCs/>
                <w:sz w:val="18"/>
                <w:szCs w:val="18"/>
              </w:rPr>
            </w:pPr>
          </w:p>
        </w:tc>
        <w:tc>
          <w:tcPr>
            <w:tcW w:w="519" w:type="pct"/>
            <w:vAlign w:val="center"/>
          </w:tcPr>
          <w:p w14:paraId="64FC3B94">
            <w:pPr>
              <w:jc w:val="center"/>
              <w:rPr>
                <w:rFonts w:ascii="宋体" w:hAnsi="宋体"/>
                <w:bCs/>
                <w:sz w:val="18"/>
                <w:szCs w:val="18"/>
              </w:rPr>
            </w:pPr>
          </w:p>
        </w:tc>
        <w:tc>
          <w:tcPr>
            <w:tcW w:w="494" w:type="pct"/>
            <w:vAlign w:val="center"/>
          </w:tcPr>
          <w:p w14:paraId="6DA5F5BC">
            <w:pPr>
              <w:jc w:val="center"/>
              <w:rPr>
                <w:rFonts w:ascii="宋体" w:hAnsi="宋体"/>
                <w:bCs/>
                <w:sz w:val="18"/>
                <w:szCs w:val="18"/>
              </w:rPr>
            </w:pPr>
          </w:p>
        </w:tc>
      </w:tr>
      <w:tr w14:paraId="0F33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5DC677F5">
            <w:pPr>
              <w:jc w:val="center"/>
              <w:rPr>
                <w:rFonts w:ascii="宋体" w:hAnsi="宋体"/>
                <w:bCs/>
                <w:sz w:val="18"/>
                <w:szCs w:val="18"/>
              </w:rPr>
            </w:pPr>
          </w:p>
        </w:tc>
        <w:tc>
          <w:tcPr>
            <w:tcW w:w="349" w:type="pct"/>
            <w:vMerge w:val="continue"/>
            <w:vAlign w:val="center"/>
          </w:tcPr>
          <w:p w14:paraId="7B3FF085">
            <w:pPr>
              <w:jc w:val="center"/>
              <w:rPr>
                <w:rFonts w:ascii="宋体" w:hAnsi="宋体"/>
                <w:bCs/>
                <w:szCs w:val="21"/>
              </w:rPr>
            </w:pPr>
          </w:p>
        </w:tc>
        <w:tc>
          <w:tcPr>
            <w:tcW w:w="294" w:type="pct"/>
            <w:vMerge w:val="continue"/>
            <w:vAlign w:val="center"/>
          </w:tcPr>
          <w:p w14:paraId="28C66DDC">
            <w:pPr>
              <w:jc w:val="center"/>
              <w:rPr>
                <w:rFonts w:ascii="宋体" w:hAnsi="宋体"/>
                <w:bCs/>
                <w:sz w:val="18"/>
                <w:szCs w:val="18"/>
              </w:rPr>
            </w:pPr>
          </w:p>
        </w:tc>
        <w:tc>
          <w:tcPr>
            <w:tcW w:w="1631" w:type="pct"/>
            <w:vAlign w:val="center"/>
          </w:tcPr>
          <w:p w14:paraId="28510692">
            <w:pPr>
              <w:rPr>
                <w:rFonts w:ascii="宋体" w:hAnsi="宋体"/>
                <w:bCs/>
                <w:sz w:val="18"/>
                <w:szCs w:val="18"/>
              </w:rPr>
            </w:pPr>
            <w:r>
              <w:rPr>
                <w:rFonts w:hint="eastAsia" w:ascii="宋体" w:hAnsi="宋体"/>
                <w:bCs/>
                <w:sz w:val="18"/>
                <w:szCs w:val="18"/>
              </w:rPr>
              <w:t>化粪池：①目视井内无积物浮上，出入口畅通。②化粪池盖无污渍、污物。</w:t>
            </w:r>
          </w:p>
        </w:tc>
        <w:tc>
          <w:tcPr>
            <w:tcW w:w="328" w:type="pct"/>
            <w:vAlign w:val="center"/>
          </w:tcPr>
          <w:p w14:paraId="0AE401D6">
            <w:pPr>
              <w:jc w:val="center"/>
              <w:rPr>
                <w:rFonts w:ascii="宋体" w:hAnsi="宋体"/>
                <w:bCs/>
                <w:sz w:val="18"/>
                <w:szCs w:val="18"/>
              </w:rPr>
            </w:pPr>
            <w:r>
              <w:rPr>
                <w:rFonts w:ascii="宋体" w:hAnsi="宋体"/>
                <w:bCs/>
                <w:sz w:val="18"/>
                <w:szCs w:val="18"/>
              </w:rPr>
              <w:t>2</w:t>
            </w:r>
          </w:p>
        </w:tc>
        <w:tc>
          <w:tcPr>
            <w:tcW w:w="642" w:type="pct"/>
            <w:vMerge w:val="continue"/>
            <w:vAlign w:val="center"/>
          </w:tcPr>
          <w:p w14:paraId="143F1B92">
            <w:pPr>
              <w:rPr>
                <w:rFonts w:ascii="宋体" w:hAnsi="宋体"/>
                <w:bCs/>
                <w:sz w:val="18"/>
                <w:szCs w:val="18"/>
              </w:rPr>
            </w:pPr>
          </w:p>
        </w:tc>
        <w:tc>
          <w:tcPr>
            <w:tcW w:w="559" w:type="pct"/>
            <w:vMerge w:val="continue"/>
            <w:vAlign w:val="center"/>
          </w:tcPr>
          <w:p w14:paraId="11E0FA0A">
            <w:pPr>
              <w:jc w:val="center"/>
              <w:rPr>
                <w:rFonts w:ascii="宋体" w:hAnsi="宋体"/>
                <w:bCs/>
                <w:sz w:val="18"/>
                <w:szCs w:val="18"/>
              </w:rPr>
            </w:pPr>
          </w:p>
        </w:tc>
        <w:tc>
          <w:tcPr>
            <w:tcW w:w="519" w:type="pct"/>
            <w:vAlign w:val="center"/>
          </w:tcPr>
          <w:p w14:paraId="157D7BD7">
            <w:pPr>
              <w:jc w:val="center"/>
              <w:rPr>
                <w:rFonts w:ascii="宋体" w:hAnsi="宋体"/>
                <w:bCs/>
                <w:sz w:val="18"/>
                <w:szCs w:val="18"/>
              </w:rPr>
            </w:pPr>
          </w:p>
        </w:tc>
        <w:tc>
          <w:tcPr>
            <w:tcW w:w="494" w:type="pct"/>
            <w:vAlign w:val="center"/>
          </w:tcPr>
          <w:p w14:paraId="60E08C84">
            <w:pPr>
              <w:jc w:val="center"/>
              <w:rPr>
                <w:rFonts w:ascii="宋体" w:hAnsi="宋体"/>
                <w:bCs/>
                <w:sz w:val="18"/>
                <w:szCs w:val="18"/>
              </w:rPr>
            </w:pPr>
          </w:p>
        </w:tc>
      </w:tr>
      <w:tr w14:paraId="1545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5CF8B27F">
            <w:pPr>
              <w:jc w:val="center"/>
              <w:rPr>
                <w:rFonts w:ascii="宋体" w:hAnsi="宋体"/>
                <w:bCs/>
                <w:sz w:val="18"/>
                <w:szCs w:val="18"/>
              </w:rPr>
            </w:pPr>
          </w:p>
        </w:tc>
        <w:tc>
          <w:tcPr>
            <w:tcW w:w="349" w:type="pct"/>
            <w:vMerge w:val="continue"/>
            <w:vAlign w:val="center"/>
          </w:tcPr>
          <w:p w14:paraId="10777155">
            <w:pPr>
              <w:jc w:val="center"/>
              <w:rPr>
                <w:rFonts w:ascii="宋体" w:hAnsi="宋体"/>
                <w:bCs/>
                <w:szCs w:val="21"/>
              </w:rPr>
            </w:pPr>
          </w:p>
        </w:tc>
        <w:tc>
          <w:tcPr>
            <w:tcW w:w="294" w:type="pct"/>
            <w:vMerge w:val="continue"/>
            <w:vAlign w:val="center"/>
          </w:tcPr>
          <w:p w14:paraId="1E7BB70C">
            <w:pPr>
              <w:jc w:val="center"/>
              <w:rPr>
                <w:rFonts w:ascii="宋体" w:hAnsi="宋体"/>
                <w:bCs/>
                <w:sz w:val="18"/>
                <w:szCs w:val="18"/>
              </w:rPr>
            </w:pPr>
          </w:p>
        </w:tc>
        <w:tc>
          <w:tcPr>
            <w:tcW w:w="1631" w:type="pct"/>
            <w:vAlign w:val="center"/>
          </w:tcPr>
          <w:p w14:paraId="22D8EFBB">
            <w:pPr>
              <w:rPr>
                <w:rFonts w:ascii="宋体" w:hAnsi="宋体"/>
                <w:bCs/>
                <w:sz w:val="18"/>
                <w:szCs w:val="18"/>
              </w:rPr>
            </w:pPr>
            <w:r>
              <w:rPr>
                <w:rFonts w:hint="eastAsia" w:ascii="宋体" w:hAnsi="宋体"/>
                <w:bCs/>
                <w:sz w:val="18"/>
                <w:szCs w:val="18"/>
              </w:rPr>
              <w:t>人工湖、景观池：目视水面无杂物，水边无污迹。</w:t>
            </w:r>
          </w:p>
        </w:tc>
        <w:tc>
          <w:tcPr>
            <w:tcW w:w="328" w:type="pct"/>
            <w:vAlign w:val="center"/>
          </w:tcPr>
          <w:p w14:paraId="5014DF29">
            <w:pPr>
              <w:jc w:val="center"/>
              <w:rPr>
                <w:rFonts w:ascii="宋体" w:hAnsi="宋体"/>
                <w:bCs/>
                <w:sz w:val="18"/>
                <w:szCs w:val="18"/>
              </w:rPr>
            </w:pPr>
            <w:r>
              <w:rPr>
                <w:rFonts w:ascii="宋体" w:hAnsi="宋体"/>
                <w:bCs/>
                <w:sz w:val="18"/>
                <w:szCs w:val="18"/>
              </w:rPr>
              <w:t>2</w:t>
            </w:r>
          </w:p>
        </w:tc>
        <w:tc>
          <w:tcPr>
            <w:tcW w:w="642" w:type="pct"/>
            <w:vMerge w:val="continue"/>
            <w:vAlign w:val="center"/>
          </w:tcPr>
          <w:p w14:paraId="4A4C9550">
            <w:pPr>
              <w:rPr>
                <w:rFonts w:ascii="宋体" w:hAnsi="宋体"/>
                <w:bCs/>
                <w:sz w:val="18"/>
                <w:szCs w:val="18"/>
              </w:rPr>
            </w:pPr>
          </w:p>
        </w:tc>
        <w:tc>
          <w:tcPr>
            <w:tcW w:w="559" w:type="pct"/>
            <w:vMerge w:val="continue"/>
            <w:vAlign w:val="center"/>
          </w:tcPr>
          <w:p w14:paraId="102DDBF5">
            <w:pPr>
              <w:jc w:val="center"/>
              <w:rPr>
                <w:rFonts w:ascii="宋体" w:hAnsi="宋体"/>
                <w:bCs/>
                <w:sz w:val="18"/>
                <w:szCs w:val="18"/>
              </w:rPr>
            </w:pPr>
          </w:p>
        </w:tc>
        <w:tc>
          <w:tcPr>
            <w:tcW w:w="519" w:type="pct"/>
            <w:vAlign w:val="center"/>
          </w:tcPr>
          <w:p w14:paraId="352D9393">
            <w:pPr>
              <w:jc w:val="center"/>
              <w:rPr>
                <w:rFonts w:ascii="宋体" w:hAnsi="宋体"/>
                <w:bCs/>
                <w:sz w:val="18"/>
                <w:szCs w:val="18"/>
              </w:rPr>
            </w:pPr>
          </w:p>
        </w:tc>
        <w:tc>
          <w:tcPr>
            <w:tcW w:w="494" w:type="pct"/>
            <w:vAlign w:val="center"/>
          </w:tcPr>
          <w:p w14:paraId="7EF1F103">
            <w:pPr>
              <w:jc w:val="center"/>
              <w:rPr>
                <w:rFonts w:ascii="宋体" w:hAnsi="宋体"/>
                <w:bCs/>
                <w:sz w:val="18"/>
                <w:szCs w:val="18"/>
              </w:rPr>
            </w:pPr>
          </w:p>
        </w:tc>
      </w:tr>
      <w:tr w14:paraId="51AC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10CE4D08">
            <w:pPr>
              <w:jc w:val="center"/>
              <w:rPr>
                <w:rFonts w:ascii="宋体" w:hAnsi="宋体"/>
                <w:bCs/>
                <w:sz w:val="18"/>
                <w:szCs w:val="18"/>
              </w:rPr>
            </w:pPr>
          </w:p>
        </w:tc>
        <w:tc>
          <w:tcPr>
            <w:tcW w:w="349" w:type="pct"/>
            <w:vMerge w:val="continue"/>
            <w:vAlign w:val="center"/>
          </w:tcPr>
          <w:p w14:paraId="34913306">
            <w:pPr>
              <w:jc w:val="center"/>
              <w:rPr>
                <w:rFonts w:ascii="宋体" w:hAnsi="宋体"/>
                <w:bCs/>
                <w:szCs w:val="21"/>
              </w:rPr>
            </w:pPr>
          </w:p>
        </w:tc>
        <w:tc>
          <w:tcPr>
            <w:tcW w:w="294" w:type="pct"/>
            <w:vMerge w:val="continue"/>
            <w:vAlign w:val="center"/>
          </w:tcPr>
          <w:p w14:paraId="2640645D">
            <w:pPr>
              <w:jc w:val="center"/>
              <w:rPr>
                <w:rFonts w:ascii="宋体" w:hAnsi="宋体"/>
                <w:bCs/>
                <w:sz w:val="18"/>
                <w:szCs w:val="18"/>
              </w:rPr>
            </w:pPr>
          </w:p>
        </w:tc>
        <w:tc>
          <w:tcPr>
            <w:tcW w:w="1631" w:type="pct"/>
            <w:vAlign w:val="center"/>
          </w:tcPr>
          <w:p w14:paraId="0F157178">
            <w:pPr>
              <w:rPr>
                <w:rFonts w:ascii="宋体" w:hAnsi="宋体"/>
                <w:bCs/>
                <w:sz w:val="18"/>
                <w:szCs w:val="18"/>
              </w:rPr>
            </w:pPr>
            <w:r>
              <w:rPr>
                <w:rFonts w:hint="eastAsia" w:ascii="宋体" w:hAnsi="宋体"/>
                <w:bCs/>
                <w:sz w:val="18"/>
                <w:szCs w:val="18"/>
              </w:rPr>
              <w:t>室外健身场地及设施：①目视场地周围整洁干净，无果皮、纸屑等垃圾。②各种健身设施每周抹一次，表面干净光亮，无灰尘、污渍、锈迹。</w:t>
            </w:r>
          </w:p>
        </w:tc>
        <w:tc>
          <w:tcPr>
            <w:tcW w:w="328" w:type="pct"/>
            <w:vAlign w:val="center"/>
          </w:tcPr>
          <w:p w14:paraId="51AEA3C0">
            <w:pPr>
              <w:jc w:val="center"/>
              <w:rPr>
                <w:rFonts w:ascii="宋体" w:hAnsi="宋体"/>
                <w:bCs/>
                <w:sz w:val="18"/>
                <w:szCs w:val="18"/>
              </w:rPr>
            </w:pPr>
            <w:r>
              <w:rPr>
                <w:rFonts w:ascii="宋体" w:hAnsi="宋体"/>
                <w:bCs/>
                <w:sz w:val="18"/>
                <w:szCs w:val="18"/>
              </w:rPr>
              <w:t>2</w:t>
            </w:r>
          </w:p>
        </w:tc>
        <w:tc>
          <w:tcPr>
            <w:tcW w:w="642" w:type="pct"/>
            <w:vMerge w:val="continue"/>
            <w:vAlign w:val="center"/>
          </w:tcPr>
          <w:p w14:paraId="4DEBE758">
            <w:pPr>
              <w:rPr>
                <w:rFonts w:ascii="宋体" w:hAnsi="宋体"/>
                <w:bCs/>
                <w:sz w:val="18"/>
                <w:szCs w:val="18"/>
              </w:rPr>
            </w:pPr>
          </w:p>
        </w:tc>
        <w:tc>
          <w:tcPr>
            <w:tcW w:w="559" w:type="pct"/>
            <w:vMerge w:val="continue"/>
            <w:vAlign w:val="center"/>
          </w:tcPr>
          <w:p w14:paraId="17CC6BDA">
            <w:pPr>
              <w:jc w:val="center"/>
              <w:rPr>
                <w:rFonts w:ascii="宋体" w:hAnsi="宋体"/>
                <w:bCs/>
                <w:sz w:val="18"/>
                <w:szCs w:val="18"/>
              </w:rPr>
            </w:pPr>
          </w:p>
        </w:tc>
        <w:tc>
          <w:tcPr>
            <w:tcW w:w="519" w:type="pct"/>
            <w:vAlign w:val="center"/>
          </w:tcPr>
          <w:p w14:paraId="6936252C">
            <w:pPr>
              <w:jc w:val="center"/>
              <w:rPr>
                <w:rFonts w:ascii="宋体" w:hAnsi="宋体"/>
                <w:bCs/>
                <w:sz w:val="18"/>
                <w:szCs w:val="18"/>
              </w:rPr>
            </w:pPr>
          </w:p>
        </w:tc>
        <w:tc>
          <w:tcPr>
            <w:tcW w:w="494" w:type="pct"/>
            <w:vAlign w:val="center"/>
          </w:tcPr>
          <w:p w14:paraId="2F1D6866">
            <w:pPr>
              <w:jc w:val="center"/>
              <w:rPr>
                <w:rFonts w:ascii="宋体" w:hAnsi="宋体"/>
                <w:bCs/>
                <w:sz w:val="18"/>
                <w:szCs w:val="18"/>
              </w:rPr>
            </w:pPr>
          </w:p>
        </w:tc>
      </w:tr>
      <w:tr w14:paraId="43CA3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5F23BDF8">
            <w:pPr>
              <w:jc w:val="center"/>
              <w:rPr>
                <w:rFonts w:ascii="宋体" w:hAnsi="宋体"/>
                <w:bCs/>
                <w:sz w:val="18"/>
                <w:szCs w:val="18"/>
              </w:rPr>
            </w:pPr>
          </w:p>
        </w:tc>
        <w:tc>
          <w:tcPr>
            <w:tcW w:w="349" w:type="pct"/>
            <w:vMerge w:val="continue"/>
            <w:vAlign w:val="center"/>
          </w:tcPr>
          <w:p w14:paraId="51835834">
            <w:pPr>
              <w:jc w:val="center"/>
              <w:rPr>
                <w:rFonts w:ascii="宋体" w:hAnsi="宋体"/>
                <w:bCs/>
                <w:szCs w:val="21"/>
              </w:rPr>
            </w:pPr>
          </w:p>
        </w:tc>
        <w:tc>
          <w:tcPr>
            <w:tcW w:w="294" w:type="pct"/>
            <w:vMerge w:val="continue"/>
            <w:vAlign w:val="center"/>
          </w:tcPr>
          <w:p w14:paraId="2BEAF3CB">
            <w:pPr>
              <w:jc w:val="center"/>
              <w:rPr>
                <w:rFonts w:ascii="宋体" w:hAnsi="宋体"/>
                <w:bCs/>
                <w:sz w:val="18"/>
                <w:szCs w:val="18"/>
              </w:rPr>
            </w:pPr>
          </w:p>
        </w:tc>
        <w:tc>
          <w:tcPr>
            <w:tcW w:w="1631" w:type="pct"/>
            <w:vAlign w:val="center"/>
          </w:tcPr>
          <w:p w14:paraId="38454AEB">
            <w:pPr>
              <w:rPr>
                <w:rFonts w:ascii="宋体" w:hAnsi="宋体"/>
                <w:bCs/>
                <w:sz w:val="18"/>
                <w:szCs w:val="18"/>
              </w:rPr>
            </w:pPr>
            <w:r>
              <w:rPr>
                <w:rFonts w:hint="eastAsia" w:ascii="宋体" w:hAnsi="宋体"/>
                <w:bCs/>
                <w:sz w:val="18"/>
                <w:szCs w:val="18"/>
              </w:rPr>
              <w:t>灯具：目视灯具、灯管无灰尘，灯具内无蚊虫，灯管灯具明亮清洁。</w:t>
            </w:r>
          </w:p>
        </w:tc>
        <w:tc>
          <w:tcPr>
            <w:tcW w:w="328" w:type="pct"/>
            <w:vAlign w:val="center"/>
          </w:tcPr>
          <w:p w14:paraId="7D7DDEA1">
            <w:pPr>
              <w:jc w:val="center"/>
              <w:rPr>
                <w:rFonts w:ascii="宋体" w:hAnsi="宋体"/>
                <w:bCs/>
                <w:sz w:val="18"/>
                <w:szCs w:val="18"/>
              </w:rPr>
            </w:pPr>
            <w:r>
              <w:rPr>
                <w:rFonts w:ascii="宋体" w:hAnsi="宋体"/>
                <w:bCs/>
                <w:sz w:val="18"/>
                <w:szCs w:val="18"/>
              </w:rPr>
              <w:t>2</w:t>
            </w:r>
          </w:p>
        </w:tc>
        <w:tc>
          <w:tcPr>
            <w:tcW w:w="642" w:type="pct"/>
            <w:vMerge w:val="continue"/>
            <w:vAlign w:val="center"/>
          </w:tcPr>
          <w:p w14:paraId="6F5DE35C">
            <w:pPr>
              <w:rPr>
                <w:rFonts w:ascii="宋体" w:hAnsi="宋体"/>
                <w:bCs/>
                <w:sz w:val="18"/>
                <w:szCs w:val="18"/>
              </w:rPr>
            </w:pPr>
          </w:p>
        </w:tc>
        <w:tc>
          <w:tcPr>
            <w:tcW w:w="559" w:type="pct"/>
            <w:vMerge w:val="continue"/>
            <w:vAlign w:val="center"/>
          </w:tcPr>
          <w:p w14:paraId="009A6B21">
            <w:pPr>
              <w:jc w:val="center"/>
              <w:rPr>
                <w:rFonts w:ascii="宋体" w:hAnsi="宋体"/>
                <w:bCs/>
                <w:sz w:val="18"/>
                <w:szCs w:val="18"/>
              </w:rPr>
            </w:pPr>
          </w:p>
        </w:tc>
        <w:tc>
          <w:tcPr>
            <w:tcW w:w="519" w:type="pct"/>
            <w:vAlign w:val="center"/>
          </w:tcPr>
          <w:p w14:paraId="5F441B1E">
            <w:pPr>
              <w:jc w:val="center"/>
              <w:rPr>
                <w:rFonts w:ascii="宋体" w:hAnsi="宋体"/>
                <w:bCs/>
                <w:sz w:val="18"/>
                <w:szCs w:val="18"/>
              </w:rPr>
            </w:pPr>
          </w:p>
        </w:tc>
        <w:tc>
          <w:tcPr>
            <w:tcW w:w="494" w:type="pct"/>
            <w:vAlign w:val="center"/>
          </w:tcPr>
          <w:p w14:paraId="5E219C67">
            <w:pPr>
              <w:jc w:val="center"/>
              <w:rPr>
                <w:rFonts w:ascii="宋体" w:hAnsi="宋体"/>
                <w:bCs/>
                <w:sz w:val="18"/>
                <w:szCs w:val="18"/>
              </w:rPr>
            </w:pPr>
          </w:p>
        </w:tc>
      </w:tr>
      <w:tr w14:paraId="23DC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2" w:hRule="atLeast"/>
        </w:trPr>
        <w:tc>
          <w:tcPr>
            <w:tcW w:w="180" w:type="pct"/>
            <w:vMerge w:val="continue"/>
            <w:vAlign w:val="center"/>
          </w:tcPr>
          <w:p w14:paraId="241C10B2">
            <w:pPr>
              <w:jc w:val="center"/>
              <w:rPr>
                <w:rFonts w:ascii="宋体" w:hAnsi="宋体"/>
                <w:bCs/>
                <w:sz w:val="18"/>
                <w:szCs w:val="18"/>
              </w:rPr>
            </w:pPr>
          </w:p>
        </w:tc>
        <w:tc>
          <w:tcPr>
            <w:tcW w:w="349" w:type="pct"/>
            <w:vMerge w:val="continue"/>
            <w:vAlign w:val="center"/>
          </w:tcPr>
          <w:p w14:paraId="3E03CB21">
            <w:pPr>
              <w:jc w:val="center"/>
              <w:rPr>
                <w:rFonts w:ascii="宋体" w:hAnsi="宋体"/>
                <w:bCs/>
                <w:szCs w:val="21"/>
              </w:rPr>
            </w:pPr>
          </w:p>
        </w:tc>
        <w:tc>
          <w:tcPr>
            <w:tcW w:w="294" w:type="pct"/>
            <w:vMerge w:val="continue"/>
            <w:vAlign w:val="center"/>
          </w:tcPr>
          <w:p w14:paraId="2F8E5110">
            <w:pPr>
              <w:jc w:val="center"/>
              <w:rPr>
                <w:rFonts w:ascii="宋体" w:hAnsi="宋体"/>
                <w:bCs/>
                <w:sz w:val="18"/>
                <w:szCs w:val="18"/>
              </w:rPr>
            </w:pPr>
          </w:p>
        </w:tc>
        <w:tc>
          <w:tcPr>
            <w:tcW w:w="1631" w:type="pct"/>
            <w:vAlign w:val="center"/>
          </w:tcPr>
          <w:p w14:paraId="3A6A1560">
            <w:pPr>
              <w:rPr>
                <w:rFonts w:ascii="宋体" w:hAnsi="宋体"/>
                <w:bCs/>
                <w:sz w:val="18"/>
                <w:szCs w:val="18"/>
              </w:rPr>
            </w:pPr>
            <w:r>
              <w:rPr>
                <w:rFonts w:hint="eastAsia" w:ascii="宋体" w:hAnsi="宋体"/>
                <w:bCs/>
                <w:sz w:val="18"/>
                <w:szCs w:val="18"/>
              </w:rPr>
              <w:t>雕塑装饰物、标识、宣传栏、牌：目视检查无污迹、积尘。</w:t>
            </w:r>
          </w:p>
        </w:tc>
        <w:tc>
          <w:tcPr>
            <w:tcW w:w="328" w:type="pct"/>
            <w:vAlign w:val="center"/>
          </w:tcPr>
          <w:p w14:paraId="469957CC">
            <w:pPr>
              <w:jc w:val="center"/>
              <w:rPr>
                <w:rFonts w:ascii="宋体" w:hAnsi="宋体"/>
                <w:bCs/>
                <w:sz w:val="18"/>
                <w:szCs w:val="18"/>
              </w:rPr>
            </w:pPr>
            <w:r>
              <w:rPr>
                <w:rFonts w:ascii="宋体" w:hAnsi="宋体"/>
                <w:bCs/>
                <w:sz w:val="18"/>
                <w:szCs w:val="18"/>
              </w:rPr>
              <w:t>2</w:t>
            </w:r>
          </w:p>
        </w:tc>
        <w:tc>
          <w:tcPr>
            <w:tcW w:w="642" w:type="pct"/>
            <w:vMerge w:val="continue"/>
            <w:vAlign w:val="center"/>
          </w:tcPr>
          <w:p w14:paraId="3A62E3E5">
            <w:pPr>
              <w:rPr>
                <w:rFonts w:ascii="宋体" w:hAnsi="宋体"/>
                <w:bCs/>
                <w:sz w:val="18"/>
                <w:szCs w:val="18"/>
              </w:rPr>
            </w:pPr>
          </w:p>
        </w:tc>
        <w:tc>
          <w:tcPr>
            <w:tcW w:w="559" w:type="pct"/>
            <w:vMerge w:val="continue"/>
            <w:vAlign w:val="center"/>
          </w:tcPr>
          <w:p w14:paraId="63570CA3">
            <w:pPr>
              <w:jc w:val="center"/>
              <w:rPr>
                <w:rFonts w:ascii="宋体" w:hAnsi="宋体"/>
                <w:bCs/>
                <w:sz w:val="18"/>
                <w:szCs w:val="18"/>
              </w:rPr>
            </w:pPr>
          </w:p>
        </w:tc>
        <w:tc>
          <w:tcPr>
            <w:tcW w:w="519" w:type="pct"/>
            <w:vAlign w:val="center"/>
          </w:tcPr>
          <w:p w14:paraId="4CBEDE94">
            <w:pPr>
              <w:jc w:val="center"/>
              <w:rPr>
                <w:rFonts w:ascii="宋体" w:hAnsi="宋体"/>
                <w:bCs/>
                <w:sz w:val="18"/>
                <w:szCs w:val="18"/>
              </w:rPr>
            </w:pPr>
          </w:p>
        </w:tc>
        <w:tc>
          <w:tcPr>
            <w:tcW w:w="494" w:type="pct"/>
            <w:vAlign w:val="center"/>
          </w:tcPr>
          <w:p w14:paraId="627AD75A">
            <w:pPr>
              <w:jc w:val="center"/>
              <w:rPr>
                <w:rFonts w:ascii="宋体" w:hAnsi="宋体"/>
                <w:bCs/>
                <w:sz w:val="18"/>
                <w:szCs w:val="18"/>
              </w:rPr>
            </w:pPr>
          </w:p>
        </w:tc>
      </w:tr>
      <w:tr w14:paraId="1EA7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80" w:type="pct"/>
            <w:vMerge w:val="continue"/>
            <w:vAlign w:val="center"/>
          </w:tcPr>
          <w:p w14:paraId="6461DFC8">
            <w:pPr>
              <w:jc w:val="center"/>
              <w:rPr>
                <w:rFonts w:ascii="宋体" w:hAnsi="宋体"/>
                <w:bCs/>
                <w:sz w:val="18"/>
                <w:szCs w:val="18"/>
              </w:rPr>
            </w:pPr>
          </w:p>
        </w:tc>
        <w:tc>
          <w:tcPr>
            <w:tcW w:w="349" w:type="pct"/>
            <w:vMerge w:val="continue"/>
            <w:vAlign w:val="center"/>
          </w:tcPr>
          <w:p w14:paraId="022E5E5A">
            <w:pPr>
              <w:jc w:val="center"/>
              <w:rPr>
                <w:rFonts w:ascii="宋体" w:hAnsi="宋体"/>
                <w:bCs/>
                <w:szCs w:val="21"/>
              </w:rPr>
            </w:pPr>
          </w:p>
        </w:tc>
        <w:tc>
          <w:tcPr>
            <w:tcW w:w="294" w:type="pct"/>
            <w:vMerge w:val="continue"/>
            <w:vAlign w:val="center"/>
          </w:tcPr>
          <w:p w14:paraId="222B698C">
            <w:pPr>
              <w:jc w:val="center"/>
              <w:rPr>
                <w:rFonts w:ascii="宋体" w:hAnsi="宋体"/>
                <w:bCs/>
                <w:sz w:val="18"/>
                <w:szCs w:val="18"/>
              </w:rPr>
            </w:pPr>
          </w:p>
        </w:tc>
        <w:tc>
          <w:tcPr>
            <w:tcW w:w="1631" w:type="pct"/>
            <w:vAlign w:val="center"/>
          </w:tcPr>
          <w:p w14:paraId="4C871F66">
            <w:pPr>
              <w:rPr>
                <w:rFonts w:ascii="宋体" w:hAnsi="宋体"/>
                <w:bCs/>
                <w:sz w:val="18"/>
                <w:szCs w:val="18"/>
              </w:rPr>
            </w:pPr>
            <w:r>
              <w:rPr>
                <w:rFonts w:hint="eastAsia" w:ascii="宋体" w:hAnsi="宋体"/>
                <w:bCs/>
                <w:sz w:val="18"/>
                <w:szCs w:val="18"/>
              </w:rPr>
              <w:t>建筑物楼顶、天台和雨棚：目视无垃圾、杂物、积水、青苔。②无积水、无堵塞。</w:t>
            </w:r>
          </w:p>
        </w:tc>
        <w:tc>
          <w:tcPr>
            <w:tcW w:w="328" w:type="pct"/>
            <w:vAlign w:val="center"/>
          </w:tcPr>
          <w:p w14:paraId="086C00AA">
            <w:pPr>
              <w:jc w:val="center"/>
              <w:rPr>
                <w:rFonts w:ascii="宋体" w:hAnsi="宋体"/>
                <w:bCs/>
                <w:sz w:val="18"/>
                <w:szCs w:val="18"/>
              </w:rPr>
            </w:pPr>
            <w:r>
              <w:rPr>
                <w:rFonts w:ascii="宋体" w:hAnsi="宋体"/>
                <w:bCs/>
                <w:sz w:val="18"/>
                <w:szCs w:val="18"/>
              </w:rPr>
              <w:t>2</w:t>
            </w:r>
          </w:p>
        </w:tc>
        <w:tc>
          <w:tcPr>
            <w:tcW w:w="642" w:type="pct"/>
            <w:vMerge w:val="continue"/>
            <w:vAlign w:val="center"/>
          </w:tcPr>
          <w:p w14:paraId="5BBB78D9">
            <w:pPr>
              <w:rPr>
                <w:rFonts w:ascii="宋体" w:hAnsi="宋体"/>
                <w:bCs/>
                <w:sz w:val="18"/>
                <w:szCs w:val="18"/>
              </w:rPr>
            </w:pPr>
          </w:p>
        </w:tc>
        <w:tc>
          <w:tcPr>
            <w:tcW w:w="559" w:type="pct"/>
            <w:vMerge w:val="continue"/>
            <w:vAlign w:val="center"/>
          </w:tcPr>
          <w:p w14:paraId="749DFCCD">
            <w:pPr>
              <w:jc w:val="center"/>
              <w:rPr>
                <w:rFonts w:ascii="宋体" w:hAnsi="宋体"/>
                <w:bCs/>
                <w:sz w:val="18"/>
                <w:szCs w:val="18"/>
              </w:rPr>
            </w:pPr>
          </w:p>
        </w:tc>
        <w:tc>
          <w:tcPr>
            <w:tcW w:w="519" w:type="pct"/>
            <w:vAlign w:val="center"/>
          </w:tcPr>
          <w:p w14:paraId="6934AFE7">
            <w:pPr>
              <w:jc w:val="center"/>
              <w:rPr>
                <w:rFonts w:ascii="宋体" w:hAnsi="宋体"/>
                <w:bCs/>
                <w:sz w:val="18"/>
                <w:szCs w:val="18"/>
              </w:rPr>
            </w:pPr>
          </w:p>
        </w:tc>
        <w:tc>
          <w:tcPr>
            <w:tcW w:w="494" w:type="pct"/>
            <w:vAlign w:val="center"/>
          </w:tcPr>
          <w:p w14:paraId="7B6B6CD4">
            <w:pPr>
              <w:jc w:val="center"/>
              <w:rPr>
                <w:rFonts w:ascii="宋体" w:hAnsi="宋体"/>
                <w:bCs/>
                <w:sz w:val="18"/>
                <w:szCs w:val="18"/>
              </w:rPr>
            </w:pPr>
          </w:p>
        </w:tc>
      </w:tr>
      <w:tr w14:paraId="1FD65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80" w:type="pct"/>
            <w:vMerge w:val="continue"/>
            <w:vAlign w:val="center"/>
          </w:tcPr>
          <w:p w14:paraId="4B1AD401">
            <w:pPr>
              <w:jc w:val="center"/>
              <w:rPr>
                <w:rFonts w:ascii="宋体" w:hAnsi="宋体"/>
                <w:bCs/>
                <w:sz w:val="18"/>
                <w:szCs w:val="18"/>
              </w:rPr>
            </w:pPr>
          </w:p>
        </w:tc>
        <w:tc>
          <w:tcPr>
            <w:tcW w:w="349" w:type="pct"/>
            <w:vMerge w:val="continue"/>
            <w:vAlign w:val="center"/>
          </w:tcPr>
          <w:p w14:paraId="5127CB2F">
            <w:pPr>
              <w:jc w:val="center"/>
              <w:rPr>
                <w:rFonts w:ascii="宋体" w:hAnsi="宋体"/>
                <w:bCs/>
                <w:szCs w:val="21"/>
              </w:rPr>
            </w:pPr>
          </w:p>
        </w:tc>
        <w:tc>
          <w:tcPr>
            <w:tcW w:w="294" w:type="pct"/>
            <w:vMerge w:val="continue"/>
            <w:vAlign w:val="center"/>
          </w:tcPr>
          <w:p w14:paraId="08031AC6">
            <w:pPr>
              <w:jc w:val="center"/>
              <w:rPr>
                <w:rFonts w:ascii="宋体" w:hAnsi="宋体"/>
                <w:bCs/>
                <w:sz w:val="18"/>
                <w:szCs w:val="18"/>
              </w:rPr>
            </w:pPr>
          </w:p>
        </w:tc>
        <w:tc>
          <w:tcPr>
            <w:tcW w:w="1631" w:type="pct"/>
            <w:vAlign w:val="center"/>
          </w:tcPr>
          <w:p w14:paraId="7BDE8D83">
            <w:pPr>
              <w:rPr>
                <w:rFonts w:ascii="宋体" w:hAnsi="宋体"/>
                <w:bCs/>
                <w:sz w:val="18"/>
                <w:szCs w:val="18"/>
              </w:rPr>
            </w:pPr>
            <w:r>
              <w:rPr>
                <w:rFonts w:hint="eastAsia" w:ascii="宋体" w:hAnsi="宋体"/>
                <w:bCs/>
                <w:sz w:val="18"/>
                <w:szCs w:val="18"/>
              </w:rPr>
              <w:t>垃圾桶：①目视垃圾桶无污迹、油渍。②垃圾桶周围无积水。③无溢出、漏出垃圾杂物。</w:t>
            </w:r>
          </w:p>
        </w:tc>
        <w:tc>
          <w:tcPr>
            <w:tcW w:w="328" w:type="pct"/>
            <w:vAlign w:val="center"/>
          </w:tcPr>
          <w:p w14:paraId="4073F4C3">
            <w:pPr>
              <w:jc w:val="center"/>
              <w:rPr>
                <w:rFonts w:ascii="宋体" w:hAnsi="宋体"/>
                <w:bCs/>
                <w:sz w:val="18"/>
                <w:szCs w:val="18"/>
              </w:rPr>
            </w:pPr>
            <w:r>
              <w:rPr>
                <w:rFonts w:ascii="宋体" w:hAnsi="宋体"/>
                <w:bCs/>
                <w:sz w:val="18"/>
                <w:szCs w:val="18"/>
              </w:rPr>
              <w:t>3</w:t>
            </w:r>
          </w:p>
        </w:tc>
        <w:tc>
          <w:tcPr>
            <w:tcW w:w="642" w:type="pct"/>
            <w:vMerge w:val="continue"/>
            <w:vAlign w:val="center"/>
          </w:tcPr>
          <w:p w14:paraId="61FFD6A2">
            <w:pPr>
              <w:rPr>
                <w:rFonts w:ascii="宋体" w:hAnsi="宋体"/>
                <w:bCs/>
                <w:sz w:val="18"/>
                <w:szCs w:val="18"/>
              </w:rPr>
            </w:pPr>
          </w:p>
        </w:tc>
        <w:tc>
          <w:tcPr>
            <w:tcW w:w="559" w:type="pct"/>
            <w:vMerge w:val="continue"/>
            <w:vAlign w:val="center"/>
          </w:tcPr>
          <w:p w14:paraId="5147F7E6">
            <w:pPr>
              <w:jc w:val="center"/>
              <w:rPr>
                <w:rFonts w:ascii="宋体" w:hAnsi="宋体"/>
                <w:bCs/>
                <w:sz w:val="18"/>
                <w:szCs w:val="18"/>
              </w:rPr>
            </w:pPr>
          </w:p>
        </w:tc>
        <w:tc>
          <w:tcPr>
            <w:tcW w:w="519" w:type="pct"/>
            <w:vAlign w:val="center"/>
          </w:tcPr>
          <w:p w14:paraId="29F73A82">
            <w:pPr>
              <w:jc w:val="center"/>
              <w:rPr>
                <w:rFonts w:ascii="宋体" w:hAnsi="宋体"/>
                <w:bCs/>
                <w:sz w:val="18"/>
                <w:szCs w:val="18"/>
              </w:rPr>
            </w:pPr>
          </w:p>
        </w:tc>
        <w:tc>
          <w:tcPr>
            <w:tcW w:w="494" w:type="pct"/>
            <w:vAlign w:val="center"/>
          </w:tcPr>
          <w:p w14:paraId="51ECE334">
            <w:pPr>
              <w:jc w:val="center"/>
              <w:rPr>
                <w:rFonts w:ascii="宋体" w:hAnsi="宋体"/>
                <w:bCs/>
                <w:sz w:val="18"/>
                <w:szCs w:val="18"/>
              </w:rPr>
            </w:pPr>
          </w:p>
        </w:tc>
      </w:tr>
      <w:tr w14:paraId="029FE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80" w:type="pct"/>
            <w:vMerge w:val="continue"/>
            <w:vAlign w:val="center"/>
          </w:tcPr>
          <w:p w14:paraId="470E1EB6">
            <w:pPr>
              <w:jc w:val="center"/>
              <w:rPr>
                <w:rFonts w:ascii="宋体" w:hAnsi="宋体"/>
                <w:bCs/>
                <w:sz w:val="18"/>
                <w:szCs w:val="18"/>
              </w:rPr>
            </w:pPr>
          </w:p>
        </w:tc>
        <w:tc>
          <w:tcPr>
            <w:tcW w:w="349" w:type="pct"/>
            <w:vMerge w:val="continue"/>
            <w:vAlign w:val="center"/>
          </w:tcPr>
          <w:p w14:paraId="715E0D32">
            <w:pPr>
              <w:jc w:val="center"/>
              <w:rPr>
                <w:rFonts w:ascii="宋体" w:hAnsi="宋体"/>
                <w:bCs/>
                <w:szCs w:val="21"/>
              </w:rPr>
            </w:pPr>
          </w:p>
        </w:tc>
        <w:tc>
          <w:tcPr>
            <w:tcW w:w="294" w:type="pct"/>
            <w:vMerge w:val="continue"/>
            <w:vAlign w:val="center"/>
          </w:tcPr>
          <w:p w14:paraId="19D5EF08">
            <w:pPr>
              <w:jc w:val="center"/>
              <w:rPr>
                <w:rFonts w:ascii="宋体" w:hAnsi="宋体"/>
                <w:bCs/>
                <w:sz w:val="18"/>
                <w:szCs w:val="18"/>
              </w:rPr>
            </w:pPr>
          </w:p>
        </w:tc>
        <w:tc>
          <w:tcPr>
            <w:tcW w:w="1631" w:type="pct"/>
            <w:vAlign w:val="center"/>
          </w:tcPr>
          <w:p w14:paraId="27B177AB">
            <w:pPr>
              <w:rPr>
                <w:rFonts w:ascii="宋体" w:hAnsi="宋体"/>
                <w:bCs/>
                <w:sz w:val="18"/>
                <w:szCs w:val="18"/>
              </w:rPr>
            </w:pPr>
            <w:r>
              <w:rPr>
                <w:rFonts w:hint="eastAsia" w:ascii="宋体" w:hAnsi="宋体"/>
                <w:bCs/>
                <w:sz w:val="18"/>
                <w:szCs w:val="18"/>
              </w:rPr>
              <w:t>垃圾中转站（房）：①内外墙无粘附物、明显污迹。②水沟、地面无积水、无蚊虫孳生、无臭味异味。③日清理100%。</w:t>
            </w:r>
          </w:p>
        </w:tc>
        <w:tc>
          <w:tcPr>
            <w:tcW w:w="328" w:type="pct"/>
            <w:vAlign w:val="center"/>
          </w:tcPr>
          <w:p w14:paraId="256229AC">
            <w:pPr>
              <w:jc w:val="center"/>
              <w:rPr>
                <w:rFonts w:ascii="宋体" w:hAnsi="宋体"/>
                <w:bCs/>
                <w:sz w:val="18"/>
                <w:szCs w:val="18"/>
              </w:rPr>
            </w:pPr>
            <w:r>
              <w:rPr>
                <w:rFonts w:ascii="宋体" w:hAnsi="宋体"/>
                <w:bCs/>
                <w:sz w:val="18"/>
                <w:szCs w:val="18"/>
              </w:rPr>
              <w:t>4</w:t>
            </w:r>
          </w:p>
        </w:tc>
        <w:tc>
          <w:tcPr>
            <w:tcW w:w="642" w:type="pct"/>
            <w:vMerge w:val="continue"/>
            <w:vAlign w:val="center"/>
          </w:tcPr>
          <w:p w14:paraId="7F956B1E">
            <w:pPr>
              <w:rPr>
                <w:rFonts w:ascii="宋体" w:hAnsi="宋体"/>
                <w:bCs/>
                <w:sz w:val="18"/>
                <w:szCs w:val="18"/>
              </w:rPr>
            </w:pPr>
          </w:p>
        </w:tc>
        <w:tc>
          <w:tcPr>
            <w:tcW w:w="559" w:type="pct"/>
            <w:vMerge w:val="continue"/>
            <w:vAlign w:val="center"/>
          </w:tcPr>
          <w:p w14:paraId="14D0B928">
            <w:pPr>
              <w:jc w:val="center"/>
              <w:rPr>
                <w:rFonts w:ascii="宋体" w:hAnsi="宋体"/>
                <w:bCs/>
                <w:sz w:val="18"/>
                <w:szCs w:val="18"/>
              </w:rPr>
            </w:pPr>
          </w:p>
        </w:tc>
        <w:tc>
          <w:tcPr>
            <w:tcW w:w="519" w:type="pct"/>
            <w:vAlign w:val="center"/>
          </w:tcPr>
          <w:p w14:paraId="1116BF4E">
            <w:pPr>
              <w:jc w:val="center"/>
              <w:rPr>
                <w:rFonts w:ascii="宋体" w:hAnsi="宋体"/>
                <w:bCs/>
                <w:sz w:val="18"/>
                <w:szCs w:val="18"/>
              </w:rPr>
            </w:pPr>
          </w:p>
        </w:tc>
        <w:tc>
          <w:tcPr>
            <w:tcW w:w="494" w:type="pct"/>
            <w:vAlign w:val="center"/>
          </w:tcPr>
          <w:p w14:paraId="1F7CD1C3">
            <w:pPr>
              <w:jc w:val="center"/>
              <w:rPr>
                <w:rFonts w:ascii="宋体" w:hAnsi="宋体"/>
                <w:bCs/>
                <w:sz w:val="18"/>
                <w:szCs w:val="18"/>
              </w:rPr>
            </w:pPr>
          </w:p>
        </w:tc>
      </w:tr>
      <w:tr w14:paraId="7388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80" w:type="pct"/>
            <w:vMerge w:val="restart"/>
            <w:vAlign w:val="center"/>
          </w:tcPr>
          <w:p w14:paraId="1CB24D71">
            <w:pPr>
              <w:jc w:val="center"/>
              <w:rPr>
                <w:rFonts w:ascii="宋体" w:hAnsi="宋体"/>
                <w:bCs/>
                <w:sz w:val="18"/>
                <w:szCs w:val="18"/>
              </w:rPr>
            </w:pPr>
          </w:p>
          <w:p w14:paraId="6029DFB3">
            <w:pPr>
              <w:jc w:val="center"/>
              <w:rPr>
                <w:rFonts w:ascii="宋体" w:hAnsi="宋体"/>
                <w:bCs/>
                <w:sz w:val="18"/>
                <w:szCs w:val="18"/>
              </w:rPr>
            </w:pPr>
          </w:p>
          <w:p w14:paraId="37D6A90A">
            <w:pPr>
              <w:jc w:val="center"/>
              <w:rPr>
                <w:rFonts w:ascii="宋体" w:hAnsi="宋体"/>
                <w:bCs/>
                <w:sz w:val="18"/>
                <w:szCs w:val="18"/>
              </w:rPr>
            </w:pPr>
          </w:p>
          <w:p w14:paraId="61CB992D">
            <w:pPr>
              <w:jc w:val="center"/>
              <w:rPr>
                <w:rFonts w:ascii="宋体" w:hAnsi="宋体"/>
                <w:bCs/>
                <w:sz w:val="18"/>
                <w:szCs w:val="18"/>
              </w:rPr>
            </w:pPr>
          </w:p>
          <w:p w14:paraId="4D8CC9E2">
            <w:pPr>
              <w:jc w:val="center"/>
              <w:rPr>
                <w:rFonts w:ascii="宋体" w:hAnsi="宋体"/>
                <w:bCs/>
                <w:sz w:val="18"/>
                <w:szCs w:val="18"/>
              </w:rPr>
            </w:pPr>
          </w:p>
          <w:p w14:paraId="45C86C21">
            <w:pPr>
              <w:jc w:val="center"/>
              <w:rPr>
                <w:rFonts w:ascii="宋体" w:hAnsi="宋体"/>
                <w:bCs/>
                <w:sz w:val="18"/>
                <w:szCs w:val="18"/>
              </w:rPr>
            </w:pPr>
          </w:p>
          <w:p w14:paraId="309EBA70">
            <w:pPr>
              <w:jc w:val="center"/>
              <w:rPr>
                <w:rFonts w:ascii="宋体" w:hAnsi="宋体"/>
                <w:bCs/>
                <w:sz w:val="18"/>
                <w:szCs w:val="18"/>
              </w:rPr>
            </w:pPr>
          </w:p>
          <w:p w14:paraId="2918210F">
            <w:pPr>
              <w:jc w:val="center"/>
              <w:rPr>
                <w:rFonts w:ascii="宋体" w:hAnsi="宋体"/>
                <w:bCs/>
                <w:sz w:val="18"/>
                <w:szCs w:val="18"/>
              </w:rPr>
            </w:pPr>
          </w:p>
          <w:p w14:paraId="45DBA7B9">
            <w:pPr>
              <w:jc w:val="center"/>
              <w:rPr>
                <w:rFonts w:ascii="宋体" w:hAnsi="宋体"/>
                <w:bCs/>
                <w:sz w:val="18"/>
                <w:szCs w:val="18"/>
              </w:rPr>
            </w:pPr>
          </w:p>
          <w:p w14:paraId="7F6CB6B3">
            <w:pPr>
              <w:jc w:val="center"/>
              <w:rPr>
                <w:rFonts w:ascii="宋体" w:hAnsi="宋体"/>
                <w:bCs/>
                <w:sz w:val="18"/>
                <w:szCs w:val="18"/>
              </w:rPr>
            </w:pPr>
          </w:p>
          <w:p w14:paraId="32D8D1EC">
            <w:pPr>
              <w:jc w:val="center"/>
              <w:rPr>
                <w:rFonts w:ascii="宋体" w:hAnsi="宋体"/>
                <w:bCs/>
                <w:sz w:val="18"/>
                <w:szCs w:val="18"/>
              </w:rPr>
            </w:pPr>
          </w:p>
          <w:p w14:paraId="07073CA9">
            <w:pPr>
              <w:jc w:val="center"/>
              <w:rPr>
                <w:rFonts w:ascii="宋体" w:hAnsi="宋体"/>
                <w:bCs/>
                <w:sz w:val="18"/>
                <w:szCs w:val="18"/>
              </w:rPr>
            </w:pPr>
          </w:p>
          <w:p w14:paraId="16ED0019">
            <w:pPr>
              <w:jc w:val="center"/>
              <w:rPr>
                <w:rFonts w:ascii="宋体" w:hAnsi="宋体"/>
                <w:bCs/>
                <w:sz w:val="18"/>
                <w:szCs w:val="18"/>
              </w:rPr>
            </w:pPr>
          </w:p>
          <w:p w14:paraId="0DDABA1E">
            <w:pPr>
              <w:jc w:val="center"/>
              <w:rPr>
                <w:rFonts w:ascii="宋体" w:hAnsi="宋体"/>
                <w:bCs/>
                <w:sz w:val="18"/>
                <w:szCs w:val="18"/>
              </w:rPr>
            </w:pPr>
          </w:p>
          <w:p w14:paraId="3C2AD73A">
            <w:pPr>
              <w:jc w:val="center"/>
              <w:rPr>
                <w:rFonts w:ascii="宋体" w:hAnsi="宋体"/>
                <w:bCs/>
                <w:sz w:val="18"/>
                <w:szCs w:val="18"/>
              </w:rPr>
            </w:pPr>
          </w:p>
          <w:p w14:paraId="1E37A8E1">
            <w:pPr>
              <w:jc w:val="center"/>
              <w:rPr>
                <w:rFonts w:ascii="宋体" w:hAnsi="宋体"/>
                <w:bCs/>
                <w:sz w:val="18"/>
                <w:szCs w:val="18"/>
              </w:rPr>
            </w:pPr>
          </w:p>
          <w:p w14:paraId="3A75BBE7">
            <w:pPr>
              <w:jc w:val="center"/>
              <w:rPr>
                <w:rFonts w:ascii="宋体" w:hAnsi="宋体"/>
                <w:bCs/>
                <w:sz w:val="18"/>
                <w:szCs w:val="18"/>
              </w:rPr>
            </w:pPr>
          </w:p>
          <w:p w14:paraId="00A8E041">
            <w:pPr>
              <w:jc w:val="center"/>
              <w:rPr>
                <w:rFonts w:ascii="宋体" w:hAnsi="宋体"/>
                <w:bCs/>
                <w:sz w:val="18"/>
                <w:szCs w:val="18"/>
              </w:rPr>
            </w:pPr>
            <w:r>
              <w:rPr>
                <w:rFonts w:hint="eastAsia" w:ascii="宋体" w:hAnsi="宋体"/>
                <w:bCs/>
                <w:sz w:val="18"/>
                <w:szCs w:val="18"/>
              </w:rPr>
              <w:t>六</w:t>
            </w:r>
          </w:p>
        </w:tc>
        <w:tc>
          <w:tcPr>
            <w:tcW w:w="349" w:type="pct"/>
            <w:vMerge w:val="restart"/>
            <w:vAlign w:val="center"/>
          </w:tcPr>
          <w:p w14:paraId="324EB29A"/>
          <w:p w14:paraId="4D569E85"/>
          <w:p w14:paraId="11C4A914"/>
          <w:p w14:paraId="6A0572B3"/>
          <w:p w14:paraId="45B74DD9"/>
          <w:p w14:paraId="6002F2C9"/>
          <w:p w14:paraId="508DB788"/>
          <w:p w14:paraId="18D02BCE"/>
          <w:p w14:paraId="7CDA04C9"/>
          <w:p w14:paraId="13950E39"/>
          <w:p w14:paraId="3FC3C9F0"/>
          <w:p w14:paraId="0CC71CC1"/>
          <w:p w14:paraId="248399FB"/>
          <w:p w14:paraId="6F7E6432"/>
          <w:p w14:paraId="6AD8D9AD"/>
          <w:p w14:paraId="09375AE2"/>
          <w:p w14:paraId="783D3F0D">
            <w:pPr>
              <w:jc w:val="center"/>
              <w:rPr>
                <w:rFonts w:ascii="宋体" w:hAnsi="宋体"/>
                <w:bCs/>
                <w:szCs w:val="21"/>
              </w:rPr>
            </w:pPr>
            <w:r>
              <w:rPr>
                <w:rFonts w:hint="eastAsia" w:ascii="宋体" w:hAnsi="宋体"/>
                <w:bCs/>
                <w:szCs w:val="21"/>
              </w:rPr>
              <w:t>室内公共区域保洁卫生标准</w:t>
            </w:r>
          </w:p>
        </w:tc>
        <w:tc>
          <w:tcPr>
            <w:tcW w:w="294" w:type="pct"/>
            <w:vMerge w:val="restart"/>
            <w:vAlign w:val="center"/>
          </w:tcPr>
          <w:p w14:paraId="151DE6A5"/>
          <w:p w14:paraId="0494AE28"/>
          <w:p w14:paraId="52955740"/>
          <w:p w14:paraId="495A086B"/>
          <w:p w14:paraId="1B7DEB7E"/>
          <w:p w14:paraId="0F2005FA"/>
          <w:p w14:paraId="68E51801"/>
          <w:p w14:paraId="0B0B662D"/>
          <w:p w14:paraId="40A8946D"/>
          <w:p w14:paraId="57BB872D"/>
          <w:p w14:paraId="00C40A7D"/>
          <w:p w14:paraId="476FE6CB"/>
          <w:p w14:paraId="7C7DCD18"/>
          <w:p w14:paraId="4E3CEC73"/>
          <w:p w14:paraId="26E7AD33"/>
          <w:p w14:paraId="38E11EEF"/>
          <w:p w14:paraId="76E643D7">
            <w:pPr>
              <w:jc w:val="center"/>
              <w:rPr>
                <w:rFonts w:ascii="宋体" w:hAnsi="宋体"/>
                <w:bCs/>
                <w:sz w:val="18"/>
                <w:szCs w:val="18"/>
              </w:rPr>
            </w:pPr>
          </w:p>
          <w:p w14:paraId="60068E06">
            <w:pPr>
              <w:jc w:val="center"/>
              <w:rPr>
                <w:rFonts w:ascii="宋体" w:hAnsi="宋体"/>
                <w:bCs/>
                <w:sz w:val="18"/>
                <w:szCs w:val="18"/>
              </w:rPr>
            </w:pPr>
            <w:r>
              <w:rPr>
                <w:rFonts w:hint="eastAsia" w:ascii="宋体" w:hAnsi="宋体"/>
                <w:bCs/>
                <w:sz w:val="18"/>
                <w:szCs w:val="18"/>
              </w:rPr>
              <w:t>11</w:t>
            </w:r>
          </w:p>
        </w:tc>
        <w:tc>
          <w:tcPr>
            <w:tcW w:w="1631" w:type="pct"/>
            <w:vAlign w:val="center"/>
          </w:tcPr>
          <w:p w14:paraId="3F712B73">
            <w:pPr>
              <w:rPr>
                <w:rFonts w:ascii="宋体" w:hAnsi="宋体"/>
                <w:bCs/>
                <w:sz w:val="18"/>
                <w:szCs w:val="18"/>
              </w:rPr>
            </w:pPr>
            <w:r>
              <w:rPr>
                <w:rFonts w:hint="eastAsia" w:ascii="宋体" w:hAnsi="宋体"/>
                <w:bCs/>
                <w:sz w:val="18"/>
                <w:szCs w:val="18"/>
              </w:rPr>
              <w:t>大堂及走廊：①地面无烟头、纸屑、果皮等杂物，无污渍。②保持大理石地板无污渍、垃圾、每平方米地板的脚印不得超过2个。③大堂内摆放的烟缸内烟头存放量不得超过3个。⑤大堂的墙面、台、桌椅等无灰尘，公共设施用纸巾擦拭无明显污染。⑥天花、天棚、风口目视无污迹、灰尘、蜘蛛网。⑦空气清新无异味。</w:t>
            </w:r>
          </w:p>
        </w:tc>
        <w:tc>
          <w:tcPr>
            <w:tcW w:w="328" w:type="pct"/>
            <w:vAlign w:val="center"/>
          </w:tcPr>
          <w:p w14:paraId="553F625F">
            <w:pPr>
              <w:jc w:val="center"/>
              <w:rPr>
                <w:rFonts w:ascii="宋体" w:hAnsi="宋体"/>
                <w:bCs/>
                <w:sz w:val="18"/>
                <w:szCs w:val="18"/>
              </w:rPr>
            </w:pPr>
            <w:r>
              <w:rPr>
                <w:rFonts w:hint="eastAsia" w:ascii="宋体" w:hAnsi="宋体"/>
                <w:bCs/>
                <w:sz w:val="18"/>
                <w:szCs w:val="18"/>
              </w:rPr>
              <w:t>2</w:t>
            </w:r>
          </w:p>
        </w:tc>
        <w:tc>
          <w:tcPr>
            <w:tcW w:w="642" w:type="pct"/>
            <w:vMerge w:val="restart"/>
            <w:vAlign w:val="center"/>
          </w:tcPr>
          <w:p w14:paraId="1963927F">
            <w:pPr>
              <w:jc w:val="center"/>
              <w:rPr>
                <w:rFonts w:ascii="宋体" w:hAnsi="宋体"/>
                <w:bCs/>
                <w:sz w:val="18"/>
                <w:szCs w:val="18"/>
              </w:rPr>
            </w:pPr>
            <w:r>
              <w:rPr>
                <w:rFonts w:hint="eastAsia" w:ascii="宋体" w:hAnsi="宋体"/>
                <w:bCs/>
                <w:sz w:val="18"/>
                <w:szCs w:val="18"/>
              </w:rPr>
              <w:t>未达标每项扣０.５分，直至扣完为止。</w:t>
            </w:r>
          </w:p>
        </w:tc>
        <w:tc>
          <w:tcPr>
            <w:tcW w:w="559" w:type="pct"/>
            <w:vMerge w:val="restart"/>
            <w:vAlign w:val="center"/>
          </w:tcPr>
          <w:p w14:paraId="151ABF91">
            <w:pPr>
              <w:jc w:val="center"/>
              <w:rPr>
                <w:rFonts w:ascii="宋体" w:hAnsi="宋体"/>
                <w:bCs/>
                <w:sz w:val="18"/>
                <w:szCs w:val="18"/>
              </w:rPr>
            </w:pPr>
            <w:r>
              <w:rPr>
                <w:rFonts w:hint="eastAsia" w:ascii="宋体" w:hAnsi="宋体"/>
                <w:bCs/>
                <w:sz w:val="18"/>
                <w:szCs w:val="18"/>
              </w:rPr>
              <w:t>现场检查</w:t>
            </w:r>
          </w:p>
        </w:tc>
        <w:tc>
          <w:tcPr>
            <w:tcW w:w="519" w:type="pct"/>
            <w:vAlign w:val="center"/>
          </w:tcPr>
          <w:p w14:paraId="7877AB29">
            <w:pPr>
              <w:jc w:val="center"/>
              <w:rPr>
                <w:rFonts w:ascii="宋体" w:hAnsi="宋体"/>
                <w:bCs/>
                <w:sz w:val="18"/>
                <w:szCs w:val="18"/>
              </w:rPr>
            </w:pPr>
          </w:p>
        </w:tc>
        <w:tc>
          <w:tcPr>
            <w:tcW w:w="494" w:type="pct"/>
            <w:vAlign w:val="center"/>
          </w:tcPr>
          <w:p w14:paraId="47DC898A">
            <w:pPr>
              <w:jc w:val="center"/>
              <w:rPr>
                <w:rFonts w:ascii="宋体" w:hAnsi="宋体"/>
                <w:bCs/>
                <w:sz w:val="18"/>
                <w:szCs w:val="18"/>
              </w:rPr>
            </w:pPr>
          </w:p>
        </w:tc>
      </w:tr>
      <w:tr w14:paraId="512DB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80" w:type="pct"/>
            <w:vMerge w:val="continue"/>
            <w:vAlign w:val="center"/>
          </w:tcPr>
          <w:p w14:paraId="215E20CE">
            <w:pPr>
              <w:jc w:val="center"/>
              <w:rPr>
                <w:rFonts w:ascii="宋体" w:hAnsi="宋体"/>
                <w:bCs/>
                <w:sz w:val="18"/>
                <w:szCs w:val="18"/>
              </w:rPr>
            </w:pPr>
          </w:p>
        </w:tc>
        <w:tc>
          <w:tcPr>
            <w:tcW w:w="349" w:type="pct"/>
            <w:vMerge w:val="continue"/>
            <w:vAlign w:val="center"/>
          </w:tcPr>
          <w:p w14:paraId="3585556E">
            <w:pPr>
              <w:jc w:val="center"/>
              <w:rPr>
                <w:rFonts w:ascii="宋体" w:hAnsi="宋体"/>
                <w:bCs/>
                <w:szCs w:val="21"/>
              </w:rPr>
            </w:pPr>
          </w:p>
        </w:tc>
        <w:tc>
          <w:tcPr>
            <w:tcW w:w="294" w:type="pct"/>
            <w:vMerge w:val="continue"/>
            <w:vAlign w:val="center"/>
          </w:tcPr>
          <w:p w14:paraId="59BB044B">
            <w:pPr>
              <w:jc w:val="center"/>
              <w:rPr>
                <w:rFonts w:ascii="宋体" w:hAnsi="宋体"/>
                <w:bCs/>
                <w:sz w:val="18"/>
                <w:szCs w:val="18"/>
              </w:rPr>
            </w:pPr>
          </w:p>
        </w:tc>
        <w:tc>
          <w:tcPr>
            <w:tcW w:w="1631" w:type="pct"/>
            <w:vAlign w:val="center"/>
          </w:tcPr>
          <w:p w14:paraId="00E37E2F">
            <w:pPr>
              <w:rPr>
                <w:rFonts w:ascii="宋体" w:hAnsi="宋体"/>
                <w:bCs/>
                <w:sz w:val="18"/>
                <w:szCs w:val="18"/>
              </w:rPr>
            </w:pPr>
            <w:r>
              <w:rPr>
                <w:rFonts w:hint="eastAsia" w:ascii="宋体" w:hAnsi="宋体"/>
                <w:bCs/>
                <w:sz w:val="18"/>
                <w:szCs w:val="18"/>
              </w:rPr>
              <w:t>楼道梯间：①目视楼道梯间地面、梯级洁净，无污渍、水渍、灰尘。②楼梯扶手护栏干净，用干净纸巾擦拭100cm后，纸巾没明显脏污。③铁栏内油漆完好无脱皮，地脚线干净无尘。</w:t>
            </w:r>
          </w:p>
        </w:tc>
        <w:tc>
          <w:tcPr>
            <w:tcW w:w="328" w:type="pct"/>
            <w:vAlign w:val="center"/>
          </w:tcPr>
          <w:p w14:paraId="486FD69D">
            <w:pPr>
              <w:jc w:val="center"/>
              <w:rPr>
                <w:rFonts w:ascii="宋体" w:hAnsi="宋体"/>
                <w:bCs/>
                <w:sz w:val="18"/>
                <w:szCs w:val="18"/>
              </w:rPr>
            </w:pPr>
            <w:r>
              <w:rPr>
                <w:rFonts w:hint="eastAsia" w:ascii="宋体" w:hAnsi="宋体"/>
                <w:bCs/>
                <w:sz w:val="18"/>
                <w:szCs w:val="18"/>
              </w:rPr>
              <w:t>1</w:t>
            </w:r>
          </w:p>
        </w:tc>
        <w:tc>
          <w:tcPr>
            <w:tcW w:w="642" w:type="pct"/>
            <w:vMerge w:val="continue"/>
            <w:vAlign w:val="center"/>
          </w:tcPr>
          <w:p w14:paraId="773B6778">
            <w:pPr>
              <w:rPr>
                <w:rFonts w:ascii="宋体" w:hAnsi="宋体"/>
                <w:bCs/>
                <w:sz w:val="18"/>
                <w:szCs w:val="18"/>
              </w:rPr>
            </w:pPr>
          </w:p>
        </w:tc>
        <w:tc>
          <w:tcPr>
            <w:tcW w:w="559" w:type="pct"/>
            <w:vMerge w:val="continue"/>
            <w:vAlign w:val="center"/>
          </w:tcPr>
          <w:p w14:paraId="51627EB0">
            <w:pPr>
              <w:jc w:val="center"/>
              <w:rPr>
                <w:rFonts w:ascii="宋体" w:hAnsi="宋体"/>
                <w:bCs/>
                <w:sz w:val="18"/>
                <w:szCs w:val="18"/>
              </w:rPr>
            </w:pPr>
          </w:p>
        </w:tc>
        <w:tc>
          <w:tcPr>
            <w:tcW w:w="519" w:type="pct"/>
            <w:vAlign w:val="center"/>
          </w:tcPr>
          <w:p w14:paraId="2DA34E65">
            <w:pPr>
              <w:jc w:val="center"/>
              <w:rPr>
                <w:rFonts w:ascii="宋体" w:hAnsi="宋体"/>
                <w:bCs/>
                <w:sz w:val="18"/>
                <w:szCs w:val="18"/>
              </w:rPr>
            </w:pPr>
          </w:p>
        </w:tc>
        <w:tc>
          <w:tcPr>
            <w:tcW w:w="494" w:type="pct"/>
            <w:vAlign w:val="center"/>
          </w:tcPr>
          <w:p w14:paraId="4746F32A">
            <w:pPr>
              <w:jc w:val="center"/>
              <w:rPr>
                <w:rFonts w:ascii="宋体" w:hAnsi="宋体"/>
                <w:bCs/>
                <w:sz w:val="18"/>
                <w:szCs w:val="18"/>
              </w:rPr>
            </w:pPr>
          </w:p>
        </w:tc>
      </w:tr>
      <w:tr w14:paraId="7051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774F2B91">
            <w:pPr>
              <w:jc w:val="center"/>
              <w:rPr>
                <w:rFonts w:ascii="宋体" w:hAnsi="宋体"/>
                <w:bCs/>
                <w:sz w:val="18"/>
                <w:szCs w:val="18"/>
              </w:rPr>
            </w:pPr>
          </w:p>
        </w:tc>
        <w:tc>
          <w:tcPr>
            <w:tcW w:w="349" w:type="pct"/>
            <w:vMerge w:val="continue"/>
            <w:vAlign w:val="center"/>
          </w:tcPr>
          <w:p w14:paraId="2BF09CFF">
            <w:pPr>
              <w:jc w:val="center"/>
              <w:rPr>
                <w:rFonts w:ascii="宋体" w:hAnsi="宋体"/>
                <w:bCs/>
                <w:szCs w:val="21"/>
              </w:rPr>
            </w:pPr>
          </w:p>
        </w:tc>
        <w:tc>
          <w:tcPr>
            <w:tcW w:w="294" w:type="pct"/>
            <w:vMerge w:val="continue"/>
            <w:vAlign w:val="center"/>
          </w:tcPr>
          <w:p w14:paraId="153DFCDB">
            <w:pPr>
              <w:jc w:val="center"/>
              <w:rPr>
                <w:rFonts w:ascii="宋体" w:hAnsi="宋体"/>
                <w:bCs/>
                <w:sz w:val="18"/>
                <w:szCs w:val="18"/>
              </w:rPr>
            </w:pPr>
          </w:p>
        </w:tc>
        <w:tc>
          <w:tcPr>
            <w:tcW w:w="1631" w:type="pct"/>
            <w:vAlign w:val="center"/>
          </w:tcPr>
          <w:p w14:paraId="0DDFF46A">
            <w:pPr>
              <w:rPr>
                <w:rFonts w:ascii="宋体" w:hAnsi="宋体"/>
                <w:bCs/>
                <w:sz w:val="18"/>
                <w:szCs w:val="18"/>
              </w:rPr>
            </w:pPr>
            <w:r>
              <w:rPr>
                <w:rFonts w:hint="eastAsia" w:ascii="宋体" w:hAnsi="宋体"/>
                <w:bCs/>
                <w:sz w:val="18"/>
                <w:szCs w:val="18"/>
              </w:rPr>
              <w:t>电梯：①玻璃镜面、不锈钢表面无手印、灰尘、污迹。②电梯内地毯干净无污迹。③灯具、天花板无灰尘、蜘蛛网。④楼梯塑料胶条门轨无灰尘、砂子。⑤电梯轿箱内壁干净无灰尘、用纸巾擦拭50cm无明显污迹。</w:t>
            </w:r>
          </w:p>
        </w:tc>
        <w:tc>
          <w:tcPr>
            <w:tcW w:w="328" w:type="pct"/>
            <w:vAlign w:val="center"/>
          </w:tcPr>
          <w:p w14:paraId="194F0E0C">
            <w:pPr>
              <w:jc w:val="center"/>
              <w:rPr>
                <w:rFonts w:ascii="宋体" w:hAnsi="宋体"/>
                <w:bCs/>
                <w:sz w:val="18"/>
                <w:szCs w:val="18"/>
              </w:rPr>
            </w:pPr>
            <w:r>
              <w:rPr>
                <w:rFonts w:hint="eastAsia" w:ascii="宋体" w:hAnsi="宋体"/>
                <w:bCs/>
                <w:sz w:val="18"/>
                <w:szCs w:val="18"/>
              </w:rPr>
              <w:t>0.5</w:t>
            </w:r>
          </w:p>
        </w:tc>
        <w:tc>
          <w:tcPr>
            <w:tcW w:w="642" w:type="pct"/>
            <w:vMerge w:val="continue"/>
            <w:vAlign w:val="center"/>
          </w:tcPr>
          <w:p w14:paraId="013F392D">
            <w:pPr>
              <w:rPr>
                <w:rFonts w:ascii="宋体" w:hAnsi="宋体"/>
                <w:bCs/>
                <w:sz w:val="18"/>
                <w:szCs w:val="18"/>
              </w:rPr>
            </w:pPr>
          </w:p>
        </w:tc>
        <w:tc>
          <w:tcPr>
            <w:tcW w:w="559" w:type="pct"/>
            <w:vMerge w:val="continue"/>
            <w:vAlign w:val="center"/>
          </w:tcPr>
          <w:p w14:paraId="1F7B4248">
            <w:pPr>
              <w:jc w:val="center"/>
              <w:rPr>
                <w:rFonts w:ascii="宋体" w:hAnsi="宋体"/>
                <w:bCs/>
                <w:sz w:val="18"/>
                <w:szCs w:val="18"/>
              </w:rPr>
            </w:pPr>
          </w:p>
        </w:tc>
        <w:tc>
          <w:tcPr>
            <w:tcW w:w="519" w:type="pct"/>
            <w:vAlign w:val="center"/>
          </w:tcPr>
          <w:p w14:paraId="7043E147">
            <w:pPr>
              <w:jc w:val="center"/>
              <w:rPr>
                <w:rFonts w:ascii="宋体" w:hAnsi="宋体"/>
                <w:bCs/>
                <w:sz w:val="18"/>
                <w:szCs w:val="18"/>
              </w:rPr>
            </w:pPr>
          </w:p>
        </w:tc>
        <w:tc>
          <w:tcPr>
            <w:tcW w:w="494" w:type="pct"/>
            <w:vAlign w:val="center"/>
          </w:tcPr>
          <w:p w14:paraId="4F9760F6">
            <w:pPr>
              <w:jc w:val="center"/>
              <w:rPr>
                <w:rFonts w:ascii="宋体" w:hAnsi="宋体"/>
                <w:bCs/>
                <w:sz w:val="18"/>
                <w:szCs w:val="18"/>
              </w:rPr>
            </w:pPr>
          </w:p>
        </w:tc>
      </w:tr>
      <w:tr w14:paraId="2A57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180" w:type="pct"/>
            <w:vMerge w:val="continue"/>
            <w:vAlign w:val="center"/>
          </w:tcPr>
          <w:p w14:paraId="7D55D940">
            <w:pPr>
              <w:jc w:val="center"/>
              <w:rPr>
                <w:rFonts w:ascii="宋体" w:hAnsi="宋体"/>
                <w:bCs/>
                <w:sz w:val="18"/>
                <w:szCs w:val="18"/>
              </w:rPr>
            </w:pPr>
          </w:p>
        </w:tc>
        <w:tc>
          <w:tcPr>
            <w:tcW w:w="349" w:type="pct"/>
            <w:vMerge w:val="continue"/>
            <w:vAlign w:val="center"/>
          </w:tcPr>
          <w:p w14:paraId="7C184FCC">
            <w:pPr>
              <w:jc w:val="center"/>
              <w:rPr>
                <w:rFonts w:ascii="宋体" w:hAnsi="宋体"/>
                <w:bCs/>
                <w:szCs w:val="21"/>
              </w:rPr>
            </w:pPr>
          </w:p>
        </w:tc>
        <w:tc>
          <w:tcPr>
            <w:tcW w:w="294" w:type="pct"/>
            <w:vMerge w:val="continue"/>
            <w:vAlign w:val="center"/>
          </w:tcPr>
          <w:p w14:paraId="4D46993E">
            <w:pPr>
              <w:jc w:val="center"/>
              <w:rPr>
                <w:rFonts w:ascii="宋体" w:hAnsi="宋体"/>
                <w:bCs/>
                <w:sz w:val="18"/>
                <w:szCs w:val="18"/>
              </w:rPr>
            </w:pPr>
          </w:p>
        </w:tc>
        <w:tc>
          <w:tcPr>
            <w:tcW w:w="1631" w:type="pct"/>
            <w:vAlign w:val="center"/>
          </w:tcPr>
          <w:p w14:paraId="0A6F9F97">
            <w:pPr>
              <w:rPr>
                <w:rFonts w:ascii="宋体" w:hAnsi="宋体"/>
                <w:bCs/>
                <w:sz w:val="18"/>
                <w:szCs w:val="18"/>
              </w:rPr>
            </w:pPr>
            <w:r>
              <w:rPr>
                <w:rFonts w:hint="eastAsia" w:ascii="宋体" w:hAnsi="宋体"/>
                <w:bCs/>
                <w:sz w:val="18"/>
                <w:szCs w:val="18"/>
              </w:rPr>
              <w:t>卫生间：①天花板、墙角、灯具目视无灰尘、蜘蛛网。②目视墙壁干净，便器洁净无黄渍。③室内无异味、臭味。④地面无烟头、纸屑、污渍、积水。</w:t>
            </w:r>
          </w:p>
        </w:tc>
        <w:tc>
          <w:tcPr>
            <w:tcW w:w="328" w:type="pct"/>
            <w:vAlign w:val="center"/>
          </w:tcPr>
          <w:p w14:paraId="45BA5F99">
            <w:pPr>
              <w:jc w:val="center"/>
              <w:rPr>
                <w:rFonts w:ascii="宋体" w:hAnsi="宋体"/>
                <w:bCs/>
                <w:sz w:val="18"/>
                <w:szCs w:val="18"/>
              </w:rPr>
            </w:pPr>
            <w:r>
              <w:rPr>
                <w:rFonts w:hint="eastAsia" w:ascii="宋体" w:hAnsi="宋体"/>
                <w:bCs/>
                <w:sz w:val="18"/>
                <w:szCs w:val="18"/>
              </w:rPr>
              <w:t>1.5</w:t>
            </w:r>
          </w:p>
        </w:tc>
        <w:tc>
          <w:tcPr>
            <w:tcW w:w="642" w:type="pct"/>
            <w:vMerge w:val="continue"/>
            <w:vAlign w:val="center"/>
          </w:tcPr>
          <w:p w14:paraId="1ABB4D32">
            <w:pPr>
              <w:rPr>
                <w:rFonts w:ascii="宋体" w:hAnsi="宋体"/>
                <w:bCs/>
                <w:sz w:val="18"/>
                <w:szCs w:val="18"/>
              </w:rPr>
            </w:pPr>
          </w:p>
        </w:tc>
        <w:tc>
          <w:tcPr>
            <w:tcW w:w="559" w:type="pct"/>
            <w:vMerge w:val="continue"/>
            <w:vAlign w:val="center"/>
          </w:tcPr>
          <w:p w14:paraId="326562F7">
            <w:pPr>
              <w:jc w:val="center"/>
              <w:rPr>
                <w:rFonts w:ascii="宋体" w:hAnsi="宋体"/>
                <w:bCs/>
                <w:sz w:val="18"/>
                <w:szCs w:val="18"/>
              </w:rPr>
            </w:pPr>
          </w:p>
        </w:tc>
        <w:tc>
          <w:tcPr>
            <w:tcW w:w="519" w:type="pct"/>
            <w:vAlign w:val="center"/>
          </w:tcPr>
          <w:p w14:paraId="33AD2C07">
            <w:pPr>
              <w:jc w:val="center"/>
              <w:rPr>
                <w:rFonts w:ascii="宋体" w:hAnsi="宋体"/>
                <w:bCs/>
                <w:sz w:val="18"/>
                <w:szCs w:val="18"/>
              </w:rPr>
            </w:pPr>
          </w:p>
        </w:tc>
        <w:tc>
          <w:tcPr>
            <w:tcW w:w="494" w:type="pct"/>
            <w:vAlign w:val="center"/>
          </w:tcPr>
          <w:p w14:paraId="42B1405E">
            <w:pPr>
              <w:jc w:val="center"/>
              <w:rPr>
                <w:rFonts w:ascii="宋体" w:hAnsi="宋体"/>
                <w:bCs/>
                <w:sz w:val="18"/>
                <w:szCs w:val="18"/>
              </w:rPr>
            </w:pPr>
          </w:p>
        </w:tc>
      </w:tr>
      <w:tr w14:paraId="438D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80" w:type="pct"/>
            <w:vMerge w:val="continue"/>
            <w:vAlign w:val="center"/>
          </w:tcPr>
          <w:p w14:paraId="3812BD28">
            <w:pPr>
              <w:jc w:val="center"/>
              <w:rPr>
                <w:rFonts w:ascii="宋体" w:hAnsi="宋体"/>
                <w:bCs/>
                <w:sz w:val="18"/>
                <w:szCs w:val="18"/>
              </w:rPr>
            </w:pPr>
          </w:p>
        </w:tc>
        <w:tc>
          <w:tcPr>
            <w:tcW w:w="349" w:type="pct"/>
            <w:vMerge w:val="continue"/>
            <w:vAlign w:val="center"/>
          </w:tcPr>
          <w:p w14:paraId="0BE5F6F0">
            <w:pPr>
              <w:jc w:val="center"/>
              <w:rPr>
                <w:rFonts w:ascii="宋体" w:hAnsi="宋体"/>
                <w:bCs/>
                <w:szCs w:val="21"/>
              </w:rPr>
            </w:pPr>
          </w:p>
        </w:tc>
        <w:tc>
          <w:tcPr>
            <w:tcW w:w="294" w:type="pct"/>
            <w:vMerge w:val="continue"/>
            <w:vAlign w:val="center"/>
          </w:tcPr>
          <w:p w14:paraId="3AEA53CA">
            <w:pPr>
              <w:jc w:val="center"/>
              <w:rPr>
                <w:rFonts w:ascii="宋体" w:hAnsi="宋体"/>
                <w:bCs/>
                <w:sz w:val="18"/>
                <w:szCs w:val="18"/>
              </w:rPr>
            </w:pPr>
          </w:p>
        </w:tc>
        <w:tc>
          <w:tcPr>
            <w:tcW w:w="1631" w:type="pct"/>
            <w:vAlign w:val="center"/>
          </w:tcPr>
          <w:p w14:paraId="327D977D">
            <w:pPr>
              <w:rPr>
                <w:rFonts w:ascii="宋体" w:hAnsi="宋体"/>
                <w:bCs/>
                <w:sz w:val="18"/>
                <w:szCs w:val="18"/>
              </w:rPr>
            </w:pPr>
            <w:r>
              <w:rPr>
                <w:rFonts w:hint="eastAsia" w:ascii="宋体" w:hAnsi="宋体"/>
                <w:bCs/>
                <w:sz w:val="18"/>
                <w:szCs w:val="18"/>
              </w:rPr>
              <w:t>不锈钢宣传栏、标识牌：①目视检查无污迹，无斑点、无积尘。②表面光亮可映出人形。</w:t>
            </w:r>
          </w:p>
        </w:tc>
        <w:tc>
          <w:tcPr>
            <w:tcW w:w="328" w:type="pct"/>
            <w:vAlign w:val="center"/>
          </w:tcPr>
          <w:p w14:paraId="6C47E3F6">
            <w:pPr>
              <w:jc w:val="center"/>
              <w:rPr>
                <w:rFonts w:ascii="宋体" w:hAnsi="宋体"/>
                <w:bCs/>
                <w:sz w:val="18"/>
                <w:szCs w:val="18"/>
              </w:rPr>
            </w:pPr>
            <w:r>
              <w:rPr>
                <w:rFonts w:hint="eastAsia" w:ascii="宋体" w:hAnsi="宋体"/>
                <w:bCs/>
                <w:sz w:val="18"/>
                <w:szCs w:val="18"/>
              </w:rPr>
              <w:t>1</w:t>
            </w:r>
          </w:p>
        </w:tc>
        <w:tc>
          <w:tcPr>
            <w:tcW w:w="642" w:type="pct"/>
            <w:vMerge w:val="continue"/>
            <w:vAlign w:val="center"/>
          </w:tcPr>
          <w:p w14:paraId="1C6E8E62">
            <w:pPr>
              <w:rPr>
                <w:rFonts w:ascii="宋体" w:hAnsi="宋体"/>
                <w:bCs/>
                <w:sz w:val="18"/>
                <w:szCs w:val="18"/>
              </w:rPr>
            </w:pPr>
          </w:p>
        </w:tc>
        <w:tc>
          <w:tcPr>
            <w:tcW w:w="559" w:type="pct"/>
            <w:vMerge w:val="continue"/>
            <w:vAlign w:val="center"/>
          </w:tcPr>
          <w:p w14:paraId="26BBCE7E">
            <w:pPr>
              <w:jc w:val="center"/>
              <w:rPr>
                <w:rFonts w:ascii="宋体" w:hAnsi="宋体"/>
                <w:bCs/>
                <w:sz w:val="18"/>
                <w:szCs w:val="18"/>
              </w:rPr>
            </w:pPr>
          </w:p>
        </w:tc>
        <w:tc>
          <w:tcPr>
            <w:tcW w:w="519" w:type="pct"/>
            <w:vAlign w:val="center"/>
          </w:tcPr>
          <w:p w14:paraId="3C9A2F0B">
            <w:pPr>
              <w:jc w:val="center"/>
              <w:rPr>
                <w:rFonts w:ascii="宋体" w:hAnsi="宋体"/>
                <w:bCs/>
                <w:sz w:val="18"/>
                <w:szCs w:val="18"/>
              </w:rPr>
            </w:pPr>
          </w:p>
        </w:tc>
        <w:tc>
          <w:tcPr>
            <w:tcW w:w="494" w:type="pct"/>
            <w:vAlign w:val="center"/>
          </w:tcPr>
          <w:p w14:paraId="5D3A4E73">
            <w:pPr>
              <w:jc w:val="center"/>
              <w:rPr>
                <w:rFonts w:ascii="宋体" w:hAnsi="宋体"/>
                <w:bCs/>
                <w:sz w:val="18"/>
                <w:szCs w:val="18"/>
              </w:rPr>
            </w:pPr>
          </w:p>
        </w:tc>
      </w:tr>
      <w:tr w14:paraId="6082C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653156D4">
            <w:pPr>
              <w:jc w:val="center"/>
              <w:rPr>
                <w:rFonts w:ascii="宋体" w:hAnsi="宋体"/>
                <w:bCs/>
                <w:sz w:val="18"/>
                <w:szCs w:val="18"/>
              </w:rPr>
            </w:pPr>
          </w:p>
        </w:tc>
        <w:tc>
          <w:tcPr>
            <w:tcW w:w="349" w:type="pct"/>
            <w:vMerge w:val="continue"/>
            <w:vAlign w:val="center"/>
          </w:tcPr>
          <w:p w14:paraId="2939CEDD">
            <w:pPr>
              <w:jc w:val="center"/>
              <w:rPr>
                <w:rFonts w:ascii="宋体" w:hAnsi="宋体"/>
                <w:bCs/>
                <w:szCs w:val="21"/>
              </w:rPr>
            </w:pPr>
          </w:p>
        </w:tc>
        <w:tc>
          <w:tcPr>
            <w:tcW w:w="294" w:type="pct"/>
            <w:vMerge w:val="continue"/>
            <w:vAlign w:val="center"/>
          </w:tcPr>
          <w:p w14:paraId="7AF924D0">
            <w:pPr>
              <w:jc w:val="center"/>
              <w:rPr>
                <w:rFonts w:ascii="宋体" w:hAnsi="宋体"/>
                <w:bCs/>
                <w:sz w:val="18"/>
                <w:szCs w:val="18"/>
              </w:rPr>
            </w:pPr>
          </w:p>
        </w:tc>
        <w:tc>
          <w:tcPr>
            <w:tcW w:w="1631" w:type="pct"/>
            <w:vAlign w:val="center"/>
          </w:tcPr>
          <w:p w14:paraId="4027B57F">
            <w:pPr>
              <w:rPr>
                <w:rFonts w:ascii="宋体" w:hAnsi="宋体"/>
                <w:bCs/>
                <w:sz w:val="18"/>
                <w:szCs w:val="18"/>
              </w:rPr>
            </w:pPr>
            <w:r>
              <w:rPr>
                <w:rFonts w:hint="eastAsia" w:ascii="宋体" w:hAnsi="宋体"/>
                <w:bCs/>
                <w:sz w:val="18"/>
                <w:szCs w:val="18"/>
              </w:rPr>
              <w:t>自行车棚（房）、停车场：无垃圾、果皮、纸屑、杂物、灰尘。</w:t>
            </w:r>
          </w:p>
        </w:tc>
        <w:tc>
          <w:tcPr>
            <w:tcW w:w="328" w:type="pct"/>
            <w:vAlign w:val="center"/>
          </w:tcPr>
          <w:p w14:paraId="0B99262C">
            <w:pPr>
              <w:jc w:val="center"/>
              <w:rPr>
                <w:rFonts w:ascii="宋体" w:hAnsi="宋体"/>
                <w:bCs/>
                <w:sz w:val="18"/>
                <w:szCs w:val="18"/>
              </w:rPr>
            </w:pPr>
            <w:r>
              <w:rPr>
                <w:rFonts w:hint="eastAsia" w:ascii="宋体" w:hAnsi="宋体"/>
                <w:bCs/>
                <w:sz w:val="18"/>
                <w:szCs w:val="18"/>
              </w:rPr>
              <w:t>1</w:t>
            </w:r>
          </w:p>
        </w:tc>
        <w:tc>
          <w:tcPr>
            <w:tcW w:w="642" w:type="pct"/>
            <w:vMerge w:val="continue"/>
            <w:vAlign w:val="center"/>
          </w:tcPr>
          <w:p w14:paraId="20D797B5">
            <w:pPr>
              <w:rPr>
                <w:rFonts w:ascii="宋体" w:hAnsi="宋体"/>
                <w:bCs/>
                <w:sz w:val="18"/>
                <w:szCs w:val="18"/>
              </w:rPr>
            </w:pPr>
          </w:p>
        </w:tc>
        <w:tc>
          <w:tcPr>
            <w:tcW w:w="559" w:type="pct"/>
            <w:vMerge w:val="continue"/>
            <w:vAlign w:val="center"/>
          </w:tcPr>
          <w:p w14:paraId="39CC373E">
            <w:pPr>
              <w:jc w:val="center"/>
              <w:rPr>
                <w:rFonts w:ascii="宋体" w:hAnsi="宋体"/>
                <w:bCs/>
                <w:sz w:val="18"/>
                <w:szCs w:val="18"/>
              </w:rPr>
            </w:pPr>
          </w:p>
        </w:tc>
        <w:tc>
          <w:tcPr>
            <w:tcW w:w="519" w:type="pct"/>
            <w:vAlign w:val="center"/>
          </w:tcPr>
          <w:p w14:paraId="09B9FC53">
            <w:pPr>
              <w:jc w:val="center"/>
              <w:rPr>
                <w:rFonts w:ascii="宋体" w:hAnsi="宋体"/>
                <w:bCs/>
                <w:sz w:val="18"/>
                <w:szCs w:val="18"/>
              </w:rPr>
            </w:pPr>
          </w:p>
        </w:tc>
        <w:tc>
          <w:tcPr>
            <w:tcW w:w="494" w:type="pct"/>
            <w:vAlign w:val="center"/>
          </w:tcPr>
          <w:p w14:paraId="6F22B23E">
            <w:pPr>
              <w:jc w:val="center"/>
              <w:rPr>
                <w:rFonts w:ascii="宋体" w:hAnsi="宋体"/>
                <w:bCs/>
                <w:sz w:val="18"/>
                <w:szCs w:val="18"/>
              </w:rPr>
            </w:pPr>
          </w:p>
        </w:tc>
      </w:tr>
      <w:tr w14:paraId="24C2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512304D7">
            <w:pPr>
              <w:jc w:val="center"/>
              <w:rPr>
                <w:rFonts w:ascii="宋体" w:hAnsi="宋体"/>
                <w:bCs/>
                <w:sz w:val="18"/>
                <w:szCs w:val="18"/>
              </w:rPr>
            </w:pPr>
          </w:p>
        </w:tc>
        <w:tc>
          <w:tcPr>
            <w:tcW w:w="349" w:type="pct"/>
            <w:vMerge w:val="continue"/>
            <w:vAlign w:val="center"/>
          </w:tcPr>
          <w:p w14:paraId="663B3A47">
            <w:pPr>
              <w:jc w:val="center"/>
              <w:rPr>
                <w:rFonts w:ascii="宋体" w:hAnsi="宋体"/>
                <w:bCs/>
                <w:szCs w:val="21"/>
              </w:rPr>
            </w:pPr>
          </w:p>
        </w:tc>
        <w:tc>
          <w:tcPr>
            <w:tcW w:w="294" w:type="pct"/>
            <w:vMerge w:val="continue"/>
            <w:vAlign w:val="center"/>
          </w:tcPr>
          <w:p w14:paraId="3EC07BAA">
            <w:pPr>
              <w:jc w:val="center"/>
              <w:rPr>
                <w:rFonts w:ascii="宋体" w:hAnsi="宋体"/>
                <w:bCs/>
                <w:sz w:val="18"/>
                <w:szCs w:val="18"/>
              </w:rPr>
            </w:pPr>
          </w:p>
        </w:tc>
        <w:tc>
          <w:tcPr>
            <w:tcW w:w="1631" w:type="pct"/>
            <w:vAlign w:val="center"/>
          </w:tcPr>
          <w:p w14:paraId="41EE6C97">
            <w:pPr>
              <w:rPr>
                <w:rFonts w:ascii="宋体" w:hAnsi="宋体"/>
                <w:bCs/>
                <w:sz w:val="18"/>
                <w:szCs w:val="18"/>
              </w:rPr>
            </w:pPr>
            <w:r>
              <w:rPr>
                <w:rFonts w:hint="eastAsia" w:ascii="宋体" w:hAnsi="宋体"/>
                <w:bCs/>
                <w:sz w:val="18"/>
                <w:szCs w:val="18"/>
              </w:rPr>
              <w:t>值班室、岗亭：①目视无灰尘、污渍、烟头、杂物，门窗玻璃透明无污迹。②值班室、岗亭每天各清洁一次。</w:t>
            </w:r>
          </w:p>
        </w:tc>
        <w:tc>
          <w:tcPr>
            <w:tcW w:w="328" w:type="pct"/>
            <w:vAlign w:val="center"/>
          </w:tcPr>
          <w:p w14:paraId="716DB808">
            <w:pPr>
              <w:jc w:val="center"/>
              <w:rPr>
                <w:rFonts w:ascii="宋体" w:hAnsi="宋体"/>
                <w:bCs/>
                <w:sz w:val="18"/>
                <w:szCs w:val="18"/>
              </w:rPr>
            </w:pPr>
            <w:r>
              <w:rPr>
                <w:rFonts w:hint="eastAsia" w:ascii="宋体" w:hAnsi="宋体"/>
                <w:bCs/>
                <w:sz w:val="18"/>
                <w:szCs w:val="18"/>
              </w:rPr>
              <w:t>1</w:t>
            </w:r>
          </w:p>
        </w:tc>
        <w:tc>
          <w:tcPr>
            <w:tcW w:w="642" w:type="pct"/>
            <w:vMerge w:val="continue"/>
            <w:vAlign w:val="center"/>
          </w:tcPr>
          <w:p w14:paraId="34316683">
            <w:pPr>
              <w:rPr>
                <w:rFonts w:ascii="宋体" w:hAnsi="宋体"/>
                <w:bCs/>
                <w:sz w:val="18"/>
                <w:szCs w:val="18"/>
              </w:rPr>
            </w:pPr>
          </w:p>
        </w:tc>
        <w:tc>
          <w:tcPr>
            <w:tcW w:w="559" w:type="pct"/>
            <w:vMerge w:val="continue"/>
            <w:vAlign w:val="center"/>
          </w:tcPr>
          <w:p w14:paraId="2892EA21">
            <w:pPr>
              <w:jc w:val="center"/>
              <w:rPr>
                <w:rFonts w:ascii="宋体" w:hAnsi="宋体"/>
                <w:bCs/>
                <w:sz w:val="18"/>
                <w:szCs w:val="18"/>
              </w:rPr>
            </w:pPr>
          </w:p>
        </w:tc>
        <w:tc>
          <w:tcPr>
            <w:tcW w:w="519" w:type="pct"/>
            <w:vAlign w:val="center"/>
          </w:tcPr>
          <w:p w14:paraId="4ED77962">
            <w:pPr>
              <w:jc w:val="center"/>
              <w:rPr>
                <w:rFonts w:ascii="宋体" w:hAnsi="宋体"/>
                <w:bCs/>
                <w:sz w:val="18"/>
                <w:szCs w:val="18"/>
              </w:rPr>
            </w:pPr>
          </w:p>
        </w:tc>
        <w:tc>
          <w:tcPr>
            <w:tcW w:w="494" w:type="pct"/>
            <w:vAlign w:val="center"/>
          </w:tcPr>
          <w:p w14:paraId="027B55F2">
            <w:pPr>
              <w:jc w:val="center"/>
              <w:rPr>
                <w:rFonts w:ascii="宋体" w:hAnsi="宋体"/>
                <w:bCs/>
                <w:sz w:val="18"/>
                <w:szCs w:val="18"/>
              </w:rPr>
            </w:pPr>
          </w:p>
        </w:tc>
      </w:tr>
      <w:tr w14:paraId="2C6F9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 w:type="pct"/>
            <w:vMerge w:val="continue"/>
            <w:vAlign w:val="center"/>
          </w:tcPr>
          <w:p w14:paraId="0E53C4C1">
            <w:pPr>
              <w:jc w:val="center"/>
              <w:rPr>
                <w:rFonts w:ascii="宋体" w:hAnsi="宋体"/>
                <w:bCs/>
                <w:sz w:val="18"/>
                <w:szCs w:val="18"/>
              </w:rPr>
            </w:pPr>
          </w:p>
        </w:tc>
        <w:tc>
          <w:tcPr>
            <w:tcW w:w="349" w:type="pct"/>
            <w:vMerge w:val="continue"/>
            <w:vAlign w:val="center"/>
          </w:tcPr>
          <w:p w14:paraId="64E06427">
            <w:pPr>
              <w:jc w:val="center"/>
              <w:rPr>
                <w:rFonts w:ascii="宋体" w:hAnsi="宋体"/>
                <w:bCs/>
                <w:szCs w:val="21"/>
              </w:rPr>
            </w:pPr>
          </w:p>
        </w:tc>
        <w:tc>
          <w:tcPr>
            <w:tcW w:w="294" w:type="pct"/>
            <w:vMerge w:val="continue"/>
            <w:vAlign w:val="center"/>
          </w:tcPr>
          <w:p w14:paraId="79679918">
            <w:pPr>
              <w:jc w:val="center"/>
              <w:rPr>
                <w:rFonts w:ascii="宋体" w:hAnsi="宋体"/>
                <w:bCs/>
                <w:sz w:val="18"/>
                <w:szCs w:val="18"/>
              </w:rPr>
            </w:pPr>
          </w:p>
        </w:tc>
        <w:tc>
          <w:tcPr>
            <w:tcW w:w="1631" w:type="pct"/>
            <w:vAlign w:val="center"/>
          </w:tcPr>
          <w:p w14:paraId="5BD8DFEF">
            <w:pPr>
              <w:rPr>
                <w:rFonts w:ascii="宋体" w:hAnsi="宋体"/>
                <w:bCs/>
                <w:sz w:val="18"/>
                <w:szCs w:val="18"/>
              </w:rPr>
            </w:pPr>
            <w:r>
              <w:rPr>
                <w:rFonts w:hint="eastAsia" w:ascii="宋体" w:hAnsi="宋体"/>
                <w:bCs/>
                <w:sz w:val="18"/>
                <w:szCs w:val="18"/>
              </w:rPr>
              <w:t>室内车库、地下室：①目视地面无垃圾、果皮、纸屑、积水、污迹和杂物。②管道标识清楚，油漆鲜亮，无脱落、锈迹。③标识、指示牌等公共设施目视无明显灰尘。④目视墙面、管线无污迹、灰尘。</w:t>
            </w:r>
          </w:p>
        </w:tc>
        <w:tc>
          <w:tcPr>
            <w:tcW w:w="328" w:type="pct"/>
            <w:vAlign w:val="center"/>
          </w:tcPr>
          <w:p w14:paraId="2AC87BEC">
            <w:pPr>
              <w:jc w:val="center"/>
              <w:rPr>
                <w:rFonts w:ascii="宋体" w:hAnsi="宋体"/>
                <w:bCs/>
                <w:sz w:val="18"/>
                <w:szCs w:val="18"/>
              </w:rPr>
            </w:pPr>
            <w:r>
              <w:rPr>
                <w:rFonts w:hint="eastAsia" w:ascii="宋体" w:hAnsi="宋体"/>
                <w:bCs/>
                <w:sz w:val="18"/>
                <w:szCs w:val="18"/>
              </w:rPr>
              <w:t>1</w:t>
            </w:r>
          </w:p>
        </w:tc>
        <w:tc>
          <w:tcPr>
            <w:tcW w:w="642" w:type="pct"/>
            <w:vMerge w:val="continue"/>
            <w:vAlign w:val="center"/>
          </w:tcPr>
          <w:p w14:paraId="35CB2280">
            <w:pPr>
              <w:rPr>
                <w:rFonts w:ascii="宋体" w:hAnsi="宋体"/>
                <w:bCs/>
                <w:sz w:val="18"/>
                <w:szCs w:val="18"/>
              </w:rPr>
            </w:pPr>
          </w:p>
        </w:tc>
        <w:tc>
          <w:tcPr>
            <w:tcW w:w="559" w:type="pct"/>
            <w:vMerge w:val="continue"/>
            <w:vAlign w:val="center"/>
          </w:tcPr>
          <w:p w14:paraId="73E00574">
            <w:pPr>
              <w:jc w:val="center"/>
              <w:rPr>
                <w:rFonts w:ascii="宋体" w:hAnsi="宋体"/>
                <w:bCs/>
                <w:sz w:val="18"/>
                <w:szCs w:val="18"/>
              </w:rPr>
            </w:pPr>
          </w:p>
        </w:tc>
        <w:tc>
          <w:tcPr>
            <w:tcW w:w="519" w:type="pct"/>
            <w:vAlign w:val="center"/>
          </w:tcPr>
          <w:p w14:paraId="7C472E83">
            <w:pPr>
              <w:jc w:val="center"/>
              <w:rPr>
                <w:rFonts w:ascii="宋体" w:hAnsi="宋体"/>
                <w:bCs/>
                <w:sz w:val="18"/>
                <w:szCs w:val="18"/>
              </w:rPr>
            </w:pPr>
          </w:p>
        </w:tc>
        <w:tc>
          <w:tcPr>
            <w:tcW w:w="494" w:type="pct"/>
            <w:vAlign w:val="center"/>
          </w:tcPr>
          <w:p w14:paraId="67AAB8EC">
            <w:pPr>
              <w:jc w:val="center"/>
              <w:rPr>
                <w:rFonts w:ascii="宋体" w:hAnsi="宋体"/>
                <w:bCs/>
                <w:sz w:val="18"/>
                <w:szCs w:val="18"/>
              </w:rPr>
            </w:pPr>
          </w:p>
        </w:tc>
      </w:tr>
      <w:tr w14:paraId="3B7E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trPr>
        <w:tc>
          <w:tcPr>
            <w:tcW w:w="180" w:type="pct"/>
            <w:vMerge w:val="continue"/>
            <w:vAlign w:val="center"/>
          </w:tcPr>
          <w:p w14:paraId="5D7344F3">
            <w:pPr>
              <w:jc w:val="center"/>
              <w:rPr>
                <w:rFonts w:ascii="宋体" w:hAnsi="宋体"/>
                <w:bCs/>
                <w:sz w:val="18"/>
                <w:szCs w:val="18"/>
              </w:rPr>
            </w:pPr>
          </w:p>
        </w:tc>
        <w:tc>
          <w:tcPr>
            <w:tcW w:w="349" w:type="pct"/>
            <w:vMerge w:val="continue"/>
            <w:vAlign w:val="center"/>
          </w:tcPr>
          <w:p w14:paraId="05408965">
            <w:pPr>
              <w:jc w:val="center"/>
              <w:rPr>
                <w:rFonts w:ascii="宋体" w:hAnsi="宋体"/>
                <w:bCs/>
                <w:szCs w:val="21"/>
              </w:rPr>
            </w:pPr>
          </w:p>
        </w:tc>
        <w:tc>
          <w:tcPr>
            <w:tcW w:w="294" w:type="pct"/>
            <w:vMerge w:val="continue"/>
            <w:vAlign w:val="center"/>
          </w:tcPr>
          <w:p w14:paraId="385D0F83">
            <w:pPr>
              <w:jc w:val="center"/>
              <w:rPr>
                <w:rFonts w:ascii="宋体" w:hAnsi="宋体"/>
                <w:bCs/>
                <w:sz w:val="18"/>
                <w:szCs w:val="18"/>
              </w:rPr>
            </w:pPr>
          </w:p>
        </w:tc>
        <w:tc>
          <w:tcPr>
            <w:tcW w:w="1631" w:type="pct"/>
            <w:vAlign w:val="center"/>
          </w:tcPr>
          <w:p w14:paraId="4154B52A">
            <w:pPr>
              <w:rPr>
                <w:rFonts w:ascii="宋体" w:hAnsi="宋体"/>
                <w:bCs/>
                <w:sz w:val="18"/>
                <w:szCs w:val="18"/>
              </w:rPr>
            </w:pPr>
            <w:r>
              <w:rPr>
                <w:rFonts w:hint="eastAsia" w:ascii="宋体" w:hAnsi="宋体"/>
                <w:bCs/>
                <w:sz w:val="18"/>
                <w:szCs w:val="18"/>
              </w:rPr>
              <w:t>会议室、报告厅、阶梯教室：①天花板、灯具、出风口等无蜘蛛网、灰尘。②玻璃、镜面光亮无水冲痕迹。③墙面洁净无浮尘。④地毯（板）干净无污迹、纸屑。⑤金属件表面光亮，讲台、饰柜、桌椅摆放整洁无浮尘、污迹。⑥保持环境舒适整洁、空气清新。</w:t>
            </w:r>
          </w:p>
        </w:tc>
        <w:tc>
          <w:tcPr>
            <w:tcW w:w="328" w:type="pct"/>
            <w:vAlign w:val="center"/>
          </w:tcPr>
          <w:p w14:paraId="09A2B936">
            <w:pPr>
              <w:jc w:val="center"/>
              <w:rPr>
                <w:rFonts w:ascii="宋体" w:hAnsi="宋体"/>
                <w:bCs/>
                <w:sz w:val="18"/>
                <w:szCs w:val="18"/>
              </w:rPr>
            </w:pPr>
            <w:r>
              <w:rPr>
                <w:rFonts w:hint="eastAsia" w:ascii="宋体" w:hAnsi="宋体"/>
                <w:bCs/>
                <w:sz w:val="18"/>
                <w:szCs w:val="18"/>
              </w:rPr>
              <w:t>2</w:t>
            </w:r>
          </w:p>
        </w:tc>
        <w:tc>
          <w:tcPr>
            <w:tcW w:w="642" w:type="pct"/>
            <w:vMerge w:val="continue"/>
            <w:vAlign w:val="center"/>
          </w:tcPr>
          <w:p w14:paraId="22BDDEA0">
            <w:pPr>
              <w:rPr>
                <w:rFonts w:ascii="宋体" w:hAnsi="宋体"/>
                <w:bCs/>
                <w:sz w:val="18"/>
                <w:szCs w:val="18"/>
              </w:rPr>
            </w:pPr>
          </w:p>
        </w:tc>
        <w:tc>
          <w:tcPr>
            <w:tcW w:w="559" w:type="pct"/>
            <w:vMerge w:val="continue"/>
            <w:vAlign w:val="center"/>
          </w:tcPr>
          <w:p w14:paraId="21F7D15B">
            <w:pPr>
              <w:jc w:val="center"/>
              <w:rPr>
                <w:rFonts w:ascii="宋体" w:hAnsi="宋体"/>
                <w:bCs/>
                <w:sz w:val="18"/>
                <w:szCs w:val="18"/>
              </w:rPr>
            </w:pPr>
          </w:p>
        </w:tc>
        <w:tc>
          <w:tcPr>
            <w:tcW w:w="519" w:type="pct"/>
            <w:vAlign w:val="center"/>
          </w:tcPr>
          <w:p w14:paraId="001DFB47">
            <w:pPr>
              <w:jc w:val="center"/>
              <w:rPr>
                <w:rFonts w:ascii="宋体" w:hAnsi="宋体"/>
                <w:bCs/>
                <w:sz w:val="18"/>
                <w:szCs w:val="18"/>
              </w:rPr>
            </w:pPr>
          </w:p>
        </w:tc>
        <w:tc>
          <w:tcPr>
            <w:tcW w:w="494" w:type="pct"/>
            <w:vAlign w:val="center"/>
          </w:tcPr>
          <w:p w14:paraId="37F9B832">
            <w:pPr>
              <w:jc w:val="center"/>
              <w:rPr>
                <w:rFonts w:ascii="宋体" w:hAnsi="宋体"/>
                <w:bCs/>
                <w:sz w:val="18"/>
                <w:szCs w:val="18"/>
              </w:rPr>
            </w:pPr>
          </w:p>
        </w:tc>
      </w:tr>
      <w:tr w14:paraId="6A1D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986" w:type="pct"/>
            <w:gridSpan w:val="7"/>
            <w:vAlign w:val="center"/>
          </w:tcPr>
          <w:p w14:paraId="546DB51E">
            <w:pPr>
              <w:rPr>
                <w:rFonts w:ascii="宋体" w:hAnsi="宋体"/>
                <w:bCs/>
                <w:sz w:val="18"/>
                <w:szCs w:val="18"/>
              </w:rPr>
            </w:pPr>
            <w:r>
              <w:rPr>
                <w:rFonts w:hint="eastAsia" w:ascii="黑体" w:eastAsia="黑体"/>
                <w:szCs w:val="21"/>
              </w:rPr>
              <w:t>得   分   总   计：</w:t>
            </w:r>
          </w:p>
        </w:tc>
        <w:tc>
          <w:tcPr>
            <w:tcW w:w="1013" w:type="pct"/>
            <w:gridSpan w:val="2"/>
            <w:vAlign w:val="center"/>
          </w:tcPr>
          <w:p w14:paraId="265D9EBF">
            <w:pPr>
              <w:jc w:val="center"/>
              <w:rPr>
                <w:rFonts w:ascii="宋体" w:hAnsi="宋体"/>
                <w:bCs/>
                <w:sz w:val="18"/>
                <w:szCs w:val="18"/>
              </w:rPr>
            </w:pPr>
          </w:p>
        </w:tc>
      </w:tr>
      <w:tr w14:paraId="1E5E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5000" w:type="pct"/>
            <w:gridSpan w:val="9"/>
            <w:vAlign w:val="center"/>
          </w:tcPr>
          <w:p w14:paraId="392DEAF6">
            <w:pPr>
              <w:rPr>
                <w:rFonts w:ascii="宋体" w:hAnsi="宋体"/>
                <w:bCs/>
                <w:sz w:val="18"/>
                <w:szCs w:val="18"/>
              </w:rPr>
            </w:pPr>
            <w:r>
              <w:rPr>
                <w:rFonts w:hint="eastAsia" w:ascii="宋体" w:hAnsi="宋体"/>
                <w:bCs/>
                <w:sz w:val="18"/>
                <w:szCs w:val="18"/>
              </w:rPr>
              <w:t>备注：</w:t>
            </w:r>
          </w:p>
        </w:tc>
      </w:tr>
    </w:tbl>
    <w:p w14:paraId="29CE66BA">
      <w:pPr>
        <w:pStyle w:val="18"/>
        <w:ind w:left="840"/>
        <w:rPr>
          <w:sz w:val="30"/>
          <w:szCs w:val="30"/>
        </w:rPr>
      </w:pPr>
      <w:r>
        <w:rPr>
          <w:rFonts w:hint="eastAsia" w:ascii="宋体" w:hAnsi="宋体"/>
          <w:sz w:val="21"/>
          <w:szCs w:val="21"/>
        </w:rPr>
        <w:t>4.绿化服务</w:t>
      </w:r>
      <w:r>
        <w:rPr>
          <w:rFonts w:hint="eastAsia" w:ascii="宋体" w:hAnsi="宋体" w:cs="宋体"/>
          <w:kern w:val="0"/>
          <w:sz w:val="21"/>
          <w:szCs w:val="21"/>
        </w:rPr>
        <w:t>完成状况量化考评表</w:t>
      </w:r>
      <w:r>
        <w:rPr>
          <w:rFonts w:hint="eastAsia" w:ascii="宋体" w:hAnsi="宋体"/>
          <w:sz w:val="21"/>
          <w:szCs w:val="21"/>
        </w:rPr>
        <w:t>（总分100分）</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8"/>
        <w:gridCol w:w="608"/>
        <w:gridCol w:w="224"/>
        <w:gridCol w:w="2380"/>
        <w:gridCol w:w="317"/>
        <w:gridCol w:w="3330"/>
        <w:gridCol w:w="580"/>
        <w:gridCol w:w="332"/>
        <w:gridCol w:w="334"/>
      </w:tblGrid>
      <w:tr w14:paraId="1F7D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Align w:val="center"/>
          </w:tcPr>
          <w:p w14:paraId="249264E2">
            <w:pPr>
              <w:pStyle w:val="209"/>
              <w:jc w:val="center"/>
              <w:rPr>
                <w:sz w:val="18"/>
                <w:szCs w:val="18"/>
              </w:rPr>
            </w:pPr>
            <w:r>
              <w:rPr>
                <w:sz w:val="18"/>
                <w:szCs w:val="18"/>
              </w:rPr>
              <w:t>序号</w:t>
            </w:r>
          </w:p>
        </w:tc>
        <w:tc>
          <w:tcPr>
            <w:tcW w:w="366" w:type="pct"/>
            <w:vAlign w:val="center"/>
          </w:tcPr>
          <w:p w14:paraId="7657D96D">
            <w:pPr>
              <w:pStyle w:val="209"/>
              <w:jc w:val="center"/>
              <w:rPr>
                <w:sz w:val="18"/>
                <w:szCs w:val="18"/>
              </w:rPr>
            </w:pPr>
            <w:r>
              <w:rPr>
                <w:sz w:val="18"/>
                <w:szCs w:val="18"/>
              </w:rPr>
              <w:t>检查考核项目</w:t>
            </w:r>
          </w:p>
        </w:tc>
        <w:tc>
          <w:tcPr>
            <w:tcW w:w="135" w:type="pct"/>
            <w:vAlign w:val="center"/>
          </w:tcPr>
          <w:p w14:paraId="0C63419A">
            <w:pPr>
              <w:pStyle w:val="209"/>
              <w:jc w:val="center"/>
              <w:rPr>
                <w:sz w:val="18"/>
                <w:szCs w:val="18"/>
              </w:rPr>
            </w:pPr>
            <w:r>
              <w:rPr>
                <w:sz w:val="18"/>
                <w:szCs w:val="18"/>
              </w:rPr>
              <w:t>标准分值</w:t>
            </w:r>
          </w:p>
        </w:tc>
        <w:tc>
          <w:tcPr>
            <w:tcW w:w="1433" w:type="pct"/>
            <w:vAlign w:val="center"/>
          </w:tcPr>
          <w:p w14:paraId="6036C486">
            <w:pPr>
              <w:pStyle w:val="209"/>
              <w:jc w:val="center"/>
              <w:rPr>
                <w:sz w:val="18"/>
                <w:szCs w:val="18"/>
              </w:rPr>
            </w:pPr>
            <w:r>
              <w:rPr>
                <w:sz w:val="18"/>
                <w:szCs w:val="18"/>
              </w:rPr>
              <w:t>检查考核评分标准</w:t>
            </w:r>
          </w:p>
        </w:tc>
        <w:tc>
          <w:tcPr>
            <w:tcW w:w="191" w:type="pct"/>
            <w:vAlign w:val="center"/>
          </w:tcPr>
          <w:p w14:paraId="3B3FA71C">
            <w:pPr>
              <w:pStyle w:val="209"/>
              <w:jc w:val="center"/>
              <w:rPr>
                <w:sz w:val="18"/>
                <w:szCs w:val="18"/>
              </w:rPr>
            </w:pPr>
            <w:r>
              <w:rPr>
                <w:sz w:val="18"/>
                <w:szCs w:val="18"/>
              </w:rPr>
              <w:t>比例分值</w:t>
            </w:r>
          </w:p>
        </w:tc>
        <w:tc>
          <w:tcPr>
            <w:tcW w:w="2005" w:type="pct"/>
            <w:vAlign w:val="center"/>
          </w:tcPr>
          <w:p w14:paraId="1AB11ADE">
            <w:pPr>
              <w:pStyle w:val="209"/>
              <w:jc w:val="center"/>
              <w:rPr>
                <w:sz w:val="18"/>
                <w:szCs w:val="18"/>
              </w:rPr>
            </w:pPr>
            <w:r>
              <w:rPr>
                <w:sz w:val="18"/>
                <w:szCs w:val="18"/>
              </w:rPr>
              <w:t>扣罚标准</w:t>
            </w:r>
          </w:p>
        </w:tc>
        <w:tc>
          <w:tcPr>
            <w:tcW w:w="349" w:type="pct"/>
            <w:vAlign w:val="center"/>
          </w:tcPr>
          <w:p w14:paraId="4C1EBFC8">
            <w:pPr>
              <w:pStyle w:val="209"/>
              <w:jc w:val="center"/>
              <w:rPr>
                <w:sz w:val="18"/>
                <w:szCs w:val="18"/>
              </w:rPr>
            </w:pPr>
            <w:r>
              <w:rPr>
                <w:spacing w:val="-2"/>
                <w:sz w:val="18"/>
                <w:szCs w:val="18"/>
              </w:rPr>
              <w:t>评分方法</w:t>
            </w:r>
          </w:p>
        </w:tc>
        <w:tc>
          <w:tcPr>
            <w:tcW w:w="200" w:type="pct"/>
            <w:vAlign w:val="center"/>
          </w:tcPr>
          <w:p w14:paraId="46351B35">
            <w:pPr>
              <w:pStyle w:val="209"/>
              <w:jc w:val="center"/>
              <w:rPr>
                <w:sz w:val="18"/>
                <w:szCs w:val="18"/>
              </w:rPr>
            </w:pPr>
            <w:r>
              <w:rPr>
                <w:sz w:val="18"/>
                <w:szCs w:val="18"/>
              </w:rPr>
              <w:t>扣分</w:t>
            </w:r>
          </w:p>
        </w:tc>
        <w:tc>
          <w:tcPr>
            <w:tcW w:w="201" w:type="pct"/>
            <w:vAlign w:val="center"/>
          </w:tcPr>
          <w:p w14:paraId="5A49A7E3">
            <w:pPr>
              <w:pStyle w:val="209"/>
              <w:jc w:val="center"/>
              <w:rPr>
                <w:sz w:val="18"/>
                <w:szCs w:val="18"/>
              </w:rPr>
            </w:pPr>
            <w:r>
              <w:rPr>
                <w:sz w:val="18"/>
                <w:szCs w:val="18"/>
              </w:rPr>
              <w:t>得分</w:t>
            </w:r>
          </w:p>
        </w:tc>
      </w:tr>
      <w:tr w14:paraId="70E7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Align w:val="center"/>
          </w:tcPr>
          <w:p w14:paraId="232128F7">
            <w:pPr>
              <w:pStyle w:val="209"/>
              <w:jc w:val="center"/>
              <w:rPr>
                <w:sz w:val="18"/>
                <w:szCs w:val="18"/>
              </w:rPr>
            </w:pPr>
            <w:r>
              <w:rPr>
                <w:sz w:val="18"/>
                <w:szCs w:val="18"/>
              </w:rPr>
              <w:t>一</w:t>
            </w:r>
          </w:p>
        </w:tc>
        <w:tc>
          <w:tcPr>
            <w:tcW w:w="366" w:type="pct"/>
            <w:vAlign w:val="center"/>
          </w:tcPr>
          <w:p w14:paraId="3FC86797">
            <w:pPr>
              <w:pStyle w:val="209"/>
              <w:jc w:val="center"/>
              <w:rPr>
                <w:sz w:val="18"/>
                <w:szCs w:val="18"/>
              </w:rPr>
            </w:pPr>
            <w:r>
              <w:rPr>
                <w:sz w:val="18"/>
                <w:szCs w:val="18"/>
              </w:rPr>
              <w:t>作业规范</w:t>
            </w:r>
          </w:p>
        </w:tc>
        <w:tc>
          <w:tcPr>
            <w:tcW w:w="135" w:type="pct"/>
            <w:vAlign w:val="center"/>
          </w:tcPr>
          <w:p w14:paraId="3E19492F">
            <w:pPr>
              <w:pStyle w:val="209"/>
              <w:jc w:val="center"/>
              <w:rPr>
                <w:sz w:val="18"/>
                <w:szCs w:val="18"/>
              </w:rPr>
            </w:pPr>
            <w:r>
              <w:rPr>
                <w:sz w:val="18"/>
                <w:szCs w:val="18"/>
              </w:rPr>
              <w:t>5</w:t>
            </w:r>
          </w:p>
        </w:tc>
        <w:tc>
          <w:tcPr>
            <w:tcW w:w="1433" w:type="pct"/>
            <w:vAlign w:val="center"/>
          </w:tcPr>
          <w:p w14:paraId="283D419A">
            <w:pPr>
              <w:pStyle w:val="209"/>
              <w:jc w:val="both"/>
              <w:rPr>
                <w:sz w:val="18"/>
                <w:szCs w:val="18"/>
                <w:lang w:eastAsia="zh-CN"/>
              </w:rPr>
            </w:pPr>
            <w:r>
              <w:rPr>
                <w:spacing w:val="-1"/>
                <w:sz w:val="18"/>
                <w:szCs w:val="18"/>
                <w:lang w:eastAsia="zh-CN"/>
              </w:rPr>
              <w:t>着装：按要求着统一</w:t>
            </w:r>
            <w:r>
              <w:rPr>
                <w:sz w:val="18"/>
                <w:szCs w:val="18"/>
                <w:lang w:eastAsia="zh-CN"/>
              </w:rPr>
              <w:t>工作服作业：按安全作业要求</w:t>
            </w:r>
          </w:p>
        </w:tc>
        <w:tc>
          <w:tcPr>
            <w:tcW w:w="191" w:type="pct"/>
            <w:vAlign w:val="center"/>
          </w:tcPr>
          <w:p w14:paraId="510721ED">
            <w:pPr>
              <w:pStyle w:val="209"/>
              <w:jc w:val="center"/>
              <w:rPr>
                <w:sz w:val="18"/>
                <w:szCs w:val="18"/>
              </w:rPr>
            </w:pPr>
            <w:r>
              <w:rPr>
                <w:sz w:val="18"/>
                <w:szCs w:val="18"/>
              </w:rPr>
              <w:t>5</w:t>
            </w:r>
          </w:p>
        </w:tc>
        <w:tc>
          <w:tcPr>
            <w:tcW w:w="2005" w:type="pct"/>
          </w:tcPr>
          <w:p w14:paraId="3D2B01A5">
            <w:pPr>
              <w:pStyle w:val="209"/>
              <w:jc w:val="both"/>
              <w:rPr>
                <w:spacing w:val="-1"/>
                <w:sz w:val="18"/>
                <w:szCs w:val="18"/>
                <w:lang w:eastAsia="zh-CN"/>
              </w:rPr>
            </w:pPr>
            <w:r>
              <w:rPr>
                <w:spacing w:val="-1"/>
                <w:sz w:val="18"/>
                <w:szCs w:val="18"/>
                <w:lang w:eastAsia="zh-CN"/>
              </w:rPr>
              <w:t>未达标的每项每次扣 5 分；不听劝止则立即停工整改，并每人每次扣5 分。</w:t>
            </w:r>
          </w:p>
        </w:tc>
        <w:tc>
          <w:tcPr>
            <w:tcW w:w="349" w:type="pct"/>
            <w:vAlign w:val="center"/>
          </w:tcPr>
          <w:p w14:paraId="1F1F69B3">
            <w:pPr>
              <w:pStyle w:val="209"/>
              <w:jc w:val="center"/>
              <w:rPr>
                <w:sz w:val="18"/>
                <w:szCs w:val="18"/>
              </w:rPr>
            </w:pPr>
            <w:r>
              <w:rPr>
                <w:spacing w:val="-2"/>
                <w:sz w:val="18"/>
                <w:szCs w:val="18"/>
              </w:rPr>
              <w:t>现场检查</w:t>
            </w:r>
          </w:p>
        </w:tc>
        <w:tc>
          <w:tcPr>
            <w:tcW w:w="200" w:type="pct"/>
          </w:tcPr>
          <w:p w14:paraId="6061C145">
            <w:pPr>
              <w:pStyle w:val="209"/>
              <w:rPr>
                <w:sz w:val="18"/>
                <w:szCs w:val="18"/>
              </w:rPr>
            </w:pPr>
          </w:p>
        </w:tc>
        <w:tc>
          <w:tcPr>
            <w:tcW w:w="201" w:type="pct"/>
          </w:tcPr>
          <w:p w14:paraId="7859ECC2">
            <w:pPr>
              <w:pStyle w:val="209"/>
              <w:rPr>
                <w:sz w:val="18"/>
                <w:szCs w:val="18"/>
              </w:rPr>
            </w:pPr>
          </w:p>
        </w:tc>
      </w:tr>
      <w:tr w14:paraId="431E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restart"/>
            <w:vAlign w:val="center"/>
          </w:tcPr>
          <w:p w14:paraId="0754E74A">
            <w:pPr>
              <w:pStyle w:val="209"/>
              <w:jc w:val="center"/>
              <w:rPr>
                <w:sz w:val="18"/>
                <w:szCs w:val="18"/>
              </w:rPr>
            </w:pPr>
            <w:r>
              <w:rPr>
                <w:sz w:val="18"/>
                <w:szCs w:val="18"/>
              </w:rPr>
              <w:t>二</w:t>
            </w:r>
          </w:p>
        </w:tc>
        <w:tc>
          <w:tcPr>
            <w:tcW w:w="366" w:type="pct"/>
            <w:vMerge w:val="restart"/>
            <w:vAlign w:val="center"/>
          </w:tcPr>
          <w:p w14:paraId="1DD187E3">
            <w:pPr>
              <w:pStyle w:val="209"/>
              <w:jc w:val="center"/>
              <w:rPr>
                <w:sz w:val="18"/>
                <w:szCs w:val="18"/>
              </w:rPr>
            </w:pPr>
            <w:r>
              <w:rPr>
                <w:sz w:val="18"/>
                <w:szCs w:val="18"/>
              </w:rPr>
              <w:t>绿化区域保洁</w:t>
            </w:r>
          </w:p>
        </w:tc>
        <w:tc>
          <w:tcPr>
            <w:tcW w:w="135" w:type="pct"/>
            <w:vMerge w:val="restart"/>
            <w:vAlign w:val="center"/>
          </w:tcPr>
          <w:p w14:paraId="08B4B7BC">
            <w:pPr>
              <w:pStyle w:val="209"/>
              <w:jc w:val="center"/>
              <w:rPr>
                <w:sz w:val="18"/>
                <w:szCs w:val="18"/>
              </w:rPr>
            </w:pPr>
            <w:r>
              <w:rPr>
                <w:sz w:val="18"/>
                <w:szCs w:val="18"/>
              </w:rPr>
              <w:t>20</w:t>
            </w:r>
          </w:p>
        </w:tc>
        <w:tc>
          <w:tcPr>
            <w:tcW w:w="1433" w:type="pct"/>
            <w:vAlign w:val="center"/>
          </w:tcPr>
          <w:p w14:paraId="338307AB">
            <w:pPr>
              <w:pStyle w:val="209"/>
              <w:jc w:val="both"/>
              <w:rPr>
                <w:spacing w:val="-1"/>
                <w:sz w:val="18"/>
                <w:szCs w:val="18"/>
                <w:lang w:eastAsia="zh-CN"/>
              </w:rPr>
            </w:pPr>
            <w:r>
              <w:rPr>
                <w:spacing w:val="-1"/>
                <w:sz w:val="18"/>
                <w:szCs w:val="18"/>
                <w:lang w:eastAsia="zh-CN"/>
              </w:rPr>
              <w:t>保洁时间内绿地上（包含园路和铺装地面）不得有垃圾杂物或影响景观的落叶</w:t>
            </w:r>
          </w:p>
        </w:tc>
        <w:tc>
          <w:tcPr>
            <w:tcW w:w="191" w:type="pct"/>
            <w:vAlign w:val="center"/>
          </w:tcPr>
          <w:p w14:paraId="565686FF">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0E48B1BD">
            <w:pPr>
              <w:pStyle w:val="209"/>
              <w:jc w:val="both"/>
              <w:rPr>
                <w:spacing w:val="-1"/>
                <w:sz w:val="18"/>
                <w:szCs w:val="18"/>
                <w:lang w:eastAsia="zh-CN"/>
              </w:rPr>
            </w:pPr>
            <w:r>
              <w:rPr>
                <w:spacing w:val="-1"/>
                <w:sz w:val="18"/>
                <w:szCs w:val="18"/>
                <w:lang w:eastAsia="zh-CN"/>
              </w:rPr>
              <w:t>未达标的一级管理绿化：每件或每平方扣1.5 分；二级管理绿 化：扣 1 分；三级管理绿化：扣 0.5 分。</w:t>
            </w:r>
          </w:p>
        </w:tc>
        <w:tc>
          <w:tcPr>
            <w:tcW w:w="349" w:type="pct"/>
            <w:vMerge w:val="restart"/>
            <w:vAlign w:val="center"/>
          </w:tcPr>
          <w:p w14:paraId="78063AFB">
            <w:pPr>
              <w:pStyle w:val="209"/>
              <w:jc w:val="center"/>
              <w:rPr>
                <w:sz w:val="18"/>
                <w:szCs w:val="18"/>
              </w:rPr>
            </w:pPr>
            <w:r>
              <w:rPr>
                <w:spacing w:val="-2"/>
                <w:sz w:val="18"/>
                <w:szCs w:val="18"/>
              </w:rPr>
              <w:t>现场检查</w:t>
            </w:r>
          </w:p>
        </w:tc>
        <w:tc>
          <w:tcPr>
            <w:tcW w:w="200" w:type="pct"/>
          </w:tcPr>
          <w:p w14:paraId="1653D101">
            <w:pPr>
              <w:pStyle w:val="209"/>
              <w:rPr>
                <w:sz w:val="18"/>
                <w:szCs w:val="18"/>
              </w:rPr>
            </w:pPr>
          </w:p>
        </w:tc>
        <w:tc>
          <w:tcPr>
            <w:tcW w:w="201" w:type="pct"/>
          </w:tcPr>
          <w:p w14:paraId="1FF6564F">
            <w:pPr>
              <w:pStyle w:val="209"/>
              <w:rPr>
                <w:sz w:val="18"/>
                <w:szCs w:val="18"/>
              </w:rPr>
            </w:pPr>
          </w:p>
        </w:tc>
      </w:tr>
      <w:tr w14:paraId="6FBA9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5CE48A78">
            <w:pPr>
              <w:autoSpaceDE w:val="0"/>
              <w:autoSpaceDN w:val="0"/>
              <w:jc w:val="center"/>
              <w:rPr>
                <w:rFonts w:ascii="宋体" w:hAnsi="宋体"/>
                <w:sz w:val="18"/>
                <w:szCs w:val="18"/>
                <w:lang w:eastAsia="en-US"/>
              </w:rPr>
            </w:pPr>
          </w:p>
        </w:tc>
        <w:tc>
          <w:tcPr>
            <w:tcW w:w="366" w:type="pct"/>
            <w:vMerge w:val="continue"/>
            <w:vAlign w:val="center"/>
          </w:tcPr>
          <w:p w14:paraId="6ECB5E68">
            <w:pPr>
              <w:autoSpaceDE w:val="0"/>
              <w:autoSpaceDN w:val="0"/>
              <w:jc w:val="center"/>
              <w:rPr>
                <w:rFonts w:ascii="宋体" w:hAnsi="宋体"/>
                <w:sz w:val="18"/>
                <w:szCs w:val="18"/>
                <w:lang w:eastAsia="en-US"/>
              </w:rPr>
            </w:pPr>
          </w:p>
        </w:tc>
        <w:tc>
          <w:tcPr>
            <w:tcW w:w="135" w:type="pct"/>
            <w:vMerge w:val="continue"/>
            <w:vAlign w:val="center"/>
          </w:tcPr>
          <w:p w14:paraId="5A2ECA6D">
            <w:pPr>
              <w:autoSpaceDE w:val="0"/>
              <w:autoSpaceDN w:val="0"/>
              <w:jc w:val="center"/>
              <w:rPr>
                <w:rFonts w:ascii="宋体" w:hAnsi="宋体"/>
                <w:sz w:val="18"/>
                <w:szCs w:val="18"/>
                <w:lang w:eastAsia="en-US"/>
              </w:rPr>
            </w:pPr>
          </w:p>
        </w:tc>
        <w:tc>
          <w:tcPr>
            <w:tcW w:w="1433" w:type="pct"/>
            <w:vAlign w:val="center"/>
          </w:tcPr>
          <w:p w14:paraId="7C344D52">
            <w:pPr>
              <w:pStyle w:val="209"/>
              <w:jc w:val="both"/>
              <w:rPr>
                <w:spacing w:val="-1"/>
                <w:sz w:val="18"/>
                <w:szCs w:val="18"/>
                <w:lang w:eastAsia="zh-CN"/>
              </w:rPr>
            </w:pPr>
            <w:r>
              <w:rPr>
                <w:spacing w:val="-1"/>
                <w:sz w:val="18"/>
                <w:szCs w:val="18"/>
                <w:lang w:eastAsia="zh-CN"/>
              </w:rPr>
              <w:t>相邻林地不得有生活垃圾</w:t>
            </w:r>
          </w:p>
        </w:tc>
        <w:tc>
          <w:tcPr>
            <w:tcW w:w="191" w:type="pct"/>
            <w:vAlign w:val="center"/>
          </w:tcPr>
          <w:p w14:paraId="7E53316C">
            <w:pPr>
              <w:pStyle w:val="209"/>
              <w:jc w:val="center"/>
              <w:rPr>
                <w:sz w:val="18"/>
                <w:szCs w:val="18"/>
              </w:rPr>
            </w:pPr>
            <w:r>
              <w:rPr>
                <w:sz w:val="18"/>
                <w:szCs w:val="18"/>
              </w:rPr>
              <w:t>0.</w:t>
            </w:r>
            <w:r>
              <w:rPr>
                <w:spacing w:val="-103"/>
                <w:sz w:val="18"/>
                <w:szCs w:val="18"/>
              </w:rPr>
              <w:t xml:space="preserve"> </w:t>
            </w:r>
            <w:r>
              <w:rPr>
                <w:sz w:val="18"/>
                <w:szCs w:val="18"/>
              </w:rPr>
              <w:t>5</w:t>
            </w:r>
          </w:p>
        </w:tc>
        <w:tc>
          <w:tcPr>
            <w:tcW w:w="2005" w:type="pct"/>
          </w:tcPr>
          <w:p w14:paraId="1E68B739">
            <w:pPr>
              <w:pStyle w:val="209"/>
              <w:jc w:val="both"/>
              <w:rPr>
                <w:spacing w:val="-1"/>
                <w:sz w:val="18"/>
                <w:szCs w:val="18"/>
                <w:lang w:eastAsia="zh-CN"/>
              </w:rPr>
            </w:pPr>
            <w:r>
              <w:rPr>
                <w:spacing w:val="-1"/>
                <w:sz w:val="18"/>
                <w:szCs w:val="18"/>
                <w:lang w:eastAsia="zh-CN"/>
              </w:rPr>
              <w:t>未达标的每件扣 0.5分。</w:t>
            </w:r>
          </w:p>
        </w:tc>
        <w:tc>
          <w:tcPr>
            <w:tcW w:w="349" w:type="pct"/>
            <w:vMerge w:val="continue"/>
            <w:vAlign w:val="center"/>
          </w:tcPr>
          <w:p w14:paraId="56D41D3E">
            <w:pPr>
              <w:autoSpaceDE w:val="0"/>
              <w:autoSpaceDN w:val="0"/>
              <w:jc w:val="center"/>
              <w:rPr>
                <w:rFonts w:ascii="宋体" w:hAnsi="宋体"/>
                <w:sz w:val="18"/>
                <w:szCs w:val="18"/>
                <w:lang w:eastAsia="en-US"/>
              </w:rPr>
            </w:pPr>
          </w:p>
        </w:tc>
        <w:tc>
          <w:tcPr>
            <w:tcW w:w="200" w:type="pct"/>
          </w:tcPr>
          <w:p w14:paraId="5846EA5D">
            <w:pPr>
              <w:pStyle w:val="209"/>
              <w:rPr>
                <w:sz w:val="18"/>
                <w:szCs w:val="18"/>
              </w:rPr>
            </w:pPr>
          </w:p>
        </w:tc>
        <w:tc>
          <w:tcPr>
            <w:tcW w:w="201" w:type="pct"/>
          </w:tcPr>
          <w:p w14:paraId="04C80FA1">
            <w:pPr>
              <w:pStyle w:val="209"/>
              <w:rPr>
                <w:sz w:val="18"/>
                <w:szCs w:val="18"/>
              </w:rPr>
            </w:pPr>
          </w:p>
        </w:tc>
      </w:tr>
      <w:tr w14:paraId="3A2E7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0F1BD893">
            <w:pPr>
              <w:autoSpaceDE w:val="0"/>
              <w:autoSpaceDN w:val="0"/>
              <w:jc w:val="center"/>
              <w:rPr>
                <w:rFonts w:ascii="宋体" w:hAnsi="宋体"/>
                <w:sz w:val="18"/>
                <w:szCs w:val="18"/>
                <w:lang w:eastAsia="en-US"/>
              </w:rPr>
            </w:pPr>
          </w:p>
        </w:tc>
        <w:tc>
          <w:tcPr>
            <w:tcW w:w="366" w:type="pct"/>
            <w:vMerge w:val="continue"/>
            <w:vAlign w:val="center"/>
          </w:tcPr>
          <w:p w14:paraId="52657312">
            <w:pPr>
              <w:autoSpaceDE w:val="0"/>
              <w:autoSpaceDN w:val="0"/>
              <w:jc w:val="center"/>
              <w:rPr>
                <w:rFonts w:ascii="宋体" w:hAnsi="宋体"/>
                <w:sz w:val="18"/>
                <w:szCs w:val="18"/>
                <w:lang w:eastAsia="en-US"/>
              </w:rPr>
            </w:pPr>
          </w:p>
        </w:tc>
        <w:tc>
          <w:tcPr>
            <w:tcW w:w="135" w:type="pct"/>
            <w:vMerge w:val="continue"/>
            <w:vAlign w:val="center"/>
          </w:tcPr>
          <w:p w14:paraId="3FE34DCC">
            <w:pPr>
              <w:autoSpaceDE w:val="0"/>
              <w:autoSpaceDN w:val="0"/>
              <w:jc w:val="center"/>
              <w:rPr>
                <w:rFonts w:ascii="宋体" w:hAnsi="宋体"/>
                <w:sz w:val="18"/>
                <w:szCs w:val="18"/>
                <w:lang w:eastAsia="en-US"/>
              </w:rPr>
            </w:pPr>
          </w:p>
        </w:tc>
        <w:tc>
          <w:tcPr>
            <w:tcW w:w="1433" w:type="pct"/>
            <w:vAlign w:val="center"/>
          </w:tcPr>
          <w:p w14:paraId="582B67C6">
            <w:pPr>
              <w:pStyle w:val="209"/>
              <w:jc w:val="both"/>
              <w:rPr>
                <w:spacing w:val="-1"/>
                <w:sz w:val="18"/>
                <w:szCs w:val="18"/>
                <w:lang w:eastAsia="zh-CN"/>
              </w:rPr>
            </w:pPr>
            <w:r>
              <w:rPr>
                <w:spacing w:val="-1"/>
                <w:sz w:val="18"/>
                <w:szCs w:val="18"/>
                <w:lang w:eastAsia="zh-CN"/>
              </w:rPr>
              <w:t>环境、景观不得有粪便及动物尸体</w:t>
            </w:r>
          </w:p>
        </w:tc>
        <w:tc>
          <w:tcPr>
            <w:tcW w:w="191" w:type="pct"/>
            <w:vAlign w:val="center"/>
          </w:tcPr>
          <w:p w14:paraId="7244E17C">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0056684A">
            <w:pPr>
              <w:pStyle w:val="209"/>
              <w:jc w:val="both"/>
              <w:rPr>
                <w:spacing w:val="-1"/>
                <w:sz w:val="18"/>
                <w:szCs w:val="18"/>
                <w:lang w:eastAsia="zh-CN"/>
              </w:rPr>
            </w:pPr>
            <w:r>
              <w:rPr>
                <w:spacing w:val="-1"/>
                <w:sz w:val="18"/>
                <w:szCs w:val="18"/>
                <w:lang w:eastAsia="zh-CN"/>
              </w:rPr>
              <w:t>未达标的一级管理绿化扣 1.5 分；二级管理绿化扣 1 分；三级管理绿化 0.5 分。</w:t>
            </w:r>
          </w:p>
        </w:tc>
        <w:tc>
          <w:tcPr>
            <w:tcW w:w="349" w:type="pct"/>
            <w:vMerge w:val="continue"/>
            <w:vAlign w:val="center"/>
          </w:tcPr>
          <w:p w14:paraId="40ED42D5">
            <w:pPr>
              <w:autoSpaceDE w:val="0"/>
              <w:autoSpaceDN w:val="0"/>
              <w:jc w:val="center"/>
              <w:rPr>
                <w:rFonts w:ascii="宋体" w:hAnsi="宋体"/>
                <w:sz w:val="18"/>
                <w:szCs w:val="18"/>
              </w:rPr>
            </w:pPr>
          </w:p>
        </w:tc>
        <w:tc>
          <w:tcPr>
            <w:tcW w:w="200" w:type="pct"/>
          </w:tcPr>
          <w:p w14:paraId="59AC5740">
            <w:pPr>
              <w:pStyle w:val="209"/>
              <w:rPr>
                <w:sz w:val="18"/>
                <w:szCs w:val="18"/>
                <w:lang w:eastAsia="zh-CN"/>
              </w:rPr>
            </w:pPr>
          </w:p>
        </w:tc>
        <w:tc>
          <w:tcPr>
            <w:tcW w:w="201" w:type="pct"/>
          </w:tcPr>
          <w:p w14:paraId="08F7E668">
            <w:pPr>
              <w:pStyle w:val="209"/>
              <w:rPr>
                <w:sz w:val="18"/>
                <w:szCs w:val="18"/>
                <w:lang w:eastAsia="zh-CN"/>
              </w:rPr>
            </w:pPr>
          </w:p>
        </w:tc>
      </w:tr>
      <w:tr w14:paraId="6B47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43B500F4">
            <w:pPr>
              <w:autoSpaceDE w:val="0"/>
              <w:autoSpaceDN w:val="0"/>
              <w:jc w:val="center"/>
              <w:rPr>
                <w:rFonts w:ascii="宋体" w:hAnsi="宋体"/>
                <w:sz w:val="18"/>
                <w:szCs w:val="18"/>
              </w:rPr>
            </w:pPr>
          </w:p>
        </w:tc>
        <w:tc>
          <w:tcPr>
            <w:tcW w:w="366" w:type="pct"/>
            <w:vMerge w:val="continue"/>
            <w:vAlign w:val="center"/>
          </w:tcPr>
          <w:p w14:paraId="09FFCAF6">
            <w:pPr>
              <w:autoSpaceDE w:val="0"/>
              <w:autoSpaceDN w:val="0"/>
              <w:jc w:val="center"/>
              <w:rPr>
                <w:rFonts w:ascii="宋体" w:hAnsi="宋体"/>
                <w:sz w:val="18"/>
                <w:szCs w:val="18"/>
              </w:rPr>
            </w:pPr>
          </w:p>
        </w:tc>
        <w:tc>
          <w:tcPr>
            <w:tcW w:w="135" w:type="pct"/>
            <w:vMerge w:val="continue"/>
            <w:vAlign w:val="center"/>
          </w:tcPr>
          <w:p w14:paraId="20449CDD">
            <w:pPr>
              <w:autoSpaceDE w:val="0"/>
              <w:autoSpaceDN w:val="0"/>
              <w:jc w:val="center"/>
              <w:rPr>
                <w:rFonts w:ascii="宋体" w:hAnsi="宋体"/>
                <w:sz w:val="18"/>
                <w:szCs w:val="18"/>
              </w:rPr>
            </w:pPr>
          </w:p>
        </w:tc>
        <w:tc>
          <w:tcPr>
            <w:tcW w:w="1433" w:type="pct"/>
            <w:vAlign w:val="center"/>
          </w:tcPr>
          <w:p w14:paraId="7DDD616C">
            <w:pPr>
              <w:pStyle w:val="209"/>
              <w:jc w:val="both"/>
              <w:rPr>
                <w:spacing w:val="-1"/>
                <w:sz w:val="18"/>
                <w:szCs w:val="18"/>
                <w:lang w:eastAsia="zh-CN"/>
              </w:rPr>
            </w:pPr>
            <w:r>
              <w:rPr>
                <w:spacing w:val="-1"/>
                <w:sz w:val="18"/>
                <w:szCs w:val="18"/>
                <w:lang w:eastAsia="zh-CN"/>
              </w:rPr>
              <w:t>行道树上不得有垃圾杂物和明显干枝</w:t>
            </w:r>
          </w:p>
        </w:tc>
        <w:tc>
          <w:tcPr>
            <w:tcW w:w="191" w:type="pct"/>
            <w:vAlign w:val="center"/>
          </w:tcPr>
          <w:p w14:paraId="516DB45E">
            <w:pPr>
              <w:pStyle w:val="209"/>
              <w:jc w:val="center"/>
              <w:rPr>
                <w:sz w:val="18"/>
                <w:szCs w:val="18"/>
              </w:rPr>
            </w:pPr>
            <w:r>
              <w:rPr>
                <w:sz w:val="18"/>
                <w:szCs w:val="18"/>
              </w:rPr>
              <w:t>0.</w:t>
            </w:r>
            <w:r>
              <w:rPr>
                <w:spacing w:val="-103"/>
                <w:sz w:val="18"/>
                <w:szCs w:val="18"/>
              </w:rPr>
              <w:t xml:space="preserve"> </w:t>
            </w:r>
            <w:r>
              <w:rPr>
                <w:sz w:val="18"/>
                <w:szCs w:val="18"/>
              </w:rPr>
              <w:t>5</w:t>
            </w:r>
          </w:p>
        </w:tc>
        <w:tc>
          <w:tcPr>
            <w:tcW w:w="2005" w:type="pct"/>
          </w:tcPr>
          <w:p w14:paraId="502377FD">
            <w:pPr>
              <w:pStyle w:val="209"/>
              <w:jc w:val="both"/>
              <w:rPr>
                <w:spacing w:val="-1"/>
                <w:sz w:val="18"/>
                <w:szCs w:val="18"/>
                <w:lang w:eastAsia="zh-CN"/>
              </w:rPr>
            </w:pPr>
            <w:r>
              <w:rPr>
                <w:spacing w:val="-1"/>
                <w:sz w:val="18"/>
                <w:szCs w:val="18"/>
                <w:lang w:eastAsia="zh-CN"/>
              </w:rPr>
              <w:t>未达标的每件扣 0.5 分</w:t>
            </w:r>
          </w:p>
        </w:tc>
        <w:tc>
          <w:tcPr>
            <w:tcW w:w="349" w:type="pct"/>
            <w:vMerge w:val="continue"/>
            <w:vAlign w:val="center"/>
          </w:tcPr>
          <w:p w14:paraId="01912152">
            <w:pPr>
              <w:autoSpaceDE w:val="0"/>
              <w:autoSpaceDN w:val="0"/>
              <w:jc w:val="center"/>
              <w:rPr>
                <w:rFonts w:ascii="宋体" w:hAnsi="宋体"/>
                <w:sz w:val="18"/>
                <w:szCs w:val="18"/>
                <w:lang w:eastAsia="en-US"/>
              </w:rPr>
            </w:pPr>
          </w:p>
        </w:tc>
        <w:tc>
          <w:tcPr>
            <w:tcW w:w="200" w:type="pct"/>
          </w:tcPr>
          <w:p w14:paraId="3822D584">
            <w:pPr>
              <w:pStyle w:val="209"/>
              <w:rPr>
                <w:sz w:val="18"/>
                <w:szCs w:val="18"/>
              </w:rPr>
            </w:pPr>
          </w:p>
        </w:tc>
        <w:tc>
          <w:tcPr>
            <w:tcW w:w="201" w:type="pct"/>
          </w:tcPr>
          <w:p w14:paraId="5BCD5E44">
            <w:pPr>
              <w:pStyle w:val="209"/>
              <w:rPr>
                <w:sz w:val="18"/>
                <w:szCs w:val="18"/>
              </w:rPr>
            </w:pPr>
          </w:p>
        </w:tc>
      </w:tr>
      <w:tr w14:paraId="13F4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4528146B">
            <w:pPr>
              <w:autoSpaceDE w:val="0"/>
              <w:autoSpaceDN w:val="0"/>
              <w:jc w:val="center"/>
              <w:rPr>
                <w:rFonts w:ascii="宋体" w:hAnsi="宋体"/>
                <w:sz w:val="18"/>
                <w:szCs w:val="18"/>
                <w:lang w:eastAsia="en-US"/>
              </w:rPr>
            </w:pPr>
          </w:p>
        </w:tc>
        <w:tc>
          <w:tcPr>
            <w:tcW w:w="366" w:type="pct"/>
            <w:vMerge w:val="continue"/>
            <w:vAlign w:val="center"/>
          </w:tcPr>
          <w:p w14:paraId="1CFDBA6B">
            <w:pPr>
              <w:autoSpaceDE w:val="0"/>
              <w:autoSpaceDN w:val="0"/>
              <w:jc w:val="center"/>
              <w:rPr>
                <w:rFonts w:ascii="宋体" w:hAnsi="宋体"/>
                <w:sz w:val="18"/>
                <w:szCs w:val="18"/>
                <w:lang w:eastAsia="en-US"/>
              </w:rPr>
            </w:pPr>
          </w:p>
        </w:tc>
        <w:tc>
          <w:tcPr>
            <w:tcW w:w="135" w:type="pct"/>
            <w:vMerge w:val="continue"/>
            <w:vAlign w:val="center"/>
          </w:tcPr>
          <w:p w14:paraId="2575BC91">
            <w:pPr>
              <w:autoSpaceDE w:val="0"/>
              <w:autoSpaceDN w:val="0"/>
              <w:jc w:val="center"/>
              <w:rPr>
                <w:rFonts w:ascii="宋体" w:hAnsi="宋体"/>
                <w:sz w:val="18"/>
                <w:szCs w:val="18"/>
                <w:lang w:eastAsia="en-US"/>
              </w:rPr>
            </w:pPr>
          </w:p>
        </w:tc>
        <w:tc>
          <w:tcPr>
            <w:tcW w:w="1433" w:type="pct"/>
            <w:vAlign w:val="center"/>
          </w:tcPr>
          <w:p w14:paraId="7C713DDF">
            <w:pPr>
              <w:pStyle w:val="209"/>
              <w:jc w:val="both"/>
              <w:rPr>
                <w:spacing w:val="-1"/>
                <w:sz w:val="18"/>
                <w:szCs w:val="18"/>
                <w:lang w:eastAsia="zh-CN"/>
              </w:rPr>
            </w:pPr>
            <w:r>
              <w:rPr>
                <w:spacing w:val="-1"/>
                <w:sz w:val="18"/>
                <w:szCs w:val="18"/>
                <w:lang w:eastAsia="zh-CN"/>
              </w:rPr>
              <w:t>按时清洗园路或硬地部分，有明显污渍</w:t>
            </w:r>
          </w:p>
        </w:tc>
        <w:tc>
          <w:tcPr>
            <w:tcW w:w="191" w:type="pct"/>
            <w:vAlign w:val="center"/>
          </w:tcPr>
          <w:p w14:paraId="72BEF1FA">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03ECA52F">
            <w:pPr>
              <w:pStyle w:val="209"/>
              <w:jc w:val="both"/>
              <w:rPr>
                <w:spacing w:val="-1"/>
                <w:sz w:val="18"/>
                <w:szCs w:val="18"/>
                <w:lang w:eastAsia="zh-CN"/>
              </w:rPr>
            </w:pPr>
            <w:r>
              <w:rPr>
                <w:spacing w:val="-1"/>
                <w:sz w:val="18"/>
                <w:szCs w:val="18"/>
                <w:lang w:eastAsia="zh-CN"/>
              </w:rPr>
              <w:t>未达标的一级管理绿化扣 1.5 分；二级管理绿化扣 1 分；三级管理绿化扣 0.5 分。</w:t>
            </w:r>
          </w:p>
        </w:tc>
        <w:tc>
          <w:tcPr>
            <w:tcW w:w="349" w:type="pct"/>
            <w:vAlign w:val="center"/>
          </w:tcPr>
          <w:p w14:paraId="1F768B6C">
            <w:pPr>
              <w:pStyle w:val="209"/>
              <w:jc w:val="center"/>
              <w:rPr>
                <w:sz w:val="18"/>
                <w:szCs w:val="18"/>
              </w:rPr>
            </w:pPr>
            <w:r>
              <w:rPr>
                <w:spacing w:val="-2"/>
                <w:sz w:val="18"/>
                <w:szCs w:val="18"/>
              </w:rPr>
              <w:t>现场检查</w:t>
            </w:r>
          </w:p>
        </w:tc>
        <w:tc>
          <w:tcPr>
            <w:tcW w:w="200" w:type="pct"/>
          </w:tcPr>
          <w:p w14:paraId="2FBA51ED">
            <w:pPr>
              <w:pStyle w:val="209"/>
              <w:rPr>
                <w:sz w:val="18"/>
                <w:szCs w:val="18"/>
              </w:rPr>
            </w:pPr>
          </w:p>
        </w:tc>
        <w:tc>
          <w:tcPr>
            <w:tcW w:w="201" w:type="pct"/>
          </w:tcPr>
          <w:p w14:paraId="7FBC9708">
            <w:pPr>
              <w:pStyle w:val="209"/>
              <w:rPr>
                <w:sz w:val="18"/>
                <w:szCs w:val="18"/>
              </w:rPr>
            </w:pPr>
          </w:p>
        </w:tc>
      </w:tr>
      <w:tr w14:paraId="00E0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A2BBCE4">
            <w:pPr>
              <w:autoSpaceDE w:val="0"/>
              <w:autoSpaceDN w:val="0"/>
              <w:jc w:val="center"/>
              <w:rPr>
                <w:rFonts w:ascii="宋体" w:hAnsi="宋体"/>
                <w:sz w:val="18"/>
                <w:szCs w:val="18"/>
                <w:lang w:eastAsia="en-US"/>
              </w:rPr>
            </w:pPr>
          </w:p>
        </w:tc>
        <w:tc>
          <w:tcPr>
            <w:tcW w:w="366" w:type="pct"/>
            <w:vMerge w:val="continue"/>
            <w:vAlign w:val="center"/>
          </w:tcPr>
          <w:p w14:paraId="57869461">
            <w:pPr>
              <w:autoSpaceDE w:val="0"/>
              <w:autoSpaceDN w:val="0"/>
              <w:jc w:val="center"/>
              <w:rPr>
                <w:rFonts w:ascii="宋体" w:hAnsi="宋体"/>
                <w:sz w:val="18"/>
                <w:szCs w:val="18"/>
                <w:lang w:eastAsia="en-US"/>
              </w:rPr>
            </w:pPr>
          </w:p>
        </w:tc>
        <w:tc>
          <w:tcPr>
            <w:tcW w:w="135" w:type="pct"/>
            <w:vMerge w:val="continue"/>
            <w:vAlign w:val="center"/>
          </w:tcPr>
          <w:p w14:paraId="7862781F">
            <w:pPr>
              <w:autoSpaceDE w:val="0"/>
              <w:autoSpaceDN w:val="0"/>
              <w:jc w:val="center"/>
              <w:rPr>
                <w:rFonts w:ascii="宋体" w:hAnsi="宋体"/>
                <w:sz w:val="18"/>
                <w:szCs w:val="18"/>
                <w:lang w:eastAsia="en-US"/>
              </w:rPr>
            </w:pPr>
          </w:p>
        </w:tc>
        <w:tc>
          <w:tcPr>
            <w:tcW w:w="1433" w:type="pct"/>
            <w:vAlign w:val="center"/>
          </w:tcPr>
          <w:p w14:paraId="4023980E">
            <w:pPr>
              <w:pStyle w:val="209"/>
              <w:jc w:val="both"/>
              <w:rPr>
                <w:spacing w:val="-1"/>
                <w:sz w:val="18"/>
                <w:szCs w:val="18"/>
                <w:lang w:eastAsia="zh-CN"/>
              </w:rPr>
            </w:pPr>
            <w:r>
              <w:rPr>
                <w:spacing w:val="-1"/>
                <w:sz w:val="18"/>
                <w:szCs w:val="18"/>
                <w:lang w:eastAsia="zh-CN"/>
              </w:rPr>
              <w:t>按规定摆放垃圾及生产工具</w:t>
            </w:r>
          </w:p>
        </w:tc>
        <w:tc>
          <w:tcPr>
            <w:tcW w:w="191" w:type="pct"/>
            <w:vAlign w:val="center"/>
          </w:tcPr>
          <w:p w14:paraId="0B12B1E0">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46EAD25F">
            <w:pPr>
              <w:pStyle w:val="209"/>
              <w:jc w:val="both"/>
              <w:rPr>
                <w:spacing w:val="-1"/>
                <w:sz w:val="18"/>
                <w:szCs w:val="18"/>
                <w:lang w:eastAsia="zh-CN"/>
              </w:rPr>
            </w:pPr>
            <w:r>
              <w:rPr>
                <w:spacing w:val="-1"/>
                <w:sz w:val="18"/>
                <w:szCs w:val="18"/>
                <w:lang w:eastAsia="zh-CN"/>
              </w:rPr>
              <w:t>未达标的一级管理绿化扣 1.5 分；二级管理绿化扣 1 分；三级管理绿化扣 0.5 分。</w:t>
            </w:r>
          </w:p>
        </w:tc>
        <w:tc>
          <w:tcPr>
            <w:tcW w:w="349" w:type="pct"/>
            <w:vAlign w:val="center"/>
          </w:tcPr>
          <w:p w14:paraId="290C0051">
            <w:pPr>
              <w:pStyle w:val="209"/>
              <w:jc w:val="center"/>
              <w:rPr>
                <w:sz w:val="18"/>
                <w:szCs w:val="18"/>
              </w:rPr>
            </w:pPr>
            <w:r>
              <w:rPr>
                <w:spacing w:val="-2"/>
                <w:sz w:val="18"/>
                <w:szCs w:val="18"/>
              </w:rPr>
              <w:t>现场检查</w:t>
            </w:r>
          </w:p>
        </w:tc>
        <w:tc>
          <w:tcPr>
            <w:tcW w:w="200" w:type="pct"/>
          </w:tcPr>
          <w:p w14:paraId="1FCB0BDD">
            <w:pPr>
              <w:pStyle w:val="209"/>
              <w:rPr>
                <w:sz w:val="18"/>
                <w:szCs w:val="18"/>
              </w:rPr>
            </w:pPr>
          </w:p>
        </w:tc>
        <w:tc>
          <w:tcPr>
            <w:tcW w:w="201" w:type="pct"/>
          </w:tcPr>
          <w:p w14:paraId="5778C81D">
            <w:pPr>
              <w:pStyle w:val="209"/>
              <w:rPr>
                <w:sz w:val="18"/>
                <w:szCs w:val="18"/>
              </w:rPr>
            </w:pPr>
          </w:p>
        </w:tc>
      </w:tr>
      <w:tr w14:paraId="7992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3F39301A">
            <w:pPr>
              <w:pStyle w:val="209"/>
              <w:jc w:val="center"/>
              <w:rPr>
                <w:sz w:val="18"/>
                <w:szCs w:val="18"/>
                <w:lang w:eastAsia="zh-CN"/>
              </w:rPr>
            </w:pPr>
          </w:p>
        </w:tc>
        <w:tc>
          <w:tcPr>
            <w:tcW w:w="366" w:type="pct"/>
            <w:vMerge w:val="continue"/>
            <w:vAlign w:val="center"/>
          </w:tcPr>
          <w:p w14:paraId="157E19EB">
            <w:pPr>
              <w:pStyle w:val="209"/>
              <w:jc w:val="center"/>
              <w:rPr>
                <w:sz w:val="18"/>
                <w:szCs w:val="18"/>
                <w:lang w:eastAsia="zh-CN"/>
              </w:rPr>
            </w:pPr>
          </w:p>
        </w:tc>
        <w:tc>
          <w:tcPr>
            <w:tcW w:w="135" w:type="pct"/>
            <w:vMerge w:val="continue"/>
            <w:vAlign w:val="center"/>
          </w:tcPr>
          <w:p w14:paraId="50AFAA03">
            <w:pPr>
              <w:pStyle w:val="209"/>
              <w:jc w:val="center"/>
              <w:rPr>
                <w:sz w:val="18"/>
                <w:szCs w:val="18"/>
                <w:lang w:eastAsia="zh-CN"/>
              </w:rPr>
            </w:pPr>
          </w:p>
        </w:tc>
        <w:tc>
          <w:tcPr>
            <w:tcW w:w="1433" w:type="pct"/>
            <w:vAlign w:val="center"/>
          </w:tcPr>
          <w:p w14:paraId="1B70C6B6">
            <w:pPr>
              <w:pStyle w:val="209"/>
              <w:jc w:val="both"/>
              <w:rPr>
                <w:spacing w:val="-1"/>
                <w:sz w:val="18"/>
                <w:szCs w:val="18"/>
                <w:lang w:eastAsia="zh-CN"/>
              </w:rPr>
            </w:pPr>
            <w:r>
              <w:rPr>
                <w:spacing w:val="-1"/>
                <w:sz w:val="18"/>
                <w:szCs w:val="18"/>
                <w:lang w:eastAsia="zh-CN"/>
              </w:rPr>
              <w:t>按要求当天清运垃圾</w:t>
            </w:r>
          </w:p>
        </w:tc>
        <w:tc>
          <w:tcPr>
            <w:tcW w:w="191" w:type="pct"/>
            <w:vAlign w:val="center"/>
          </w:tcPr>
          <w:p w14:paraId="5E07AA05">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1C67436E">
            <w:pPr>
              <w:pStyle w:val="209"/>
              <w:jc w:val="both"/>
              <w:rPr>
                <w:spacing w:val="-1"/>
                <w:sz w:val="18"/>
                <w:szCs w:val="18"/>
                <w:lang w:eastAsia="zh-CN"/>
              </w:rPr>
            </w:pPr>
            <w:r>
              <w:rPr>
                <w:spacing w:val="-1"/>
                <w:sz w:val="18"/>
                <w:szCs w:val="18"/>
                <w:lang w:eastAsia="zh-CN"/>
              </w:rPr>
              <w:t>未按要求的每堆一级管理绿化扣 1.5 分；二级管理绿化扣 1 分；三级管理绿化扣 0.5 分，相邻林地扣 0.5 分。</w:t>
            </w:r>
          </w:p>
        </w:tc>
        <w:tc>
          <w:tcPr>
            <w:tcW w:w="349" w:type="pct"/>
            <w:vMerge w:val="restart"/>
            <w:vAlign w:val="center"/>
          </w:tcPr>
          <w:p w14:paraId="6C91ADAF">
            <w:pPr>
              <w:pStyle w:val="209"/>
              <w:jc w:val="center"/>
              <w:rPr>
                <w:sz w:val="18"/>
                <w:szCs w:val="18"/>
              </w:rPr>
            </w:pPr>
            <w:r>
              <w:rPr>
                <w:spacing w:val="-2"/>
                <w:sz w:val="18"/>
                <w:szCs w:val="18"/>
              </w:rPr>
              <w:t>现场检查</w:t>
            </w:r>
          </w:p>
        </w:tc>
        <w:tc>
          <w:tcPr>
            <w:tcW w:w="200" w:type="pct"/>
          </w:tcPr>
          <w:p w14:paraId="6003A74F">
            <w:pPr>
              <w:pStyle w:val="209"/>
              <w:rPr>
                <w:sz w:val="18"/>
                <w:szCs w:val="18"/>
              </w:rPr>
            </w:pPr>
          </w:p>
        </w:tc>
        <w:tc>
          <w:tcPr>
            <w:tcW w:w="201" w:type="pct"/>
          </w:tcPr>
          <w:p w14:paraId="0C0CE341">
            <w:pPr>
              <w:pStyle w:val="209"/>
              <w:rPr>
                <w:sz w:val="18"/>
                <w:szCs w:val="18"/>
              </w:rPr>
            </w:pPr>
          </w:p>
        </w:tc>
      </w:tr>
      <w:tr w14:paraId="6378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13479BDE">
            <w:pPr>
              <w:autoSpaceDE w:val="0"/>
              <w:autoSpaceDN w:val="0"/>
              <w:jc w:val="center"/>
              <w:rPr>
                <w:rFonts w:ascii="宋体" w:hAnsi="宋体"/>
                <w:sz w:val="18"/>
                <w:szCs w:val="18"/>
                <w:lang w:eastAsia="en-US"/>
              </w:rPr>
            </w:pPr>
          </w:p>
        </w:tc>
        <w:tc>
          <w:tcPr>
            <w:tcW w:w="366" w:type="pct"/>
            <w:vMerge w:val="continue"/>
            <w:vAlign w:val="center"/>
          </w:tcPr>
          <w:p w14:paraId="33C24670">
            <w:pPr>
              <w:autoSpaceDE w:val="0"/>
              <w:autoSpaceDN w:val="0"/>
              <w:jc w:val="center"/>
              <w:rPr>
                <w:rFonts w:ascii="宋体" w:hAnsi="宋体"/>
                <w:sz w:val="18"/>
                <w:szCs w:val="18"/>
                <w:lang w:eastAsia="en-US"/>
              </w:rPr>
            </w:pPr>
          </w:p>
        </w:tc>
        <w:tc>
          <w:tcPr>
            <w:tcW w:w="135" w:type="pct"/>
            <w:vMerge w:val="continue"/>
            <w:vAlign w:val="center"/>
          </w:tcPr>
          <w:p w14:paraId="0543C13F">
            <w:pPr>
              <w:autoSpaceDE w:val="0"/>
              <w:autoSpaceDN w:val="0"/>
              <w:jc w:val="center"/>
              <w:rPr>
                <w:rFonts w:ascii="宋体" w:hAnsi="宋体"/>
                <w:sz w:val="18"/>
                <w:szCs w:val="18"/>
                <w:lang w:eastAsia="en-US"/>
              </w:rPr>
            </w:pPr>
          </w:p>
        </w:tc>
        <w:tc>
          <w:tcPr>
            <w:tcW w:w="1433" w:type="pct"/>
            <w:vAlign w:val="center"/>
          </w:tcPr>
          <w:p w14:paraId="7624D13D">
            <w:pPr>
              <w:pStyle w:val="209"/>
              <w:jc w:val="both"/>
              <w:rPr>
                <w:spacing w:val="-1"/>
                <w:sz w:val="18"/>
                <w:szCs w:val="18"/>
                <w:lang w:eastAsia="zh-CN"/>
              </w:rPr>
            </w:pPr>
            <w:r>
              <w:rPr>
                <w:spacing w:val="-1"/>
                <w:sz w:val="18"/>
                <w:szCs w:val="18"/>
                <w:lang w:eastAsia="zh-CN"/>
              </w:rPr>
              <w:t>按要求当天清理行道树修剪的枝条和清理的死树</w:t>
            </w:r>
          </w:p>
        </w:tc>
        <w:tc>
          <w:tcPr>
            <w:tcW w:w="191" w:type="pct"/>
            <w:vAlign w:val="center"/>
          </w:tcPr>
          <w:p w14:paraId="52CDD8DB">
            <w:pPr>
              <w:pStyle w:val="209"/>
              <w:jc w:val="center"/>
              <w:rPr>
                <w:sz w:val="18"/>
                <w:szCs w:val="18"/>
              </w:rPr>
            </w:pPr>
            <w:r>
              <w:rPr>
                <w:sz w:val="18"/>
                <w:szCs w:val="18"/>
              </w:rPr>
              <w:t>0.</w:t>
            </w:r>
            <w:r>
              <w:rPr>
                <w:spacing w:val="-103"/>
                <w:sz w:val="18"/>
                <w:szCs w:val="18"/>
              </w:rPr>
              <w:t xml:space="preserve"> </w:t>
            </w:r>
            <w:r>
              <w:rPr>
                <w:sz w:val="18"/>
                <w:szCs w:val="18"/>
              </w:rPr>
              <w:t>5</w:t>
            </w:r>
          </w:p>
        </w:tc>
        <w:tc>
          <w:tcPr>
            <w:tcW w:w="2005" w:type="pct"/>
          </w:tcPr>
          <w:p w14:paraId="1DA304C9">
            <w:pPr>
              <w:pStyle w:val="209"/>
              <w:jc w:val="both"/>
              <w:rPr>
                <w:spacing w:val="-1"/>
                <w:sz w:val="18"/>
                <w:szCs w:val="18"/>
                <w:lang w:eastAsia="zh-CN"/>
              </w:rPr>
            </w:pPr>
            <w:r>
              <w:rPr>
                <w:spacing w:val="-1"/>
                <w:sz w:val="18"/>
                <w:szCs w:val="18"/>
                <w:lang w:eastAsia="zh-CN"/>
              </w:rPr>
              <w:t>未按要求的每堆扣 0.5分。</w:t>
            </w:r>
          </w:p>
        </w:tc>
        <w:tc>
          <w:tcPr>
            <w:tcW w:w="349" w:type="pct"/>
            <w:vMerge w:val="continue"/>
            <w:vAlign w:val="center"/>
          </w:tcPr>
          <w:p w14:paraId="7E3BDBFB">
            <w:pPr>
              <w:autoSpaceDE w:val="0"/>
              <w:autoSpaceDN w:val="0"/>
              <w:jc w:val="center"/>
              <w:rPr>
                <w:rFonts w:ascii="宋体" w:hAnsi="宋体"/>
                <w:sz w:val="18"/>
                <w:szCs w:val="18"/>
                <w:lang w:eastAsia="en-US"/>
              </w:rPr>
            </w:pPr>
          </w:p>
        </w:tc>
        <w:tc>
          <w:tcPr>
            <w:tcW w:w="200" w:type="pct"/>
          </w:tcPr>
          <w:p w14:paraId="1D3F7E26">
            <w:pPr>
              <w:pStyle w:val="209"/>
              <w:rPr>
                <w:sz w:val="18"/>
                <w:szCs w:val="18"/>
              </w:rPr>
            </w:pPr>
          </w:p>
        </w:tc>
        <w:tc>
          <w:tcPr>
            <w:tcW w:w="201" w:type="pct"/>
          </w:tcPr>
          <w:p w14:paraId="37CEA09A">
            <w:pPr>
              <w:pStyle w:val="209"/>
              <w:rPr>
                <w:sz w:val="18"/>
                <w:szCs w:val="18"/>
              </w:rPr>
            </w:pPr>
          </w:p>
        </w:tc>
      </w:tr>
      <w:tr w14:paraId="62B86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continue"/>
            <w:vAlign w:val="center"/>
          </w:tcPr>
          <w:p w14:paraId="47C34B36">
            <w:pPr>
              <w:autoSpaceDE w:val="0"/>
              <w:autoSpaceDN w:val="0"/>
              <w:jc w:val="center"/>
              <w:rPr>
                <w:rFonts w:ascii="宋体" w:hAnsi="宋体"/>
                <w:sz w:val="18"/>
                <w:szCs w:val="18"/>
                <w:lang w:eastAsia="en-US"/>
              </w:rPr>
            </w:pPr>
          </w:p>
        </w:tc>
        <w:tc>
          <w:tcPr>
            <w:tcW w:w="366" w:type="pct"/>
            <w:vMerge w:val="continue"/>
            <w:vAlign w:val="center"/>
          </w:tcPr>
          <w:p w14:paraId="6654BB6E">
            <w:pPr>
              <w:autoSpaceDE w:val="0"/>
              <w:autoSpaceDN w:val="0"/>
              <w:jc w:val="center"/>
              <w:rPr>
                <w:rFonts w:ascii="宋体" w:hAnsi="宋体"/>
                <w:sz w:val="18"/>
                <w:szCs w:val="18"/>
                <w:lang w:eastAsia="en-US"/>
              </w:rPr>
            </w:pPr>
          </w:p>
        </w:tc>
        <w:tc>
          <w:tcPr>
            <w:tcW w:w="135" w:type="pct"/>
            <w:vMerge w:val="continue"/>
            <w:vAlign w:val="center"/>
          </w:tcPr>
          <w:p w14:paraId="7DCE48B3">
            <w:pPr>
              <w:autoSpaceDE w:val="0"/>
              <w:autoSpaceDN w:val="0"/>
              <w:jc w:val="center"/>
              <w:rPr>
                <w:rFonts w:ascii="宋体" w:hAnsi="宋体"/>
                <w:sz w:val="18"/>
                <w:szCs w:val="18"/>
                <w:lang w:eastAsia="en-US"/>
              </w:rPr>
            </w:pPr>
          </w:p>
        </w:tc>
        <w:tc>
          <w:tcPr>
            <w:tcW w:w="1433" w:type="pct"/>
            <w:vAlign w:val="center"/>
          </w:tcPr>
          <w:p w14:paraId="6C777C68">
            <w:pPr>
              <w:pStyle w:val="209"/>
              <w:jc w:val="both"/>
              <w:rPr>
                <w:spacing w:val="-1"/>
                <w:sz w:val="18"/>
                <w:szCs w:val="18"/>
                <w:lang w:eastAsia="zh-CN"/>
              </w:rPr>
            </w:pPr>
            <w:r>
              <w:rPr>
                <w:spacing w:val="-1"/>
                <w:sz w:val="18"/>
                <w:szCs w:val="18"/>
                <w:lang w:eastAsia="zh-CN"/>
              </w:rPr>
              <w:t>焚烧垃圾</w:t>
            </w:r>
          </w:p>
        </w:tc>
        <w:tc>
          <w:tcPr>
            <w:tcW w:w="191" w:type="pct"/>
            <w:vAlign w:val="center"/>
          </w:tcPr>
          <w:p w14:paraId="091393B5">
            <w:pPr>
              <w:pStyle w:val="209"/>
              <w:jc w:val="center"/>
              <w:rPr>
                <w:sz w:val="18"/>
                <w:szCs w:val="18"/>
              </w:rPr>
            </w:pPr>
            <w:r>
              <w:rPr>
                <w:sz w:val="18"/>
                <w:szCs w:val="18"/>
              </w:rPr>
              <w:t>1</w:t>
            </w:r>
          </w:p>
        </w:tc>
        <w:tc>
          <w:tcPr>
            <w:tcW w:w="2005" w:type="pct"/>
          </w:tcPr>
          <w:p w14:paraId="24DF8415">
            <w:pPr>
              <w:pStyle w:val="209"/>
              <w:jc w:val="both"/>
              <w:rPr>
                <w:spacing w:val="-1"/>
                <w:sz w:val="18"/>
                <w:szCs w:val="18"/>
                <w:lang w:eastAsia="zh-CN"/>
              </w:rPr>
            </w:pPr>
            <w:r>
              <w:rPr>
                <w:spacing w:val="-1"/>
                <w:sz w:val="18"/>
                <w:szCs w:val="18"/>
                <w:lang w:eastAsia="zh-CN"/>
              </w:rPr>
              <w:t>每次每处扣 1 分。</w:t>
            </w:r>
          </w:p>
        </w:tc>
        <w:tc>
          <w:tcPr>
            <w:tcW w:w="349" w:type="pct"/>
            <w:vAlign w:val="center"/>
          </w:tcPr>
          <w:p w14:paraId="6DF47841">
            <w:pPr>
              <w:pStyle w:val="209"/>
              <w:jc w:val="center"/>
              <w:rPr>
                <w:sz w:val="18"/>
                <w:szCs w:val="18"/>
              </w:rPr>
            </w:pPr>
            <w:r>
              <w:rPr>
                <w:spacing w:val="-2"/>
                <w:sz w:val="18"/>
                <w:szCs w:val="18"/>
              </w:rPr>
              <w:t>现场检查</w:t>
            </w:r>
          </w:p>
        </w:tc>
        <w:tc>
          <w:tcPr>
            <w:tcW w:w="200" w:type="pct"/>
          </w:tcPr>
          <w:p w14:paraId="11D40B62">
            <w:pPr>
              <w:pStyle w:val="209"/>
              <w:rPr>
                <w:sz w:val="18"/>
                <w:szCs w:val="18"/>
              </w:rPr>
            </w:pPr>
          </w:p>
        </w:tc>
        <w:tc>
          <w:tcPr>
            <w:tcW w:w="201" w:type="pct"/>
          </w:tcPr>
          <w:p w14:paraId="0FDA6FEA">
            <w:pPr>
              <w:pStyle w:val="209"/>
              <w:rPr>
                <w:sz w:val="18"/>
                <w:szCs w:val="18"/>
              </w:rPr>
            </w:pPr>
          </w:p>
        </w:tc>
      </w:tr>
      <w:tr w14:paraId="1A46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continue"/>
            <w:vAlign w:val="center"/>
          </w:tcPr>
          <w:p w14:paraId="77F08892">
            <w:pPr>
              <w:autoSpaceDE w:val="0"/>
              <w:autoSpaceDN w:val="0"/>
              <w:jc w:val="center"/>
              <w:rPr>
                <w:rFonts w:ascii="宋体" w:hAnsi="宋体"/>
                <w:sz w:val="18"/>
                <w:szCs w:val="18"/>
                <w:lang w:eastAsia="en-US"/>
              </w:rPr>
            </w:pPr>
          </w:p>
        </w:tc>
        <w:tc>
          <w:tcPr>
            <w:tcW w:w="366" w:type="pct"/>
            <w:vMerge w:val="continue"/>
            <w:vAlign w:val="center"/>
          </w:tcPr>
          <w:p w14:paraId="57F33365">
            <w:pPr>
              <w:autoSpaceDE w:val="0"/>
              <w:autoSpaceDN w:val="0"/>
              <w:jc w:val="center"/>
              <w:rPr>
                <w:rFonts w:ascii="宋体" w:hAnsi="宋体"/>
                <w:sz w:val="18"/>
                <w:szCs w:val="18"/>
                <w:lang w:eastAsia="en-US"/>
              </w:rPr>
            </w:pPr>
          </w:p>
        </w:tc>
        <w:tc>
          <w:tcPr>
            <w:tcW w:w="135" w:type="pct"/>
            <w:vMerge w:val="continue"/>
            <w:vAlign w:val="center"/>
          </w:tcPr>
          <w:p w14:paraId="3D44F527">
            <w:pPr>
              <w:autoSpaceDE w:val="0"/>
              <w:autoSpaceDN w:val="0"/>
              <w:jc w:val="center"/>
              <w:rPr>
                <w:rFonts w:ascii="宋体" w:hAnsi="宋体"/>
                <w:sz w:val="18"/>
                <w:szCs w:val="18"/>
                <w:lang w:eastAsia="en-US"/>
              </w:rPr>
            </w:pPr>
          </w:p>
        </w:tc>
        <w:tc>
          <w:tcPr>
            <w:tcW w:w="1433" w:type="pct"/>
            <w:vAlign w:val="center"/>
          </w:tcPr>
          <w:p w14:paraId="4E5D5802">
            <w:pPr>
              <w:pStyle w:val="209"/>
              <w:jc w:val="both"/>
              <w:rPr>
                <w:spacing w:val="-1"/>
                <w:sz w:val="18"/>
                <w:szCs w:val="18"/>
                <w:lang w:eastAsia="zh-CN"/>
              </w:rPr>
            </w:pPr>
            <w:r>
              <w:rPr>
                <w:spacing w:val="-1"/>
                <w:sz w:val="18"/>
                <w:szCs w:val="18"/>
                <w:lang w:eastAsia="zh-CN"/>
              </w:rPr>
              <w:t>绿地上不得有老鼠 洞、死老鼠、老鼠轨迹及蚊蝇滋生</w:t>
            </w:r>
          </w:p>
        </w:tc>
        <w:tc>
          <w:tcPr>
            <w:tcW w:w="191" w:type="pct"/>
            <w:vAlign w:val="center"/>
          </w:tcPr>
          <w:p w14:paraId="3270EE8C">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14A5D1E8">
            <w:pPr>
              <w:pStyle w:val="209"/>
              <w:jc w:val="both"/>
              <w:rPr>
                <w:spacing w:val="-1"/>
                <w:sz w:val="18"/>
                <w:szCs w:val="18"/>
                <w:lang w:eastAsia="zh-CN"/>
              </w:rPr>
            </w:pPr>
            <w:r>
              <w:rPr>
                <w:spacing w:val="-1"/>
                <w:sz w:val="18"/>
                <w:szCs w:val="18"/>
                <w:lang w:eastAsia="zh-CN"/>
              </w:rPr>
              <w:t>发现老鼠洞和死老鼠每个扣1分；发现老鼠轨迹每处扣1分；蚊蝇孳生地每处扣1分,扣完为止。</w:t>
            </w:r>
          </w:p>
        </w:tc>
        <w:tc>
          <w:tcPr>
            <w:tcW w:w="349" w:type="pct"/>
            <w:vAlign w:val="center"/>
          </w:tcPr>
          <w:p w14:paraId="74999A61">
            <w:pPr>
              <w:pStyle w:val="209"/>
              <w:jc w:val="center"/>
              <w:rPr>
                <w:sz w:val="18"/>
                <w:szCs w:val="18"/>
              </w:rPr>
            </w:pPr>
            <w:r>
              <w:rPr>
                <w:spacing w:val="-2"/>
                <w:sz w:val="18"/>
                <w:szCs w:val="18"/>
              </w:rPr>
              <w:t>现场检查</w:t>
            </w:r>
          </w:p>
        </w:tc>
        <w:tc>
          <w:tcPr>
            <w:tcW w:w="200" w:type="pct"/>
          </w:tcPr>
          <w:p w14:paraId="78D768C6">
            <w:pPr>
              <w:pStyle w:val="209"/>
              <w:rPr>
                <w:sz w:val="18"/>
                <w:szCs w:val="18"/>
              </w:rPr>
            </w:pPr>
          </w:p>
        </w:tc>
        <w:tc>
          <w:tcPr>
            <w:tcW w:w="201" w:type="pct"/>
          </w:tcPr>
          <w:p w14:paraId="567BBECF">
            <w:pPr>
              <w:pStyle w:val="209"/>
              <w:rPr>
                <w:sz w:val="18"/>
                <w:szCs w:val="18"/>
              </w:rPr>
            </w:pPr>
          </w:p>
        </w:tc>
      </w:tr>
      <w:tr w14:paraId="23257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22274151">
            <w:pPr>
              <w:autoSpaceDE w:val="0"/>
              <w:autoSpaceDN w:val="0"/>
              <w:jc w:val="center"/>
              <w:rPr>
                <w:rFonts w:ascii="宋体" w:hAnsi="宋体"/>
                <w:sz w:val="18"/>
                <w:szCs w:val="18"/>
                <w:lang w:eastAsia="en-US"/>
              </w:rPr>
            </w:pPr>
          </w:p>
        </w:tc>
        <w:tc>
          <w:tcPr>
            <w:tcW w:w="366" w:type="pct"/>
            <w:vMerge w:val="continue"/>
            <w:vAlign w:val="center"/>
          </w:tcPr>
          <w:p w14:paraId="49BA88B7">
            <w:pPr>
              <w:autoSpaceDE w:val="0"/>
              <w:autoSpaceDN w:val="0"/>
              <w:jc w:val="center"/>
              <w:rPr>
                <w:rFonts w:ascii="宋体" w:hAnsi="宋体"/>
                <w:sz w:val="18"/>
                <w:szCs w:val="18"/>
                <w:lang w:eastAsia="en-US"/>
              </w:rPr>
            </w:pPr>
          </w:p>
        </w:tc>
        <w:tc>
          <w:tcPr>
            <w:tcW w:w="135" w:type="pct"/>
            <w:vMerge w:val="continue"/>
            <w:vAlign w:val="center"/>
          </w:tcPr>
          <w:p w14:paraId="0EA2C87F">
            <w:pPr>
              <w:autoSpaceDE w:val="0"/>
              <w:autoSpaceDN w:val="0"/>
              <w:jc w:val="center"/>
              <w:rPr>
                <w:rFonts w:ascii="宋体" w:hAnsi="宋体"/>
                <w:sz w:val="18"/>
                <w:szCs w:val="18"/>
                <w:lang w:eastAsia="en-US"/>
              </w:rPr>
            </w:pPr>
          </w:p>
        </w:tc>
        <w:tc>
          <w:tcPr>
            <w:tcW w:w="1433" w:type="pct"/>
            <w:vAlign w:val="center"/>
          </w:tcPr>
          <w:p w14:paraId="10E4DE27">
            <w:pPr>
              <w:pStyle w:val="209"/>
              <w:jc w:val="both"/>
              <w:rPr>
                <w:spacing w:val="-1"/>
                <w:sz w:val="18"/>
                <w:szCs w:val="18"/>
                <w:lang w:eastAsia="zh-CN"/>
              </w:rPr>
            </w:pPr>
            <w:r>
              <w:rPr>
                <w:spacing w:val="-1"/>
                <w:sz w:val="18"/>
                <w:szCs w:val="18"/>
                <w:lang w:eastAsia="zh-CN"/>
              </w:rPr>
              <w:t>绿地上不得有涂写、张贴和悬挂未经批准的广告，晾衣服杂物等情况</w:t>
            </w:r>
          </w:p>
        </w:tc>
        <w:tc>
          <w:tcPr>
            <w:tcW w:w="191" w:type="pct"/>
            <w:vAlign w:val="center"/>
          </w:tcPr>
          <w:p w14:paraId="22CB286D">
            <w:pPr>
              <w:pStyle w:val="209"/>
              <w:jc w:val="center"/>
              <w:rPr>
                <w:sz w:val="18"/>
                <w:szCs w:val="18"/>
              </w:rPr>
            </w:pPr>
            <w:r>
              <w:rPr>
                <w:sz w:val="18"/>
                <w:szCs w:val="18"/>
              </w:rPr>
              <w:t>0.</w:t>
            </w:r>
            <w:r>
              <w:rPr>
                <w:spacing w:val="-103"/>
                <w:sz w:val="18"/>
                <w:szCs w:val="18"/>
              </w:rPr>
              <w:t xml:space="preserve"> </w:t>
            </w:r>
            <w:r>
              <w:rPr>
                <w:sz w:val="18"/>
                <w:szCs w:val="18"/>
              </w:rPr>
              <w:t>5</w:t>
            </w:r>
          </w:p>
        </w:tc>
        <w:tc>
          <w:tcPr>
            <w:tcW w:w="2005" w:type="pct"/>
          </w:tcPr>
          <w:p w14:paraId="38B3C547">
            <w:pPr>
              <w:pStyle w:val="209"/>
              <w:jc w:val="both"/>
              <w:rPr>
                <w:spacing w:val="-1"/>
                <w:sz w:val="18"/>
                <w:szCs w:val="18"/>
                <w:lang w:eastAsia="zh-CN"/>
              </w:rPr>
            </w:pPr>
            <w:r>
              <w:rPr>
                <w:spacing w:val="-1"/>
                <w:sz w:val="18"/>
                <w:szCs w:val="18"/>
                <w:lang w:eastAsia="zh-CN"/>
              </w:rPr>
              <w:t>未达标的每处扣 0.5分。</w:t>
            </w:r>
          </w:p>
        </w:tc>
        <w:tc>
          <w:tcPr>
            <w:tcW w:w="349" w:type="pct"/>
            <w:vAlign w:val="center"/>
          </w:tcPr>
          <w:p w14:paraId="5880E5EB">
            <w:pPr>
              <w:pStyle w:val="209"/>
              <w:jc w:val="center"/>
              <w:rPr>
                <w:sz w:val="18"/>
                <w:szCs w:val="18"/>
              </w:rPr>
            </w:pPr>
            <w:r>
              <w:rPr>
                <w:spacing w:val="-2"/>
                <w:sz w:val="18"/>
                <w:szCs w:val="18"/>
              </w:rPr>
              <w:t>现场检查</w:t>
            </w:r>
          </w:p>
        </w:tc>
        <w:tc>
          <w:tcPr>
            <w:tcW w:w="200" w:type="pct"/>
          </w:tcPr>
          <w:p w14:paraId="7E57E936">
            <w:pPr>
              <w:pStyle w:val="209"/>
              <w:rPr>
                <w:sz w:val="18"/>
                <w:szCs w:val="18"/>
              </w:rPr>
            </w:pPr>
          </w:p>
        </w:tc>
        <w:tc>
          <w:tcPr>
            <w:tcW w:w="201" w:type="pct"/>
          </w:tcPr>
          <w:p w14:paraId="16A406F2">
            <w:pPr>
              <w:pStyle w:val="209"/>
              <w:rPr>
                <w:sz w:val="18"/>
                <w:szCs w:val="18"/>
              </w:rPr>
            </w:pPr>
          </w:p>
        </w:tc>
      </w:tr>
      <w:tr w14:paraId="6F33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27E83FF">
            <w:pPr>
              <w:autoSpaceDE w:val="0"/>
              <w:autoSpaceDN w:val="0"/>
              <w:jc w:val="center"/>
              <w:rPr>
                <w:rFonts w:ascii="宋体" w:hAnsi="宋体"/>
                <w:sz w:val="18"/>
                <w:szCs w:val="18"/>
                <w:lang w:eastAsia="en-US"/>
              </w:rPr>
            </w:pPr>
          </w:p>
        </w:tc>
        <w:tc>
          <w:tcPr>
            <w:tcW w:w="366" w:type="pct"/>
            <w:vMerge w:val="continue"/>
            <w:vAlign w:val="center"/>
          </w:tcPr>
          <w:p w14:paraId="7DD490D7">
            <w:pPr>
              <w:autoSpaceDE w:val="0"/>
              <w:autoSpaceDN w:val="0"/>
              <w:jc w:val="center"/>
              <w:rPr>
                <w:rFonts w:ascii="宋体" w:hAnsi="宋体"/>
                <w:sz w:val="18"/>
                <w:szCs w:val="18"/>
                <w:lang w:eastAsia="en-US"/>
              </w:rPr>
            </w:pPr>
          </w:p>
        </w:tc>
        <w:tc>
          <w:tcPr>
            <w:tcW w:w="135" w:type="pct"/>
            <w:vMerge w:val="continue"/>
            <w:vAlign w:val="center"/>
          </w:tcPr>
          <w:p w14:paraId="7A98FC22">
            <w:pPr>
              <w:autoSpaceDE w:val="0"/>
              <w:autoSpaceDN w:val="0"/>
              <w:jc w:val="center"/>
              <w:rPr>
                <w:rFonts w:ascii="宋体" w:hAnsi="宋体"/>
                <w:sz w:val="18"/>
                <w:szCs w:val="18"/>
                <w:lang w:eastAsia="en-US"/>
              </w:rPr>
            </w:pPr>
          </w:p>
        </w:tc>
        <w:tc>
          <w:tcPr>
            <w:tcW w:w="1433" w:type="pct"/>
            <w:vAlign w:val="center"/>
          </w:tcPr>
          <w:p w14:paraId="26EEE572">
            <w:pPr>
              <w:pStyle w:val="209"/>
              <w:jc w:val="both"/>
              <w:rPr>
                <w:spacing w:val="-1"/>
                <w:sz w:val="18"/>
                <w:szCs w:val="18"/>
                <w:lang w:eastAsia="zh-CN"/>
              </w:rPr>
            </w:pPr>
            <w:r>
              <w:rPr>
                <w:spacing w:val="-1"/>
                <w:sz w:val="18"/>
                <w:szCs w:val="18"/>
                <w:lang w:eastAsia="zh-CN"/>
              </w:rPr>
              <w:t>按要求保洁雕塑和园林小品及绿化配套设施、水池和景墙</w:t>
            </w:r>
          </w:p>
        </w:tc>
        <w:tc>
          <w:tcPr>
            <w:tcW w:w="191" w:type="pct"/>
            <w:vAlign w:val="center"/>
          </w:tcPr>
          <w:p w14:paraId="2E35B386">
            <w:pPr>
              <w:pStyle w:val="209"/>
              <w:jc w:val="center"/>
              <w:rPr>
                <w:sz w:val="18"/>
                <w:szCs w:val="18"/>
              </w:rPr>
            </w:pPr>
            <w:r>
              <w:rPr>
                <w:sz w:val="18"/>
                <w:szCs w:val="18"/>
              </w:rPr>
              <w:t>2</w:t>
            </w:r>
          </w:p>
        </w:tc>
        <w:tc>
          <w:tcPr>
            <w:tcW w:w="2005" w:type="pct"/>
          </w:tcPr>
          <w:p w14:paraId="309D8A7F">
            <w:pPr>
              <w:pStyle w:val="209"/>
              <w:jc w:val="both"/>
              <w:rPr>
                <w:spacing w:val="-1"/>
                <w:sz w:val="18"/>
                <w:szCs w:val="18"/>
                <w:lang w:eastAsia="zh-CN"/>
              </w:rPr>
            </w:pPr>
            <w:r>
              <w:rPr>
                <w:spacing w:val="-1"/>
                <w:sz w:val="18"/>
                <w:szCs w:val="18"/>
                <w:lang w:eastAsia="zh-CN"/>
              </w:rPr>
              <w:t>未达标的保洁雕塑和园林小品及绿化配套设施每件扣 2 分；水池和景墙每平方扣 2 分。</w:t>
            </w:r>
          </w:p>
        </w:tc>
        <w:tc>
          <w:tcPr>
            <w:tcW w:w="349" w:type="pct"/>
            <w:vAlign w:val="center"/>
          </w:tcPr>
          <w:p w14:paraId="6D1DB7F0">
            <w:pPr>
              <w:pStyle w:val="209"/>
              <w:jc w:val="center"/>
              <w:rPr>
                <w:sz w:val="18"/>
                <w:szCs w:val="18"/>
              </w:rPr>
            </w:pPr>
            <w:r>
              <w:rPr>
                <w:spacing w:val="-2"/>
                <w:sz w:val="18"/>
                <w:szCs w:val="18"/>
              </w:rPr>
              <w:t>现场检查</w:t>
            </w:r>
          </w:p>
        </w:tc>
        <w:tc>
          <w:tcPr>
            <w:tcW w:w="200" w:type="pct"/>
          </w:tcPr>
          <w:p w14:paraId="069331BA">
            <w:pPr>
              <w:pStyle w:val="209"/>
              <w:rPr>
                <w:sz w:val="18"/>
                <w:szCs w:val="18"/>
              </w:rPr>
            </w:pPr>
          </w:p>
        </w:tc>
        <w:tc>
          <w:tcPr>
            <w:tcW w:w="201" w:type="pct"/>
          </w:tcPr>
          <w:p w14:paraId="3B92BE99">
            <w:pPr>
              <w:pStyle w:val="209"/>
              <w:rPr>
                <w:sz w:val="18"/>
                <w:szCs w:val="18"/>
              </w:rPr>
            </w:pPr>
          </w:p>
        </w:tc>
      </w:tr>
      <w:tr w14:paraId="69A1D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restart"/>
            <w:vAlign w:val="center"/>
          </w:tcPr>
          <w:p w14:paraId="7D615A53">
            <w:pPr>
              <w:pStyle w:val="209"/>
              <w:jc w:val="center"/>
              <w:rPr>
                <w:sz w:val="18"/>
                <w:szCs w:val="18"/>
              </w:rPr>
            </w:pPr>
            <w:r>
              <w:rPr>
                <w:sz w:val="18"/>
                <w:szCs w:val="18"/>
              </w:rPr>
              <w:t>三</w:t>
            </w:r>
          </w:p>
        </w:tc>
        <w:tc>
          <w:tcPr>
            <w:tcW w:w="366" w:type="pct"/>
            <w:vMerge w:val="restart"/>
            <w:vAlign w:val="center"/>
          </w:tcPr>
          <w:p w14:paraId="27FD2722">
            <w:pPr>
              <w:pStyle w:val="209"/>
              <w:jc w:val="center"/>
              <w:rPr>
                <w:sz w:val="18"/>
                <w:szCs w:val="18"/>
              </w:rPr>
            </w:pPr>
            <w:r>
              <w:rPr>
                <w:sz w:val="18"/>
                <w:szCs w:val="18"/>
              </w:rPr>
              <w:t>修剪及树型管理</w:t>
            </w:r>
          </w:p>
        </w:tc>
        <w:tc>
          <w:tcPr>
            <w:tcW w:w="135" w:type="pct"/>
            <w:vMerge w:val="restart"/>
            <w:vAlign w:val="center"/>
          </w:tcPr>
          <w:p w14:paraId="13AD037C">
            <w:pPr>
              <w:pStyle w:val="209"/>
              <w:jc w:val="center"/>
              <w:rPr>
                <w:sz w:val="18"/>
                <w:szCs w:val="18"/>
              </w:rPr>
            </w:pPr>
            <w:r>
              <w:rPr>
                <w:sz w:val="18"/>
                <w:szCs w:val="18"/>
              </w:rPr>
              <w:t>15</w:t>
            </w:r>
          </w:p>
        </w:tc>
        <w:tc>
          <w:tcPr>
            <w:tcW w:w="1433" w:type="pct"/>
            <w:vAlign w:val="center"/>
          </w:tcPr>
          <w:p w14:paraId="129FFE6E">
            <w:pPr>
              <w:pStyle w:val="209"/>
              <w:jc w:val="both"/>
              <w:rPr>
                <w:spacing w:val="-1"/>
                <w:sz w:val="18"/>
                <w:szCs w:val="18"/>
                <w:lang w:eastAsia="zh-CN"/>
              </w:rPr>
            </w:pPr>
            <w:r>
              <w:rPr>
                <w:spacing w:val="-1"/>
                <w:sz w:val="18"/>
                <w:szCs w:val="18"/>
                <w:lang w:eastAsia="zh-CN"/>
              </w:rPr>
              <w:t>按时按要求修剪草坪</w:t>
            </w:r>
          </w:p>
        </w:tc>
        <w:tc>
          <w:tcPr>
            <w:tcW w:w="191" w:type="pct"/>
            <w:vAlign w:val="center"/>
          </w:tcPr>
          <w:p w14:paraId="0B864A83">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190BD4A7">
            <w:pPr>
              <w:pStyle w:val="209"/>
              <w:jc w:val="both"/>
              <w:rPr>
                <w:spacing w:val="-1"/>
                <w:sz w:val="18"/>
                <w:szCs w:val="18"/>
                <w:lang w:eastAsia="zh-CN"/>
              </w:rPr>
            </w:pPr>
            <w:r>
              <w:rPr>
                <w:spacing w:val="-1"/>
                <w:sz w:val="18"/>
                <w:szCs w:val="18"/>
                <w:lang w:eastAsia="zh-CN"/>
              </w:rPr>
              <w:t>未达标的每平方米一级管理绿化扣1.5分；二级管理绿化扣1分；三级管理绿化扣0.5分。</w:t>
            </w:r>
          </w:p>
        </w:tc>
        <w:tc>
          <w:tcPr>
            <w:tcW w:w="349" w:type="pct"/>
            <w:vAlign w:val="center"/>
          </w:tcPr>
          <w:p w14:paraId="57E0D498">
            <w:pPr>
              <w:pStyle w:val="209"/>
              <w:jc w:val="center"/>
              <w:rPr>
                <w:sz w:val="18"/>
                <w:szCs w:val="18"/>
              </w:rPr>
            </w:pPr>
            <w:r>
              <w:rPr>
                <w:spacing w:val="-2"/>
                <w:sz w:val="18"/>
                <w:szCs w:val="18"/>
              </w:rPr>
              <w:t>现场检查</w:t>
            </w:r>
          </w:p>
        </w:tc>
        <w:tc>
          <w:tcPr>
            <w:tcW w:w="200" w:type="pct"/>
          </w:tcPr>
          <w:p w14:paraId="53B05610">
            <w:pPr>
              <w:pStyle w:val="209"/>
              <w:rPr>
                <w:sz w:val="18"/>
                <w:szCs w:val="18"/>
              </w:rPr>
            </w:pPr>
          </w:p>
        </w:tc>
        <w:tc>
          <w:tcPr>
            <w:tcW w:w="201" w:type="pct"/>
          </w:tcPr>
          <w:p w14:paraId="4CABA0DF">
            <w:pPr>
              <w:pStyle w:val="209"/>
              <w:rPr>
                <w:sz w:val="18"/>
                <w:szCs w:val="18"/>
              </w:rPr>
            </w:pPr>
          </w:p>
        </w:tc>
      </w:tr>
      <w:tr w14:paraId="5BF5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51AECB2F">
            <w:pPr>
              <w:autoSpaceDE w:val="0"/>
              <w:autoSpaceDN w:val="0"/>
              <w:jc w:val="center"/>
              <w:rPr>
                <w:rFonts w:ascii="宋体" w:hAnsi="宋体"/>
                <w:sz w:val="18"/>
                <w:szCs w:val="18"/>
                <w:lang w:eastAsia="en-US"/>
              </w:rPr>
            </w:pPr>
          </w:p>
        </w:tc>
        <w:tc>
          <w:tcPr>
            <w:tcW w:w="366" w:type="pct"/>
            <w:vMerge w:val="continue"/>
            <w:vAlign w:val="center"/>
          </w:tcPr>
          <w:p w14:paraId="00896705">
            <w:pPr>
              <w:autoSpaceDE w:val="0"/>
              <w:autoSpaceDN w:val="0"/>
              <w:jc w:val="center"/>
              <w:rPr>
                <w:rFonts w:ascii="宋体" w:hAnsi="宋体"/>
                <w:sz w:val="18"/>
                <w:szCs w:val="18"/>
                <w:lang w:eastAsia="en-US"/>
              </w:rPr>
            </w:pPr>
          </w:p>
        </w:tc>
        <w:tc>
          <w:tcPr>
            <w:tcW w:w="135" w:type="pct"/>
            <w:vMerge w:val="continue"/>
            <w:vAlign w:val="center"/>
          </w:tcPr>
          <w:p w14:paraId="1BA929E4">
            <w:pPr>
              <w:autoSpaceDE w:val="0"/>
              <w:autoSpaceDN w:val="0"/>
              <w:jc w:val="center"/>
              <w:rPr>
                <w:rFonts w:ascii="宋体" w:hAnsi="宋体"/>
                <w:sz w:val="18"/>
                <w:szCs w:val="18"/>
                <w:lang w:eastAsia="en-US"/>
              </w:rPr>
            </w:pPr>
          </w:p>
        </w:tc>
        <w:tc>
          <w:tcPr>
            <w:tcW w:w="1433" w:type="pct"/>
            <w:vAlign w:val="center"/>
          </w:tcPr>
          <w:p w14:paraId="7BE91676">
            <w:pPr>
              <w:pStyle w:val="209"/>
              <w:jc w:val="both"/>
              <w:rPr>
                <w:spacing w:val="-1"/>
                <w:sz w:val="18"/>
                <w:szCs w:val="18"/>
                <w:lang w:eastAsia="zh-CN"/>
              </w:rPr>
            </w:pPr>
            <w:r>
              <w:rPr>
                <w:spacing w:val="-1"/>
                <w:sz w:val="18"/>
                <w:szCs w:val="18"/>
                <w:lang w:eastAsia="zh-CN"/>
              </w:rPr>
              <w:t>单植灌木、垂直绿 化、绿篱及花坛修剪及时、整形符合要求</w:t>
            </w:r>
          </w:p>
        </w:tc>
        <w:tc>
          <w:tcPr>
            <w:tcW w:w="191" w:type="pct"/>
            <w:vAlign w:val="center"/>
          </w:tcPr>
          <w:p w14:paraId="3BD61B41">
            <w:pPr>
              <w:pStyle w:val="209"/>
              <w:jc w:val="center"/>
              <w:rPr>
                <w:sz w:val="18"/>
                <w:szCs w:val="18"/>
              </w:rPr>
            </w:pPr>
            <w:r>
              <w:rPr>
                <w:sz w:val="18"/>
                <w:szCs w:val="18"/>
              </w:rPr>
              <w:t>2.</w:t>
            </w:r>
            <w:r>
              <w:rPr>
                <w:spacing w:val="-103"/>
                <w:sz w:val="18"/>
                <w:szCs w:val="18"/>
              </w:rPr>
              <w:t xml:space="preserve"> </w:t>
            </w:r>
            <w:r>
              <w:rPr>
                <w:sz w:val="18"/>
                <w:szCs w:val="18"/>
              </w:rPr>
              <w:t>5</w:t>
            </w:r>
          </w:p>
        </w:tc>
        <w:tc>
          <w:tcPr>
            <w:tcW w:w="2005" w:type="pct"/>
          </w:tcPr>
          <w:p w14:paraId="5920E6DD">
            <w:pPr>
              <w:pStyle w:val="209"/>
              <w:jc w:val="both"/>
              <w:rPr>
                <w:spacing w:val="-1"/>
                <w:sz w:val="18"/>
                <w:szCs w:val="18"/>
                <w:lang w:eastAsia="zh-CN"/>
              </w:rPr>
            </w:pPr>
            <w:r>
              <w:rPr>
                <w:spacing w:val="-1"/>
                <w:sz w:val="18"/>
                <w:szCs w:val="18"/>
                <w:lang w:eastAsia="zh-CN"/>
              </w:rPr>
              <w:t>未达标的每平方米一级管理绿化扣1.5 分；二级管理绿化扣1分；三级管理绿化扣 0.5 分。</w:t>
            </w:r>
          </w:p>
        </w:tc>
        <w:tc>
          <w:tcPr>
            <w:tcW w:w="349" w:type="pct"/>
            <w:vAlign w:val="center"/>
          </w:tcPr>
          <w:p w14:paraId="548C9071">
            <w:pPr>
              <w:pStyle w:val="209"/>
              <w:jc w:val="center"/>
              <w:rPr>
                <w:sz w:val="18"/>
                <w:szCs w:val="18"/>
              </w:rPr>
            </w:pPr>
            <w:r>
              <w:rPr>
                <w:spacing w:val="-2"/>
                <w:sz w:val="18"/>
                <w:szCs w:val="18"/>
              </w:rPr>
              <w:t>现场检查</w:t>
            </w:r>
          </w:p>
        </w:tc>
        <w:tc>
          <w:tcPr>
            <w:tcW w:w="200" w:type="pct"/>
          </w:tcPr>
          <w:p w14:paraId="00D6E6F4">
            <w:pPr>
              <w:pStyle w:val="209"/>
              <w:rPr>
                <w:sz w:val="18"/>
                <w:szCs w:val="18"/>
              </w:rPr>
            </w:pPr>
          </w:p>
        </w:tc>
        <w:tc>
          <w:tcPr>
            <w:tcW w:w="201" w:type="pct"/>
          </w:tcPr>
          <w:p w14:paraId="2452A2E4">
            <w:pPr>
              <w:pStyle w:val="209"/>
              <w:rPr>
                <w:sz w:val="18"/>
                <w:szCs w:val="18"/>
              </w:rPr>
            </w:pPr>
          </w:p>
        </w:tc>
      </w:tr>
      <w:tr w14:paraId="7D0B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0C77D346">
            <w:pPr>
              <w:autoSpaceDE w:val="0"/>
              <w:autoSpaceDN w:val="0"/>
              <w:jc w:val="center"/>
              <w:rPr>
                <w:rFonts w:ascii="宋体" w:hAnsi="宋体"/>
                <w:sz w:val="18"/>
                <w:szCs w:val="18"/>
                <w:lang w:eastAsia="en-US"/>
              </w:rPr>
            </w:pPr>
          </w:p>
        </w:tc>
        <w:tc>
          <w:tcPr>
            <w:tcW w:w="366" w:type="pct"/>
            <w:vMerge w:val="continue"/>
            <w:vAlign w:val="center"/>
          </w:tcPr>
          <w:p w14:paraId="5F6884DC">
            <w:pPr>
              <w:autoSpaceDE w:val="0"/>
              <w:autoSpaceDN w:val="0"/>
              <w:jc w:val="center"/>
              <w:rPr>
                <w:rFonts w:ascii="宋体" w:hAnsi="宋体"/>
                <w:sz w:val="18"/>
                <w:szCs w:val="18"/>
                <w:lang w:eastAsia="en-US"/>
              </w:rPr>
            </w:pPr>
          </w:p>
        </w:tc>
        <w:tc>
          <w:tcPr>
            <w:tcW w:w="135" w:type="pct"/>
            <w:vMerge w:val="continue"/>
            <w:vAlign w:val="center"/>
          </w:tcPr>
          <w:p w14:paraId="3DDE8DDF">
            <w:pPr>
              <w:autoSpaceDE w:val="0"/>
              <w:autoSpaceDN w:val="0"/>
              <w:jc w:val="center"/>
              <w:rPr>
                <w:rFonts w:ascii="宋体" w:hAnsi="宋体"/>
                <w:sz w:val="18"/>
                <w:szCs w:val="18"/>
                <w:lang w:eastAsia="en-US"/>
              </w:rPr>
            </w:pPr>
          </w:p>
        </w:tc>
        <w:tc>
          <w:tcPr>
            <w:tcW w:w="1433" w:type="pct"/>
            <w:vAlign w:val="center"/>
          </w:tcPr>
          <w:p w14:paraId="7C7076AB">
            <w:pPr>
              <w:pStyle w:val="209"/>
              <w:jc w:val="both"/>
              <w:rPr>
                <w:spacing w:val="-1"/>
                <w:sz w:val="18"/>
                <w:szCs w:val="18"/>
                <w:lang w:eastAsia="zh-CN"/>
              </w:rPr>
            </w:pPr>
            <w:r>
              <w:rPr>
                <w:spacing w:val="-1"/>
                <w:sz w:val="18"/>
                <w:szCs w:val="18"/>
                <w:lang w:eastAsia="zh-CN"/>
              </w:rPr>
              <w:t>及时清理行道树干枝</w:t>
            </w:r>
          </w:p>
        </w:tc>
        <w:tc>
          <w:tcPr>
            <w:tcW w:w="191" w:type="pct"/>
            <w:vAlign w:val="center"/>
          </w:tcPr>
          <w:p w14:paraId="1CD6E18A">
            <w:pPr>
              <w:pStyle w:val="209"/>
              <w:jc w:val="center"/>
              <w:rPr>
                <w:sz w:val="18"/>
                <w:szCs w:val="18"/>
              </w:rPr>
            </w:pPr>
            <w:r>
              <w:rPr>
                <w:sz w:val="18"/>
                <w:szCs w:val="18"/>
              </w:rPr>
              <w:t>0.</w:t>
            </w:r>
            <w:r>
              <w:rPr>
                <w:spacing w:val="-103"/>
                <w:sz w:val="18"/>
                <w:szCs w:val="18"/>
              </w:rPr>
              <w:t xml:space="preserve"> </w:t>
            </w:r>
            <w:r>
              <w:rPr>
                <w:sz w:val="18"/>
                <w:szCs w:val="18"/>
              </w:rPr>
              <w:t>5</w:t>
            </w:r>
          </w:p>
        </w:tc>
        <w:tc>
          <w:tcPr>
            <w:tcW w:w="2005" w:type="pct"/>
          </w:tcPr>
          <w:p w14:paraId="3AEB0FAF">
            <w:pPr>
              <w:pStyle w:val="209"/>
              <w:jc w:val="both"/>
              <w:rPr>
                <w:spacing w:val="-1"/>
                <w:sz w:val="18"/>
                <w:szCs w:val="18"/>
                <w:lang w:eastAsia="zh-CN"/>
              </w:rPr>
            </w:pPr>
            <w:r>
              <w:rPr>
                <w:spacing w:val="-1"/>
                <w:sz w:val="18"/>
                <w:szCs w:val="18"/>
                <w:lang w:eastAsia="zh-CN"/>
              </w:rPr>
              <w:t>未达标的每件扣 0.5分。</w:t>
            </w:r>
          </w:p>
        </w:tc>
        <w:tc>
          <w:tcPr>
            <w:tcW w:w="349" w:type="pct"/>
            <w:vAlign w:val="center"/>
          </w:tcPr>
          <w:p w14:paraId="08280F00">
            <w:pPr>
              <w:pStyle w:val="209"/>
              <w:jc w:val="center"/>
              <w:rPr>
                <w:sz w:val="18"/>
                <w:szCs w:val="18"/>
              </w:rPr>
            </w:pPr>
            <w:r>
              <w:rPr>
                <w:spacing w:val="-2"/>
                <w:sz w:val="18"/>
                <w:szCs w:val="18"/>
              </w:rPr>
              <w:t>现场检查</w:t>
            </w:r>
          </w:p>
        </w:tc>
        <w:tc>
          <w:tcPr>
            <w:tcW w:w="200" w:type="pct"/>
          </w:tcPr>
          <w:p w14:paraId="063C4799">
            <w:pPr>
              <w:pStyle w:val="209"/>
              <w:rPr>
                <w:sz w:val="18"/>
                <w:szCs w:val="18"/>
              </w:rPr>
            </w:pPr>
          </w:p>
        </w:tc>
        <w:tc>
          <w:tcPr>
            <w:tcW w:w="201" w:type="pct"/>
          </w:tcPr>
          <w:p w14:paraId="00D5EF31">
            <w:pPr>
              <w:pStyle w:val="209"/>
              <w:rPr>
                <w:sz w:val="18"/>
                <w:szCs w:val="18"/>
              </w:rPr>
            </w:pPr>
          </w:p>
        </w:tc>
      </w:tr>
      <w:tr w14:paraId="0BD89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continue"/>
            <w:vAlign w:val="center"/>
          </w:tcPr>
          <w:p w14:paraId="529B286B">
            <w:pPr>
              <w:pStyle w:val="209"/>
              <w:jc w:val="center"/>
              <w:rPr>
                <w:sz w:val="18"/>
                <w:szCs w:val="18"/>
              </w:rPr>
            </w:pPr>
          </w:p>
        </w:tc>
        <w:tc>
          <w:tcPr>
            <w:tcW w:w="366" w:type="pct"/>
            <w:vMerge w:val="continue"/>
            <w:vAlign w:val="center"/>
          </w:tcPr>
          <w:p w14:paraId="350633B6">
            <w:pPr>
              <w:pStyle w:val="209"/>
              <w:jc w:val="center"/>
              <w:rPr>
                <w:sz w:val="18"/>
                <w:szCs w:val="18"/>
              </w:rPr>
            </w:pPr>
          </w:p>
        </w:tc>
        <w:tc>
          <w:tcPr>
            <w:tcW w:w="135" w:type="pct"/>
            <w:vMerge w:val="continue"/>
            <w:vAlign w:val="center"/>
          </w:tcPr>
          <w:p w14:paraId="1C48410C">
            <w:pPr>
              <w:pStyle w:val="209"/>
              <w:jc w:val="center"/>
              <w:rPr>
                <w:sz w:val="18"/>
                <w:szCs w:val="18"/>
              </w:rPr>
            </w:pPr>
          </w:p>
        </w:tc>
        <w:tc>
          <w:tcPr>
            <w:tcW w:w="1433" w:type="pct"/>
            <w:vAlign w:val="center"/>
          </w:tcPr>
          <w:p w14:paraId="01A7DB17">
            <w:pPr>
              <w:pStyle w:val="209"/>
              <w:jc w:val="both"/>
              <w:rPr>
                <w:spacing w:val="-1"/>
                <w:sz w:val="18"/>
                <w:szCs w:val="18"/>
                <w:lang w:eastAsia="zh-CN"/>
              </w:rPr>
            </w:pPr>
            <w:r>
              <w:rPr>
                <w:spacing w:val="-1"/>
                <w:sz w:val="18"/>
                <w:szCs w:val="18"/>
                <w:lang w:eastAsia="zh-CN"/>
              </w:rPr>
              <w:t>及时清理绿地上的乔木干枝（高度在 4 米以下）</w:t>
            </w:r>
          </w:p>
        </w:tc>
        <w:tc>
          <w:tcPr>
            <w:tcW w:w="191" w:type="pct"/>
            <w:vAlign w:val="center"/>
          </w:tcPr>
          <w:p w14:paraId="1988F0B2">
            <w:pPr>
              <w:pStyle w:val="209"/>
              <w:jc w:val="center"/>
              <w:rPr>
                <w:sz w:val="18"/>
                <w:szCs w:val="18"/>
              </w:rPr>
            </w:pPr>
            <w:r>
              <w:rPr>
                <w:sz w:val="18"/>
                <w:szCs w:val="18"/>
              </w:rPr>
              <w:t>2</w:t>
            </w:r>
          </w:p>
        </w:tc>
        <w:tc>
          <w:tcPr>
            <w:tcW w:w="2005" w:type="pct"/>
          </w:tcPr>
          <w:p w14:paraId="4E4FFDB2">
            <w:pPr>
              <w:pStyle w:val="209"/>
              <w:jc w:val="both"/>
              <w:rPr>
                <w:spacing w:val="-1"/>
                <w:sz w:val="18"/>
                <w:szCs w:val="18"/>
                <w:lang w:eastAsia="zh-CN"/>
              </w:rPr>
            </w:pPr>
            <w:r>
              <w:rPr>
                <w:spacing w:val="-1"/>
                <w:sz w:val="18"/>
                <w:szCs w:val="18"/>
                <w:lang w:eastAsia="zh-CN"/>
              </w:rPr>
              <w:t>未达标的特级和一级绿化管理扣1.5分；二级绿化管理扣1分；三级绿化管理扣0.5分。</w:t>
            </w:r>
          </w:p>
        </w:tc>
        <w:tc>
          <w:tcPr>
            <w:tcW w:w="349" w:type="pct"/>
            <w:vMerge w:val="restart"/>
            <w:vAlign w:val="center"/>
          </w:tcPr>
          <w:p w14:paraId="55EA5F78">
            <w:pPr>
              <w:pStyle w:val="209"/>
              <w:jc w:val="center"/>
              <w:rPr>
                <w:sz w:val="18"/>
                <w:szCs w:val="18"/>
                <w:lang w:eastAsia="zh-CN"/>
              </w:rPr>
            </w:pPr>
          </w:p>
        </w:tc>
        <w:tc>
          <w:tcPr>
            <w:tcW w:w="200" w:type="pct"/>
          </w:tcPr>
          <w:p w14:paraId="1D923DBF">
            <w:pPr>
              <w:pStyle w:val="209"/>
              <w:rPr>
                <w:sz w:val="18"/>
                <w:szCs w:val="18"/>
                <w:lang w:eastAsia="zh-CN"/>
              </w:rPr>
            </w:pPr>
          </w:p>
        </w:tc>
        <w:tc>
          <w:tcPr>
            <w:tcW w:w="201" w:type="pct"/>
          </w:tcPr>
          <w:p w14:paraId="695C9C0C">
            <w:pPr>
              <w:pStyle w:val="209"/>
              <w:rPr>
                <w:sz w:val="18"/>
                <w:szCs w:val="18"/>
                <w:lang w:eastAsia="zh-CN"/>
              </w:rPr>
            </w:pPr>
          </w:p>
        </w:tc>
      </w:tr>
      <w:tr w14:paraId="4CA3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520DEB2E">
            <w:pPr>
              <w:autoSpaceDE w:val="0"/>
              <w:autoSpaceDN w:val="0"/>
              <w:jc w:val="center"/>
              <w:rPr>
                <w:rFonts w:ascii="宋体" w:hAnsi="宋体"/>
                <w:sz w:val="18"/>
                <w:szCs w:val="18"/>
              </w:rPr>
            </w:pPr>
          </w:p>
        </w:tc>
        <w:tc>
          <w:tcPr>
            <w:tcW w:w="366" w:type="pct"/>
            <w:vMerge w:val="continue"/>
            <w:vAlign w:val="center"/>
          </w:tcPr>
          <w:p w14:paraId="468EC651">
            <w:pPr>
              <w:autoSpaceDE w:val="0"/>
              <w:autoSpaceDN w:val="0"/>
              <w:jc w:val="center"/>
              <w:rPr>
                <w:rFonts w:ascii="宋体" w:hAnsi="宋体"/>
                <w:sz w:val="18"/>
                <w:szCs w:val="18"/>
              </w:rPr>
            </w:pPr>
          </w:p>
        </w:tc>
        <w:tc>
          <w:tcPr>
            <w:tcW w:w="135" w:type="pct"/>
            <w:vMerge w:val="continue"/>
            <w:vAlign w:val="center"/>
          </w:tcPr>
          <w:p w14:paraId="0A75DF37">
            <w:pPr>
              <w:autoSpaceDE w:val="0"/>
              <w:autoSpaceDN w:val="0"/>
              <w:jc w:val="center"/>
              <w:rPr>
                <w:rFonts w:ascii="宋体" w:hAnsi="宋体"/>
                <w:sz w:val="18"/>
                <w:szCs w:val="18"/>
              </w:rPr>
            </w:pPr>
          </w:p>
        </w:tc>
        <w:tc>
          <w:tcPr>
            <w:tcW w:w="1433" w:type="pct"/>
            <w:vAlign w:val="center"/>
          </w:tcPr>
          <w:p w14:paraId="18148E88">
            <w:pPr>
              <w:pStyle w:val="209"/>
              <w:jc w:val="both"/>
              <w:rPr>
                <w:spacing w:val="-1"/>
                <w:sz w:val="18"/>
                <w:szCs w:val="18"/>
                <w:lang w:eastAsia="zh-CN"/>
              </w:rPr>
            </w:pPr>
            <w:r>
              <w:rPr>
                <w:spacing w:val="-1"/>
                <w:sz w:val="18"/>
                <w:szCs w:val="18"/>
                <w:lang w:eastAsia="zh-CN"/>
              </w:rPr>
              <w:t>按要求修剪乔木，不得严重影响景观，不得存在安全隐患</w:t>
            </w:r>
          </w:p>
        </w:tc>
        <w:tc>
          <w:tcPr>
            <w:tcW w:w="191" w:type="pct"/>
            <w:vAlign w:val="center"/>
          </w:tcPr>
          <w:p w14:paraId="0464F29B">
            <w:pPr>
              <w:pStyle w:val="209"/>
              <w:jc w:val="center"/>
              <w:rPr>
                <w:sz w:val="18"/>
                <w:szCs w:val="18"/>
              </w:rPr>
            </w:pPr>
            <w:r>
              <w:rPr>
                <w:sz w:val="18"/>
                <w:szCs w:val="18"/>
              </w:rPr>
              <w:t>2</w:t>
            </w:r>
          </w:p>
        </w:tc>
        <w:tc>
          <w:tcPr>
            <w:tcW w:w="2005" w:type="pct"/>
          </w:tcPr>
          <w:p w14:paraId="07643300">
            <w:pPr>
              <w:pStyle w:val="209"/>
              <w:jc w:val="both"/>
              <w:rPr>
                <w:spacing w:val="-1"/>
                <w:sz w:val="18"/>
                <w:szCs w:val="18"/>
                <w:lang w:eastAsia="zh-CN"/>
              </w:rPr>
            </w:pPr>
            <w:r>
              <w:rPr>
                <w:spacing w:val="-1"/>
                <w:sz w:val="18"/>
                <w:szCs w:val="18"/>
                <w:lang w:eastAsia="zh-CN"/>
              </w:rPr>
              <w:t>未达标的行道树每株扣2分，绿地乔木每株扣2 分</w:t>
            </w:r>
          </w:p>
        </w:tc>
        <w:tc>
          <w:tcPr>
            <w:tcW w:w="349" w:type="pct"/>
            <w:vMerge w:val="continue"/>
            <w:vAlign w:val="center"/>
          </w:tcPr>
          <w:p w14:paraId="2CE393A5">
            <w:pPr>
              <w:autoSpaceDE w:val="0"/>
              <w:autoSpaceDN w:val="0"/>
              <w:jc w:val="center"/>
              <w:rPr>
                <w:rFonts w:ascii="宋体" w:hAnsi="宋体"/>
                <w:sz w:val="18"/>
                <w:szCs w:val="18"/>
              </w:rPr>
            </w:pPr>
          </w:p>
        </w:tc>
        <w:tc>
          <w:tcPr>
            <w:tcW w:w="200" w:type="pct"/>
          </w:tcPr>
          <w:p w14:paraId="3E522CA9">
            <w:pPr>
              <w:pStyle w:val="209"/>
              <w:rPr>
                <w:sz w:val="18"/>
                <w:szCs w:val="18"/>
                <w:lang w:eastAsia="zh-CN"/>
              </w:rPr>
            </w:pPr>
          </w:p>
        </w:tc>
        <w:tc>
          <w:tcPr>
            <w:tcW w:w="201" w:type="pct"/>
          </w:tcPr>
          <w:p w14:paraId="7F98DC19">
            <w:pPr>
              <w:pStyle w:val="209"/>
              <w:rPr>
                <w:sz w:val="18"/>
                <w:szCs w:val="18"/>
                <w:lang w:eastAsia="zh-CN"/>
              </w:rPr>
            </w:pPr>
          </w:p>
        </w:tc>
      </w:tr>
      <w:tr w14:paraId="1CA6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225A635D">
            <w:pPr>
              <w:autoSpaceDE w:val="0"/>
              <w:autoSpaceDN w:val="0"/>
              <w:jc w:val="center"/>
              <w:rPr>
                <w:rFonts w:ascii="宋体" w:hAnsi="宋体"/>
                <w:sz w:val="18"/>
                <w:szCs w:val="18"/>
              </w:rPr>
            </w:pPr>
          </w:p>
        </w:tc>
        <w:tc>
          <w:tcPr>
            <w:tcW w:w="366" w:type="pct"/>
            <w:vMerge w:val="continue"/>
            <w:vAlign w:val="center"/>
          </w:tcPr>
          <w:p w14:paraId="7DDB087C">
            <w:pPr>
              <w:autoSpaceDE w:val="0"/>
              <w:autoSpaceDN w:val="0"/>
              <w:jc w:val="center"/>
              <w:rPr>
                <w:rFonts w:ascii="宋体" w:hAnsi="宋体"/>
                <w:sz w:val="18"/>
                <w:szCs w:val="18"/>
              </w:rPr>
            </w:pPr>
          </w:p>
        </w:tc>
        <w:tc>
          <w:tcPr>
            <w:tcW w:w="135" w:type="pct"/>
            <w:vMerge w:val="continue"/>
            <w:vAlign w:val="center"/>
          </w:tcPr>
          <w:p w14:paraId="13AA7001">
            <w:pPr>
              <w:autoSpaceDE w:val="0"/>
              <w:autoSpaceDN w:val="0"/>
              <w:jc w:val="center"/>
              <w:rPr>
                <w:rFonts w:ascii="宋体" w:hAnsi="宋体"/>
                <w:sz w:val="18"/>
                <w:szCs w:val="18"/>
              </w:rPr>
            </w:pPr>
          </w:p>
        </w:tc>
        <w:tc>
          <w:tcPr>
            <w:tcW w:w="1433" w:type="pct"/>
            <w:vAlign w:val="center"/>
          </w:tcPr>
          <w:p w14:paraId="1714AF94">
            <w:pPr>
              <w:pStyle w:val="209"/>
              <w:jc w:val="both"/>
              <w:rPr>
                <w:spacing w:val="-1"/>
                <w:sz w:val="18"/>
                <w:szCs w:val="18"/>
                <w:lang w:eastAsia="zh-CN"/>
              </w:rPr>
            </w:pPr>
            <w:r>
              <w:rPr>
                <w:spacing w:val="-1"/>
                <w:sz w:val="18"/>
                <w:szCs w:val="18"/>
                <w:lang w:eastAsia="zh-CN"/>
              </w:rPr>
              <w:t>必须扶正歪斜的行道树，紫荆、榕树类胸径大于或等于 20 厘米和胸径大于或等于15 厘米其它行道树可不扶正，但影响行人行走和车辆行驶的以及新种 3 年内的行道树必须扶正</w:t>
            </w:r>
          </w:p>
        </w:tc>
        <w:tc>
          <w:tcPr>
            <w:tcW w:w="191" w:type="pct"/>
            <w:vAlign w:val="center"/>
          </w:tcPr>
          <w:p w14:paraId="3FBBCF81">
            <w:pPr>
              <w:pStyle w:val="209"/>
              <w:jc w:val="center"/>
              <w:rPr>
                <w:sz w:val="18"/>
                <w:szCs w:val="18"/>
              </w:rPr>
            </w:pPr>
            <w:r>
              <w:rPr>
                <w:sz w:val="18"/>
                <w:szCs w:val="18"/>
              </w:rPr>
              <w:t>2</w:t>
            </w:r>
          </w:p>
        </w:tc>
        <w:tc>
          <w:tcPr>
            <w:tcW w:w="2005" w:type="pct"/>
          </w:tcPr>
          <w:p w14:paraId="06D5A7D0">
            <w:pPr>
              <w:pStyle w:val="209"/>
              <w:jc w:val="both"/>
              <w:rPr>
                <w:spacing w:val="-1"/>
                <w:sz w:val="18"/>
                <w:szCs w:val="18"/>
                <w:lang w:eastAsia="zh-CN"/>
              </w:rPr>
            </w:pPr>
            <w:r>
              <w:rPr>
                <w:spacing w:val="-1"/>
                <w:sz w:val="18"/>
                <w:szCs w:val="18"/>
                <w:lang w:eastAsia="zh-CN"/>
              </w:rPr>
              <w:t>未按要求扶正的，每株扣 2 分。</w:t>
            </w:r>
          </w:p>
        </w:tc>
        <w:tc>
          <w:tcPr>
            <w:tcW w:w="349" w:type="pct"/>
            <w:vMerge w:val="restart"/>
            <w:vAlign w:val="center"/>
          </w:tcPr>
          <w:p w14:paraId="0EB5A5BA">
            <w:pPr>
              <w:pStyle w:val="209"/>
              <w:jc w:val="center"/>
              <w:rPr>
                <w:sz w:val="18"/>
                <w:szCs w:val="18"/>
              </w:rPr>
            </w:pPr>
            <w:r>
              <w:rPr>
                <w:spacing w:val="-2"/>
                <w:sz w:val="18"/>
                <w:szCs w:val="18"/>
              </w:rPr>
              <w:t>现场检查</w:t>
            </w:r>
          </w:p>
        </w:tc>
        <w:tc>
          <w:tcPr>
            <w:tcW w:w="200" w:type="pct"/>
          </w:tcPr>
          <w:p w14:paraId="73BBE8E4">
            <w:pPr>
              <w:pStyle w:val="209"/>
              <w:rPr>
                <w:sz w:val="18"/>
                <w:szCs w:val="18"/>
              </w:rPr>
            </w:pPr>
          </w:p>
        </w:tc>
        <w:tc>
          <w:tcPr>
            <w:tcW w:w="201" w:type="pct"/>
          </w:tcPr>
          <w:p w14:paraId="42CBE8EA">
            <w:pPr>
              <w:pStyle w:val="209"/>
              <w:rPr>
                <w:sz w:val="18"/>
                <w:szCs w:val="18"/>
              </w:rPr>
            </w:pPr>
          </w:p>
        </w:tc>
      </w:tr>
      <w:tr w14:paraId="3AB7D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D116DC0">
            <w:pPr>
              <w:autoSpaceDE w:val="0"/>
              <w:autoSpaceDN w:val="0"/>
              <w:jc w:val="center"/>
              <w:rPr>
                <w:rFonts w:ascii="宋体" w:hAnsi="宋体"/>
                <w:sz w:val="18"/>
                <w:szCs w:val="18"/>
                <w:lang w:eastAsia="en-US"/>
              </w:rPr>
            </w:pPr>
          </w:p>
        </w:tc>
        <w:tc>
          <w:tcPr>
            <w:tcW w:w="366" w:type="pct"/>
            <w:vMerge w:val="continue"/>
            <w:vAlign w:val="center"/>
          </w:tcPr>
          <w:p w14:paraId="00932DE0">
            <w:pPr>
              <w:autoSpaceDE w:val="0"/>
              <w:autoSpaceDN w:val="0"/>
              <w:jc w:val="center"/>
              <w:rPr>
                <w:rFonts w:ascii="宋体" w:hAnsi="宋体"/>
                <w:sz w:val="18"/>
                <w:szCs w:val="18"/>
                <w:lang w:eastAsia="en-US"/>
              </w:rPr>
            </w:pPr>
          </w:p>
        </w:tc>
        <w:tc>
          <w:tcPr>
            <w:tcW w:w="135" w:type="pct"/>
            <w:vMerge w:val="continue"/>
            <w:vAlign w:val="center"/>
          </w:tcPr>
          <w:p w14:paraId="6FE48599">
            <w:pPr>
              <w:autoSpaceDE w:val="0"/>
              <w:autoSpaceDN w:val="0"/>
              <w:jc w:val="center"/>
              <w:rPr>
                <w:rFonts w:ascii="宋体" w:hAnsi="宋体"/>
                <w:sz w:val="18"/>
                <w:szCs w:val="18"/>
                <w:lang w:eastAsia="en-US"/>
              </w:rPr>
            </w:pPr>
          </w:p>
        </w:tc>
        <w:tc>
          <w:tcPr>
            <w:tcW w:w="1433" w:type="pct"/>
            <w:vAlign w:val="center"/>
          </w:tcPr>
          <w:p w14:paraId="6B338DDB">
            <w:pPr>
              <w:pStyle w:val="209"/>
              <w:jc w:val="both"/>
              <w:rPr>
                <w:spacing w:val="-1"/>
                <w:sz w:val="18"/>
                <w:szCs w:val="18"/>
                <w:lang w:eastAsia="zh-CN"/>
              </w:rPr>
            </w:pPr>
            <w:r>
              <w:rPr>
                <w:spacing w:val="-1"/>
                <w:sz w:val="18"/>
                <w:szCs w:val="18"/>
                <w:lang w:eastAsia="zh-CN"/>
              </w:rPr>
              <w:t>绿地上乔木歪斜，影响景观的需进行扶 正，其中棕榈科植物和新种植一年内的其他乔木须扶正</w:t>
            </w:r>
          </w:p>
        </w:tc>
        <w:tc>
          <w:tcPr>
            <w:tcW w:w="191" w:type="pct"/>
            <w:vAlign w:val="center"/>
          </w:tcPr>
          <w:p w14:paraId="210C8DB2">
            <w:pPr>
              <w:pStyle w:val="209"/>
              <w:jc w:val="center"/>
              <w:rPr>
                <w:sz w:val="18"/>
                <w:szCs w:val="18"/>
              </w:rPr>
            </w:pPr>
            <w:r>
              <w:rPr>
                <w:sz w:val="18"/>
                <w:szCs w:val="18"/>
              </w:rPr>
              <w:t>3.</w:t>
            </w:r>
            <w:r>
              <w:rPr>
                <w:spacing w:val="-103"/>
                <w:sz w:val="18"/>
                <w:szCs w:val="18"/>
              </w:rPr>
              <w:t xml:space="preserve"> </w:t>
            </w:r>
            <w:r>
              <w:rPr>
                <w:sz w:val="18"/>
                <w:szCs w:val="18"/>
              </w:rPr>
              <w:t>5</w:t>
            </w:r>
          </w:p>
        </w:tc>
        <w:tc>
          <w:tcPr>
            <w:tcW w:w="2005" w:type="pct"/>
          </w:tcPr>
          <w:p w14:paraId="2C331BB0">
            <w:pPr>
              <w:pStyle w:val="209"/>
              <w:jc w:val="both"/>
              <w:rPr>
                <w:spacing w:val="-1"/>
                <w:sz w:val="18"/>
                <w:szCs w:val="18"/>
                <w:lang w:eastAsia="zh-CN"/>
              </w:rPr>
            </w:pPr>
            <w:r>
              <w:rPr>
                <w:spacing w:val="-1"/>
                <w:sz w:val="18"/>
                <w:szCs w:val="18"/>
                <w:lang w:eastAsia="zh-CN"/>
              </w:rPr>
              <w:t>未按要求扶正的，每株一级管理绿化扣 2 分， 二级管理绿化扣 1 分， 三级管理绿化扣 0.5 分。</w:t>
            </w:r>
          </w:p>
        </w:tc>
        <w:tc>
          <w:tcPr>
            <w:tcW w:w="349" w:type="pct"/>
            <w:vMerge w:val="continue"/>
            <w:vAlign w:val="center"/>
          </w:tcPr>
          <w:p w14:paraId="30C71429">
            <w:pPr>
              <w:autoSpaceDE w:val="0"/>
              <w:autoSpaceDN w:val="0"/>
              <w:jc w:val="center"/>
              <w:rPr>
                <w:rFonts w:ascii="宋体" w:hAnsi="宋体"/>
                <w:sz w:val="18"/>
                <w:szCs w:val="18"/>
              </w:rPr>
            </w:pPr>
          </w:p>
        </w:tc>
        <w:tc>
          <w:tcPr>
            <w:tcW w:w="200" w:type="pct"/>
          </w:tcPr>
          <w:p w14:paraId="61C29546">
            <w:pPr>
              <w:pStyle w:val="209"/>
              <w:rPr>
                <w:sz w:val="18"/>
                <w:szCs w:val="18"/>
                <w:lang w:eastAsia="zh-CN"/>
              </w:rPr>
            </w:pPr>
          </w:p>
        </w:tc>
        <w:tc>
          <w:tcPr>
            <w:tcW w:w="201" w:type="pct"/>
          </w:tcPr>
          <w:p w14:paraId="68882B4F">
            <w:pPr>
              <w:pStyle w:val="209"/>
              <w:rPr>
                <w:sz w:val="18"/>
                <w:szCs w:val="18"/>
                <w:lang w:eastAsia="zh-CN"/>
              </w:rPr>
            </w:pPr>
          </w:p>
        </w:tc>
      </w:tr>
      <w:tr w14:paraId="142E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restart"/>
            <w:vAlign w:val="center"/>
          </w:tcPr>
          <w:p w14:paraId="3267572A">
            <w:pPr>
              <w:pStyle w:val="209"/>
              <w:jc w:val="center"/>
              <w:rPr>
                <w:sz w:val="18"/>
                <w:szCs w:val="18"/>
              </w:rPr>
            </w:pPr>
            <w:r>
              <w:rPr>
                <w:sz w:val="18"/>
                <w:szCs w:val="18"/>
              </w:rPr>
              <w:t>四</w:t>
            </w:r>
          </w:p>
        </w:tc>
        <w:tc>
          <w:tcPr>
            <w:tcW w:w="366" w:type="pct"/>
            <w:vMerge w:val="restart"/>
            <w:vAlign w:val="center"/>
          </w:tcPr>
          <w:p w14:paraId="76754685">
            <w:pPr>
              <w:pStyle w:val="209"/>
              <w:jc w:val="center"/>
              <w:rPr>
                <w:sz w:val="18"/>
                <w:szCs w:val="18"/>
              </w:rPr>
            </w:pPr>
            <w:r>
              <w:rPr>
                <w:sz w:val="18"/>
                <w:szCs w:val="18"/>
              </w:rPr>
              <w:t>施肥</w:t>
            </w:r>
          </w:p>
        </w:tc>
        <w:tc>
          <w:tcPr>
            <w:tcW w:w="135" w:type="pct"/>
            <w:vMerge w:val="restart"/>
            <w:vAlign w:val="center"/>
          </w:tcPr>
          <w:p w14:paraId="6E53E790">
            <w:pPr>
              <w:pStyle w:val="209"/>
              <w:jc w:val="center"/>
              <w:rPr>
                <w:sz w:val="18"/>
                <w:szCs w:val="18"/>
              </w:rPr>
            </w:pPr>
            <w:r>
              <w:rPr>
                <w:sz w:val="18"/>
                <w:szCs w:val="18"/>
              </w:rPr>
              <w:t>10</w:t>
            </w:r>
          </w:p>
        </w:tc>
        <w:tc>
          <w:tcPr>
            <w:tcW w:w="1433" w:type="pct"/>
            <w:vAlign w:val="center"/>
          </w:tcPr>
          <w:p w14:paraId="6E13B71E">
            <w:pPr>
              <w:pStyle w:val="209"/>
              <w:jc w:val="both"/>
              <w:rPr>
                <w:spacing w:val="-1"/>
                <w:sz w:val="18"/>
                <w:szCs w:val="18"/>
                <w:lang w:eastAsia="zh-CN"/>
              </w:rPr>
            </w:pPr>
            <w:r>
              <w:rPr>
                <w:spacing w:val="-1"/>
                <w:sz w:val="18"/>
                <w:szCs w:val="18"/>
                <w:lang w:eastAsia="zh-CN"/>
              </w:rPr>
              <w:t>乔、灌木及藤本植物生长不良</w:t>
            </w:r>
          </w:p>
        </w:tc>
        <w:tc>
          <w:tcPr>
            <w:tcW w:w="191" w:type="pct"/>
            <w:vAlign w:val="center"/>
          </w:tcPr>
          <w:p w14:paraId="73876CC2">
            <w:pPr>
              <w:pStyle w:val="209"/>
              <w:jc w:val="center"/>
              <w:rPr>
                <w:sz w:val="18"/>
                <w:szCs w:val="18"/>
              </w:rPr>
            </w:pPr>
            <w:r>
              <w:rPr>
                <w:sz w:val="18"/>
                <w:szCs w:val="18"/>
              </w:rPr>
              <w:t>4</w:t>
            </w:r>
          </w:p>
        </w:tc>
        <w:tc>
          <w:tcPr>
            <w:tcW w:w="2005" w:type="pct"/>
          </w:tcPr>
          <w:p w14:paraId="481667CA">
            <w:pPr>
              <w:pStyle w:val="209"/>
              <w:jc w:val="both"/>
              <w:rPr>
                <w:spacing w:val="-1"/>
                <w:sz w:val="18"/>
                <w:szCs w:val="18"/>
                <w:lang w:eastAsia="zh-CN"/>
              </w:rPr>
            </w:pPr>
            <w:r>
              <w:rPr>
                <w:spacing w:val="-1"/>
                <w:sz w:val="18"/>
                <w:szCs w:val="18"/>
                <w:lang w:eastAsia="zh-CN"/>
              </w:rPr>
              <w:t>乔木和单植灌木每株一级管理绿化扣 2.5 分， 二级管理绿化扣 1 分， 三级管理绿化扣 0.5 分；行道树扣 4 分；灌木花坛每平方米一级管理绿化扣 2.5 分，二级管理绿化扣 1 分，三级管理绿化扣 0.5 分；垂直绿化每平方米扣 2 分，扣完为止。</w:t>
            </w:r>
          </w:p>
        </w:tc>
        <w:tc>
          <w:tcPr>
            <w:tcW w:w="349" w:type="pct"/>
            <w:vMerge w:val="restart"/>
            <w:vAlign w:val="center"/>
          </w:tcPr>
          <w:p w14:paraId="61967593">
            <w:pPr>
              <w:pStyle w:val="209"/>
              <w:jc w:val="center"/>
              <w:rPr>
                <w:sz w:val="18"/>
                <w:szCs w:val="18"/>
              </w:rPr>
            </w:pPr>
            <w:r>
              <w:rPr>
                <w:spacing w:val="-2"/>
                <w:sz w:val="18"/>
                <w:szCs w:val="18"/>
              </w:rPr>
              <w:t>现场检查</w:t>
            </w:r>
          </w:p>
        </w:tc>
        <w:tc>
          <w:tcPr>
            <w:tcW w:w="200" w:type="pct"/>
          </w:tcPr>
          <w:p w14:paraId="7675B58A">
            <w:pPr>
              <w:pStyle w:val="209"/>
              <w:rPr>
                <w:sz w:val="18"/>
                <w:szCs w:val="18"/>
              </w:rPr>
            </w:pPr>
          </w:p>
        </w:tc>
        <w:tc>
          <w:tcPr>
            <w:tcW w:w="201" w:type="pct"/>
          </w:tcPr>
          <w:p w14:paraId="39B467C7">
            <w:pPr>
              <w:pStyle w:val="209"/>
              <w:rPr>
                <w:sz w:val="18"/>
                <w:szCs w:val="18"/>
              </w:rPr>
            </w:pPr>
          </w:p>
        </w:tc>
      </w:tr>
      <w:tr w14:paraId="6F77B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tcBorders>
              <w:bottom w:val="single" w:color="auto" w:sz="4" w:space="0"/>
            </w:tcBorders>
            <w:vAlign w:val="center"/>
          </w:tcPr>
          <w:p w14:paraId="4BD62381">
            <w:pPr>
              <w:autoSpaceDE w:val="0"/>
              <w:autoSpaceDN w:val="0"/>
              <w:jc w:val="center"/>
              <w:rPr>
                <w:rFonts w:ascii="宋体" w:hAnsi="宋体"/>
                <w:sz w:val="18"/>
                <w:szCs w:val="18"/>
                <w:lang w:eastAsia="en-US"/>
              </w:rPr>
            </w:pPr>
          </w:p>
        </w:tc>
        <w:tc>
          <w:tcPr>
            <w:tcW w:w="366" w:type="pct"/>
            <w:vMerge w:val="continue"/>
            <w:tcBorders>
              <w:bottom w:val="single" w:color="auto" w:sz="4" w:space="0"/>
            </w:tcBorders>
            <w:vAlign w:val="center"/>
          </w:tcPr>
          <w:p w14:paraId="0F8F688D">
            <w:pPr>
              <w:autoSpaceDE w:val="0"/>
              <w:autoSpaceDN w:val="0"/>
              <w:jc w:val="center"/>
              <w:rPr>
                <w:rFonts w:ascii="宋体" w:hAnsi="宋体"/>
                <w:sz w:val="18"/>
                <w:szCs w:val="18"/>
                <w:lang w:eastAsia="en-US"/>
              </w:rPr>
            </w:pPr>
          </w:p>
        </w:tc>
        <w:tc>
          <w:tcPr>
            <w:tcW w:w="135" w:type="pct"/>
            <w:vMerge w:val="continue"/>
            <w:tcBorders>
              <w:bottom w:val="single" w:color="auto" w:sz="4" w:space="0"/>
            </w:tcBorders>
            <w:vAlign w:val="center"/>
          </w:tcPr>
          <w:p w14:paraId="2BDAC5DF">
            <w:pPr>
              <w:autoSpaceDE w:val="0"/>
              <w:autoSpaceDN w:val="0"/>
              <w:jc w:val="center"/>
              <w:rPr>
                <w:rFonts w:ascii="宋体" w:hAnsi="宋体"/>
                <w:sz w:val="18"/>
                <w:szCs w:val="18"/>
                <w:lang w:eastAsia="en-US"/>
              </w:rPr>
            </w:pPr>
          </w:p>
        </w:tc>
        <w:tc>
          <w:tcPr>
            <w:tcW w:w="1433" w:type="pct"/>
            <w:tcBorders>
              <w:bottom w:val="single" w:color="auto" w:sz="4" w:space="0"/>
            </w:tcBorders>
            <w:vAlign w:val="center"/>
          </w:tcPr>
          <w:p w14:paraId="7EF33414">
            <w:pPr>
              <w:pStyle w:val="209"/>
              <w:jc w:val="both"/>
              <w:rPr>
                <w:spacing w:val="-1"/>
                <w:sz w:val="18"/>
                <w:szCs w:val="18"/>
                <w:lang w:eastAsia="zh-CN"/>
              </w:rPr>
            </w:pPr>
            <w:r>
              <w:rPr>
                <w:spacing w:val="-1"/>
                <w:sz w:val="18"/>
                <w:szCs w:val="18"/>
                <w:lang w:eastAsia="zh-CN"/>
              </w:rPr>
              <w:t>垂直绿化墙体绿化裸露面积大于或等于0.25 平方米（周边已完全覆盖）</w:t>
            </w:r>
          </w:p>
        </w:tc>
        <w:tc>
          <w:tcPr>
            <w:tcW w:w="191" w:type="pct"/>
            <w:tcBorders>
              <w:bottom w:val="single" w:color="auto" w:sz="4" w:space="0"/>
            </w:tcBorders>
            <w:vAlign w:val="center"/>
          </w:tcPr>
          <w:p w14:paraId="384FE70E">
            <w:pPr>
              <w:pStyle w:val="209"/>
              <w:jc w:val="center"/>
              <w:rPr>
                <w:sz w:val="18"/>
                <w:szCs w:val="18"/>
              </w:rPr>
            </w:pPr>
            <w:r>
              <w:rPr>
                <w:sz w:val="18"/>
                <w:szCs w:val="18"/>
              </w:rPr>
              <w:t>3</w:t>
            </w:r>
          </w:p>
        </w:tc>
        <w:tc>
          <w:tcPr>
            <w:tcW w:w="2005" w:type="pct"/>
            <w:tcBorders>
              <w:bottom w:val="single" w:color="auto" w:sz="4" w:space="0"/>
            </w:tcBorders>
          </w:tcPr>
          <w:p w14:paraId="4B1608AE">
            <w:pPr>
              <w:pStyle w:val="209"/>
              <w:jc w:val="both"/>
              <w:rPr>
                <w:spacing w:val="-1"/>
                <w:sz w:val="18"/>
                <w:szCs w:val="18"/>
                <w:lang w:eastAsia="zh-CN"/>
              </w:rPr>
            </w:pPr>
            <w:r>
              <w:rPr>
                <w:spacing w:val="-1"/>
                <w:sz w:val="18"/>
                <w:szCs w:val="18"/>
                <w:lang w:eastAsia="zh-CN"/>
              </w:rPr>
              <w:t>每平方米一级管理绿化扣 1.5 分，二级管理绿化扣 1 分,三级管理绿化扣 0.5 分。</w:t>
            </w:r>
          </w:p>
        </w:tc>
        <w:tc>
          <w:tcPr>
            <w:tcW w:w="349" w:type="pct"/>
            <w:vMerge w:val="continue"/>
            <w:tcBorders>
              <w:bottom w:val="single" w:color="auto" w:sz="4" w:space="0"/>
            </w:tcBorders>
            <w:vAlign w:val="center"/>
          </w:tcPr>
          <w:p w14:paraId="2F03B42F">
            <w:pPr>
              <w:autoSpaceDE w:val="0"/>
              <w:autoSpaceDN w:val="0"/>
              <w:jc w:val="center"/>
              <w:rPr>
                <w:rFonts w:ascii="宋体" w:hAnsi="宋体"/>
                <w:sz w:val="18"/>
                <w:szCs w:val="18"/>
              </w:rPr>
            </w:pPr>
          </w:p>
        </w:tc>
        <w:tc>
          <w:tcPr>
            <w:tcW w:w="200" w:type="pct"/>
            <w:tcBorders>
              <w:bottom w:val="single" w:color="auto" w:sz="4" w:space="0"/>
            </w:tcBorders>
          </w:tcPr>
          <w:p w14:paraId="624D1E35">
            <w:pPr>
              <w:pStyle w:val="209"/>
              <w:rPr>
                <w:sz w:val="18"/>
                <w:szCs w:val="18"/>
                <w:lang w:eastAsia="zh-CN"/>
              </w:rPr>
            </w:pPr>
          </w:p>
        </w:tc>
        <w:tc>
          <w:tcPr>
            <w:tcW w:w="201" w:type="pct"/>
            <w:tcBorders>
              <w:bottom w:val="single" w:color="auto" w:sz="4" w:space="0"/>
            </w:tcBorders>
          </w:tcPr>
          <w:p w14:paraId="61938AA9">
            <w:pPr>
              <w:pStyle w:val="209"/>
              <w:rPr>
                <w:sz w:val="18"/>
                <w:szCs w:val="18"/>
                <w:lang w:eastAsia="zh-CN"/>
              </w:rPr>
            </w:pPr>
          </w:p>
        </w:tc>
      </w:tr>
      <w:tr w14:paraId="3265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ACB4ABE">
            <w:pPr>
              <w:autoSpaceDE w:val="0"/>
              <w:autoSpaceDN w:val="0"/>
              <w:jc w:val="center"/>
              <w:rPr>
                <w:rFonts w:ascii="宋体" w:hAnsi="宋体"/>
                <w:sz w:val="18"/>
                <w:szCs w:val="18"/>
              </w:rPr>
            </w:pPr>
          </w:p>
        </w:tc>
        <w:tc>
          <w:tcPr>
            <w:tcW w:w="366" w:type="pct"/>
            <w:vMerge w:val="continue"/>
            <w:vAlign w:val="center"/>
          </w:tcPr>
          <w:p w14:paraId="6CC26FCB">
            <w:pPr>
              <w:autoSpaceDE w:val="0"/>
              <w:autoSpaceDN w:val="0"/>
              <w:jc w:val="center"/>
              <w:rPr>
                <w:rFonts w:ascii="宋体" w:hAnsi="宋体"/>
                <w:sz w:val="18"/>
                <w:szCs w:val="18"/>
              </w:rPr>
            </w:pPr>
          </w:p>
        </w:tc>
        <w:tc>
          <w:tcPr>
            <w:tcW w:w="135" w:type="pct"/>
            <w:vMerge w:val="continue"/>
            <w:vAlign w:val="center"/>
          </w:tcPr>
          <w:p w14:paraId="1B0E6954">
            <w:pPr>
              <w:autoSpaceDE w:val="0"/>
              <w:autoSpaceDN w:val="0"/>
              <w:jc w:val="center"/>
              <w:rPr>
                <w:rFonts w:ascii="宋体" w:hAnsi="宋体"/>
                <w:sz w:val="18"/>
                <w:szCs w:val="18"/>
              </w:rPr>
            </w:pPr>
          </w:p>
        </w:tc>
        <w:tc>
          <w:tcPr>
            <w:tcW w:w="1433" w:type="pct"/>
            <w:vAlign w:val="center"/>
          </w:tcPr>
          <w:p w14:paraId="1CEEFDB3">
            <w:pPr>
              <w:pStyle w:val="209"/>
              <w:jc w:val="both"/>
              <w:rPr>
                <w:spacing w:val="-1"/>
                <w:sz w:val="18"/>
                <w:szCs w:val="18"/>
                <w:lang w:eastAsia="zh-CN"/>
              </w:rPr>
            </w:pPr>
            <w:r>
              <w:rPr>
                <w:spacing w:val="-1"/>
                <w:sz w:val="18"/>
                <w:szCs w:val="18"/>
                <w:lang w:eastAsia="zh-CN"/>
              </w:rPr>
              <w:t>按要求施肥</w:t>
            </w:r>
          </w:p>
        </w:tc>
        <w:tc>
          <w:tcPr>
            <w:tcW w:w="191" w:type="pct"/>
            <w:vAlign w:val="center"/>
          </w:tcPr>
          <w:p w14:paraId="33CAE920">
            <w:pPr>
              <w:pStyle w:val="209"/>
              <w:jc w:val="center"/>
              <w:rPr>
                <w:sz w:val="18"/>
                <w:szCs w:val="18"/>
              </w:rPr>
            </w:pPr>
            <w:r>
              <w:rPr>
                <w:sz w:val="18"/>
                <w:szCs w:val="18"/>
              </w:rPr>
              <w:t>3</w:t>
            </w:r>
          </w:p>
        </w:tc>
        <w:tc>
          <w:tcPr>
            <w:tcW w:w="2005" w:type="pct"/>
          </w:tcPr>
          <w:p w14:paraId="47D6347D">
            <w:pPr>
              <w:pStyle w:val="209"/>
              <w:jc w:val="both"/>
              <w:rPr>
                <w:spacing w:val="-1"/>
                <w:sz w:val="18"/>
                <w:szCs w:val="18"/>
                <w:lang w:eastAsia="zh-CN"/>
              </w:rPr>
            </w:pPr>
            <w:r>
              <w:rPr>
                <w:spacing w:val="-1"/>
                <w:sz w:val="18"/>
                <w:szCs w:val="18"/>
                <w:lang w:eastAsia="zh-CN"/>
              </w:rPr>
              <w:t>未按要求施肥的乔木和单株灌木每株扣 3 分， 灌木和草本花坛每平方米扣 1 分，垂直绿化每米扣 0.5 分，扣完为止。</w:t>
            </w:r>
          </w:p>
        </w:tc>
        <w:tc>
          <w:tcPr>
            <w:tcW w:w="349" w:type="pct"/>
            <w:vMerge w:val="continue"/>
            <w:vAlign w:val="center"/>
          </w:tcPr>
          <w:p w14:paraId="2E86FBA3">
            <w:pPr>
              <w:autoSpaceDE w:val="0"/>
              <w:autoSpaceDN w:val="0"/>
              <w:jc w:val="center"/>
              <w:rPr>
                <w:rFonts w:ascii="宋体" w:hAnsi="宋体"/>
                <w:sz w:val="18"/>
                <w:szCs w:val="18"/>
              </w:rPr>
            </w:pPr>
          </w:p>
        </w:tc>
        <w:tc>
          <w:tcPr>
            <w:tcW w:w="200" w:type="pct"/>
          </w:tcPr>
          <w:p w14:paraId="6BCB214C">
            <w:pPr>
              <w:pStyle w:val="209"/>
              <w:rPr>
                <w:sz w:val="18"/>
                <w:szCs w:val="18"/>
                <w:lang w:eastAsia="zh-CN"/>
              </w:rPr>
            </w:pPr>
          </w:p>
        </w:tc>
        <w:tc>
          <w:tcPr>
            <w:tcW w:w="201" w:type="pct"/>
          </w:tcPr>
          <w:p w14:paraId="37DE02C5">
            <w:pPr>
              <w:pStyle w:val="209"/>
              <w:rPr>
                <w:sz w:val="18"/>
                <w:szCs w:val="18"/>
                <w:lang w:eastAsia="zh-CN"/>
              </w:rPr>
            </w:pPr>
          </w:p>
        </w:tc>
      </w:tr>
      <w:tr w14:paraId="364C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restart"/>
            <w:vAlign w:val="center"/>
          </w:tcPr>
          <w:p w14:paraId="635792E7">
            <w:pPr>
              <w:pStyle w:val="209"/>
              <w:jc w:val="center"/>
              <w:rPr>
                <w:sz w:val="18"/>
                <w:szCs w:val="18"/>
              </w:rPr>
            </w:pPr>
            <w:r>
              <w:rPr>
                <w:sz w:val="18"/>
                <w:szCs w:val="18"/>
              </w:rPr>
              <w:t>五</w:t>
            </w:r>
          </w:p>
        </w:tc>
        <w:tc>
          <w:tcPr>
            <w:tcW w:w="366" w:type="pct"/>
            <w:vMerge w:val="restart"/>
            <w:vAlign w:val="center"/>
          </w:tcPr>
          <w:p w14:paraId="5E487A7D">
            <w:pPr>
              <w:pStyle w:val="209"/>
              <w:jc w:val="center"/>
              <w:rPr>
                <w:sz w:val="18"/>
                <w:szCs w:val="18"/>
              </w:rPr>
            </w:pPr>
            <w:r>
              <w:rPr>
                <w:sz w:val="18"/>
                <w:szCs w:val="18"/>
              </w:rPr>
              <w:t>补植</w:t>
            </w:r>
          </w:p>
        </w:tc>
        <w:tc>
          <w:tcPr>
            <w:tcW w:w="135" w:type="pct"/>
            <w:vMerge w:val="restart"/>
            <w:vAlign w:val="center"/>
          </w:tcPr>
          <w:p w14:paraId="152F9677">
            <w:pPr>
              <w:pStyle w:val="209"/>
              <w:jc w:val="center"/>
              <w:rPr>
                <w:sz w:val="18"/>
                <w:szCs w:val="18"/>
              </w:rPr>
            </w:pPr>
            <w:r>
              <w:rPr>
                <w:sz w:val="18"/>
                <w:szCs w:val="18"/>
              </w:rPr>
              <w:t>5</w:t>
            </w:r>
          </w:p>
        </w:tc>
        <w:tc>
          <w:tcPr>
            <w:tcW w:w="1433" w:type="pct"/>
            <w:vAlign w:val="center"/>
          </w:tcPr>
          <w:p w14:paraId="35A66C52">
            <w:pPr>
              <w:pStyle w:val="209"/>
              <w:jc w:val="both"/>
              <w:rPr>
                <w:spacing w:val="-1"/>
                <w:sz w:val="18"/>
                <w:szCs w:val="18"/>
                <w:lang w:eastAsia="zh-CN"/>
              </w:rPr>
            </w:pPr>
            <w:r>
              <w:rPr>
                <w:spacing w:val="-1"/>
                <w:sz w:val="18"/>
                <w:szCs w:val="18"/>
                <w:lang w:eastAsia="zh-CN"/>
              </w:rPr>
              <w:t>乔、灌木和草地死亡或缺株的，按管理所要求在10天内补植同种同规格（超规格的除外）的苗木</w:t>
            </w:r>
          </w:p>
        </w:tc>
        <w:tc>
          <w:tcPr>
            <w:tcW w:w="191" w:type="pct"/>
            <w:vAlign w:val="center"/>
          </w:tcPr>
          <w:p w14:paraId="79E3B95E">
            <w:pPr>
              <w:pStyle w:val="209"/>
              <w:jc w:val="center"/>
              <w:rPr>
                <w:sz w:val="18"/>
                <w:szCs w:val="18"/>
              </w:rPr>
            </w:pPr>
            <w:r>
              <w:rPr>
                <w:sz w:val="18"/>
                <w:szCs w:val="18"/>
              </w:rPr>
              <w:t>2</w:t>
            </w:r>
          </w:p>
        </w:tc>
        <w:tc>
          <w:tcPr>
            <w:tcW w:w="2005" w:type="pct"/>
          </w:tcPr>
          <w:p w14:paraId="3177BF73">
            <w:pPr>
              <w:pStyle w:val="209"/>
              <w:jc w:val="both"/>
              <w:rPr>
                <w:spacing w:val="-1"/>
                <w:sz w:val="18"/>
                <w:szCs w:val="18"/>
                <w:lang w:eastAsia="zh-CN"/>
              </w:rPr>
            </w:pPr>
            <w:r>
              <w:rPr>
                <w:spacing w:val="-1"/>
                <w:sz w:val="18"/>
                <w:szCs w:val="18"/>
                <w:lang w:eastAsia="zh-CN"/>
              </w:rPr>
              <w:t>不按要求补种或补植规格达不到要求和补草覆盖率小于 80%的，则按定额扣苗木费、种植费和三个月的养护费。</w:t>
            </w:r>
          </w:p>
        </w:tc>
        <w:tc>
          <w:tcPr>
            <w:tcW w:w="349" w:type="pct"/>
            <w:vMerge w:val="restart"/>
            <w:vAlign w:val="center"/>
          </w:tcPr>
          <w:p w14:paraId="081EB5C4">
            <w:pPr>
              <w:pStyle w:val="209"/>
              <w:jc w:val="center"/>
              <w:rPr>
                <w:sz w:val="18"/>
                <w:szCs w:val="18"/>
              </w:rPr>
            </w:pPr>
            <w:r>
              <w:rPr>
                <w:spacing w:val="-2"/>
                <w:sz w:val="18"/>
                <w:szCs w:val="18"/>
              </w:rPr>
              <w:t>现场检查</w:t>
            </w:r>
          </w:p>
        </w:tc>
        <w:tc>
          <w:tcPr>
            <w:tcW w:w="200" w:type="pct"/>
          </w:tcPr>
          <w:p w14:paraId="312F16EB">
            <w:pPr>
              <w:pStyle w:val="209"/>
              <w:rPr>
                <w:sz w:val="18"/>
                <w:szCs w:val="18"/>
              </w:rPr>
            </w:pPr>
          </w:p>
        </w:tc>
        <w:tc>
          <w:tcPr>
            <w:tcW w:w="201" w:type="pct"/>
          </w:tcPr>
          <w:p w14:paraId="4874E037">
            <w:pPr>
              <w:pStyle w:val="209"/>
              <w:rPr>
                <w:sz w:val="18"/>
                <w:szCs w:val="18"/>
              </w:rPr>
            </w:pPr>
          </w:p>
        </w:tc>
      </w:tr>
      <w:tr w14:paraId="1352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774E1E3">
            <w:pPr>
              <w:autoSpaceDE w:val="0"/>
              <w:autoSpaceDN w:val="0"/>
              <w:jc w:val="center"/>
              <w:rPr>
                <w:rFonts w:ascii="宋体" w:hAnsi="宋体"/>
                <w:sz w:val="18"/>
                <w:szCs w:val="18"/>
                <w:lang w:eastAsia="en-US"/>
              </w:rPr>
            </w:pPr>
          </w:p>
        </w:tc>
        <w:tc>
          <w:tcPr>
            <w:tcW w:w="366" w:type="pct"/>
            <w:vMerge w:val="continue"/>
            <w:vAlign w:val="center"/>
          </w:tcPr>
          <w:p w14:paraId="712773EE">
            <w:pPr>
              <w:autoSpaceDE w:val="0"/>
              <w:autoSpaceDN w:val="0"/>
              <w:jc w:val="center"/>
              <w:rPr>
                <w:rFonts w:ascii="宋体" w:hAnsi="宋体"/>
                <w:sz w:val="18"/>
                <w:szCs w:val="18"/>
                <w:lang w:eastAsia="en-US"/>
              </w:rPr>
            </w:pPr>
          </w:p>
        </w:tc>
        <w:tc>
          <w:tcPr>
            <w:tcW w:w="135" w:type="pct"/>
            <w:vMerge w:val="continue"/>
            <w:vAlign w:val="center"/>
          </w:tcPr>
          <w:p w14:paraId="3692C6DA">
            <w:pPr>
              <w:autoSpaceDE w:val="0"/>
              <w:autoSpaceDN w:val="0"/>
              <w:jc w:val="center"/>
              <w:rPr>
                <w:rFonts w:ascii="宋体" w:hAnsi="宋体"/>
                <w:sz w:val="18"/>
                <w:szCs w:val="18"/>
                <w:lang w:eastAsia="en-US"/>
              </w:rPr>
            </w:pPr>
          </w:p>
        </w:tc>
        <w:tc>
          <w:tcPr>
            <w:tcW w:w="1433" w:type="pct"/>
            <w:vAlign w:val="center"/>
          </w:tcPr>
          <w:p w14:paraId="7D740DF1">
            <w:pPr>
              <w:pStyle w:val="209"/>
              <w:jc w:val="both"/>
              <w:rPr>
                <w:spacing w:val="-1"/>
                <w:sz w:val="18"/>
                <w:szCs w:val="18"/>
                <w:lang w:eastAsia="zh-CN"/>
              </w:rPr>
            </w:pPr>
            <w:r>
              <w:rPr>
                <w:spacing w:val="-1"/>
                <w:sz w:val="18"/>
                <w:szCs w:val="18"/>
                <w:lang w:eastAsia="zh-CN"/>
              </w:rPr>
              <w:t>按要求补植操作</w:t>
            </w:r>
          </w:p>
        </w:tc>
        <w:tc>
          <w:tcPr>
            <w:tcW w:w="191" w:type="pct"/>
            <w:vAlign w:val="center"/>
          </w:tcPr>
          <w:p w14:paraId="2777146E">
            <w:pPr>
              <w:pStyle w:val="209"/>
              <w:jc w:val="center"/>
              <w:rPr>
                <w:sz w:val="18"/>
                <w:szCs w:val="18"/>
              </w:rPr>
            </w:pPr>
            <w:r>
              <w:rPr>
                <w:sz w:val="18"/>
                <w:szCs w:val="18"/>
              </w:rPr>
              <w:t>2</w:t>
            </w:r>
          </w:p>
        </w:tc>
        <w:tc>
          <w:tcPr>
            <w:tcW w:w="2005" w:type="pct"/>
          </w:tcPr>
          <w:p w14:paraId="15656B56">
            <w:pPr>
              <w:pStyle w:val="209"/>
              <w:jc w:val="both"/>
              <w:rPr>
                <w:spacing w:val="-1"/>
                <w:sz w:val="18"/>
                <w:szCs w:val="18"/>
                <w:lang w:eastAsia="zh-CN"/>
              </w:rPr>
            </w:pPr>
            <w:r>
              <w:rPr>
                <w:spacing w:val="-1"/>
                <w:sz w:val="18"/>
                <w:szCs w:val="18"/>
                <w:lang w:eastAsia="zh-CN"/>
              </w:rPr>
              <w:t>未符合要求的乔木和单株灌木每株扣 2 分，灌木和草本花坛每平方米扣 1 分，地被每平方米扣 0.5 分，扣完为止。</w:t>
            </w:r>
          </w:p>
        </w:tc>
        <w:tc>
          <w:tcPr>
            <w:tcW w:w="349" w:type="pct"/>
            <w:vMerge w:val="continue"/>
            <w:vAlign w:val="center"/>
          </w:tcPr>
          <w:p w14:paraId="3DF0F8B4">
            <w:pPr>
              <w:autoSpaceDE w:val="0"/>
              <w:autoSpaceDN w:val="0"/>
              <w:jc w:val="center"/>
              <w:rPr>
                <w:rFonts w:ascii="宋体" w:hAnsi="宋体"/>
                <w:sz w:val="18"/>
                <w:szCs w:val="18"/>
              </w:rPr>
            </w:pPr>
          </w:p>
        </w:tc>
        <w:tc>
          <w:tcPr>
            <w:tcW w:w="200" w:type="pct"/>
          </w:tcPr>
          <w:p w14:paraId="5474B39F">
            <w:pPr>
              <w:pStyle w:val="209"/>
              <w:rPr>
                <w:sz w:val="18"/>
                <w:szCs w:val="18"/>
                <w:lang w:eastAsia="zh-CN"/>
              </w:rPr>
            </w:pPr>
          </w:p>
        </w:tc>
        <w:tc>
          <w:tcPr>
            <w:tcW w:w="201" w:type="pct"/>
          </w:tcPr>
          <w:p w14:paraId="3380C435">
            <w:pPr>
              <w:pStyle w:val="209"/>
              <w:rPr>
                <w:sz w:val="18"/>
                <w:szCs w:val="18"/>
                <w:lang w:eastAsia="zh-CN"/>
              </w:rPr>
            </w:pPr>
          </w:p>
        </w:tc>
      </w:tr>
      <w:tr w14:paraId="680E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354DAAEA">
            <w:pPr>
              <w:autoSpaceDE w:val="0"/>
              <w:autoSpaceDN w:val="0"/>
              <w:jc w:val="center"/>
              <w:rPr>
                <w:rFonts w:ascii="宋体" w:hAnsi="宋体"/>
                <w:sz w:val="18"/>
                <w:szCs w:val="18"/>
              </w:rPr>
            </w:pPr>
          </w:p>
        </w:tc>
        <w:tc>
          <w:tcPr>
            <w:tcW w:w="366" w:type="pct"/>
            <w:vMerge w:val="continue"/>
            <w:vAlign w:val="center"/>
          </w:tcPr>
          <w:p w14:paraId="48CCC7F7">
            <w:pPr>
              <w:autoSpaceDE w:val="0"/>
              <w:autoSpaceDN w:val="0"/>
              <w:jc w:val="center"/>
              <w:rPr>
                <w:rFonts w:ascii="宋体" w:hAnsi="宋体"/>
                <w:sz w:val="18"/>
                <w:szCs w:val="18"/>
              </w:rPr>
            </w:pPr>
          </w:p>
        </w:tc>
        <w:tc>
          <w:tcPr>
            <w:tcW w:w="135" w:type="pct"/>
            <w:vMerge w:val="continue"/>
            <w:vAlign w:val="center"/>
          </w:tcPr>
          <w:p w14:paraId="1DA520FE">
            <w:pPr>
              <w:autoSpaceDE w:val="0"/>
              <w:autoSpaceDN w:val="0"/>
              <w:jc w:val="center"/>
              <w:rPr>
                <w:rFonts w:ascii="宋体" w:hAnsi="宋体"/>
                <w:sz w:val="18"/>
                <w:szCs w:val="18"/>
              </w:rPr>
            </w:pPr>
          </w:p>
        </w:tc>
        <w:tc>
          <w:tcPr>
            <w:tcW w:w="1433" w:type="pct"/>
            <w:vAlign w:val="center"/>
          </w:tcPr>
          <w:p w14:paraId="0784953E">
            <w:pPr>
              <w:pStyle w:val="209"/>
              <w:jc w:val="both"/>
              <w:rPr>
                <w:spacing w:val="-1"/>
                <w:sz w:val="18"/>
                <w:szCs w:val="18"/>
                <w:lang w:eastAsia="zh-CN"/>
              </w:rPr>
            </w:pPr>
            <w:r>
              <w:rPr>
                <w:spacing w:val="-1"/>
                <w:sz w:val="18"/>
                <w:szCs w:val="18"/>
                <w:lang w:eastAsia="zh-CN"/>
              </w:rPr>
              <w:t>及时挖掉死树和树桩</w:t>
            </w:r>
          </w:p>
        </w:tc>
        <w:tc>
          <w:tcPr>
            <w:tcW w:w="191" w:type="pct"/>
            <w:vAlign w:val="center"/>
          </w:tcPr>
          <w:p w14:paraId="45C4F18F">
            <w:pPr>
              <w:pStyle w:val="209"/>
              <w:jc w:val="center"/>
              <w:rPr>
                <w:sz w:val="18"/>
                <w:szCs w:val="18"/>
              </w:rPr>
            </w:pPr>
            <w:r>
              <w:rPr>
                <w:sz w:val="18"/>
                <w:szCs w:val="18"/>
              </w:rPr>
              <w:t>1</w:t>
            </w:r>
          </w:p>
        </w:tc>
        <w:tc>
          <w:tcPr>
            <w:tcW w:w="2005" w:type="pct"/>
          </w:tcPr>
          <w:p w14:paraId="13833DA7">
            <w:pPr>
              <w:pStyle w:val="209"/>
              <w:jc w:val="both"/>
              <w:rPr>
                <w:spacing w:val="-1"/>
                <w:sz w:val="18"/>
                <w:szCs w:val="18"/>
                <w:lang w:eastAsia="zh-CN"/>
              </w:rPr>
            </w:pPr>
            <w:r>
              <w:rPr>
                <w:spacing w:val="-1"/>
                <w:sz w:val="18"/>
                <w:szCs w:val="18"/>
                <w:lang w:eastAsia="zh-CN"/>
              </w:rPr>
              <w:t>未及时挖掉的每株扣 1分。</w:t>
            </w:r>
          </w:p>
        </w:tc>
        <w:tc>
          <w:tcPr>
            <w:tcW w:w="349" w:type="pct"/>
            <w:vMerge w:val="continue"/>
            <w:vAlign w:val="center"/>
          </w:tcPr>
          <w:p w14:paraId="7E440F34">
            <w:pPr>
              <w:autoSpaceDE w:val="0"/>
              <w:autoSpaceDN w:val="0"/>
              <w:jc w:val="center"/>
              <w:rPr>
                <w:rFonts w:ascii="宋体" w:hAnsi="宋体"/>
                <w:sz w:val="18"/>
                <w:szCs w:val="18"/>
              </w:rPr>
            </w:pPr>
          </w:p>
        </w:tc>
        <w:tc>
          <w:tcPr>
            <w:tcW w:w="200" w:type="pct"/>
          </w:tcPr>
          <w:p w14:paraId="7AEB4A40">
            <w:pPr>
              <w:pStyle w:val="209"/>
              <w:rPr>
                <w:sz w:val="18"/>
                <w:szCs w:val="18"/>
                <w:lang w:eastAsia="zh-CN"/>
              </w:rPr>
            </w:pPr>
          </w:p>
        </w:tc>
        <w:tc>
          <w:tcPr>
            <w:tcW w:w="201" w:type="pct"/>
          </w:tcPr>
          <w:p w14:paraId="54128C16">
            <w:pPr>
              <w:pStyle w:val="209"/>
              <w:rPr>
                <w:sz w:val="18"/>
                <w:szCs w:val="18"/>
                <w:lang w:eastAsia="zh-CN"/>
              </w:rPr>
            </w:pPr>
          </w:p>
        </w:tc>
      </w:tr>
      <w:tr w14:paraId="6E7B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restart"/>
            <w:tcBorders>
              <w:bottom w:val="single" w:color="auto" w:sz="4" w:space="0"/>
            </w:tcBorders>
            <w:vAlign w:val="center"/>
          </w:tcPr>
          <w:p w14:paraId="57E91A43">
            <w:pPr>
              <w:pStyle w:val="209"/>
              <w:jc w:val="center"/>
              <w:rPr>
                <w:sz w:val="18"/>
                <w:szCs w:val="18"/>
              </w:rPr>
            </w:pPr>
            <w:r>
              <w:rPr>
                <w:sz w:val="18"/>
                <w:szCs w:val="18"/>
              </w:rPr>
              <w:t>六</w:t>
            </w:r>
          </w:p>
        </w:tc>
        <w:tc>
          <w:tcPr>
            <w:tcW w:w="366" w:type="pct"/>
            <w:vMerge w:val="restart"/>
            <w:tcBorders>
              <w:bottom w:val="single" w:color="auto" w:sz="4" w:space="0"/>
            </w:tcBorders>
            <w:vAlign w:val="center"/>
          </w:tcPr>
          <w:p w14:paraId="59F695D9">
            <w:pPr>
              <w:pStyle w:val="209"/>
              <w:jc w:val="center"/>
              <w:rPr>
                <w:sz w:val="18"/>
                <w:szCs w:val="18"/>
              </w:rPr>
            </w:pPr>
            <w:r>
              <w:rPr>
                <w:sz w:val="18"/>
                <w:szCs w:val="18"/>
              </w:rPr>
              <w:t>病虫害防治</w:t>
            </w:r>
          </w:p>
        </w:tc>
        <w:tc>
          <w:tcPr>
            <w:tcW w:w="135" w:type="pct"/>
            <w:vMerge w:val="restart"/>
            <w:tcBorders>
              <w:bottom w:val="single" w:color="auto" w:sz="4" w:space="0"/>
            </w:tcBorders>
            <w:vAlign w:val="center"/>
          </w:tcPr>
          <w:p w14:paraId="398BE2EF">
            <w:pPr>
              <w:pStyle w:val="209"/>
              <w:jc w:val="center"/>
              <w:rPr>
                <w:sz w:val="18"/>
                <w:szCs w:val="18"/>
              </w:rPr>
            </w:pPr>
            <w:r>
              <w:rPr>
                <w:sz w:val="18"/>
                <w:szCs w:val="18"/>
              </w:rPr>
              <w:t>5</w:t>
            </w:r>
          </w:p>
        </w:tc>
        <w:tc>
          <w:tcPr>
            <w:tcW w:w="1433" w:type="pct"/>
            <w:tcBorders>
              <w:bottom w:val="single" w:color="auto" w:sz="4" w:space="0"/>
            </w:tcBorders>
            <w:vAlign w:val="center"/>
          </w:tcPr>
          <w:p w14:paraId="61F498FF">
            <w:pPr>
              <w:pStyle w:val="209"/>
              <w:jc w:val="both"/>
              <w:rPr>
                <w:spacing w:val="-1"/>
                <w:sz w:val="18"/>
                <w:szCs w:val="18"/>
                <w:lang w:eastAsia="zh-CN"/>
              </w:rPr>
            </w:pPr>
            <w:r>
              <w:rPr>
                <w:spacing w:val="-1"/>
                <w:sz w:val="18"/>
                <w:szCs w:val="18"/>
                <w:lang w:eastAsia="zh-CN"/>
              </w:rPr>
              <w:t>按要求防治病虫害</w:t>
            </w:r>
          </w:p>
        </w:tc>
        <w:tc>
          <w:tcPr>
            <w:tcW w:w="191" w:type="pct"/>
            <w:tcBorders>
              <w:bottom w:val="single" w:color="auto" w:sz="4" w:space="0"/>
            </w:tcBorders>
            <w:vAlign w:val="center"/>
          </w:tcPr>
          <w:p w14:paraId="010AFAB5">
            <w:pPr>
              <w:pStyle w:val="209"/>
              <w:jc w:val="center"/>
              <w:rPr>
                <w:sz w:val="18"/>
                <w:szCs w:val="18"/>
              </w:rPr>
            </w:pPr>
            <w:r>
              <w:rPr>
                <w:sz w:val="18"/>
                <w:szCs w:val="18"/>
              </w:rPr>
              <w:t>3</w:t>
            </w:r>
          </w:p>
        </w:tc>
        <w:tc>
          <w:tcPr>
            <w:tcW w:w="2005" w:type="pct"/>
            <w:tcBorders>
              <w:bottom w:val="single" w:color="auto" w:sz="4" w:space="0"/>
            </w:tcBorders>
          </w:tcPr>
          <w:p w14:paraId="46AA1B7D">
            <w:pPr>
              <w:pStyle w:val="209"/>
              <w:jc w:val="both"/>
              <w:rPr>
                <w:spacing w:val="-1"/>
                <w:sz w:val="18"/>
                <w:szCs w:val="18"/>
                <w:lang w:eastAsia="zh-CN"/>
              </w:rPr>
            </w:pPr>
            <w:r>
              <w:rPr>
                <w:spacing w:val="-1"/>
                <w:sz w:val="18"/>
                <w:szCs w:val="18"/>
                <w:lang w:eastAsia="zh-CN"/>
              </w:rPr>
              <w:t>未发现病虫害受害程度达 20%或发现检疫性病虫害的，乔木每株一级管理绿化扣 1.5 分，二级管理绿化扣 1 分，三级管理绿化扣 0.5 分； 单植灌木每株一级管理绿化扣 1.5 分，二级管理绿化扣 1 分，三级管理绿化扣 0.5 分；绿篱、花坛灌木花卉每平方米一级管理绿化扣1.5 分，二级管理绿化扣 1 分，三级管理绿化</w:t>
            </w:r>
          </w:p>
          <w:p w14:paraId="40E9A0A8">
            <w:pPr>
              <w:pStyle w:val="209"/>
              <w:jc w:val="both"/>
              <w:rPr>
                <w:spacing w:val="-1"/>
                <w:sz w:val="18"/>
                <w:szCs w:val="18"/>
                <w:lang w:eastAsia="zh-CN"/>
              </w:rPr>
            </w:pPr>
            <w:r>
              <w:rPr>
                <w:spacing w:val="-1"/>
                <w:sz w:val="18"/>
                <w:szCs w:val="18"/>
                <w:lang w:eastAsia="zh-CN"/>
              </w:rPr>
              <w:t>扣 0.5 分；地被每平方米一级管理绿化扣 1.5分，二级管理绿化扣 1分，三级管理绿化扣0.5 分；垂直绿化每平方米扣 1 分，行道树每株扣 1 分；病虫害虽已治理，但造成植物损害程度达 70%的，执行上述扣罚。</w:t>
            </w:r>
          </w:p>
        </w:tc>
        <w:tc>
          <w:tcPr>
            <w:tcW w:w="349" w:type="pct"/>
            <w:tcBorders>
              <w:bottom w:val="single" w:color="auto" w:sz="4" w:space="0"/>
            </w:tcBorders>
            <w:vAlign w:val="center"/>
          </w:tcPr>
          <w:p w14:paraId="1EBD224A">
            <w:pPr>
              <w:pStyle w:val="209"/>
              <w:jc w:val="center"/>
              <w:rPr>
                <w:sz w:val="18"/>
                <w:szCs w:val="18"/>
              </w:rPr>
            </w:pPr>
            <w:r>
              <w:rPr>
                <w:spacing w:val="-2"/>
                <w:sz w:val="18"/>
                <w:szCs w:val="18"/>
              </w:rPr>
              <w:t>现场检查</w:t>
            </w:r>
          </w:p>
        </w:tc>
        <w:tc>
          <w:tcPr>
            <w:tcW w:w="200" w:type="pct"/>
            <w:tcBorders>
              <w:bottom w:val="single" w:color="auto" w:sz="4" w:space="0"/>
            </w:tcBorders>
          </w:tcPr>
          <w:p w14:paraId="2AC86AB4">
            <w:pPr>
              <w:pStyle w:val="209"/>
              <w:rPr>
                <w:sz w:val="18"/>
                <w:szCs w:val="18"/>
              </w:rPr>
            </w:pPr>
          </w:p>
        </w:tc>
        <w:tc>
          <w:tcPr>
            <w:tcW w:w="201" w:type="pct"/>
            <w:tcBorders>
              <w:bottom w:val="single" w:color="auto" w:sz="4" w:space="0"/>
            </w:tcBorders>
          </w:tcPr>
          <w:p w14:paraId="4A924ECF">
            <w:pPr>
              <w:pStyle w:val="209"/>
              <w:rPr>
                <w:sz w:val="18"/>
                <w:szCs w:val="18"/>
              </w:rPr>
            </w:pPr>
          </w:p>
        </w:tc>
      </w:tr>
      <w:tr w14:paraId="621B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2A69AEE0">
            <w:pPr>
              <w:autoSpaceDE w:val="0"/>
              <w:autoSpaceDN w:val="0"/>
              <w:jc w:val="center"/>
              <w:rPr>
                <w:rFonts w:ascii="宋体" w:hAnsi="宋体"/>
                <w:sz w:val="18"/>
                <w:szCs w:val="18"/>
              </w:rPr>
            </w:pPr>
          </w:p>
        </w:tc>
        <w:tc>
          <w:tcPr>
            <w:tcW w:w="366" w:type="pct"/>
            <w:vMerge w:val="continue"/>
            <w:vAlign w:val="center"/>
          </w:tcPr>
          <w:p w14:paraId="1C529CB9">
            <w:pPr>
              <w:autoSpaceDE w:val="0"/>
              <w:autoSpaceDN w:val="0"/>
              <w:jc w:val="center"/>
              <w:rPr>
                <w:rFonts w:ascii="宋体" w:hAnsi="宋体"/>
                <w:sz w:val="18"/>
                <w:szCs w:val="18"/>
              </w:rPr>
            </w:pPr>
          </w:p>
        </w:tc>
        <w:tc>
          <w:tcPr>
            <w:tcW w:w="135" w:type="pct"/>
            <w:vMerge w:val="continue"/>
            <w:vAlign w:val="center"/>
          </w:tcPr>
          <w:p w14:paraId="0314BA43">
            <w:pPr>
              <w:autoSpaceDE w:val="0"/>
              <w:autoSpaceDN w:val="0"/>
              <w:jc w:val="center"/>
              <w:rPr>
                <w:rFonts w:ascii="宋体" w:hAnsi="宋体"/>
                <w:sz w:val="18"/>
                <w:szCs w:val="18"/>
              </w:rPr>
            </w:pPr>
          </w:p>
        </w:tc>
        <w:tc>
          <w:tcPr>
            <w:tcW w:w="1433" w:type="pct"/>
            <w:vAlign w:val="center"/>
          </w:tcPr>
          <w:p w14:paraId="0D4C5F9F">
            <w:pPr>
              <w:pStyle w:val="209"/>
              <w:jc w:val="both"/>
              <w:rPr>
                <w:spacing w:val="-1"/>
                <w:sz w:val="18"/>
                <w:szCs w:val="18"/>
                <w:lang w:eastAsia="zh-CN"/>
              </w:rPr>
            </w:pPr>
            <w:r>
              <w:rPr>
                <w:spacing w:val="-1"/>
                <w:sz w:val="18"/>
                <w:szCs w:val="18"/>
                <w:lang w:eastAsia="zh-CN"/>
              </w:rPr>
              <w:t>及时填灰保护乔木的树洞，直径在 4 厘米以上的伤口要涂防腐层和保护层处理，保护层的颜色必须与树干颜色相一致，不影响景观</w:t>
            </w:r>
          </w:p>
        </w:tc>
        <w:tc>
          <w:tcPr>
            <w:tcW w:w="191" w:type="pct"/>
            <w:vAlign w:val="center"/>
          </w:tcPr>
          <w:p w14:paraId="7CDEF6F6">
            <w:pPr>
              <w:pStyle w:val="209"/>
              <w:jc w:val="center"/>
              <w:rPr>
                <w:sz w:val="18"/>
                <w:szCs w:val="18"/>
              </w:rPr>
            </w:pPr>
            <w:r>
              <w:rPr>
                <w:sz w:val="18"/>
                <w:szCs w:val="18"/>
              </w:rPr>
              <w:t>2</w:t>
            </w:r>
          </w:p>
        </w:tc>
        <w:tc>
          <w:tcPr>
            <w:tcW w:w="2005" w:type="pct"/>
          </w:tcPr>
          <w:p w14:paraId="2838733E">
            <w:pPr>
              <w:pStyle w:val="209"/>
              <w:jc w:val="both"/>
              <w:rPr>
                <w:spacing w:val="-1"/>
                <w:sz w:val="18"/>
                <w:szCs w:val="18"/>
                <w:lang w:eastAsia="zh-CN"/>
              </w:rPr>
            </w:pPr>
            <w:r>
              <w:rPr>
                <w:spacing w:val="-1"/>
                <w:sz w:val="18"/>
                <w:szCs w:val="18"/>
                <w:lang w:eastAsia="zh-CN"/>
              </w:rPr>
              <w:t>未达到要求的每株扣 2分。</w:t>
            </w:r>
          </w:p>
        </w:tc>
        <w:tc>
          <w:tcPr>
            <w:tcW w:w="349" w:type="pct"/>
            <w:vAlign w:val="center"/>
          </w:tcPr>
          <w:p w14:paraId="250F3490">
            <w:pPr>
              <w:pStyle w:val="209"/>
              <w:jc w:val="center"/>
              <w:rPr>
                <w:sz w:val="18"/>
                <w:szCs w:val="18"/>
              </w:rPr>
            </w:pPr>
            <w:r>
              <w:rPr>
                <w:spacing w:val="-2"/>
                <w:sz w:val="18"/>
                <w:szCs w:val="18"/>
              </w:rPr>
              <w:t>现场检查</w:t>
            </w:r>
          </w:p>
        </w:tc>
        <w:tc>
          <w:tcPr>
            <w:tcW w:w="200" w:type="pct"/>
          </w:tcPr>
          <w:p w14:paraId="0E0C8E64">
            <w:pPr>
              <w:pStyle w:val="209"/>
              <w:rPr>
                <w:sz w:val="18"/>
                <w:szCs w:val="18"/>
              </w:rPr>
            </w:pPr>
          </w:p>
        </w:tc>
        <w:tc>
          <w:tcPr>
            <w:tcW w:w="201" w:type="pct"/>
          </w:tcPr>
          <w:p w14:paraId="6411D95A">
            <w:pPr>
              <w:pStyle w:val="209"/>
              <w:rPr>
                <w:sz w:val="18"/>
                <w:szCs w:val="18"/>
              </w:rPr>
            </w:pPr>
          </w:p>
        </w:tc>
      </w:tr>
      <w:tr w14:paraId="5EBD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restart"/>
            <w:vAlign w:val="center"/>
          </w:tcPr>
          <w:p w14:paraId="3C7E9576">
            <w:pPr>
              <w:pStyle w:val="209"/>
              <w:jc w:val="center"/>
              <w:rPr>
                <w:sz w:val="18"/>
                <w:szCs w:val="18"/>
              </w:rPr>
            </w:pPr>
            <w:r>
              <w:rPr>
                <w:sz w:val="18"/>
                <w:szCs w:val="18"/>
              </w:rPr>
              <w:t>七</w:t>
            </w:r>
          </w:p>
        </w:tc>
        <w:tc>
          <w:tcPr>
            <w:tcW w:w="366" w:type="pct"/>
            <w:vMerge w:val="restart"/>
            <w:vAlign w:val="center"/>
          </w:tcPr>
          <w:p w14:paraId="2E45958E">
            <w:pPr>
              <w:pStyle w:val="209"/>
              <w:jc w:val="center"/>
              <w:rPr>
                <w:sz w:val="18"/>
                <w:szCs w:val="18"/>
              </w:rPr>
            </w:pPr>
            <w:r>
              <w:rPr>
                <w:sz w:val="18"/>
                <w:szCs w:val="18"/>
              </w:rPr>
              <w:t>基础管养</w:t>
            </w:r>
          </w:p>
        </w:tc>
        <w:tc>
          <w:tcPr>
            <w:tcW w:w="135" w:type="pct"/>
            <w:vMerge w:val="restart"/>
            <w:vAlign w:val="center"/>
          </w:tcPr>
          <w:p w14:paraId="5C6C7CE0">
            <w:pPr>
              <w:pStyle w:val="209"/>
              <w:jc w:val="center"/>
              <w:rPr>
                <w:sz w:val="18"/>
                <w:szCs w:val="18"/>
              </w:rPr>
            </w:pPr>
            <w:r>
              <w:rPr>
                <w:sz w:val="18"/>
                <w:szCs w:val="18"/>
              </w:rPr>
              <w:t>20</w:t>
            </w:r>
          </w:p>
        </w:tc>
        <w:tc>
          <w:tcPr>
            <w:tcW w:w="1433" w:type="pct"/>
            <w:vAlign w:val="center"/>
          </w:tcPr>
          <w:p w14:paraId="3C3677F7">
            <w:pPr>
              <w:pStyle w:val="209"/>
              <w:jc w:val="both"/>
              <w:rPr>
                <w:spacing w:val="-1"/>
                <w:sz w:val="18"/>
                <w:szCs w:val="18"/>
                <w:lang w:eastAsia="zh-CN"/>
              </w:rPr>
            </w:pPr>
            <w:r>
              <w:rPr>
                <w:spacing w:val="-1"/>
                <w:sz w:val="18"/>
                <w:szCs w:val="18"/>
                <w:lang w:eastAsia="zh-CN"/>
              </w:rPr>
              <w:t>2 平方米以下的草地凹凸不平（包括树 坑、车轮印、管沟 等），高差不得大于或等于 5 厘米，不得长期积水</w:t>
            </w:r>
          </w:p>
        </w:tc>
        <w:tc>
          <w:tcPr>
            <w:tcW w:w="191" w:type="pct"/>
            <w:vAlign w:val="center"/>
          </w:tcPr>
          <w:p w14:paraId="6AB9BD5D">
            <w:pPr>
              <w:pStyle w:val="209"/>
              <w:jc w:val="center"/>
              <w:rPr>
                <w:sz w:val="18"/>
                <w:szCs w:val="18"/>
              </w:rPr>
            </w:pPr>
            <w:r>
              <w:rPr>
                <w:sz w:val="18"/>
                <w:szCs w:val="18"/>
              </w:rPr>
              <w:t>3</w:t>
            </w:r>
          </w:p>
        </w:tc>
        <w:tc>
          <w:tcPr>
            <w:tcW w:w="2005" w:type="pct"/>
          </w:tcPr>
          <w:p w14:paraId="4FFA367A">
            <w:pPr>
              <w:pStyle w:val="209"/>
              <w:jc w:val="both"/>
              <w:rPr>
                <w:spacing w:val="-1"/>
                <w:sz w:val="18"/>
                <w:szCs w:val="18"/>
                <w:lang w:eastAsia="zh-CN"/>
              </w:rPr>
            </w:pPr>
            <w:r>
              <w:rPr>
                <w:spacing w:val="-1"/>
                <w:sz w:val="18"/>
                <w:szCs w:val="18"/>
                <w:lang w:eastAsia="zh-CN"/>
              </w:rPr>
              <w:t>未达标的每平方米一级管理绿化扣 1.5 分，二级管理绿化扣 1 分，三级管理绿化扣 0.5 分；</w:t>
            </w:r>
          </w:p>
        </w:tc>
        <w:tc>
          <w:tcPr>
            <w:tcW w:w="349" w:type="pct"/>
            <w:vAlign w:val="center"/>
          </w:tcPr>
          <w:p w14:paraId="51535073">
            <w:pPr>
              <w:pStyle w:val="209"/>
              <w:jc w:val="center"/>
              <w:rPr>
                <w:sz w:val="18"/>
                <w:szCs w:val="18"/>
              </w:rPr>
            </w:pPr>
            <w:r>
              <w:rPr>
                <w:spacing w:val="-2"/>
                <w:sz w:val="18"/>
                <w:szCs w:val="18"/>
              </w:rPr>
              <w:t>现场检查</w:t>
            </w:r>
          </w:p>
        </w:tc>
        <w:tc>
          <w:tcPr>
            <w:tcW w:w="200" w:type="pct"/>
          </w:tcPr>
          <w:p w14:paraId="6B35C442">
            <w:pPr>
              <w:pStyle w:val="209"/>
              <w:rPr>
                <w:sz w:val="18"/>
                <w:szCs w:val="18"/>
              </w:rPr>
            </w:pPr>
          </w:p>
        </w:tc>
        <w:tc>
          <w:tcPr>
            <w:tcW w:w="201" w:type="pct"/>
          </w:tcPr>
          <w:p w14:paraId="3D00307B">
            <w:pPr>
              <w:pStyle w:val="209"/>
              <w:rPr>
                <w:sz w:val="18"/>
                <w:szCs w:val="18"/>
              </w:rPr>
            </w:pPr>
          </w:p>
        </w:tc>
      </w:tr>
      <w:tr w14:paraId="7B6C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E400F84">
            <w:pPr>
              <w:autoSpaceDE w:val="0"/>
              <w:autoSpaceDN w:val="0"/>
              <w:jc w:val="center"/>
              <w:rPr>
                <w:rFonts w:ascii="宋体" w:hAnsi="宋体"/>
                <w:sz w:val="18"/>
                <w:szCs w:val="18"/>
                <w:lang w:eastAsia="en-US"/>
              </w:rPr>
            </w:pPr>
          </w:p>
        </w:tc>
        <w:tc>
          <w:tcPr>
            <w:tcW w:w="366" w:type="pct"/>
            <w:vMerge w:val="continue"/>
            <w:vAlign w:val="center"/>
          </w:tcPr>
          <w:p w14:paraId="54618FD1">
            <w:pPr>
              <w:autoSpaceDE w:val="0"/>
              <w:autoSpaceDN w:val="0"/>
              <w:jc w:val="center"/>
              <w:rPr>
                <w:rFonts w:ascii="宋体" w:hAnsi="宋体"/>
                <w:sz w:val="18"/>
                <w:szCs w:val="18"/>
                <w:lang w:eastAsia="en-US"/>
              </w:rPr>
            </w:pPr>
          </w:p>
        </w:tc>
        <w:tc>
          <w:tcPr>
            <w:tcW w:w="135" w:type="pct"/>
            <w:vMerge w:val="continue"/>
            <w:vAlign w:val="center"/>
          </w:tcPr>
          <w:p w14:paraId="7D503146">
            <w:pPr>
              <w:autoSpaceDE w:val="0"/>
              <w:autoSpaceDN w:val="0"/>
              <w:jc w:val="center"/>
              <w:rPr>
                <w:rFonts w:ascii="宋体" w:hAnsi="宋体"/>
                <w:sz w:val="18"/>
                <w:szCs w:val="18"/>
                <w:lang w:eastAsia="en-US"/>
              </w:rPr>
            </w:pPr>
          </w:p>
        </w:tc>
        <w:tc>
          <w:tcPr>
            <w:tcW w:w="1433" w:type="pct"/>
            <w:vAlign w:val="center"/>
          </w:tcPr>
          <w:p w14:paraId="44E029AB">
            <w:pPr>
              <w:pStyle w:val="209"/>
              <w:jc w:val="both"/>
              <w:rPr>
                <w:spacing w:val="-1"/>
                <w:sz w:val="18"/>
                <w:szCs w:val="18"/>
                <w:lang w:eastAsia="zh-CN"/>
              </w:rPr>
            </w:pPr>
            <w:r>
              <w:rPr>
                <w:spacing w:val="-1"/>
                <w:sz w:val="18"/>
                <w:szCs w:val="18"/>
                <w:lang w:eastAsia="zh-CN"/>
              </w:rPr>
              <w:t>按要求拔除绿地杂草</w:t>
            </w:r>
          </w:p>
        </w:tc>
        <w:tc>
          <w:tcPr>
            <w:tcW w:w="191" w:type="pct"/>
            <w:vAlign w:val="center"/>
          </w:tcPr>
          <w:p w14:paraId="656FE68C">
            <w:pPr>
              <w:pStyle w:val="209"/>
              <w:jc w:val="center"/>
              <w:rPr>
                <w:sz w:val="18"/>
                <w:szCs w:val="18"/>
              </w:rPr>
            </w:pPr>
            <w:r>
              <w:rPr>
                <w:sz w:val="18"/>
                <w:szCs w:val="18"/>
              </w:rPr>
              <w:t>2</w:t>
            </w:r>
          </w:p>
        </w:tc>
        <w:tc>
          <w:tcPr>
            <w:tcW w:w="2005" w:type="pct"/>
          </w:tcPr>
          <w:p w14:paraId="130A08EE">
            <w:pPr>
              <w:pStyle w:val="209"/>
              <w:jc w:val="both"/>
              <w:rPr>
                <w:spacing w:val="-1"/>
                <w:sz w:val="18"/>
                <w:szCs w:val="18"/>
                <w:lang w:eastAsia="zh-CN"/>
              </w:rPr>
            </w:pPr>
            <w:r>
              <w:rPr>
                <w:spacing w:val="-1"/>
                <w:sz w:val="18"/>
                <w:szCs w:val="18"/>
                <w:lang w:eastAsia="zh-CN"/>
              </w:rPr>
              <w:t>未按要求的每平方米一级管理绿化扣 1.5 分； 二级管理绿化扣 1 分， 三级管理绿化扣 0.5 分。</w:t>
            </w:r>
          </w:p>
        </w:tc>
        <w:tc>
          <w:tcPr>
            <w:tcW w:w="349" w:type="pct"/>
            <w:vAlign w:val="center"/>
          </w:tcPr>
          <w:p w14:paraId="1286D8AC">
            <w:pPr>
              <w:pStyle w:val="209"/>
              <w:jc w:val="center"/>
              <w:rPr>
                <w:sz w:val="18"/>
                <w:szCs w:val="18"/>
              </w:rPr>
            </w:pPr>
            <w:r>
              <w:rPr>
                <w:spacing w:val="-2"/>
                <w:sz w:val="18"/>
                <w:szCs w:val="18"/>
              </w:rPr>
              <w:t>现场检查</w:t>
            </w:r>
          </w:p>
        </w:tc>
        <w:tc>
          <w:tcPr>
            <w:tcW w:w="200" w:type="pct"/>
          </w:tcPr>
          <w:p w14:paraId="18D9F9EF">
            <w:pPr>
              <w:pStyle w:val="209"/>
              <w:rPr>
                <w:sz w:val="18"/>
                <w:szCs w:val="18"/>
              </w:rPr>
            </w:pPr>
          </w:p>
        </w:tc>
        <w:tc>
          <w:tcPr>
            <w:tcW w:w="201" w:type="pct"/>
          </w:tcPr>
          <w:p w14:paraId="0E239450">
            <w:pPr>
              <w:pStyle w:val="209"/>
              <w:rPr>
                <w:sz w:val="18"/>
                <w:szCs w:val="18"/>
              </w:rPr>
            </w:pPr>
          </w:p>
        </w:tc>
      </w:tr>
      <w:tr w14:paraId="42F4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06077EA4">
            <w:pPr>
              <w:autoSpaceDE w:val="0"/>
              <w:autoSpaceDN w:val="0"/>
              <w:jc w:val="center"/>
              <w:rPr>
                <w:rFonts w:ascii="宋体" w:hAnsi="宋体"/>
                <w:sz w:val="18"/>
                <w:szCs w:val="18"/>
                <w:lang w:eastAsia="en-US"/>
              </w:rPr>
            </w:pPr>
          </w:p>
        </w:tc>
        <w:tc>
          <w:tcPr>
            <w:tcW w:w="366" w:type="pct"/>
            <w:vMerge w:val="continue"/>
            <w:vAlign w:val="center"/>
          </w:tcPr>
          <w:p w14:paraId="6667E242">
            <w:pPr>
              <w:autoSpaceDE w:val="0"/>
              <w:autoSpaceDN w:val="0"/>
              <w:jc w:val="center"/>
              <w:rPr>
                <w:rFonts w:ascii="宋体" w:hAnsi="宋体"/>
                <w:sz w:val="18"/>
                <w:szCs w:val="18"/>
                <w:lang w:eastAsia="en-US"/>
              </w:rPr>
            </w:pPr>
          </w:p>
        </w:tc>
        <w:tc>
          <w:tcPr>
            <w:tcW w:w="135" w:type="pct"/>
            <w:vMerge w:val="continue"/>
            <w:vAlign w:val="center"/>
          </w:tcPr>
          <w:p w14:paraId="0F4CCB28">
            <w:pPr>
              <w:autoSpaceDE w:val="0"/>
              <w:autoSpaceDN w:val="0"/>
              <w:jc w:val="center"/>
              <w:rPr>
                <w:rFonts w:ascii="宋体" w:hAnsi="宋体"/>
                <w:sz w:val="18"/>
                <w:szCs w:val="18"/>
                <w:lang w:eastAsia="en-US"/>
              </w:rPr>
            </w:pPr>
          </w:p>
        </w:tc>
        <w:tc>
          <w:tcPr>
            <w:tcW w:w="1433" w:type="pct"/>
            <w:vAlign w:val="center"/>
          </w:tcPr>
          <w:p w14:paraId="4558657B">
            <w:pPr>
              <w:pStyle w:val="209"/>
              <w:jc w:val="both"/>
              <w:rPr>
                <w:spacing w:val="-1"/>
                <w:sz w:val="18"/>
                <w:szCs w:val="18"/>
                <w:lang w:eastAsia="zh-CN"/>
              </w:rPr>
            </w:pPr>
            <w:r>
              <w:rPr>
                <w:spacing w:val="-1"/>
                <w:sz w:val="18"/>
                <w:szCs w:val="18"/>
                <w:lang w:eastAsia="zh-CN"/>
              </w:rPr>
              <w:t>按要求除草、松土花坛、绿篱和垂直绿化</w:t>
            </w:r>
          </w:p>
        </w:tc>
        <w:tc>
          <w:tcPr>
            <w:tcW w:w="191" w:type="pct"/>
            <w:vAlign w:val="center"/>
          </w:tcPr>
          <w:p w14:paraId="4DB82CF1">
            <w:pPr>
              <w:pStyle w:val="209"/>
              <w:jc w:val="center"/>
              <w:rPr>
                <w:sz w:val="18"/>
                <w:szCs w:val="18"/>
              </w:rPr>
            </w:pPr>
            <w:r>
              <w:rPr>
                <w:sz w:val="18"/>
                <w:szCs w:val="18"/>
              </w:rPr>
              <w:t>5</w:t>
            </w:r>
          </w:p>
        </w:tc>
        <w:tc>
          <w:tcPr>
            <w:tcW w:w="2005" w:type="pct"/>
          </w:tcPr>
          <w:p w14:paraId="29DEB54F">
            <w:pPr>
              <w:pStyle w:val="209"/>
              <w:jc w:val="both"/>
              <w:rPr>
                <w:spacing w:val="-1"/>
                <w:sz w:val="18"/>
                <w:szCs w:val="18"/>
                <w:lang w:eastAsia="zh-CN"/>
              </w:rPr>
            </w:pPr>
            <w:r>
              <w:rPr>
                <w:spacing w:val="-1"/>
                <w:sz w:val="18"/>
                <w:szCs w:val="18"/>
                <w:lang w:eastAsia="zh-CN"/>
              </w:rPr>
              <w:t>未按要求除草、松土或松土不合格的（垂直绿化松土沟宽应小于或等于 50 厘米，花坛和绿篱边缘距投影线外侧松土沟宽应小于或等于20 厘米，单植灌木树冠离地大于或等于 50 厘米的松土沟宽度应小于或等于 20 厘米，树冠离地小于 50 厘米的松土沟宽度应在树冠投影线内侧 20 厘米以内，对松土规格超出部分进行扣罚），每平方米花坛、绿篱和垂直绿化一级管理绿化扣 2.5分，二级管理绿化扣 2分，三级管理绿化扣0.5 分；</w:t>
            </w:r>
          </w:p>
        </w:tc>
        <w:tc>
          <w:tcPr>
            <w:tcW w:w="349" w:type="pct"/>
            <w:vAlign w:val="center"/>
          </w:tcPr>
          <w:p w14:paraId="25AF15C9">
            <w:pPr>
              <w:pStyle w:val="209"/>
              <w:jc w:val="center"/>
              <w:rPr>
                <w:sz w:val="18"/>
                <w:szCs w:val="18"/>
              </w:rPr>
            </w:pPr>
            <w:r>
              <w:rPr>
                <w:spacing w:val="-2"/>
                <w:sz w:val="18"/>
                <w:szCs w:val="18"/>
              </w:rPr>
              <w:t>现场检查</w:t>
            </w:r>
          </w:p>
        </w:tc>
        <w:tc>
          <w:tcPr>
            <w:tcW w:w="200" w:type="pct"/>
          </w:tcPr>
          <w:p w14:paraId="285BF298">
            <w:pPr>
              <w:pStyle w:val="209"/>
              <w:rPr>
                <w:sz w:val="18"/>
                <w:szCs w:val="18"/>
              </w:rPr>
            </w:pPr>
          </w:p>
        </w:tc>
        <w:tc>
          <w:tcPr>
            <w:tcW w:w="201" w:type="pct"/>
          </w:tcPr>
          <w:p w14:paraId="7D282BCF">
            <w:pPr>
              <w:pStyle w:val="209"/>
              <w:rPr>
                <w:sz w:val="18"/>
                <w:szCs w:val="18"/>
              </w:rPr>
            </w:pPr>
          </w:p>
        </w:tc>
      </w:tr>
      <w:tr w14:paraId="28D7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70ACF465">
            <w:pPr>
              <w:autoSpaceDE w:val="0"/>
              <w:autoSpaceDN w:val="0"/>
              <w:jc w:val="center"/>
              <w:rPr>
                <w:rFonts w:ascii="宋体" w:hAnsi="宋体"/>
                <w:sz w:val="18"/>
                <w:szCs w:val="18"/>
              </w:rPr>
            </w:pPr>
          </w:p>
        </w:tc>
        <w:tc>
          <w:tcPr>
            <w:tcW w:w="366" w:type="pct"/>
            <w:vMerge w:val="continue"/>
            <w:vAlign w:val="center"/>
          </w:tcPr>
          <w:p w14:paraId="7CDC84E1">
            <w:pPr>
              <w:autoSpaceDE w:val="0"/>
              <w:autoSpaceDN w:val="0"/>
              <w:jc w:val="center"/>
              <w:rPr>
                <w:rFonts w:ascii="宋体" w:hAnsi="宋体"/>
                <w:sz w:val="18"/>
                <w:szCs w:val="18"/>
              </w:rPr>
            </w:pPr>
          </w:p>
        </w:tc>
        <w:tc>
          <w:tcPr>
            <w:tcW w:w="135" w:type="pct"/>
            <w:vMerge w:val="continue"/>
            <w:vAlign w:val="center"/>
          </w:tcPr>
          <w:p w14:paraId="639B5774">
            <w:pPr>
              <w:autoSpaceDE w:val="0"/>
              <w:autoSpaceDN w:val="0"/>
              <w:jc w:val="center"/>
              <w:rPr>
                <w:rFonts w:ascii="宋体" w:hAnsi="宋体"/>
                <w:sz w:val="18"/>
                <w:szCs w:val="18"/>
              </w:rPr>
            </w:pPr>
          </w:p>
        </w:tc>
        <w:tc>
          <w:tcPr>
            <w:tcW w:w="1433" w:type="pct"/>
            <w:vAlign w:val="center"/>
          </w:tcPr>
          <w:p w14:paraId="44FD5FA7">
            <w:pPr>
              <w:pStyle w:val="209"/>
              <w:jc w:val="both"/>
              <w:rPr>
                <w:spacing w:val="-1"/>
                <w:sz w:val="18"/>
                <w:szCs w:val="18"/>
                <w:lang w:eastAsia="zh-CN"/>
              </w:rPr>
            </w:pPr>
            <w:r>
              <w:rPr>
                <w:spacing w:val="-1"/>
                <w:sz w:val="18"/>
                <w:szCs w:val="18"/>
                <w:lang w:eastAsia="zh-CN"/>
              </w:rPr>
              <w:t>对蟛蜞菊内的单株灌木及新种植 2 年以内的乔木进行松土</w:t>
            </w:r>
          </w:p>
        </w:tc>
        <w:tc>
          <w:tcPr>
            <w:tcW w:w="191" w:type="pct"/>
            <w:vAlign w:val="center"/>
          </w:tcPr>
          <w:p w14:paraId="3DD22A35">
            <w:pPr>
              <w:pStyle w:val="209"/>
              <w:jc w:val="center"/>
              <w:rPr>
                <w:sz w:val="18"/>
                <w:szCs w:val="18"/>
              </w:rPr>
            </w:pPr>
            <w:r>
              <w:rPr>
                <w:sz w:val="18"/>
                <w:szCs w:val="18"/>
              </w:rPr>
              <w:t>4</w:t>
            </w:r>
          </w:p>
        </w:tc>
        <w:tc>
          <w:tcPr>
            <w:tcW w:w="2005" w:type="pct"/>
          </w:tcPr>
          <w:p w14:paraId="2F4E1177">
            <w:pPr>
              <w:pStyle w:val="209"/>
              <w:rPr>
                <w:spacing w:val="-1"/>
                <w:sz w:val="18"/>
                <w:szCs w:val="18"/>
                <w:lang w:eastAsia="zh-CN"/>
              </w:rPr>
            </w:pPr>
            <w:r>
              <w:rPr>
                <w:spacing w:val="-1"/>
                <w:sz w:val="18"/>
                <w:szCs w:val="18"/>
                <w:lang w:eastAsia="zh-CN"/>
              </w:rPr>
              <w:t>没松土或松土不合格（松土沟宽度应小于或等于 30 厘米），每株乔木一级管理绿化扣 2 分，单株灌木扣 2 分， 二级管理绿化每株乔木扣 1.5 分，单株灌木扣1.5 分，三级每株乔木管理绿化扣 0.5 分，单株灌木扣 0.5 分，行道树每株扣 4 分；</w:t>
            </w:r>
          </w:p>
        </w:tc>
        <w:tc>
          <w:tcPr>
            <w:tcW w:w="349" w:type="pct"/>
            <w:vAlign w:val="center"/>
          </w:tcPr>
          <w:p w14:paraId="21039C3F">
            <w:pPr>
              <w:pStyle w:val="209"/>
              <w:jc w:val="center"/>
              <w:rPr>
                <w:sz w:val="18"/>
                <w:szCs w:val="18"/>
              </w:rPr>
            </w:pPr>
            <w:r>
              <w:rPr>
                <w:spacing w:val="-2"/>
                <w:sz w:val="18"/>
                <w:szCs w:val="18"/>
              </w:rPr>
              <w:t>现场检查</w:t>
            </w:r>
          </w:p>
        </w:tc>
        <w:tc>
          <w:tcPr>
            <w:tcW w:w="200" w:type="pct"/>
          </w:tcPr>
          <w:p w14:paraId="40060ABA">
            <w:pPr>
              <w:pStyle w:val="209"/>
              <w:rPr>
                <w:sz w:val="18"/>
                <w:szCs w:val="18"/>
              </w:rPr>
            </w:pPr>
          </w:p>
        </w:tc>
        <w:tc>
          <w:tcPr>
            <w:tcW w:w="201" w:type="pct"/>
          </w:tcPr>
          <w:p w14:paraId="2C533454">
            <w:pPr>
              <w:pStyle w:val="209"/>
              <w:rPr>
                <w:sz w:val="18"/>
                <w:szCs w:val="18"/>
              </w:rPr>
            </w:pPr>
          </w:p>
        </w:tc>
      </w:tr>
      <w:tr w14:paraId="7DF9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3F92775F">
            <w:pPr>
              <w:autoSpaceDE w:val="0"/>
              <w:autoSpaceDN w:val="0"/>
              <w:jc w:val="center"/>
              <w:rPr>
                <w:rFonts w:ascii="宋体" w:hAnsi="宋体"/>
                <w:sz w:val="18"/>
                <w:szCs w:val="18"/>
                <w:lang w:eastAsia="en-US"/>
              </w:rPr>
            </w:pPr>
          </w:p>
        </w:tc>
        <w:tc>
          <w:tcPr>
            <w:tcW w:w="366" w:type="pct"/>
            <w:vMerge w:val="continue"/>
            <w:vAlign w:val="center"/>
          </w:tcPr>
          <w:p w14:paraId="2C6D0A8A">
            <w:pPr>
              <w:autoSpaceDE w:val="0"/>
              <w:autoSpaceDN w:val="0"/>
              <w:jc w:val="center"/>
              <w:rPr>
                <w:rFonts w:ascii="宋体" w:hAnsi="宋体"/>
                <w:sz w:val="18"/>
                <w:szCs w:val="18"/>
                <w:lang w:eastAsia="en-US"/>
              </w:rPr>
            </w:pPr>
          </w:p>
        </w:tc>
        <w:tc>
          <w:tcPr>
            <w:tcW w:w="135" w:type="pct"/>
            <w:vMerge w:val="continue"/>
            <w:vAlign w:val="center"/>
          </w:tcPr>
          <w:p w14:paraId="213413EE">
            <w:pPr>
              <w:autoSpaceDE w:val="0"/>
              <w:autoSpaceDN w:val="0"/>
              <w:jc w:val="center"/>
              <w:rPr>
                <w:rFonts w:ascii="宋体" w:hAnsi="宋体"/>
                <w:sz w:val="18"/>
                <w:szCs w:val="18"/>
                <w:lang w:eastAsia="en-US"/>
              </w:rPr>
            </w:pPr>
          </w:p>
        </w:tc>
        <w:tc>
          <w:tcPr>
            <w:tcW w:w="1433" w:type="pct"/>
            <w:vAlign w:val="center"/>
          </w:tcPr>
          <w:p w14:paraId="0E9A8FF7">
            <w:pPr>
              <w:pStyle w:val="209"/>
              <w:jc w:val="both"/>
              <w:rPr>
                <w:spacing w:val="-1"/>
                <w:sz w:val="18"/>
                <w:szCs w:val="18"/>
                <w:lang w:eastAsia="zh-CN"/>
              </w:rPr>
            </w:pPr>
            <w:r>
              <w:rPr>
                <w:spacing w:val="-1"/>
                <w:sz w:val="18"/>
                <w:szCs w:val="18"/>
                <w:lang w:eastAsia="zh-CN"/>
              </w:rPr>
              <w:t>对乔、灌木、垂直绿化进行管理</w:t>
            </w:r>
          </w:p>
        </w:tc>
        <w:tc>
          <w:tcPr>
            <w:tcW w:w="191" w:type="pct"/>
            <w:vAlign w:val="center"/>
          </w:tcPr>
          <w:p w14:paraId="022899D9">
            <w:pPr>
              <w:pStyle w:val="209"/>
              <w:jc w:val="center"/>
              <w:rPr>
                <w:sz w:val="18"/>
                <w:szCs w:val="18"/>
              </w:rPr>
            </w:pPr>
            <w:r>
              <w:rPr>
                <w:sz w:val="18"/>
                <w:szCs w:val="18"/>
              </w:rPr>
              <w:t>4</w:t>
            </w:r>
          </w:p>
        </w:tc>
        <w:tc>
          <w:tcPr>
            <w:tcW w:w="2005" w:type="pct"/>
          </w:tcPr>
          <w:p w14:paraId="2CA12089">
            <w:pPr>
              <w:pStyle w:val="209"/>
              <w:rPr>
                <w:spacing w:val="-1"/>
                <w:sz w:val="18"/>
                <w:szCs w:val="18"/>
                <w:lang w:eastAsia="zh-CN"/>
              </w:rPr>
            </w:pPr>
            <w:r>
              <w:rPr>
                <w:spacing w:val="-1"/>
                <w:sz w:val="18"/>
                <w:szCs w:val="18"/>
                <w:lang w:eastAsia="zh-CN"/>
              </w:rPr>
              <w:t>因管理不善致乔、灌 木、垂直绿化明显缺水的，乔木和单株灌木每株、绿篱和花坛灌木花卉每平方米一级管理绿化扣 2.5 分，二级管理绿化扣 1 分，三级管理绿化扣 0.5 分；行道树每株扣 2 分，悬挂绿化每株扣 1 分；草坪枯黄、生长不良，有供水条件的草地每平方米一级管理绿化扣 2.5 分， 二级管理绿化扣 1 分， 三级管理绿化扣 0.5 分。</w:t>
            </w:r>
          </w:p>
        </w:tc>
        <w:tc>
          <w:tcPr>
            <w:tcW w:w="349" w:type="pct"/>
            <w:vAlign w:val="center"/>
          </w:tcPr>
          <w:p w14:paraId="33F45D4D">
            <w:pPr>
              <w:pStyle w:val="209"/>
              <w:jc w:val="center"/>
              <w:rPr>
                <w:sz w:val="18"/>
                <w:szCs w:val="18"/>
              </w:rPr>
            </w:pPr>
            <w:r>
              <w:rPr>
                <w:spacing w:val="-2"/>
                <w:sz w:val="18"/>
                <w:szCs w:val="18"/>
              </w:rPr>
              <w:t>现场检查</w:t>
            </w:r>
          </w:p>
        </w:tc>
        <w:tc>
          <w:tcPr>
            <w:tcW w:w="200" w:type="pct"/>
          </w:tcPr>
          <w:p w14:paraId="596EB06C">
            <w:pPr>
              <w:pStyle w:val="209"/>
              <w:rPr>
                <w:sz w:val="18"/>
                <w:szCs w:val="18"/>
              </w:rPr>
            </w:pPr>
          </w:p>
        </w:tc>
        <w:tc>
          <w:tcPr>
            <w:tcW w:w="201" w:type="pct"/>
          </w:tcPr>
          <w:p w14:paraId="71CB5228">
            <w:pPr>
              <w:pStyle w:val="209"/>
              <w:rPr>
                <w:sz w:val="18"/>
                <w:szCs w:val="18"/>
              </w:rPr>
            </w:pPr>
          </w:p>
        </w:tc>
      </w:tr>
      <w:tr w14:paraId="2B84F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2DA01C8D">
            <w:pPr>
              <w:autoSpaceDE w:val="0"/>
              <w:autoSpaceDN w:val="0"/>
              <w:jc w:val="center"/>
              <w:rPr>
                <w:rFonts w:ascii="宋体" w:hAnsi="宋体"/>
                <w:sz w:val="18"/>
                <w:szCs w:val="18"/>
              </w:rPr>
            </w:pPr>
          </w:p>
        </w:tc>
        <w:tc>
          <w:tcPr>
            <w:tcW w:w="366" w:type="pct"/>
            <w:vMerge w:val="continue"/>
            <w:vAlign w:val="center"/>
          </w:tcPr>
          <w:p w14:paraId="5E2CCD4A">
            <w:pPr>
              <w:autoSpaceDE w:val="0"/>
              <w:autoSpaceDN w:val="0"/>
              <w:jc w:val="center"/>
              <w:rPr>
                <w:rFonts w:ascii="宋体" w:hAnsi="宋体"/>
                <w:sz w:val="18"/>
                <w:szCs w:val="18"/>
              </w:rPr>
            </w:pPr>
          </w:p>
        </w:tc>
        <w:tc>
          <w:tcPr>
            <w:tcW w:w="135" w:type="pct"/>
            <w:vMerge w:val="continue"/>
            <w:vAlign w:val="center"/>
          </w:tcPr>
          <w:p w14:paraId="73DC6ADB">
            <w:pPr>
              <w:autoSpaceDE w:val="0"/>
              <w:autoSpaceDN w:val="0"/>
              <w:jc w:val="center"/>
              <w:rPr>
                <w:rFonts w:ascii="宋体" w:hAnsi="宋体"/>
                <w:sz w:val="18"/>
                <w:szCs w:val="18"/>
              </w:rPr>
            </w:pPr>
          </w:p>
        </w:tc>
        <w:tc>
          <w:tcPr>
            <w:tcW w:w="1433" w:type="pct"/>
            <w:vAlign w:val="center"/>
          </w:tcPr>
          <w:p w14:paraId="2E593BAE">
            <w:pPr>
              <w:pStyle w:val="209"/>
              <w:jc w:val="both"/>
              <w:rPr>
                <w:spacing w:val="-1"/>
                <w:sz w:val="18"/>
                <w:szCs w:val="18"/>
                <w:lang w:eastAsia="zh-CN"/>
              </w:rPr>
            </w:pPr>
            <w:r>
              <w:rPr>
                <w:spacing w:val="-1"/>
                <w:sz w:val="18"/>
                <w:szCs w:val="18"/>
                <w:lang w:eastAsia="zh-CN"/>
              </w:rPr>
              <w:t>及时整治受人为破坏的绿地</w:t>
            </w:r>
          </w:p>
        </w:tc>
        <w:tc>
          <w:tcPr>
            <w:tcW w:w="191" w:type="pct"/>
            <w:vAlign w:val="center"/>
          </w:tcPr>
          <w:p w14:paraId="376AAE2C">
            <w:pPr>
              <w:pStyle w:val="209"/>
              <w:jc w:val="center"/>
              <w:rPr>
                <w:sz w:val="18"/>
                <w:szCs w:val="18"/>
              </w:rPr>
            </w:pPr>
            <w:r>
              <w:rPr>
                <w:sz w:val="18"/>
                <w:szCs w:val="18"/>
              </w:rPr>
              <w:t>2</w:t>
            </w:r>
          </w:p>
        </w:tc>
        <w:tc>
          <w:tcPr>
            <w:tcW w:w="2005" w:type="pct"/>
          </w:tcPr>
          <w:p w14:paraId="49772E8B">
            <w:pPr>
              <w:pStyle w:val="209"/>
              <w:rPr>
                <w:spacing w:val="-1"/>
                <w:sz w:val="18"/>
                <w:szCs w:val="18"/>
                <w:lang w:eastAsia="zh-CN"/>
              </w:rPr>
            </w:pPr>
            <w:r>
              <w:rPr>
                <w:spacing w:val="-1"/>
                <w:sz w:val="18"/>
                <w:szCs w:val="18"/>
                <w:lang w:eastAsia="zh-CN"/>
              </w:rPr>
              <w:t>未及时整治的每平方米一级管理绿化扣 1 分， 二级管理绿化扣 0.7 分，三级管理绿化扣0.3 分。</w:t>
            </w:r>
          </w:p>
        </w:tc>
        <w:tc>
          <w:tcPr>
            <w:tcW w:w="349" w:type="pct"/>
            <w:vAlign w:val="center"/>
          </w:tcPr>
          <w:p w14:paraId="00B0F0AE">
            <w:pPr>
              <w:pStyle w:val="209"/>
              <w:jc w:val="center"/>
              <w:rPr>
                <w:sz w:val="18"/>
                <w:szCs w:val="18"/>
              </w:rPr>
            </w:pPr>
            <w:r>
              <w:rPr>
                <w:spacing w:val="-2"/>
                <w:sz w:val="18"/>
                <w:szCs w:val="18"/>
              </w:rPr>
              <w:t>现场检查</w:t>
            </w:r>
          </w:p>
        </w:tc>
        <w:tc>
          <w:tcPr>
            <w:tcW w:w="200" w:type="pct"/>
          </w:tcPr>
          <w:p w14:paraId="3C019677">
            <w:pPr>
              <w:pStyle w:val="209"/>
              <w:rPr>
                <w:sz w:val="18"/>
                <w:szCs w:val="18"/>
              </w:rPr>
            </w:pPr>
          </w:p>
        </w:tc>
        <w:tc>
          <w:tcPr>
            <w:tcW w:w="201" w:type="pct"/>
          </w:tcPr>
          <w:p w14:paraId="027FEA4F">
            <w:pPr>
              <w:pStyle w:val="209"/>
              <w:rPr>
                <w:sz w:val="18"/>
                <w:szCs w:val="18"/>
              </w:rPr>
            </w:pPr>
          </w:p>
        </w:tc>
      </w:tr>
      <w:tr w14:paraId="556B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restart"/>
            <w:vAlign w:val="center"/>
          </w:tcPr>
          <w:p w14:paraId="3193D74A">
            <w:pPr>
              <w:pStyle w:val="209"/>
              <w:jc w:val="center"/>
              <w:rPr>
                <w:sz w:val="18"/>
                <w:szCs w:val="18"/>
              </w:rPr>
            </w:pPr>
            <w:r>
              <w:rPr>
                <w:sz w:val="18"/>
                <w:szCs w:val="18"/>
              </w:rPr>
              <w:t>八</w:t>
            </w:r>
          </w:p>
        </w:tc>
        <w:tc>
          <w:tcPr>
            <w:tcW w:w="366" w:type="pct"/>
            <w:vMerge w:val="restart"/>
            <w:vAlign w:val="center"/>
          </w:tcPr>
          <w:p w14:paraId="457425DD">
            <w:pPr>
              <w:pStyle w:val="209"/>
              <w:jc w:val="center"/>
              <w:rPr>
                <w:sz w:val="18"/>
                <w:szCs w:val="18"/>
              </w:rPr>
            </w:pPr>
            <w:r>
              <w:rPr>
                <w:sz w:val="18"/>
                <w:szCs w:val="18"/>
              </w:rPr>
              <w:t>设施维护</w:t>
            </w:r>
          </w:p>
        </w:tc>
        <w:tc>
          <w:tcPr>
            <w:tcW w:w="135" w:type="pct"/>
            <w:vMerge w:val="restart"/>
            <w:vAlign w:val="center"/>
          </w:tcPr>
          <w:p w14:paraId="5728CE1C">
            <w:pPr>
              <w:pStyle w:val="209"/>
              <w:jc w:val="center"/>
              <w:rPr>
                <w:sz w:val="18"/>
                <w:szCs w:val="18"/>
              </w:rPr>
            </w:pPr>
            <w:r>
              <w:rPr>
                <w:sz w:val="18"/>
                <w:szCs w:val="18"/>
              </w:rPr>
              <w:t>10</w:t>
            </w:r>
          </w:p>
        </w:tc>
        <w:tc>
          <w:tcPr>
            <w:tcW w:w="1433" w:type="pct"/>
            <w:vAlign w:val="center"/>
          </w:tcPr>
          <w:p w14:paraId="57569157">
            <w:pPr>
              <w:pStyle w:val="209"/>
              <w:jc w:val="both"/>
              <w:rPr>
                <w:spacing w:val="-1"/>
                <w:sz w:val="18"/>
                <w:szCs w:val="18"/>
                <w:lang w:eastAsia="zh-CN"/>
              </w:rPr>
            </w:pPr>
            <w:r>
              <w:rPr>
                <w:spacing w:val="-1"/>
                <w:sz w:val="18"/>
                <w:szCs w:val="18"/>
                <w:lang w:eastAsia="zh-CN"/>
              </w:rPr>
              <w:t>管理妥善水电等设 施，不得造成浪费、损坏未及时修复或影响景观等情况</w:t>
            </w:r>
          </w:p>
        </w:tc>
        <w:tc>
          <w:tcPr>
            <w:tcW w:w="191" w:type="pct"/>
            <w:vAlign w:val="center"/>
          </w:tcPr>
          <w:p w14:paraId="7BB538D5">
            <w:pPr>
              <w:pStyle w:val="209"/>
              <w:jc w:val="center"/>
              <w:rPr>
                <w:sz w:val="18"/>
                <w:szCs w:val="18"/>
              </w:rPr>
            </w:pPr>
            <w:r>
              <w:rPr>
                <w:sz w:val="18"/>
                <w:szCs w:val="18"/>
              </w:rPr>
              <w:t>3</w:t>
            </w:r>
          </w:p>
        </w:tc>
        <w:tc>
          <w:tcPr>
            <w:tcW w:w="2005" w:type="pct"/>
          </w:tcPr>
          <w:p w14:paraId="269F273A">
            <w:pPr>
              <w:pStyle w:val="209"/>
              <w:jc w:val="both"/>
              <w:rPr>
                <w:spacing w:val="-1"/>
                <w:sz w:val="18"/>
                <w:szCs w:val="18"/>
                <w:lang w:eastAsia="zh-CN"/>
              </w:rPr>
            </w:pPr>
            <w:r>
              <w:rPr>
                <w:spacing w:val="-1"/>
                <w:sz w:val="18"/>
                <w:szCs w:val="18"/>
                <w:lang w:eastAsia="zh-CN"/>
              </w:rPr>
              <w:t>未管理妥善的一处一级管理绿化扣 1.5 分，二级管理绿化扣 1 分，三级管理绿化扣 0.5 分。</w:t>
            </w:r>
          </w:p>
        </w:tc>
        <w:tc>
          <w:tcPr>
            <w:tcW w:w="349" w:type="pct"/>
            <w:vAlign w:val="center"/>
          </w:tcPr>
          <w:p w14:paraId="0476D3B5">
            <w:pPr>
              <w:pStyle w:val="209"/>
              <w:jc w:val="center"/>
              <w:rPr>
                <w:sz w:val="18"/>
                <w:szCs w:val="18"/>
              </w:rPr>
            </w:pPr>
            <w:r>
              <w:rPr>
                <w:spacing w:val="-2"/>
                <w:sz w:val="18"/>
                <w:szCs w:val="18"/>
              </w:rPr>
              <w:t>现场检查</w:t>
            </w:r>
          </w:p>
        </w:tc>
        <w:tc>
          <w:tcPr>
            <w:tcW w:w="200" w:type="pct"/>
          </w:tcPr>
          <w:p w14:paraId="343812F5">
            <w:pPr>
              <w:pStyle w:val="209"/>
              <w:rPr>
                <w:sz w:val="18"/>
                <w:szCs w:val="18"/>
              </w:rPr>
            </w:pPr>
          </w:p>
        </w:tc>
        <w:tc>
          <w:tcPr>
            <w:tcW w:w="201" w:type="pct"/>
          </w:tcPr>
          <w:p w14:paraId="40F86185">
            <w:pPr>
              <w:pStyle w:val="209"/>
              <w:rPr>
                <w:sz w:val="18"/>
                <w:szCs w:val="18"/>
              </w:rPr>
            </w:pPr>
          </w:p>
        </w:tc>
      </w:tr>
      <w:tr w14:paraId="7937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20" w:type="pct"/>
            <w:vMerge w:val="continue"/>
            <w:vAlign w:val="center"/>
          </w:tcPr>
          <w:p w14:paraId="56665D48">
            <w:pPr>
              <w:autoSpaceDE w:val="0"/>
              <w:autoSpaceDN w:val="0"/>
              <w:jc w:val="center"/>
              <w:rPr>
                <w:rFonts w:ascii="宋体" w:hAnsi="宋体"/>
                <w:sz w:val="18"/>
                <w:szCs w:val="18"/>
                <w:lang w:eastAsia="en-US"/>
              </w:rPr>
            </w:pPr>
          </w:p>
        </w:tc>
        <w:tc>
          <w:tcPr>
            <w:tcW w:w="366" w:type="pct"/>
            <w:vMerge w:val="continue"/>
            <w:vAlign w:val="center"/>
          </w:tcPr>
          <w:p w14:paraId="20782716">
            <w:pPr>
              <w:autoSpaceDE w:val="0"/>
              <w:autoSpaceDN w:val="0"/>
              <w:jc w:val="center"/>
              <w:rPr>
                <w:rFonts w:ascii="宋体" w:hAnsi="宋体"/>
                <w:sz w:val="18"/>
                <w:szCs w:val="18"/>
                <w:lang w:eastAsia="en-US"/>
              </w:rPr>
            </w:pPr>
          </w:p>
        </w:tc>
        <w:tc>
          <w:tcPr>
            <w:tcW w:w="135" w:type="pct"/>
            <w:vMerge w:val="continue"/>
            <w:vAlign w:val="center"/>
          </w:tcPr>
          <w:p w14:paraId="130C851C">
            <w:pPr>
              <w:autoSpaceDE w:val="0"/>
              <w:autoSpaceDN w:val="0"/>
              <w:jc w:val="center"/>
              <w:rPr>
                <w:rFonts w:ascii="宋体" w:hAnsi="宋体"/>
                <w:sz w:val="18"/>
                <w:szCs w:val="18"/>
                <w:lang w:eastAsia="en-US"/>
              </w:rPr>
            </w:pPr>
          </w:p>
        </w:tc>
        <w:tc>
          <w:tcPr>
            <w:tcW w:w="1433" w:type="pct"/>
            <w:vAlign w:val="center"/>
          </w:tcPr>
          <w:p w14:paraId="1971557A">
            <w:pPr>
              <w:pStyle w:val="209"/>
              <w:jc w:val="both"/>
              <w:rPr>
                <w:spacing w:val="-1"/>
                <w:sz w:val="18"/>
                <w:szCs w:val="18"/>
                <w:lang w:eastAsia="zh-CN"/>
              </w:rPr>
            </w:pPr>
            <w:r>
              <w:rPr>
                <w:spacing w:val="-1"/>
                <w:sz w:val="18"/>
                <w:szCs w:val="18"/>
                <w:lang w:eastAsia="zh-CN"/>
              </w:rPr>
              <w:t>安装妥当护树设施， 设施损坏继续及时恢复</w:t>
            </w:r>
          </w:p>
        </w:tc>
        <w:tc>
          <w:tcPr>
            <w:tcW w:w="191" w:type="pct"/>
            <w:vAlign w:val="center"/>
          </w:tcPr>
          <w:p w14:paraId="2C4155B4">
            <w:pPr>
              <w:pStyle w:val="209"/>
              <w:jc w:val="center"/>
              <w:rPr>
                <w:sz w:val="18"/>
                <w:szCs w:val="18"/>
              </w:rPr>
            </w:pPr>
            <w:r>
              <w:rPr>
                <w:sz w:val="18"/>
                <w:szCs w:val="18"/>
              </w:rPr>
              <w:t>1</w:t>
            </w:r>
          </w:p>
        </w:tc>
        <w:tc>
          <w:tcPr>
            <w:tcW w:w="2005" w:type="pct"/>
          </w:tcPr>
          <w:p w14:paraId="567F21F5">
            <w:pPr>
              <w:pStyle w:val="209"/>
              <w:rPr>
                <w:spacing w:val="-1"/>
                <w:sz w:val="18"/>
                <w:szCs w:val="18"/>
                <w:lang w:eastAsia="zh-CN"/>
              </w:rPr>
            </w:pPr>
            <w:r>
              <w:rPr>
                <w:spacing w:val="-1"/>
                <w:sz w:val="18"/>
                <w:szCs w:val="18"/>
                <w:lang w:eastAsia="zh-CN"/>
              </w:rPr>
              <w:t>未按要求的每株扣 1分。</w:t>
            </w:r>
          </w:p>
        </w:tc>
        <w:tc>
          <w:tcPr>
            <w:tcW w:w="349" w:type="pct"/>
            <w:vAlign w:val="center"/>
          </w:tcPr>
          <w:p w14:paraId="408A0D2C">
            <w:pPr>
              <w:pStyle w:val="209"/>
              <w:jc w:val="center"/>
              <w:rPr>
                <w:sz w:val="18"/>
                <w:szCs w:val="18"/>
              </w:rPr>
            </w:pPr>
            <w:r>
              <w:rPr>
                <w:spacing w:val="-2"/>
                <w:sz w:val="18"/>
                <w:szCs w:val="18"/>
              </w:rPr>
              <w:t>现场检查</w:t>
            </w:r>
          </w:p>
        </w:tc>
        <w:tc>
          <w:tcPr>
            <w:tcW w:w="200" w:type="pct"/>
          </w:tcPr>
          <w:p w14:paraId="2F8E7112">
            <w:pPr>
              <w:pStyle w:val="209"/>
              <w:rPr>
                <w:sz w:val="18"/>
                <w:szCs w:val="18"/>
              </w:rPr>
            </w:pPr>
          </w:p>
        </w:tc>
        <w:tc>
          <w:tcPr>
            <w:tcW w:w="201" w:type="pct"/>
          </w:tcPr>
          <w:p w14:paraId="3BC433ED">
            <w:pPr>
              <w:pStyle w:val="209"/>
              <w:rPr>
                <w:sz w:val="18"/>
                <w:szCs w:val="18"/>
              </w:rPr>
            </w:pPr>
          </w:p>
        </w:tc>
      </w:tr>
      <w:tr w14:paraId="0C87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3FF2E7B1">
            <w:pPr>
              <w:autoSpaceDE w:val="0"/>
              <w:autoSpaceDN w:val="0"/>
              <w:jc w:val="center"/>
              <w:rPr>
                <w:rFonts w:ascii="宋体" w:hAnsi="宋体"/>
                <w:sz w:val="18"/>
                <w:szCs w:val="18"/>
                <w:lang w:eastAsia="en-US"/>
              </w:rPr>
            </w:pPr>
          </w:p>
        </w:tc>
        <w:tc>
          <w:tcPr>
            <w:tcW w:w="366" w:type="pct"/>
            <w:vMerge w:val="continue"/>
            <w:vAlign w:val="center"/>
          </w:tcPr>
          <w:p w14:paraId="11EA87CF">
            <w:pPr>
              <w:autoSpaceDE w:val="0"/>
              <w:autoSpaceDN w:val="0"/>
              <w:jc w:val="center"/>
              <w:rPr>
                <w:rFonts w:ascii="宋体" w:hAnsi="宋体"/>
                <w:sz w:val="18"/>
                <w:szCs w:val="18"/>
                <w:lang w:eastAsia="en-US"/>
              </w:rPr>
            </w:pPr>
          </w:p>
        </w:tc>
        <w:tc>
          <w:tcPr>
            <w:tcW w:w="135" w:type="pct"/>
            <w:vMerge w:val="continue"/>
            <w:vAlign w:val="center"/>
          </w:tcPr>
          <w:p w14:paraId="17F6F7DE">
            <w:pPr>
              <w:autoSpaceDE w:val="0"/>
              <w:autoSpaceDN w:val="0"/>
              <w:jc w:val="center"/>
              <w:rPr>
                <w:rFonts w:ascii="宋体" w:hAnsi="宋体"/>
                <w:sz w:val="18"/>
                <w:szCs w:val="18"/>
                <w:lang w:eastAsia="en-US"/>
              </w:rPr>
            </w:pPr>
          </w:p>
        </w:tc>
        <w:tc>
          <w:tcPr>
            <w:tcW w:w="1433" w:type="pct"/>
            <w:vAlign w:val="center"/>
          </w:tcPr>
          <w:p w14:paraId="591F8145">
            <w:pPr>
              <w:pStyle w:val="209"/>
              <w:jc w:val="both"/>
              <w:rPr>
                <w:spacing w:val="-1"/>
                <w:sz w:val="18"/>
                <w:szCs w:val="18"/>
                <w:lang w:eastAsia="zh-CN"/>
              </w:rPr>
            </w:pPr>
            <w:r>
              <w:rPr>
                <w:spacing w:val="-1"/>
                <w:sz w:val="18"/>
                <w:szCs w:val="18"/>
                <w:lang w:eastAsia="zh-CN"/>
              </w:rPr>
              <w:t>按要求定期粉刷翻新绿地上的建（构）筑物和围墙（栏）</w:t>
            </w:r>
          </w:p>
        </w:tc>
        <w:tc>
          <w:tcPr>
            <w:tcW w:w="191" w:type="pct"/>
            <w:vAlign w:val="center"/>
          </w:tcPr>
          <w:p w14:paraId="0DEDF367">
            <w:pPr>
              <w:pStyle w:val="209"/>
              <w:jc w:val="center"/>
              <w:rPr>
                <w:sz w:val="18"/>
                <w:szCs w:val="18"/>
              </w:rPr>
            </w:pPr>
            <w:r>
              <w:rPr>
                <w:sz w:val="18"/>
                <w:szCs w:val="18"/>
              </w:rPr>
              <w:t>3</w:t>
            </w:r>
          </w:p>
        </w:tc>
        <w:tc>
          <w:tcPr>
            <w:tcW w:w="2005" w:type="pct"/>
          </w:tcPr>
          <w:p w14:paraId="157CBA47">
            <w:pPr>
              <w:pStyle w:val="209"/>
              <w:rPr>
                <w:spacing w:val="-1"/>
                <w:sz w:val="18"/>
                <w:szCs w:val="18"/>
                <w:lang w:eastAsia="zh-CN"/>
              </w:rPr>
            </w:pPr>
            <w:r>
              <w:rPr>
                <w:spacing w:val="-1"/>
                <w:sz w:val="18"/>
                <w:szCs w:val="18"/>
                <w:lang w:eastAsia="zh-CN"/>
              </w:rPr>
              <w:t>未按要求的，按建（构）筑物和围墙（栏）的展开面积计 算，一级管理绿化每平方米扣 1.5 分，二级管理绿化扣 1 分，三级管理绿化扣 0.5 分。</w:t>
            </w:r>
          </w:p>
        </w:tc>
        <w:tc>
          <w:tcPr>
            <w:tcW w:w="349" w:type="pct"/>
            <w:vAlign w:val="center"/>
          </w:tcPr>
          <w:p w14:paraId="40DA8A09">
            <w:pPr>
              <w:pStyle w:val="209"/>
              <w:jc w:val="center"/>
              <w:rPr>
                <w:sz w:val="18"/>
                <w:szCs w:val="18"/>
              </w:rPr>
            </w:pPr>
            <w:r>
              <w:rPr>
                <w:spacing w:val="-2"/>
                <w:sz w:val="18"/>
                <w:szCs w:val="18"/>
              </w:rPr>
              <w:t>现场检查</w:t>
            </w:r>
          </w:p>
        </w:tc>
        <w:tc>
          <w:tcPr>
            <w:tcW w:w="200" w:type="pct"/>
          </w:tcPr>
          <w:p w14:paraId="031AC1B5">
            <w:pPr>
              <w:pStyle w:val="209"/>
              <w:rPr>
                <w:sz w:val="18"/>
                <w:szCs w:val="18"/>
              </w:rPr>
            </w:pPr>
          </w:p>
        </w:tc>
        <w:tc>
          <w:tcPr>
            <w:tcW w:w="201" w:type="pct"/>
          </w:tcPr>
          <w:p w14:paraId="6D966974">
            <w:pPr>
              <w:pStyle w:val="209"/>
              <w:rPr>
                <w:sz w:val="18"/>
                <w:szCs w:val="18"/>
              </w:rPr>
            </w:pPr>
          </w:p>
        </w:tc>
      </w:tr>
      <w:tr w14:paraId="08DF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38DF0AE5">
            <w:pPr>
              <w:autoSpaceDE w:val="0"/>
              <w:autoSpaceDN w:val="0"/>
              <w:jc w:val="center"/>
              <w:rPr>
                <w:rFonts w:ascii="宋体" w:hAnsi="宋体"/>
                <w:sz w:val="18"/>
                <w:szCs w:val="18"/>
                <w:lang w:eastAsia="en-US"/>
              </w:rPr>
            </w:pPr>
          </w:p>
        </w:tc>
        <w:tc>
          <w:tcPr>
            <w:tcW w:w="366" w:type="pct"/>
            <w:vMerge w:val="continue"/>
            <w:vAlign w:val="center"/>
          </w:tcPr>
          <w:p w14:paraId="58367DEB">
            <w:pPr>
              <w:autoSpaceDE w:val="0"/>
              <w:autoSpaceDN w:val="0"/>
              <w:jc w:val="center"/>
              <w:rPr>
                <w:rFonts w:ascii="宋体" w:hAnsi="宋体"/>
                <w:sz w:val="18"/>
                <w:szCs w:val="18"/>
                <w:lang w:eastAsia="en-US"/>
              </w:rPr>
            </w:pPr>
          </w:p>
        </w:tc>
        <w:tc>
          <w:tcPr>
            <w:tcW w:w="135" w:type="pct"/>
            <w:vMerge w:val="continue"/>
            <w:vAlign w:val="center"/>
          </w:tcPr>
          <w:p w14:paraId="09697BEE">
            <w:pPr>
              <w:autoSpaceDE w:val="0"/>
              <w:autoSpaceDN w:val="0"/>
              <w:jc w:val="center"/>
              <w:rPr>
                <w:rFonts w:ascii="宋体" w:hAnsi="宋体"/>
                <w:sz w:val="18"/>
                <w:szCs w:val="18"/>
                <w:lang w:eastAsia="en-US"/>
              </w:rPr>
            </w:pPr>
          </w:p>
        </w:tc>
        <w:tc>
          <w:tcPr>
            <w:tcW w:w="1433" w:type="pct"/>
            <w:vAlign w:val="center"/>
          </w:tcPr>
          <w:p w14:paraId="029E8251">
            <w:pPr>
              <w:pStyle w:val="209"/>
              <w:jc w:val="both"/>
              <w:rPr>
                <w:spacing w:val="-1"/>
                <w:sz w:val="18"/>
                <w:szCs w:val="18"/>
                <w:lang w:eastAsia="zh-CN"/>
              </w:rPr>
            </w:pPr>
            <w:r>
              <w:rPr>
                <w:spacing w:val="-1"/>
                <w:sz w:val="18"/>
                <w:szCs w:val="18"/>
                <w:lang w:eastAsia="zh-CN"/>
              </w:rPr>
              <w:t>围护设施必须整齐、安全、文明，不得使用有刺铁线</w:t>
            </w:r>
          </w:p>
        </w:tc>
        <w:tc>
          <w:tcPr>
            <w:tcW w:w="191" w:type="pct"/>
            <w:vAlign w:val="center"/>
          </w:tcPr>
          <w:p w14:paraId="6F396164">
            <w:pPr>
              <w:pStyle w:val="209"/>
              <w:jc w:val="center"/>
              <w:rPr>
                <w:sz w:val="18"/>
                <w:szCs w:val="18"/>
              </w:rPr>
            </w:pPr>
            <w:r>
              <w:rPr>
                <w:sz w:val="18"/>
                <w:szCs w:val="18"/>
              </w:rPr>
              <w:t>3</w:t>
            </w:r>
          </w:p>
        </w:tc>
        <w:tc>
          <w:tcPr>
            <w:tcW w:w="2005" w:type="pct"/>
          </w:tcPr>
          <w:p w14:paraId="62F5F004">
            <w:pPr>
              <w:pStyle w:val="209"/>
              <w:jc w:val="both"/>
              <w:rPr>
                <w:spacing w:val="-1"/>
                <w:sz w:val="18"/>
                <w:szCs w:val="18"/>
                <w:lang w:eastAsia="zh-CN"/>
              </w:rPr>
            </w:pPr>
            <w:r>
              <w:rPr>
                <w:spacing w:val="-1"/>
                <w:sz w:val="18"/>
                <w:szCs w:val="18"/>
                <w:lang w:eastAsia="zh-CN"/>
              </w:rPr>
              <w:t>未按要求的每米一级管理绿化扣 1.5 分，二级管理绿化扣 1 分，三级管理绿化扣 0.5 分。</w:t>
            </w:r>
          </w:p>
        </w:tc>
        <w:tc>
          <w:tcPr>
            <w:tcW w:w="349" w:type="pct"/>
            <w:vAlign w:val="center"/>
          </w:tcPr>
          <w:p w14:paraId="69508AB8">
            <w:pPr>
              <w:pStyle w:val="209"/>
              <w:jc w:val="center"/>
              <w:rPr>
                <w:sz w:val="18"/>
                <w:szCs w:val="18"/>
              </w:rPr>
            </w:pPr>
            <w:r>
              <w:rPr>
                <w:spacing w:val="-2"/>
                <w:sz w:val="18"/>
                <w:szCs w:val="18"/>
              </w:rPr>
              <w:t>现场检查</w:t>
            </w:r>
          </w:p>
        </w:tc>
        <w:tc>
          <w:tcPr>
            <w:tcW w:w="200" w:type="pct"/>
          </w:tcPr>
          <w:p w14:paraId="140E1DD5">
            <w:pPr>
              <w:pStyle w:val="209"/>
              <w:rPr>
                <w:sz w:val="18"/>
                <w:szCs w:val="18"/>
              </w:rPr>
            </w:pPr>
          </w:p>
        </w:tc>
        <w:tc>
          <w:tcPr>
            <w:tcW w:w="201" w:type="pct"/>
          </w:tcPr>
          <w:p w14:paraId="6C3D0D80">
            <w:pPr>
              <w:pStyle w:val="209"/>
              <w:rPr>
                <w:sz w:val="18"/>
                <w:szCs w:val="18"/>
              </w:rPr>
            </w:pPr>
          </w:p>
        </w:tc>
      </w:tr>
      <w:tr w14:paraId="59CFB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restart"/>
            <w:vAlign w:val="center"/>
          </w:tcPr>
          <w:p w14:paraId="6A626C70">
            <w:pPr>
              <w:pStyle w:val="209"/>
              <w:jc w:val="center"/>
              <w:rPr>
                <w:sz w:val="18"/>
                <w:szCs w:val="18"/>
              </w:rPr>
            </w:pPr>
            <w:r>
              <w:rPr>
                <w:sz w:val="18"/>
                <w:szCs w:val="18"/>
              </w:rPr>
              <w:t>九</w:t>
            </w:r>
          </w:p>
        </w:tc>
        <w:tc>
          <w:tcPr>
            <w:tcW w:w="366" w:type="pct"/>
            <w:vMerge w:val="restart"/>
            <w:vAlign w:val="center"/>
          </w:tcPr>
          <w:p w14:paraId="655BD539">
            <w:pPr>
              <w:pStyle w:val="209"/>
              <w:jc w:val="center"/>
              <w:rPr>
                <w:sz w:val="18"/>
                <w:szCs w:val="18"/>
              </w:rPr>
            </w:pPr>
            <w:r>
              <w:rPr>
                <w:sz w:val="18"/>
                <w:szCs w:val="18"/>
              </w:rPr>
              <w:t>其他工作</w:t>
            </w:r>
          </w:p>
        </w:tc>
        <w:tc>
          <w:tcPr>
            <w:tcW w:w="135" w:type="pct"/>
            <w:vMerge w:val="restart"/>
            <w:vAlign w:val="center"/>
          </w:tcPr>
          <w:p w14:paraId="22323576">
            <w:pPr>
              <w:pStyle w:val="209"/>
              <w:jc w:val="center"/>
              <w:rPr>
                <w:sz w:val="18"/>
                <w:szCs w:val="18"/>
              </w:rPr>
            </w:pPr>
            <w:r>
              <w:rPr>
                <w:sz w:val="18"/>
                <w:szCs w:val="18"/>
              </w:rPr>
              <w:t>10</w:t>
            </w:r>
          </w:p>
        </w:tc>
        <w:tc>
          <w:tcPr>
            <w:tcW w:w="1433" w:type="pct"/>
            <w:vAlign w:val="center"/>
          </w:tcPr>
          <w:p w14:paraId="5F4A3E8A">
            <w:pPr>
              <w:pStyle w:val="209"/>
              <w:jc w:val="both"/>
              <w:rPr>
                <w:spacing w:val="-1"/>
                <w:sz w:val="18"/>
                <w:szCs w:val="18"/>
                <w:lang w:eastAsia="zh-CN"/>
              </w:rPr>
            </w:pPr>
            <w:r>
              <w:rPr>
                <w:spacing w:val="-1"/>
                <w:sz w:val="18"/>
                <w:szCs w:val="18"/>
                <w:lang w:eastAsia="zh-CN"/>
              </w:rPr>
              <w:t>上班时，及时制止对人为损坏设施、破坏花草树木的行为</w:t>
            </w:r>
          </w:p>
        </w:tc>
        <w:tc>
          <w:tcPr>
            <w:tcW w:w="191" w:type="pct"/>
            <w:vAlign w:val="center"/>
          </w:tcPr>
          <w:p w14:paraId="68DD5299">
            <w:pPr>
              <w:pStyle w:val="209"/>
              <w:jc w:val="center"/>
              <w:rPr>
                <w:sz w:val="18"/>
                <w:szCs w:val="18"/>
              </w:rPr>
            </w:pPr>
            <w:r>
              <w:rPr>
                <w:sz w:val="18"/>
                <w:szCs w:val="18"/>
              </w:rPr>
              <w:t>1</w:t>
            </w:r>
          </w:p>
        </w:tc>
        <w:tc>
          <w:tcPr>
            <w:tcW w:w="2005" w:type="pct"/>
          </w:tcPr>
          <w:p w14:paraId="69EFA072">
            <w:pPr>
              <w:pStyle w:val="209"/>
              <w:jc w:val="both"/>
              <w:rPr>
                <w:spacing w:val="-1"/>
                <w:sz w:val="18"/>
                <w:szCs w:val="18"/>
                <w:lang w:eastAsia="zh-CN"/>
              </w:rPr>
            </w:pPr>
            <w:r>
              <w:rPr>
                <w:spacing w:val="-1"/>
                <w:sz w:val="18"/>
                <w:szCs w:val="18"/>
                <w:lang w:eastAsia="zh-CN"/>
              </w:rPr>
              <w:t>未及时制止，作业造成设施及花草树木损坏的，每次扣 1 分。</w:t>
            </w:r>
          </w:p>
        </w:tc>
        <w:tc>
          <w:tcPr>
            <w:tcW w:w="349" w:type="pct"/>
            <w:vAlign w:val="center"/>
          </w:tcPr>
          <w:p w14:paraId="430390BA">
            <w:pPr>
              <w:pStyle w:val="209"/>
              <w:jc w:val="center"/>
              <w:rPr>
                <w:sz w:val="18"/>
                <w:szCs w:val="18"/>
              </w:rPr>
            </w:pPr>
            <w:r>
              <w:rPr>
                <w:spacing w:val="-2"/>
                <w:sz w:val="18"/>
                <w:szCs w:val="18"/>
              </w:rPr>
              <w:t>现场检查</w:t>
            </w:r>
          </w:p>
        </w:tc>
        <w:tc>
          <w:tcPr>
            <w:tcW w:w="200" w:type="pct"/>
          </w:tcPr>
          <w:p w14:paraId="10D94541">
            <w:pPr>
              <w:pStyle w:val="209"/>
              <w:rPr>
                <w:sz w:val="18"/>
                <w:szCs w:val="18"/>
              </w:rPr>
            </w:pPr>
          </w:p>
        </w:tc>
        <w:tc>
          <w:tcPr>
            <w:tcW w:w="201" w:type="pct"/>
          </w:tcPr>
          <w:p w14:paraId="3BDD5258">
            <w:pPr>
              <w:pStyle w:val="209"/>
              <w:rPr>
                <w:sz w:val="18"/>
                <w:szCs w:val="18"/>
              </w:rPr>
            </w:pPr>
          </w:p>
        </w:tc>
      </w:tr>
      <w:tr w14:paraId="6F3E2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25885267">
            <w:pPr>
              <w:pStyle w:val="209"/>
              <w:jc w:val="center"/>
              <w:rPr>
                <w:sz w:val="18"/>
                <w:szCs w:val="18"/>
              </w:rPr>
            </w:pPr>
          </w:p>
        </w:tc>
        <w:tc>
          <w:tcPr>
            <w:tcW w:w="366" w:type="pct"/>
            <w:vMerge w:val="continue"/>
            <w:vAlign w:val="center"/>
          </w:tcPr>
          <w:p w14:paraId="3CA0C909">
            <w:pPr>
              <w:pStyle w:val="209"/>
              <w:jc w:val="center"/>
              <w:rPr>
                <w:sz w:val="18"/>
                <w:szCs w:val="18"/>
              </w:rPr>
            </w:pPr>
          </w:p>
        </w:tc>
        <w:tc>
          <w:tcPr>
            <w:tcW w:w="135" w:type="pct"/>
            <w:vMerge w:val="continue"/>
            <w:vAlign w:val="center"/>
          </w:tcPr>
          <w:p w14:paraId="7906CAE2">
            <w:pPr>
              <w:pStyle w:val="209"/>
              <w:jc w:val="center"/>
              <w:rPr>
                <w:sz w:val="18"/>
                <w:szCs w:val="18"/>
              </w:rPr>
            </w:pPr>
          </w:p>
        </w:tc>
        <w:tc>
          <w:tcPr>
            <w:tcW w:w="1433" w:type="pct"/>
            <w:vAlign w:val="center"/>
          </w:tcPr>
          <w:p w14:paraId="5166F1D5">
            <w:pPr>
              <w:pStyle w:val="209"/>
              <w:jc w:val="both"/>
              <w:rPr>
                <w:spacing w:val="-1"/>
                <w:sz w:val="18"/>
                <w:szCs w:val="18"/>
                <w:lang w:eastAsia="zh-CN"/>
              </w:rPr>
            </w:pPr>
            <w:r>
              <w:rPr>
                <w:spacing w:val="-1"/>
                <w:sz w:val="18"/>
                <w:szCs w:val="18"/>
                <w:lang w:eastAsia="zh-CN"/>
              </w:rPr>
              <w:t>对行道树和绿地内设施及花草树木损坏的，按要求当天对现场进行处理并在5 天内修复或补植</w:t>
            </w:r>
          </w:p>
        </w:tc>
        <w:tc>
          <w:tcPr>
            <w:tcW w:w="191" w:type="pct"/>
            <w:vAlign w:val="center"/>
          </w:tcPr>
          <w:p w14:paraId="0AC4B3D4">
            <w:pPr>
              <w:pStyle w:val="209"/>
              <w:jc w:val="center"/>
              <w:rPr>
                <w:sz w:val="18"/>
                <w:szCs w:val="18"/>
              </w:rPr>
            </w:pPr>
            <w:r>
              <w:rPr>
                <w:sz w:val="18"/>
                <w:szCs w:val="18"/>
              </w:rPr>
              <w:t>1</w:t>
            </w:r>
          </w:p>
        </w:tc>
        <w:tc>
          <w:tcPr>
            <w:tcW w:w="2005" w:type="pct"/>
          </w:tcPr>
          <w:p w14:paraId="3004A6A7">
            <w:pPr>
              <w:pStyle w:val="209"/>
              <w:jc w:val="both"/>
              <w:rPr>
                <w:spacing w:val="-1"/>
                <w:sz w:val="18"/>
                <w:szCs w:val="18"/>
                <w:lang w:eastAsia="zh-CN"/>
              </w:rPr>
            </w:pPr>
            <w:r>
              <w:rPr>
                <w:spacing w:val="-1"/>
                <w:sz w:val="18"/>
                <w:szCs w:val="18"/>
                <w:lang w:eastAsia="zh-CN"/>
              </w:rPr>
              <w:t>不按时完成的，按修复费用加倍罚款；当天未对现场进行处理的，绿地每处或行道树每株扣 1 分。</w:t>
            </w:r>
          </w:p>
        </w:tc>
        <w:tc>
          <w:tcPr>
            <w:tcW w:w="349" w:type="pct"/>
            <w:vAlign w:val="center"/>
          </w:tcPr>
          <w:p w14:paraId="78CA701F">
            <w:pPr>
              <w:pStyle w:val="209"/>
              <w:jc w:val="center"/>
              <w:rPr>
                <w:sz w:val="18"/>
                <w:szCs w:val="18"/>
              </w:rPr>
            </w:pPr>
            <w:r>
              <w:rPr>
                <w:spacing w:val="-2"/>
                <w:sz w:val="18"/>
                <w:szCs w:val="18"/>
              </w:rPr>
              <w:t>现场检查</w:t>
            </w:r>
          </w:p>
        </w:tc>
        <w:tc>
          <w:tcPr>
            <w:tcW w:w="200" w:type="pct"/>
          </w:tcPr>
          <w:p w14:paraId="2FC689B8">
            <w:pPr>
              <w:pStyle w:val="209"/>
              <w:rPr>
                <w:sz w:val="18"/>
                <w:szCs w:val="18"/>
              </w:rPr>
            </w:pPr>
          </w:p>
        </w:tc>
        <w:tc>
          <w:tcPr>
            <w:tcW w:w="201" w:type="pct"/>
          </w:tcPr>
          <w:p w14:paraId="66A863CF">
            <w:pPr>
              <w:pStyle w:val="209"/>
              <w:rPr>
                <w:sz w:val="18"/>
                <w:szCs w:val="18"/>
              </w:rPr>
            </w:pPr>
          </w:p>
        </w:tc>
      </w:tr>
      <w:tr w14:paraId="3DF8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10BCAFE2">
            <w:pPr>
              <w:autoSpaceDE w:val="0"/>
              <w:autoSpaceDN w:val="0"/>
              <w:jc w:val="center"/>
              <w:rPr>
                <w:rFonts w:ascii="宋体" w:hAnsi="宋体"/>
                <w:sz w:val="18"/>
                <w:szCs w:val="18"/>
                <w:lang w:eastAsia="en-US"/>
              </w:rPr>
            </w:pPr>
          </w:p>
        </w:tc>
        <w:tc>
          <w:tcPr>
            <w:tcW w:w="366" w:type="pct"/>
            <w:vMerge w:val="continue"/>
            <w:vAlign w:val="center"/>
          </w:tcPr>
          <w:p w14:paraId="0761E6E6">
            <w:pPr>
              <w:autoSpaceDE w:val="0"/>
              <w:autoSpaceDN w:val="0"/>
              <w:jc w:val="center"/>
              <w:rPr>
                <w:rFonts w:ascii="宋体" w:hAnsi="宋体"/>
                <w:sz w:val="18"/>
                <w:szCs w:val="18"/>
                <w:lang w:eastAsia="en-US"/>
              </w:rPr>
            </w:pPr>
          </w:p>
        </w:tc>
        <w:tc>
          <w:tcPr>
            <w:tcW w:w="135" w:type="pct"/>
            <w:vMerge w:val="continue"/>
            <w:vAlign w:val="center"/>
          </w:tcPr>
          <w:p w14:paraId="5841465A">
            <w:pPr>
              <w:autoSpaceDE w:val="0"/>
              <w:autoSpaceDN w:val="0"/>
              <w:jc w:val="center"/>
              <w:rPr>
                <w:rFonts w:ascii="宋体" w:hAnsi="宋体"/>
                <w:sz w:val="18"/>
                <w:szCs w:val="18"/>
                <w:lang w:eastAsia="en-US"/>
              </w:rPr>
            </w:pPr>
          </w:p>
        </w:tc>
        <w:tc>
          <w:tcPr>
            <w:tcW w:w="1433" w:type="pct"/>
            <w:vAlign w:val="center"/>
          </w:tcPr>
          <w:p w14:paraId="26001575">
            <w:pPr>
              <w:pStyle w:val="209"/>
              <w:jc w:val="both"/>
              <w:rPr>
                <w:spacing w:val="-1"/>
                <w:sz w:val="18"/>
                <w:szCs w:val="18"/>
                <w:lang w:eastAsia="zh-CN"/>
              </w:rPr>
            </w:pPr>
            <w:r>
              <w:rPr>
                <w:spacing w:val="-1"/>
                <w:sz w:val="18"/>
                <w:szCs w:val="18"/>
                <w:lang w:eastAsia="zh-CN"/>
              </w:rPr>
              <w:t>园林设施、园林小品以及各项绿化配套设施损坏后应及时修复</w:t>
            </w:r>
          </w:p>
        </w:tc>
        <w:tc>
          <w:tcPr>
            <w:tcW w:w="191" w:type="pct"/>
            <w:vAlign w:val="center"/>
          </w:tcPr>
          <w:p w14:paraId="0E5DF2DE">
            <w:pPr>
              <w:pStyle w:val="209"/>
              <w:jc w:val="center"/>
              <w:rPr>
                <w:sz w:val="18"/>
                <w:szCs w:val="18"/>
              </w:rPr>
            </w:pPr>
            <w:r>
              <w:rPr>
                <w:sz w:val="18"/>
                <w:szCs w:val="18"/>
              </w:rPr>
              <w:t>1</w:t>
            </w:r>
          </w:p>
        </w:tc>
        <w:tc>
          <w:tcPr>
            <w:tcW w:w="2005" w:type="pct"/>
          </w:tcPr>
          <w:p w14:paraId="5026CFD8">
            <w:pPr>
              <w:pStyle w:val="209"/>
              <w:jc w:val="both"/>
              <w:rPr>
                <w:spacing w:val="-1"/>
                <w:sz w:val="18"/>
                <w:szCs w:val="18"/>
                <w:lang w:eastAsia="zh-CN"/>
              </w:rPr>
            </w:pPr>
            <w:r>
              <w:rPr>
                <w:spacing w:val="-1"/>
                <w:sz w:val="18"/>
                <w:szCs w:val="18"/>
                <w:lang w:eastAsia="zh-CN"/>
              </w:rPr>
              <w:t>未及时修复的，限期修复同时按以下标准扣罚：园路、铺装、台阶破损每平方米扣 1 分；座凳轻微破损每张扣 1 分，严重破损至不能正常使用每张扣 1 分；喷泉、灯光损坏每处扣 1 分。</w:t>
            </w:r>
          </w:p>
        </w:tc>
        <w:tc>
          <w:tcPr>
            <w:tcW w:w="349" w:type="pct"/>
            <w:vAlign w:val="center"/>
          </w:tcPr>
          <w:p w14:paraId="5C3B22D2">
            <w:pPr>
              <w:pStyle w:val="209"/>
              <w:jc w:val="center"/>
              <w:rPr>
                <w:sz w:val="18"/>
                <w:szCs w:val="18"/>
              </w:rPr>
            </w:pPr>
            <w:r>
              <w:rPr>
                <w:spacing w:val="-2"/>
                <w:sz w:val="18"/>
                <w:szCs w:val="18"/>
              </w:rPr>
              <w:t>现场检查</w:t>
            </w:r>
          </w:p>
        </w:tc>
        <w:tc>
          <w:tcPr>
            <w:tcW w:w="200" w:type="pct"/>
          </w:tcPr>
          <w:p w14:paraId="5A806555">
            <w:pPr>
              <w:pStyle w:val="209"/>
              <w:rPr>
                <w:sz w:val="18"/>
                <w:szCs w:val="18"/>
              </w:rPr>
            </w:pPr>
          </w:p>
        </w:tc>
        <w:tc>
          <w:tcPr>
            <w:tcW w:w="201" w:type="pct"/>
          </w:tcPr>
          <w:p w14:paraId="1B10F7D0">
            <w:pPr>
              <w:pStyle w:val="209"/>
              <w:rPr>
                <w:sz w:val="18"/>
                <w:szCs w:val="18"/>
              </w:rPr>
            </w:pPr>
          </w:p>
        </w:tc>
      </w:tr>
      <w:tr w14:paraId="4971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24B64B41">
            <w:pPr>
              <w:autoSpaceDE w:val="0"/>
              <w:autoSpaceDN w:val="0"/>
              <w:jc w:val="center"/>
              <w:rPr>
                <w:rFonts w:ascii="宋体" w:hAnsi="宋体"/>
                <w:sz w:val="18"/>
                <w:szCs w:val="18"/>
                <w:lang w:eastAsia="en-US"/>
              </w:rPr>
            </w:pPr>
          </w:p>
        </w:tc>
        <w:tc>
          <w:tcPr>
            <w:tcW w:w="366" w:type="pct"/>
            <w:vMerge w:val="continue"/>
            <w:vAlign w:val="center"/>
          </w:tcPr>
          <w:p w14:paraId="6637F1C2">
            <w:pPr>
              <w:autoSpaceDE w:val="0"/>
              <w:autoSpaceDN w:val="0"/>
              <w:jc w:val="center"/>
              <w:rPr>
                <w:rFonts w:ascii="宋体" w:hAnsi="宋体"/>
                <w:sz w:val="18"/>
                <w:szCs w:val="18"/>
                <w:lang w:eastAsia="en-US"/>
              </w:rPr>
            </w:pPr>
          </w:p>
        </w:tc>
        <w:tc>
          <w:tcPr>
            <w:tcW w:w="135" w:type="pct"/>
            <w:vMerge w:val="continue"/>
            <w:vAlign w:val="center"/>
          </w:tcPr>
          <w:p w14:paraId="0E5CF10E">
            <w:pPr>
              <w:autoSpaceDE w:val="0"/>
              <w:autoSpaceDN w:val="0"/>
              <w:jc w:val="center"/>
              <w:rPr>
                <w:rFonts w:ascii="宋体" w:hAnsi="宋体"/>
                <w:sz w:val="18"/>
                <w:szCs w:val="18"/>
                <w:lang w:eastAsia="en-US"/>
              </w:rPr>
            </w:pPr>
          </w:p>
        </w:tc>
        <w:tc>
          <w:tcPr>
            <w:tcW w:w="1433" w:type="pct"/>
            <w:vAlign w:val="center"/>
          </w:tcPr>
          <w:p w14:paraId="39B0F6E4">
            <w:pPr>
              <w:pStyle w:val="209"/>
              <w:jc w:val="both"/>
              <w:rPr>
                <w:spacing w:val="-1"/>
                <w:sz w:val="18"/>
                <w:szCs w:val="18"/>
                <w:lang w:eastAsia="zh-CN"/>
              </w:rPr>
            </w:pPr>
            <w:r>
              <w:rPr>
                <w:spacing w:val="-1"/>
                <w:sz w:val="18"/>
                <w:szCs w:val="18"/>
                <w:lang w:eastAsia="zh-CN"/>
              </w:rPr>
              <w:t>按时开放日常管理的花园灯光、喷泉</w:t>
            </w:r>
          </w:p>
        </w:tc>
        <w:tc>
          <w:tcPr>
            <w:tcW w:w="191" w:type="pct"/>
            <w:vAlign w:val="center"/>
          </w:tcPr>
          <w:p w14:paraId="70408F29">
            <w:pPr>
              <w:pStyle w:val="209"/>
              <w:jc w:val="center"/>
              <w:rPr>
                <w:sz w:val="18"/>
                <w:szCs w:val="18"/>
              </w:rPr>
            </w:pPr>
            <w:r>
              <w:rPr>
                <w:sz w:val="18"/>
                <w:szCs w:val="18"/>
              </w:rPr>
              <w:t>1</w:t>
            </w:r>
          </w:p>
        </w:tc>
        <w:tc>
          <w:tcPr>
            <w:tcW w:w="2005" w:type="pct"/>
          </w:tcPr>
          <w:p w14:paraId="1DBBA692">
            <w:pPr>
              <w:pStyle w:val="209"/>
              <w:rPr>
                <w:spacing w:val="-1"/>
                <w:sz w:val="18"/>
                <w:szCs w:val="18"/>
                <w:lang w:eastAsia="zh-CN"/>
              </w:rPr>
            </w:pPr>
            <w:r>
              <w:rPr>
                <w:spacing w:val="-1"/>
                <w:sz w:val="18"/>
                <w:szCs w:val="18"/>
                <w:lang w:eastAsia="zh-CN"/>
              </w:rPr>
              <w:t>未按时开放的每次扣 1分。</w:t>
            </w:r>
          </w:p>
        </w:tc>
        <w:tc>
          <w:tcPr>
            <w:tcW w:w="349" w:type="pct"/>
            <w:vAlign w:val="center"/>
          </w:tcPr>
          <w:p w14:paraId="11615796">
            <w:pPr>
              <w:pStyle w:val="209"/>
              <w:jc w:val="center"/>
              <w:rPr>
                <w:sz w:val="18"/>
                <w:szCs w:val="18"/>
              </w:rPr>
            </w:pPr>
            <w:r>
              <w:rPr>
                <w:spacing w:val="-2"/>
                <w:sz w:val="18"/>
                <w:szCs w:val="18"/>
              </w:rPr>
              <w:t>现场检查</w:t>
            </w:r>
          </w:p>
        </w:tc>
        <w:tc>
          <w:tcPr>
            <w:tcW w:w="200" w:type="pct"/>
          </w:tcPr>
          <w:p w14:paraId="655CFE28">
            <w:pPr>
              <w:pStyle w:val="209"/>
              <w:rPr>
                <w:sz w:val="18"/>
                <w:szCs w:val="18"/>
              </w:rPr>
            </w:pPr>
          </w:p>
        </w:tc>
        <w:tc>
          <w:tcPr>
            <w:tcW w:w="201" w:type="pct"/>
          </w:tcPr>
          <w:p w14:paraId="3BEC8A8A">
            <w:pPr>
              <w:pStyle w:val="209"/>
              <w:rPr>
                <w:sz w:val="18"/>
                <w:szCs w:val="18"/>
              </w:rPr>
            </w:pPr>
          </w:p>
        </w:tc>
      </w:tr>
      <w:tr w14:paraId="1EC1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0CDEC179">
            <w:pPr>
              <w:autoSpaceDE w:val="0"/>
              <w:autoSpaceDN w:val="0"/>
              <w:jc w:val="center"/>
              <w:rPr>
                <w:rFonts w:ascii="宋体" w:hAnsi="宋体"/>
                <w:sz w:val="18"/>
                <w:szCs w:val="18"/>
                <w:lang w:eastAsia="en-US"/>
              </w:rPr>
            </w:pPr>
          </w:p>
        </w:tc>
        <w:tc>
          <w:tcPr>
            <w:tcW w:w="366" w:type="pct"/>
            <w:vMerge w:val="continue"/>
            <w:vAlign w:val="center"/>
          </w:tcPr>
          <w:p w14:paraId="1C345493">
            <w:pPr>
              <w:autoSpaceDE w:val="0"/>
              <w:autoSpaceDN w:val="0"/>
              <w:jc w:val="center"/>
              <w:rPr>
                <w:rFonts w:ascii="宋体" w:hAnsi="宋体"/>
                <w:sz w:val="18"/>
                <w:szCs w:val="18"/>
                <w:lang w:eastAsia="en-US"/>
              </w:rPr>
            </w:pPr>
          </w:p>
        </w:tc>
        <w:tc>
          <w:tcPr>
            <w:tcW w:w="135" w:type="pct"/>
            <w:vMerge w:val="continue"/>
            <w:vAlign w:val="center"/>
          </w:tcPr>
          <w:p w14:paraId="62FDFC22">
            <w:pPr>
              <w:autoSpaceDE w:val="0"/>
              <w:autoSpaceDN w:val="0"/>
              <w:jc w:val="center"/>
              <w:rPr>
                <w:rFonts w:ascii="宋体" w:hAnsi="宋体"/>
                <w:sz w:val="18"/>
                <w:szCs w:val="18"/>
                <w:lang w:eastAsia="en-US"/>
              </w:rPr>
            </w:pPr>
          </w:p>
        </w:tc>
        <w:tc>
          <w:tcPr>
            <w:tcW w:w="1433" w:type="pct"/>
            <w:vAlign w:val="center"/>
          </w:tcPr>
          <w:p w14:paraId="3A3DE8EE">
            <w:pPr>
              <w:pStyle w:val="209"/>
              <w:jc w:val="both"/>
              <w:rPr>
                <w:spacing w:val="-1"/>
                <w:sz w:val="18"/>
                <w:szCs w:val="18"/>
                <w:lang w:eastAsia="zh-CN"/>
              </w:rPr>
            </w:pPr>
            <w:r>
              <w:rPr>
                <w:spacing w:val="-1"/>
                <w:sz w:val="18"/>
                <w:szCs w:val="18"/>
                <w:lang w:eastAsia="zh-CN"/>
              </w:rPr>
              <w:t>按要求及时上报材料</w:t>
            </w:r>
          </w:p>
        </w:tc>
        <w:tc>
          <w:tcPr>
            <w:tcW w:w="191" w:type="pct"/>
            <w:vAlign w:val="center"/>
          </w:tcPr>
          <w:p w14:paraId="7FE4058B">
            <w:pPr>
              <w:pStyle w:val="209"/>
              <w:jc w:val="center"/>
              <w:rPr>
                <w:sz w:val="18"/>
                <w:szCs w:val="18"/>
              </w:rPr>
            </w:pPr>
            <w:r>
              <w:rPr>
                <w:sz w:val="18"/>
                <w:szCs w:val="18"/>
              </w:rPr>
              <w:t>2</w:t>
            </w:r>
          </w:p>
        </w:tc>
        <w:tc>
          <w:tcPr>
            <w:tcW w:w="2005" w:type="pct"/>
          </w:tcPr>
          <w:p w14:paraId="364E94FF">
            <w:pPr>
              <w:pStyle w:val="209"/>
              <w:jc w:val="both"/>
              <w:rPr>
                <w:spacing w:val="-1"/>
                <w:sz w:val="18"/>
                <w:szCs w:val="18"/>
                <w:lang w:eastAsia="zh-CN"/>
              </w:rPr>
            </w:pPr>
            <w:r>
              <w:rPr>
                <w:spacing w:val="-1"/>
                <w:sz w:val="18"/>
                <w:szCs w:val="18"/>
                <w:lang w:eastAsia="zh-CN"/>
              </w:rPr>
              <w:t>未按要求上报的每次扣 1 分，弄虚作假一经查实每次扣罚 2 分。</w:t>
            </w:r>
          </w:p>
        </w:tc>
        <w:tc>
          <w:tcPr>
            <w:tcW w:w="349" w:type="pct"/>
            <w:vAlign w:val="center"/>
          </w:tcPr>
          <w:p w14:paraId="7FCF226F">
            <w:pPr>
              <w:pStyle w:val="209"/>
              <w:jc w:val="center"/>
              <w:rPr>
                <w:sz w:val="18"/>
                <w:szCs w:val="18"/>
              </w:rPr>
            </w:pPr>
            <w:r>
              <w:rPr>
                <w:spacing w:val="-2"/>
                <w:sz w:val="18"/>
                <w:szCs w:val="18"/>
              </w:rPr>
              <w:t>现场检查</w:t>
            </w:r>
          </w:p>
        </w:tc>
        <w:tc>
          <w:tcPr>
            <w:tcW w:w="200" w:type="pct"/>
          </w:tcPr>
          <w:p w14:paraId="75EF00CC">
            <w:pPr>
              <w:pStyle w:val="209"/>
              <w:rPr>
                <w:sz w:val="18"/>
                <w:szCs w:val="18"/>
              </w:rPr>
            </w:pPr>
          </w:p>
        </w:tc>
        <w:tc>
          <w:tcPr>
            <w:tcW w:w="201" w:type="pct"/>
          </w:tcPr>
          <w:p w14:paraId="568A6A68">
            <w:pPr>
              <w:pStyle w:val="209"/>
              <w:rPr>
                <w:sz w:val="18"/>
                <w:szCs w:val="18"/>
              </w:rPr>
            </w:pPr>
          </w:p>
        </w:tc>
      </w:tr>
      <w:tr w14:paraId="303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5338C88D">
            <w:pPr>
              <w:autoSpaceDE w:val="0"/>
              <w:autoSpaceDN w:val="0"/>
              <w:jc w:val="center"/>
              <w:rPr>
                <w:rFonts w:ascii="宋体" w:hAnsi="宋体"/>
                <w:sz w:val="18"/>
                <w:szCs w:val="18"/>
                <w:lang w:eastAsia="en-US"/>
              </w:rPr>
            </w:pPr>
          </w:p>
        </w:tc>
        <w:tc>
          <w:tcPr>
            <w:tcW w:w="366" w:type="pct"/>
            <w:vMerge w:val="continue"/>
            <w:vAlign w:val="center"/>
          </w:tcPr>
          <w:p w14:paraId="75D556F1">
            <w:pPr>
              <w:autoSpaceDE w:val="0"/>
              <w:autoSpaceDN w:val="0"/>
              <w:jc w:val="center"/>
              <w:rPr>
                <w:rFonts w:ascii="宋体" w:hAnsi="宋体"/>
                <w:sz w:val="18"/>
                <w:szCs w:val="18"/>
                <w:lang w:eastAsia="en-US"/>
              </w:rPr>
            </w:pPr>
          </w:p>
        </w:tc>
        <w:tc>
          <w:tcPr>
            <w:tcW w:w="135" w:type="pct"/>
            <w:vMerge w:val="continue"/>
            <w:vAlign w:val="center"/>
          </w:tcPr>
          <w:p w14:paraId="22DB11DB">
            <w:pPr>
              <w:autoSpaceDE w:val="0"/>
              <w:autoSpaceDN w:val="0"/>
              <w:jc w:val="center"/>
              <w:rPr>
                <w:rFonts w:ascii="宋体" w:hAnsi="宋体"/>
                <w:sz w:val="18"/>
                <w:szCs w:val="18"/>
                <w:lang w:eastAsia="en-US"/>
              </w:rPr>
            </w:pPr>
          </w:p>
        </w:tc>
        <w:tc>
          <w:tcPr>
            <w:tcW w:w="1433" w:type="pct"/>
            <w:vAlign w:val="center"/>
          </w:tcPr>
          <w:p w14:paraId="316AEE96">
            <w:pPr>
              <w:pStyle w:val="209"/>
              <w:jc w:val="both"/>
              <w:rPr>
                <w:spacing w:val="-1"/>
                <w:sz w:val="18"/>
                <w:szCs w:val="18"/>
                <w:lang w:eastAsia="zh-CN"/>
              </w:rPr>
            </w:pPr>
            <w:r>
              <w:rPr>
                <w:spacing w:val="-1"/>
                <w:sz w:val="18"/>
                <w:szCs w:val="18"/>
                <w:lang w:eastAsia="zh-CN"/>
              </w:rPr>
              <w:t>及时消除或采取有效防患措施处理绿地内的安全隐患</w:t>
            </w:r>
          </w:p>
        </w:tc>
        <w:tc>
          <w:tcPr>
            <w:tcW w:w="191" w:type="pct"/>
            <w:vAlign w:val="center"/>
          </w:tcPr>
          <w:p w14:paraId="0346C58D">
            <w:pPr>
              <w:pStyle w:val="209"/>
              <w:jc w:val="center"/>
              <w:rPr>
                <w:sz w:val="18"/>
                <w:szCs w:val="18"/>
              </w:rPr>
            </w:pPr>
            <w:r>
              <w:rPr>
                <w:sz w:val="18"/>
                <w:szCs w:val="18"/>
              </w:rPr>
              <w:t>1</w:t>
            </w:r>
          </w:p>
        </w:tc>
        <w:tc>
          <w:tcPr>
            <w:tcW w:w="2005" w:type="pct"/>
          </w:tcPr>
          <w:p w14:paraId="380EA961">
            <w:pPr>
              <w:pStyle w:val="209"/>
              <w:rPr>
                <w:spacing w:val="-1"/>
                <w:sz w:val="18"/>
                <w:szCs w:val="18"/>
                <w:lang w:eastAsia="zh-CN"/>
              </w:rPr>
            </w:pPr>
            <w:r>
              <w:rPr>
                <w:spacing w:val="-1"/>
                <w:sz w:val="18"/>
                <w:szCs w:val="18"/>
                <w:lang w:eastAsia="zh-CN"/>
              </w:rPr>
              <w:t>未按要求的每处扣罚 1分。</w:t>
            </w:r>
          </w:p>
        </w:tc>
        <w:tc>
          <w:tcPr>
            <w:tcW w:w="349" w:type="pct"/>
            <w:vAlign w:val="center"/>
          </w:tcPr>
          <w:p w14:paraId="59E5056B">
            <w:pPr>
              <w:pStyle w:val="209"/>
              <w:jc w:val="center"/>
              <w:rPr>
                <w:sz w:val="18"/>
                <w:szCs w:val="18"/>
              </w:rPr>
            </w:pPr>
            <w:r>
              <w:rPr>
                <w:spacing w:val="-2"/>
                <w:sz w:val="18"/>
                <w:szCs w:val="18"/>
              </w:rPr>
              <w:t>现场检查</w:t>
            </w:r>
          </w:p>
        </w:tc>
        <w:tc>
          <w:tcPr>
            <w:tcW w:w="200" w:type="pct"/>
          </w:tcPr>
          <w:p w14:paraId="13E0B153">
            <w:pPr>
              <w:pStyle w:val="209"/>
              <w:rPr>
                <w:sz w:val="18"/>
                <w:szCs w:val="18"/>
              </w:rPr>
            </w:pPr>
          </w:p>
        </w:tc>
        <w:tc>
          <w:tcPr>
            <w:tcW w:w="201" w:type="pct"/>
          </w:tcPr>
          <w:p w14:paraId="0CCAA9CB">
            <w:pPr>
              <w:pStyle w:val="209"/>
              <w:rPr>
                <w:sz w:val="18"/>
                <w:szCs w:val="18"/>
              </w:rPr>
            </w:pPr>
          </w:p>
        </w:tc>
      </w:tr>
      <w:tr w14:paraId="241B033F">
        <w:tblPrEx>
          <w:tblCellMar>
            <w:top w:w="0" w:type="dxa"/>
            <w:left w:w="0" w:type="dxa"/>
            <w:bottom w:w="0" w:type="dxa"/>
            <w:right w:w="0" w:type="dxa"/>
          </w:tblCellMar>
        </w:tblPrEx>
        <w:trPr>
          <w:trHeight w:val="20" w:hRule="atLeast"/>
          <w:jc w:val="center"/>
        </w:trPr>
        <w:tc>
          <w:tcPr>
            <w:tcW w:w="120" w:type="pct"/>
            <w:vMerge w:val="continue"/>
            <w:vAlign w:val="center"/>
          </w:tcPr>
          <w:p w14:paraId="64A08BF4">
            <w:pPr>
              <w:autoSpaceDE w:val="0"/>
              <w:autoSpaceDN w:val="0"/>
              <w:jc w:val="center"/>
              <w:rPr>
                <w:rFonts w:ascii="宋体" w:hAnsi="宋体"/>
                <w:sz w:val="18"/>
                <w:szCs w:val="18"/>
                <w:lang w:eastAsia="en-US"/>
              </w:rPr>
            </w:pPr>
          </w:p>
        </w:tc>
        <w:tc>
          <w:tcPr>
            <w:tcW w:w="366" w:type="pct"/>
            <w:vMerge w:val="continue"/>
            <w:vAlign w:val="center"/>
          </w:tcPr>
          <w:p w14:paraId="435B6935">
            <w:pPr>
              <w:autoSpaceDE w:val="0"/>
              <w:autoSpaceDN w:val="0"/>
              <w:jc w:val="center"/>
              <w:rPr>
                <w:rFonts w:ascii="宋体" w:hAnsi="宋体"/>
                <w:sz w:val="18"/>
                <w:szCs w:val="18"/>
                <w:lang w:eastAsia="en-US"/>
              </w:rPr>
            </w:pPr>
          </w:p>
        </w:tc>
        <w:tc>
          <w:tcPr>
            <w:tcW w:w="135" w:type="pct"/>
            <w:vMerge w:val="continue"/>
            <w:vAlign w:val="center"/>
          </w:tcPr>
          <w:p w14:paraId="054BB47D">
            <w:pPr>
              <w:autoSpaceDE w:val="0"/>
              <w:autoSpaceDN w:val="0"/>
              <w:jc w:val="center"/>
              <w:rPr>
                <w:rFonts w:ascii="宋体" w:hAnsi="宋体"/>
                <w:sz w:val="18"/>
                <w:szCs w:val="18"/>
                <w:lang w:eastAsia="en-US"/>
              </w:rPr>
            </w:pPr>
          </w:p>
        </w:tc>
        <w:tc>
          <w:tcPr>
            <w:tcW w:w="1433" w:type="pct"/>
            <w:vAlign w:val="center"/>
          </w:tcPr>
          <w:p w14:paraId="664F8471">
            <w:pPr>
              <w:pStyle w:val="209"/>
              <w:jc w:val="both"/>
              <w:rPr>
                <w:spacing w:val="-1"/>
                <w:sz w:val="18"/>
                <w:szCs w:val="18"/>
                <w:lang w:eastAsia="zh-CN"/>
              </w:rPr>
            </w:pPr>
            <w:r>
              <w:rPr>
                <w:spacing w:val="-1"/>
                <w:sz w:val="18"/>
                <w:szCs w:val="18"/>
                <w:lang w:eastAsia="zh-CN"/>
              </w:rPr>
              <w:t>按要求做好安全用电、防火等工作</w:t>
            </w:r>
          </w:p>
        </w:tc>
        <w:tc>
          <w:tcPr>
            <w:tcW w:w="191" w:type="pct"/>
            <w:vAlign w:val="center"/>
          </w:tcPr>
          <w:p w14:paraId="0A53AF33">
            <w:pPr>
              <w:pStyle w:val="209"/>
              <w:jc w:val="center"/>
              <w:rPr>
                <w:sz w:val="18"/>
                <w:szCs w:val="18"/>
              </w:rPr>
            </w:pPr>
            <w:r>
              <w:rPr>
                <w:sz w:val="18"/>
                <w:szCs w:val="18"/>
              </w:rPr>
              <w:t>1</w:t>
            </w:r>
          </w:p>
        </w:tc>
        <w:tc>
          <w:tcPr>
            <w:tcW w:w="2005" w:type="pct"/>
          </w:tcPr>
          <w:p w14:paraId="78C080F1">
            <w:pPr>
              <w:pStyle w:val="209"/>
              <w:rPr>
                <w:spacing w:val="-1"/>
                <w:sz w:val="18"/>
                <w:szCs w:val="18"/>
                <w:lang w:eastAsia="zh-CN"/>
              </w:rPr>
            </w:pPr>
            <w:r>
              <w:rPr>
                <w:spacing w:val="-1"/>
                <w:sz w:val="18"/>
                <w:szCs w:val="18"/>
                <w:lang w:eastAsia="zh-CN"/>
              </w:rPr>
              <w:t>未按要求的每次扣罚 1分。</w:t>
            </w:r>
          </w:p>
        </w:tc>
        <w:tc>
          <w:tcPr>
            <w:tcW w:w="349" w:type="pct"/>
            <w:vAlign w:val="center"/>
          </w:tcPr>
          <w:p w14:paraId="2FFBBE63">
            <w:pPr>
              <w:pStyle w:val="209"/>
              <w:jc w:val="center"/>
              <w:rPr>
                <w:sz w:val="18"/>
                <w:szCs w:val="18"/>
              </w:rPr>
            </w:pPr>
            <w:r>
              <w:rPr>
                <w:spacing w:val="-2"/>
                <w:sz w:val="18"/>
                <w:szCs w:val="18"/>
              </w:rPr>
              <w:t>现场检查</w:t>
            </w:r>
          </w:p>
        </w:tc>
        <w:tc>
          <w:tcPr>
            <w:tcW w:w="200" w:type="pct"/>
          </w:tcPr>
          <w:p w14:paraId="0DD7ED9C">
            <w:pPr>
              <w:pStyle w:val="209"/>
              <w:rPr>
                <w:sz w:val="18"/>
                <w:szCs w:val="18"/>
              </w:rPr>
            </w:pPr>
          </w:p>
        </w:tc>
        <w:tc>
          <w:tcPr>
            <w:tcW w:w="201" w:type="pct"/>
          </w:tcPr>
          <w:p w14:paraId="3ED5024D">
            <w:pPr>
              <w:pStyle w:val="209"/>
              <w:rPr>
                <w:sz w:val="18"/>
                <w:szCs w:val="18"/>
              </w:rPr>
            </w:pPr>
          </w:p>
        </w:tc>
      </w:tr>
      <w:tr w14:paraId="7A72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20" w:type="pct"/>
            <w:vMerge w:val="continue"/>
            <w:vAlign w:val="center"/>
          </w:tcPr>
          <w:p w14:paraId="5D35B3C0">
            <w:pPr>
              <w:autoSpaceDE w:val="0"/>
              <w:autoSpaceDN w:val="0"/>
              <w:jc w:val="center"/>
              <w:rPr>
                <w:rFonts w:ascii="宋体" w:hAnsi="宋体"/>
                <w:sz w:val="18"/>
                <w:szCs w:val="18"/>
                <w:lang w:eastAsia="en-US"/>
              </w:rPr>
            </w:pPr>
          </w:p>
        </w:tc>
        <w:tc>
          <w:tcPr>
            <w:tcW w:w="366" w:type="pct"/>
            <w:vMerge w:val="continue"/>
            <w:vAlign w:val="center"/>
          </w:tcPr>
          <w:p w14:paraId="0440CEC0">
            <w:pPr>
              <w:autoSpaceDE w:val="0"/>
              <w:autoSpaceDN w:val="0"/>
              <w:jc w:val="center"/>
              <w:rPr>
                <w:rFonts w:ascii="宋体" w:hAnsi="宋体"/>
                <w:sz w:val="18"/>
                <w:szCs w:val="18"/>
                <w:lang w:eastAsia="en-US"/>
              </w:rPr>
            </w:pPr>
          </w:p>
        </w:tc>
        <w:tc>
          <w:tcPr>
            <w:tcW w:w="135" w:type="pct"/>
            <w:vMerge w:val="continue"/>
            <w:vAlign w:val="center"/>
          </w:tcPr>
          <w:p w14:paraId="04F09453">
            <w:pPr>
              <w:autoSpaceDE w:val="0"/>
              <w:autoSpaceDN w:val="0"/>
              <w:jc w:val="center"/>
              <w:rPr>
                <w:rFonts w:ascii="宋体" w:hAnsi="宋体"/>
                <w:sz w:val="18"/>
                <w:szCs w:val="18"/>
                <w:lang w:eastAsia="en-US"/>
              </w:rPr>
            </w:pPr>
          </w:p>
        </w:tc>
        <w:tc>
          <w:tcPr>
            <w:tcW w:w="1433" w:type="pct"/>
            <w:vAlign w:val="center"/>
          </w:tcPr>
          <w:p w14:paraId="0FA6718F">
            <w:pPr>
              <w:pStyle w:val="209"/>
              <w:jc w:val="both"/>
              <w:rPr>
                <w:spacing w:val="-1"/>
                <w:sz w:val="18"/>
                <w:szCs w:val="18"/>
                <w:lang w:eastAsia="zh-CN"/>
              </w:rPr>
            </w:pPr>
            <w:r>
              <w:rPr>
                <w:spacing w:val="-1"/>
                <w:sz w:val="18"/>
                <w:szCs w:val="18"/>
                <w:lang w:eastAsia="zh-CN"/>
              </w:rPr>
              <w:t>如接到校园师生投诉</w:t>
            </w:r>
          </w:p>
        </w:tc>
        <w:tc>
          <w:tcPr>
            <w:tcW w:w="191" w:type="pct"/>
            <w:vAlign w:val="center"/>
          </w:tcPr>
          <w:p w14:paraId="76E280C1">
            <w:pPr>
              <w:pStyle w:val="209"/>
              <w:jc w:val="center"/>
              <w:rPr>
                <w:sz w:val="18"/>
                <w:szCs w:val="18"/>
              </w:rPr>
            </w:pPr>
            <w:r>
              <w:rPr>
                <w:sz w:val="18"/>
                <w:szCs w:val="18"/>
              </w:rPr>
              <w:t>2</w:t>
            </w:r>
          </w:p>
        </w:tc>
        <w:tc>
          <w:tcPr>
            <w:tcW w:w="2005" w:type="pct"/>
          </w:tcPr>
          <w:p w14:paraId="74BB7163">
            <w:pPr>
              <w:pStyle w:val="209"/>
              <w:rPr>
                <w:spacing w:val="-1"/>
                <w:sz w:val="18"/>
                <w:szCs w:val="18"/>
                <w:lang w:eastAsia="zh-CN"/>
              </w:rPr>
            </w:pPr>
            <w:r>
              <w:rPr>
                <w:spacing w:val="-1"/>
                <w:sz w:val="18"/>
                <w:szCs w:val="18"/>
                <w:lang w:eastAsia="zh-CN"/>
              </w:rPr>
              <w:t>核实无误后，扣罚 2 分。</w:t>
            </w:r>
          </w:p>
        </w:tc>
        <w:tc>
          <w:tcPr>
            <w:tcW w:w="349" w:type="pct"/>
            <w:vAlign w:val="center"/>
          </w:tcPr>
          <w:p w14:paraId="35C63F1C">
            <w:pPr>
              <w:pStyle w:val="209"/>
              <w:jc w:val="center"/>
              <w:rPr>
                <w:sz w:val="18"/>
                <w:szCs w:val="18"/>
              </w:rPr>
            </w:pPr>
            <w:r>
              <w:rPr>
                <w:spacing w:val="-2"/>
                <w:sz w:val="18"/>
                <w:szCs w:val="18"/>
              </w:rPr>
              <w:t>现场检查</w:t>
            </w:r>
          </w:p>
        </w:tc>
        <w:tc>
          <w:tcPr>
            <w:tcW w:w="200" w:type="pct"/>
          </w:tcPr>
          <w:p w14:paraId="0736D0AE">
            <w:pPr>
              <w:pStyle w:val="209"/>
              <w:rPr>
                <w:sz w:val="18"/>
                <w:szCs w:val="18"/>
              </w:rPr>
            </w:pPr>
          </w:p>
        </w:tc>
        <w:tc>
          <w:tcPr>
            <w:tcW w:w="201" w:type="pct"/>
          </w:tcPr>
          <w:p w14:paraId="0C05491E">
            <w:pPr>
              <w:pStyle w:val="209"/>
              <w:rPr>
                <w:sz w:val="18"/>
                <w:szCs w:val="18"/>
              </w:rPr>
            </w:pPr>
          </w:p>
        </w:tc>
      </w:tr>
      <w:tr w14:paraId="4D0D4BF9">
        <w:tblPrEx>
          <w:tblCellMar>
            <w:top w:w="0" w:type="dxa"/>
            <w:left w:w="0" w:type="dxa"/>
            <w:bottom w:w="0" w:type="dxa"/>
            <w:right w:w="0" w:type="dxa"/>
          </w:tblCellMar>
        </w:tblPrEx>
        <w:trPr>
          <w:trHeight w:val="20" w:hRule="atLeast"/>
          <w:jc w:val="center"/>
        </w:trPr>
        <w:tc>
          <w:tcPr>
            <w:tcW w:w="4599" w:type="pct"/>
            <w:gridSpan w:val="7"/>
            <w:vAlign w:val="center"/>
          </w:tcPr>
          <w:p w14:paraId="3A9E9580">
            <w:pPr>
              <w:pStyle w:val="209"/>
              <w:jc w:val="both"/>
              <w:rPr>
                <w:spacing w:val="-2"/>
                <w:sz w:val="18"/>
                <w:szCs w:val="18"/>
              </w:rPr>
            </w:pPr>
            <w:r>
              <w:rPr>
                <w:rFonts w:hint="eastAsia"/>
                <w:sz w:val="18"/>
                <w:szCs w:val="18"/>
              </w:rPr>
              <w:t>得</w:t>
            </w:r>
            <w:r>
              <w:rPr>
                <w:rFonts w:hint="eastAsia"/>
                <w:sz w:val="18"/>
                <w:szCs w:val="18"/>
              </w:rPr>
              <w:tab/>
            </w:r>
            <w:r>
              <w:rPr>
                <w:rFonts w:hint="eastAsia"/>
                <w:sz w:val="18"/>
                <w:szCs w:val="18"/>
              </w:rPr>
              <w:t>分</w:t>
            </w:r>
            <w:r>
              <w:rPr>
                <w:rFonts w:hint="eastAsia"/>
                <w:sz w:val="18"/>
                <w:szCs w:val="18"/>
              </w:rPr>
              <w:tab/>
            </w:r>
            <w:r>
              <w:rPr>
                <w:rFonts w:hint="eastAsia"/>
                <w:sz w:val="18"/>
                <w:szCs w:val="18"/>
              </w:rPr>
              <w:t>总</w:t>
            </w:r>
            <w:r>
              <w:rPr>
                <w:rFonts w:hint="eastAsia"/>
                <w:sz w:val="18"/>
                <w:szCs w:val="18"/>
              </w:rPr>
              <w:tab/>
            </w:r>
            <w:r>
              <w:rPr>
                <w:rFonts w:hint="eastAsia"/>
                <w:sz w:val="18"/>
                <w:szCs w:val="18"/>
              </w:rPr>
              <w:t>计：</w:t>
            </w:r>
          </w:p>
        </w:tc>
        <w:tc>
          <w:tcPr>
            <w:tcW w:w="401" w:type="pct"/>
            <w:gridSpan w:val="2"/>
          </w:tcPr>
          <w:p w14:paraId="140288F2">
            <w:pPr>
              <w:pStyle w:val="209"/>
              <w:rPr>
                <w:sz w:val="18"/>
                <w:szCs w:val="18"/>
              </w:rPr>
            </w:pPr>
          </w:p>
        </w:tc>
      </w:tr>
      <w:tr w14:paraId="63CD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5000" w:type="pct"/>
            <w:gridSpan w:val="9"/>
            <w:vAlign w:val="center"/>
          </w:tcPr>
          <w:p w14:paraId="3BA0EB5B">
            <w:pPr>
              <w:pStyle w:val="209"/>
              <w:jc w:val="both"/>
              <w:rPr>
                <w:sz w:val="18"/>
                <w:szCs w:val="18"/>
              </w:rPr>
            </w:pPr>
            <w:r>
              <w:rPr>
                <w:sz w:val="18"/>
                <w:szCs w:val="18"/>
              </w:rPr>
              <w:t>备注：</w:t>
            </w:r>
          </w:p>
        </w:tc>
      </w:tr>
    </w:tbl>
    <w:p w14:paraId="595C40C3">
      <w:pPr>
        <w:pStyle w:val="18"/>
        <w:ind w:left="840"/>
        <w:rPr>
          <w:rFonts w:ascii="宋体" w:hAnsi="宋体"/>
          <w:sz w:val="21"/>
          <w:szCs w:val="21"/>
        </w:rPr>
      </w:pPr>
    </w:p>
    <w:p w14:paraId="5412E6FD">
      <w:pPr>
        <w:pStyle w:val="18"/>
        <w:ind w:left="840"/>
        <w:rPr>
          <w:rFonts w:ascii="宋体" w:hAnsi="宋体"/>
          <w:sz w:val="28"/>
          <w:szCs w:val="28"/>
        </w:rPr>
      </w:pPr>
      <w:r>
        <w:rPr>
          <w:rFonts w:hint="eastAsia" w:ascii="宋体" w:hAnsi="宋体"/>
          <w:sz w:val="21"/>
          <w:szCs w:val="21"/>
        </w:rPr>
        <w:t>5.服务完成状况月检表</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4167"/>
        <w:gridCol w:w="862"/>
        <w:gridCol w:w="1438"/>
        <w:gridCol w:w="1093"/>
      </w:tblGrid>
      <w:tr w14:paraId="77AC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446" w:type="pct"/>
            <w:vAlign w:val="center"/>
          </w:tcPr>
          <w:p w14:paraId="5949D179">
            <w:pPr>
              <w:spacing w:line="240" w:lineRule="exact"/>
              <w:jc w:val="center"/>
              <w:rPr>
                <w:rFonts w:ascii="宋体" w:hAnsi="宋体"/>
                <w:kern w:val="0"/>
                <w:szCs w:val="21"/>
              </w:rPr>
            </w:pPr>
            <w:r>
              <w:rPr>
                <w:rFonts w:hint="eastAsia" w:ascii="宋体" w:hAnsi="宋体"/>
                <w:kern w:val="0"/>
                <w:szCs w:val="21"/>
              </w:rPr>
              <w:t>序号</w:t>
            </w:r>
          </w:p>
        </w:tc>
        <w:tc>
          <w:tcPr>
            <w:tcW w:w="2510" w:type="pct"/>
            <w:vAlign w:val="center"/>
          </w:tcPr>
          <w:p w14:paraId="248F57D8">
            <w:pPr>
              <w:spacing w:line="320" w:lineRule="exact"/>
              <w:jc w:val="center"/>
              <w:rPr>
                <w:rFonts w:ascii="宋体" w:hAnsi="宋体"/>
                <w:kern w:val="0"/>
                <w:szCs w:val="21"/>
                <w:lang w:eastAsia="en-US"/>
              </w:rPr>
            </w:pPr>
          </w:p>
          <w:p w14:paraId="1C62788B">
            <w:pPr>
              <w:spacing w:line="320" w:lineRule="exact"/>
              <w:jc w:val="center"/>
              <w:rPr>
                <w:rFonts w:ascii="宋体" w:hAnsi="宋体"/>
                <w:kern w:val="0"/>
                <w:szCs w:val="21"/>
                <w:lang w:eastAsia="en-US"/>
              </w:rPr>
            </w:pPr>
            <w:r>
              <w:rPr>
                <w:rFonts w:hint="eastAsia" w:ascii="宋体" w:hAnsi="宋体"/>
                <w:kern w:val="0"/>
                <w:szCs w:val="21"/>
                <w:lang w:eastAsia="en-US"/>
              </w:rPr>
              <w:t>考核</w:t>
            </w:r>
          </w:p>
          <w:p w14:paraId="287365C4">
            <w:pPr>
              <w:spacing w:line="320" w:lineRule="exact"/>
              <w:jc w:val="center"/>
              <w:rPr>
                <w:rFonts w:ascii="宋体" w:hAnsi="宋体"/>
                <w:kern w:val="0"/>
                <w:szCs w:val="21"/>
                <w:lang w:eastAsia="en-US"/>
              </w:rPr>
            </w:pPr>
            <w:r>
              <w:rPr>
                <w:rFonts w:hint="eastAsia" w:ascii="宋体" w:hAnsi="宋体"/>
                <w:kern w:val="0"/>
                <w:szCs w:val="21"/>
                <w:lang w:eastAsia="en-US"/>
              </w:rPr>
              <w:t>项目</w:t>
            </w:r>
          </w:p>
        </w:tc>
        <w:tc>
          <w:tcPr>
            <w:tcW w:w="519" w:type="pct"/>
            <w:vAlign w:val="center"/>
          </w:tcPr>
          <w:p w14:paraId="0E33BAFC">
            <w:pPr>
              <w:spacing w:line="320" w:lineRule="exact"/>
              <w:jc w:val="center"/>
              <w:rPr>
                <w:rFonts w:ascii="宋体" w:hAnsi="宋体"/>
                <w:kern w:val="0"/>
                <w:szCs w:val="21"/>
              </w:rPr>
            </w:pPr>
            <w:r>
              <w:rPr>
                <w:rFonts w:hint="eastAsia" w:ascii="宋体" w:hAnsi="宋体"/>
                <w:kern w:val="0"/>
                <w:szCs w:val="21"/>
              </w:rPr>
              <w:t>得分情况</w:t>
            </w:r>
          </w:p>
        </w:tc>
        <w:tc>
          <w:tcPr>
            <w:tcW w:w="866" w:type="pct"/>
            <w:vAlign w:val="center"/>
          </w:tcPr>
          <w:p w14:paraId="05BDEEC6">
            <w:pPr>
              <w:spacing w:line="320" w:lineRule="exact"/>
              <w:jc w:val="center"/>
              <w:rPr>
                <w:rFonts w:ascii="宋体" w:hAnsi="宋体"/>
                <w:kern w:val="0"/>
                <w:szCs w:val="21"/>
                <w:lang w:eastAsia="en-US"/>
              </w:rPr>
            </w:pPr>
            <w:r>
              <w:rPr>
                <w:rFonts w:hint="eastAsia" w:ascii="宋体" w:hAnsi="宋体"/>
                <w:kern w:val="0"/>
                <w:szCs w:val="21"/>
              </w:rPr>
              <w:t>物业</w:t>
            </w:r>
            <w:r>
              <w:rPr>
                <w:rFonts w:hint="eastAsia" w:ascii="宋体" w:hAnsi="宋体"/>
                <w:kern w:val="0"/>
                <w:szCs w:val="21"/>
                <w:lang w:eastAsia="en-US"/>
              </w:rPr>
              <w:t>主管</w:t>
            </w:r>
          </w:p>
          <w:p w14:paraId="6BB3FEB8">
            <w:pPr>
              <w:spacing w:line="320" w:lineRule="exact"/>
              <w:jc w:val="center"/>
              <w:rPr>
                <w:rFonts w:ascii="宋体" w:hAnsi="宋体"/>
                <w:spacing w:val="36"/>
                <w:kern w:val="0"/>
                <w:szCs w:val="21"/>
                <w:lang w:eastAsia="en-US"/>
              </w:rPr>
            </w:pPr>
            <w:r>
              <w:rPr>
                <w:rFonts w:hint="eastAsia" w:ascii="宋体" w:hAnsi="宋体"/>
                <w:spacing w:val="36"/>
                <w:kern w:val="0"/>
                <w:szCs w:val="21"/>
                <w:lang w:eastAsia="en-US"/>
              </w:rPr>
              <w:t>领导签名</w:t>
            </w:r>
          </w:p>
        </w:tc>
        <w:tc>
          <w:tcPr>
            <w:tcW w:w="657" w:type="pct"/>
            <w:vAlign w:val="center"/>
          </w:tcPr>
          <w:p w14:paraId="59F6CAB3">
            <w:pPr>
              <w:spacing w:line="240" w:lineRule="exact"/>
              <w:jc w:val="center"/>
              <w:rPr>
                <w:rFonts w:ascii="宋体" w:hAnsi="宋体"/>
                <w:kern w:val="0"/>
                <w:szCs w:val="21"/>
                <w:lang w:eastAsia="en-US"/>
              </w:rPr>
            </w:pPr>
            <w:r>
              <w:rPr>
                <w:rFonts w:hint="eastAsia" w:ascii="宋体" w:hAnsi="宋体"/>
                <w:kern w:val="0"/>
                <w:szCs w:val="21"/>
                <w:lang w:eastAsia="en-US"/>
              </w:rPr>
              <w:t>备注</w:t>
            </w:r>
          </w:p>
        </w:tc>
      </w:tr>
      <w:tr w14:paraId="5E16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46" w:type="pct"/>
            <w:vAlign w:val="center"/>
          </w:tcPr>
          <w:p w14:paraId="46814347">
            <w:pPr>
              <w:spacing w:line="320" w:lineRule="exact"/>
              <w:jc w:val="center"/>
              <w:rPr>
                <w:rFonts w:ascii="宋体" w:hAnsi="宋体"/>
                <w:b/>
                <w:kern w:val="0"/>
                <w:szCs w:val="21"/>
              </w:rPr>
            </w:pPr>
            <w:r>
              <w:rPr>
                <w:rFonts w:hint="eastAsia" w:ascii="宋体" w:hAnsi="宋体"/>
                <w:b/>
                <w:kern w:val="0"/>
                <w:szCs w:val="21"/>
              </w:rPr>
              <w:t>1</w:t>
            </w:r>
          </w:p>
        </w:tc>
        <w:tc>
          <w:tcPr>
            <w:tcW w:w="2510" w:type="pct"/>
            <w:vAlign w:val="center"/>
          </w:tcPr>
          <w:p w14:paraId="69519BD6">
            <w:pPr>
              <w:spacing w:line="320" w:lineRule="exact"/>
              <w:jc w:val="center"/>
              <w:rPr>
                <w:rFonts w:ascii="宋体" w:hAnsi="宋体"/>
                <w:kern w:val="0"/>
                <w:szCs w:val="21"/>
              </w:rPr>
            </w:pPr>
            <w:r>
              <w:rPr>
                <w:rFonts w:hint="eastAsia" w:ascii="宋体" w:hAnsi="宋体"/>
                <w:kern w:val="0"/>
                <w:szCs w:val="21"/>
              </w:rPr>
              <w:t>设备管理与维修服务量化考评</w:t>
            </w:r>
          </w:p>
        </w:tc>
        <w:tc>
          <w:tcPr>
            <w:tcW w:w="519" w:type="pct"/>
            <w:vAlign w:val="center"/>
          </w:tcPr>
          <w:p w14:paraId="5C048F28">
            <w:pPr>
              <w:spacing w:line="320" w:lineRule="exact"/>
              <w:jc w:val="center"/>
              <w:rPr>
                <w:rFonts w:ascii="宋体" w:hAnsi="宋体"/>
                <w:kern w:val="0"/>
                <w:szCs w:val="21"/>
              </w:rPr>
            </w:pPr>
          </w:p>
        </w:tc>
        <w:tc>
          <w:tcPr>
            <w:tcW w:w="866" w:type="pct"/>
          </w:tcPr>
          <w:p w14:paraId="3E720D78">
            <w:pPr>
              <w:spacing w:line="320" w:lineRule="exact"/>
              <w:jc w:val="center"/>
              <w:rPr>
                <w:rFonts w:ascii="宋体" w:hAnsi="宋体"/>
                <w:kern w:val="0"/>
                <w:szCs w:val="21"/>
              </w:rPr>
            </w:pPr>
          </w:p>
        </w:tc>
        <w:tc>
          <w:tcPr>
            <w:tcW w:w="657" w:type="pct"/>
            <w:vAlign w:val="center"/>
          </w:tcPr>
          <w:p w14:paraId="07B7E136">
            <w:pPr>
              <w:spacing w:line="320" w:lineRule="exact"/>
              <w:jc w:val="center"/>
              <w:rPr>
                <w:rFonts w:ascii="宋体" w:hAnsi="宋体"/>
                <w:kern w:val="0"/>
                <w:szCs w:val="21"/>
              </w:rPr>
            </w:pPr>
            <w:r>
              <w:rPr>
                <w:rFonts w:hint="eastAsia" w:ascii="宋体" w:hAnsi="宋体"/>
                <w:kern w:val="0"/>
                <w:szCs w:val="21"/>
              </w:rPr>
              <w:t>权重占比35%</w:t>
            </w:r>
          </w:p>
        </w:tc>
      </w:tr>
      <w:tr w14:paraId="048A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46" w:type="pct"/>
            <w:vAlign w:val="center"/>
          </w:tcPr>
          <w:p w14:paraId="305169CF">
            <w:pPr>
              <w:spacing w:line="320" w:lineRule="exact"/>
              <w:jc w:val="center"/>
              <w:rPr>
                <w:rFonts w:ascii="宋体" w:hAnsi="宋体"/>
                <w:b/>
                <w:kern w:val="0"/>
                <w:szCs w:val="21"/>
              </w:rPr>
            </w:pPr>
            <w:r>
              <w:rPr>
                <w:rFonts w:hint="eastAsia" w:ascii="宋体" w:hAnsi="宋体"/>
                <w:b/>
                <w:kern w:val="0"/>
                <w:szCs w:val="21"/>
              </w:rPr>
              <w:t>2</w:t>
            </w:r>
          </w:p>
        </w:tc>
        <w:tc>
          <w:tcPr>
            <w:tcW w:w="2510" w:type="pct"/>
            <w:vAlign w:val="center"/>
          </w:tcPr>
          <w:p w14:paraId="09A809F7">
            <w:pPr>
              <w:spacing w:line="320" w:lineRule="exact"/>
              <w:jc w:val="center"/>
              <w:rPr>
                <w:rFonts w:ascii="宋体" w:hAnsi="宋体"/>
                <w:kern w:val="0"/>
                <w:szCs w:val="21"/>
              </w:rPr>
            </w:pPr>
            <w:r>
              <w:rPr>
                <w:rFonts w:hint="eastAsia" w:ascii="宋体" w:hAnsi="宋体"/>
                <w:kern w:val="0"/>
                <w:szCs w:val="21"/>
              </w:rPr>
              <w:t>安保（秩序维护）服务完成状况量化考评</w:t>
            </w:r>
          </w:p>
        </w:tc>
        <w:tc>
          <w:tcPr>
            <w:tcW w:w="519" w:type="pct"/>
            <w:vAlign w:val="center"/>
          </w:tcPr>
          <w:p w14:paraId="053E8392">
            <w:pPr>
              <w:spacing w:line="320" w:lineRule="exact"/>
              <w:jc w:val="center"/>
              <w:rPr>
                <w:rFonts w:ascii="宋体" w:hAnsi="宋体"/>
                <w:kern w:val="0"/>
                <w:szCs w:val="21"/>
              </w:rPr>
            </w:pPr>
          </w:p>
        </w:tc>
        <w:tc>
          <w:tcPr>
            <w:tcW w:w="866" w:type="pct"/>
          </w:tcPr>
          <w:p w14:paraId="6BC2AB0E">
            <w:pPr>
              <w:spacing w:line="320" w:lineRule="exact"/>
              <w:jc w:val="center"/>
              <w:rPr>
                <w:rFonts w:ascii="宋体" w:hAnsi="宋体"/>
                <w:kern w:val="0"/>
                <w:szCs w:val="21"/>
              </w:rPr>
            </w:pPr>
          </w:p>
        </w:tc>
        <w:tc>
          <w:tcPr>
            <w:tcW w:w="657" w:type="pct"/>
            <w:vAlign w:val="center"/>
          </w:tcPr>
          <w:p w14:paraId="32700A98">
            <w:pPr>
              <w:spacing w:line="320" w:lineRule="exact"/>
              <w:jc w:val="center"/>
              <w:rPr>
                <w:rFonts w:ascii="宋体" w:hAnsi="宋体"/>
                <w:kern w:val="0"/>
                <w:szCs w:val="21"/>
              </w:rPr>
            </w:pPr>
            <w:r>
              <w:rPr>
                <w:rFonts w:hint="eastAsia" w:ascii="宋体" w:hAnsi="宋体"/>
                <w:kern w:val="0"/>
                <w:szCs w:val="21"/>
              </w:rPr>
              <w:t>权重占比30%</w:t>
            </w:r>
          </w:p>
        </w:tc>
      </w:tr>
      <w:tr w14:paraId="23B8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46" w:type="pct"/>
            <w:vAlign w:val="center"/>
          </w:tcPr>
          <w:p w14:paraId="6278E198">
            <w:pPr>
              <w:spacing w:line="320" w:lineRule="exact"/>
              <w:jc w:val="center"/>
              <w:rPr>
                <w:rFonts w:ascii="宋体" w:hAnsi="宋体"/>
                <w:b/>
                <w:kern w:val="0"/>
                <w:szCs w:val="21"/>
              </w:rPr>
            </w:pPr>
            <w:r>
              <w:rPr>
                <w:rFonts w:hint="eastAsia" w:ascii="宋体" w:hAnsi="宋体"/>
                <w:b/>
                <w:kern w:val="0"/>
                <w:szCs w:val="21"/>
              </w:rPr>
              <w:t>3</w:t>
            </w:r>
          </w:p>
        </w:tc>
        <w:tc>
          <w:tcPr>
            <w:tcW w:w="2510" w:type="pct"/>
            <w:vAlign w:val="center"/>
          </w:tcPr>
          <w:p w14:paraId="48C7BF3E">
            <w:pPr>
              <w:spacing w:line="320" w:lineRule="exact"/>
              <w:jc w:val="center"/>
              <w:rPr>
                <w:rFonts w:ascii="宋体" w:hAnsi="宋体"/>
                <w:kern w:val="0"/>
                <w:szCs w:val="21"/>
              </w:rPr>
            </w:pPr>
            <w:r>
              <w:rPr>
                <w:rFonts w:hint="eastAsia" w:ascii="宋体" w:hAnsi="宋体"/>
                <w:kern w:val="0"/>
                <w:szCs w:val="21"/>
              </w:rPr>
              <w:t>保洁、消杀服务完成状况量化考评</w:t>
            </w:r>
          </w:p>
        </w:tc>
        <w:tc>
          <w:tcPr>
            <w:tcW w:w="519" w:type="pct"/>
            <w:vAlign w:val="center"/>
          </w:tcPr>
          <w:p w14:paraId="6E5ED8A1">
            <w:pPr>
              <w:spacing w:line="320" w:lineRule="exact"/>
              <w:jc w:val="center"/>
              <w:rPr>
                <w:rFonts w:ascii="宋体" w:hAnsi="宋体"/>
                <w:kern w:val="0"/>
                <w:szCs w:val="21"/>
              </w:rPr>
            </w:pPr>
          </w:p>
        </w:tc>
        <w:tc>
          <w:tcPr>
            <w:tcW w:w="866" w:type="pct"/>
          </w:tcPr>
          <w:p w14:paraId="4DBBC636">
            <w:pPr>
              <w:spacing w:line="320" w:lineRule="exact"/>
              <w:jc w:val="center"/>
              <w:rPr>
                <w:rFonts w:ascii="宋体" w:hAnsi="宋体"/>
                <w:kern w:val="0"/>
                <w:szCs w:val="21"/>
              </w:rPr>
            </w:pPr>
          </w:p>
        </w:tc>
        <w:tc>
          <w:tcPr>
            <w:tcW w:w="657" w:type="pct"/>
            <w:vAlign w:val="center"/>
          </w:tcPr>
          <w:p w14:paraId="677D0D03">
            <w:pPr>
              <w:spacing w:line="320" w:lineRule="exact"/>
              <w:jc w:val="center"/>
              <w:rPr>
                <w:rFonts w:ascii="宋体" w:hAnsi="宋体"/>
                <w:kern w:val="0"/>
                <w:szCs w:val="21"/>
              </w:rPr>
            </w:pPr>
            <w:r>
              <w:rPr>
                <w:rFonts w:hint="eastAsia" w:ascii="宋体" w:hAnsi="宋体"/>
                <w:kern w:val="0"/>
                <w:szCs w:val="21"/>
              </w:rPr>
              <w:t>权重占比20%</w:t>
            </w:r>
          </w:p>
        </w:tc>
      </w:tr>
      <w:tr w14:paraId="416A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46" w:type="pct"/>
            <w:vAlign w:val="center"/>
          </w:tcPr>
          <w:p w14:paraId="2707ACA5">
            <w:pPr>
              <w:spacing w:line="320" w:lineRule="exact"/>
              <w:jc w:val="center"/>
              <w:rPr>
                <w:rFonts w:ascii="宋体" w:hAnsi="宋体"/>
                <w:b/>
                <w:kern w:val="0"/>
                <w:szCs w:val="21"/>
              </w:rPr>
            </w:pPr>
            <w:r>
              <w:rPr>
                <w:rFonts w:hint="eastAsia" w:ascii="宋体" w:hAnsi="宋体"/>
                <w:b/>
                <w:kern w:val="0"/>
                <w:szCs w:val="21"/>
              </w:rPr>
              <w:t>4</w:t>
            </w:r>
          </w:p>
        </w:tc>
        <w:tc>
          <w:tcPr>
            <w:tcW w:w="2510" w:type="pct"/>
            <w:vAlign w:val="center"/>
          </w:tcPr>
          <w:p w14:paraId="0561F2C5">
            <w:pPr>
              <w:spacing w:line="320" w:lineRule="exact"/>
              <w:jc w:val="center"/>
              <w:rPr>
                <w:rFonts w:ascii="宋体" w:hAnsi="宋体"/>
                <w:kern w:val="0"/>
                <w:szCs w:val="21"/>
              </w:rPr>
            </w:pPr>
            <w:r>
              <w:rPr>
                <w:rFonts w:hint="eastAsia" w:ascii="宋体" w:hAnsi="宋体"/>
                <w:kern w:val="0"/>
                <w:szCs w:val="21"/>
              </w:rPr>
              <w:t>绿化服务完成状况量化考评</w:t>
            </w:r>
          </w:p>
        </w:tc>
        <w:tc>
          <w:tcPr>
            <w:tcW w:w="519" w:type="pct"/>
            <w:vAlign w:val="center"/>
          </w:tcPr>
          <w:p w14:paraId="074D957F">
            <w:pPr>
              <w:spacing w:line="320" w:lineRule="exact"/>
              <w:jc w:val="center"/>
              <w:rPr>
                <w:rFonts w:ascii="宋体" w:hAnsi="宋体"/>
                <w:kern w:val="0"/>
                <w:szCs w:val="21"/>
              </w:rPr>
            </w:pPr>
          </w:p>
        </w:tc>
        <w:tc>
          <w:tcPr>
            <w:tcW w:w="866" w:type="pct"/>
          </w:tcPr>
          <w:p w14:paraId="70D97E2E">
            <w:pPr>
              <w:spacing w:line="320" w:lineRule="exact"/>
              <w:jc w:val="center"/>
              <w:rPr>
                <w:rFonts w:ascii="宋体" w:hAnsi="宋体"/>
                <w:kern w:val="0"/>
                <w:szCs w:val="21"/>
              </w:rPr>
            </w:pPr>
          </w:p>
        </w:tc>
        <w:tc>
          <w:tcPr>
            <w:tcW w:w="657" w:type="pct"/>
            <w:vAlign w:val="center"/>
          </w:tcPr>
          <w:p w14:paraId="47B55828">
            <w:pPr>
              <w:spacing w:line="320" w:lineRule="exact"/>
              <w:jc w:val="center"/>
              <w:rPr>
                <w:rFonts w:ascii="宋体" w:hAnsi="宋体"/>
                <w:kern w:val="0"/>
                <w:szCs w:val="21"/>
              </w:rPr>
            </w:pPr>
            <w:r>
              <w:rPr>
                <w:rFonts w:hint="eastAsia" w:ascii="宋体" w:hAnsi="宋体"/>
                <w:kern w:val="0"/>
                <w:szCs w:val="21"/>
              </w:rPr>
              <w:t>权重占比15%</w:t>
            </w:r>
          </w:p>
        </w:tc>
      </w:tr>
      <w:tr w14:paraId="0F72A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46" w:type="pct"/>
            <w:vAlign w:val="center"/>
          </w:tcPr>
          <w:p w14:paraId="0BA2D347">
            <w:pPr>
              <w:spacing w:line="320" w:lineRule="exact"/>
              <w:jc w:val="center"/>
              <w:rPr>
                <w:rFonts w:ascii="宋体" w:hAnsi="宋体"/>
                <w:b/>
                <w:kern w:val="0"/>
                <w:szCs w:val="21"/>
              </w:rPr>
            </w:pPr>
            <w:r>
              <w:rPr>
                <w:rFonts w:hint="eastAsia" w:ascii="宋体" w:hAnsi="宋体"/>
                <w:b/>
                <w:kern w:val="0"/>
                <w:szCs w:val="21"/>
              </w:rPr>
              <w:t>合计</w:t>
            </w:r>
          </w:p>
        </w:tc>
        <w:tc>
          <w:tcPr>
            <w:tcW w:w="4553" w:type="pct"/>
            <w:gridSpan w:val="4"/>
            <w:vAlign w:val="center"/>
          </w:tcPr>
          <w:p w14:paraId="67EA755B">
            <w:pPr>
              <w:spacing w:line="320" w:lineRule="exact"/>
              <w:jc w:val="center"/>
              <w:rPr>
                <w:rFonts w:ascii="宋体" w:hAnsi="宋体"/>
                <w:kern w:val="0"/>
                <w:szCs w:val="21"/>
                <w:lang w:eastAsia="en-US"/>
              </w:rPr>
            </w:pPr>
          </w:p>
        </w:tc>
      </w:tr>
      <w:tr w14:paraId="0E1B9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46" w:type="pct"/>
            <w:vAlign w:val="center"/>
          </w:tcPr>
          <w:p w14:paraId="34D5CDE9">
            <w:pPr>
              <w:spacing w:line="320" w:lineRule="exact"/>
              <w:jc w:val="center"/>
              <w:rPr>
                <w:rFonts w:ascii="宋体" w:hAnsi="宋体"/>
                <w:b/>
                <w:kern w:val="0"/>
                <w:szCs w:val="21"/>
              </w:rPr>
            </w:pPr>
          </w:p>
        </w:tc>
        <w:tc>
          <w:tcPr>
            <w:tcW w:w="4553" w:type="pct"/>
            <w:gridSpan w:val="4"/>
            <w:vAlign w:val="center"/>
          </w:tcPr>
          <w:p w14:paraId="2EA7B4C1">
            <w:pPr>
              <w:pStyle w:val="18"/>
              <w:ind w:left="840"/>
              <w:jc w:val="left"/>
              <w:rPr>
                <w:rFonts w:ascii="宋体" w:hAnsi="宋体" w:cs="宋体"/>
                <w:sz w:val="21"/>
                <w:szCs w:val="21"/>
              </w:rPr>
            </w:pPr>
            <w:r>
              <w:rPr>
                <w:rFonts w:hint="eastAsia" w:ascii="宋体" w:hAnsi="宋体" w:cs="宋体"/>
                <w:sz w:val="21"/>
                <w:szCs w:val="21"/>
              </w:rPr>
              <w:t>总分=①*35%+②*30%+③*20%+④*15%；</w:t>
            </w:r>
          </w:p>
          <w:p w14:paraId="27F7A9F3">
            <w:pPr>
              <w:pStyle w:val="18"/>
              <w:ind w:left="840"/>
              <w:jc w:val="left"/>
              <w:rPr>
                <w:rFonts w:ascii="宋体" w:hAnsi="宋体" w:cs="宋体"/>
                <w:sz w:val="21"/>
                <w:szCs w:val="21"/>
              </w:rPr>
            </w:pPr>
            <w:r>
              <w:rPr>
                <w:rFonts w:hint="eastAsia" w:ascii="宋体" w:hAnsi="宋体" w:cs="宋体"/>
                <w:sz w:val="21"/>
                <w:szCs w:val="21"/>
              </w:rPr>
              <w:t>设备管理与维修服务和安保（秩序维护）服务发生责任事故时，直接扣除当月物业服务费10万元起。</w:t>
            </w:r>
          </w:p>
          <w:p w14:paraId="47AE85A2">
            <w:pPr>
              <w:spacing w:line="320" w:lineRule="exact"/>
              <w:jc w:val="center"/>
              <w:rPr>
                <w:rFonts w:ascii="宋体" w:hAnsi="宋体"/>
                <w:kern w:val="0"/>
                <w:szCs w:val="21"/>
              </w:rPr>
            </w:pPr>
          </w:p>
        </w:tc>
      </w:tr>
    </w:tbl>
    <w:p w14:paraId="2FA93AE5">
      <w:pPr>
        <w:pStyle w:val="18"/>
        <w:ind w:firstLine="422" w:firstLineChars="200"/>
        <w:rPr>
          <w:rFonts w:ascii="宋体" w:hAnsi="宋体"/>
          <w:sz w:val="28"/>
          <w:szCs w:val="28"/>
        </w:rPr>
      </w:pPr>
      <w:r>
        <w:rPr>
          <w:rFonts w:hint="eastAsia" w:ascii="宋体" w:hAnsi="宋体"/>
          <w:sz w:val="21"/>
          <w:szCs w:val="21"/>
        </w:rPr>
        <w:t>6.服务完成状况量化考评操作说明</w:t>
      </w:r>
    </w:p>
    <w:p w14:paraId="08DAD013">
      <w:pPr>
        <w:ind w:firstLine="210" w:firstLineChars="100"/>
        <w:rPr>
          <w:rFonts w:ascii="宋体" w:hAnsi="宋体"/>
          <w:kern w:val="0"/>
          <w:szCs w:val="21"/>
        </w:rPr>
      </w:pPr>
      <w:r>
        <w:rPr>
          <w:rFonts w:hint="eastAsia" w:ascii="宋体" w:hAnsi="宋体"/>
          <w:kern w:val="0"/>
          <w:szCs w:val="21"/>
        </w:rPr>
        <w:t>（1）所有量化指标考评分的总分为100分，各量化指标考评分扣完为止，不出现负分。</w:t>
      </w:r>
    </w:p>
    <w:p w14:paraId="1A217687">
      <w:pPr>
        <w:ind w:firstLine="210" w:firstLineChars="100"/>
        <w:rPr>
          <w:rFonts w:ascii="宋体" w:hAnsi="宋体"/>
          <w:kern w:val="0"/>
          <w:szCs w:val="21"/>
        </w:rPr>
      </w:pPr>
      <w:r>
        <w:rPr>
          <w:rFonts w:hint="eastAsia" w:ascii="宋体" w:hAnsi="宋体"/>
          <w:kern w:val="0"/>
          <w:szCs w:val="21"/>
        </w:rPr>
        <w:t>（2）学校主管部门每月安排专门考评人员对服务质量进行考评，次月5日前按照“服务完成状况量化考评表”月考评得分情况。</w:t>
      </w:r>
    </w:p>
    <w:p w14:paraId="479CFB6E">
      <w:pPr>
        <w:ind w:firstLine="210" w:firstLineChars="100"/>
        <w:rPr>
          <w:rFonts w:ascii="宋体" w:hAnsi="宋体"/>
          <w:kern w:val="0"/>
          <w:szCs w:val="21"/>
        </w:rPr>
      </w:pPr>
      <w:r>
        <w:rPr>
          <w:rFonts w:hint="eastAsia" w:ascii="宋体" w:hAnsi="宋体"/>
          <w:kern w:val="0"/>
          <w:szCs w:val="21"/>
        </w:rPr>
        <w:t>（3）量化评分由学</w:t>
      </w:r>
      <w:r>
        <w:t>校</w:t>
      </w:r>
      <w:r>
        <w:rPr>
          <w:rFonts w:hint="eastAsia" w:ascii="宋体" w:hAnsi="宋体"/>
          <w:kern w:val="0"/>
          <w:szCs w:val="21"/>
        </w:rPr>
        <w:t>主管部门考评人员每月按考核项目对物业公司的服务完成状况进行考评，把巡检情况记录在“服务完成状况月检表”中，作为每月量化汇总主要凭证。学校主管部门考评人员每月巡检中未曾监查到的但违反“服务完成状况量化考评表”中考评项目依考评标准应扣除分值的各种情况，经学校主管部门与服务单位核实后，应按规定扣除分值。月检表经考评人、物业主管领导签字后生效，并每月汇总报学校主管部门，由学校主管部门折算成月考评总分，交校财务进行相应的扣款处理。</w:t>
      </w:r>
    </w:p>
    <w:p w14:paraId="681CB248">
      <w:pPr>
        <w:ind w:firstLine="210" w:firstLineChars="100"/>
        <w:rPr>
          <w:rFonts w:ascii="宋体" w:hAnsi="宋体"/>
          <w:kern w:val="0"/>
          <w:szCs w:val="21"/>
        </w:rPr>
      </w:pPr>
      <w:r>
        <w:rPr>
          <w:rFonts w:hint="eastAsia" w:ascii="宋体" w:hAnsi="宋体"/>
          <w:kern w:val="0"/>
          <w:szCs w:val="21"/>
        </w:rPr>
        <w:t>（4）月考核检查应做到客观、公正、公开。学校主管部门实施月检的考评人员应以事实为依据，客观认真地开展各项工作。当事人可以对考评情况提出异议或向主管部门举报，当事人提出异议或者举报应按规定程序进行，在3日内由服务单位主管领导向学校主管部门反馈情况，沟通解决。被考评人员不得对学校主管部门考评人员伺机报复，违反法律者依法追究法律责任。</w:t>
      </w:r>
    </w:p>
    <w:p w14:paraId="1B2A1FD9">
      <w:pPr>
        <w:ind w:firstLine="210" w:firstLineChars="100"/>
        <w:rPr>
          <w:rFonts w:ascii="宋体" w:hAnsi="宋体"/>
          <w:kern w:val="0"/>
          <w:szCs w:val="21"/>
        </w:rPr>
      </w:pPr>
      <w:r>
        <w:rPr>
          <w:rFonts w:hint="eastAsia" w:ascii="宋体" w:hAnsi="宋体"/>
          <w:kern w:val="0"/>
          <w:szCs w:val="21"/>
        </w:rPr>
        <w:t>（5）中标单位根据每月汇总结果，按标书及合同要求承担风险。</w:t>
      </w:r>
    </w:p>
    <w:p w14:paraId="3ADC87EE">
      <w:pPr>
        <w:ind w:firstLine="420" w:firstLineChars="200"/>
        <w:rPr>
          <w:rFonts w:asciiTheme="minorEastAsia" w:hAnsiTheme="minorEastAsia" w:eastAsiaTheme="minorEastAsia"/>
        </w:rPr>
      </w:pPr>
    </w:p>
    <w:p w14:paraId="093387CE"/>
    <w:p w14:paraId="13B24E6E">
      <w:pPr>
        <w:spacing w:line="360" w:lineRule="auto"/>
        <w:ind w:firstLine="440" w:firstLineChars="200"/>
        <w:jc w:val="right"/>
        <w:rPr>
          <w:sz w:val="22"/>
          <w:szCs w:val="22"/>
        </w:rPr>
      </w:pPr>
    </w:p>
    <w:p w14:paraId="270D7911">
      <w:pPr>
        <w:spacing w:before="120" w:beforeLines="50" w:after="120" w:afterLines="50"/>
        <w:rPr>
          <w:szCs w:val="20"/>
        </w:rPr>
      </w:pPr>
    </w:p>
    <w:p w14:paraId="6BD45A5C">
      <w:pPr>
        <w:pStyle w:val="5"/>
        <w:spacing w:before="120" w:beforeLines="50" w:after="120" w:afterLines="50"/>
        <w:rPr>
          <w:szCs w:val="24"/>
        </w:rPr>
      </w:pPr>
      <w:r>
        <w:rPr>
          <w:rFonts w:hint="eastAsia"/>
          <w:szCs w:val="24"/>
        </w:rPr>
        <w:t>七、其他重要条款</w:t>
      </w:r>
    </w:p>
    <w:p w14:paraId="714505A6">
      <w:pPr>
        <w:ind w:firstLine="420" w:firstLineChars="200"/>
        <w:rPr>
          <w:bCs/>
          <w:szCs w:val="21"/>
        </w:rPr>
      </w:pPr>
      <w:r>
        <w:rPr>
          <w:rFonts w:hint="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EA1FA02">
      <w:pPr>
        <w:pStyle w:val="7"/>
        <w:spacing w:before="60" w:beforeLines="25" w:after="60" w:afterLines="25"/>
        <w:ind w:firstLine="392" w:firstLineChars="187"/>
        <w:rPr>
          <w:rFonts w:ascii="宋体" w:hAnsi="宋体"/>
          <w:szCs w:val="21"/>
        </w:rPr>
      </w:pPr>
      <w:r>
        <w:rPr>
          <w:bCs/>
          <w:szCs w:val="21"/>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771879B9">
      <w:pPr>
        <w:ind w:firstLine="420" w:firstLineChars="200"/>
        <w:rPr>
          <w:bCs/>
          <w:szCs w:val="21"/>
        </w:rPr>
      </w:pPr>
      <w:r>
        <w:rPr>
          <w:bCs/>
          <w:szCs w:val="21"/>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0FA8644B">
      <w:pPr>
        <w:ind w:firstLine="420" w:firstLineChars="200"/>
        <w:rPr>
          <w:bCs/>
          <w:szCs w:val="21"/>
        </w:rPr>
      </w:pPr>
      <w:r>
        <w:rPr>
          <w:rFonts w:hint="eastAsia"/>
          <w:bCs/>
          <w:szCs w:val="21"/>
        </w:rPr>
        <w:t>4、除政府采购合同继续履行将损害国家利益和社会公共利益外，双方当事人不得擅自变更、中止或者终止合同。</w:t>
      </w:r>
    </w:p>
    <w:p w14:paraId="5E414914">
      <w:pPr>
        <w:ind w:firstLine="420" w:firstLineChars="200"/>
        <w:rPr>
          <w:bCs/>
          <w:szCs w:val="21"/>
        </w:rPr>
      </w:pPr>
      <w:r>
        <w:rPr>
          <w:rFonts w:hint="eastAsia"/>
          <w:bCs/>
          <w:szCs w:val="21"/>
        </w:rPr>
        <w:t>5、“信用中国”中“信用服务”栏的“重大税收违法失信主体”“失信被执行人”，“中国政府采购网”中的“政府采购严重违法失信行为记录名单”，“深圳市政府采购监管网”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bCs/>
          <w:szCs w:val="21"/>
        </w:rPr>
        <w:t>为供应商信用信息的查询渠道，相关信息以开标当日的查询结果为准。</w:t>
      </w:r>
    </w:p>
    <w:p w14:paraId="34E112C2">
      <w:r>
        <w:rPr>
          <w:rFonts w:hint="eastAsia"/>
        </w:rPr>
        <w:br w:type="page"/>
      </w:r>
    </w:p>
    <w:p w14:paraId="79539DC5">
      <w:pPr>
        <w:pStyle w:val="5"/>
        <w:rPr>
          <w:kern w:val="2"/>
        </w:rPr>
      </w:pPr>
      <w:r>
        <w:rPr>
          <w:rFonts w:hint="eastAsia"/>
          <w:kern w:val="2"/>
        </w:rPr>
        <w:t>第四章 投标文件组成要求及格式</w:t>
      </w:r>
    </w:p>
    <w:p w14:paraId="3CADA3C1">
      <w:pPr>
        <w:rPr>
          <w:rStyle w:val="65"/>
          <w:sz w:val="24"/>
        </w:rPr>
      </w:pPr>
      <w:r>
        <w:rPr>
          <w:rStyle w:val="65"/>
          <w:rFonts w:hint="eastAsia"/>
          <w:sz w:val="24"/>
        </w:rPr>
        <w:t>特别提醒：</w:t>
      </w:r>
    </w:p>
    <w:p w14:paraId="34C487C3">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2720F00">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64F72C8F">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03190" cy="4043045"/>
                    </a:xfrm>
                    <a:prstGeom prst="rect">
                      <a:avLst/>
                    </a:prstGeom>
                  </pic:spPr>
                </pic:pic>
              </a:graphicData>
            </a:graphic>
          </wp:inline>
        </w:drawing>
      </w:r>
    </w:p>
    <w:p w14:paraId="710EF7C9">
      <w:pPr>
        <w:ind w:firstLine="480" w:firstLineChars="200"/>
        <w:rPr>
          <w:rFonts w:ascii="仿宋_GB2312" w:eastAsia="仿宋_GB2312"/>
          <w:b/>
          <w:bCs/>
          <w:color w:val="FF0000"/>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b/>
          <w:bCs/>
          <w:color w:val="FF0000"/>
          <w:sz w:val="24"/>
        </w:rPr>
        <w:t>如投标人将必须放于投标文件正文（信息公开部分）的内容放入投标文件附件（非信息公开部分），将作投标无效处理。</w:t>
      </w:r>
    </w:p>
    <w:p w14:paraId="17E7B844">
      <w:pPr>
        <w:ind w:firstLine="480" w:firstLineChars="200"/>
        <w:rPr>
          <w:rFonts w:ascii="仿宋_GB2312" w:eastAsia="仿宋_GB2312"/>
          <w:sz w:val="24"/>
        </w:rPr>
      </w:pPr>
    </w:p>
    <w:p w14:paraId="539DF624">
      <w:pPr>
        <w:ind w:firstLine="480" w:firstLineChars="200"/>
        <w:rPr>
          <w:rFonts w:ascii="仿宋_GB2312" w:eastAsia="仿宋_GB2312"/>
          <w:sz w:val="24"/>
        </w:rPr>
      </w:pPr>
    </w:p>
    <w:p w14:paraId="06BE7D6E">
      <w:pPr>
        <w:ind w:firstLine="482" w:firstLineChars="200"/>
        <w:rPr>
          <w:rFonts w:ascii="宋体" w:hAnsi="宋体"/>
          <w:b/>
          <w:sz w:val="24"/>
        </w:rPr>
      </w:pPr>
    </w:p>
    <w:p w14:paraId="23649366">
      <w:pPr>
        <w:rPr>
          <w:rFonts w:ascii="宋体" w:hAnsi="宋体"/>
          <w:sz w:val="24"/>
        </w:rPr>
      </w:pPr>
      <w:r>
        <w:rPr>
          <w:rFonts w:hint="eastAsia" w:ascii="宋体" w:hAnsi="宋体"/>
          <w:sz w:val="24"/>
        </w:rPr>
        <w:br w:type="page"/>
      </w:r>
    </w:p>
    <w:p w14:paraId="4998FEA4">
      <w:pPr>
        <w:rPr>
          <w:rFonts w:ascii="宋体" w:hAnsi="宋体"/>
          <w:sz w:val="24"/>
        </w:rPr>
      </w:pPr>
      <w:r>
        <w:rPr>
          <w:rFonts w:hint="eastAsia" w:ascii="宋体" w:hAnsi="宋体"/>
          <w:sz w:val="24"/>
        </w:rPr>
        <w:t>投标文件组成：</w:t>
      </w:r>
    </w:p>
    <w:p w14:paraId="4B3497BC">
      <w:pPr>
        <w:ind w:firstLine="1200" w:firstLineChars="500"/>
        <w:outlineLvl w:val="0"/>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5ED3F3DF">
      <w:pPr>
        <w:ind w:left="718" w:leftChars="342" w:firstLine="1417" w:firstLineChars="675"/>
        <w:rPr>
          <w:szCs w:val="21"/>
        </w:rPr>
      </w:pPr>
      <w:r>
        <w:rPr>
          <w:rFonts w:hint="eastAsia"/>
          <w:szCs w:val="21"/>
        </w:rPr>
        <w:t>（1）</w:t>
      </w:r>
      <w:bookmarkStart w:id="41" w:name="_Hlk72070784"/>
      <w:r>
        <w:rPr>
          <w:rFonts w:hint="eastAsia"/>
          <w:szCs w:val="21"/>
        </w:rPr>
        <w:t>投标函</w:t>
      </w:r>
      <w:bookmarkEnd w:id="41"/>
    </w:p>
    <w:p w14:paraId="5B84E8BF">
      <w:pPr>
        <w:ind w:left="718" w:leftChars="342" w:firstLine="1417" w:firstLineChars="675"/>
        <w:rPr>
          <w:szCs w:val="21"/>
        </w:rPr>
      </w:pPr>
      <w:r>
        <w:rPr>
          <w:rFonts w:hint="eastAsia"/>
          <w:szCs w:val="21"/>
        </w:rPr>
        <w:t>（2）</w:t>
      </w:r>
      <w:bookmarkStart w:id="42" w:name="_Hlk72062521"/>
      <w:r>
        <w:rPr>
          <w:rFonts w:hint="eastAsia"/>
          <w:szCs w:val="21"/>
        </w:rPr>
        <w:t>政府采购投标及履约承诺函</w:t>
      </w:r>
      <w:bookmarkEnd w:id="42"/>
    </w:p>
    <w:p w14:paraId="4CAE2D09">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60339253">
      <w:pPr>
        <w:ind w:left="718" w:leftChars="342" w:firstLine="1417" w:firstLineChars="675"/>
        <w:rPr>
          <w:szCs w:val="21"/>
        </w:rPr>
      </w:pPr>
      <w:bookmarkStart w:id="43" w:name="_Hlk72257201"/>
      <w:r>
        <w:rPr>
          <w:rFonts w:hint="eastAsia"/>
          <w:szCs w:val="21"/>
        </w:rPr>
        <w:t>（</w:t>
      </w:r>
      <w:r>
        <w:rPr>
          <w:szCs w:val="21"/>
        </w:rPr>
        <w:t>4</w:t>
      </w:r>
      <w:r>
        <w:rPr>
          <w:rFonts w:hint="eastAsia"/>
          <w:szCs w:val="21"/>
        </w:rPr>
        <w:t>）</w:t>
      </w:r>
      <w:bookmarkEnd w:id="43"/>
      <w:r>
        <w:rPr>
          <w:rFonts w:hint="eastAsia"/>
          <w:szCs w:val="21"/>
        </w:rPr>
        <w:t>供应商认证情况（格式自定）</w:t>
      </w:r>
    </w:p>
    <w:p w14:paraId="342834DD">
      <w:pPr>
        <w:ind w:left="718" w:leftChars="342" w:firstLine="1417" w:firstLineChars="675"/>
        <w:rPr>
          <w:szCs w:val="21"/>
        </w:rPr>
      </w:pPr>
      <w:r>
        <w:rPr>
          <w:rFonts w:hint="eastAsia"/>
          <w:szCs w:val="21"/>
        </w:rPr>
        <w:t>（5）供应商获奖情况（格式自定）</w:t>
      </w:r>
    </w:p>
    <w:p w14:paraId="2970993A">
      <w:pPr>
        <w:ind w:left="718" w:leftChars="342" w:firstLine="1417" w:firstLineChars="675"/>
        <w:rPr>
          <w:szCs w:val="21"/>
        </w:rPr>
      </w:pPr>
      <w:r>
        <w:rPr>
          <w:rFonts w:hint="eastAsia"/>
          <w:szCs w:val="21"/>
        </w:rPr>
        <w:t>（6）服务网点</w:t>
      </w:r>
    </w:p>
    <w:p w14:paraId="0FDBA7CD">
      <w:pPr>
        <w:pStyle w:val="18"/>
      </w:pPr>
    </w:p>
    <w:p w14:paraId="49669142">
      <w:pPr>
        <w:ind w:firstLine="1200" w:firstLineChars="500"/>
        <w:outlineLvl w:val="0"/>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4C293CD6">
      <w:pPr>
        <w:ind w:firstLine="2100" w:firstLineChars="1000"/>
        <w:rPr>
          <w:szCs w:val="21"/>
        </w:rPr>
      </w:pPr>
      <w:bookmarkStart w:id="44" w:name="OLE_LINK1"/>
      <w:r>
        <w:rPr>
          <w:rFonts w:hint="eastAsia"/>
          <w:szCs w:val="21"/>
        </w:rPr>
        <w:t>（1）供应商基本情况表</w:t>
      </w:r>
    </w:p>
    <w:p w14:paraId="322933E3">
      <w:pPr>
        <w:ind w:firstLine="2100" w:firstLineChars="1000"/>
        <w:rPr>
          <w:szCs w:val="21"/>
        </w:rPr>
      </w:pPr>
      <w:r>
        <w:rPr>
          <w:rFonts w:hint="eastAsia"/>
          <w:szCs w:val="21"/>
        </w:rPr>
        <w:t>（2）法定代表人（负责人）证明书</w:t>
      </w:r>
    </w:p>
    <w:p w14:paraId="4B5953B4">
      <w:pPr>
        <w:ind w:left="718" w:leftChars="342" w:firstLine="1417" w:firstLineChars="675"/>
        <w:rPr>
          <w:szCs w:val="21"/>
        </w:rPr>
      </w:pPr>
      <w:r>
        <w:rPr>
          <w:rFonts w:hint="eastAsia"/>
          <w:szCs w:val="21"/>
        </w:rPr>
        <w:t>（3）投标文件签署授权委托书</w:t>
      </w:r>
    </w:p>
    <w:p w14:paraId="31E972DB">
      <w:pPr>
        <w:ind w:left="718" w:leftChars="342" w:firstLine="1417" w:firstLineChars="675"/>
        <w:rPr>
          <w:szCs w:val="21"/>
        </w:rPr>
      </w:pPr>
      <w:r>
        <w:rPr>
          <w:rFonts w:hint="eastAsia"/>
          <w:szCs w:val="21"/>
        </w:rPr>
        <w:t>（4）项目详细报价</w:t>
      </w:r>
    </w:p>
    <w:p w14:paraId="4AF2720F">
      <w:pPr>
        <w:ind w:left="718" w:leftChars="342" w:firstLine="1417" w:firstLineChars="675"/>
        <w:rPr>
          <w:szCs w:val="21"/>
        </w:rPr>
      </w:pPr>
      <w:r>
        <w:rPr>
          <w:rFonts w:hint="eastAsia"/>
          <w:szCs w:val="21"/>
        </w:rPr>
        <w:t>（5）</w:t>
      </w:r>
      <w:r>
        <w:rPr>
          <w:szCs w:val="21"/>
        </w:rPr>
        <w:t>实质性条款响应情况表</w:t>
      </w:r>
    </w:p>
    <w:p w14:paraId="78C02C75">
      <w:pPr>
        <w:ind w:left="718" w:leftChars="342" w:firstLine="1417" w:firstLineChars="675"/>
        <w:rPr>
          <w:szCs w:val="21"/>
        </w:rPr>
      </w:pPr>
      <w:r>
        <w:rPr>
          <w:rFonts w:hint="eastAsia"/>
          <w:szCs w:val="21"/>
        </w:rPr>
        <w:t>（6）实施方案（格式自定）</w:t>
      </w:r>
    </w:p>
    <w:p w14:paraId="4E31EF0A">
      <w:pPr>
        <w:ind w:left="718" w:leftChars="342" w:firstLine="1417" w:firstLineChars="675"/>
        <w:rPr>
          <w:szCs w:val="21"/>
        </w:rPr>
      </w:pPr>
      <w:r>
        <w:rPr>
          <w:rFonts w:hint="eastAsia"/>
          <w:szCs w:val="21"/>
        </w:rPr>
        <w:t>（7）项目重点难点分析、应对措施及相关的合理化建议（格式自定）</w:t>
      </w:r>
    </w:p>
    <w:p w14:paraId="139B197F">
      <w:pPr>
        <w:ind w:left="718" w:leftChars="342" w:firstLine="1417" w:firstLineChars="675"/>
        <w:rPr>
          <w:szCs w:val="21"/>
        </w:rPr>
      </w:pPr>
      <w:r>
        <w:rPr>
          <w:rFonts w:hint="eastAsia"/>
          <w:szCs w:val="21"/>
        </w:rPr>
        <w:t>（8）</w:t>
      </w:r>
      <w:r>
        <w:rPr>
          <w:rFonts w:hint="eastAsia"/>
          <w:szCs w:val="21"/>
          <w:lang w:eastAsia="zh-CN"/>
        </w:rPr>
        <w:t>质量（完成时间、安全、环保）保障措施及应急方案</w:t>
      </w:r>
      <w:r>
        <w:rPr>
          <w:rFonts w:hint="eastAsia"/>
          <w:szCs w:val="21"/>
        </w:rPr>
        <w:t>（格式自定）</w:t>
      </w:r>
    </w:p>
    <w:p w14:paraId="4F2F91F3">
      <w:pPr>
        <w:ind w:left="718" w:leftChars="342" w:firstLine="1417" w:firstLineChars="675"/>
        <w:rPr>
          <w:szCs w:val="21"/>
        </w:rPr>
      </w:pPr>
      <w:r>
        <w:rPr>
          <w:rFonts w:hint="eastAsia"/>
          <w:szCs w:val="21"/>
        </w:rPr>
        <w:t>（9）项目完成（服务期满）后的服务承诺（格式自定）</w:t>
      </w:r>
    </w:p>
    <w:p w14:paraId="0107BD13">
      <w:pPr>
        <w:ind w:left="718" w:leftChars="342" w:firstLine="1417" w:firstLineChars="675"/>
        <w:rPr>
          <w:szCs w:val="21"/>
        </w:rPr>
      </w:pPr>
      <w:r>
        <w:rPr>
          <w:rFonts w:hint="eastAsia"/>
          <w:szCs w:val="21"/>
        </w:rPr>
        <w:t>（10）违约承诺（格式自定）</w:t>
      </w:r>
    </w:p>
    <w:p w14:paraId="59C972C2">
      <w:pPr>
        <w:ind w:left="718" w:leftChars="342" w:firstLine="1417" w:firstLineChars="675"/>
        <w:rPr>
          <w:szCs w:val="21"/>
        </w:rPr>
      </w:pPr>
      <w:r>
        <w:rPr>
          <w:rFonts w:hint="eastAsia"/>
          <w:szCs w:val="21"/>
        </w:rPr>
        <w:t>（11）拟安排的项目负责人情况（仅限一人）（格式自定）</w:t>
      </w:r>
    </w:p>
    <w:p w14:paraId="7AB9D977">
      <w:pPr>
        <w:ind w:left="2167" w:leftChars="1007" w:hanging="52" w:hangingChars="25"/>
        <w:rPr>
          <w:szCs w:val="21"/>
        </w:rPr>
      </w:pPr>
      <w:r>
        <w:rPr>
          <w:rFonts w:hint="eastAsia"/>
          <w:szCs w:val="21"/>
        </w:rPr>
        <w:t>（12）拟安排的项目主要团队成员（主要技术人员）情况（项目负    责人除外）（格式自定）</w:t>
      </w:r>
    </w:p>
    <w:p w14:paraId="7DFBEDDE">
      <w:pPr>
        <w:ind w:left="718" w:leftChars="342" w:firstLine="1417" w:firstLineChars="675"/>
        <w:rPr>
          <w:szCs w:val="21"/>
        </w:rPr>
      </w:pPr>
      <w:r>
        <w:rPr>
          <w:rFonts w:hint="eastAsia"/>
          <w:szCs w:val="21"/>
        </w:rPr>
        <w:t>（13）</w:t>
      </w:r>
      <w:r>
        <w:rPr>
          <w:rFonts w:hint="eastAsia" w:ascii="宋体" w:hAnsi="宋体"/>
          <w:szCs w:val="21"/>
        </w:rPr>
        <w:t>供应商同类项目业绩情况</w:t>
      </w:r>
      <w:r>
        <w:rPr>
          <w:rFonts w:hint="eastAsia"/>
          <w:szCs w:val="21"/>
        </w:rPr>
        <w:t>（格式自定）</w:t>
      </w:r>
    </w:p>
    <w:p w14:paraId="7C19DF38">
      <w:pPr>
        <w:ind w:left="718" w:leftChars="342" w:firstLine="1417" w:firstLineChars="675"/>
        <w:rPr>
          <w:szCs w:val="21"/>
        </w:rPr>
      </w:pPr>
      <w:r>
        <w:rPr>
          <w:rFonts w:hint="eastAsia"/>
          <w:szCs w:val="21"/>
        </w:rPr>
        <w:t>（1</w:t>
      </w:r>
      <w:r>
        <w:rPr>
          <w:rFonts w:hint="eastAsia"/>
          <w:szCs w:val="21"/>
          <w:lang w:val="en-US" w:eastAsia="zh-CN"/>
        </w:rPr>
        <w:t>4</w:t>
      </w:r>
      <w:r>
        <w:rPr>
          <w:rFonts w:hint="eastAsia"/>
          <w:szCs w:val="21"/>
        </w:rPr>
        <w:t>）投标人认为需要加以说明的其他内容</w:t>
      </w:r>
    </w:p>
    <w:bookmarkEnd w:id="44"/>
    <w:p w14:paraId="3081AADA">
      <w:pPr>
        <w:rPr>
          <w:rFonts w:ascii="仿宋_GB2312" w:eastAsia="仿宋_GB2312"/>
          <w:sz w:val="24"/>
        </w:rPr>
      </w:pPr>
    </w:p>
    <w:p w14:paraId="68F44EE0">
      <w:pPr>
        <w:ind w:firstLine="426" w:firstLineChars="202"/>
        <w:rPr>
          <w:rFonts w:ascii="宋体" w:hAnsi="宋体"/>
          <w:b/>
          <w:szCs w:val="21"/>
        </w:rPr>
      </w:pPr>
      <w:r>
        <w:rPr>
          <w:rFonts w:hint="eastAsia" w:ascii="宋体" w:hAnsi="宋体"/>
          <w:b/>
          <w:szCs w:val="21"/>
        </w:rPr>
        <w:t>备注：</w:t>
      </w:r>
    </w:p>
    <w:p w14:paraId="187AAB96">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4894B42C">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4FC2DF92">
      <w:pPr>
        <w:jc w:val="left"/>
        <w:rPr>
          <w:rFonts w:ascii="宋体" w:hAnsi="宋体"/>
          <w:b/>
          <w:color w:val="FF0000"/>
          <w:sz w:val="36"/>
          <w:szCs w:val="36"/>
        </w:rPr>
      </w:pPr>
      <w:r>
        <w:rPr>
          <w:rFonts w:hint="eastAsia" w:ascii="宋体" w:hAnsi="宋体"/>
          <w:b/>
          <w:color w:val="FF0000"/>
          <w:sz w:val="36"/>
          <w:szCs w:val="36"/>
        </w:rPr>
        <w:br w:type="page"/>
      </w:r>
    </w:p>
    <w:p w14:paraId="39EF1514">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6818F61">
      <w:pPr>
        <w:pStyle w:val="3"/>
        <w:jc w:val="center"/>
        <w:rPr>
          <w:rFonts w:ascii="黑体" w:eastAsia="黑体"/>
          <w:b w:val="0"/>
          <w:kern w:val="0"/>
          <w:sz w:val="24"/>
        </w:rPr>
      </w:pPr>
      <w:r>
        <w:rPr>
          <w:rFonts w:hint="eastAsia" w:ascii="黑体" w:eastAsia="黑体"/>
          <w:b w:val="0"/>
          <w:kern w:val="0"/>
          <w:sz w:val="24"/>
        </w:rPr>
        <w:t>一、投标函</w:t>
      </w:r>
    </w:p>
    <w:p w14:paraId="2CE696B1">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C9305E">
      <w:pPr>
        <w:ind w:firstLine="420" w:firstLineChars="200"/>
        <w:rPr>
          <w:rFonts w:ascii="宋体" w:hAnsi="宋体"/>
          <w:szCs w:val="21"/>
        </w:rPr>
      </w:pPr>
      <w:bookmarkStart w:id="45" w:name="_Hlk73818812"/>
      <w:r>
        <w:rPr>
          <w:rFonts w:hint="eastAsia"/>
          <w:szCs w:val="21"/>
        </w:rPr>
        <w:t>1、根据已收到贵单位的项目编号为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46" w:name="_Hlk72263588"/>
      <w:r>
        <w:rPr>
          <w:rFonts w:hint="eastAsia"/>
          <w:szCs w:val="21"/>
        </w:rPr>
        <w:t>愿意按照招标文件要求承包上述项目并修补其任何缺陷。</w:t>
      </w:r>
      <w:bookmarkEnd w:id="46"/>
    </w:p>
    <w:p w14:paraId="1091BCF4">
      <w:pPr>
        <w:ind w:firstLine="420" w:firstLineChars="200"/>
        <w:rPr>
          <w:rFonts w:ascii="宋体" w:hAnsi="宋体"/>
          <w:szCs w:val="21"/>
        </w:rPr>
      </w:pPr>
      <w:r>
        <w:rPr>
          <w:rFonts w:ascii="宋体" w:hAnsi="宋体"/>
          <w:szCs w:val="21"/>
        </w:rPr>
        <w:t>2</w:t>
      </w:r>
      <w:r>
        <w:rPr>
          <w:rFonts w:hint="eastAsia" w:ascii="宋体" w:hAnsi="宋体"/>
          <w:szCs w:val="21"/>
        </w:rPr>
        <w:t>、投标价格见</w:t>
      </w:r>
      <w:r>
        <w:rPr>
          <w:rFonts w:hint="eastAsia"/>
          <w:szCs w:val="21"/>
        </w:rPr>
        <w:t>投标书编制软件中《开标一览表》中填写的投标总价。</w:t>
      </w:r>
    </w:p>
    <w:p w14:paraId="530BBB62">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52ABD55B">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78D7B4CB">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1BE01212">
      <w:pPr>
        <w:ind w:left="420" w:leftChars="200"/>
        <w:rPr>
          <w:rFonts w:ascii="宋体" w:hAnsi="宋体"/>
          <w:szCs w:val="21"/>
        </w:rPr>
      </w:pPr>
      <w:r>
        <w:rPr>
          <w:rFonts w:hint="eastAsia" w:ascii="宋体" w:hAnsi="宋体"/>
          <w:szCs w:val="21"/>
        </w:rPr>
        <w:t>6、我单位理解贵单位将不受必须接受所收到的最低报价或其它任何投标文件的约束。</w:t>
      </w:r>
      <w:bookmarkEnd w:id="45"/>
    </w:p>
    <w:p w14:paraId="39C52DDD">
      <w:pPr>
        <w:ind w:left="420" w:leftChars="200"/>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4AB8F120">
      <w:pPr>
        <w:ind w:left="420" w:leftChars="200"/>
        <w:rPr>
          <w:rFonts w:ascii="宋体" w:hAnsi="宋体"/>
          <w:b/>
          <w:szCs w:val="21"/>
        </w:rPr>
      </w:pPr>
    </w:p>
    <w:p w14:paraId="650DB67D">
      <w:pPr>
        <w:ind w:left="420" w:leftChars="200"/>
        <w:rPr>
          <w:rFonts w:ascii="宋体" w:hAnsi="宋体"/>
          <w:b/>
          <w:szCs w:val="21"/>
        </w:rPr>
      </w:pPr>
    </w:p>
    <w:p w14:paraId="229F236E">
      <w:pPr>
        <w:ind w:left="420" w:leftChars="200" w:firstLine="210" w:firstLineChars="100"/>
        <w:rPr>
          <w:szCs w:val="21"/>
        </w:rPr>
      </w:pPr>
      <w:r>
        <w:rPr>
          <w:rFonts w:hint="eastAsia"/>
          <w:szCs w:val="21"/>
        </w:rPr>
        <w:t>投标人：</w:t>
      </w:r>
      <w:r>
        <w:rPr>
          <w:rFonts w:hint="eastAsia"/>
          <w:szCs w:val="21"/>
          <w:u w:val="thick"/>
        </w:rPr>
        <w:t xml:space="preserve">       </w:t>
      </w:r>
      <w:r>
        <w:rPr>
          <w:rFonts w:hint="eastAsia"/>
          <w:szCs w:val="21"/>
        </w:rPr>
        <w:t>；  单位地址：</w:t>
      </w:r>
      <w:r>
        <w:rPr>
          <w:rFonts w:hint="eastAsia"/>
          <w:szCs w:val="21"/>
          <w:u w:val="thick"/>
        </w:rPr>
        <w:t xml:space="preserve">                    </w:t>
      </w:r>
      <w:r>
        <w:rPr>
          <w:rFonts w:hint="eastAsia"/>
          <w:szCs w:val="21"/>
        </w:rPr>
        <w:t>；</w:t>
      </w:r>
    </w:p>
    <w:p w14:paraId="348DB4CD">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71E76B84">
      <w:pPr>
        <w:ind w:left="420" w:leftChars="200" w:firstLine="210" w:firstLineChars="100"/>
        <w:rPr>
          <w:szCs w:val="21"/>
        </w:rPr>
      </w:pPr>
      <w:r>
        <w:rPr>
          <w:rFonts w:hint="eastAsia"/>
          <w:szCs w:val="21"/>
        </w:rPr>
        <w:t>电话：</w:t>
      </w:r>
      <w:r>
        <w:rPr>
          <w:rFonts w:hint="eastAsia"/>
          <w:szCs w:val="21"/>
          <w:u w:val="thick"/>
        </w:rPr>
        <w:t xml:space="preserve">         </w:t>
      </w:r>
      <w:r>
        <w:rPr>
          <w:rFonts w:hint="eastAsia"/>
          <w:szCs w:val="21"/>
        </w:rPr>
        <w:t xml:space="preserve"> ；     </w:t>
      </w:r>
    </w:p>
    <w:p w14:paraId="50C73AC1">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0BDD0739">
      <w:pPr>
        <w:ind w:left="420" w:leftChars="200"/>
        <w:rPr>
          <w:sz w:val="24"/>
        </w:rPr>
      </w:pPr>
      <w:r>
        <w:rPr>
          <w:rFonts w:hint="eastAsia"/>
          <w:sz w:val="24"/>
        </w:rPr>
        <w:t xml:space="preserve">                       </w:t>
      </w:r>
    </w:p>
    <w:p w14:paraId="1CB90DA7">
      <w:pPr>
        <w:rPr>
          <w:rFonts w:ascii="黑体" w:hAnsi="宋体" w:eastAsia="黑体"/>
        </w:rPr>
      </w:pPr>
    </w:p>
    <w:p w14:paraId="2A271FA6">
      <w:pPr>
        <w:rPr>
          <w:rFonts w:ascii="宋体" w:hAnsi="宋体"/>
          <w:szCs w:val="21"/>
        </w:rPr>
      </w:pPr>
    </w:p>
    <w:p w14:paraId="6AE61029">
      <w:pPr>
        <w:rPr>
          <w:rFonts w:ascii="黑体" w:eastAsia="黑体"/>
          <w:kern w:val="0"/>
          <w:sz w:val="24"/>
        </w:rPr>
      </w:pPr>
      <w:r>
        <w:rPr>
          <w:rFonts w:hint="eastAsia" w:ascii="黑体" w:eastAsia="黑体"/>
          <w:kern w:val="0"/>
          <w:sz w:val="24"/>
        </w:rPr>
        <w:br w:type="page"/>
      </w:r>
    </w:p>
    <w:p w14:paraId="3D2FABE4">
      <w:pPr>
        <w:pStyle w:val="3"/>
        <w:jc w:val="center"/>
        <w:rPr>
          <w:rFonts w:ascii="黑体" w:eastAsia="黑体"/>
          <w:b w:val="0"/>
          <w:kern w:val="0"/>
          <w:sz w:val="24"/>
        </w:rPr>
      </w:pPr>
      <w:r>
        <w:rPr>
          <w:rFonts w:hint="eastAsia" w:ascii="黑体" w:eastAsia="黑体"/>
          <w:b w:val="0"/>
          <w:kern w:val="0"/>
          <w:sz w:val="24"/>
        </w:rPr>
        <w:t>二、政府采购投标及履约承诺函</w:t>
      </w:r>
    </w:p>
    <w:p w14:paraId="75C4D7B6">
      <w:pPr>
        <w:spacing w:line="270" w:lineRule="exact"/>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7C7433C4">
      <w:pPr>
        <w:spacing w:line="270" w:lineRule="exact"/>
        <w:ind w:firstLine="420" w:firstLineChars="200"/>
        <w:rPr>
          <w:rFonts w:ascii="宋体" w:hAnsi="宋体"/>
          <w:szCs w:val="21"/>
        </w:rPr>
      </w:pPr>
      <w:r>
        <w:rPr>
          <w:rFonts w:hint="eastAsia" w:ascii="宋体" w:hAnsi="宋体"/>
          <w:szCs w:val="21"/>
        </w:rPr>
        <w:t>我单位承诺：</w:t>
      </w:r>
    </w:p>
    <w:p w14:paraId="7062E2BB">
      <w:pPr>
        <w:spacing w:line="270" w:lineRule="exact"/>
        <w:ind w:firstLine="420" w:firstLineChars="200"/>
      </w:pPr>
      <w:r>
        <w:rPr>
          <w:rFonts w:hint="eastAsia" w:ascii="宋体" w:hAnsi="宋体"/>
          <w:bCs/>
          <w:szCs w:val="21"/>
        </w:rPr>
        <w:t>1.我单位参与本项目符合资格条件关于联合体、进口产品的要求</w:t>
      </w:r>
      <w:r>
        <w:rPr>
          <w:rFonts w:hint="eastAsia"/>
        </w:rPr>
        <w:t>。</w:t>
      </w:r>
    </w:p>
    <w:p w14:paraId="0536E3CD">
      <w:pPr>
        <w:spacing w:line="270" w:lineRule="exact"/>
        <w:ind w:firstLine="420" w:firstLineChars="200"/>
        <w:rPr>
          <w:rFonts w:ascii="宋体" w:hAnsi="宋体"/>
          <w:szCs w:val="21"/>
        </w:rPr>
      </w:pPr>
      <w:r>
        <w:rPr>
          <w:rFonts w:hint="eastAsia" w:ascii="宋体" w:hAnsi="宋体"/>
          <w:szCs w:val="21"/>
        </w:rPr>
        <w:t>2.我单位参与本项目</w:t>
      </w:r>
      <w:r>
        <w:rPr>
          <w:rFonts w:hint="eastAsia" w:ascii="宋体" w:hAnsi="宋体"/>
        </w:rPr>
        <w:t>所投标（响应）的货物、工程或服务，不存在侵犯知识产权的情况。</w:t>
      </w:r>
    </w:p>
    <w:p w14:paraId="6ADD668C">
      <w:pPr>
        <w:spacing w:line="270" w:lineRule="exact"/>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p>
    <w:p w14:paraId="536689AB">
      <w:pPr>
        <w:spacing w:line="270" w:lineRule="exact"/>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08D99102">
      <w:pPr>
        <w:spacing w:line="270" w:lineRule="exact"/>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70AA5193">
      <w:pPr>
        <w:spacing w:line="270" w:lineRule="exact"/>
        <w:ind w:firstLine="420" w:firstLineChars="200"/>
      </w:pPr>
      <w:r>
        <w:rPr>
          <w:rFonts w:hint="eastAsia"/>
          <w:color w:val="FF0000"/>
        </w:rPr>
        <w:t>6.我单位不存在《深圳市财政局政府采购供应商信用信息管理办法》（深财规〔2023〕3号）列明的严重违法失信行为。</w:t>
      </w:r>
    </w:p>
    <w:p w14:paraId="5C115431">
      <w:pPr>
        <w:spacing w:line="270" w:lineRule="exact"/>
        <w:ind w:firstLine="420" w:firstLineChars="200"/>
        <w:rPr>
          <w:rFonts w:ascii="宋体" w:hAnsi="宋体"/>
          <w:szCs w:val="21"/>
        </w:rPr>
      </w:pPr>
      <w:r>
        <w:rPr>
          <w:rFonts w:hint="eastAsia" w:ascii="宋体" w:hAnsi="宋体"/>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2D4F16E7">
      <w:pPr>
        <w:spacing w:line="270" w:lineRule="exact"/>
        <w:ind w:firstLine="420" w:firstLineChars="200"/>
        <w:rPr>
          <w:rFonts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C1C8E77">
      <w:pPr>
        <w:spacing w:line="270" w:lineRule="exact"/>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FA54E3D">
      <w:pPr>
        <w:spacing w:line="270" w:lineRule="exact"/>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31787350">
      <w:pPr>
        <w:spacing w:line="270" w:lineRule="exact"/>
        <w:ind w:firstLine="420" w:firstLineChars="200"/>
        <w:rPr>
          <w:rFonts w:ascii="宋体" w:hAnsi="宋体"/>
          <w:szCs w:val="21"/>
        </w:rPr>
      </w:pPr>
      <w:r>
        <w:rPr>
          <w:rFonts w:hint="eastAsia" w:ascii="宋体" w:hAnsi="宋体"/>
          <w:szCs w:val="21"/>
        </w:rPr>
        <w:t>10.我单位承诺中标后项目不转包，未经采购人同意不进行分包。</w:t>
      </w:r>
    </w:p>
    <w:p w14:paraId="0CA6B5E2">
      <w:pPr>
        <w:spacing w:line="270" w:lineRule="exact"/>
        <w:ind w:firstLine="420" w:firstLineChars="200"/>
        <w:rPr>
          <w:rFonts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0DFE9990">
      <w:pPr>
        <w:spacing w:line="270" w:lineRule="exact"/>
        <w:ind w:firstLine="420" w:firstLineChars="200"/>
        <w:rPr>
          <w:rFonts w:ascii="宋体" w:hAnsi="宋体" w:cs="宋体"/>
          <w:b/>
          <w:kern w:val="0"/>
          <w:szCs w:val="21"/>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2F5E7891">
      <w:pPr>
        <w:spacing w:line="270" w:lineRule="exact"/>
        <w:ind w:firstLine="420" w:firstLineChars="200"/>
        <w:rPr>
          <w:rFonts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7641FED3">
      <w:pPr>
        <w:spacing w:line="270" w:lineRule="exact"/>
        <w:ind w:firstLine="420" w:firstLineChars="200"/>
        <w:rPr>
          <w:rFonts w:ascii="宋体" w:hAnsi="宋体"/>
          <w:bCs/>
        </w:rPr>
      </w:pPr>
      <w:r>
        <w:rPr>
          <w:rFonts w:hint="eastAsia" w:ascii="宋体" w:hAnsi="宋体"/>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2AAF2F8">
      <w:pPr>
        <w:spacing w:line="270" w:lineRule="exact"/>
        <w:ind w:firstLine="422" w:firstLineChars="200"/>
        <w:rPr>
          <w:rFonts w:ascii="宋体" w:hAnsi="宋体"/>
          <w:b/>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51C703D2">
      <w:pPr>
        <w:spacing w:line="270" w:lineRule="exact"/>
        <w:ind w:firstLine="420" w:firstLineChars="200"/>
        <w:rPr>
          <w:rFonts w:ascii="宋体" w:hAnsi="宋体"/>
          <w:bCs/>
        </w:rPr>
      </w:pPr>
      <w:r>
        <w:rPr>
          <w:rFonts w:hint="eastAsia" w:ascii="宋体" w:hAnsi="宋体"/>
          <w:bCs/>
        </w:rPr>
        <w:t>16.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3AB41FA5">
      <w:pPr>
        <w:spacing w:line="270" w:lineRule="exact"/>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601E49B3">
      <w:pPr>
        <w:spacing w:line="270" w:lineRule="exact"/>
        <w:ind w:firstLine="5460" w:firstLineChars="2600"/>
        <w:rPr>
          <w:color w:val="FF0000"/>
        </w:rPr>
      </w:pPr>
      <w:r>
        <w:rPr>
          <w:rFonts w:hint="eastAsia"/>
          <w:color w:val="FF0000"/>
          <w:szCs w:val="21"/>
        </w:rPr>
        <w:t>投标人：</w:t>
      </w:r>
      <w:r>
        <w:rPr>
          <w:rFonts w:hint="eastAsia"/>
          <w:color w:val="FF0000"/>
          <w:szCs w:val="21"/>
          <w:u w:val="single"/>
        </w:rPr>
        <w:t xml:space="preserve">              </w:t>
      </w:r>
      <w:r>
        <w:rPr>
          <w:rFonts w:hint="eastAsia"/>
          <w:color w:val="FF0000"/>
          <w:szCs w:val="21"/>
        </w:rPr>
        <w:t>；</w:t>
      </w:r>
    </w:p>
    <w:p w14:paraId="6538A00A">
      <w:pPr>
        <w:spacing w:line="270" w:lineRule="exact"/>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72F37C7F">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2CD1BEB1">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（一）投标人资格证明文件</w:t>
      </w:r>
    </w:p>
    <w:p w14:paraId="2CE7104A">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5EE7AF1F">
      <w:pPr>
        <w:rPr>
          <w:b/>
          <w:sz w:val="24"/>
        </w:rPr>
      </w:pPr>
      <w:r>
        <w:rPr>
          <w:b/>
          <w:sz w:val="24"/>
        </w:rPr>
        <w:br w:type="page"/>
      </w:r>
    </w:p>
    <w:p w14:paraId="46D771DB">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（二）中小企业声明函、残疾人福利性单位声明函及监狱企业声明函</w:t>
      </w:r>
    </w:p>
    <w:p w14:paraId="0618A905">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填写指引：</w:t>
      </w:r>
    </w:p>
    <w:p w14:paraId="75744B88">
      <w:pPr>
        <w:ind w:firstLine="420" w:firstLineChars="200"/>
        <w:outlineLvl w:val="3"/>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606BDFC9">
      <w:pPr>
        <w:ind w:firstLine="420" w:firstLineChars="200"/>
        <w:outlineLvl w:val="3"/>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5913C70F">
      <w:pPr>
        <w:ind w:firstLine="420" w:firstLineChars="200"/>
        <w:outlineLvl w:val="3"/>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2225FC8F">
      <w:pPr>
        <w:ind w:firstLine="420" w:firstLineChars="200"/>
        <w:outlineLvl w:val="3"/>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p>
    <w:p w14:paraId="346625B1">
      <w:pPr>
        <w:ind w:firstLine="420" w:firstLineChars="200"/>
        <w:outlineLvl w:val="3"/>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6A215DDA">
      <w:pPr>
        <w:ind w:firstLine="420" w:firstLineChars="200"/>
        <w:outlineLvl w:val="3"/>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405AE111">
      <w:pPr>
        <w:ind w:firstLine="420" w:firstLineChars="200"/>
        <w:outlineLvl w:val="3"/>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53E2D378">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1BFE35BC">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46B77007">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0ACAAC6C">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02DB25CA">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47042592">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55A8C8B">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494B488C">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CCBEF43">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12BE15CD">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4E40FF4B">
      <w:pPr>
        <w:pStyle w:val="59"/>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5A0EB704">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36C2A634">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6501507A">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7D6D3733">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本项目属于服务类项目，如包含硬件设备、产品等货物采购的，不再对其中涉及的货物制造商作出要求。</w:t>
      </w:r>
    </w:p>
    <w:p w14:paraId="0EFEE5E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6</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w:t>
      </w:r>
      <w:r>
        <w:rPr>
          <w:rFonts w:hint="eastAsia" w:ascii="黑体" w:hAnsi="宋体" w:eastAsia="黑体"/>
          <w:bCs/>
          <w:color w:val="FF0000"/>
          <w:kern w:val="0"/>
          <w:szCs w:val="21"/>
          <w:lang w:val="en-US" w:eastAsia="zh-CN"/>
        </w:rPr>
        <w:t>不</w:t>
      </w:r>
      <w:r>
        <w:rPr>
          <w:rFonts w:hint="eastAsia" w:ascii="黑体" w:hAnsi="宋体" w:eastAsia="黑体"/>
          <w:bCs/>
          <w:color w:val="FF0000"/>
          <w:kern w:val="0"/>
          <w:szCs w:val="21"/>
        </w:rPr>
        <w:t>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2B52F54E">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7</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39720CD4">
      <w:pPr>
        <w:pStyle w:val="19"/>
      </w:pPr>
    </w:p>
    <w:p w14:paraId="75C559B6">
      <w:pPr>
        <w:numPr>
          <w:ilvl w:val="-1"/>
          <w:numId w:val="0"/>
        </w:numPr>
        <w:jc w:val="center"/>
        <w:outlineLvl w:val="3"/>
        <w:rPr>
          <w:b/>
          <w:sz w:val="24"/>
        </w:rPr>
      </w:pPr>
      <w:r>
        <w:rPr>
          <w:rFonts w:hint="eastAsia"/>
          <w:b/>
          <w:sz w:val="24"/>
          <w:lang w:val="en-US" w:eastAsia="zh-CN"/>
        </w:rPr>
        <w:t>1.</w:t>
      </w:r>
      <w:r>
        <w:rPr>
          <w:b/>
          <w:sz w:val="24"/>
        </w:rPr>
        <w:t>中小企业声明函（</w:t>
      </w:r>
      <w:r>
        <w:rPr>
          <w:rFonts w:hint="eastAsia"/>
          <w:b/>
          <w:sz w:val="24"/>
        </w:rPr>
        <w:t>服务</w:t>
      </w:r>
      <w:r>
        <w:rPr>
          <w:b/>
          <w:sz w:val="24"/>
        </w:rPr>
        <w:t>）</w:t>
      </w:r>
    </w:p>
    <w:p w14:paraId="0602DE2C">
      <w:pPr>
        <w:pStyle w:val="18"/>
      </w:pPr>
    </w:p>
    <w:p w14:paraId="22B36ED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3A259A7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707737A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14AE16E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01947E9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2460F99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499E1865">
      <w:pPr>
        <w:spacing w:line="360" w:lineRule="auto"/>
        <w:ind w:firstLine="420" w:firstLineChars="200"/>
        <w:rPr>
          <w:rFonts w:asciiTheme="minorEastAsia" w:hAnsiTheme="minorEastAsia" w:eastAsiaTheme="minorEastAsia" w:cstheme="minorEastAsia"/>
          <w:szCs w:val="21"/>
        </w:rPr>
      </w:pPr>
      <w:bookmarkStart w:id="47"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7"/>
    </w:p>
    <w:p w14:paraId="7ED78396">
      <w:pPr>
        <w:ind w:firstLine="420" w:firstLineChars="200"/>
      </w:pPr>
    </w:p>
    <w:p w14:paraId="1CDA860E">
      <w:pPr>
        <w:jc w:val="center"/>
        <w:outlineLvl w:val="3"/>
        <w:rPr>
          <w:b/>
          <w:sz w:val="24"/>
        </w:rPr>
      </w:pPr>
      <w:r>
        <w:rPr>
          <w:rFonts w:hint="eastAsia"/>
          <w:b/>
          <w:sz w:val="24"/>
        </w:rPr>
        <w:t>2、残疾人福利性单位声明函（服务类）</w:t>
      </w:r>
    </w:p>
    <w:p w14:paraId="344C07CC">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799A825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5DEA1DF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2142D327">
      <w:pPr>
        <w:ind w:firstLine="420" w:firstLineChars="200"/>
        <w:rPr>
          <w:rFonts w:ascii="宋体" w:hAnsi="宋体"/>
          <w:szCs w:val="21"/>
        </w:rPr>
      </w:pPr>
    </w:p>
    <w:p w14:paraId="6B73722E">
      <w:pPr>
        <w:ind w:firstLine="420" w:firstLineChars="200"/>
        <w:rPr>
          <w:rFonts w:ascii="宋体" w:hAnsi="宋体"/>
          <w:szCs w:val="21"/>
        </w:rPr>
      </w:pPr>
    </w:p>
    <w:p w14:paraId="299A1521">
      <w:pPr>
        <w:ind w:firstLine="420" w:firstLineChars="200"/>
        <w:rPr>
          <w:rFonts w:ascii="宋体" w:hAnsi="宋体"/>
          <w:szCs w:val="21"/>
        </w:rPr>
      </w:pPr>
    </w:p>
    <w:p w14:paraId="7DC23993">
      <w:pPr>
        <w:jc w:val="center"/>
        <w:outlineLvl w:val="3"/>
        <w:rPr>
          <w:b/>
          <w:sz w:val="24"/>
        </w:rPr>
      </w:pPr>
      <w:r>
        <w:rPr>
          <w:rFonts w:hint="eastAsia"/>
          <w:b/>
          <w:sz w:val="24"/>
        </w:rPr>
        <w:t>3、监狱企业声明函【服务类，监狱企业如需享受优惠政策，还须另行提供省级以上监狱管理局、戒毒管理局（含新疆生产建设兵团）出具的监狱企业证明文件】</w:t>
      </w:r>
    </w:p>
    <w:p w14:paraId="68E5344F">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7D28DB51">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41AF1B1A">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72E7154E">
      <w:pPr>
        <w:ind w:firstLine="420" w:firstLineChars="200"/>
        <w:rPr>
          <w:rFonts w:ascii="宋体" w:hAnsi="宋体"/>
          <w:szCs w:val="21"/>
        </w:rPr>
      </w:pPr>
      <w:r>
        <w:rPr>
          <w:rFonts w:ascii="宋体" w:hAnsi="宋体"/>
          <w:szCs w:val="21"/>
        </w:rPr>
        <w:t xml:space="preserve">…… </w:t>
      </w:r>
    </w:p>
    <w:p w14:paraId="3500031C">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2FE27E41">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21BA3B41"/>
    <w:p w14:paraId="76C26535">
      <w:pPr>
        <w:rPr>
          <w:rFonts w:ascii="黑体" w:hAnsi="宋体" w:eastAsia="黑体"/>
          <w:bCs/>
          <w:sz w:val="24"/>
        </w:rPr>
      </w:pPr>
      <w:r>
        <w:rPr>
          <w:rFonts w:hint="eastAsia" w:ascii="黑体" w:hAnsi="宋体" w:eastAsia="黑体"/>
          <w:bCs/>
          <w:sz w:val="24"/>
        </w:rPr>
        <w:br w:type="page"/>
      </w:r>
    </w:p>
    <w:p w14:paraId="72F83CD7">
      <w:pPr>
        <w:pStyle w:val="5"/>
        <w:jc w:val="left"/>
        <w:rPr>
          <w:rFonts w:ascii="黑体" w:hAnsi="黑体" w:eastAsia="黑体" w:cs="黑体"/>
          <w:b w:val="0"/>
          <w:szCs w:val="24"/>
        </w:rPr>
      </w:pPr>
      <w:r>
        <w:rPr>
          <w:rFonts w:hint="eastAsia" w:ascii="黑体" w:hAnsi="黑体" w:eastAsia="黑体" w:cs="黑体"/>
          <w:b w:val="0"/>
          <w:szCs w:val="24"/>
        </w:rPr>
        <w:t>四、供应商认证情况（格式自定）</w:t>
      </w:r>
    </w:p>
    <w:p w14:paraId="3959BB9E">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7ACA228D">
      <w:pPr>
        <w:spacing w:line="360" w:lineRule="auto"/>
        <w:rPr>
          <w:b/>
          <w:bCs/>
          <w:color w:val="FF0000"/>
          <w:sz w:val="22"/>
          <w:szCs w:val="22"/>
        </w:rPr>
      </w:pPr>
    </w:p>
    <w:p w14:paraId="18CD477D">
      <w:pPr>
        <w:pStyle w:val="5"/>
        <w:jc w:val="both"/>
        <w:rPr>
          <w:rFonts w:ascii="黑体" w:hAnsi="黑体" w:eastAsia="黑体" w:cs="黑体"/>
          <w:b w:val="0"/>
          <w:szCs w:val="24"/>
        </w:rPr>
      </w:pPr>
      <w:r>
        <w:rPr>
          <w:rFonts w:hint="eastAsia" w:ascii="黑体" w:hAnsi="黑体" w:eastAsia="黑体" w:cs="黑体"/>
          <w:b w:val="0"/>
          <w:szCs w:val="24"/>
        </w:rPr>
        <w:t>五、供应商获奖情况（格式自定）</w:t>
      </w:r>
    </w:p>
    <w:p w14:paraId="775567C9">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6E57797B">
      <w:pPr>
        <w:spacing w:line="360" w:lineRule="auto"/>
        <w:rPr>
          <w:b/>
          <w:bCs/>
          <w:color w:val="FF0000"/>
          <w:sz w:val="22"/>
          <w:szCs w:val="22"/>
        </w:rPr>
      </w:pPr>
    </w:p>
    <w:p w14:paraId="55535FF6">
      <w:pPr>
        <w:pStyle w:val="5"/>
        <w:jc w:val="both"/>
        <w:rPr>
          <w:rFonts w:ascii="黑体" w:hAnsi="黑体" w:eastAsia="黑体" w:cs="黑体"/>
          <w:b w:val="0"/>
          <w:szCs w:val="24"/>
        </w:rPr>
      </w:pPr>
      <w:r>
        <w:rPr>
          <w:rFonts w:hint="eastAsia" w:ascii="黑体" w:hAnsi="黑体" w:eastAsia="黑体" w:cs="黑体"/>
          <w:b w:val="0"/>
          <w:szCs w:val="24"/>
        </w:rPr>
        <w:t>六、服务网点</w:t>
      </w:r>
    </w:p>
    <w:p w14:paraId="10ED6E9C">
      <w:pPr>
        <w:spacing w:line="360" w:lineRule="auto"/>
        <w:jc w:val="center"/>
        <w:rPr>
          <w:sz w:val="22"/>
          <w:szCs w:val="22"/>
        </w:rPr>
      </w:pPr>
      <w:r>
        <w:rPr>
          <w:rFonts w:hint="eastAsia"/>
          <w:sz w:val="22"/>
          <w:szCs w:val="22"/>
        </w:rPr>
        <w:t>承诺函</w:t>
      </w:r>
    </w:p>
    <w:p w14:paraId="5DF5D5E1">
      <w:pPr>
        <w:spacing w:line="360" w:lineRule="auto"/>
        <w:rPr>
          <w:sz w:val="22"/>
          <w:szCs w:val="22"/>
        </w:rPr>
      </w:pPr>
      <w:r>
        <w:rPr>
          <w:rFonts w:hint="eastAsia"/>
          <w:sz w:val="22"/>
          <w:szCs w:val="22"/>
        </w:rPr>
        <w:t>致：深圳公共资源交易中心、采购人</w:t>
      </w:r>
    </w:p>
    <w:p w14:paraId="28D350CA">
      <w:pPr>
        <w:spacing w:line="360" w:lineRule="auto"/>
        <w:ind w:firstLine="440" w:firstLineChars="200"/>
        <w:rPr>
          <w:sz w:val="22"/>
          <w:szCs w:val="22"/>
        </w:rPr>
      </w:pPr>
      <w:r>
        <w:rPr>
          <w:rFonts w:hint="eastAsia"/>
          <w:sz w:val="22"/>
          <w:szCs w:val="22"/>
        </w:rPr>
        <w:t>我单位承诺，中标后为本项目提供本地经营（服务）网点，如不遵守相应承诺，愿按违约处理，并承担由此给采购人带来的损失。</w:t>
      </w:r>
    </w:p>
    <w:p w14:paraId="63832E4F">
      <w:pPr>
        <w:spacing w:line="360" w:lineRule="auto"/>
        <w:ind w:right="960" w:firstLine="4840" w:firstLineChars="2200"/>
        <w:rPr>
          <w:sz w:val="22"/>
          <w:szCs w:val="22"/>
        </w:rPr>
      </w:pPr>
      <w:r>
        <w:rPr>
          <w:rFonts w:hint="eastAsia"/>
          <w:sz w:val="22"/>
          <w:szCs w:val="22"/>
        </w:rPr>
        <w:t>投标人：</w:t>
      </w:r>
      <w:r>
        <w:rPr>
          <w:rFonts w:hint="eastAsia" w:asciiTheme="minorEastAsia" w:hAnsiTheme="minorEastAsia" w:eastAsiaTheme="minorEastAsia" w:cstheme="minorEastAsia"/>
          <w:b/>
          <w:bCs/>
          <w:i/>
          <w:iCs/>
          <w:sz w:val="20"/>
          <w:szCs w:val="20"/>
          <w:u w:val="single"/>
        </w:rPr>
        <w:t xml:space="preserve">          </w:t>
      </w:r>
      <w:r>
        <w:rPr>
          <w:rFonts w:hint="eastAsia" w:asciiTheme="minorEastAsia" w:hAnsiTheme="minorEastAsia" w:eastAsiaTheme="minorEastAsia" w:cstheme="minorEastAsia"/>
          <w:sz w:val="20"/>
          <w:szCs w:val="20"/>
        </w:rPr>
        <w:t>；</w:t>
      </w:r>
    </w:p>
    <w:p w14:paraId="077E64D5">
      <w:pPr>
        <w:spacing w:line="360" w:lineRule="auto"/>
        <w:rPr>
          <w:sz w:val="22"/>
          <w:szCs w:val="22"/>
        </w:rPr>
      </w:pPr>
      <w:r>
        <w:rPr>
          <w:rFonts w:hint="eastAsia"/>
          <w:sz w:val="22"/>
          <w:szCs w:val="22"/>
        </w:rPr>
        <w:t xml:space="preserve">                                            日期：</w:t>
      </w:r>
      <w:r>
        <w:rPr>
          <w:rFonts w:hint="eastAsia" w:asciiTheme="minorEastAsia" w:hAnsiTheme="minorEastAsia" w:eastAsiaTheme="minorEastAsia" w:cstheme="minorEastAsia"/>
          <w:b/>
          <w:bCs/>
          <w:i/>
          <w:iCs/>
          <w:sz w:val="20"/>
          <w:szCs w:val="20"/>
          <w:u w:val="single"/>
        </w:rPr>
        <w:t xml:space="preserve">    </w:t>
      </w:r>
      <w:r>
        <w:rPr>
          <w:rFonts w:hint="eastAsia"/>
          <w:sz w:val="22"/>
          <w:szCs w:val="22"/>
        </w:rPr>
        <w:t>年</w:t>
      </w:r>
      <w:r>
        <w:rPr>
          <w:rFonts w:hint="eastAsia" w:asciiTheme="minorEastAsia" w:hAnsiTheme="minorEastAsia" w:eastAsiaTheme="minorEastAsia" w:cstheme="minorEastAsia"/>
          <w:b/>
          <w:bCs/>
          <w:i/>
          <w:iCs/>
          <w:sz w:val="20"/>
          <w:szCs w:val="20"/>
          <w:u w:val="single"/>
        </w:rPr>
        <w:t xml:space="preserve">    </w:t>
      </w:r>
      <w:r>
        <w:rPr>
          <w:rFonts w:hint="eastAsia"/>
          <w:sz w:val="22"/>
          <w:szCs w:val="22"/>
        </w:rPr>
        <w:t xml:space="preserve">月 </w:t>
      </w:r>
      <w:r>
        <w:rPr>
          <w:rFonts w:hint="eastAsia" w:asciiTheme="minorEastAsia" w:hAnsiTheme="minorEastAsia" w:eastAsiaTheme="minorEastAsia" w:cstheme="minorEastAsia"/>
          <w:b/>
          <w:bCs/>
          <w:i/>
          <w:iCs/>
          <w:sz w:val="20"/>
          <w:szCs w:val="20"/>
          <w:u w:val="single"/>
        </w:rPr>
        <w:t xml:space="preserve">    </w:t>
      </w:r>
      <w:r>
        <w:rPr>
          <w:rFonts w:hint="eastAsia"/>
          <w:sz w:val="22"/>
          <w:szCs w:val="22"/>
        </w:rPr>
        <w:t>日</w:t>
      </w:r>
    </w:p>
    <w:p w14:paraId="1075301D">
      <w:pPr>
        <w:spacing w:line="360" w:lineRule="auto"/>
        <w:rPr>
          <w:sz w:val="24"/>
        </w:rPr>
      </w:pPr>
    </w:p>
    <w:p w14:paraId="2C75A3D3">
      <w:pPr>
        <w:spacing w:line="360" w:lineRule="auto"/>
        <w:rPr>
          <w:sz w:val="24"/>
        </w:rPr>
      </w:pPr>
    </w:p>
    <w:p w14:paraId="542A6F28">
      <w:pPr>
        <w:spacing w:line="360" w:lineRule="auto"/>
        <w:rPr>
          <w:b/>
          <w:bCs/>
          <w:color w:val="FF0000"/>
          <w:sz w:val="20"/>
          <w:szCs w:val="22"/>
        </w:rPr>
      </w:pPr>
      <w:r>
        <w:rPr>
          <w:rFonts w:hint="eastAsia"/>
          <w:b/>
          <w:bCs/>
          <w:color w:val="FF0000"/>
          <w:sz w:val="22"/>
          <w:szCs w:val="22"/>
        </w:rPr>
        <w:t>（特别提示：投标人须按本招标文件评标信息中这一评审因素要求并按以上模板要求提供承诺函，否则将按不得分处理）</w:t>
      </w:r>
    </w:p>
    <w:p w14:paraId="524C27D5">
      <w:pPr>
        <w:spacing w:line="360" w:lineRule="auto"/>
        <w:rPr>
          <w:b/>
          <w:bCs/>
          <w:color w:val="FF0000"/>
          <w:sz w:val="20"/>
          <w:szCs w:val="22"/>
        </w:rPr>
      </w:pPr>
    </w:p>
    <w:p w14:paraId="2061F4CA"/>
    <w:p w14:paraId="462A586F"/>
    <w:p w14:paraId="7F49706B"/>
    <w:p w14:paraId="2E3187CD">
      <w:pPr>
        <w:ind w:firstLine="1446" w:firstLineChars="600"/>
        <w:rPr>
          <w:b/>
          <w:color w:val="FF0000"/>
          <w:sz w:val="24"/>
        </w:rPr>
      </w:pPr>
      <w:r>
        <w:rPr>
          <w:rFonts w:hint="eastAsia"/>
          <w:b/>
          <w:color w:val="FF0000"/>
          <w:sz w:val="24"/>
        </w:rPr>
        <w:t>（信息公开部分的内容到此为止！以下为信息不公开部分。）</w:t>
      </w:r>
    </w:p>
    <w:p w14:paraId="5E980C4B">
      <w:pPr>
        <w:rPr>
          <w:rFonts w:ascii="仿宋_GB2312" w:eastAsia="仿宋_GB2312"/>
          <w:b/>
          <w:sz w:val="30"/>
          <w:szCs w:val="30"/>
        </w:rPr>
      </w:pPr>
      <w:r>
        <w:rPr>
          <w:rFonts w:hint="eastAsia" w:ascii="仿宋_GB2312" w:eastAsia="仿宋_GB2312"/>
          <w:b/>
          <w:sz w:val="30"/>
          <w:szCs w:val="30"/>
        </w:rPr>
        <w:br w:type="page"/>
      </w:r>
    </w:p>
    <w:p w14:paraId="3EC04DF2">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7EE32E2C">
      <w:pPr>
        <w:pStyle w:val="59"/>
        <w:rPr>
          <w:rFonts w:ascii="宋体" w:hAnsi="宋体"/>
          <w:b/>
          <w:color w:val="FF0000"/>
          <w:sz w:val="28"/>
          <w:szCs w:val="28"/>
        </w:rPr>
      </w:pPr>
    </w:p>
    <w:p w14:paraId="47F810BE">
      <w:pPr>
        <w:snapToGrid w:val="0"/>
        <w:jc w:val="center"/>
        <w:outlineLvl w:val="1"/>
        <w:rPr>
          <w:rFonts w:ascii="黑体" w:hAnsi="宋体" w:eastAsia="黑体"/>
          <w:bCs/>
          <w:sz w:val="24"/>
          <w:szCs w:val="32"/>
        </w:rPr>
      </w:pPr>
      <w:r>
        <w:rPr>
          <w:rFonts w:hint="eastAsia" w:ascii="黑体" w:hAnsi="宋体" w:eastAsia="黑体"/>
          <w:bCs/>
          <w:sz w:val="24"/>
          <w:szCs w:val="32"/>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627"/>
        <w:gridCol w:w="1670"/>
        <w:gridCol w:w="699"/>
        <w:gridCol w:w="732"/>
        <w:gridCol w:w="1116"/>
        <w:gridCol w:w="1391"/>
        <w:gridCol w:w="1384"/>
      </w:tblGrid>
      <w:tr w14:paraId="5AB7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8" w:type="pct"/>
            <w:gridSpan w:val="2"/>
            <w:vAlign w:val="center"/>
          </w:tcPr>
          <w:p w14:paraId="2A26EB48">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1AC6607B">
            <w:pPr>
              <w:jc w:val="center"/>
              <w:rPr>
                <w:rFonts w:ascii="宋体" w:hAnsi="宋体" w:cs="宋体"/>
                <w:szCs w:val="21"/>
              </w:rPr>
            </w:pPr>
          </w:p>
        </w:tc>
        <w:tc>
          <w:tcPr>
            <w:tcW w:w="1113" w:type="pct"/>
            <w:gridSpan w:val="2"/>
            <w:vAlign w:val="center"/>
          </w:tcPr>
          <w:p w14:paraId="5415BB8C">
            <w:pPr>
              <w:jc w:val="center"/>
              <w:rPr>
                <w:rFonts w:ascii="宋体" w:hAnsi="宋体" w:cs="宋体"/>
                <w:szCs w:val="21"/>
              </w:rPr>
            </w:pPr>
            <w:r>
              <w:rPr>
                <w:rFonts w:hint="eastAsia" w:ascii="宋体" w:hAnsi="宋体" w:cs="宋体"/>
                <w:szCs w:val="21"/>
              </w:rPr>
              <w:t>项目名称及编号</w:t>
            </w:r>
          </w:p>
        </w:tc>
        <w:tc>
          <w:tcPr>
            <w:tcW w:w="1670" w:type="pct"/>
            <w:gridSpan w:val="2"/>
            <w:vAlign w:val="center"/>
          </w:tcPr>
          <w:p w14:paraId="15EC2E05">
            <w:pPr>
              <w:jc w:val="center"/>
              <w:rPr>
                <w:rFonts w:ascii="宋体" w:hAnsi="宋体" w:cs="宋体"/>
                <w:szCs w:val="21"/>
              </w:rPr>
            </w:pPr>
          </w:p>
        </w:tc>
      </w:tr>
      <w:tr w14:paraId="6DAD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5CF62712">
            <w:pPr>
              <w:jc w:val="center"/>
              <w:rPr>
                <w:rFonts w:ascii="宋体" w:hAnsi="宋体" w:cs="宋体"/>
                <w:szCs w:val="21"/>
              </w:rPr>
            </w:pPr>
            <w:r>
              <w:rPr>
                <w:rFonts w:hint="eastAsia" w:ascii="宋体" w:hAnsi="宋体" w:cs="宋体"/>
                <w:b/>
                <w:bCs/>
                <w:szCs w:val="21"/>
              </w:rPr>
              <w:t>投标（响应）供应商相关人员情况</w:t>
            </w:r>
          </w:p>
        </w:tc>
      </w:tr>
      <w:tr w14:paraId="3D75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6800D299">
            <w:pPr>
              <w:snapToGrid w:val="0"/>
              <w:jc w:val="center"/>
              <w:rPr>
                <w:rFonts w:ascii="宋体" w:hAnsi="宋体" w:cs="宋体"/>
                <w:szCs w:val="21"/>
              </w:rPr>
            </w:pPr>
            <w:r>
              <w:rPr>
                <w:rFonts w:hint="eastAsia" w:ascii="宋体" w:hAnsi="宋体" w:cs="宋体"/>
                <w:szCs w:val="21"/>
              </w:rPr>
              <w:t>序号</w:t>
            </w:r>
          </w:p>
        </w:tc>
        <w:tc>
          <w:tcPr>
            <w:tcW w:w="1384" w:type="pct"/>
            <w:gridSpan w:val="2"/>
            <w:tcBorders>
              <w:bottom w:val="single" w:color="auto" w:sz="4" w:space="0"/>
            </w:tcBorders>
            <w:vAlign w:val="center"/>
          </w:tcPr>
          <w:p w14:paraId="4A3572A6">
            <w:pPr>
              <w:jc w:val="center"/>
              <w:rPr>
                <w:rFonts w:ascii="宋体" w:hAnsi="宋体" w:cs="宋体"/>
                <w:szCs w:val="21"/>
              </w:rPr>
            </w:pPr>
            <w:r>
              <w:rPr>
                <w:rFonts w:hint="eastAsia" w:ascii="宋体" w:hAnsi="宋体" w:cs="宋体"/>
                <w:szCs w:val="21"/>
              </w:rPr>
              <w:t>职务</w:t>
            </w:r>
          </w:p>
        </w:tc>
        <w:tc>
          <w:tcPr>
            <w:tcW w:w="421" w:type="pct"/>
            <w:tcBorders>
              <w:bottom w:val="single" w:color="auto" w:sz="4" w:space="0"/>
            </w:tcBorders>
            <w:vAlign w:val="center"/>
          </w:tcPr>
          <w:p w14:paraId="0EB7913F">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429544BE">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58429B5A">
            <w:pPr>
              <w:snapToGrid w:val="0"/>
              <w:jc w:val="center"/>
              <w:rPr>
                <w:rFonts w:ascii="宋体" w:hAnsi="宋体" w:cs="宋体"/>
                <w:szCs w:val="21"/>
              </w:rPr>
            </w:pPr>
            <w:r>
              <w:rPr>
                <w:rFonts w:hint="eastAsia" w:ascii="宋体" w:hAnsi="宋体" w:cs="宋体"/>
                <w:szCs w:val="21"/>
              </w:rPr>
              <w:t>劳动合同</w:t>
            </w:r>
          </w:p>
          <w:p w14:paraId="36CA2120">
            <w:pPr>
              <w:snapToGrid w:val="0"/>
              <w:jc w:val="center"/>
              <w:rPr>
                <w:rFonts w:ascii="宋体" w:hAnsi="宋体" w:cs="宋体"/>
                <w:szCs w:val="21"/>
              </w:rPr>
            </w:pPr>
            <w:r>
              <w:rPr>
                <w:rFonts w:hint="eastAsia" w:ascii="宋体" w:hAnsi="宋体" w:cs="宋体"/>
                <w:szCs w:val="21"/>
              </w:rPr>
              <w:t>关系单位</w:t>
            </w:r>
          </w:p>
        </w:tc>
        <w:tc>
          <w:tcPr>
            <w:tcW w:w="832" w:type="pct"/>
            <w:tcBorders>
              <w:bottom w:val="single" w:color="auto" w:sz="4" w:space="0"/>
            </w:tcBorders>
            <w:vAlign w:val="center"/>
          </w:tcPr>
          <w:p w14:paraId="1AE04461">
            <w:pPr>
              <w:snapToGrid w:val="0"/>
              <w:jc w:val="center"/>
              <w:rPr>
                <w:rFonts w:ascii="宋体" w:hAnsi="宋体" w:cs="宋体"/>
                <w:szCs w:val="21"/>
              </w:rPr>
            </w:pPr>
            <w:r>
              <w:rPr>
                <w:rFonts w:hint="eastAsia" w:ascii="宋体" w:hAnsi="宋体" w:cs="宋体"/>
                <w:szCs w:val="21"/>
              </w:rPr>
              <w:t>缴纳社会</w:t>
            </w:r>
          </w:p>
          <w:p w14:paraId="3BEED6E6">
            <w:pPr>
              <w:snapToGrid w:val="0"/>
              <w:jc w:val="center"/>
              <w:rPr>
                <w:rFonts w:ascii="宋体" w:hAnsi="宋体" w:cs="宋体"/>
                <w:szCs w:val="21"/>
              </w:rPr>
            </w:pPr>
            <w:r>
              <w:rPr>
                <w:rFonts w:hint="eastAsia" w:ascii="宋体" w:hAnsi="宋体" w:cs="宋体"/>
                <w:szCs w:val="21"/>
              </w:rPr>
              <w:t>保险单位</w:t>
            </w:r>
          </w:p>
        </w:tc>
      </w:tr>
      <w:tr w14:paraId="2D3A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108CA104">
            <w:pPr>
              <w:jc w:val="center"/>
              <w:rPr>
                <w:rFonts w:ascii="宋体" w:hAnsi="宋体" w:cs="宋体"/>
                <w:szCs w:val="21"/>
              </w:rPr>
            </w:pPr>
            <w:r>
              <w:rPr>
                <w:rFonts w:hint="eastAsia" w:ascii="宋体" w:hAnsi="宋体" w:cs="宋体"/>
                <w:szCs w:val="21"/>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58BDFE90">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421" w:type="pct"/>
            <w:tcBorders>
              <w:top w:val="single" w:color="auto" w:sz="4" w:space="0"/>
              <w:left w:val="single" w:color="auto" w:sz="4" w:space="0"/>
              <w:bottom w:val="single" w:color="auto" w:sz="4" w:space="0"/>
              <w:right w:val="single" w:color="auto" w:sz="4" w:space="0"/>
            </w:tcBorders>
            <w:vAlign w:val="center"/>
          </w:tcPr>
          <w:p w14:paraId="44AC027D">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7AF27304">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524A83B4">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4D37D5AF">
            <w:pPr>
              <w:jc w:val="center"/>
              <w:rPr>
                <w:rFonts w:ascii="宋体" w:hAnsi="宋体" w:cs="宋体"/>
                <w:szCs w:val="21"/>
              </w:rPr>
            </w:pPr>
          </w:p>
        </w:tc>
      </w:tr>
      <w:tr w14:paraId="51216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02D15C14">
            <w:pPr>
              <w:jc w:val="center"/>
              <w:rPr>
                <w:rFonts w:ascii="宋体" w:hAnsi="宋体" w:cs="宋体"/>
                <w:szCs w:val="21"/>
              </w:rPr>
            </w:pPr>
            <w:r>
              <w:rPr>
                <w:rFonts w:hint="eastAsia" w:ascii="宋体" w:hAnsi="宋体" w:cs="宋体"/>
                <w:szCs w:val="21"/>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631F8062">
            <w:pPr>
              <w:jc w:val="center"/>
              <w:rPr>
                <w:rFonts w:ascii="宋体" w:hAnsi="宋体" w:cs="宋体"/>
                <w:szCs w:val="21"/>
              </w:rPr>
            </w:pPr>
            <w:r>
              <w:rPr>
                <w:rFonts w:hint="eastAsia" w:ascii="宋体" w:hAnsi="宋体" w:cs="宋体"/>
                <w:szCs w:val="21"/>
              </w:rPr>
              <w:t>项目投标授权代表人</w:t>
            </w:r>
          </w:p>
        </w:tc>
        <w:tc>
          <w:tcPr>
            <w:tcW w:w="421" w:type="pct"/>
            <w:tcBorders>
              <w:top w:val="single" w:color="auto" w:sz="4" w:space="0"/>
              <w:left w:val="single" w:color="auto" w:sz="4" w:space="0"/>
              <w:bottom w:val="single" w:color="auto" w:sz="4" w:space="0"/>
              <w:right w:val="single" w:color="auto" w:sz="4" w:space="0"/>
            </w:tcBorders>
            <w:vAlign w:val="center"/>
          </w:tcPr>
          <w:p w14:paraId="199A4322">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47745F4D">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B128ED1">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5E60C4B2">
            <w:pPr>
              <w:jc w:val="center"/>
              <w:rPr>
                <w:rFonts w:ascii="宋体" w:hAnsi="宋体" w:cs="宋体"/>
                <w:szCs w:val="21"/>
              </w:rPr>
            </w:pPr>
          </w:p>
        </w:tc>
      </w:tr>
      <w:tr w14:paraId="1547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tcBorders>
            <w:vAlign w:val="center"/>
          </w:tcPr>
          <w:p w14:paraId="2CCD8EC4">
            <w:pPr>
              <w:jc w:val="center"/>
              <w:rPr>
                <w:rFonts w:ascii="宋体" w:hAnsi="宋体" w:cs="宋体"/>
                <w:szCs w:val="21"/>
              </w:rPr>
            </w:pPr>
            <w:r>
              <w:rPr>
                <w:rFonts w:hint="eastAsia" w:ascii="宋体" w:hAnsi="宋体" w:cs="宋体"/>
                <w:szCs w:val="21"/>
                <w:lang w:bidi="ar"/>
              </w:rPr>
              <w:t>3</w:t>
            </w:r>
          </w:p>
        </w:tc>
        <w:tc>
          <w:tcPr>
            <w:tcW w:w="1384" w:type="pct"/>
            <w:gridSpan w:val="2"/>
            <w:tcBorders>
              <w:top w:val="single" w:color="auto" w:sz="4" w:space="0"/>
            </w:tcBorders>
            <w:vAlign w:val="center"/>
          </w:tcPr>
          <w:p w14:paraId="49A75D11">
            <w:pPr>
              <w:jc w:val="center"/>
              <w:rPr>
                <w:rFonts w:ascii="宋体" w:hAnsi="宋体" w:cs="宋体"/>
                <w:szCs w:val="21"/>
              </w:rPr>
            </w:pPr>
            <w:r>
              <w:rPr>
                <w:rFonts w:hint="eastAsia" w:ascii="宋体" w:hAnsi="宋体" w:cs="宋体"/>
                <w:szCs w:val="21"/>
              </w:rPr>
              <w:t>项目负责人</w:t>
            </w:r>
          </w:p>
        </w:tc>
        <w:tc>
          <w:tcPr>
            <w:tcW w:w="421" w:type="pct"/>
            <w:tcBorders>
              <w:top w:val="single" w:color="auto" w:sz="4" w:space="0"/>
            </w:tcBorders>
            <w:vAlign w:val="center"/>
          </w:tcPr>
          <w:p w14:paraId="4255FA29">
            <w:pPr>
              <w:jc w:val="center"/>
              <w:rPr>
                <w:rFonts w:ascii="宋体" w:hAnsi="宋体" w:cs="宋体"/>
                <w:szCs w:val="21"/>
              </w:rPr>
            </w:pPr>
          </w:p>
        </w:tc>
        <w:tc>
          <w:tcPr>
            <w:tcW w:w="1113" w:type="pct"/>
            <w:gridSpan w:val="2"/>
            <w:tcBorders>
              <w:top w:val="single" w:color="auto" w:sz="4" w:space="0"/>
            </w:tcBorders>
            <w:vAlign w:val="center"/>
          </w:tcPr>
          <w:p w14:paraId="7AFF77E4">
            <w:pPr>
              <w:jc w:val="center"/>
              <w:rPr>
                <w:rFonts w:ascii="宋体" w:hAnsi="宋体" w:cs="宋体"/>
                <w:szCs w:val="21"/>
              </w:rPr>
            </w:pPr>
          </w:p>
        </w:tc>
        <w:tc>
          <w:tcPr>
            <w:tcW w:w="838" w:type="pct"/>
            <w:tcBorders>
              <w:top w:val="single" w:color="auto" w:sz="4" w:space="0"/>
            </w:tcBorders>
            <w:vAlign w:val="center"/>
          </w:tcPr>
          <w:p w14:paraId="4ECE41B2">
            <w:pPr>
              <w:jc w:val="center"/>
              <w:rPr>
                <w:rFonts w:ascii="宋体" w:hAnsi="宋体" w:cs="宋体"/>
                <w:szCs w:val="21"/>
              </w:rPr>
            </w:pPr>
          </w:p>
        </w:tc>
        <w:tc>
          <w:tcPr>
            <w:tcW w:w="832" w:type="pct"/>
            <w:tcBorders>
              <w:top w:val="single" w:color="auto" w:sz="4" w:space="0"/>
            </w:tcBorders>
            <w:vAlign w:val="center"/>
          </w:tcPr>
          <w:p w14:paraId="585F1580">
            <w:pPr>
              <w:jc w:val="center"/>
              <w:rPr>
                <w:rFonts w:ascii="宋体" w:hAnsi="宋体" w:cs="宋体"/>
                <w:szCs w:val="21"/>
              </w:rPr>
            </w:pPr>
          </w:p>
        </w:tc>
      </w:tr>
      <w:tr w14:paraId="1230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16A567E1">
            <w:pPr>
              <w:jc w:val="center"/>
              <w:rPr>
                <w:rFonts w:ascii="宋体" w:hAnsi="宋体" w:cs="宋体"/>
                <w:szCs w:val="21"/>
              </w:rPr>
            </w:pPr>
            <w:r>
              <w:rPr>
                <w:rFonts w:hint="eastAsia" w:ascii="宋体" w:hAnsi="宋体" w:cs="宋体"/>
                <w:szCs w:val="21"/>
                <w:lang w:bidi="ar"/>
              </w:rPr>
              <w:t>4</w:t>
            </w:r>
          </w:p>
        </w:tc>
        <w:tc>
          <w:tcPr>
            <w:tcW w:w="1384" w:type="pct"/>
            <w:gridSpan w:val="2"/>
            <w:vAlign w:val="center"/>
          </w:tcPr>
          <w:p w14:paraId="6FA36BA9">
            <w:pPr>
              <w:jc w:val="center"/>
              <w:rPr>
                <w:rFonts w:ascii="宋体" w:hAnsi="宋体" w:cs="宋体"/>
                <w:szCs w:val="21"/>
              </w:rPr>
            </w:pPr>
            <w:r>
              <w:rPr>
                <w:rFonts w:hint="eastAsia" w:ascii="宋体" w:hAnsi="宋体" w:cs="宋体"/>
                <w:szCs w:val="21"/>
              </w:rPr>
              <w:t>主要技术人员</w:t>
            </w:r>
          </w:p>
        </w:tc>
        <w:tc>
          <w:tcPr>
            <w:tcW w:w="421" w:type="pct"/>
            <w:vAlign w:val="center"/>
          </w:tcPr>
          <w:p w14:paraId="00DBCE9B">
            <w:pPr>
              <w:jc w:val="center"/>
              <w:rPr>
                <w:rFonts w:ascii="宋体" w:hAnsi="宋体" w:cs="宋体"/>
                <w:szCs w:val="21"/>
              </w:rPr>
            </w:pPr>
          </w:p>
        </w:tc>
        <w:tc>
          <w:tcPr>
            <w:tcW w:w="1113" w:type="pct"/>
            <w:gridSpan w:val="2"/>
            <w:vAlign w:val="center"/>
          </w:tcPr>
          <w:p w14:paraId="2CBFB932">
            <w:pPr>
              <w:jc w:val="center"/>
              <w:rPr>
                <w:rFonts w:ascii="宋体" w:hAnsi="宋体" w:cs="宋体"/>
                <w:szCs w:val="21"/>
              </w:rPr>
            </w:pPr>
          </w:p>
        </w:tc>
        <w:tc>
          <w:tcPr>
            <w:tcW w:w="838" w:type="pct"/>
            <w:vAlign w:val="center"/>
          </w:tcPr>
          <w:p w14:paraId="7B0A7120">
            <w:pPr>
              <w:jc w:val="center"/>
              <w:rPr>
                <w:rFonts w:ascii="宋体" w:hAnsi="宋体" w:cs="宋体"/>
                <w:szCs w:val="21"/>
              </w:rPr>
            </w:pPr>
          </w:p>
        </w:tc>
        <w:tc>
          <w:tcPr>
            <w:tcW w:w="832" w:type="pct"/>
            <w:vAlign w:val="center"/>
          </w:tcPr>
          <w:p w14:paraId="7507412B">
            <w:pPr>
              <w:jc w:val="center"/>
              <w:rPr>
                <w:rFonts w:ascii="宋体" w:hAnsi="宋体" w:cs="宋体"/>
                <w:szCs w:val="21"/>
              </w:rPr>
            </w:pPr>
          </w:p>
        </w:tc>
      </w:tr>
      <w:tr w14:paraId="6799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31DF6284">
            <w:pPr>
              <w:jc w:val="center"/>
              <w:rPr>
                <w:rFonts w:ascii="宋体" w:hAnsi="宋体" w:cs="宋体"/>
                <w:szCs w:val="21"/>
              </w:rPr>
            </w:pPr>
            <w:r>
              <w:rPr>
                <w:rFonts w:hint="eastAsia" w:ascii="宋体" w:hAnsi="宋体" w:cs="宋体"/>
                <w:szCs w:val="21"/>
                <w:lang w:bidi="ar"/>
              </w:rPr>
              <w:t>5</w:t>
            </w:r>
          </w:p>
        </w:tc>
        <w:tc>
          <w:tcPr>
            <w:tcW w:w="1384" w:type="pct"/>
            <w:gridSpan w:val="2"/>
            <w:vAlign w:val="center"/>
          </w:tcPr>
          <w:p w14:paraId="6A309643">
            <w:pPr>
              <w:snapToGrid w:val="0"/>
              <w:jc w:val="center"/>
              <w:rPr>
                <w:rFonts w:ascii="宋体" w:hAnsi="宋体" w:cs="宋体"/>
                <w:szCs w:val="21"/>
              </w:rPr>
            </w:pPr>
            <w:r>
              <w:rPr>
                <w:rFonts w:hint="eastAsia" w:ascii="宋体" w:hAnsi="宋体" w:cs="宋体"/>
                <w:szCs w:val="21"/>
              </w:rPr>
              <w:t>投标文件编制人员</w:t>
            </w:r>
          </w:p>
        </w:tc>
        <w:tc>
          <w:tcPr>
            <w:tcW w:w="421" w:type="pct"/>
            <w:vAlign w:val="center"/>
          </w:tcPr>
          <w:p w14:paraId="3D427E8C">
            <w:pPr>
              <w:jc w:val="center"/>
              <w:rPr>
                <w:rFonts w:ascii="宋体" w:hAnsi="宋体" w:cs="宋体"/>
                <w:szCs w:val="21"/>
              </w:rPr>
            </w:pPr>
          </w:p>
        </w:tc>
        <w:tc>
          <w:tcPr>
            <w:tcW w:w="1113" w:type="pct"/>
            <w:gridSpan w:val="2"/>
            <w:vAlign w:val="center"/>
          </w:tcPr>
          <w:p w14:paraId="74EF0254">
            <w:pPr>
              <w:jc w:val="center"/>
              <w:rPr>
                <w:rFonts w:ascii="宋体" w:hAnsi="宋体" w:cs="宋体"/>
                <w:szCs w:val="21"/>
              </w:rPr>
            </w:pPr>
          </w:p>
        </w:tc>
        <w:tc>
          <w:tcPr>
            <w:tcW w:w="838" w:type="pct"/>
            <w:vAlign w:val="center"/>
          </w:tcPr>
          <w:p w14:paraId="676BF984">
            <w:pPr>
              <w:jc w:val="center"/>
              <w:rPr>
                <w:rFonts w:ascii="宋体" w:hAnsi="宋体" w:cs="宋体"/>
                <w:szCs w:val="21"/>
              </w:rPr>
            </w:pPr>
          </w:p>
        </w:tc>
        <w:tc>
          <w:tcPr>
            <w:tcW w:w="832" w:type="pct"/>
            <w:vAlign w:val="center"/>
          </w:tcPr>
          <w:p w14:paraId="3B53ED97">
            <w:pPr>
              <w:jc w:val="center"/>
              <w:rPr>
                <w:rFonts w:ascii="宋体" w:hAnsi="宋体" w:cs="宋体"/>
                <w:szCs w:val="21"/>
              </w:rPr>
            </w:pPr>
          </w:p>
        </w:tc>
      </w:tr>
      <w:tr w14:paraId="556B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314E36DC">
            <w:pPr>
              <w:rPr>
                <w:rFonts w:ascii="宋体" w:hAnsi="宋体" w:cs="宋体"/>
                <w:szCs w:val="21"/>
              </w:rPr>
            </w:pPr>
            <w:r>
              <w:rPr>
                <w:rFonts w:hint="eastAsia" w:ascii="宋体" w:hAnsi="宋体" w:cs="宋体"/>
                <w:b/>
                <w:bCs/>
                <w:szCs w:val="21"/>
              </w:rPr>
              <w:t>说明：同一职务有多人担任（如主要技术人员），应分行填写。</w:t>
            </w:r>
          </w:p>
        </w:tc>
      </w:tr>
      <w:tr w14:paraId="7EB2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41D3D2A2">
            <w:pPr>
              <w:jc w:val="center"/>
              <w:rPr>
                <w:rFonts w:ascii="宋体" w:hAnsi="宋体" w:cs="宋体"/>
                <w:b/>
                <w:bCs/>
                <w:szCs w:val="21"/>
              </w:rPr>
            </w:pPr>
            <w:r>
              <w:rPr>
                <w:rFonts w:hint="eastAsia" w:ascii="宋体" w:hAnsi="宋体" w:cs="宋体"/>
                <w:b/>
                <w:bCs/>
                <w:szCs w:val="21"/>
              </w:rPr>
              <w:t>投标（响应）供应商关联关系情况</w:t>
            </w:r>
          </w:p>
        </w:tc>
      </w:tr>
      <w:tr w14:paraId="154B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41205764">
            <w:pPr>
              <w:jc w:val="center"/>
              <w:rPr>
                <w:rFonts w:ascii="宋体" w:hAnsi="宋体" w:cs="宋体"/>
                <w:szCs w:val="21"/>
                <w:lang w:bidi="ar"/>
              </w:rPr>
            </w:pPr>
            <w:r>
              <w:rPr>
                <w:rFonts w:hint="eastAsia" w:ascii="宋体" w:hAnsi="宋体" w:cs="宋体"/>
                <w:szCs w:val="21"/>
                <w:lang w:bidi="ar"/>
              </w:rPr>
              <w:t>序号</w:t>
            </w:r>
          </w:p>
        </w:tc>
        <w:tc>
          <w:tcPr>
            <w:tcW w:w="1384" w:type="pct"/>
            <w:gridSpan w:val="2"/>
            <w:tcBorders>
              <w:bottom w:val="single" w:color="auto" w:sz="4" w:space="0"/>
            </w:tcBorders>
            <w:vAlign w:val="center"/>
          </w:tcPr>
          <w:p w14:paraId="185216EF">
            <w:pPr>
              <w:jc w:val="center"/>
              <w:rPr>
                <w:rFonts w:ascii="宋体" w:hAnsi="宋体" w:cs="宋体"/>
                <w:szCs w:val="21"/>
              </w:rPr>
            </w:pPr>
            <w:r>
              <w:rPr>
                <w:rFonts w:hint="eastAsia" w:ascii="宋体" w:hAnsi="宋体" w:cs="宋体"/>
                <w:szCs w:val="21"/>
              </w:rPr>
              <w:t>关联关系类型</w:t>
            </w:r>
          </w:p>
        </w:tc>
        <w:tc>
          <w:tcPr>
            <w:tcW w:w="862" w:type="pct"/>
            <w:gridSpan w:val="2"/>
            <w:tcBorders>
              <w:bottom w:val="single" w:color="auto" w:sz="4" w:space="0"/>
            </w:tcBorders>
            <w:vAlign w:val="center"/>
          </w:tcPr>
          <w:p w14:paraId="4A5A82D1">
            <w:pPr>
              <w:jc w:val="center"/>
              <w:rPr>
                <w:rFonts w:ascii="宋体" w:hAnsi="宋体" w:cs="宋体"/>
                <w:szCs w:val="21"/>
              </w:rPr>
            </w:pPr>
            <w:r>
              <w:rPr>
                <w:rFonts w:hint="eastAsia" w:ascii="宋体" w:hAnsi="宋体" w:cs="宋体"/>
                <w:szCs w:val="21"/>
              </w:rPr>
              <w:t>关联主体名称</w:t>
            </w:r>
          </w:p>
        </w:tc>
        <w:tc>
          <w:tcPr>
            <w:tcW w:w="2342" w:type="pct"/>
            <w:gridSpan w:val="3"/>
            <w:tcBorders>
              <w:bottom w:val="single" w:color="auto" w:sz="4" w:space="0"/>
            </w:tcBorders>
            <w:vAlign w:val="center"/>
          </w:tcPr>
          <w:p w14:paraId="08ED39EF">
            <w:pPr>
              <w:jc w:val="center"/>
              <w:rPr>
                <w:rFonts w:ascii="宋体" w:hAnsi="宋体" w:cs="宋体"/>
                <w:szCs w:val="21"/>
              </w:rPr>
            </w:pPr>
            <w:r>
              <w:rPr>
                <w:rFonts w:hint="eastAsia" w:ascii="宋体" w:hAnsi="宋体" w:cs="宋体"/>
                <w:szCs w:val="21"/>
              </w:rPr>
              <w:t>备注</w:t>
            </w:r>
          </w:p>
        </w:tc>
      </w:tr>
      <w:tr w14:paraId="4BF0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015C2498">
            <w:pPr>
              <w:jc w:val="center"/>
              <w:rPr>
                <w:rFonts w:ascii="宋体" w:hAnsi="宋体" w:cs="宋体"/>
                <w:szCs w:val="21"/>
                <w:lang w:bidi="ar"/>
              </w:rPr>
            </w:pPr>
            <w:r>
              <w:rPr>
                <w:rFonts w:hint="eastAsia" w:ascii="宋体" w:hAnsi="宋体" w:cs="宋体"/>
                <w:szCs w:val="21"/>
                <w:lang w:bidi="ar"/>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3B9E3E6C">
            <w:pPr>
              <w:jc w:val="center"/>
              <w:rPr>
                <w:rFonts w:ascii="宋体" w:hAnsi="宋体" w:cs="宋体"/>
                <w:szCs w:val="21"/>
              </w:rPr>
            </w:pPr>
            <w:r>
              <w:rPr>
                <w:rFonts w:hint="eastAsia" w:ascii="宋体" w:hAnsi="宋体" w:cs="宋体"/>
                <w:szCs w:val="21"/>
              </w:rPr>
              <w:t>控股股东</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68E4439C">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31EE45DB">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3F0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14:paraId="188197F4">
            <w:pPr>
              <w:jc w:val="center"/>
              <w:rPr>
                <w:rFonts w:ascii="宋体" w:hAnsi="宋体" w:cs="宋体"/>
                <w:szCs w:val="21"/>
                <w:lang w:bidi="ar"/>
              </w:rPr>
            </w:pPr>
            <w:r>
              <w:rPr>
                <w:rFonts w:hint="eastAsia" w:ascii="宋体" w:hAnsi="宋体" w:cs="宋体"/>
                <w:szCs w:val="21"/>
                <w:lang w:bidi="ar"/>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4000AB78">
            <w:pPr>
              <w:jc w:val="center"/>
              <w:rPr>
                <w:rFonts w:ascii="宋体" w:hAnsi="宋体" w:cs="宋体"/>
                <w:szCs w:val="21"/>
              </w:rPr>
            </w:pPr>
            <w:r>
              <w:rPr>
                <w:rFonts w:hint="eastAsia" w:ascii="宋体" w:hAnsi="宋体" w:cs="宋体"/>
                <w:szCs w:val="21"/>
              </w:rPr>
              <w:t>管理关系</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75305900">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286F85AF">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34D2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F7743EB">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3ABE8230">
      <w:pPr>
        <w:pStyle w:val="59"/>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26AC277E">
      <w:pPr>
        <w:pStyle w:val="59"/>
        <w:rPr>
          <w:rFonts w:ascii="宋体" w:hAnsi="宋体"/>
          <w:b/>
          <w:color w:val="FF0000"/>
          <w:sz w:val="28"/>
          <w:szCs w:val="28"/>
        </w:rPr>
      </w:pPr>
    </w:p>
    <w:p w14:paraId="0C3A82C5">
      <w:pPr>
        <w:rPr>
          <w:rFonts w:ascii="黑体" w:eastAsia="黑体"/>
          <w:sz w:val="24"/>
        </w:rPr>
      </w:pPr>
      <w:r>
        <w:rPr>
          <w:rFonts w:hint="eastAsia" w:ascii="黑体" w:eastAsia="黑体"/>
          <w:sz w:val="24"/>
        </w:rPr>
        <w:br w:type="page"/>
      </w:r>
    </w:p>
    <w:p w14:paraId="75431EB3">
      <w:pPr>
        <w:pStyle w:val="5"/>
        <w:rPr>
          <w:rFonts w:ascii="黑体" w:eastAsia="黑体"/>
          <w:b w:val="0"/>
        </w:rPr>
      </w:pPr>
      <w:r>
        <w:rPr>
          <w:rFonts w:hint="eastAsia" w:ascii="黑体" w:eastAsia="黑体"/>
          <w:b w:val="0"/>
        </w:rPr>
        <w:t>二、</w:t>
      </w:r>
      <w:bookmarkStart w:id="48" w:name="_Hlk72092499"/>
      <w:r>
        <w:rPr>
          <w:rFonts w:hint="eastAsia" w:ascii="黑体" w:eastAsia="黑体"/>
          <w:b w:val="0"/>
        </w:rPr>
        <w:t>法定代表人（负责人）证明书</w:t>
      </w:r>
      <w:bookmarkEnd w:id="48"/>
    </w:p>
    <w:p w14:paraId="1FC9D5B0">
      <w:pPr>
        <w:rPr>
          <w:sz w:val="24"/>
        </w:rPr>
      </w:pPr>
    </w:p>
    <w:p w14:paraId="1FD6E0A6">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3DD2000D">
      <w:pPr>
        <w:spacing w:line="360" w:lineRule="auto"/>
        <w:ind w:firstLine="422" w:firstLineChars="200"/>
        <w:rPr>
          <w:b/>
          <w:bCs/>
          <w:color w:val="FF0000"/>
          <w:szCs w:val="21"/>
        </w:rPr>
      </w:pPr>
      <w:r>
        <w:rPr>
          <w:rFonts w:hint="eastAsia"/>
          <w:b/>
          <w:bCs/>
          <w:color w:val="FF0000"/>
          <w:szCs w:val="21"/>
        </w:rPr>
        <w:t>特此证明。</w:t>
      </w:r>
    </w:p>
    <w:p w14:paraId="0B09A9EB">
      <w:pPr>
        <w:spacing w:line="360" w:lineRule="auto"/>
        <w:ind w:firstLine="422" w:firstLineChars="200"/>
        <w:rPr>
          <w:b/>
          <w:bCs/>
          <w:color w:val="FF0000"/>
          <w:szCs w:val="21"/>
        </w:rPr>
      </w:pPr>
      <w:r>
        <w:rPr>
          <w:rFonts w:hint="eastAsia"/>
          <w:b/>
          <w:bCs/>
          <w:color w:val="FF0000"/>
          <w:szCs w:val="21"/>
        </w:rPr>
        <w:t>说明：1、法定代表人为投标人（企业事业单位、国家机关、社会团体）的主要行政负责人。</w:t>
      </w:r>
    </w:p>
    <w:p w14:paraId="04FB5FA7">
      <w:pPr>
        <w:numPr>
          <w:ilvl w:val="0"/>
          <w:numId w:val="12"/>
        </w:numPr>
        <w:spacing w:line="360" w:lineRule="auto"/>
        <w:ind w:firstLine="422" w:firstLineChars="200"/>
        <w:rPr>
          <w:b/>
          <w:bCs/>
          <w:color w:val="FF0000"/>
          <w:szCs w:val="21"/>
        </w:rPr>
      </w:pPr>
      <w:r>
        <w:rPr>
          <w:rFonts w:hint="eastAsia"/>
          <w:b/>
          <w:bCs/>
          <w:color w:val="FF0000"/>
          <w:szCs w:val="21"/>
          <w:lang w:eastAsia="zh-Hans"/>
        </w:rPr>
        <w:t>本证明书</w:t>
      </w:r>
      <w:r>
        <w:rPr>
          <w:rFonts w:hint="eastAsia"/>
          <w:b/>
          <w:bCs/>
          <w:color w:val="FF0000"/>
          <w:szCs w:val="21"/>
          <w:lang w:val="en-US" w:eastAsia="zh-Hans"/>
        </w:rPr>
        <w:t>需提</w:t>
      </w:r>
      <w:r>
        <w:rPr>
          <w:rFonts w:hint="eastAsia"/>
          <w:b/>
          <w:bCs/>
          <w:color w:val="FF0000"/>
          <w:szCs w:val="21"/>
          <w:lang w:eastAsia="zh-Hans"/>
        </w:rPr>
        <w:t>供法定代表人（负责人）</w:t>
      </w:r>
      <w:r>
        <w:rPr>
          <w:rFonts w:hint="eastAsia"/>
          <w:b/>
          <w:bCs/>
          <w:color w:val="FF0000"/>
          <w:szCs w:val="21"/>
        </w:rPr>
        <w:t>相关身份证明文件：身份证扫描件（正反两面）；港澳台居民可提供来往通行证扫描件；非中国国籍管辖范围人员，可提供公安部门认可的身份证明材料扫描件。</w:t>
      </w:r>
    </w:p>
    <w:p w14:paraId="28C281ED">
      <w:pPr>
        <w:numPr>
          <w:ilvl w:val="0"/>
          <w:numId w:val="12"/>
        </w:numPr>
        <w:spacing w:line="360" w:lineRule="auto"/>
        <w:ind w:firstLine="422" w:firstLineChars="200"/>
        <w:rPr>
          <w:b/>
          <w:bCs/>
          <w:color w:val="FF0000"/>
          <w:szCs w:val="21"/>
        </w:rPr>
      </w:pPr>
      <w:r>
        <w:rPr>
          <w:rFonts w:hint="eastAsia"/>
          <w:b/>
          <w:bCs/>
          <w:color w:val="FF0000"/>
          <w:szCs w:val="21"/>
          <w:lang w:eastAsia="zh-Hans"/>
        </w:rPr>
        <w:t>本项目投标授权代表为法定代表人（负责人）的，无需提供</w:t>
      </w:r>
      <w:r>
        <w:rPr>
          <w:rFonts w:hint="eastAsia"/>
          <w:b/>
          <w:bCs/>
          <w:color w:val="FF0000"/>
          <w:szCs w:val="21"/>
        </w:rPr>
        <w:t>《投标文件签署授权委托书》</w:t>
      </w:r>
      <w:r>
        <w:rPr>
          <w:rFonts w:hint="eastAsia"/>
          <w:b/>
          <w:bCs/>
          <w:color w:val="FF0000"/>
          <w:szCs w:val="21"/>
          <w:lang w:eastAsia="zh-Hans"/>
        </w:rPr>
        <w:t>。</w:t>
      </w:r>
    </w:p>
    <w:p w14:paraId="0C6F0C39">
      <w:pPr>
        <w:numPr>
          <w:ilvl w:val="0"/>
          <w:numId w:val="12"/>
        </w:numPr>
        <w:spacing w:line="360" w:lineRule="auto"/>
        <w:ind w:firstLine="422" w:firstLineChars="200"/>
        <w:rPr>
          <w:b/>
          <w:bCs/>
          <w:color w:val="FF0000"/>
          <w:szCs w:val="21"/>
        </w:rPr>
      </w:pPr>
      <w:r>
        <w:rPr>
          <w:rFonts w:hint="eastAsia"/>
          <w:b/>
          <w:bCs/>
          <w:color w:val="FF0000"/>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870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667C642">
            <w:pPr>
              <w:jc w:val="center"/>
            </w:pPr>
            <w:r>
              <w:rPr>
                <w:rFonts w:hint="eastAsia"/>
              </w:rPr>
              <w:t>证件扫描件正面</w:t>
            </w:r>
          </w:p>
          <w:p w14:paraId="1AFCCF2D">
            <w:pPr>
              <w:pStyle w:val="18"/>
            </w:pPr>
          </w:p>
          <w:p w14:paraId="24D33278">
            <w:pPr>
              <w:pStyle w:val="19"/>
            </w:pPr>
          </w:p>
          <w:p w14:paraId="34B3DEEE">
            <w:pPr>
              <w:pStyle w:val="19"/>
            </w:pPr>
          </w:p>
          <w:p w14:paraId="0AB383CD">
            <w:pPr>
              <w:pStyle w:val="19"/>
            </w:pPr>
          </w:p>
        </w:tc>
        <w:tc>
          <w:tcPr>
            <w:tcW w:w="4265" w:type="dxa"/>
          </w:tcPr>
          <w:p w14:paraId="3CED6967">
            <w:pPr>
              <w:jc w:val="center"/>
            </w:pPr>
            <w:r>
              <w:rPr>
                <w:rFonts w:hint="eastAsia"/>
              </w:rPr>
              <w:t>证件扫描件反面</w:t>
            </w:r>
          </w:p>
          <w:p w14:paraId="624EBF81">
            <w:pPr>
              <w:pStyle w:val="18"/>
              <w:jc w:val="center"/>
            </w:pPr>
          </w:p>
          <w:p w14:paraId="3225ADDA">
            <w:pPr>
              <w:pStyle w:val="19"/>
              <w:jc w:val="center"/>
            </w:pPr>
          </w:p>
        </w:tc>
      </w:tr>
    </w:tbl>
    <w:p w14:paraId="79947C8F">
      <w:pPr>
        <w:pStyle w:val="59"/>
        <w:rPr>
          <w:rFonts w:ascii="黑体" w:hAnsi="黑体" w:eastAsia="黑体" w:cs="黑体"/>
          <w:b/>
          <w:bCs/>
          <w:sz w:val="24"/>
          <w:szCs w:val="24"/>
        </w:rPr>
      </w:pPr>
    </w:p>
    <w:p w14:paraId="6FD9D651">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37674E08">
      <w:pPr>
        <w:rPr>
          <w:sz w:val="24"/>
        </w:rPr>
      </w:pPr>
    </w:p>
    <w:p w14:paraId="1FED1230">
      <w:pPr>
        <w:rPr>
          <w:rFonts w:ascii="黑体" w:eastAsia="黑体"/>
          <w:sz w:val="24"/>
        </w:rPr>
      </w:pPr>
      <w:r>
        <w:rPr>
          <w:rFonts w:hint="eastAsia" w:ascii="黑体" w:eastAsia="黑体"/>
          <w:sz w:val="24"/>
        </w:rPr>
        <w:br w:type="page"/>
      </w:r>
    </w:p>
    <w:p w14:paraId="51364482">
      <w:pPr>
        <w:pStyle w:val="5"/>
        <w:spacing w:before="120" w:after="120"/>
        <w:rPr>
          <w:rFonts w:ascii="黑体" w:eastAsia="黑体"/>
          <w:b w:val="0"/>
        </w:rPr>
      </w:pPr>
      <w:r>
        <w:rPr>
          <w:rFonts w:hint="eastAsia" w:ascii="黑体" w:eastAsia="黑体"/>
          <w:b w:val="0"/>
        </w:rPr>
        <w:t>三、投标文件签署授权委托书</w:t>
      </w:r>
    </w:p>
    <w:p w14:paraId="556780C8">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209FBBD0">
      <w:pPr>
        <w:spacing w:line="360" w:lineRule="auto"/>
        <w:ind w:firstLine="420" w:firstLineChars="200"/>
        <w:rPr>
          <w:szCs w:val="21"/>
        </w:rPr>
      </w:pPr>
      <w:r>
        <w:rPr>
          <w:rFonts w:hint="eastAsia"/>
          <w:szCs w:val="21"/>
        </w:rPr>
        <w:t>代理人无转委托权，特此委托。</w:t>
      </w:r>
    </w:p>
    <w:p w14:paraId="04F56A83">
      <w:pPr>
        <w:spacing w:line="360" w:lineRule="auto"/>
        <w:ind w:firstLine="420" w:firstLineChars="200"/>
        <w:rPr>
          <w:szCs w:val="21"/>
        </w:rPr>
      </w:pPr>
    </w:p>
    <w:p w14:paraId="46201E7E">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188AE89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C473706">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110F582A">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30A252A3">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79F1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CEA126A">
            <w:pPr>
              <w:jc w:val="center"/>
            </w:pPr>
            <w:r>
              <w:rPr>
                <w:rFonts w:hint="eastAsia"/>
              </w:rPr>
              <w:t>证件扫描件正面</w:t>
            </w:r>
          </w:p>
          <w:p w14:paraId="657F5A74">
            <w:pPr>
              <w:pStyle w:val="18"/>
            </w:pPr>
          </w:p>
          <w:p w14:paraId="13FB8E7F">
            <w:pPr>
              <w:pStyle w:val="19"/>
            </w:pPr>
          </w:p>
          <w:p w14:paraId="0A94C48E">
            <w:pPr>
              <w:pStyle w:val="19"/>
            </w:pPr>
          </w:p>
          <w:p w14:paraId="6D20501C">
            <w:pPr>
              <w:pStyle w:val="19"/>
            </w:pPr>
          </w:p>
        </w:tc>
        <w:tc>
          <w:tcPr>
            <w:tcW w:w="4265" w:type="dxa"/>
          </w:tcPr>
          <w:p w14:paraId="6E42DA4C">
            <w:pPr>
              <w:jc w:val="center"/>
            </w:pPr>
            <w:r>
              <w:rPr>
                <w:rFonts w:hint="eastAsia"/>
              </w:rPr>
              <w:t>证件扫描件反面</w:t>
            </w:r>
          </w:p>
          <w:p w14:paraId="6DDAB26F">
            <w:pPr>
              <w:pStyle w:val="18"/>
              <w:jc w:val="center"/>
            </w:pPr>
          </w:p>
          <w:p w14:paraId="6A851375">
            <w:pPr>
              <w:pStyle w:val="19"/>
              <w:jc w:val="center"/>
            </w:pPr>
          </w:p>
        </w:tc>
      </w:tr>
    </w:tbl>
    <w:p w14:paraId="41574991">
      <w:pPr>
        <w:pStyle w:val="59"/>
        <w:rPr>
          <w:rFonts w:ascii="黑体" w:hAnsi="黑体" w:eastAsia="黑体" w:cs="黑体"/>
          <w:b/>
          <w:bCs/>
          <w:sz w:val="24"/>
          <w:szCs w:val="24"/>
        </w:rPr>
      </w:pPr>
    </w:p>
    <w:p w14:paraId="5404696C">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19DD14F5"/>
    <w:p w14:paraId="02E18615">
      <w:pPr>
        <w:rPr>
          <w:rFonts w:ascii="黑体" w:eastAsia="黑体"/>
          <w:kern w:val="0"/>
          <w:sz w:val="24"/>
        </w:rPr>
      </w:pPr>
      <w:r>
        <w:rPr>
          <w:rFonts w:hint="eastAsia" w:ascii="黑体" w:eastAsia="黑体"/>
          <w:kern w:val="0"/>
          <w:sz w:val="24"/>
        </w:rPr>
        <w:br w:type="page"/>
      </w:r>
    </w:p>
    <w:p w14:paraId="6A747D37">
      <w:pPr>
        <w:jc w:val="center"/>
        <w:rPr>
          <w:rFonts w:ascii="黑体" w:eastAsia="黑体"/>
          <w:sz w:val="24"/>
        </w:rPr>
      </w:pPr>
      <w:r>
        <w:rPr>
          <w:rFonts w:hint="eastAsia" w:ascii="黑体" w:eastAsia="黑体"/>
          <w:kern w:val="0"/>
          <w:sz w:val="24"/>
        </w:rPr>
        <w:t>四、</w:t>
      </w:r>
      <w:r>
        <w:rPr>
          <w:rFonts w:hint="eastAsia" w:ascii="黑体" w:eastAsia="黑体"/>
          <w:sz w:val="24"/>
        </w:rPr>
        <w:t>项目详细报价</w:t>
      </w:r>
    </w:p>
    <w:p w14:paraId="2BFD6CD6">
      <w:pPr>
        <w:pStyle w:val="18"/>
      </w:pPr>
    </w:p>
    <w:p w14:paraId="3F59A0F5">
      <w:pPr>
        <w:spacing w:line="360" w:lineRule="auto"/>
        <w:jc w:val="center"/>
        <w:rPr>
          <w:sz w:val="24"/>
        </w:rPr>
      </w:pPr>
      <w:r>
        <w:rPr>
          <w:rFonts w:hint="eastAsia"/>
          <w:b/>
          <w:bCs/>
          <w:sz w:val="24"/>
        </w:rPr>
        <w:t>（一）</w:t>
      </w:r>
      <w:r>
        <w:rPr>
          <w:rFonts w:hint="eastAsia"/>
          <w:b/>
          <w:sz w:val="24"/>
        </w:rPr>
        <w:t>分项报价表</w:t>
      </w:r>
    </w:p>
    <w:tbl>
      <w:tblPr>
        <w:tblStyle w:val="42"/>
        <w:tblW w:w="82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09"/>
        <w:gridCol w:w="2126"/>
        <w:gridCol w:w="1559"/>
        <w:gridCol w:w="708"/>
        <w:gridCol w:w="1861"/>
        <w:gridCol w:w="630"/>
      </w:tblGrid>
      <w:tr w14:paraId="6285A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1409" w:type="dxa"/>
            <w:tcBorders>
              <w:top w:val="single" w:color="auto" w:sz="8" w:space="0"/>
              <w:left w:val="single" w:color="auto" w:sz="8" w:space="0"/>
              <w:bottom w:val="single" w:color="auto" w:sz="8" w:space="0"/>
              <w:right w:val="single" w:color="auto" w:sz="8" w:space="0"/>
            </w:tcBorders>
            <w:shd w:val="clear" w:color="auto" w:fill="auto"/>
            <w:vAlign w:val="center"/>
          </w:tcPr>
          <w:p w14:paraId="7C552644">
            <w:pPr>
              <w:widowControl/>
              <w:jc w:val="center"/>
              <w:rPr>
                <w:rFonts w:ascii="宋体" w:hAnsi="宋体" w:cs="宋体"/>
                <w:color w:val="000000"/>
                <w:kern w:val="0"/>
                <w:szCs w:val="21"/>
              </w:rPr>
            </w:pPr>
            <w:r>
              <w:rPr>
                <w:rFonts w:hint="eastAsia" w:ascii="宋体" w:hAnsi="宋体" w:cs="宋体"/>
                <w:color w:val="000000"/>
                <w:kern w:val="0"/>
                <w:szCs w:val="21"/>
              </w:rPr>
              <w:t>服务需求名称（标的名称）</w:t>
            </w:r>
          </w:p>
        </w:tc>
        <w:tc>
          <w:tcPr>
            <w:tcW w:w="2126" w:type="dxa"/>
            <w:tcBorders>
              <w:top w:val="single" w:color="auto" w:sz="8" w:space="0"/>
              <w:left w:val="nil"/>
              <w:bottom w:val="single" w:color="auto" w:sz="8" w:space="0"/>
              <w:right w:val="single" w:color="auto" w:sz="8" w:space="0"/>
            </w:tcBorders>
            <w:shd w:val="clear" w:color="auto" w:fill="auto"/>
            <w:vAlign w:val="center"/>
          </w:tcPr>
          <w:p w14:paraId="69A9F503">
            <w:pPr>
              <w:widowControl/>
              <w:jc w:val="center"/>
              <w:rPr>
                <w:rFonts w:ascii="宋体" w:hAnsi="宋体" w:cs="宋体"/>
                <w:color w:val="000000"/>
                <w:kern w:val="0"/>
                <w:szCs w:val="21"/>
              </w:rPr>
            </w:pPr>
            <w:r>
              <w:rPr>
                <w:rFonts w:hint="eastAsia" w:ascii="宋体" w:hAnsi="宋体" w:cs="宋体"/>
                <w:color w:val="000000"/>
                <w:kern w:val="0"/>
                <w:szCs w:val="21"/>
              </w:rPr>
              <w:t>预算金额（元）</w:t>
            </w:r>
          </w:p>
        </w:tc>
        <w:tc>
          <w:tcPr>
            <w:tcW w:w="1559" w:type="dxa"/>
            <w:tcBorders>
              <w:top w:val="single" w:color="auto" w:sz="8" w:space="0"/>
              <w:left w:val="nil"/>
              <w:bottom w:val="single" w:color="auto" w:sz="8" w:space="0"/>
              <w:right w:val="single" w:color="auto" w:sz="8" w:space="0"/>
            </w:tcBorders>
            <w:shd w:val="clear" w:color="auto" w:fill="auto"/>
            <w:vAlign w:val="center"/>
          </w:tcPr>
          <w:p w14:paraId="38296D1A">
            <w:pPr>
              <w:widowControl/>
              <w:jc w:val="center"/>
              <w:rPr>
                <w:rFonts w:ascii="宋体" w:hAnsi="宋体" w:cs="宋体"/>
                <w:color w:val="000000"/>
                <w:kern w:val="0"/>
                <w:szCs w:val="21"/>
              </w:rPr>
            </w:pPr>
            <w:r>
              <w:rPr>
                <w:rFonts w:hint="eastAsia" w:ascii="宋体" w:hAnsi="宋体" w:cs="宋体"/>
                <w:color w:val="000000"/>
                <w:kern w:val="0"/>
                <w:szCs w:val="21"/>
              </w:rPr>
              <w:t>单价（元）</w:t>
            </w:r>
          </w:p>
        </w:tc>
        <w:tc>
          <w:tcPr>
            <w:tcW w:w="708" w:type="dxa"/>
            <w:tcBorders>
              <w:top w:val="single" w:color="auto" w:sz="8" w:space="0"/>
              <w:left w:val="nil"/>
              <w:bottom w:val="single" w:color="auto" w:sz="8" w:space="0"/>
              <w:right w:val="single" w:color="auto" w:sz="8" w:space="0"/>
            </w:tcBorders>
            <w:shd w:val="clear" w:color="auto" w:fill="auto"/>
            <w:vAlign w:val="center"/>
          </w:tcPr>
          <w:p w14:paraId="284B3F56">
            <w:pPr>
              <w:widowControl/>
              <w:jc w:val="center"/>
              <w:rPr>
                <w:rFonts w:ascii="宋体" w:hAnsi="宋体" w:cs="宋体"/>
                <w:color w:val="000000"/>
                <w:kern w:val="0"/>
                <w:szCs w:val="21"/>
              </w:rPr>
            </w:pPr>
            <w:r>
              <w:rPr>
                <w:rFonts w:hint="eastAsia" w:ascii="宋体" w:hAnsi="宋体" w:cs="宋体"/>
                <w:color w:val="000000"/>
                <w:kern w:val="0"/>
                <w:szCs w:val="21"/>
              </w:rPr>
              <w:t>数量</w:t>
            </w:r>
          </w:p>
        </w:tc>
        <w:tc>
          <w:tcPr>
            <w:tcW w:w="1861" w:type="dxa"/>
            <w:tcBorders>
              <w:top w:val="single" w:color="auto" w:sz="8" w:space="0"/>
              <w:left w:val="nil"/>
              <w:bottom w:val="single" w:color="auto" w:sz="8" w:space="0"/>
              <w:right w:val="single" w:color="auto" w:sz="8" w:space="0"/>
            </w:tcBorders>
            <w:shd w:val="clear" w:color="auto" w:fill="auto"/>
            <w:vAlign w:val="center"/>
          </w:tcPr>
          <w:p w14:paraId="69C98541">
            <w:pPr>
              <w:widowControl/>
              <w:jc w:val="center"/>
              <w:rPr>
                <w:rFonts w:ascii="宋体" w:hAnsi="宋体" w:cs="宋体"/>
                <w:color w:val="000000"/>
                <w:kern w:val="0"/>
                <w:szCs w:val="21"/>
              </w:rPr>
            </w:pPr>
            <w:r>
              <w:rPr>
                <w:rFonts w:hint="eastAsia" w:ascii="宋体" w:hAnsi="宋体" w:cs="宋体"/>
                <w:color w:val="000000"/>
                <w:kern w:val="0"/>
                <w:szCs w:val="21"/>
              </w:rPr>
              <w:t>投标报价（元）</w:t>
            </w:r>
          </w:p>
        </w:tc>
        <w:tc>
          <w:tcPr>
            <w:tcW w:w="630" w:type="dxa"/>
            <w:tcBorders>
              <w:top w:val="single" w:color="auto" w:sz="8" w:space="0"/>
              <w:left w:val="nil"/>
              <w:bottom w:val="single" w:color="auto" w:sz="8" w:space="0"/>
              <w:right w:val="single" w:color="auto" w:sz="8" w:space="0"/>
            </w:tcBorders>
            <w:shd w:val="clear" w:color="auto" w:fill="auto"/>
            <w:vAlign w:val="center"/>
          </w:tcPr>
          <w:p w14:paraId="730A0599">
            <w:pPr>
              <w:widowControl/>
              <w:jc w:val="center"/>
              <w:rPr>
                <w:rFonts w:ascii="宋体" w:hAnsi="宋体" w:cs="宋体"/>
                <w:color w:val="000000"/>
                <w:kern w:val="0"/>
                <w:szCs w:val="21"/>
              </w:rPr>
            </w:pPr>
            <w:r>
              <w:rPr>
                <w:rFonts w:hint="eastAsia" w:ascii="宋体" w:hAnsi="宋体" w:cs="宋体"/>
                <w:color w:val="000000"/>
                <w:kern w:val="0"/>
                <w:szCs w:val="21"/>
              </w:rPr>
              <w:t>备注</w:t>
            </w:r>
          </w:p>
        </w:tc>
      </w:tr>
      <w:tr w14:paraId="7FF9C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409" w:type="dxa"/>
            <w:vMerge w:val="restart"/>
            <w:tcBorders>
              <w:top w:val="nil"/>
              <w:left w:val="single" w:color="auto" w:sz="8" w:space="0"/>
              <w:bottom w:val="single" w:color="000000" w:sz="8" w:space="0"/>
              <w:right w:val="single" w:color="auto" w:sz="8" w:space="0"/>
            </w:tcBorders>
            <w:shd w:val="clear" w:color="auto" w:fill="auto"/>
            <w:vAlign w:val="center"/>
          </w:tcPr>
          <w:p w14:paraId="3CC49B7F">
            <w:pPr>
              <w:widowControl/>
              <w:jc w:val="center"/>
              <w:rPr>
                <w:rFonts w:ascii="宋体" w:hAnsi="宋体" w:cs="宋体"/>
                <w:color w:val="000000"/>
                <w:kern w:val="0"/>
                <w:szCs w:val="21"/>
              </w:rPr>
            </w:pPr>
            <w:r>
              <w:rPr>
                <w:rFonts w:hint="eastAsia" w:ascii="宋体" w:hAnsi="宋体" w:cs="宋体"/>
                <w:color w:val="000000"/>
                <w:kern w:val="0"/>
                <w:szCs w:val="21"/>
              </w:rPr>
              <w:t>物业管理</w:t>
            </w:r>
          </w:p>
        </w:tc>
        <w:tc>
          <w:tcPr>
            <w:tcW w:w="2126" w:type="dxa"/>
            <w:tcBorders>
              <w:top w:val="nil"/>
              <w:left w:val="nil"/>
              <w:bottom w:val="single" w:color="auto" w:sz="8" w:space="0"/>
              <w:right w:val="single" w:color="auto" w:sz="8" w:space="0"/>
            </w:tcBorders>
            <w:shd w:val="clear" w:color="auto" w:fill="auto"/>
            <w:vAlign w:val="center"/>
          </w:tcPr>
          <w:p w14:paraId="5D8E249C">
            <w:pPr>
              <w:widowControl/>
              <w:jc w:val="center"/>
              <w:rPr>
                <w:rFonts w:ascii="宋体" w:hAnsi="宋体" w:cs="宋体"/>
                <w:color w:val="000000"/>
                <w:kern w:val="0"/>
                <w:szCs w:val="21"/>
              </w:rPr>
            </w:pPr>
            <w:r>
              <w:rPr>
                <w:rFonts w:hint="eastAsia" w:ascii="宋体" w:hAnsi="宋体" w:cs="宋体"/>
                <w:color w:val="000000"/>
                <w:kern w:val="0"/>
                <w:szCs w:val="21"/>
              </w:rPr>
              <w:t xml:space="preserve">15098239.92 </w:t>
            </w:r>
          </w:p>
        </w:tc>
        <w:tc>
          <w:tcPr>
            <w:tcW w:w="1559" w:type="dxa"/>
            <w:tcBorders>
              <w:top w:val="nil"/>
              <w:left w:val="nil"/>
              <w:bottom w:val="single" w:color="auto" w:sz="8" w:space="0"/>
              <w:right w:val="single" w:color="auto" w:sz="8" w:space="0"/>
            </w:tcBorders>
            <w:shd w:val="clear" w:color="auto" w:fill="auto"/>
            <w:vAlign w:val="center"/>
          </w:tcPr>
          <w:p w14:paraId="311F6DD5">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708" w:type="dxa"/>
            <w:tcBorders>
              <w:top w:val="nil"/>
              <w:left w:val="nil"/>
              <w:bottom w:val="single" w:color="auto" w:sz="8" w:space="0"/>
              <w:right w:val="single" w:color="auto" w:sz="8" w:space="0"/>
            </w:tcBorders>
            <w:shd w:val="clear" w:color="auto" w:fill="auto"/>
            <w:vAlign w:val="center"/>
          </w:tcPr>
          <w:p w14:paraId="1DC55335">
            <w:pPr>
              <w:widowControl/>
              <w:jc w:val="center"/>
              <w:rPr>
                <w:rFonts w:ascii="宋体" w:hAnsi="宋体" w:cs="宋体"/>
                <w:color w:val="000000"/>
                <w:kern w:val="0"/>
                <w:szCs w:val="21"/>
              </w:rPr>
            </w:pPr>
            <w:r>
              <w:rPr>
                <w:rFonts w:hint="eastAsia" w:ascii="宋体" w:hAnsi="宋体" w:cs="宋体"/>
                <w:color w:val="000000"/>
                <w:kern w:val="0"/>
                <w:szCs w:val="21"/>
              </w:rPr>
              <w:t>1项</w:t>
            </w:r>
          </w:p>
        </w:tc>
        <w:tc>
          <w:tcPr>
            <w:tcW w:w="1861" w:type="dxa"/>
            <w:tcBorders>
              <w:top w:val="nil"/>
              <w:left w:val="nil"/>
              <w:bottom w:val="single" w:color="auto" w:sz="8" w:space="0"/>
              <w:right w:val="single" w:color="auto" w:sz="8" w:space="0"/>
            </w:tcBorders>
            <w:shd w:val="clear" w:color="auto" w:fill="auto"/>
            <w:vAlign w:val="center"/>
          </w:tcPr>
          <w:p w14:paraId="3615CF07">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30" w:type="dxa"/>
            <w:tcBorders>
              <w:top w:val="nil"/>
              <w:left w:val="nil"/>
              <w:bottom w:val="single" w:color="auto" w:sz="8" w:space="0"/>
              <w:right w:val="single" w:color="auto" w:sz="8" w:space="0"/>
            </w:tcBorders>
            <w:shd w:val="clear" w:color="auto" w:fill="auto"/>
            <w:vAlign w:val="center"/>
          </w:tcPr>
          <w:p w14:paraId="7DB410E9">
            <w:pPr>
              <w:widowControl/>
              <w:jc w:val="center"/>
              <w:rPr>
                <w:rFonts w:ascii="宋体" w:hAnsi="宋体" w:cs="宋体"/>
                <w:color w:val="000000"/>
                <w:kern w:val="0"/>
                <w:szCs w:val="21"/>
              </w:rPr>
            </w:pPr>
            <w:r>
              <w:rPr>
                <w:rFonts w:hint="eastAsia" w:ascii="宋体" w:hAnsi="宋体" w:cs="宋体"/>
                <w:color w:val="000000"/>
                <w:kern w:val="0"/>
                <w:szCs w:val="21"/>
              </w:rPr>
              <w:t>　</w:t>
            </w:r>
          </w:p>
        </w:tc>
      </w:tr>
      <w:tr w14:paraId="2544F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409" w:type="dxa"/>
            <w:vMerge w:val="continue"/>
            <w:tcBorders>
              <w:top w:val="nil"/>
              <w:left w:val="single" w:color="auto" w:sz="8" w:space="0"/>
              <w:bottom w:val="single" w:color="000000" w:sz="8" w:space="0"/>
              <w:right w:val="single" w:color="auto" w:sz="8" w:space="0"/>
            </w:tcBorders>
            <w:vAlign w:val="center"/>
          </w:tcPr>
          <w:p w14:paraId="2C031740">
            <w:pPr>
              <w:widowControl/>
              <w:jc w:val="left"/>
              <w:rPr>
                <w:rFonts w:ascii="宋体" w:hAnsi="宋体" w:cs="宋体"/>
                <w:color w:val="000000"/>
                <w:kern w:val="0"/>
                <w:szCs w:val="21"/>
              </w:rPr>
            </w:pPr>
          </w:p>
        </w:tc>
        <w:tc>
          <w:tcPr>
            <w:tcW w:w="2126" w:type="dxa"/>
            <w:tcBorders>
              <w:top w:val="nil"/>
              <w:left w:val="nil"/>
              <w:bottom w:val="single" w:color="auto" w:sz="8" w:space="0"/>
              <w:right w:val="single" w:color="auto" w:sz="8" w:space="0"/>
            </w:tcBorders>
            <w:shd w:val="clear" w:color="auto" w:fill="auto"/>
            <w:vAlign w:val="center"/>
          </w:tcPr>
          <w:p w14:paraId="0D9FC38D">
            <w:pPr>
              <w:widowControl/>
              <w:jc w:val="center"/>
              <w:rPr>
                <w:rFonts w:ascii="宋体" w:hAnsi="宋体" w:cs="宋体"/>
                <w:color w:val="000000"/>
                <w:kern w:val="0"/>
                <w:szCs w:val="21"/>
              </w:rPr>
            </w:pPr>
            <w:r>
              <w:rPr>
                <w:rFonts w:hint="eastAsia" w:ascii="宋体" w:hAnsi="宋体" w:cs="宋体"/>
                <w:color w:val="000000"/>
                <w:kern w:val="0"/>
                <w:szCs w:val="21"/>
              </w:rPr>
              <w:t xml:space="preserve">7479360.00 </w:t>
            </w:r>
          </w:p>
        </w:tc>
        <w:tc>
          <w:tcPr>
            <w:tcW w:w="1559" w:type="dxa"/>
            <w:tcBorders>
              <w:top w:val="nil"/>
              <w:left w:val="nil"/>
              <w:bottom w:val="single" w:color="auto" w:sz="8" w:space="0"/>
              <w:right w:val="single" w:color="auto" w:sz="8" w:space="0"/>
            </w:tcBorders>
            <w:shd w:val="clear" w:color="auto" w:fill="auto"/>
            <w:vAlign w:val="center"/>
          </w:tcPr>
          <w:p w14:paraId="451DAEC5">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708" w:type="dxa"/>
            <w:tcBorders>
              <w:top w:val="nil"/>
              <w:left w:val="nil"/>
              <w:bottom w:val="single" w:color="auto" w:sz="8" w:space="0"/>
              <w:right w:val="single" w:color="auto" w:sz="8" w:space="0"/>
            </w:tcBorders>
            <w:shd w:val="clear" w:color="auto" w:fill="auto"/>
            <w:vAlign w:val="center"/>
          </w:tcPr>
          <w:p w14:paraId="1EC69E66">
            <w:pPr>
              <w:widowControl/>
              <w:jc w:val="center"/>
              <w:rPr>
                <w:rFonts w:ascii="宋体" w:hAnsi="宋体" w:cs="宋体"/>
                <w:color w:val="000000"/>
                <w:kern w:val="0"/>
                <w:szCs w:val="21"/>
              </w:rPr>
            </w:pPr>
            <w:r>
              <w:rPr>
                <w:rFonts w:hint="eastAsia" w:ascii="宋体" w:hAnsi="宋体" w:cs="宋体"/>
                <w:color w:val="000000"/>
                <w:kern w:val="0"/>
                <w:szCs w:val="21"/>
              </w:rPr>
              <w:t>1项</w:t>
            </w:r>
          </w:p>
        </w:tc>
        <w:tc>
          <w:tcPr>
            <w:tcW w:w="1861" w:type="dxa"/>
            <w:tcBorders>
              <w:top w:val="nil"/>
              <w:left w:val="nil"/>
              <w:bottom w:val="single" w:color="auto" w:sz="8" w:space="0"/>
              <w:right w:val="single" w:color="auto" w:sz="8" w:space="0"/>
            </w:tcBorders>
            <w:shd w:val="clear" w:color="auto" w:fill="auto"/>
            <w:vAlign w:val="center"/>
          </w:tcPr>
          <w:p w14:paraId="44B778EF">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30" w:type="dxa"/>
            <w:tcBorders>
              <w:top w:val="nil"/>
              <w:left w:val="nil"/>
              <w:bottom w:val="single" w:color="auto" w:sz="8" w:space="0"/>
              <w:right w:val="single" w:color="auto" w:sz="8" w:space="0"/>
            </w:tcBorders>
            <w:shd w:val="clear" w:color="auto" w:fill="auto"/>
            <w:vAlign w:val="center"/>
          </w:tcPr>
          <w:p w14:paraId="4DA74669">
            <w:pPr>
              <w:widowControl/>
              <w:jc w:val="center"/>
              <w:rPr>
                <w:rFonts w:ascii="宋体" w:hAnsi="宋体" w:cs="宋体"/>
                <w:color w:val="000000"/>
                <w:kern w:val="0"/>
                <w:szCs w:val="21"/>
              </w:rPr>
            </w:pPr>
            <w:r>
              <w:rPr>
                <w:rFonts w:hint="eastAsia" w:ascii="宋体" w:hAnsi="宋体" w:cs="宋体"/>
                <w:color w:val="000000"/>
                <w:kern w:val="0"/>
                <w:szCs w:val="21"/>
              </w:rPr>
              <w:t>　</w:t>
            </w:r>
          </w:p>
        </w:tc>
      </w:tr>
      <w:tr w14:paraId="69BA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409" w:type="dxa"/>
            <w:vMerge w:val="restart"/>
            <w:tcBorders>
              <w:top w:val="nil"/>
              <w:left w:val="single" w:color="auto" w:sz="8" w:space="0"/>
              <w:bottom w:val="single" w:color="000000" w:sz="8" w:space="0"/>
              <w:right w:val="single" w:color="auto" w:sz="8" w:space="0"/>
            </w:tcBorders>
            <w:shd w:val="clear" w:color="auto" w:fill="auto"/>
            <w:vAlign w:val="center"/>
          </w:tcPr>
          <w:p w14:paraId="62F614E2">
            <w:pPr>
              <w:widowControl/>
              <w:jc w:val="center"/>
              <w:rPr>
                <w:rFonts w:ascii="宋体" w:hAnsi="宋体" w:cs="宋体"/>
                <w:color w:val="000000"/>
                <w:kern w:val="0"/>
                <w:szCs w:val="21"/>
              </w:rPr>
            </w:pPr>
            <w:r>
              <w:rPr>
                <w:rFonts w:hint="eastAsia" w:ascii="宋体" w:hAnsi="宋体" w:cs="宋体"/>
                <w:color w:val="000000"/>
                <w:kern w:val="0"/>
                <w:szCs w:val="21"/>
              </w:rPr>
              <w:t>绿植摆放</w:t>
            </w:r>
          </w:p>
        </w:tc>
        <w:tc>
          <w:tcPr>
            <w:tcW w:w="2126" w:type="dxa"/>
            <w:tcBorders>
              <w:top w:val="nil"/>
              <w:left w:val="nil"/>
              <w:bottom w:val="single" w:color="auto" w:sz="8" w:space="0"/>
              <w:right w:val="single" w:color="auto" w:sz="8" w:space="0"/>
            </w:tcBorders>
            <w:shd w:val="clear" w:color="auto" w:fill="auto"/>
            <w:vAlign w:val="center"/>
          </w:tcPr>
          <w:p w14:paraId="158C0310">
            <w:pPr>
              <w:widowControl/>
              <w:jc w:val="center"/>
              <w:rPr>
                <w:rFonts w:ascii="宋体" w:hAnsi="宋体" w:cs="宋体"/>
                <w:color w:val="000000"/>
                <w:kern w:val="0"/>
                <w:szCs w:val="21"/>
              </w:rPr>
            </w:pPr>
            <w:r>
              <w:rPr>
                <w:rFonts w:hint="eastAsia" w:ascii="宋体" w:hAnsi="宋体" w:cs="宋体"/>
                <w:color w:val="000000"/>
                <w:kern w:val="0"/>
                <w:szCs w:val="21"/>
              </w:rPr>
              <w:t xml:space="preserve">60000.00 </w:t>
            </w:r>
          </w:p>
        </w:tc>
        <w:tc>
          <w:tcPr>
            <w:tcW w:w="1559" w:type="dxa"/>
            <w:tcBorders>
              <w:top w:val="nil"/>
              <w:left w:val="nil"/>
              <w:bottom w:val="single" w:color="auto" w:sz="8" w:space="0"/>
              <w:right w:val="single" w:color="auto" w:sz="8" w:space="0"/>
            </w:tcBorders>
            <w:shd w:val="clear" w:color="auto" w:fill="auto"/>
            <w:vAlign w:val="center"/>
          </w:tcPr>
          <w:p w14:paraId="375E31F0">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708" w:type="dxa"/>
            <w:tcBorders>
              <w:top w:val="nil"/>
              <w:left w:val="nil"/>
              <w:bottom w:val="single" w:color="auto" w:sz="8" w:space="0"/>
              <w:right w:val="single" w:color="auto" w:sz="8" w:space="0"/>
            </w:tcBorders>
            <w:shd w:val="clear" w:color="auto" w:fill="auto"/>
            <w:vAlign w:val="center"/>
          </w:tcPr>
          <w:p w14:paraId="33AE95B6">
            <w:pPr>
              <w:widowControl/>
              <w:jc w:val="center"/>
              <w:rPr>
                <w:rFonts w:ascii="宋体" w:hAnsi="宋体" w:cs="宋体"/>
                <w:color w:val="000000"/>
                <w:kern w:val="0"/>
                <w:szCs w:val="21"/>
              </w:rPr>
            </w:pPr>
            <w:r>
              <w:rPr>
                <w:rFonts w:hint="eastAsia" w:ascii="宋体" w:hAnsi="宋体" w:cs="宋体"/>
                <w:color w:val="000000"/>
                <w:kern w:val="0"/>
                <w:szCs w:val="21"/>
              </w:rPr>
              <w:t>1项</w:t>
            </w:r>
          </w:p>
        </w:tc>
        <w:tc>
          <w:tcPr>
            <w:tcW w:w="1861" w:type="dxa"/>
            <w:tcBorders>
              <w:top w:val="nil"/>
              <w:left w:val="nil"/>
              <w:bottom w:val="single" w:color="auto" w:sz="8" w:space="0"/>
              <w:right w:val="single" w:color="auto" w:sz="8" w:space="0"/>
            </w:tcBorders>
            <w:shd w:val="clear" w:color="auto" w:fill="auto"/>
            <w:vAlign w:val="center"/>
          </w:tcPr>
          <w:p w14:paraId="4BB23292">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30" w:type="dxa"/>
            <w:tcBorders>
              <w:top w:val="nil"/>
              <w:left w:val="nil"/>
              <w:bottom w:val="single" w:color="auto" w:sz="8" w:space="0"/>
              <w:right w:val="single" w:color="auto" w:sz="8" w:space="0"/>
            </w:tcBorders>
            <w:shd w:val="clear" w:color="auto" w:fill="auto"/>
            <w:vAlign w:val="center"/>
          </w:tcPr>
          <w:p w14:paraId="0E4AE182">
            <w:pPr>
              <w:widowControl/>
              <w:jc w:val="center"/>
              <w:rPr>
                <w:rFonts w:ascii="宋体" w:hAnsi="宋体" w:cs="宋体"/>
                <w:color w:val="000000"/>
                <w:kern w:val="0"/>
                <w:szCs w:val="21"/>
              </w:rPr>
            </w:pPr>
            <w:r>
              <w:rPr>
                <w:rFonts w:hint="eastAsia" w:ascii="宋体" w:hAnsi="宋体" w:cs="宋体"/>
                <w:color w:val="000000"/>
                <w:kern w:val="0"/>
                <w:szCs w:val="21"/>
              </w:rPr>
              <w:t>　</w:t>
            </w:r>
          </w:p>
        </w:tc>
      </w:tr>
      <w:tr w14:paraId="25272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409" w:type="dxa"/>
            <w:vMerge w:val="continue"/>
            <w:tcBorders>
              <w:top w:val="nil"/>
              <w:left w:val="single" w:color="auto" w:sz="8" w:space="0"/>
              <w:bottom w:val="single" w:color="000000" w:sz="8" w:space="0"/>
              <w:right w:val="single" w:color="auto" w:sz="8" w:space="0"/>
            </w:tcBorders>
            <w:vAlign w:val="center"/>
          </w:tcPr>
          <w:p w14:paraId="201AC175">
            <w:pPr>
              <w:widowControl/>
              <w:jc w:val="left"/>
              <w:rPr>
                <w:rFonts w:ascii="宋体" w:hAnsi="宋体" w:cs="宋体"/>
                <w:color w:val="000000"/>
                <w:kern w:val="0"/>
                <w:szCs w:val="21"/>
              </w:rPr>
            </w:pPr>
          </w:p>
        </w:tc>
        <w:tc>
          <w:tcPr>
            <w:tcW w:w="2126" w:type="dxa"/>
            <w:tcBorders>
              <w:top w:val="nil"/>
              <w:left w:val="nil"/>
              <w:bottom w:val="single" w:color="auto" w:sz="8" w:space="0"/>
              <w:right w:val="single" w:color="auto" w:sz="8" w:space="0"/>
            </w:tcBorders>
            <w:shd w:val="clear" w:color="auto" w:fill="auto"/>
            <w:vAlign w:val="center"/>
          </w:tcPr>
          <w:p w14:paraId="3D7C62DF">
            <w:pPr>
              <w:widowControl/>
              <w:jc w:val="center"/>
              <w:rPr>
                <w:rFonts w:ascii="宋体" w:hAnsi="宋体" w:cs="宋体"/>
                <w:color w:val="000000"/>
                <w:kern w:val="0"/>
                <w:szCs w:val="21"/>
              </w:rPr>
            </w:pPr>
            <w:r>
              <w:rPr>
                <w:rFonts w:hint="eastAsia" w:ascii="宋体" w:hAnsi="宋体" w:cs="宋体"/>
                <w:color w:val="000000"/>
                <w:kern w:val="0"/>
                <w:szCs w:val="21"/>
              </w:rPr>
              <w:t xml:space="preserve">30000.00 </w:t>
            </w:r>
          </w:p>
        </w:tc>
        <w:tc>
          <w:tcPr>
            <w:tcW w:w="1559" w:type="dxa"/>
            <w:tcBorders>
              <w:top w:val="nil"/>
              <w:left w:val="nil"/>
              <w:bottom w:val="single" w:color="auto" w:sz="8" w:space="0"/>
              <w:right w:val="single" w:color="auto" w:sz="8" w:space="0"/>
            </w:tcBorders>
            <w:shd w:val="clear" w:color="auto" w:fill="auto"/>
            <w:vAlign w:val="center"/>
          </w:tcPr>
          <w:p w14:paraId="67E9D5C8">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708" w:type="dxa"/>
            <w:tcBorders>
              <w:top w:val="nil"/>
              <w:left w:val="nil"/>
              <w:bottom w:val="single" w:color="auto" w:sz="8" w:space="0"/>
              <w:right w:val="single" w:color="auto" w:sz="8" w:space="0"/>
            </w:tcBorders>
            <w:shd w:val="clear" w:color="auto" w:fill="auto"/>
            <w:vAlign w:val="center"/>
          </w:tcPr>
          <w:p w14:paraId="10BB5285">
            <w:pPr>
              <w:widowControl/>
              <w:jc w:val="center"/>
              <w:rPr>
                <w:rFonts w:ascii="宋体" w:hAnsi="宋体" w:cs="宋体"/>
                <w:color w:val="000000"/>
                <w:kern w:val="0"/>
                <w:szCs w:val="21"/>
              </w:rPr>
            </w:pPr>
            <w:r>
              <w:rPr>
                <w:rFonts w:hint="eastAsia" w:ascii="宋体" w:hAnsi="宋体" w:cs="宋体"/>
                <w:color w:val="000000"/>
                <w:kern w:val="0"/>
                <w:szCs w:val="21"/>
              </w:rPr>
              <w:t>1项</w:t>
            </w:r>
          </w:p>
        </w:tc>
        <w:tc>
          <w:tcPr>
            <w:tcW w:w="1861" w:type="dxa"/>
            <w:tcBorders>
              <w:top w:val="nil"/>
              <w:left w:val="nil"/>
              <w:bottom w:val="single" w:color="auto" w:sz="8" w:space="0"/>
              <w:right w:val="single" w:color="auto" w:sz="8" w:space="0"/>
            </w:tcBorders>
            <w:shd w:val="clear" w:color="auto" w:fill="auto"/>
            <w:vAlign w:val="center"/>
          </w:tcPr>
          <w:p w14:paraId="7D596B44">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30" w:type="dxa"/>
            <w:tcBorders>
              <w:top w:val="nil"/>
              <w:left w:val="nil"/>
              <w:bottom w:val="single" w:color="auto" w:sz="8" w:space="0"/>
              <w:right w:val="single" w:color="auto" w:sz="8" w:space="0"/>
            </w:tcBorders>
            <w:shd w:val="clear" w:color="auto" w:fill="auto"/>
            <w:vAlign w:val="center"/>
          </w:tcPr>
          <w:p w14:paraId="6A74FD52">
            <w:pPr>
              <w:widowControl/>
              <w:jc w:val="center"/>
              <w:rPr>
                <w:rFonts w:ascii="宋体" w:hAnsi="宋体" w:cs="宋体"/>
                <w:color w:val="000000"/>
                <w:kern w:val="0"/>
                <w:szCs w:val="21"/>
              </w:rPr>
            </w:pPr>
            <w:r>
              <w:rPr>
                <w:rFonts w:hint="eastAsia" w:ascii="宋体" w:hAnsi="宋体" w:cs="宋体"/>
                <w:color w:val="000000"/>
                <w:kern w:val="0"/>
                <w:szCs w:val="21"/>
              </w:rPr>
              <w:t>　</w:t>
            </w:r>
          </w:p>
        </w:tc>
      </w:tr>
      <w:tr w14:paraId="7EAA1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802" w:type="dxa"/>
            <w:gridSpan w:val="4"/>
            <w:vMerge w:val="restart"/>
            <w:tcBorders>
              <w:top w:val="single" w:color="auto" w:sz="8" w:space="0"/>
              <w:left w:val="single" w:color="auto" w:sz="8" w:space="0"/>
              <w:bottom w:val="single" w:color="000000" w:sz="8" w:space="0"/>
              <w:right w:val="single" w:color="000000" w:sz="8" w:space="0"/>
            </w:tcBorders>
            <w:shd w:val="clear" w:color="auto" w:fill="auto"/>
            <w:vAlign w:val="center"/>
          </w:tcPr>
          <w:p w14:paraId="6A609D04">
            <w:pPr>
              <w:widowControl/>
              <w:jc w:val="center"/>
              <w:rPr>
                <w:rFonts w:ascii="宋体" w:hAnsi="宋体" w:cs="宋体"/>
                <w:color w:val="000000"/>
                <w:kern w:val="0"/>
                <w:szCs w:val="21"/>
              </w:rPr>
            </w:pPr>
            <w:r>
              <w:rPr>
                <w:rFonts w:hint="eastAsia" w:ascii="宋体" w:hAnsi="宋体" w:cs="宋体"/>
                <w:color w:val="000000"/>
                <w:kern w:val="0"/>
                <w:szCs w:val="21"/>
              </w:rPr>
              <w:t>合计</w:t>
            </w:r>
          </w:p>
        </w:tc>
        <w:tc>
          <w:tcPr>
            <w:tcW w:w="1861" w:type="dxa"/>
            <w:tcBorders>
              <w:top w:val="nil"/>
              <w:left w:val="nil"/>
              <w:bottom w:val="single" w:color="auto" w:sz="8" w:space="0"/>
              <w:right w:val="single" w:color="auto" w:sz="8" w:space="0"/>
            </w:tcBorders>
            <w:shd w:val="clear" w:color="auto" w:fill="auto"/>
            <w:vAlign w:val="center"/>
          </w:tcPr>
          <w:p w14:paraId="177482BD">
            <w:pPr>
              <w:widowControl/>
              <w:rPr>
                <w:rFonts w:ascii="宋体" w:hAnsi="宋体" w:cs="宋体"/>
                <w:color w:val="000000"/>
                <w:kern w:val="0"/>
                <w:szCs w:val="21"/>
              </w:rPr>
            </w:pPr>
            <w:r>
              <w:rPr>
                <w:rFonts w:hint="eastAsia" w:ascii="宋体" w:hAnsi="宋体" w:cs="宋体"/>
                <w:color w:val="000000"/>
                <w:kern w:val="0"/>
                <w:szCs w:val="21"/>
              </w:rPr>
              <w:t>大写：</w:t>
            </w:r>
          </w:p>
        </w:tc>
        <w:tc>
          <w:tcPr>
            <w:tcW w:w="630" w:type="dxa"/>
            <w:vMerge w:val="restart"/>
            <w:tcBorders>
              <w:top w:val="nil"/>
              <w:left w:val="single" w:color="auto" w:sz="8" w:space="0"/>
              <w:bottom w:val="single" w:color="000000" w:sz="8" w:space="0"/>
              <w:right w:val="single" w:color="auto" w:sz="8" w:space="0"/>
            </w:tcBorders>
            <w:shd w:val="clear" w:color="auto" w:fill="auto"/>
            <w:vAlign w:val="center"/>
          </w:tcPr>
          <w:p w14:paraId="6BC84FCB">
            <w:pPr>
              <w:widowControl/>
              <w:jc w:val="center"/>
              <w:rPr>
                <w:rFonts w:ascii="宋体" w:hAnsi="宋体" w:cs="宋体"/>
                <w:color w:val="000000"/>
                <w:kern w:val="0"/>
                <w:szCs w:val="21"/>
              </w:rPr>
            </w:pPr>
            <w:r>
              <w:rPr>
                <w:rFonts w:hint="eastAsia" w:ascii="宋体" w:hAnsi="宋体" w:cs="宋体"/>
                <w:color w:val="000000"/>
                <w:kern w:val="0"/>
                <w:szCs w:val="21"/>
              </w:rPr>
              <w:t>　</w:t>
            </w:r>
          </w:p>
        </w:tc>
      </w:tr>
      <w:tr w14:paraId="3CB26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802" w:type="dxa"/>
            <w:gridSpan w:val="4"/>
            <w:vMerge w:val="continue"/>
            <w:tcBorders>
              <w:top w:val="single" w:color="auto" w:sz="8" w:space="0"/>
              <w:left w:val="single" w:color="auto" w:sz="8" w:space="0"/>
              <w:bottom w:val="single" w:color="000000" w:sz="8" w:space="0"/>
              <w:right w:val="single" w:color="000000" w:sz="8" w:space="0"/>
            </w:tcBorders>
            <w:vAlign w:val="center"/>
          </w:tcPr>
          <w:p w14:paraId="5E023294">
            <w:pPr>
              <w:widowControl/>
              <w:jc w:val="left"/>
              <w:rPr>
                <w:rFonts w:ascii="宋体" w:hAnsi="宋体" w:cs="宋体"/>
                <w:color w:val="000000"/>
                <w:kern w:val="0"/>
                <w:szCs w:val="21"/>
              </w:rPr>
            </w:pPr>
          </w:p>
        </w:tc>
        <w:tc>
          <w:tcPr>
            <w:tcW w:w="1861" w:type="dxa"/>
            <w:tcBorders>
              <w:top w:val="nil"/>
              <w:left w:val="nil"/>
              <w:bottom w:val="single" w:color="auto" w:sz="8" w:space="0"/>
              <w:right w:val="single" w:color="auto" w:sz="8" w:space="0"/>
            </w:tcBorders>
            <w:shd w:val="clear" w:color="auto" w:fill="auto"/>
            <w:vAlign w:val="center"/>
          </w:tcPr>
          <w:p w14:paraId="155B2E9C">
            <w:pPr>
              <w:widowControl/>
              <w:rPr>
                <w:rFonts w:ascii="宋体" w:hAnsi="宋体" w:cs="宋体"/>
                <w:color w:val="000000"/>
                <w:kern w:val="0"/>
                <w:szCs w:val="21"/>
              </w:rPr>
            </w:pPr>
            <w:r>
              <w:rPr>
                <w:rFonts w:hint="eastAsia" w:ascii="宋体" w:hAnsi="宋体" w:cs="宋体"/>
                <w:color w:val="000000"/>
                <w:kern w:val="0"/>
                <w:szCs w:val="21"/>
              </w:rPr>
              <w:t>小写：</w:t>
            </w:r>
          </w:p>
        </w:tc>
        <w:tc>
          <w:tcPr>
            <w:tcW w:w="630" w:type="dxa"/>
            <w:vMerge w:val="continue"/>
            <w:tcBorders>
              <w:top w:val="nil"/>
              <w:left w:val="single" w:color="auto" w:sz="8" w:space="0"/>
              <w:bottom w:val="single" w:color="000000" w:sz="8" w:space="0"/>
              <w:right w:val="single" w:color="auto" w:sz="8" w:space="0"/>
            </w:tcBorders>
            <w:vAlign w:val="center"/>
          </w:tcPr>
          <w:p w14:paraId="6617DE27">
            <w:pPr>
              <w:widowControl/>
              <w:jc w:val="left"/>
              <w:rPr>
                <w:rFonts w:ascii="宋体" w:hAnsi="宋体" w:cs="宋体"/>
                <w:color w:val="000000"/>
                <w:kern w:val="0"/>
                <w:szCs w:val="21"/>
              </w:rPr>
            </w:pPr>
          </w:p>
        </w:tc>
      </w:tr>
    </w:tbl>
    <w:p w14:paraId="37423E02">
      <w:pPr>
        <w:ind w:left="632" w:hanging="632" w:hangingChars="300"/>
        <w:rPr>
          <w:b/>
          <w:color w:val="0000FF"/>
          <w:szCs w:val="21"/>
        </w:rPr>
      </w:pPr>
    </w:p>
    <w:p w14:paraId="1AD4ECC4">
      <w:pPr>
        <w:ind w:left="632" w:hanging="632" w:hangingChars="300"/>
        <w:rPr>
          <w:b/>
          <w:color w:val="0000FF"/>
          <w:szCs w:val="21"/>
        </w:rPr>
      </w:pPr>
    </w:p>
    <w:p w14:paraId="00E9ED74">
      <w:pPr>
        <w:ind w:left="632" w:hanging="632" w:hangingChars="300"/>
        <w:rPr>
          <w:b/>
          <w:color w:val="0000FF"/>
          <w:szCs w:val="21"/>
        </w:rPr>
      </w:pPr>
      <w:r>
        <w:rPr>
          <w:rFonts w:hint="eastAsia"/>
          <w:b/>
          <w:color w:val="0000FF"/>
          <w:szCs w:val="21"/>
        </w:rPr>
        <w:t>注：</w:t>
      </w:r>
    </w:p>
    <w:p w14:paraId="1F8F77E4">
      <w:pPr>
        <w:widowControl/>
        <w:snapToGrid w:val="0"/>
        <w:ind w:firstLine="420" w:firstLineChars="200"/>
        <w:jc w:val="left"/>
        <w:rPr>
          <w:rFonts w:ascii="宋体" w:hAnsi="宋体"/>
          <w:color w:val="0000FF"/>
          <w:kern w:val="0"/>
          <w:szCs w:val="21"/>
        </w:rPr>
      </w:pPr>
      <w:r>
        <w:rPr>
          <w:rFonts w:hint="eastAsia" w:ascii="宋体" w:hAnsi="宋体"/>
          <w:color w:val="0000FF"/>
          <w:kern w:val="0"/>
          <w:szCs w:val="21"/>
        </w:rPr>
        <w:t>1、投标人的投标报价不得超过预算金额，否则将导致投标无效。</w:t>
      </w:r>
    </w:p>
    <w:p w14:paraId="78C943F7">
      <w:pPr>
        <w:pStyle w:val="19"/>
      </w:pPr>
    </w:p>
    <w:p w14:paraId="66289C1E">
      <w:pPr>
        <w:pStyle w:val="19"/>
      </w:pPr>
    </w:p>
    <w:p w14:paraId="46F6732E">
      <w:pPr>
        <w:pStyle w:val="19"/>
      </w:pPr>
    </w:p>
    <w:p w14:paraId="10B00B65">
      <w:pPr>
        <w:tabs>
          <w:tab w:val="left" w:pos="720"/>
        </w:tabs>
        <w:jc w:val="center"/>
        <w:rPr>
          <w:b/>
          <w:sz w:val="24"/>
        </w:rPr>
      </w:pPr>
      <w:r>
        <w:rPr>
          <w:rFonts w:hint="eastAsia"/>
          <w:b/>
          <w:sz w:val="24"/>
        </w:rPr>
        <w:t>（二）投标人认为需要涉及的其他内容报价清单</w:t>
      </w:r>
    </w:p>
    <w:p w14:paraId="0D5EBF7F">
      <w:pPr>
        <w:rPr>
          <w:rFonts w:ascii="黑体" w:hAnsi="宋体" w:eastAsia="黑体"/>
          <w:sz w:val="24"/>
          <w:szCs w:val="20"/>
        </w:rPr>
      </w:pPr>
    </w:p>
    <w:p w14:paraId="4BA672C3">
      <w:pPr>
        <w:rPr>
          <w:rFonts w:ascii="黑体" w:hAnsi="宋体" w:eastAsia="黑体"/>
          <w:sz w:val="24"/>
          <w:szCs w:val="20"/>
        </w:rPr>
      </w:pPr>
    </w:p>
    <w:p w14:paraId="72917116">
      <w:pPr>
        <w:rPr>
          <w:rFonts w:ascii="黑体" w:hAnsi="宋体" w:eastAsia="黑体"/>
          <w:sz w:val="24"/>
          <w:szCs w:val="20"/>
        </w:rPr>
      </w:pPr>
      <w:r>
        <w:rPr>
          <w:rFonts w:hint="eastAsia" w:ascii="黑体" w:hAnsi="宋体" w:eastAsia="黑体"/>
          <w:sz w:val="24"/>
          <w:szCs w:val="20"/>
        </w:rPr>
        <w:br w:type="page"/>
      </w:r>
    </w:p>
    <w:p w14:paraId="7E19E448">
      <w:pPr>
        <w:pStyle w:val="5"/>
        <w:rPr>
          <w:rFonts w:ascii="黑体" w:eastAsia="黑体"/>
          <w:b w:val="0"/>
          <w:szCs w:val="24"/>
        </w:rPr>
      </w:pPr>
      <w:bookmarkStart w:id="49" w:name="_Hlk72092634"/>
      <w:r>
        <w:rPr>
          <w:rFonts w:hint="eastAsia" w:ascii="黑体" w:eastAsia="黑体"/>
          <w:b w:val="0"/>
          <w:szCs w:val="24"/>
        </w:rPr>
        <w:t>五、实质性条款响应情况表</w:t>
      </w:r>
      <w:bookmarkEnd w:id="49"/>
    </w:p>
    <w:tbl>
      <w:tblPr>
        <w:tblStyle w:val="42"/>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127"/>
        <w:gridCol w:w="2820"/>
        <w:gridCol w:w="1140"/>
        <w:gridCol w:w="1099"/>
      </w:tblGrid>
      <w:tr w14:paraId="71C8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05" w:type="dxa"/>
            <w:vAlign w:val="center"/>
          </w:tcPr>
          <w:p w14:paraId="3A916B37">
            <w:pPr>
              <w:adjustRightInd w:val="0"/>
              <w:snapToGrid w:val="0"/>
              <w:spacing w:line="360" w:lineRule="auto"/>
              <w:jc w:val="center"/>
              <w:rPr>
                <w:rFonts w:ascii="宋体" w:hAnsi="宋体"/>
                <w:kern w:val="0"/>
                <w:szCs w:val="21"/>
              </w:rPr>
            </w:pPr>
            <w:bookmarkStart w:id="50" w:name="_Hlk72092651"/>
            <w:r>
              <w:rPr>
                <w:rFonts w:hint="eastAsia" w:ascii="宋体" w:hAnsi="宋体"/>
                <w:kern w:val="0"/>
                <w:szCs w:val="21"/>
              </w:rPr>
              <w:t>序号</w:t>
            </w:r>
          </w:p>
        </w:tc>
        <w:tc>
          <w:tcPr>
            <w:tcW w:w="3127" w:type="dxa"/>
            <w:vAlign w:val="center"/>
          </w:tcPr>
          <w:p w14:paraId="436D67A0">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2820" w:type="dxa"/>
            <w:vAlign w:val="center"/>
          </w:tcPr>
          <w:p w14:paraId="14E59BB6">
            <w:pPr>
              <w:adjustRightInd w:val="0"/>
              <w:snapToGrid w:val="0"/>
              <w:spacing w:line="360" w:lineRule="auto"/>
              <w:jc w:val="center"/>
              <w:rPr>
                <w:rFonts w:ascii="宋体" w:hAnsi="宋体"/>
                <w:kern w:val="0"/>
                <w:szCs w:val="21"/>
              </w:rPr>
            </w:pPr>
            <w:r>
              <w:rPr>
                <w:rFonts w:hint="eastAsia"/>
              </w:rPr>
              <w:t>投标响应</w:t>
            </w:r>
          </w:p>
        </w:tc>
        <w:tc>
          <w:tcPr>
            <w:tcW w:w="1140" w:type="dxa"/>
            <w:vAlign w:val="center"/>
          </w:tcPr>
          <w:p w14:paraId="703FC7BD">
            <w:pPr>
              <w:adjustRightInd w:val="0"/>
              <w:snapToGrid w:val="0"/>
              <w:spacing w:line="360" w:lineRule="auto"/>
              <w:jc w:val="center"/>
              <w:rPr>
                <w:rFonts w:ascii="宋体" w:hAnsi="宋体"/>
                <w:kern w:val="0"/>
                <w:szCs w:val="21"/>
              </w:rPr>
            </w:pPr>
            <w:r>
              <w:rPr>
                <w:rFonts w:hint="eastAsia"/>
              </w:rPr>
              <w:t>偏离情况</w:t>
            </w:r>
          </w:p>
        </w:tc>
        <w:tc>
          <w:tcPr>
            <w:tcW w:w="1099" w:type="dxa"/>
            <w:vAlign w:val="center"/>
          </w:tcPr>
          <w:p w14:paraId="01FDA8BE">
            <w:pPr>
              <w:adjustRightInd w:val="0"/>
              <w:snapToGrid w:val="0"/>
              <w:spacing w:line="360" w:lineRule="auto"/>
              <w:jc w:val="center"/>
              <w:rPr>
                <w:rFonts w:ascii="宋体" w:hAnsi="宋体"/>
                <w:kern w:val="0"/>
                <w:szCs w:val="21"/>
              </w:rPr>
            </w:pPr>
            <w:r>
              <w:rPr>
                <w:rFonts w:hint="eastAsia"/>
              </w:rPr>
              <w:t>说明</w:t>
            </w:r>
          </w:p>
        </w:tc>
      </w:tr>
      <w:bookmarkEnd w:id="50"/>
      <w:tr w14:paraId="13FE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733C8012">
            <w:pPr>
              <w:adjustRightInd w:val="0"/>
              <w:snapToGrid w:val="0"/>
              <w:spacing w:line="360" w:lineRule="auto"/>
              <w:rPr>
                <w:rFonts w:ascii="宋体" w:hAnsi="宋体"/>
                <w:kern w:val="0"/>
                <w:szCs w:val="21"/>
              </w:rPr>
            </w:pPr>
            <w:r>
              <w:rPr>
                <w:rFonts w:hint="eastAsia" w:ascii="宋体" w:hAnsi="宋体"/>
                <w:kern w:val="0"/>
                <w:szCs w:val="21"/>
              </w:rPr>
              <w:t>1</w:t>
            </w:r>
          </w:p>
        </w:tc>
        <w:tc>
          <w:tcPr>
            <w:tcW w:w="3127" w:type="dxa"/>
            <w:vAlign w:val="top"/>
          </w:tcPr>
          <w:p w14:paraId="661D8D98">
            <w:pPr>
              <w:rPr>
                <w:rFonts w:hAnsi="宋体"/>
                <w:kern w:val="0"/>
                <w:szCs w:val="21"/>
              </w:rPr>
            </w:pPr>
            <w:r>
              <w:rPr>
                <w:rFonts w:hint="eastAsia" w:hAnsi="宋体" w:eastAsiaTheme="minorEastAsia"/>
                <w:kern w:val="0"/>
                <w:szCs w:val="21"/>
              </w:rPr>
              <w:t>具体以采购文件第三章 用户需求书中带“★”的需求项为准。</w:t>
            </w:r>
          </w:p>
        </w:tc>
        <w:tc>
          <w:tcPr>
            <w:tcW w:w="2820" w:type="dxa"/>
          </w:tcPr>
          <w:p w14:paraId="0048505E">
            <w:pPr>
              <w:adjustRightInd w:val="0"/>
              <w:snapToGrid w:val="0"/>
              <w:spacing w:line="360" w:lineRule="auto"/>
              <w:rPr>
                <w:rFonts w:ascii="宋体" w:hAnsi="宋体"/>
                <w:kern w:val="0"/>
                <w:szCs w:val="21"/>
              </w:rPr>
            </w:pPr>
          </w:p>
        </w:tc>
        <w:tc>
          <w:tcPr>
            <w:tcW w:w="1140" w:type="dxa"/>
          </w:tcPr>
          <w:p w14:paraId="1AD8EBCA">
            <w:pPr>
              <w:adjustRightInd w:val="0"/>
              <w:snapToGrid w:val="0"/>
              <w:spacing w:line="360" w:lineRule="auto"/>
              <w:rPr>
                <w:rFonts w:ascii="宋体" w:hAnsi="宋体"/>
                <w:kern w:val="0"/>
                <w:szCs w:val="21"/>
              </w:rPr>
            </w:pPr>
          </w:p>
        </w:tc>
        <w:tc>
          <w:tcPr>
            <w:tcW w:w="1099" w:type="dxa"/>
          </w:tcPr>
          <w:p w14:paraId="7EA125E6">
            <w:pPr>
              <w:adjustRightInd w:val="0"/>
              <w:snapToGrid w:val="0"/>
              <w:spacing w:line="360" w:lineRule="auto"/>
              <w:rPr>
                <w:rFonts w:ascii="宋体" w:hAnsi="宋体"/>
                <w:kern w:val="0"/>
                <w:szCs w:val="21"/>
              </w:rPr>
            </w:pPr>
          </w:p>
        </w:tc>
      </w:tr>
      <w:tr w14:paraId="3ADA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258CB72A">
            <w:pPr>
              <w:adjustRightInd w:val="0"/>
              <w:snapToGrid w:val="0"/>
              <w:spacing w:line="360" w:lineRule="auto"/>
              <w:rPr>
                <w:rFonts w:ascii="宋体" w:hAnsi="宋体"/>
                <w:kern w:val="0"/>
                <w:szCs w:val="21"/>
              </w:rPr>
            </w:pPr>
            <w:r>
              <w:rPr>
                <w:rFonts w:hint="eastAsia" w:ascii="宋体" w:hAnsi="宋体"/>
                <w:kern w:val="0"/>
                <w:szCs w:val="21"/>
              </w:rPr>
              <w:t>2</w:t>
            </w:r>
          </w:p>
        </w:tc>
        <w:tc>
          <w:tcPr>
            <w:tcW w:w="3127" w:type="dxa"/>
            <w:vAlign w:val="top"/>
          </w:tcPr>
          <w:p w14:paraId="37A1EA3A">
            <w:pPr>
              <w:rPr>
                <w:rFonts w:hAnsi="宋体"/>
                <w:kern w:val="0"/>
                <w:szCs w:val="21"/>
              </w:rPr>
            </w:pPr>
            <w:r>
              <w:rPr>
                <w:rFonts w:hint="eastAsia"/>
              </w:rPr>
              <w:t>投标人满足《保安服务管理条例》《公安机关实施保安服务管理条例办法》等有关规定要求的从业许可和备案要求。</w:t>
            </w:r>
          </w:p>
        </w:tc>
        <w:tc>
          <w:tcPr>
            <w:tcW w:w="2820" w:type="dxa"/>
          </w:tcPr>
          <w:p w14:paraId="05148A77">
            <w:pPr>
              <w:adjustRightInd w:val="0"/>
              <w:snapToGrid w:val="0"/>
              <w:spacing w:line="360" w:lineRule="auto"/>
              <w:rPr>
                <w:rFonts w:ascii="宋体" w:hAnsi="宋体"/>
                <w:kern w:val="0"/>
                <w:szCs w:val="21"/>
              </w:rPr>
            </w:pPr>
          </w:p>
        </w:tc>
        <w:tc>
          <w:tcPr>
            <w:tcW w:w="1140" w:type="dxa"/>
          </w:tcPr>
          <w:p w14:paraId="5DA13C39">
            <w:pPr>
              <w:adjustRightInd w:val="0"/>
              <w:snapToGrid w:val="0"/>
              <w:spacing w:line="360" w:lineRule="auto"/>
              <w:rPr>
                <w:rFonts w:ascii="宋体" w:hAnsi="宋体"/>
                <w:kern w:val="0"/>
                <w:szCs w:val="21"/>
              </w:rPr>
            </w:pPr>
          </w:p>
        </w:tc>
        <w:tc>
          <w:tcPr>
            <w:tcW w:w="1099" w:type="dxa"/>
          </w:tcPr>
          <w:p w14:paraId="789F5154">
            <w:pPr>
              <w:adjustRightInd w:val="0"/>
              <w:snapToGrid w:val="0"/>
              <w:spacing w:line="360" w:lineRule="auto"/>
              <w:rPr>
                <w:rFonts w:ascii="宋体" w:hAnsi="宋体"/>
                <w:kern w:val="0"/>
                <w:szCs w:val="21"/>
              </w:rPr>
            </w:pPr>
          </w:p>
        </w:tc>
      </w:tr>
      <w:tr w14:paraId="0C27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7B921B54">
            <w:pPr>
              <w:adjustRightInd w:val="0"/>
              <w:snapToGrid w:val="0"/>
              <w:spacing w:line="360" w:lineRule="auto"/>
              <w:rPr>
                <w:rFonts w:ascii="宋体" w:hAnsi="宋体"/>
                <w:kern w:val="0"/>
                <w:szCs w:val="21"/>
              </w:rPr>
            </w:pPr>
            <w:r>
              <w:rPr>
                <w:rFonts w:hint="eastAsia" w:ascii="宋体" w:hAnsi="宋体"/>
                <w:kern w:val="0"/>
                <w:szCs w:val="21"/>
                <w:lang w:val="en-US" w:eastAsia="zh-CN"/>
              </w:rPr>
              <w:t>3</w:t>
            </w:r>
          </w:p>
        </w:tc>
        <w:tc>
          <w:tcPr>
            <w:tcW w:w="3127" w:type="dxa"/>
            <w:vAlign w:val="top"/>
          </w:tcPr>
          <w:p w14:paraId="26D28797">
            <w:pPr>
              <w:rPr>
                <w:rFonts w:ascii="宋体" w:hAnsi="宋体"/>
                <w:kern w:val="0"/>
                <w:szCs w:val="21"/>
                <w:highlight w:val="none"/>
              </w:rPr>
            </w:pPr>
            <w:r>
              <w:rPr>
                <w:rFonts w:hint="eastAsia"/>
                <w:b/>
                <w:bCs/>
                <w:highlight w:val="none"/>
              </w:rPr>
              <w:t>专业接送人员必须经过专业正规培训，并取得</w:t>
            </w:r>
            <w:r>
              <w:rPr>
                <w:rFonts w:hint="eastAsia"/>
                <w:b/>
                <w:bCs/>
                <w:highlight w:val="none"/>
                <w:lang w:val="en-US" w:eastAsia="zh-CN"/>
              </w:rPr>
              <w:t>电瓶车</w:t>
            </w:r>
            <w:r>
              <w:rPr>
                <w:rFonts w:hint="eastAsia"/>
                <w:b/>
                <w:bCs/>
                <w:highlight w:val="none"/>
              </w:rPr>
              <w:t>相应《特种设备作业人员证》</w:t>
            </w:r>
          </w:p>
        </w:tc>
        <w:tc>
          <w:tcPr>
            <w:tcW w:w="2820" w:type="dxa"/>
          </w:tcPr>
          <w:p w14:paraId="5F832219">
            <w:pPr>
              <w:adjustRightInd w:val="0"/>
              <w:snapToGrid w:val="0"/>
              <w:spacing w:line="360" w:lineRule="auto"/>
              <w:rPr>
                <w:rFonts w:ascii="宋体" w:hAnsi="宋体"/>
                <w:kern w:val="0"/>
                <w:szCs w:val="21"/>
              </w:rPr>
            </w:pPr>
          </w:p>
        </w:tc>
        <w:tc>
          <w:tcPr>
            <w:tcW w:w="1140" w:type="dxa"/>
          </w:tcPr>
          <w:p w14:paraId="0D87933B">
            <w:pPr>
              <w:adjustRightInd w:val="0"/>
              <w:snapToGrid w:val="0"/>
              <w:spacing w:line="360" w:lineRule="auto"/>
              <w:rPr>
                <w:rFonts w:ascii="宋体" w:hAnsi="宋体"/>
                <w:kern w:val="0"/>
                <w:szCs w:val="21"/>
              </w:rPr>
            </w:pPr>
          </w:p>
        </w:tc>
        <w:tc>
          <w:tcPr>
            <w:tcW w:w="1099" w:type="dxa"/>
          </w:tcPr>
          <w:p w14:paraId="1CD961A8">
            <w:pPr>
              <w:adjustRightInd w:val="0"/>
              <w:snapToGrid w:val="0"/>
              <w:spacing w:line="360" w:lineRule="auto"/>
              <w:rPr>
                <w:rFonts w:ascii="宋体" w:hAnsi="宋体"/>
                <w:kern w:val="0"/>
                <w:szCs w:val="21"/>
              </w:rPr>
            </w:pPr>
          </w:p>
        </w:tc>
      </w:tr>
      <w:tr w14:paraId="37695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2CAEF7BA">
            <w:pPr>
              <w:adjustRightInd w:val="0"/>
              <w:snapToGrid w:val="0"/>
              <w:spacing w:line="360" w:lineRule="auto"/>
              <w:rPr>
                <w:rFonts w:hint="eastAsia" w:ascii="宋体" w:hAnsi="宋体"/>
                <w:kern w:val="0"/>
                <w:szCs w:val="21"/>
              </w:rPr>
            </w:pPr>
            <w:r>
              <w:rPr>
                <w:rFonts w:hint="eastAsia" w:ascii="宋体" w:hAnsi="宋体"/>
                <w:kern w:val="0"/>
                <w:szCs w:val="21"/>
                <w:lang w:val="en-US" w:eastAsia="zh-CN"/>
              </w:rPr>
              <w:t>4</w:t>
            </w:r>
          </w:p>
        </w:tc>
        <w:tc>
          <w:tcPr>
            <w:tcW w:w="3127" w:type="dxa"/>
            <w:vAlign w:val="top"/>
          </w:tcPr>
          <w:p w14:paraId="4F625A8F">
            <w:pPr>
              <w:rPr>
                <w:rFonts w:hint="eastAsia" w:ascii="宋体" w:hAnsi="宋体"/>
                <w:kern w:val="0"/>
                <w:szCs w:val="21"/>
                <w:highlight w:val="none"/>
              </w:rPr>
            </w:pPr>
            <w:r>
              <w:rPr>
                <w:rFonts w:hint="eastAsia"/>
                <w:b/>
                <w:bCs/>
                <w:color w:val="FF0000"/>
                <w:highlight w:val="none"/>
              </w:rPr>
              <w:t>工程主管及工程师共3人【须与评分细则中“工程主管”、“工程师”为相同人员】要求均具有应急管理部门颁发的特种作业操作证【作业类别：电工作业，操作项目：低压（或高压）电工作业】，证书扫描件在投标文件中提供。</w:t>
            </w:r>
          </w:p>
        </w:tc>
        <w:tc>
          <w:tcPr>
            <w:tcW w:w="2820" w:type="dxa"/>
          </w:tcPr>
          <w:p w14:paraId="0B38FE70">
            <w:pPr>
              <w:adjustRightInd w:val="0"/>
              <w:snapToGrid w:val="0"/>
              <w:spacing w:line="360" w:lineRule="auto"/>
              <w:rPr>
                <w:rFonts w:ascii="宋体" w:hAnsi="宋体"/>
                <w:kern w:val="0"/>
                <w:szCs w:val="21"/>
              </w:rPr>
            </w:pPr>
          </w:p>
        </w:tc>
        <w:tc>
          <w:tcPr>
            <w:tcW w:w="1140" w:type="dxa"/>
          </w:tcPr>
          <w:p w14:paraId="2485C40A">
            <w:pPr>
              <w:adjustRightInd w:val="0"/>
              <w:snapToGrid w:val="0"/>
              <w:spacing w:line="360" w:lineRule="auto"/>
              <w:rPr>
                <w:rFonts w:ascii="宋体" w:hAnsi="宋体"/>
                <w:kern w:val="0"/>
                <w:szCs w:val="21"/>
              </w:rPr>
            </w:pPr>
          </w:p>
        </w:tc>
        <w:tc>
          <w:tcPr>
            <w:tcW w:w="1099" w:type="dxa"/>
          </w:tcPr>
          <w:p w14:paraId="3ABE73B2">
            <w:pPr>
              <w:adjustRightInd w:val="0"/>
              <w:snapToGrid w:val="0"/>
              <w:spacing w:line="360" w:lineRule="auto"/>
              <w:rPr>
                <w:rFonts w:ascii="宋体" w:hAnsi="宋体"/>
                <w:kern w:val="0"/>
                <w:szCs w:val="21"/>
              </w:rPr>
            </w:pPr>
          </w:p>
        </w:tc>
      </w:tr>
      <w:tr w14:paraId="7C57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6B807869">
            <w:pPr>
              <w:adjustRightInd w:val="0"/>
              <w:snapToGrid w:val="0"/>
              <w:spacing w:line="360" w:lineRule="auto"/>
              <w:rPr>
                <w:rFonts w:hint="eastAsia" w:ascii="宋体" w:hAnsi="宋体"/>
                <w:kern w:val="0"/>
                <w:szCs w:val="21"/>
              </w:rPr>
            </w:pPr>
            <w:r>
              <w:rPr>
                <w:rFonts w:hint="eastAsia" w:ascii="宋体" w:hAnsi="宋体"/>
                <w:kern w:val="0"/>
                <w:szCs w:val="21"/>
                <w:lang w:val="en-US" w:eastAsia="zh-CN"/>
              </w:rPr>
              <w:t>5</w:t>
            </w:r>
          </w:p>
        </w:tc>
        <w:tc>
          <w:tcPr>
            <w:tcW w:w="3127" w:type="dxa"/>
            <w:vAlign w:val="top"/>
          </w:tcPr>
          <w:p w14:paraId="7B9FAF01">
            <w:pPr>
              <w:rPr>
                <w:rFonts w:hint="eastAsia" w:ascii="宋体" w:hAnsi="宋体"/>
                <w:kern w:val="0"/>
                <w:szCs w:val="21"/>
                <w:highlight w:val="none"/>
              </w:rPr>
            </w:pPr>
            <w:r>
              <w:rPr>
                <w:rFonts w:hint="eastAsia" w:asciiTheme="minorEastAsia" w:hAnsiTheme="minorEastAsia" w:eastAsiaTheme="minorEastAsia"/>
                <w:b/>
                <w:bCs/>
                <w:highlight w:val="none"/>
                <w:lang w:val="en-US" w:eastAsia="zh-CN"/>
              </w:rPr>
              <w:t>安</w:t>
            </w:r>
            <w:r>
              <w:rPr>
                <w:rFonts w:hint="eastAsia" w:asciiTheme="minorEastAsia" w:hAnsiTheme="minorEastAsia" w:eastAsiaTheme="minorEastAsia"/>
                <w:b/>
                <w:bCs/>
                <w:highlight w:val="none"/>
              </w:rPr>
              <w:t>保（秩序维护）人员必须取得公安部门颁发的保安员证，身体健康，退伍兵及参加过相关军事培训的比例不低于安保（秩序维护）人员总数的15%，女性安保（秩序维护）人员不低于安保（秩序维护）人员总数的15%。</w:t>
            </w:r>
            <w:r>
              <w:rPr>
                <w:rFonts w:hint="eastAsia" w:asciiTheme="minorEastAsia" w:hAnsiTheme="minorEastAsia" w:eastAsiaTheme="minorEastAsia"/>
                <w:b/>
                <w:bCs/>
                <w:highlight w:val="none"/>
                <w:lang w:val="zh-CN"/>
              </w:rPr>
              <w:t>男：</w:t>
            </w:r>
            <w:r>
              <w:rPr>
                <w:rFonts w:hint="eastAsia" w:asciiTheme="minorEastAsia" w:hAnsiTheme="minorEastAsia" w:eastAsiaTheme="minorEastAsia"/>
                <w:b/>
                <w:bCs/>
                <w:highlight w:val="none"/>
              </w:rPr>
              <w:t>身高1.65以上，女：1.58以上。</w:t>
            </w:r>
          </w:p>
        </w:tc>
        <w:tc>
          <w:tcPr>
            <w:tcW w:w="2820" w:type="dxa"/>
          </w:tcPr>
          <w:p w14:paraId="3880B8BD">
            <w:pPr>
              <w:adjustRightInd w:val="0"/>
              <w:snapToGrid w:val="0"/>
              <w:spacing w:line="360" w:lineRule="auto"/>
              <w:rPr>
                <w:rFonts w:ascii="宋体" w:hAnsi="宋体"/>
                <w:kern w:val="0"/>
                <w:szCs w:val="21"/>
              </w:rPr>
            </w:pPr>
          </w:p>
        </w:tc>
        <w:tc>
          <w:tcPr>
            <w:tcW w:w="1140" w:type="dxa"/>
          </w:tcPr>
          <w:p w14:paraId="1E134A5B">
            <w:pPr>
              <w:adjustRightInd w:val="0"/>
              <w:snapToGrid w:val="0"/>
              <w:spacing w:line="360" w:lineRule="auto"/>
              <w:rPr>
                <w:rFonts w:ascii="宋体" w:hAnsi="宋体"/>
                <w:kern w:val="0"/>
                <w:szCs w:val="21"/>
              </w:rPr>
            </w:pPr>
          </w:p>
        </w:tc>
        <w:tc>
          <w:tcPr>
            <w:tcW w:w="1099" w:type="dxa"/>
          </w:tcPr>
          <w:p w14:paraId="3C5B7E53">
            <w:pPr>
              <w:adjustRightInd w:val="0"/>
              <w:snapToGrid w:val="0"/>
              <w:spacing w:line="360" w:lineRule="auto"/>
              <w:rPr>
                <w:rFonts w:ascii="宋体" w:hAnsi="宋体"/>
                <w:kern w:val="0"/>
                <w:szCs w:val="21"/>
              </w:rPr>
            </w:pPr>
          </w:p>
        </w:tc>
      </w:tr>
      <w:tr w14:paraId="3695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5736D5DB">
            <w:pPr>
              <w:adjustRightInd w:val="0"/>
              <w:snapToGrid w:val="0"/>
              <w:spacing w:line="360" w:lineRule="auto"/>
              <w:rPr>
                <w:rFonts w:hint="eastAsia" w:ascii="宋体" w:hAnsi="宋体"/>
                <w:kern w:val="0"/>
                <w:szCs w:val="21"/>
              </w:rPr>
            </w:pPr>
            <w:r>
              <w:rPr>
                <w:rFonts w:hint="eastAsia" w:ascii="宋体" w:hAnsi="宋体"/>
                <w:kern w:val="0"/>
                <w:szCs w:val="21"/>
                <w:lang w:val="en-US" w:eastAsia="zh-CN"/>
              </w:rPr>
              <w:t>6</w:t>
            </w:r>
          </w:p>
        </w:tc>
        <w:tc>
          <w:tcPr>
            <w:tcW w:w="3127" w:type="dxa"/>
            <w:vAlign w:val="top"/>
          </w:tcPr>
          <w:p w14:paraId="10DCBC35">
            <w:pPr>
              <w:rPr>
                <w:rFonts w:hint="eastAsia" w:ascii="宋体" w:hAnsi="宋体"/>
                <w:kern w:val="0"/>
                <w:szCs w:val="21"/>
                <w:highlight w:val="none"/>
              </w:rPr>
            </w:pPr>
            <w:r>
              <w:rPr>
                <w:rFonts w:hint="eastAsia"/>
                <w:b/>
                <w:bCs/>
                <w:color w:val="FF0000"/>
                <w:highlight w:val="none"/>
              </w:rPr>
              <w:t>秩序主管1人【须与评分细则中“秩序主管”为相同人员】具有人社部门或应急部门颁发的应急救援员职业资格证，证书扫描件在投标文件中提供。</w:t>
            </w:r>
          </w:p>
        </w:tc>
        <w:tc>
          <w:tcPr>
            <w:tcW w:w="2820" w:type="dxa"/>
          </w:tcPr>
          <w:p w14:paraId="162AE1ED">
            <w:pPr>
              <w:adjustRightInd w:val="0"/>
              <w:snapToGrid w:val="0"/>
              <w:spacing w:line="360" w:lineRule="auto"/>
              <w:rPr>
                <w:rFonts w:ascii="宋体" w:hAnsi="宋体"/>
                <w:kern w:val="0"/>
                <w:szCs w:val="21"/>
              </w:rPr>
            </w:pPr>
          </w:p>
        </w:tc>
        <w:tc>
          <w:tcPr>
            <w:tcW w:w="1140" w:type="dxa"/>
          </w:tcPr>
          <w:p w14:paraId="68D846DC">
            <w:pPr>
              <w:adjustRightInd w:val="0"/>
              <w:snapToGrid w:val="0"/>
              <w:spacing w:line="360" w:lineRule="auto"/>
              <w:rPr>
                <w:rFonts w:ascii="宋体" w:hAnsi="宋体"/>
                <w:kern w:val="0"/>
                <w:szCs w:val="21"/>
              </w:rPr>
            </w:pPr>
          </w:p>
        </w:tc>
        <w:tc>
          <w:tcPr>
            <w:tcW w:w="1099" w:type="dxa"/>
          </w:tcPr>
          <w:p w14:paraId="38B471AA">
            <w:pPr>
              <w:adjustRightInd w:val="0"/>
              <w:snapToGrid w:val="0"/>
              <w:spacing w:line="360" w:lineRule="auto"/>
              <w:rPr>
                <w:rFonts w:ascii="宋体" w:hAnsi="宋体"/>
                <w:kern w:val="0"/>
                <w:szCs w:val="21"/>
              </w:rPr>
            </w:pPr>
          </w:p>
        </w:tc>
      </w:tr>
    </w:tbl>
    <w:p w14:paraId="1506C15A">
      <w:pPr>
        <w:ind w:firstLine="482" w:firstLineChars="200"/>
        <w:rPr>
          <w:b/>
          <w:sz w:val="24"/>
          <w:szCs w:val="22"/>
        </w:rPr>
      </w:pPr>
      <w:r>
        <w:rPr>
          <w:rFonts w:hint="eastAsia"/>
          <w:b/>
          <w:sz w:val="24"/>
          <w:szCs w:val="22"/>
        </w:rPr>
        <w:t>注：1.上表所列各项均为不可负偏离条款。</w:t>
      </w:r>
    </w:p>
    <w:p w14:paraId="1E877A81">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A2954EA">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318EB0C">
      <w:pPr>
        <w:ind w:firstLine="482" w:firstLineChars="200"/>
        <w:rPr>
          <w:b/>
          <w:sz w:val="24"/>
        </w:rPr>
      </w:pPr>
      <w:r>
        <w:rPr>
          <w:b/>
          <w:sz w:val="24"/>
        </w:rPr>
        <w:t>4.</w:t>
      </w:r>
      <w:r>
        <w:rPr>
          <w:rFonts w:hint="eastAsia"/>
          <w:b/>
          <w:sz w:val="24"/>
        </w:rPr>
        <w:t>评审委员会有权对投标响应情况作出判断（作出评审结论）。</w:t>
      </w:r>
    </w:p>
    <w:p w14:paraId="4940AA1B">
      <w:pPr>
        <w:ind w:firstLine="482" w:firstLineChars="200"/>
        <w:rPr>
          <w:b/>
          <w:sz w:val="24"/>
          <w:szCs w:val="22"/>
        </w:rPr>
      </w:pPr>
      <w:r>
        <w:rPr>
          <w:rFonts w:hint="eastAsia"/>
          <w:b/>
          <w:sz w:val="24"/>
          <w:szCs w:val="22"/>
          <w:lang w:val="en-US" w:eastAsia="zh-CN"/>
        </w:rPr>
        <w:t>5</w:t>
      </w:r>
      <w:r>
        <w:rPr>
          <w:rFonts w:hint="eastAsia"/>
          <w:b/>
          <w:sz w:val="24"/>
          <w:szCs w:val="22"/>
        </w:rPr>
        <w:t>.要求提供证明资料，在“说明”一栏中列明证明资料的位置,以便评审；未要求提供证明材料的，投标人可以不提供。</w:t>
      </w:r>
    </w:p>
    <w:p w14:paraId="630C2B47">
      <w:pPr>
        <w:ind w:firstLine="420" w:firstLineChars="200"/>
      </w:pPr>
    </w:p>
    <w:p w14:paraId="3DD12F5C">
      <w:pPr>
        <w:rPr>
          <w:rFonts w:ascii="黑体" w:hAnsi="宋体" w:eastAsia="黑体"/>
          <w:sz w:val="24"/>
          <w:szCs w:val="20"/>
        </w:rPr>
      </w:pPr>
      <w:r>
        <w:rPr>
          <w:rFonts w:hint="eastAsia" w:ascii="黑体" w:hAnsi="宋体" w:eastAsia="黑体"/>
          <w:sz w:val="24"/>
          <w:szCs w:val="20"/>
        </w:rPr>
        <w:br w:type="page"/>
      </w:r>
    </w:p>
    <w:p w14:paraId="0ECCCF80">
      <w:pPr>
        <w:pStyle w:val="5"/>
        <w:jc w:val="left"/>
        <w:rPr>
          <w:rFonts w:ascii="黑体" w:eastAsia="黑体"/>
          <w:b w:val="0"/>
          <w:bCs w:val="0"/>
        </w:rPr>
      </w:pPr>
      <w:r>
        <w:rPr>
          <w:rFonts w:hint="eastAsia" w:ascii="黑体" w:eastAsia="黑体"/>
          <w:b w:val="0"/>
          <w:bCs w:val="0"/>
        </w:rPr>
        <w:t>六、实施方案（格式自定）</w:t>
      </w:r>
    </w:p>
    <w:p w14:paraId="2BDB8D20">
      <w:pPr>
        <w:spacing w:line="360" w:lineRule="auto"/>
      </w:pPr>
      <w:r>
        <w:rPr>
          <w:rFonts w:hint="eastAsia"/>
          <w:b/>
          <w:bCs/>
          <w:color w:val="FF0000"/>
          <w:sz w:val="22"/>
          <w:szCs w:val="22"/>
        </w:rPr>
        <w:t>（特别提示：投标人须按本招标文件评标信息中这一评审因素要求，提供证明资料）</w:t>
      </w:r>
    </w:p>
    <w:p w14:paraId="58536AA9">
      <w:pPr>
        <w:pStyle w:val="5"/>
        <w:jc w:val="left"/>
        <w:rPr>
          <w:rFonts w:ascii="黑体" w:eastAsia="黑体"/>
          <w:b w:val="0"/>
          <w:bCs w:val="0"/>
          <w:kern w:val="2"/>
        </w:rPr>
      </w:pPr>
      <w:r>
        <w:rPr>
          <w:rFonts w:hint="eastAsia" w:ascii="黑体" w:eastAsia="黑体"/>
          <w:b w:val="0"/>
          <w:bCs w:val="0"/>
          <w:kern w:val="2"/>
        </w:rPr>
        <w:t>七、项目重点难点分析、应对措施及相关的合理化建议（格式自定）</w:t>
      </w:r>
    </w:p>
    <w:p w14:paraId="0C1ABEEC">
      <w:pPr>
        <w:spacing w:line="360" w:lineRule="auto"/>
      </w:pPr>
      <w:r>
        <w:rPr>
          <w:rFonts w:hint="eastAsia"/>
          <w:b/>
          <w:bCs/>
          <w:color w:val="FF0000"/>
          <w:sz w:val="22"/>
          <w:szCs w:val="22"/>
        </w:rPr>
        <w:t>（特别提示：投标人须按本招标文件评标信息中这一评审因素要求，提供证明资料）</w:t>
      </w:r>
    </w:p>
    <w:p w14:paraId="2146F3B7">
      <w:pPr>
        <w:pStyle w:val="5"/>
        <w:jc w:val="left"/>
        <w:rPr>
          <w:rFonts w:ascii="黑体" w:eastAsia="黑体"/>
          <w:b w:val="0"/>
          <w:bCs w:val="0"/>
          <w:kern w:val="2"/>
        </w:rPr>
      </w:pPr>
      <w:r>
        <w:rPr>
          <w:rFonts w:hint="eastAsia" w:ascii="黑体" w:eastAsia="黑体"/>
          <w:b w:val="0"/>
          <w:bCs w:val="0"/>
          <w:kern w:val="2"/>
        </w:rPr>
        <w:t>八、</w:t>
      </w:r>
      <w:r>
        <w:rPr>
          <w:rFonts w:hint="eastAsia" w:ascii="黑体" w:eastAsia="黑体"/>
          <w:b w:val="0"/>
          <w:bCs w:val="0"/>
          <w:kern w:val="2"/>
          <w:lang w:eastAsia="zh-CN"/>
        </w:rPr>
        <w:t>质量（完成时间、安全、环保）保障措施及应急方案</w:t>
      </w:r>
      <w:r>
        <w:rPr>
          <w:rFonts w:hint="eastAsia" w:ascii="黑体" w:eastAsia="黑体"/>
          <w:b w:val="0"/>
          <w:bCs w:val="0"/>
          <w:kern w:val="2"/>
        </w:rPr>
        <w:t>（格式自定）</w:t>
      </w:r>
    </w:p>
    <w:p w14:paraId="2004667E">
      <w:pPr>
        <w:spacing w:line="360" w:lineRule="auto"/>
      </w:pPr>
      <w:r>
        <w:rPr>
          <w:rFonts w:hint="eastAsia"/>
          <w:b/>
          <w:bCs/>
          <w:color w:val="FF0000"/>
          <w:sz w:val="22"/>
          <w:szCs w:val="22"/>
        </w:rPr>
        <w:t>（特别提示：投标人须按本招标文件评标信息中这一评审因素要求，提供证明资料）</w:t>
      </w:r>
    </w:p>
    <w:p w14:paraId="7F224D3F">
      <w:pPr>
        <w:pStyle w:val="5"/>
        <w:jc w:val="left"/>
        <w:rPr>
          <w:rFonts w:ascii="黑体" w:eastAsia="黑体"/>
          <w:b w:val="0"/>
          <w:bCs w:val="0"/>
          <w:kern w:val="2"/>
        </w:rPr>
      </w:pPr>
      <w:r>
        <w:rPr>
          <w:rFonts w:hint="eastAsia" w:ascii="黑体" w:eastAsia="黑体"/>
          <w:b w:val="0"/>
          <w:bCs w:val="0"/>
          <w:kern w:val="2"/>
        </w:rPr>
        <w:t>九、项目完成（服务期满）后的服务承诺（格式自定）</w:t>
      </w:r>
    </w:p>
    <w:p w14:paraId="7AC7A636">
      <w:pPr>
        <w:spacing w:line="360" w:lineRule="auto"/>
      </w:pPr>
      <w:r>
        <w:rPr>
          <w:rFonts w:hint="eastAsia"/>
          <w:b/>
          <w:bCs/>
          <w:color w:val="FF0000"/>
          <w:sz w:val="22"/>
          <w:szCs w:val="22"/>
        </w:rPr>
        <w:t>（特别提示：投标人须按本招标文件评标信息中这一评审因素要求，提供证明资料）</w:t>
      </w:r>
    </w:p>
    <w:p w14:paraId="67A545B8">
      <w:pPr>
        <w:pStyle w:val="5"/>
        <w:jc w:val="left"/>
        <w:rPr>
          <w:rFonts w:ascii="黑体" w:eastAsia="黑体"/>
          <w:b w:val="0"/>
          <w:bCs w:val="0"/>
          <w:kern w:val="2"/>
        </w:rPr>
      </w:pPr>
      <w:r>
        <w:rPr>
          <w:rFonts w:hint="eastAsia" w:ascii="黑体" w:eastAsia="黑体"/>
          <w:b w:val="0"/>
          <w:bCs w:val="0"/>
          <w:kern w:val="2"/>
        </w:rPr>
        <w:t>十、违约承诺（格式自定）</w:t>
      </w:r>
    </w:p>
    <w:p w14:paraId="68DF4B79">
      <w:pPr>
        <w:spacing w:line="360" w:lineRule="auto"/>
      </w:pPr>
      <w:r>
        <w:rPr>
          <w:rFonts w:hint="eastAsia"/>
          <w:b/>
          <w:bCs/>
          <w:color w:val="FF0000"/>
          <w:sz w:val="22"/>
          <w:szCs w:val="22"/>
        </w:rPr>
        <w:t>（特别提示：投标人须按本招标文件评标信息中这一评审因素要求，提供证明资料）</w:t>
      </w:r>
    </w:p>
    <w:p w14:paraId="7CBD5239">
      <w:pPr>
        <w:pStyle w:val="5"/>
        <w:spacing w:before="60" w:beforeLines="25" w:after="60" w:afterLines="25"/>
        <w:jc w:val="left"/>
        <w:rPr>
          <w:rFonts w:ascii="黑体" w:eastAsia="黑体"/>
          <w:b w:val="0"/>
          <w:bCs w:val="0"/>
          <w:kern w:val="2"/>
        </w:rPr>
      </w:pPr>
      <w:r>
        <w:rPr>
          <w:rFonts w:hint="eastAsia" w:ascii="黑体" w:eastAsia="黑体"/>
          <w:b w:val="0"/>
          <w:bCs w:val="0"/>
          <w:kern w:val="2"/>
        </w:rPr>
        <w:t>十一、拟安排的项目负责人情况（仅限一人）（格式自定）</w:t>
      </w:r>
    </w:p>
    <w:p w14:paraId="7CBCC871">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53C9F0C7"/>
    <w:p w14:paraId="5CFA8A49">
      <w:pPr>
        <w:pStyle w:val="5"/>
        <w:spacing w:before="60" w:beforeLines="25" w:after="60" w:afterLines="25"/>
        <w:jc w:val="left"/>
        <w:rPr>
          <w:rFonts w:ascii="黑体" w:eastAsia="黑体"/>
          <w:b w:val="0"/>
          <w:bCs w:val="0"/>
          <w:kern w:val="2"/>
        </w:rPr>
      </w:pPr>
      <w:r>
        <w:rPr>
          <w:rFonts w:hint="eastAsia" w:ascii="黑体" w:eastAsia="黑体"/>
          <w:b w:val="0"/>
          <w:bCs w:val="0"/>
          <w:kern w:val="2"/>
        </w:rPr>
        <w:t>十二、拟安排的项目主要团队成员（主要技术人员）情况（项目负责人除外）（格式自定）</w:t>
      </w:r>
    </w:p>
    <w:p w14:paraId="1040299C">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75172D4C"/>
    <w:p w14:paraId="7F0B9E3B">
      <w:pPr>
        <w:pStyle w:val="5"/>
        <w:jc w:val="left"/>
        <w:rPr>
          <w:rFonts w:ascii="黑体" w:eastAsia="黑体"/>
          <w:b w:val="0"/>
          <w:bCs w:val="0"/>
        </w:rPr>
      </w:pPr>
      <w:r>
        <w:rPr>
          <w:rFonts w:hint="eastAsia" w:ascii="黑体" w:eastAsia="黑体"/>
          <w:b w:val="0"/>
          <w:bCs w:val="0"/>
          <w:kern w:val="2"/>
        </w:rPr>
        <w:t>十三、</w:t>
      </w:r>
      <w:bookmarkStart w:id="51" w:name="_Hlk72062872"/>
      <w:r>
        <w:rPr>
          <w:rFonts w:hint="eastAsia" w:ascii="黑体" w:eastAsia="黑体"/>
          <w:b w:val="0"/>
          <w:bCs w:val="0"/>
        </w:rPr>
        <w:t>供应商同类项目业绩情况（格式自定）</w:t>
      </w:r>
    </w:p>
    <w:p w14:paraId="3112163B">
      <w:pPr>
        <w:spacing w:line="360" w:lineRule="auto"/>
        <w:rPr>
          <w:rFonts w:ascii="黑体" w:eastAsia="黑体"/>
          <w:sz w:val="24"/>
          <w:szCs w:val="20"/>
        </w:rPr>
      </w:pPr>
      <w:r>
        <w:rPr>
          <w:rFonts w:hint="eastAsia"/>
          <w:b/>
          <w:bCs/>
          <w:color w:val="FF0000"/>
          <w:sz w:val="22"/>
          <w:szCs w:val="22"/>
        </w:rPr>
        <w:t>（特别提示：投标人须按本招标文件评标信息中这一评审因素要求，提供证明资料）</w:t>
      </w:r>
    </w:p>
    <w:p w14:paraId="356E2499">
      <w:pPr>
        <w:rPr>
          <w:rFonts w:ascii="黑体" w:eastAsia="黑体"/>
          <w:sz w:val="24"/>
          <w:szCs w:val="20"/>
        </w:rPr>
      </w:pPr>
      <w:r>
        <w:rPr>
          <w:rFonts w:hint="eastAsia" w:ascii="黑体" w:eastAsia="黑体"/>
          <w:sz w:val="24"/>
          <w:szCs w:val="20"/>
        </w:rPr>
        <w:br w:type="page"/>
      </w:r>
    </w:p>
    <w:p w14:paraId="31386086">
      <w:pPr>
        <w:pStyle w:val="5"/>
        <w:jc w:val="left"/>
        <w:rPr>
          <w:rFonts w:ascii="黑体" w:eastAsia="黑体"/>
          <w:b w:val="0"/>
          <w:bCs w:val="0"/>
        </w:rPr>
      </w:pPr>
      <w:r>
        <w:rPr>
          <w:rFonts w:hint="eastAsia" w:ascii="黑体" w:eastAsia="黑体"/>
          <w:b w:val="0"/>
          <w:bCs w:val="0"/>
        </w:rPr>
        <w:t>十</w:t>
      </w:r>
      <w:r>
        <w:rPr>
          <w:rFonts w:hint="eastAsia" w:ascii="黑体" w:eastAsia="黑体"/>
          <w:b w:val="0"/>
          <w:bCs w:val="0"/>
          <w:lang w:val="en-US" w:eastAsia="zh-CN"/>
        </w:rPr>
        <w:t>四</w:t>
      </w:r>
      <w:r>
        <w:rPr>
          <w:rFonts w:hint="eastAsia" w:ascii="黑体" w:eastAsia="黑体"/>
          <w:b w:val="0"/>
          <w:bCs w:val="0"/>
        </w:rPr>
        <w:t>、投标人认为需要加以说明的其他内容</w:t>
      </w:r>
      <w:bookmarkEnd w:id="51"/>
    </w:p>
    <w:p w14:paraId="713AC082">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638EF0BD">
      <w:pPr>
        <w:widowControl/>
        <w:jc w:val="center"/>
        <w:rPr>
          <w:rFonts w:ascii="黑体" w:hAnsi="宋体" w:eastAsia="黑体"/>
          <w:kern w:val="0"/>
          <w:sz w:val="24"/>
          <w:szCs w:val="20"/>
        </w:rPr>
      </w:pPr>
    </w:p>
    <w:p w14:paraId="20F3E012">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7601"/>
      </w:tblGrid>
      <w:tr w14:paraId="12E8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03BA656">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2E403955">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5456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0E25E7D">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24B55085">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50F6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40DA6DB">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611D1A6A">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44BF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0FF5F03">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2ACCE94D">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454D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15105A5">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2D8ED714">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4F5D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3D50E92A">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28135CF2">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4413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B8F2415">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2F223E0E">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33F19F6F">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668427B5">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177DA9C6">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1D8B370D">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0BEFDE6">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1275571E">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234B04D2">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0265A010">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19772C68">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65D1D6D9">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7A67D41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29AB902F">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1BB40794">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02A0E652">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1B7FC086">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0CFDB6C7">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211FD452">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00FA0AC4">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7AD99A89">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1DBE7766">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7E018074">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37BD2CFA">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6F85DF6">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20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4566EA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5311AFAA">
            <w:pPr>
              <w:autoSpaceDE w:val="0"/>
              <w:autoSpaceDN w:val="0"/>
              <w:spacing w:line="340" w:lineRule="exact"/>
              <w:ind w:firstLine="1866"/>
              <w:rPr>
                <w:rFonts w:ascii="宋体" w:hAnsi="宋体" w:cs="宋体" w:eastAsiaTheme="minorEastAsia"/>
                <w:spacing w:val="-4"/>
                <w:kern w:val="0"/>
                <w:szCs w:val="21"/>
              </w:rPr>
            </w:pPr>
          </w:p>
        </w:tc>
      </w:tr>
      <w:tr w14:paraId="21E7AFF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14CB1DC6">
            <w:pPr>
              <w:autoSpaceDE w:val="0"/>
              <w:autoSpaceDN w:val="0"/>
              <w:spacing w:line="340" w:lineRule="exact"/>
              <w:ind w:firstLine="1866"/>
              <w:rPr>
                <w:rFonts w:ascii="宋体" w:hAnsi="宋体" w:cs="宋体" w:eastAsiaTheme="minorEastAsia"/>
                <w:spacing w:val="-4"/>
                <w:kern w:val="0"/>
                <w:szCs w:val="21"/>
              </w:rPr>
            </w:pPr>
          </w:p>
        </w:tc>
      </w:tr>
      <w:tr w14:paraId="235FE9D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5C8A958">
            <w:pPr>
              <w:autoSpaceDE w:val="0"/>
              <w:autoSpaceDN w:val="0"/>
              <w:spacing w:line="340" w:lineRule="exact"/>
              <w:ind w:firstLine="1866"/>
              <w:rPr>
                <w:rFonts w:ascii="宋体" w:hAnsi="宋体" w:cs="宋体" w:eastAsiaTheme="minorEastAsia"/>
                <w:spacing w:val="-4"/>
                <w:kern w:val="0"/>
                <w:szCs w:val="21"/>
              </w:rPr>
            </w:pPr>
          </w:p>
        </w:tc>
      </w:tr>
      <w:tr w14:paraId="478AB4A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7393EC11">
            <w:pPr>
              <w:autoSpaceDE w:val="0"/>
              <w:autoSpaceDN w:val="0"/>
              <w:spacing w:line="340" w:lineRule="exact"/>
              <w:ind w:firstLine="1866"/>
              <w:rPr>
                <w:rFonts w:ascii="宋体" w:hAnsi="宋体" w:cs="宋体" w:eastAsiaTheme="minorEastAsia"/>
                <w:spacing w:val="-4"/>
                <w:kern w:val="0"/>
                <w:szCs w:val="21"/>
              </w:rPr>
            </w:pPr>
          </w:p>
        </w:tc>
      </w:tr>
    </w:tbl>
    <w:p w14:paraId="3DA9854D">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06126E00">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01E4338B">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8AFEEF7">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C8957C7">
      <w:pPr>
        <w:widowControl/>
        <w:autoSpaceDE w:val="0"/>
        <w:autoSpaceDN w:val="0"/>
        <w:spacing w:line="340" w:lineRule="exact"/>
        <w:ind w:firstLine="406" w:firstLineChars="200"/>
        <w:jc w:val="left"/>
        <w:rPr>
          <w:rFonts w:ascii="宋体" w:hAnsi="宋体" w:cs="宋体"/>
          <w:b/>
          <w:bCs/>
          <w:spacing w:val="-4"/>
          <w:kern w:val="0"/>
          <w:szCs w:val="21"/>
        </w:rPr>
      </w:pPr>
    </w:p>
    <w:p w14:paraId="5477A4A6">
      <w:pPr>
        <w:widowControl/>
        <w:autoSpaceDE w:val="0"/>
        <w:autoSpaceDN w:val="0"/>
        <w:spacing w:line="340" w:lineRule="exact"/>
        <w:jc w:val="left"/>
        <w:rPr>
          <w:rFonts w:ascii="宋体" w:hAnsi="宋体" w:cs="宋体"/>
          <w:b/>
          <w:bCs/>
          <w:color w:val="FF0000"/>
          <w:spacing w:val="-4"/>
          <w:kern w:val="0"/>
          <w:szCs w:val="21"/>
        </w:rPr>
      </w:pPr>
      <w:r>
        <w:rPr>
          <w:rFonts w:hint="eastAsia" w:ascii="宋体" w:hAnsi="宋体" w:cs="宋体"/>
          <w:b/>
          <w:bCs/>
          <w:color w:val="FF0000"/>
          <w:spacing w:val="-4"/>
          <w:kern w:val="0"/>
          <w:szCs w:val="21"/>
        </w:rPr>
        <w:t>注：1.《政府采购违法行为风险知悉确认书》需由投标供应商负责人签字并加盖单位公章后，扫描上传至投标文件一并提交。</w:t>
      </w:r>
    </w:p>
    <w:p w14:paraId="57C1FEA7">
      <w:pPr>
        <w:pStyle w:val="59"/>
        <w:rPr>
          <w:color w:val="FF0000"/>
          <w:lang w:bidi="ar"/>
        </w:rPr>
      </w:pPr>
      <w:r>
        <w:rPr>
          <w:rFonts w:hint="eastAsia" w:ascii="宋体" w:hAnsi="宋体" w:cs="宋体"/>
          <w:b/>
          <w:bCs/>
          <w:color w:val="FF0000"/>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750CA7E5">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6C7F45A3">
      <w:pPr>
        <w:widowControl/>
        <w:autoSpaceDE w:val="0"/>
        <w:autoSpaceDN w:val="0"/>
        <w:spacing w:line="400" w:lineRule="exact"/>
        <w:ind w:right="1414" w:firstLine="480" w:firstLineChars="200"/>
        <w:jc w:val="right"/>
        <w:rPr>
          <w:rFonts w:eastAsiaTheme="minorEastAsia"/>
          <w:kern w:val="0"/>
          <w:sz w:val="24"/>
        </w:rPr>
      </w:pPr>
    </w:p>
    <w:p w14:paraId="166F9753">
      <w:pPr>
        <w:rPr>
          <w:rFonts w:ascii="黑体" w:eastAsia="黑体"/>
          <w:sz w:val="24"/>
          <w:szCs w:val="20"/>
        </w:rPr>
      </w:pPr>
      <w:r>
        <w:rPr>
          <w:rFonts w:hint="eastAsia" w:ascii="黑体" w:eastAsia="黑体"/>
          <w:sz w:val="24"/>
          <w:szCs w:val="20"/>
        </w:rPr>
        <w:br w:type="page"/>
      </w:r>
    </w:p>
    <w:p w14:paraId="0D9C67D5">
      <w:pPr>
        <w:jc w:val="center"/>
        <w:rPr>
          <w:rFonts w:ascii="黑体" w:eastAsia="黑体"/>
          <w:sz w:val="24"/>
          <w:szCs w:val="20"/>
        </w:rPr>
      </w:pPr>
      <w:r>
        <w:rPr>
          <w:rFonts w:hint="eastAsia" w:ascii="黑体" w:eastAsia="黑体"/>
          <w:sz w:val="24"/>
          <w:szCs w:val="20"/>
        </w:rPr>
        <w:t>（二）订单融资情况</w:t>
      </w:r>
    </w:p>
    <w:p w14:paraId="1EA3DEA4">
      <w:pPr>
        <w:ind w:firstLine="422" w:firstLineChars="200"/>
        <w:rPr>
          <w:rFonts w:ascii="宋体" w:hAnsi="宋体" w:cs="宋体"/>
          <w:b/>
          <w:bCs/>
        </w:rPr>
      </w:pPr>
      <w:r>
        <w:rPr>
          <w:rFonts w:hint="eastAsia" w:ascii="宋体" w:hAnsi="宋体" w:cs="宋体"/>
          <w:b/>
          <w:bCs/>
        </w:rPr>
        <w:t>1、关于政府采购订单融资政策</w:t>
      </w:r>
    </w:p>
    <w:p w14:paraId="28B52B16">
      <w:pPr>
        <w:pStyle w:val="18"/>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71134401">
      <w:pPr>
        <w:ind w:firstLine="422" w:firstLineChars="200"/>
        <w:rPr>
          <w:rFonts w:ascii="宋体" w:hAnsi="宋体" w:cs="宋体"/>
          <w:b/>
          <w:bCs/>
        </w:rPr>
      </w:pPr>
      <w:r>
        <w:rPr>
          <w:rFonts w:hint="eastAsia" w:ascii="宋体" w:hAnsi="宋体" w:cs="宋体"/>
          <w:b/>
          <w:bCs/>
        </w:rPr>
        <w:t>2、供应商账户信息</w:t>
      </w:r>
    </w:p>
    <w:p w14:paraId="21356B7D">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67D0CAF2">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7B47B0DF">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1F159A3C">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5A82EDCC">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3A529040">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05EFAB45">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865EA97">
      <w:pPr>
        <w:rPr>
          <w:szCs w:val="21"/>
        </w:rPr>
      </w:pPr>
      <w:r>
        <w:rPr>
          <w:rFonts w:hint="eastAsia" w:ascii="宋体" w:hAnsi="宋体" w:eastAsiaTheme="minorEastAsia"/>
          <w:b/>
          <w:bCs/>
          <w:color w:val="FF0000"/>
          <w:spacing w:val="-4"/>
          <w:kern w:val="0"/>
          <w:szCs w:val="21"/>
        </w:rPr>
        <w:t>注：本项填写内容作为订单融资开展的参考信息，不作为供应商资格性审查及符合性审查条件。</w:t>
      </w:r>
    </w:p>
    <w:p w14:paraId="16476EBC">
      <w:pPr>
        <w:widowControl/>
        <w:autoSpaceDE w:val="0"/>
        <w:autoSpaceDN w:val="0"/>
        <w:spacing w:line="400" w:lineRule="exact"/>
        <w:ind w:right="1414" w:firstLine="480" w:firstLineChars="200"/>
        <w:jc w:val="right"/>
        <w:rPr>
          <w:rFonts w:eastAsiaTheme="minorEastAsia"/>
          <w:kern w:val="0"/>
          <w:sz w:val="24"/>
        </w:rPr>
      </w:pPr>
    </w:p>
    <w:p w14:paraId="367FC2F1">
      <w:pPr>
        <w:rPr>
          <w:rFonts w:ascii="黑体" w:hAnsi="宋体" w:eastAsia="黑体"/>
          <w:kern w:val="0"/>
          <w:sz w:val="24"/>
          <w:szCs w:val="20"/>
        </w:rPr>
      </w:pPr>
      <w:r>
        <w:rPr>
          <w:rFonts w:hint="eastAsia" w:ascii="黑体" w:hAnsi="宋体" w:eastAsia="黑体"/>
          <w:kern w:val="0"/>
          <w:sz w:val="24"/>
          <w:szCs w:val="20"/>
        </w:rPr>
        <w:br w:type="page"/>
      </w:r>
    </w:p>
    <w:p w14:paraId="5C117D54">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918CA41"/>
    <w:p w14:paraId="1C47C4F1">
      <w:pPr>
        <w:pStyle w:val="18"/>
        <w:sectPr>
          <w:pgSz w:w="11907" w:h="16840"/>
          <w:pgMar w:top="1440" w:right="1797" w:bottom="1440" w:left="1797" w:header="851" w:footer="992" w:gutter="0"/>
          <w:cols w:space="425" w:num="1"/>
          <w:titlePg/>
          <w:docGrid w:linePitch="462" w:charSpace="0"/>
        </w:sectPr>
      </w:pPr>
    </w:p>
    <w:p w14:paraId="0658F6C9">
      <w:pPr>
        <w:pStyle w:val="3"/>
        <w:jc w:val="center"/>
      </w:pPr>
      <w:r>
        <w:rPr>
          <w:rFonts w:hint="eastAsia"/>
        </w:rPr>
        <w:t>第五章  合同条款及格式</w:t>
      </w:r>
    </w:p>
    <w:p w14:paraId="62E2C28A">
      <w:pPr>
        <w:ind w:firstLine="411" w:firstLineChars="196"/>
      </w:pPr>
    </w:p>
    <w:p w14:paraId="248EB5C4">
      <w:pPr>
        <w:jc w:val="center"/>
        <w:outlineLvl w:val="0"/>
      </w:pPr>
      <w:r>
        <w:rPr>
          <w:rFonts w:hint="eastAsia"/>
          <w:b/>
          <w:sz w:val="24"/>
        </w:rPr>
        <w:t>（仅供参考，具体以项目需求及采购结果为准）</w:t>
      </w:r>
    </w:p>
    <w:p w14:paraId="563FD5A8">
      <w:pPr>
        <w:rPr>
          <w:rFonts w:ascii="宋体" w:hAnsi="宋体"/>
          <w:b/>
          <w:bCs/>
          <w:szCs w:val="21"/>
        </w:rPr>
      </w:pPr>
      <w:r>
        <w:rPr>
          <w:rFonts w:hint="eastAsia" w:ascii="宋体" w:hAnsi="宋体"/>
          <w:b/>
          <w:bCs/>
          <w:szCs w:val="21"/>
        </w:rPr>
        <w:t>甲方：</w:t>
      </w:r>
    </w:p>
    <w:p w14:paraId="2889276C">
      <w:pPr>
        <w:rPr>
          <w:rFonts w:ascii="宋体" w:hAnsi="宋体"/>
          <w:szCs w:val="21"/>
        </w:rPr>
      </w:pPr>
      <w:r>
        <w:rPr>
          <w:rFonts w:hint="eastAsia" w:ascii="宋体" w:hAnsi="宋体"/>
          <w:szCs w:val="21"/>
        </w:rPr>
        <w:t>地址：</w:t>
      </w:r>
    </w:p>
    <w:p w14:paraId="52D7D8F6">
      <w:pPr>
        <w:rPr>
          <w:rFonts w:ascii="宋体" w:hAnsi="宋体"/>
          <w:szCs w:val="21"/>
        </w:rPr>
      </w:pPr>
      <w:r>
        <w:rPr>
          <w:rFonts w:hint="eastAsia" w:ascii="宋体" w:hAnsi="宋体"/>
          <w:szCs w:val="21"/>
        </w:rPr>
        <w:t>联系人：</w:t>
      </w:r>
      <w:r>
        <w:rPr>
          <w:rFonts w:ascii="宋体" w:hAnsi="宋体"/>
          <w:szCs w:val="21"/>
        </w:rPr>
        <w:t xml:space="preserve">                          </w:t>
      </w:r>
    </w:p>
    <w:p w14:paraId="6FACD4E2">
      <w:pPr>
        <w:rPr>
          <w:rFonts w:ascii="宋体" w:hAnsi="宋体"/>
          <w:b/>
          <w:bCs/>
          <w:szCs w:val="21"/>
        </w:rPr>
      </w:pPr>
      <w:r>
        <w:rPr>
          <w:rFonts w:hint="eastAsia" w:ascii="宋体" w:hAnsi="宋体"/>
          <w:szCs w:val="21"/>
        </w:rPr>
        <w:t>联系电话：</w:t>
      </w:r>
    </w:p>
    <w:p w14:paraId="423F1541">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6AA7B1DF">
      <w:pPr>
        <w:rPr>
          <w:rFonts w:ascii="宋体" w:hAnsi="宋体"/>
          <w:b/>
          <w:bCs/>
          <w:szCs w:val="21"/>
        </w:rPr>
      </w:pPr>
      <w:r>
        <w:rPr>
          <w:rFonts w:hint="eastAsia" w:ascii="宋体" w:hAnsi="宋体"/>
          <w:b/>
          <w:bCs/>
          <w:szCs w:val="21"/>
        </w:rPr>
        <w:t>乙方：</w:t>
      </w:r>
    </w:p>
    <w:p w14:paraId="252ED64A">
      <w:pPr>
        <w:rPr>
          <w:rFonts w:ascii="宋体" w:hAnsi="宋体"/>
          <w:szCs w:val="21"/>
        </w:rPr>
      </w:pPr>
      <w:r>
        <w:rPr>
          <w:rFonts w:hint="eastAsia" w:ascii="宋体" w:hAnsi="宋体"/>
          <w:szCs w:val="21"/>
        </w:rPr>
        <w:t>地址：</w:t>
      </w:r>
    </w:p>
    <w:p w14:paraId="634BF21F">
      <w:pPr>
        <w:rPr>
          <w:rFonts w:ascii="宋体" w:hAnsi="宋体"/>
          <w:szCs w:val="21"/>
        </w:rPr>
      </w:pPr>
      <w:r>
        <w:rPr>
          <w:rFonts w:hint="eastAsia" w:ascii="宋体" w:hAnsi="宋体"/>
          <w:szCs w:val="21"/>
        </w:rPr>
        <w:t>联系人：</w:t>
      </w:r>
      <w:r>
        <w:rPr>
          <w:rFonts w:ascii="宋体" w:hAnsi="宋体"/>
          <w:szCs w:val="21"/>
        </w:rPr>
        <w:t xml:space="preserve">                          </w:t>
      </w:r>
    </w:p>
    <w:p w14:paraId="12324632">
      <w:pPr>
        <w:rPr>
          <w:rFonts w:ascii="宋体" w:hAnsi="宋体"/>
          <w:b/>
          <w:bCs/>
          <w:szCs w:val="21"/>
        </w:rPr>
      </w:pPr>
      <w:r>
        <w:rPr>
          <w:rFonts w:hint="eastAsia" w:ascii="宋体" w:hAnsi="宋体"/>
          <w:szCs w:val="21"/>
        </w:rPr>
        <w:t>联系电话：</w:t>
      </w:r>
    </w:p>
    <w:p w14:paraId="22A75F47">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06FA5CB4">
      <w:pPr>
        <w:rPr>
          <w:rFonts w:ascii="宋体" w:hAnsi="宋体"/>
          <w:szCs w:val="21"/>
        </w:rPr>
      </w:pPr>
    </w:p>
    <w:p w14:paraId="33157A42">
      <w:pPr>
        <w:ind w:firstLine="420" w:firstLineChars="200"/>
        <w:rPr>
          <w:rFonts w:ascii="宋体" w:hAnsi="宋体"/>
          <w:szCs w:val="21"/>
        </w:rPr>
      </w:pPr>
      <w:r>
        <w:rPr>
          <w:rFonts w:hint="eastAsia" w:ascii="宋体" w:hAnsi="宋体"/>
          <w:szCs w:val="21"/>
        </w:rPr>
        <w:t>根据深圳公共资源交易中心（深圳交易集团有限公司政府采购业务分公司）*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1F577E45">
      <w:pPr>
        <w:ind w:firstLine="422" w:firstLineChars="200"/>
        <w:rPr>
          <w:rFonts w:ascii="宋体" w:hAnsi="宋体"/>
          <w:b/>
          <w:bCs/>
          <w:szCs w:val="21"/>
        </w:rPr>
      </w:pPr>
      <w:r>
        <w:rPr>
          <w:rFonts w:hint="eastAsia" w:ascii="宋体" w:hAnsi="宋体"/>
          <w:b/>
          <w:bCs/>
          <w:szCs w:val="21"/>
        </w:rPr>
        <w:t>第一条　项目概况</w:t>
      </w:r>
    </w:p>
    <w:p w14:paraId="6E94C76A">
      <w:pPr>
        <w:ind w:firstLine="420" w:firstLineChars="200"/>
        <w:rPr>
          <w:rFonts w:ascii="宋体" w:hAnsi="宋体"/>
          <w:szCs w:val="21"/>
        </w:rPr>
      </w:pPr>
      <w:r>
        <w:rPr>
          <w:rFonts w:hint="eastAsia" w:ascii="宋体" w:hAnsi="宋体"/>
          <w:szCs w:val="21"/>
        </w:rPr>
        <w:t xml:space="preserve">项目名称： </w:t>
      </w:r>
    </w:p>
    <w:p w14:paraId="6DD10A53">
      <w:pPr>
        <w:ind w:firstLine="420" w:firstLineChars="200"/>
        <w:rPr>
          <w:rFonts w:ascii="宋体" w:hAnsi="宋体"/>
          <w:szCs w:val="21"/>
        </w:rPr>
      </w:pPr>
      <w:r>
        <w:rPr>
          <w:rFonts w:hint="eastAsia" w:ascii="宋体" w:hAnsi="宋体"/>
          <w:szCs w:val="21"/>
        </w:rPr>
        <w:t xml:space="preserve">项目内容： </w:t>
      </w:r>
    </w:p>
    <w:p w14:paraId="5FEA644E">
      <w:pPr>
        <w:ind w:firstLine="420" w:firstLineChars="200"/>
        <w:rPr>
          <w:rFonts w:ascii="宋体" w:hAnsi="宋体"/>
          <w:szCs w:val="21"/>
        </w:rPr>
      </w:pPr>
      <w:r>
        <w:rPr>
          <w:rFonts w:hint="eastAsia" w:ascii="宋体" w:hAnsi="宋体"/>
          <w:szCs w:val="21"/>
        </w:rPr>
        <w:t xml:space="preserve">服务时间： </w:t>
      </w:r>
    </w:p>
    <w:p w14:paraId="23210B8E">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63214BE7">
      <w:pPr>
        <w:pStyle w:val="7"/>
        <w:rPr>
          <w:rFonts w:ascii="宋体" w:hAnsi="宋体"/>
          <w:szCs w:val="21"/>
        </w:rPr>
      </w:pPr>
      <w:r>
        <w:rPr>
          <w:rFonts w:hint="eastAsia" w:ascii="宋体" w:hAnsi="宋体"/>
          <w:szCs w:val="21"/>
        </w:rPr>
        <w:t>支付方式：分期支付。</w:t>
      </w:r>
    </w:p>
    <w:p w14:paraId="2381774A">
      <w:pPr>
        <w:ind w:firstLine="422" w:firstLineChars="200"/>
        <w:rPr>
          <w:rFonts w:ascii="宋体" w:hAnsi="宋体"/>
          <w:b/>
          <w:bCs/>
          <w:szCs w:val="21"/>
        </w:rPr>
      </w:pPr>
      <w:r>
        <w:rPr>
          <w:rFonts w:hint="eastAsia" w:ascii="宋体" w:hAnsi="宋体"/>
          <w:b/>
          <w:bCs/>
          <w:szCs w:val="21"/>
        </w:rPr>
        <w:t>第二条  服务范围</w:t>
      </w:r>
    </w:p>
    <w:p w14:paraId="328F5D5B">
      <w:pPr>
        <w:ind w:firstLine="420" w:firstLineChars="200"/>
        <w:rPr>
          <w:rFonts w:ascii="宋体" w:hAnsi="宋体"/>
          <w:szCs w:val="21"/>
        </w:rPr>
      </w:pPr>
      <w:r>
        <w:rPr>
          <w:rFonts w:hint="eastAsia" w:ascii="宋体" w:hAnsi="宋体"/>
          <w:szCs w:val="21"/>
        </w:rPr>
        <w:t xml:space="preserve">1、  </w:t>
      </w:r>
    </w:p>
    <w:p w14:paraId="2B7C2129">
      <w:pPr>
        <w:ind w:firstLine="420" w:firstLineChars="200"/>
        <w:rPr>
          <w:rFonts w:ascii="宋体" w:hAnsi="宋体"/>
          <w:szCs w:val="21"/>
        </w:rPr>
      </w:pPr>
      <w:r>
        <w:rPr>
          <w:rFonts w:hint="eastAsia" w:ascii="宋体" w:hAnsi="宋体"/>
          <w:szCs w:val="21"/>
        </w:rPr>
        <w:t xml:space="preserve">2、  </w:t>
      </w:r>
    </w:p>
    <w:p w14:paraId="5A58C918">
      <w:pPr>
        <w:ind w:firstLine="420" w:firstLineChars="200"/>
        <w:rPr>
          <w:rFonts w:ascii="宋体" w:hAnsi="宋体"/>
          <w:szCs w:val="21"/>
        </w:rPr>
      </w:pPr>
      <w:r>
        <w:rPr>
          <w:rFonts w:hint="eastAsia" w:ascii="宋体" w:hAnsi="宋体"/>
          <w:szCs w:val="21"/>
        </w:rPr>
        <w:t xml:space="preserve">3、  </w:t>
      </w:r>
    </w:p>
    <w:p w14:paraId="57EE87E7">
      <w:pPr>
        <w:ind w:firstLine="420" w:firstLineChars="200"/>
        <w:rPr>
          <w:rFonts w:ascii="宋体" w:hAnsi="宋体"/>
          <w:szCs w:val="21"/>
        </w:rPr>
      </w:pPr>
      <w:r>
        <w:rPr>
          <w:rFonts w:hint="eastAsia" w:ascii="宋体" w:hAnsi="宋体"/>
          <w:szCs w:val="21"/>
        </w:rPr>
        <w:t>4、 其他合同未明示的相关工作。</w:t>
      </w:r>
    </w:p>
    <w:p w14:paraId="58AEEEB4">
      <w:pPr>
        <w:ind w:firstLine="422" w:firstLineChars="200"/>
        <w:rPr>
          <w:rFonts w:ascii="宋体" w:hAnsi="宋体"/>
          <w:b/>
          <w:bCs/>
          <w:szCs w:val="21"/>
        </w:rPr>
      </w:pPr>
      <w:r>
        <w:rPr>
          <w:rFonts w:hint="eastAsia" w:ascii="宋体" w:hAnsi="宋体"/>
          <w:b/>
          <w:bCs/>
          <w:szCs w:val="21"/>
        </w:rPr>
        <w:t>第三条  时间要求及阶段成果</w:t>
      </w:r>
    </w:p>
    <w:p w14:paraId="376E5221">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1AB1EA39">
      <w:pPr>
        <w:ind w:firstLine="420" w:firstLineChars="200"/>
        <w:rPr>
          <w:rFonts w:ascii="宋体" w:hAnsi="宋体"/>
          <w:szCs w:val="21"/>
        </w:rPr>
      </w:pPr>
      <w:r>
        <w:rPr>
          <w:rFonts w:hint="eastAsia" w:ascii="宋体" w:hAnsi="宋体"/>
          <w:szCs w:val="21"/>
        </w:rPr>
        <w:t xml:space="preserve">2、 </w:t>
      </w:r>
    </w:p>
    <w:p w14:paraId="427F908A">
      <w:pPr>
        <w:ind w:firstLine="420" w:firstLineChars="200"/>
        <w:rPr>
          <w:rFonts w:ascii="宋体" w:hAnsi="宋体"/>
          <w:szCs w:val="21"/>
        </w:rPr>
      </w:pPr>
      <w:r>
        <w:rPr>
          <w:rFonts w:hint="eastAsia" w:ascii="宋体" w:hAnsi="宋体"/>
          <w:szCs w:val="21"/>
        </w:rPr>
        <w:t>3、</w:t>
      </w:r>
    </w:p>
    <w:p w14:paraId="1C7F7B98">
      <w:pPr>
        <w:ind w:firstLine="420" w:firstLineChars="200"/>
        <w:rPr>
          <w:rFonts w:ascii="宋体" w:hAnsi="宋体"/>
          <w:szCs w:val="21"/>
        </w:rPr>
      </w:pPr>
      <w:r>
        <w:rPr>
          <w:rFonts w:hint="eastAsia" w:ascii="宋体" w:hAnsi="宋体"/>
          <w:szCs w:val="21"/>
        </w:rPr>
        <w:t>4、</w:t>
      </w:r>
    </w:p>
    <w:p w14:paraId="064C4E5D">
      <w:pPr>
        <w:ind w:firstLine="422" w:firstLineChars="200"/>
        <w:rPr>
          <w:rFonts w:ascii="宋体" w:hAnsi="宋体"/>
          <w:b/>
          <w:bCs/>
          <w:szCs w:val="21"/>
        </w:rPr>
      </w:pPr>
      <w:r>
        <w:rPr>
          <w:rFonts w:hint="eastAsia" w:ascii="宋体" w:hAnsi="宋体"/>
          <w:b/>
          <w:bCs/>
          <w:szCs w:val="21"/>
        </w:rPr>
        <w:t>第四条  服务资料归属</w:t>
      </w:r>
    </w:p>
    <w:p w14:paraId="6C2388AD">
      <w:pPr>
        <w:ind w:firstLine="420" w:firstLineChars="200"/>
      </w:pPr>
      <w:r>
        <w:t>1</w:t>
      </w:r>
      <w:r>
        <w:rPr>
          <w:rFonts w:hint="eastAsia"/>
        </w:rPr>
        <w:t>、</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05ED5D6D">
      <w:pPr>
        <w:ind w:firstLine="420" w:firstLineChars="200"/>
      </w:pPr>
      <w:r>
        <w:t>2</w:t>
      </w:r>
      <w:r>
        <w:rPr>
          <w:rFonts w:hint="eastAsia"/>
        </w:rPr>
        <w:t>、</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3C5F018B">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67DD0A84">
      <w:pPr>
        <w:ind w:firstLine="422" w:firstLineChars="200"/>
        <w:rPr>
          <w:rFonts w:ascii="宋体" w:hAnsi="宋体"/>
          <w:b/>
          <w:bCs/>
          <w:szCs w:val="21"/>
        </w:rPr>
      </w:pPr>
      <w:r>
        <w:rPr>
          <w:rFonts w:hint="eastAsia" w:ascii="宋体" w:hAnsi="宋体"/>
          <w:b/>
          <w:bCs/>
          <w:szCs w:val="21"/>
        </w:rPr>
        <w:t>第五条  甲方的义务</w:t>
      </w:r>
    </w:p>
    <w:p w14:paraId="280AD46A">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605BF59A">
      <w:pPr>
        <w:ind w:firstLine="420" w:firstLineChars="200"/>
        <w:rPr>
          <w:rFonts w:ascii="宋体" w:hAnsi="宋体"/>
          <w:szCs w:val="21"/>
        </w:rPr>
      </w:pPr>
      <w:r>
        <w:rPr>
          <w:rFonts w:hint="eastAsia" w:ascii="宋体" w:hAnsi="宋体"/>
          <w:szCs w:val="21"/>
        </w:rPr>
        <w:t>2、向乙方提供与本项目服务工作有关的资料。</w:t>
      </w:r>
    </w:p>
    <w:p w14:paraId="36F8A3AA">
      <w:pPr>
        <w:ind w:firstLine="420" w:firstLineChars="200"/>
        <w:rPr>
          <w:rFonts w:ascii="宋体" w:hAnsi="宋体"/>
          <w:szCs w:val="21"/>
        </w:rPr>
      </w:pPr>
      <w:r>
        <w:rPr>
          <w:rFonts w:hint="eastAsia" w:ascii="宋体" w:hAnsi="宋体"/>
          <w:szCs w:val="21"/>
        </w:rPr>
        <w:t>3、负责组织有关专家对项目试验成果评估报告的评审。</w:t>
      </w:r>
    </w:p>
    <w:p w14:paraId="295DA425">
      <w:pPr>
        <w:ind w:firstLine="422" w:firstLineChars="200"/>
        <w:rPr>
          <w:rFonts w:ascii="宋体" w:hAnsi="宋体"/>
          <w:b/>
          <w:bCs/>
          <w:szCs w:val="21"/>
        </w:rPr>
      </w:pPr>
      <w:r>
        <w:rPr>
          <w:rFonts w:hint="eastAsia" w:ascii="宋体" w:hAnsi="宋体"/>
          <w:b/>
          <w:bCs/>
          <w:szCs w:val="21"/>
        </w:rPr>
        <w:t>第六条　乙方的义务</w:t>
      </w:r>
    </w:p>
    <w:p w14:paraId="2E61540F">
      <w:pPr>
        <w:ind w:firstLine="420" w:firstLineChars="200"/>
        <w:rPr>
          <w:rFonts w:ascii="宋体" w:hAnsi="宋体"/>
          <w:szCs w:val="21"/>
        </w:rPr>
      </w:pPr>
      <w:r>
        <w:rPr>
          <w:rFonts w:hint="eastAsia" w:ascii="宋体" w:hAnsi="宋体"/>
          <w:szCs w:val="21"/>
        </w:rPr>
        <w:t>１、应按照招标文件、投标文件要求按期完成本项目服务工作。</w:t>
      </w:r>
    </w:p>
    <w:p w14:paraId="3ABF8EB7">
      <w:pPr>
        <w:ind w:firstLine="420" w:firstLineChars="200"/>
        <w:rPr>
          <w:rFonts w:ascii="宋体" w:hAnsi="宋体"/>
          <w:szCs w:val="21"/>
        </w:rPr>
      </w:pPr>
      <w:r>
        <w:rPr>
          <w:rFonts w:hint="eastAsia" w:ascii="宋体" w:hAnsi="宋体"/>
          <w:szCs w:val="21"/>
        </w:rPr>
        <w:t>2、负责组织项目的实施，保证工程进度和成桥荷载试验工作质量，并满足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6266928B">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14A568F0">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5C966FAC">
      <w:pPr>
        <w:ind w:firstLine="422" w:firstLineChars="200"/>
        <w:rPr>
          <w:rFonts w:ascii="宋体" w:hAnsi="宋体"/>
          <w:b/>
          <w:bCs/>
          <w:szCs w:val="21"/>
        </w:rPr>
      </w:pPr>
      <w:r>
        <w:rPr>
          <w:rFonts w:hint="eastAsia" w:ascii="宋体" w:hAnsi="宋体"/>
          <w:b/>
          <w:bCs/>
          <w:szCs w:val="21"/>
        </w:rPr>
        <w:t>第七条  甲方的权利</w:t>
      </w:r>
    </w:p>
    <w:p w14:paraId="7604E1B3">
      <w:pPr>
        <w:ind w:firstLine="420" w:firstLineChars="200"/>
        <w:rPr>
          <w:rFonts w:ascii="宋体" w:hAnsi="宋体"/>
          <w:szCs w:val="21"/>
        </w:rPr>
      </w:pPr>
      <w:r>
        <w:rPr>
          <w:rFonts w:ascii="宋体" w:hAnsi="宋体"/>
          <w:szCs w:val="21"/>
        </w:rPr>
        <w:t>1</w:t>
      </w:r>
      <w:r>
        <w:rPr>
          <w:rFonts w:hint="eastAsia" w:ascii="宋体" w:hAnsi="宋体"/>
          <w:szCs w:val="21"/>
        </w:rPr>
        <w:t>、有权向乙方询问工作进展情况及相关内容。</w:t>
      </w:r>
    </w:p>
    <w:p w14:paraId="7E0C477C">
      <w:pPr>
        <w:ind w:firstLine="420" w:firstLineChars="200"/>
        <w:rPr>
          <w:rFonts w:ascii="宋体" w:hAnsi="宋体"/>
          <w:szCs w:val="21"/>
        </w:rPr>
      </w:pPr>
      <w:r>
        <w:rPr>
          <w:rFonts w:ascii="宋体" w:hAnsi="宋体"/>
          <w:szCs w:val="21"/>
        </w:rPr>
        <w:t>2</w:t>
      </w:r>
      <w:r>
        <w:rPr>
          <w:rFonts w:hint="eastAsia" w:ascii="宋体" w:hAnsi="宋体"/>
          <w:szCs w:val="21"/>
        </w:rPr>
        <w:t>、有权阐述对具体问题的意见和建议。</w:t>
      </w:r>
    </w:p>
    <w:p w14:paraId="7CBB57CA">
      <w:pPr>
        <w:ind w:firstLine="420" w:firstLineChars="200"/>
        <w:rPr>
          <w:rFonts w:ascii="宋体" w:hAnsi="宋体"/>
          <w:szCs w:val="21"/>
        </w:rPr>
      </w:pPr>
      <w:r>
        <w:rPr>
          <w:rFonts w:ascii="宋体" w:hAnsi="宋体"/>
          <w:szCs w:val="21"/>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51366CE6">
      <w:pPr>
        <w:ind w:firstLine="422" w:firstLineChars="200"/>
        <w:rPr>
          <w:rFonts w:ascii="宋体" w:hAnsi="宋体"/>
          <w:b/>
          <w:bCs/>
          <w:szCs w:val="21"/>
        </w:rPr>
      </w:pPr>
      <w:r>
        <w:rPr>
          <w:rFonts w:hint="eastAsia" w:ascii="宋体" w:hAnsi="宋体"/>
          <w:b/>
          <w:bCs/>
          <w:szCs w:val="21"/>
        </w:rPr>
        <w:t>第八条  乙方的权利</w:t>
      </w:r>
    </w:p>
    <w:p w14:paraId="29982407">
      <w:pPr>
        <w:ind w:firstLine="420" w:firstLineChars="200"/>
        <w:rPr>
          <w:rFonts w:ascii="宋体" w:hAnsi="宋体"/>
          <w:szCs w:val="21"/>
        </w:rPr>
      </w:pPr>
      <w:r>
        <w:rPr>
          <w:rFonts w:ascii="宋体" w:hAnsi="宋体"/>
          <w:szCs w:val="21"/>
        </w:rPr>
        <w:t>1</w:t>
      </w:r>
      <w:r>
        <w:rPr>
          <w:rFonts w:hint="eastAsia" w:ascii="宋体" w:hAnsi="宋体"/>
          <w:szCs w:val="21"/>
        </w:rPr>
        <w:t>、乙方在本项目服务过程中，如甲方提供的资料不明确时可向甲方提出书面报告。</w:t>
      </w:r>
    </w:p>
    <w:p w14:paraId="7C5C56CD">
      <w:pPr>
        <w:ind w:firstLine="420" w:firstLineChars="200"/>
        <w:rPr>
          <w:rFonts w:ascii="宋体" w:hAnsi="宋体"/>
          <w:szCs w:val="21"/>
        </w:rPr>
      </w:pPr>
      <w:r>
        <w:rPr>
          <w:rFonts w:ascii="宋体" w:hAnsi="宋体"/>
          <w:szCs w:val="21"/>
        </w:rPr>
        <w:t>2</w:t>
      </w:r>
      <w:r>
        <w:rPr>
          <w:rFonts w:hint="eastAsia" w:ascii="宋体" w:hAnsi="宋体"/>
          <w:szCs w:val="21"/>
        </w:rPr>
        <w:t>、乙方在本项目服务过程中，有权对第三方提出与本服务业务有关的问题进行核对或查问。</w:t>
      </w:r>
    </w:p>
    <w:p w14:paraId="25D27CFF">
      <w:pPr>
        <w:ind w:firstLine="420" w:firstLineChars="200"/>
        <w:rPr>
          <w:rFonts w:ascii="宋体" w:hAnsi="宋体"/>
          <w:szCs w:val="21"/>
        </w:rPr>
      </w:pPr>
      <w:r>
        <w:rPr>
          <w:rFonts w:ascii="宋体" w:hAnsi="宋体"/>
          <w:szCs w:val="21"/>
        </w:rPr>
        <w:t>3</w:t>
      </w:r>
      <w:r>
        <w:rPr>
          <w:rFonts w:hint="eastAsia" w:ascii="宋体" w:hAnsi="宋体"/>
          <w:szCs w:val="21"/>
        </w:rPr>
        <w:t>、乙方在本项目服务过程中，有到工程现场勘察的权利。</w:t>
      </w:r>
    </w:p>
    <w:p w14:paraId="381057B1">
      <w:pPr>
        <w:ind w:firstLine="422" w:firstLineChars="200"/>
        <w:rPr>
          <w:rFonts w:ascii="宋体" w:hAnsi="宋体"/>
          <w:b/>
          <w:bCs/>
          <w:szCs w:val="21"/>
        </w:rPr>
      </w:pPr>
      <w:r>
        <w:rPr>
          <w:rFonts w:hint="eastAsia" w:ascii="宋体" w:hAnsi="宋体"/>
          <w:b/>
          <w:bCs/>
          <w:szCs w:val="21"/>
        </w:rPr>
        <w:t>第九条  甲方的责任</w:t>
      </w:r>
    </w:p>
    <w:p w14:paraId="20377297">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3C91592E">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559F4ABC">
      <w:pPr>
        <w:ind w:firstLine="422" w:firstLineChars="200"/>
        <w:rPr>
          <w:rFonts w:ascii="宋体" w:hAnsi="宋体"/>
          <w:b/>
          <w:bCs/>
          <w:szCs w:val="21"/>
        </w:rPr>
      </w:pPr>
      <w:r>
        <w:rPr>
          <w:rFonts w:hint="eastAsia" w:ascii="宋体" w:hAnsi="宋体"/>
          <w:b/>
          <w:bCs/>
          <w:szCs w:val="21"/>
        </w:rPr>
        <w:t>第十条  乙方的责任</w:t>
      </w:r>
    </w:p>
    <w:p w14:paraId="71740FBD">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5BC487E3">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29581A51">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7B897155">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23D8139D">
      <w:pPr>
        <w:ind w:firstLine="422" w:firstLineChars="200"/>
        <w:rPr>
          <w:rFonts w:ascii="宋体" w:hAnsi="宋体"/>
          <w:b/>
          <w:bCs/>
          <w:szCs w:val="21"/>
        </w:rPr>
      </w:pPr>
      <w:r>
        <w:rPr>
          <w:rFonts w:hint="eastAsia" w:ascii="宋体" w:hAnsi="宋体"/>
          <w:b/>
          <w:bCs/>
          <w:szCs w:val="21"/>
        </w:rPr>
        <w:t>第十一条  人员要求</w:t>
      </w:r>
    </w:p>
    <w:p w14:paraId="4A2AD95C">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1D61D54F">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14:paraId="12C89C7A">
      <w:pPr>
        <w:ind w:firstLine="420" w:firstLineChars="200"/>
        <w:rPr>
          <w:rFonts w:ascii="宋体" w:hAnsi="宋体"/>
          <w:szCs w:val="21"/>
        </w:rPr>
      </w:pPr>
      <w:r>
        <w:rPr>
          <w:rFonts w:hint="eastAsia" w:ascii="宋体" w:hAnsi="宋体"/>
          <w:szCs w:val="21"/>
        </w:rPr>
        <w:t>3、必须以直属试验人员参与本项目服务，不得使用挂靠队伍。</w:t>
      </w:r>
    </w:p>
    <w:p w14:paraId="28CB83A4">
      <w:pPr>
        <w:ind w:firstLine="422" w:firstLineChars="200"/>
        <w:rPr>
          <w:rFonts w:ascii="宋体" w:hAnsi="宋体"/>
          <w:b/>
          <w:bCs/>
          <w:szCs w:val="21"/>
        </w:rPr>
      </w:pPr>
      <w:r>
        <w:rPr>
          <w:rFonts w:hint="eastAsia" w:ascii="宋体" w:hAnsi="宋体"/>
          <w:b/>
          <w:bCs/>
          <w:szCs w:val="21"/>
        </w:rPr>
        <w:t>第十二条  乙方服务工具要求</w:t>
      </w:r>
    </w:p>
    <w:p w14:paraId="3A24F55D">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2B9CF789">
      <w:pPr>
        <w:ind w:firstLine="420" w:firstLineChars="200"/>
        <w:rPr>
          <w:rFonts w:ascii="宋体" w:hAnsi="宋体"/>
          <w:szCs w:val="21"/>
        </w:rPr>
      </w:pPr>
      <w:r>
        <w:rPr>
          <w:rFonts w:hint="eastAsia" w:ascii="宋体" w:hAnsi="宋体"/>
          <w:szCs w:val="21"/>
        </w:rPr>
        <w:t>2、乙方在提供服务过程中应自备车辆。</w:t>
      </w:r>
    </w:p>
    <w:p w14:paraId="0955F17C">
      <w:pPr>
        <w:ind w:firstLine="422" w:firstLineChars="200"/>
        <w:rPr>
          <w:rFonts w:ascii="宋体" w:hAnsi="宋体"/>
          <w:b/>
          <w:bCs/>
          <w:szCs w:val="21"/>
        </w:rPr>
      </w:pPr>
      <w:r>
        <w:rPr>
          <w:rFonts w:hint="eastAsia" w:ascii="宋体" w:hAnsi="宋体"/>
          <w:b/>
          <w:bCs/>
          <w:szCs w:val="21"/>
        </w:rPr>
        <w:t>第十三条  保密要求</w:t>
      </w:r>
    </w:p>
    <w:p w14:paraId="2CF7D8FE">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由甲方收集的、开发的、整理的、复制的、研究的和准备的与本合同项下工作有关的所有资料在提供给乙方时，均被视为保密的，不得</w:t>
      </w:r>
      <w:r>
        <w:rPr>
          <w:rFonts w:hint="eastAsia" w:ascii="宋体" w:hAnsi="宋体"/>
          <w:szCs w:val="21"/>
          <w:lang w:eastAsia="zh-CN"/>
        </w:rPr>
        <w:t>泄露</w:t>
      </w:r>
      <w:r>
        <w:rPr>
          <w:rFonts w:ascii="宋体" w:hAnsi="宋体"/>
          <w:szCs w:val="21"/>
        </w:rPr>
        <w:t>给除甲方或其指定的代表之外的任何人、企业或公司，不管本合同因何种原因终止，本条款一直约束乙方。</w:t>
      </w:r>
    </w:p>
    <w:p w14:paraId="7A5019DB">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0156E8BD">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391F5FC4">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5813ECF1">
      <w:pPr>
        <w:ind w:firstLine="422" w:firstLineChars="200"/>
        <w:rPr>
          <w:rFonts w:ascii="宋体" w:hAnsi="宋体"/>
          <w:b/>
          <w:bCs/>
          <w:szCs w:val="21"/>
        </w:rPr>
      </w:pPr>
      <w:r>
        <w:rPr>
          <w:rFonts w:hint="eastAsia" w:ascii="宋体" w:hAnsi="宋体"/>
          <w:b/>
          <w:bCs/>
          <w:szCs w:val="21"/>
        </w:rPr>
        <w:t xml:space="preserve">第十四条  验收     </w:t>
      </w:r>
    </w:p>
    <w:p w14:paraId="554AC603">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07EE1B28">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252E20A9">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63B98CC4">
      <w:pPr>
        <w:ind w:firstLine="422" w:firstLineChars="200"/>
        <w:rPr>
          <w:rFonts w:ascii="宋体" w:hAnsi="宋体"/>
          <w:b/>
          <w:bCs/>
          <w:szCs w:val="21"/>
        </w:rPr>
      </w:pPr>
      <w:r>
        <w:rPr>
          <w:rFonts w:hint="eastAsia" w:ascii="宋体" w:hAnsi="宋体"/>
          <w:b/>
          <w:bCs/>
          <w:szCs w:val="21"/>
        </w:rPr>
        <w:t>第十五条  付款方式</w:t>
      </w:r>
    </w:p>
    <w:p w14:paraId="600DE847">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6791EC81">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6B497BB9">
      <w:pPr>
        <w:ind w:firstLine="420" w:firstLineChars="200"/>
        <w:rPr>
          <w:rFonts w:ascii="宋体" w:hAnsi="宋体"/>
          <w:szCs w:val="21"/>
        </w:rPr>
      </w:pPr>
      <w:r>
        <w:rPr>
          <w:rFonts w:hint="eastAsia" w:ascii="宋体" w:hAnsi="宋体"/>
          <w:szCs w:val="21"/>
        </w:rPr>
        <w:t>3、报告通过专家评审后，甲方向乙方支付合同总价%的款项。</w:t>
      </w:r>
    </w:p>
    <w:p w14:paraId="696C13B4">
      <w:pPr>
        <w:ind w:firstLine="422" w:firstLineChars="200"/>
        <w:rPr>
          <w:rFonts w:ascii="宋体" w:hAnsi="宋体"/>
          <w:b/>
          <w:bCs/>
          <w:szCs w:val="21"/>
        </w:rPr>
      </w:pPr>
      <w:r>
        <w:rPr>
          <w:rFonts w:hint="eastAsia" w:ascii="宋体" w:hAnsi="宋体"/>
          <w:b/>
          <w:bCs/>
          <w:szCs w:val="21"/>
        </w:rPr>
        <w:t>第十六条  争议解决办法</w:t>
      </w:r>
    </w:p>
    <w:p w14:paraId="6F7049D5">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006167E6">
      <w:pPr>
        <w:ind w:firstLine="422" w:firstLineChars="200"/>
        <w:rPr>
          <w:rFonts w:ascii="宋体" w:hAnsi="宋体"/>
          <w:b/>
          <w:bCs/>
          <w:szCs w:val="21"/>
        </w:rPr>
      </w:pPr>
      <w:r>
        <w:rPr>
          <w:rFonts w:hint="eastAsia" w:ascii="宋体" w:hAnsi="宋体"/>
          <w:b/>
          <w:bCs/>
          <w:szCs w:val="21"/>
        </w:rPr>
        <w:t>第十七条  风险责任</w:t>
      </w:r>
    </w:p>
    <w:p w14:paraId="6B75E85F">
      <w:pPr>
        <w:ind w:firstLine="420" w:firstLineChars="200"/>
        <w:rPr>
          <w:rFonts w:ascii="宋体" w:hAnsi="宋体"/>
          <w:szCs w:val="21"/>
        </w:rPr>
      </w:pPr>
      <w:r>
        <w:rPr>
          <w:rFonts w:hint="eastAsia" w:ascii="宋体" w:hAnsi="宋体"/>
          <w:szCs w:val="21"/>
        </w:rPr>
        <w:t>１、乙方应完全按照招标文件的要求和乙方投标文件的承诺完成本项目，出于自身财务、技术、人力等原因导致项目失败的，应承担全部责任。</w:t>
      </w:r>
    </w:p>
    <w:p w14:paraId="513B57B5">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521BEE47">
      <w:pPr>
        <w:ind w:firstLine="422" w:firstLineChars="200"/>
        <w:rPr>
          <w:rFonts w:ascii="宋体" w:hAnsi="宋体"/>
          <w:b/>
          <w:bCs/>
          <w:szCs w:val="21"/>
        </w:rPr>
      </w:pPr>
      <w:r>
        <w:rPr>
          <w:rFonts w:hint="eastAsia" w:ascii="宋体" w:hAnsi="宋体"/>
          <w:b/>
          <w:bCs/>
          <w:szCs w:val="21"/>
        </w:rPr>
        <w:t>第十八条  违约责任</w:t>
      </w:r>
    </w:p>
    <w:p w14:paraId="314DBD11">
      <w:pPr>
        <w:pStyle w:val="20"/>
        <w:spacing w:line="240" w:lineRule="auto"/>
        <w:rPr>
          <w:rFonts w:ascii="宋体" w:hAnsi="宋体"/>
          <w:szCs w:val="21"/>
        </w:rPr>
      </w:pPr>
      <w:r>
        <w:rPr>
          <w:rFonts w:hint="eastAsia" w:ascii="宋体" w:hAnsi="宋体"/>
          <w:szCs w:val="21"/>
        </w:rPr>
        <w:t>１、因乙方原因，未能按规定时间完成有关工作的，每延误一天，甲方可在支付合同余款中扣除合同价款千分之一。</w:t>
      </w:r>
    </w:p>
    <w:p w14:paraId="385FC4B5">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008A09F0">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218374E2">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277D7EE9">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3FC46E51">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5B9EF5EF">
      <w:pPr>
        <w:ind w:firstLine="422" w:firstLineChars="200"/>
        <w:rPr>
          <w:rFonts w:ascii="宋体" w:hAnsi="宋体"/>
          <w:b/>
          <w:bCs/>
          <w:szCs w:val="21"/>
        </w:rPr>
      </w:pPr>
      <w:r>
        <w:rPr>
          <w:rFonts w:hint="eastAsia" w:ascii="宋体" w:hAnsi="宋体"/>
          <w:b/>
          <w:bCs/>
          <w:szCs w:val="21"/>
        </w:rPr>
        <w:t>第十九条  其他</w:t>
      </w:r>
    </w:p>
    <w:p w14:paraId="28635780">
      <w:pPr>
        <w:ind w:firstLine="420" w:firstLineChars="200"/>
        <w:rPr>
          <w:rFonts w:ascii="宋体" w:hAnsi="宋体"/>
          <w:szCs w:val="21"/>
        </w:rPr>
      </w:pPr>
      <w:r>
        <w:rPr>
          <w:rFonts w:hint="eastAsia" w:ascii="宋体" w:hAnsi="宋体"/>
          <w:szCs w:val="21"/>
        </w:rPr>
        <w:t>1、本协议书与下列文件一起构成合同文件，如下述文件之间有任何抵触、矛盾或歧义，应按以下顺序解释：</w:t>
      </w:r>
    </w:p>
    <w:p w14:paraId="6EE165DC">
      <w:pPr>
        <w:ind w:firstLine="420" w:firstLineChars="200"/>
        <w:rPr>
          <w:rFonts w:ascii="宋体" w:hAnsi="宋体"/>
          <w:szCs w:val="21"/>
        </w:rPr>
      </w:pPr>
      <w:r>
        <w:rPr>
          <w:rFonts w:hint="eastAsia" w:ascii="宋体" w:hAnsi="宋体"/>
          <w:szCs w:val="21"/>
        </w:rPr>
        <w:t>（1）政府采购合同协议书及其变更、补充协议</w:t>
      </w:r>
    </w:p>
    <w:p w14:paraId="1295ED57">
      <w:pPr>
        <w:ind w:firstLine="420" w:firstLineChars="200"/>
        <w:rPr>
          <w:rFonts w:ascii="宋体" w:hAnsi="宋体"/>
          <w:szCs w:val="21"/>
        </w:rPr>
      </w:pPr>
      <w:r>
        <w:rPr>
          <w:rFonts w:hint="eastAsia" w:ascii="宋体" w:hAnsi="宋体"/>
          <w:szCs w:val="21"/>
        </w:rPr>
        <w:t>（2）政府采购合同专用条款</w:t>
      </w:r>
    </w:p>
    <w:p w14:paraId="200ECBE0">
      <w:pPr>
        <w:ind w:firstLine="420" w:firstLineChars="200"/>
        <w:rPr>
          <w:rFonts w:ascii="宋体" w:hAnsi="宋体"/>
          <w:szCs w:val="21"/>
        </w:rPr>
      </w:pPr>
      <w:r>
        <w:rPr>
          <w:rFonts w:hint="eastAsia" w:ascii="宋体" w:hAnsi="宋体"/>
          <w:szCs w:val="21"/>
        </w:rPr>
        <w:t>（3）政府采购合同通用条款</w:t>
      </w:r>
    </w:p>
    <w:p w14:paraId="25F0C5A9">
      <w:pPr>
        <w:ind w:firstLine="420" w:firstLineChars="200"/>
        <w:rPr>
          <w:rFonts w:ascii="宋体" w:hAnsi="宋体"/>
          <w:szCs w:val="21"/>
        </w:rPr>
      </w:pPr>
      <w:r>
        <w:rPr>
          <w:rFonts w:hint="eastAsia" w:ascii="宋体" w:hAnsi="宋体"/>
          <w:szCs w:val="21"/>
        </w:rPr>
        <w:t>（4）中标（成交）通知书</w:t>
      </w:r>
    </w:p>
    <w:p w14:paraId="19CF2C3C">
      <w:pPr>
        <w:ind w:firstLine="420" w:firstLineChars="200"/>
        <w:rPr>
          <w:rFonts w:ascii="宋体" w:hAnsi="宋体"/>
          <w:szCs w:val="21"/>
        </w:rPr>
      </w:pPr>
      <w:r>
        <w:rPr>
          <w:rFonts w:hint="eastAsia" w:ascii="宋体" w:hAnsi="宋体"/>
          <w:szCs w:val="21"/>
        </w:rPr>
        <w:t>（5）投标（响应）文件</w:t>
      </w:r>
    </w:p>
    <w:p w14:paraId="6135985B">
      <w:pPr>
        <w:ind w:firstLine="420" w:firstLineChars="200"/>
        <w:rPr>
          <w:rFonts w:ascii="宋体" w:hAnsi="宋体"/>
          <w:szCs w:val="21"/>
        </w:rPr>
      </w:pPr>
      <w:r>
        <w:rPr>
          <w:rFonts w:hint="eastAsia" w:ascii="宋体" w:hAnsi="宋体"/>
          <w:szCs w:val="21"/>
        </w:rPr>
        <w:t>（6）采购文件</w:t>
      </w:r>
    </w:p>
    <w:p w14:paraId="1BF2265C">
      <w:pPr>
        <w:ind w:firstLine="420" w:firstLineChars="200"/>
        <w:rPr>
          <w:rFonts w:ascii="宋体" w:hAnsi="宋体"/>
          <w:szCs w:val="21"/>
        </w:rPr>
      </w:pPr>
      <w:r>
        <w:rPr>
          <w:rFonts w:hint="eastAsia" w:ascii="宋体" w:hAnsi="宋体"/>
          <w:szCs w:val="21"/>
        </w:rPr>
        <w:t>（7）有关技术文件，图纸</w:t>
      </w:r>
    </w:p>
    <w:p w14:paraId="400E77A1">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6EEA4789">
      <w:pPr>
        <w:ind w:firstLine="420" w:firstLineChars="200"/>
        <w:rPr>
          <w:rFonts w:ascii="宋体" w:hAnsi="宋体"/>
          <w:szCs w:val="21"/>
        </w:rPr>
      </w:pPr>
      <w:r>
        <w:rPr>
          <w:rFonts w:hint="eastAsia" w:ascii="宋体" w:hAnsi="宋体"/>
          <w:szCs w:val="21"/>
        </w:rPr>
        <w:t>2、下列文件均为本合同的组成部分：</w:t>
      </w:r>
    </w:p>
    <w:p w14:paraId="299389C0">
      <w:pPr>
        <w:ind w:firstLine="420" w:firstLineChars="200"/>
        <w:rPr>
          <w:rFonts w:ascii="宋体" w:hAnsi="宋体"/>
          <w:szCs w:val="21"/>
        </w:rPr>
      </w:pPr>
      <w:r>
        <w:rPr>
          <w:rFonts w:hint="eastAsia" w:ascii="宋体" w:hAnsi="宋体"/>
          <w:szCs w:val="21"/>
        </w:rPr>
        <w:t>（1）号招标文件、答疑及补充通知；</w:t>
      </w:r>
    </w:p>
    <w:p w14:paraId="0DE0CC83">
      <w:pPr>
        <w:ind w:firstLine="420" w:firstLineChars="200"/>
        <w:rPr>
          <w:rFonts w:ascii="宋体" w:hAnsi="宋体"/>
          <w:szCs w:val="21"/>
        </w:rPr>
      </w:pPr>
      <w:r>
        <w:rPr>
          <w:rFonts w:hint="eastAsia" w:ascii="宋体" w:hAnsi="宋体"/>
          <w:szCs w:val="21"/>
        </w:rPr>
        <w:t>（2）投标文件；</w:t>
      </w:r>
    </w:p>
    <w:p w14:paraId="4BB1CC8E">
      <w:pPr>
        <w:ind w:firstLine="420" w:firstLineChars="200"/>
        <w:rPr>
          <w:rFonts w:ascii="宋体" w:hAnsi="宋体"/>
          <w:szCs w:val="21"/>
        </w:rPr>
      </w:pPr>
      <w:r>
        <w:rPr>
          <w:rFonts w:hint="eastAsia" w:ascii="宋体" w:hAnsi="宋体"/>
          <w:szCs w:val="21"/>
        </w:rPr>
        <w:t>（3）本合同执行中共同签署的补充与修正文件。</w:t>
      </w:r>
    </w:p>
    <w:p w14:paraId="19D828E7">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594D2175">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7A697456">
      <w:pPr>
        <w:ind w:firstLine="420" w:firstLineChars="200"/>
        <w:rPr>
          <w:rFonts w:ascii="宋体" w:hAnsi="宋体"/>
          <w:szCs w:val="21"/>
        </w:rPr>
      </w:pPr>
    </w:p>
    <w:p w14:paraId="24E0E87C">
      <w:pPr>
        <w:ind w:firstLine="420" w:firstLineChars="200"/>
        <w:rPr>
          <w:rFonts w:ascii="宋体" w:hAnsi="宋体"/>
          <w:szCs w:val="21"/>
        </w:rPr>
      </w:pPr>
    </w:p>
    <w:p w14:paraId="23205BCE">
      <w:pPr>
        <w:spacing w:line="360" w:lineRule="auto"/>
        <w:ind w:firstLine="560"/>
        <w:jc w:val="left"/>
        <w:rPr>
          <w:rFonts w:ascii="宋体" w:hAnsi="宋体"/>
          <w:szCs w:val="21"/>
        </w:rPr>
      </w:pPr>
      <w:r>
        <w:rPr>
          <w:rFonts w:hint="eastAsia" w:ascii="宋体" w:hAnsi="宋体"/>
          <w:szCs w:val="21"/>
        </w:rPr>
        <w:t>甲方（采购人）：   （盖章）       乙方（供应商）：    （盖章）</w:t>
      </w:r>
    </w:p>
    <w:p w14:paraId="25AC315B">
      <w:pPr>
        <w:spacing w:line="360" w:lineRule="auto"/>
        <w:ind w:firstLine="560"/>
        <w:jc w:val="left"/>
        <w:rPr>
          <w:rFonts w:ascii="宋体" w:hAnsi="宋体"/>
          <w:szCs w:val="21"/>
        </w:rPr>
      </w:pPr>
      <w:r>
        <w:rPr>
          <w:rFonts w:hint="eastAsia" w:ascii="宋体" w:hAnsi="宋体"/>
          <w:szCs w:val="21"/>
        </w:rPr>
        <w:t xml:space="preserve">法定代表人：                     法定代表人： </w:t>
      </w:r>
    </w:p>
    <w:p w14:paraId="6827BDF8">
      <w:pPr>
        <w:spacing w:line="360" w:lineRule="auto"/>
        <w:ind w:firstLine="560"/>
        <w:jc w:val="left"/>
        <w:rPr>
          <w:rFonts w:ascii="宋体" w:hAnsi="宋体"/>
          <w:szCs w:val="21"/>
        </w:rPr>
      </w:pPr>
      <w:r>
        <w:rPr>
          <w:rFonts w:hint="eastAsia" w:ascii="宋体" w:hAnsi="宋体"/>
          <w:szCs w:val="21"/>
        </w:rPr>
        <w:t>委托代理人：                     委托代理人：</w:t>
      </w:r>
    </w:p>
    <w:p w14:paraId="040C62B9">
      <w:pPr>
        <w:ind w:firstLine="420" w:firstLineChars="200"/>
        <w:rPr>
          <w:rFonts w:ascii="宋体" w:hAnsi="宋体"/>
          <w:szCs w:val="21"/>
        </w:rPr>
      </w:pPr>
      <w:r>
        <w:rPr>
          <w:rFonts w:hint="eastAsia" w:ascii="宋体" w:hAnsi="宋体"/>
          <w:szCs w:val="21"/>
        </w:rPr>
        <w:t>日期：   年     月    日         日期：   年     月    日</w:t>
      </w:r>
    </w:p>
    <w:p w14:paraId="45B4550F">
      <w:pPr>
        <w:widowControl/>
        <w:jc w:val="left"/>
        <w:rPr>
          <w:rFonts w:ascii="宋体" w:hAnsi="宋体"/>
          <w:szCs w:val="21"/>
        </w:rPr>
      </w:pPr>
      <w:r>
        <w:rPr>
          <w:rFonts w:ascii="宋体" w:hAnsi="宋体"/>
          <w:szCs w:val="21"/>
        </w:rPr>
        <w:br w:type="page"/>
      </w:r>
    </w:p>
    <w:p w14:paraId="48C93D5B">
      <w:pPr>
        <w:pStyle w:val="5"/>
        <w:spacing w:before="120" w:beforeLines="50" w:after="120" w:afterLines="50"/>
        <w:ind w:left="562"/>
        <w:rPr>
          <w:sz w:val="28"/>
          <w:szCs w:val="28"/>
        </w:rPr>
      </w:pPr>
      <w:r>
        <w:rPr>
          <w:rFonts w:hint="eastAsia"/>
          <w:sz w:val="28"/>
          <w:szCs w:val="28"/>
        </w:rPr>
        <w:t>第二册  通用条款（公开招标）</w:t>
      </w:r>
    </w:p>
    <w:p w14:paraId="208CB98B">
      <w:pPr>
        <w:pStyle w:val="5"/>
        <w:numPr>
          <w:ilvl w:val="0"/>
          <w:numId w:val="13"/>
        </w:numPr>
        <w:spacing w:before="120" w:beforeLines="50" w:after="120" w:afterLines="50"/>
        <w:ind w:left="562" w:hanging="562"/>
        <w:rPr>
          <w:sz w:val="28"/>
          <w:szCs w:val="28"/>
        </w:rPr>
      </w:pPr>
      <w:r>
        <w:rPr>
          <w:rFonts w:hint="eastAsia"/>
          <w:sz w:val="28"/>
          <w:szCs w:val="28"/>
        </w:rPr>
        <w:t>总则</w:t>
      </w:r>
    </w:p>
    <w:p w14:paraId="7D920D28">
      <w:pPr>
        <w:rPr>
          <w:rFonts w:ascii="黑体" w:hAnsi="宋体" w:eastAsia="黑体"/>
          <w:sz w:val="24"/>
        </w:rPr>
      </w:pPr>
      <w:r>
        <w:rPr>
          <w:rFonts w:hint="eastAsia" w:ascii="黑体" w:hAnsi="宋体" w:eastAsia="黑体"/>
          <w:sz w:val="24"/>
        </w:rPr>
        <w:t>1. 通用条款说明</w:t>
      </w:r>
    </w:p>
    <w:p w14:paraId="1F4580A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1.1政府集中采购机构发出招标文件通用条款版本，列出深圳市政府采购项目进行招标采购所适用的通用条款内容。如有需要，政府集中采购机构可以对通用条款的内容进行补充。</w:t>
      </w:r>
    </w:p>
    <w:p w14:paraId="06BD37DA">
      <w:pPr>
        <w:ind w:firstLine="411" w:firstLineChars="196"/>
        <w:rPr>
          <w:rFonts w:ascii="宋体" w:hAnsi="宋体"/>
          <w:szCs w:val="21"/>
        </w:rPr>
      </w:pPr>
      <w:r>
        <w:rPr>
          <w:rFonts w:hint="eastAsia" w:ascii="宋体" w:hAnsi="宋体"/>
          <w:szCs w:val="21"/>
        </w:rPr>
        <w:t>1.2招标文件分为第一册“专用条款”和第二册“通用条款”。</w:t>
      </w:r>
    </w:p>
    <w:p w14:paraId="41B73E68">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w:t>
      </w:r>
      <w:r>
        <w:rPr>
          <w:rFonts w:hint="eastAsia"/>
        </w:rPr>
        <w:t>投标文件组成要求及格式</w:t>
      </w:r>
      <w:r>
        <w:rPr>
          <w:rFonts w:hint="eastAsia" w:ascii="宋体" w:hAnsi="宋体"/>
          <w:szCs w:val="21"/>
        </w:rPr>
        <w:t>、合同条款及格式等内容。</w:t>
      </w:r>
    </w:p>
    <w:p w14:paraId="7583EC70">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365507CC">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3F19C5B9">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6679CE30">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661ECC42">
      <w:pPr>
        <w:rPr>
          <w:rFonts w:ascii="黑体" w:hAnsi="宋体" w:eastAsia="黑体"/>
          <w:sz w:val="24"/>
        </w:rPr>
      </w:pPr>
      <w:r>
        <w:rPr>
          <w:rFonts w:hint="eastAsia" w:ascii="黑体" w:hAnsi="宋体" w:eastAsia="黑体"/>
          <w:sz w:val="24"/>
        </w:rPr>
        <w:t>3．定义</w:t>
      </w:r>
    </w:p>
    <w:p w14:paraId="6A8F07F4">
      <w:pPr>
        <w:ind w:firstLine="420" w:firstLineChars="200"/>
        <w:rPr>
          <w:rFonts w:ascii="宋体" w:hAnsi="宋体"/>
          <w:szCs w:val="21"/>
        </w:rPr>
      </w:pPr>
      <w:r>
        <w:rPr>
          <w:rFonts w:ascii="宋体" w:hAnsi="宋体"/>
          <w:szCs w:val="21"/>
        </w:rPr>
        <w:t>招标文件中下列术语应解释为：</w:t>
      </w:r>
    </w:p>
    <w:p w14:paraId="4FE9A509">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2F090858">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094857FC">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B05F6DC">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097EE080">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09E8D29">
      <w:pPr>
        <w:ind w:firstLine="411" w:firstLineChars="196"/>
        <w:rPr>
          <w:rFonts w:ascii="宋体" w:hAnsi="宋体"/>
          <w:szCs w:val="21"/>
        </w:rPr>
      </w:pPr>
      <w:r>
        <w:rPr>
          <w:rFonts w:hint="eastAsia" w:ascii="宋体" w:hAnsi="宋体"/>
          <w:szCs w:val="21"/>
        </w:rPr>
        <w:t>3.6“合同”指由本次招标所产生的合同或合约文件；</w:t>
      </w:r>
    </w:p>
    <w:p w14:paraId="02A8393D">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63E1F260">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547D6880">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26AB7FD1">
      <w:pPr>
        <w:rPr>
          <w:rFonts w:ascii="黑体" w:hAnsi="宋体" w:eastAsia="黑体"/>
          <w:sz w:val="24"/>
        </w:rPr>
      </w:pPr>
      <w:r>
        <w:rPr>
          <w:rFonts w:hint="eastAsia" w:ascii="黑体" w:hAnsi="宋体" w:eastAsia="黑体"/>
          <w:sz w:val="24"/>
        </w:rPr>
        <w:t>4. 政府采购供应商责任</w:t>
      </w:r>
    </w:p>
    <w:p w14:paraId="6B55BE26">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D55C869">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53AF935">
      <w:pPr>
        <w:rPr>
          <w:rFonts w:ascii="黑体" w:hAnsi="宋体" w:eastAsia="黑体"/>
          <w:sz w:val="24"/>
        </w:rPr>
      </w:pPr>
      <w:r>
        <w:rPr>
          <w:rFonts w:hint="eastAsia" w:ascii="黑体" w:hAnsi="宋体" w:eastAsia="黑体"/>
          <w:sz w:val="24"/>
        </w:rPr>
        <w:t>5．投标人参加政府采购的条件</w:t>
      </w:r>
    </w:p>
    <w:p w14:paraId="687A7DAC">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p>
    <w:p w14:paraId="3573DAA1">
      <w:pPr>
        <w:ind w:firstLine="411" w:firstLineChars="196"/>
        <w:rPr>
          <w:rFonts w:ascii="宋体" w:hAnsi="宋体"/>
          <w:szCs w:val="21"/>
        </w:rPr>
      </w:pPr>
      <w:r>
        <w:rPr>
          <w:rFonts w:hint="eastAsia" w:ascii="宋体" w:hAnsi="宋体"/>
          <w:szCs w:val="21"/>
        </w:rPr>
        <w:t>5.2投标人资格要求</w:t>
      </w:r>
    </w:p>
    <w:p w14:paraId="5CC93D88">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130F8EC">
      <w:pPr>
        <w:ind w:firstLine="411" w:firstLineChars="196"/>
        <w:rPr>
          <w:rFonts w:ascii="宋体" w:hAnsi="宋体"/>
          <w:szCs w:val="21"/>
        </w:rPr>
      </w:pPr>
      <w:r>
        <w:rPr>
          <w:rFonts w:hint="eastAsia" w:ascii="宋体" w:hAnsi="宋体"/>
          <w:szCs w:val="21"/>
        </w:rPr>
        <w:t>5.3联合体投标</w:t>
      </w:r>
    </w:p>
    <w:p w14:paraId="649C305C">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79FE0663">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3F74910D">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0203C713">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2D3D67F2">
      <w:pPr>
        <w:ind w:left="420" w:firstLine="411" w:firstLineChars="196"/>
        <w:rPr>
          <w:rFonts w:ascii="宋体" w:hAnsi="宋体"/>
        </w:rPr>
      </w:pPr>
      <w:r>
        <w:rPr>
          <w:rFonts w:hint="eastAsia" w:ascii="宋体" w:hAnsi="宋体"/>
        </w:rPr>
        <w:t>2</w:t>
      </w:r>
      <w:r>
        <w:rPr>
          <w:rFonts w:hint="eastAsia" w:ascii="宋体" w:hAnsi="宋体"/>
          <w:lang w:val="en-US" w:eastAsia="zh-CN"/>
        </w:rPr>
        <w:t>.</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F236746">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2D04FC8E">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2F2146D8">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F271574">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250FDCAD">
      <w:pPr>
        <w:ind w:firstLine="411" w:firstLineChars="196"/>
        <w:rPr>
          <w:rFonts w:ascii="宋体" w:hAnsi="宋体"/>
        </w:rPr>
      </w:pPr>
      <w:r>
        <w:rPr>
          <w:rFonts w:hint="eastAsia" w:ascii="宋体" w:hAnsi="宋体"/>
        </w:rPr>
        <w:t>（2）在投标截止前，投标联合体各方均应注册成</w:t>
      </w:r>
      <w:r>
        <w:rPr>
          <w:rFonts w:hint="eastAsia" w:ascii="宋体" w:hAnsi="宋体"/>
          <w:lang w:eastAsia="zh-CN"/>
        </w:rPr>
        <w:t>为</w:t>
      </w:r>
      <w:r>
        <w:rPr>
          <w:rFonts w:hint="eastAsia" w:ascii="宋体" w:hAnsi="宋体"/>
        </w:rPr>
        <w:t>政府集中采购机构供应商；</w:t>
      </w:r>
    </w:p>
    <w:p w14:paraId="4C987136">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7D096651">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03FA10">
      <w:pPr>
        <w:ind w:firstLine="411" w:firstLineChars="196"/>
        <w:rPr>
          <w:rFonts w:ascii="宋体" w:hAnsi="宋体"/>
        </w:rPr>
      </w:pPr>
      <w:r>
        <w:rPr>
          <w:rFonts w:hint="eastAsia" w:ascii="宋体" w:hAnsi="宋体"/>
        </w:rPr>
        <w:t>（5）投标人的投标文件及中标后签署的合同协议对联合体各方均具</w:t>
      </w:r>
      <w:r>
        <w:rPr>
          <w:rFonts w:hint="eastAsia" w:ascii="宋体" w:hAnsi="宋体"/>
          <w:lang w:eastAsia="zh-CN"/>
        </w:rPr>
        <w:t>有</w:t>
      </w:r>
      <w:r>
        <w:rPr>
          <w:rFonts w:hint="eastAsia" w:ascii="宋体" w:hAnsi="宋体"/>
        </w:rPr>
        <w:t>法律约束力；</w:t>
      </w:r>
    </w:p>
    <w:p w14:paraId="666FE1D3">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0B5B794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53EB7A9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6504E5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4056EEB">
      <w:pPr>
        <w:rPr>
          <w:rFonts w:ascii="黑体" w:hAnsi="宋体" w:eastAsia="黑体"/>
          <w:sz w:val="24"/>
        </w:rPr>
      </w:pPr>
      <w:r>
        <w:rPr>
          <w:rFonts w:hint="eastAsia" w:ascii="黑体" w:hAnsi="宋体" w:eastAsia="黑体"/>
          <w:sz w:val="24"/>
        </w:rPr>
        <w:t>6．政策导向</w:t>
      </w:r>
    </w:p>
    <w:p w14:paraId="21D9172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74CFBCE4">
      <w:pPr>
        <w:ind w:firstLine="405"/>
        <w:rPr>
          <w:rFonts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4AA80863">
      <w:pPr>
        <w:ind w:firstLine="405"/>
      </w:pPr>
      <w:r>
        <w:rPr>
          <w:rFonts w:hint="eastAsia" w:ascii="宋体" w:hAnsi="宋体"/>
        </w:rPr>
        <w:t>6.3  本项目支持投标人性别平等的相关政策。</w:t>
      </w:r>
    </w:p>
    <w:p w14:paraId="1F153696">
      <w:pPr>
        <w:rPr>
          <w:rFonts w:ascii="黑体" w:hAnsi="宋体" w:eastAsia="黑体"/>
          <w:sz w:val="24"/>
        </w:rPr>
      </w:pPr>
      <w:r>
        <w:rPr>
          <w:rFonts w:hint="eastAsia" w:ascii="黑体" w:hAnsi="宋体" w:eastAsia="黑体"/>
          <w:sz w:val="24"/>
        </w:rPr>
        <w:t>7. 本项目若涉及采购货物，则合格的货物及相应服务应满足以下要求：</w:t>
      </w:r>
    </w:p>
    <w:p w14:paraId="3A2FB36E">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548CE289">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50EF9204">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7E0A33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E747C74">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249A131">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64CF8F5">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1C64AD85">
      <w:pPr>
        <w:rPr>
          <w:rFonts w:ascii="黑体" w:hAnsi="宋体" w:eastAsia="黑体"/>
          <w:sz w:val="24"/>
        </w:rPr>
      </w:pPr>
      <w:r>
        <w:rPr>
          <w:rFonts w:hint="eastAsia" w:ascii="黑体" w:hAnsi="宋体" w:eastAsia="黑体"/>
          <w:sz w:val="24"/>
        </w:rPr>
        <w:t>8．投标费用</w:t>
      </w:r>
    </w:p>
    <w:p w14:paraId="612F01E5">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24024EF6">
      <w:pPr>
        <w:rPr>
          <w:rFonts w:ascii="黑体" w:hAnsi="宋体" w:eastAsia="黑体"/>
          <w:sz w:val="24"/>
        </w:rPr>
      </w:pPr>
      <w:r>
        <w:rPr>
          <w:rFonts w:hint="eastAsia" w:ascii="黑体" w:hAnsi="宋体" w:eastAsia="黑体"/>
          <w:sz w:val="24"/>
        </w:rPr>
        <w:t>9．踏勘现场</w:t>
      </w:r>
    </w:p>
    <w:p w14:paraId="45963240">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0CCB32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53444A8">
      <w:pPr>
        <w:ind w:firstLine="411" w:firstLineChars="196"/>
        <w:rPr>
          <w:rFonts w:ascii="宋体" w:hAnsi="宋体"/>
        </w:rPr>
      </w:pPr>
      <w:r>
        <w:rPr>
          <w:rFonts w:hint="eastAsia" w:ascii="宋体" w:hAnsi="宋体"/>
        </w:rPr>
        <w:t>9.3采购人应当通过政府集中采购机构向投标人提供有关现场的书面资料和数据。</w:t>
      </w:r>
    </w:p>
    <w:p w14:paraId="36119E50">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39D99C1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CFB22EC">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61B788FD">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6D43C5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68A712DC">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p w14:paraId="01B2D30A">
      <w:pPr>
        <w:ind w:firstLine="411" w:firstLineChars="196"/>
        <w:rPr>
          <w:rFonts w:ascii="宋体" w:hAnsi="宋体"/>
        </w:rPr>
      </w:pPr>
    </w:p>
    <w:p w14:paraId="79AFCC62">
      <w:pPr>
        <w:pStyle w:val="5"/>
        <w:numPr>
          <w:ilvl w:val="0"/>
          <w:numId w:val="13"/>
        </w:numPr>
        <w:spacing w:before="120" w:beforeLines="50" w:after="120" w:afterLines="50"/>
        <w:ind w:left="562" w:hanging="562"/>
        <w:rPr>
          <w:sz w:val="28"/>
          <w:szCs w:val="28"/>
        </w:rPr>
      </w:pPr>
      <w:r>
        <w:rPr>
          <w:rFonts w:hint="eastAsia"/>
          <w:sz w:val="28"/>
          <w:szCs w:val="28"/>
        </w:rPr>
        <w:t>招标文件</w:t>
      </w:r>
    </w:p>
    <w:p w14:paraId="68628AA8">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．招标文件的编制与组成</w:t>
      </w:r>
    </w:p>
    <w:p w14:paraId="585D4E2F">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0138577">
      <w:pPr>
        <w:ind w:firstLine="411" w:firstLineChars="196"/>
        <w:rPr>
          <w:rFonts w:ascii="宋体" w:hAnsi="宋体"/>
          <w:szCs w:val="21"/>
        </w:rPr>
      </w:pPr>
      <w:r>
        <w:rPr>
          <w:rFonts w:hint="eastAsia" w:ascii="宋体" w:hAnsi="宋体"/>
          <w:szCs w:val="21"/>
        </w:rPr>
        <w:t>招标文件包括下列内容：</w:t>
      </w:r>
    </w:p>
    <w:p w14:paraId="7EA03ACC">
      <w:pPr>
        <w:ind w:left="420" w:leftChars="200" w:firstLine="413" w:firstLineChars="196"/>
        <w:rPr>
          <w:rFonts w:ascii="宋体" w:hAnsi="宋体"/>
          <w:b/>
          <w:szCs w:val="21"/>
        </w:rPr>
      </w:pPr>
      <w:r>
        <w:rPr>
          <w:rFonts w:hint="eastAsia" w:ascii="宋体" w:hAnsi="宋体"/>
          <w:b/>
          <w:szCs w:val="21"/>
        </w:rPr>
        <w:t>第一册  专用条款</w:t>
      </w:r>
    </w:p>
    <w:p w14:paraId="7E0D7469">
      <w:pPr>
        <w:ind w:left="1079" w:leftChars="514"/>
        <w:rPr>
          <w:rFonts w:ascii="宋体" w:hAnsi="宋体"/>
          <w:b/>
          <w:szCs w:val="21"/>
        </w:rPr>
      </w:pPr>
      <w:r>
        <w:rPr>
          <w:rFonts w:hint="eastAsia" w:ascii="宋体" w:hAnsi="宋体"/>
          <w:b/>
          <w:szCs w:val="21"/>
        </w:rPr>
        <w:t>关键信息</w:t>
      </w:r>
    </w:p>
    <w:p w14:paraId="54DAB6D1">
      <w:pPr>
        <w:ind w:left="630" w:leftChars="300" w:firstLine="411" w:firstLineChars="196"/>
        <w:rPr>
          <w:rFonts w:ascii="宋体" w:hAnsi="宋体"/>
          <w:szCs w:val="21"/>
        </w:rPr>
      </w:pPr>
      <w:r>
        <w:rPr>
          <w:rFonts w:hint="eastAsia" w:ascii="宋体" w:hAnsi="宋体"/>
          <w:szCs w:val="21"/>
        </w:rPr>
        <w:t>第一章  招标公告</w:t>
      </w:r>
    </w:p>
    <w:p w14:paraId="38CF0129">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9210A82">
      <w:pPr>
        <w:ind w:left="630" w:leftChars="300" w:firstLine="411" w:firstLineChars="196"/>
        <w:rPr>
          <w:rFonts w:ascii="宋体" w:hAnsi="宋体"/>
          <w:szCs w:val="21"/>
        </w:rPr>
      </w:pPr>
      <w:r>
        <w:rPr>
          <w:rFonts w:hint="eastAsia" w:ascii="宋体" w:hAnsi="宋体"/>
          <w:szCs w:val="21"/>
        </w:rPr>
        <w:t>第三章  用户需求书</w:t>
      </w:r>
    </w:p>
    <w:p w14:paraId="1EDBA374">
      <w:pPr>
        <w:ind w:left="630" w:leftChars="300" w:firstLine="411" w:firstLineChars="196"/>
        <w:rPr>
          <w:rFonts w:ascii="宋体" w:hAnsi="宋体"/>
          <w:szCs w:val="21"/>
        </w:rPr>
      </w:pPr>
      <w:r>
        <w:rPr>
          <w:rFonts w:hint="eastAsia"/>
        </w:rPr>
        <w:t xml:space="preserve">第四章 </w:t>
      </w:r>
      <w:r>
        <w:t xml:space="preserve"> </w:t>
      </w:r>
      <w:r>
        <w:rPr>
          <w:rFonts w:hint="eastAsia"/>
        </w:rPr>
        <w:t>投标文件组成要求及格式</w:t>
      </w:r>
    </w:p>
    <w:p w14:paraId="424264D6">
      <w:pPr>
        <w:ind w:left="630" w:leftChars="300" w:firstLine="411" w:firstLineChars="196"/>
        <w:rPr>
          <w:rFonts w:ascii="宋体" w:hAnsi="宋体"/>
          <w:szCs w:val="21"/>
        </w:rPr>
      </w:pPr>
      <w:r>
        <w:rPr>
          <w:rFonts w:hint="eastAsia" w:ascii="宋体" w:hAnsi="宋体"/>
          <w:szCs w:val="21"/>
        </w:rPr>
        <w:t>第五章  合同条款及格式</w:t>
      </w:r>
    </w:p>
    <w:p w14:paraId="0F07F2B1">
      <w:pPr>
        <w:ind w:left="420" w:leftChars="200" w:firstLine="413" w:firstLineChars="196"/>
        <w:rPr>
          <w:rFonts w:ascii="宋体" w:hAnsi="宋体"/>
          <w:b/>
          <w:szCs w:val="21"/>
        </w:rPr>
      </w:pPr>
      <w:r>
        <w:rPr>
          <w:rFonts w:hint="eastAsia" w:ascii="宋体" w:hAnsi="宋体"/>
          <w:b/>
          <w:szCs w:val="21"/>
        </w:rPr>
        <w:t>第二册  通用条款</w:t>
      </w:r>
    </w:p>
    <w:p w14:paraId="0F929C5A">
      <w:pPr>
        <w:ind w:left="630" w:leftChars="300" w:firstLine="411" w:firstLineChars="196"/>
        <w:rPr>
          <w:rFonts w:ascii="宋体" w:hAnsi="宋体"/>
          <w:szCs w:val="21"/>
        </w:rPr>
      </w:pPr>
      <w:r>
        <w:rPr>
          <w:rFonts w:hint="eastAsia" w:ascii="宋体" w:hAnsi="宋体"/>
          <w:szCs w:val="21"/>
        </w:rPr>
        <w:t>第一章  总则</w:t>
      </w:r>
    </w:p>
    <w:p w14:paraId="192BDA8E">
      <w:pPr>
        <w:ind w:left="630" w:leftChars="300" w:firstLine="411" w:firstLineChars="196"/>
        <w:rPr>
          <w:rFonts w:ascii="宋体" w:hAnsi="宋体"/>
          <w:szCs w:val="21"/>
        </w:rPr>
      </w:pPr>
      <w:r>
        <w:rPr>
          <w:rFonts w:hint="eastAsia" w:ascii="宋体" w:hAnsi="宋体"/>
          <w:szCs w:val="21"/>
        </w:rPr>
        <w:t>第二章  招标文件</w:t>
      </w:r>
    </w:p>
    <w:p w14:paraId="1FD14E54">
      <w:pPr>
        <w:ind w:left="630" w:leftChars="300" w:firstLine="411" w:firstLineChars="196"/>
        <w:rPr>
          <w:rFonts w:ascii="宋体" w:hAnsi="宋体"/>
          <w:szCs w:val="21"/>
        </w:rPr>
      </w:pPr>
      <w:r>
        <w:rPr>
          <w:rFonts w:hint="eastAsia" w:ascii="宋体" w:hAnsi="宋体"/>
          <w:szCs w:val="21"/>
        </w:rPr>
        <w:t>第三章  投标文件的编制</w:t>
      </w:r>
    </w:p>
    <w:p w14:paraId="614D734F">
      <w:pPr>
        <w:ind w:left="630" w:leftChars="300" w:firstLine="411" w:firstLineChars="196"/>
        <w:rPr>
          <w:rFonts w:ascii="宋体" w:hAnsi="宋体"/>
          <w:szCs w:val="21"/>
        </w:rPr>
      </w:pPr>
      <w:r>
        <w:rPr>
          <w:rFonts w:hint="eastAsia" w:ascii="宋体" w:hAnsi="宋体"/>
          <w:szCs w:val="21"/>
        </w:rPr>
        <w:t>第四章  投标文件的递交</w:t>
      </w:r>
    </w:p>
    <w:p w14:paraId="53BA8E4D">
      <w:pPr>
        <w:ind w:left="630" w:leftChars="300" w:firstLine="411" w:firstLineChars="196"/>
        <w:rPr>
          <w:rFonts w:ascii="宋体" w:hAnsi="宋体"/>
          <w:szCs w:val="21"/>
        </w:rPr>
      </w:pPr>
      <w:r>
        <w:rPr>
          <w:rFonts w:hint="eastAsia" w:ascii="宋体" w:hAnsi="宋体"/>
          <w:szCs w:val="21"/>
        </w:rPr>
        <w:t>第五章  开标</w:t>
      </w:r>
    </w:p>
    <w:p w14:paraId="710B2812">
      <w:pPr>
        <w:ind w:left="630" w:leftChars="300" w:firstLine="411" w:firstLineChars="196"/>
        <w:rPr>
          <w:rFonts w:ascii="宋体" w:hAnsi="宋体"/>
          <w:szCs w:val="21"/>
        </w:rPr>
      </w:pPr>
      <w:r>
        <w:rPr>
          <w:rFonts w:hint="eastAsia" w:ascii="宋体" w:hAnsi="宋体"/>
          <w:szCs w:val="21"/>
        </w:rPr>
        <w:t>第六章  评审要求</w:t>
      </w:r>
    </w:p>
    <w:p w14:paraId="6C1A947D">
      <w:pPr>
        <w:ind w:left="630" w:leftChars="300" w:firstLine="411" w:firstLineChars="196"/>
        <w:rPr>
          <w:rFonts w:ascii="宋体" w:hAnsi="宋体"/>
          <w:szCs w:val="21"/>
        </w:rPr>
      </w:pPr>
      <w:r>
        <w:rPr>
          <w:rFonts w:hint="eastAsia" w:ascii="宋体" w:hAnsi="宋体"/>
          <w:szCs w:val="21"/>
        </w:rPr>
        <w:t>第七章  评审程序及评审方法</w:t>
      </w:r>
    </w:p>
    <w:p w14:paraId="6076C02B">
      <w:pPr>
        <w:ind w:left="630" w:leftChars="300" w:firstLine="411" w:firstLineChars="196"/>
        <w:rPr>
          <w:rFonts w:ascii="宋体" w:hAnsi="宋体"/>
          <w:szCs w:val="21"/>
        </w:rPr>
      </w:pPr>
      <w:r>
        <w:rPr>
          <w:rFonts w:hint="eastAsia" w:ascii="宋体" w:hAnsi="宋体"/>
          <w:szCs w:val="21"/>
        </w:rPr>
        <w:t>第八章  定标及公示</w:t>
      </w:r>
    </w:p>
    <w:p w14:paraId="08064B56">
      <w:pPr>
        <w:ind w:left="630" w:leftChars="300" w:firstLine="411" w:firstLineChars="196"/>
        <w:rPr>
          <w:rFonts w:ascii="宋体" w:hAnsi="宋体"/>
          <w:szCs w:val="21"/>
        </w:rPr>
      </w:pPr>
      <w:r>
        <w:rPr>
          <w:rFonts w:hint="eastAsia" w:ascii="宋体" w:hAnsi="宋体"/>
          <w:szCs w:val="21"/>
        </w:rPr>
        <w:t>第九章  公开招标失败的后续处理</w:t>
      </w:r>
    </w:p>
    <w:p w14:paraId="2DBA605E">
      <w:pPr>
        <w:ind w:left="630" w:leftChars="300" w:firstLine="411" w:firstLineChars="196"/>
        <w:rPr>
          <w:rFonts w:ascii="宋体" w:hAnsi="宋体"/>
          <w:szCs w:val="21"/>
        </w:rPr>
      </w:pPr>
      <w:r>
        <w:rPr>
          <w:rFonts w:hint="eastAsia" w:ascii="宋体" w:hAnsi="宋体"/>
          <w:szCs w:val="21"/>
        </w:rPr>
        <w:t>第十章  合同的授予与备案</w:t>
      </w:r>
    </w:p>
    <w:p w14:paraId="46584FE8">
      <w:pPr>
        <w:ind w:left="630" w:leftChars="300" w:firstLine="411" w:firstLineChars="196"/>
        <w:rPr>
          <w:rFonts w:ascii="宋体" w:hAnsi="宋体"/>
          <w:szCs w:val="21"/>
        </w:rPr>
      </w:pPr>
      <w:r>
        <w:rPr>
          <w:rFonts w:hint="eastAsia" w:ascii="宋体" w:hAnsi="宋体"/>
          <w:szCs w:val="21"/>
        </w:rPr>
        <w:t>第十一章  质疑处理</w:t>
      </w:r>
    </w:p>
    <w:p w14:paraId="4B8BC50F">
      <w:pPr>
        <w:ind w:firstLine="411" w:firstLineChars="196"/>
        <w:rPr>
          <w:rFonts w:ascii="宋体" w:hAnsi="宋体"/>
          <w:color w:val="auto"/>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auto"/>
          <w:szCs w:val="21"/>
        </w:rPr>
        <w:t>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76C45D1F">
      <w:pPr>
        <w:ind w:firstLine="411" w:firstLineChars="196"/>
        <w:rPr>
          <w:rFonts w:ascii="宋体" w:hAnsi="宋体"/>
          <w:color w:val="auto"/>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.3</w:t>
      </w:r>
      <w:r>
        <w:rPr>
          <w:rFonts w:hint="eastAsia" w:ascii="宋体" w:hAnsi="宋体"/>
          <w:color w:val="auto"/>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FCFC97E">
      <w:pPr>
        <w:pStyle w:val="18"/>
        <w:ind w:firstLine="420" w:firstLineChars="200"/>
        <w:rPr>
          <w:rFonts w:ascii="宋体" w:hAnsi="宋体"/>
          <w:b w:val="0"/>
          <w:bCs w:val="0"/>
          <w:color w:val="auto"/>
          <w:sz w:val="21"/>
        </w:rPr>
      </w:pPr>
      <w:r>
        <w:rPr>
          <w:rFonts w:hint="eastAsia" w:ascii="宋体" w:hAnsi="宋体"/>
          <w:b w:val="0"/>
          <w:bCs w:val="0"/>
          <w:color w:val="auto"/>
          <w:sz w:val="21"/>
        </w:rPr>
        <w:t>11.4招标文件所称“原件备查”，是指在项目产生质疑、投诉等阶段，主管部门、采购人、代理机构、评审委员会等可以要求供应商提供原件进行核查。</w:t>
      </w:r>
    </w:p>
    <w:p w14:paraId="17D6C62B">
      <w:pPr>
        <w:rPr>
          <w:rFonts w:ascii="黑体" w:hAnsi="宋体" w:eastAsia="黑体"/>
          <w:color w:val="auto"/>
          <w:sz w:val="24"/>
        </w:rPr>
      </w:pPr>
      <w:r>
        <w:rPr>
          <w:rFonts w:hint="eastAsia" w:ascii="黑体" w:hAnsi="宋体" w:eastAsia="黑体"/>
          <w:color w:val="auto"/>
          <w:sz w:val="24"/>
        </w:rPr>
        <w:t>1</w:t>
      </w:r>
      <w:r>
        <w:rPr>
          <w:rFonts w:ascii="黑体" w:hAnsi="宋体" w:eastAsia="黑体"/>
          <w:color w:val="auto"/>
          <w:sz w:val="24"/>
        </w:rPr>
        <w:t>2</w:t>
      </w:r>
      <w:r>
        <w:rPr>
          <w:rFonts w:hint="eastAsia" w:ascii="黑体" w:hAnsi="宋体" w:eastAsia="黑体"/>
          <w:color w:val="auto"/>
          <w:sz w:val="24"/>
        </w:rPr>
        <w:t>．招标文件的澄清</w:t>
      </w:r>
    </w:p>
    <w:p w14:paraId="49CE749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.1招标文件澄清的目的是澄清、解答投标人在查阅招标文件后或现场踏勘中可能提出的与投标有关的疑问或询问。</w:t>
      </w:r>
    </w:p>
    <w:p w14:paraId="0376372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.2投标人如对招标文件内容有疑问，应当在招标公告规定的澄清（提问）截止时间前以网上提问的形式通过网上政府采购系统提交政府集中采购机构。</w:t>
      </w:r>
    </w:p>
    <w:p w14:paraId="53D046C8">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color w:val="auto"/>
          <w:szCs w:val="21"/>
        </w:rPr>
        <w:t>3.3</w:t>
      </w:r>
      <w:r>
        <w:rPr>
          <w:rFonts w:hint="eastAsia" w:ascii="宋体" w:hAnsi="宋体"/>
          <w:color w:val="auto"/>
          <w:szCs w:val="21"/>
        </w:rPr>
        <w:t>、1</w:t>
      </w:r>
      <w:r>
        <w:rPr>
          <w:rFonts w:ascii="宋体" w:hAnsi="宋体"/>
          <w:color w:val="auto"/>
          <w:szCs w:val="21"/>
        </w:rPr>
        <w:t>3.4</w:t>
      </w:r>
      <w:r>
        <w:rPr>
          <w:rFonts w:hint="eastAsia" w:ascii="宋体" w:hAnsi="宋体"/>
          <w:color w:val="auto"/>
          <w:szCs w:val="21"/>
        </w:rPr>
        <w:t>款规定执行。</w:t>
      </w:r>
    </w:p>
    <w:p w14:paraId="20109E0A">
      <w:pPr>
        <w:rPr>
          <w:rFonts w:ascii="黑体" w:hAnsi="宋体" w:eastAsia="黑体"/>
          <w:color w:val="auto"/>
          <w:sz w:val="24"/>
        </w:rPr>
      </w:pPr>
      <w:r>
        <w:rPr>
          <w:rFonts w:ascii="黑体" w:hAnsi="宋体" w:eastAsia="黑体"/>
          <w:color w:val="auto"/>
          <w:sz w:val="24"/>
        </w:rPr>
        <w:t>1</w:t>
      </w:r>
      <w:r>
        <w:rPr>
          <w:rFonts w:hint="eastAsia" w:ascii="黑体" w:hAnsi="宋体" w:eastAsia="黑体"/>
          <w:color w:val="auto"/>
          <w:sz w:val="24"/>
        </w:rPr>
        <w:t>3．招标文件的修改</w:t>
      </w:r>
    </w:p>
    <w:p w14:paraId="54BA0B6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3.1招标文件发出后，在投标截止日期前任何时候，确需要变更招标文件内容的，政府集中采购机构可主动或在解答投标人提出的澄清问题时对招标文件进行修改。</w:t>
      </w:r>
    </w:p>
    <w:p w14:paraId="6B49AD98">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3.2招标文件的修改以书面形式（包括政府集中采购机构网站发布方式，如更正公告等）发送给所有投标人，招标文件的修改内容作为招标文件的组成部分，并具有约束力。</w:t>
      </w:r>
    </w:p>
    <w:p w14:paraId="19BC835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12E93CE7">
      <w:pPr>
        <w:ind w:firstLine="411" w:firstLineChars="196"/>
        <w:rPr>
          <w:rFonts w:ascii="宋体" w:hAnsi="宋体"/>
          <w:szCs w:val="21"/>
        </w:rPr>
      </w:pPr>
      <w:r>
        <w:rPr>
          <w:rFonts w:ascii="宋体" w:hAnsi="宋体"/>
          <w:color w:val="auto"/>
          <w:szCs w:val="21"/>
        </w:rPr>
        <w:t>1</w:t>
      </w:r>
      <w:r>
        <w:rPr>
          <w:rFonts w:hint="eastAsia" w:ascii="宋体" w:hAnsi="宋体"/>
          <w:color w:val="auto"/>
          <w:szCs w:val="21"/>
        </w:rPr>
        <w:t>3.4政府集中采购机构保证招标文件澄清答复内容和招标文件</w:t>
      </w:r>
      <w:r>
        <w:rPr>
          <w:rFonts w:hint="eastAsia" w:ascii="宋体" w:hAnsi="宋体"/>
          <w:szCs w:val="21"/>
        </w:rPr>
        <w:t>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p>
    <w:p w14:paraId="3E60543B">
      <w:pPr>
        <w:rPr>
          <w:rFonts w:ascii="宋体" w:hAnsi="宋体"/>
          <w:szCs w:val="21"/>
        </w:rPr>
      </w:pPr>
    </w:p>
    <w:p w14:paraId="10D01805">
      <w:pPr>
        <w:pStyle w:val="5"/>
        <w:numPr>
          <w:ilvl w:val="0"/>
          <w:numId w:val="13"/>
        </w:numPr>
        <w:spacing w:before="120" w:beforeLines="50" w:after="120" w:afterLines="50"/>
        <w:ind w:left="562" w:hanging="562"/>
        <w:rPr>
          <w:sz w:val="28"/>
          <w:szCs w:val="28"/>
        </w:rPr>
      </w:pPr>
      <w:r>
        <w:rPr>
          <w:rFonts w:hint="eastAsia"/>
          <w:sz w:val="28"/>
          <w:szCs w:val="28"/>
        </w:rPr>
        <w:t>投标文件的编制</w:t>
      </w:r>
    </w:p>
    <w:p w14:paraId="60F06672">
      <w:pPr>
        <w:rPr>
          <w:rFonts w:ascii="黑体" w:hAnsi="宋体" w:eastAsia="黑体"/>
          <w:sz w:val="24"/>
        </w:rPr>
      </w:pPr>
      <w:r>
        <w:rPr>
          <w:rFonts w:hint="eastAsia" w:ascii="黑体" w:hAnsi="宋体" w:eastAsia="黑体"/>
          <w:sz w:val="24"/>
        </w:rPr>
        <w:t>14．投标文件的语言及度量单位</w:t>
      </w:r>
    </w:p>
    <w:p w14:paraId="160CA82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AD4F1C0">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p w14:paraId="46EC4CC1">
      <w:pPr>
        <w:rPr>
          <w:rFonts w:ascii="黑体" w:hAnsi="宋体" w:eastAsia="黑体"/>
          <w:sz w:val="24"/>
        </w:rPr>
      </w:pPr>
      <w:r>
        <w:rPr>
          <w:rFonts w:hint="eastAsia" w:ascii="黑体" w:hAnsi="宋体" w:eastAsia="黑体"/>
          <w:sz w:val="24"/>
        </w:rPr>
        <w:t>15．投标文件的组成</w:t>
      </w:r>
    </w:p>
    <w:p w14:paraId="2682F2DC">
      <w:pPr>
        <w:ind w:firstLine="411" w:firstLineChars="196"/>
        <w:rPr>
          <w:rFonts w:ascii="宋体" w:hAnsi="宋体"/>
          <w:szCs w:val="21"/>
        </w:rPr>
      </w:pPr>
      <w:r>
        <w:rPr>
          <w:rFonts w:hint="eastAsia" w:ascii="宋体" w:hAnsi="宋体"/>
          <w:szCs w:val="21"/>
        </w:rPr>
        <w:t>具体内容在招标文件专用条款中进行规定。</w:t>
      </w:r>
    </w:p>
    <w:p w14:paraId="5CB2AFDE">
      <w:pPr>
        <w:rPr>
          <w:rFonts w:ascii="黑体" w:hAnsi="宋体" w:eastAsia="黑体"/>
          <w:sz w:val="24"/>
        </w:rPr>
      </w:pPr>
      <w:r>
        <w:rPr>
          <w:rFonts w:ascii="黑体" w:hAnsi="宋体" w:eastAsia="黑体"/>
          <w:sz w:val="24"/>
        </w:rPr>
        <w:t>16．投标文件格式</w:t>
      </w:r>
    </w:p>
    <w:p w14:paraId="56044EFC">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0C79507C">
      <w:pPr>
        <w:rPr>
          <w:rFonts w:ascii="黑体" w:hAnsi="宋体" w:eastAsia="黑体"/>
          <w:sz w:val="24"/>
        </w:rPr>
      </w:pPr>
      <w:r>
        <w:rPr>
          <w:rFonts w:hint="eastAsia" w:ascii="黑体" w:hAnsi="宋体" w:eastAsia="黑体"/>
          <w:sz w:val="24"/>
        </w:rPr>
        <w:t>17．投标货币</w:t>
      </w:r>
    </w:p>
    <w:p w14:paraId="1E711FE2">
      <w:pPr>
        <w:ind w:firstLine="411" w:firstLineChars="196"/>
        <w:rPr>
          <w:rFonts w:ascii="宋体" w:hAnsi="宋体"/>
          <w:szCs w:val="21"/>
        </w:rPr>
      </w:pPr>
      <w:r>
        <w:rPr>
          <w:rFonts w:hint="eastAsia" w:ascii="宋体" w:hAnsi="宋体"/>
          <w:szCs w:val="21"/>
        </w:rPr>
        <w:t>本项目的投标报价应以人民币计。</w:t>
      </w:r>
    </w:p>
    <w:p w14:paraId="1AF43146">
      <w:pPr>
        <w:rPr>
          <w:rFonts w:ascii="黑体" w:hAnsi="宋体" w:eastAsia="黑体"/>
          <w:sz w:val="24"/>
        </w:rPr>
      </w:pPr>
      <w:r>
        <w:rPr>
          <w:rFonts w:hint="eastAsia" w:ascii="黑体" w:hAnsi="宋体" w:eastAsia="黑体"/>
          <w:sz w:val="24"/>
        </w:rPr>
        <w:t>18．证明投标文件投标技术方案的合格性和符合招标文件规定的文件要求</w:t>
      </w:r>
    </w:p>
    <w:p w14:paraId="5444304C">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2A91821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307F768">
      <w:pPr>
        <w:ind w:firstLine="411" w:firstLineChars="196"/>
        <w:rPr>
          <w:rFonts w:ascii="宋体" w:hAnsi="宋体"/>
          <w:szCs w:val="21"/>
        </w:rPr>
      </w:pPr>
      <w:r>
        <w:rPr>
          <w:rFonts w:hint="eastAsia" w:ascii="宋体" w:hAnsi="宋体"/>
          <w:szCs w:val="21"/>
        </w:rPr>
        <w:t>18.2.1主要技术指标和性能的详细说明。</w:t>
      </w:r>
    </w:p>
    <w:p w14:paraId="70195CE3">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67CBFCEC">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51603E4">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15C1DC87">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F22497">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2D903DD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66FCE4F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p w14:paraId="1DB97597">
      <w:pPr>
        <w:rPr>
          <w:rFonts w:ascii="黑体" w:hAnsi="宋体" w:eastAsia="黑体"/>
          <w:sz w:val="24"/>
        </w:rPr>
      </w:pPr>
      <w:r>
        <w:rPr>
          <w:rFonts w:hint="eastAsia" w:ascii="黑体" w:hAnsi="宋体" w:eastAsia="黑体"/>
          <w:sz w:val="24"/>
        </w:rPr>
        <w:t>19．投标文件其他证明文件的要求</w:t>
      </w:r>
    </w:p>
    <w:p w14:paraId="3DC12215">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采购人、代理机构</w:t>
      </w:r>
      <w:r>
        <w:rPr>
          <w:rFonts w:hint="eastAsia" w:ascii="宋体" w:hAnsi="宋体"/>
          <w:szCs w:val="21"/>
          <w:lang w:val="en-US" w:eastAsia="zh-CN"/>
        </w:rPr>
        <w:t>以</w:t>
      </w:r>
      <w:r>
        <w:rPr>
          <w:rFonts w:hint="eastAsia" w:ascii="宋体" w:hAnsi="宋体"/>
          <w:szCs w:val="21"/>
        </w:rPr>
        <w:t>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p w14:paraId="0F7EFF36">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w:t>
      </w:r>
      <w:r>
        <w:rPr>
          <w:rFonts w:hint="eastAsia" w:ascii="宋体" w:hAnsi="宋体"/>
          <w:szCs w:val="21"/>
          <w:lang w:eastAsia="zh-CN"/>
        </w:rPr>
        <w:t>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53784F54">
      <w:pPr>
        <w:rPr>
          <w:rFonts w:ascii="黑体" w:hAnsi="宋体" w:eastAsia="黑体"/>
          <w:sz w:val="24"/>
        </w:rPr>
      </w:pPr>
      <w:r>
        <w:rPr>
          <w:rFonts w:hint="eastAsia" w:ascii="黑体" w:hAnsi="宋体" w:eastAsia="黑体"/>
          <w:sz w:val="24"/>
        </w:rPr>
        <w:t>20．投标有效期</w:t>
      </w:r>
    </w:p>
    <w:p w14:paraId="68F6E455">
      <w:pPr>
        <w:ind w:firstLine="411" w:firstLineChars="196"/>
        <w:rPr>
          <w:rFonts w:ascii="宋体" w:hAnsi="宋体"/>
          <w:szCs w:val="21"/>
        </w:rPr>
      </w:pPr>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4F3D8E31">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48187781">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p w14:paraId="7E233025">
      <w:pPr>
        <w:rPr>
          <w:rFonts w:ascii="黑体" w:hAnsi="宋体" w:eastAsia="黑体"/>
          <w:sz w:val="24"/>
        </w:rPr>
      </w:pPr>
      <w:r>
        <w:rPr>
          <w:rFonts w:hint="eastAsia" w:ascii="黑体" w:hAnsi="宋体" w:eastAsia="黑体"/>
          <w:sz w:val="24"/>
        </w:rPr>
        <w:t xml:space="preserve">21．关于投标保证金 </w:t>
      </w:r>
    </w:p>
    <w:p w14:paraId="2A029EE6">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56F641DF">
      <w:pPr>
        <w:rPr>
          <w:rFonts w:ascii="黑体" w:hAnsi="宋体" w:eastAsia="黑体"/>
          <w:sz w:val="24"/>
        </w:rPr>
      </w:pPr>
      <w:r>
        <w:rPr>
          <w:rFonts w:hint="eastAsia" w:ascii="黑体" w:hAnsi="宋体" w:eastAsia="黑体"/>
          <w:sz w:val="24"/>
        </w:rPr>
        <w:t>22．投标人的替代方案</w:t>
      </w:r>
    </w:p>
    <w:p w14:paraId="5DDD29DF">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1841A7FC">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2652386F">
      <w:pPr>
        <w:rPr>
          <w:rFonts w:ascii="黑体" w:hAnsi="宋体" w:eastAsia="黑体"/>
          <w:sz w:val="24"/>
        </w:rPr>
      </w:pPr>
      <w:r>
        <w:rPr>
          <w:rFonts w:hint="eastAsia" w:ascii="黑体" w:hAnsi="宋体" w:eastAsia="黑体"/>
          <w:sz w:val="24"/>
        </w:rPr>
        <w:t>23．</w:t>
      </w:r>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524B4B0D">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21067EB3">
      <w:pPr>
        <w:ind w:firstLine="411" w:firstLineChars="196"/>
        <w:rPr>
          <w:rFonts w:ascii="宋体" w:hAnsi="宋体"/>
        </w:rPr>
      </w:pPr>
      <w:r>
        <w:rPr>
          <w:rFonts w:hint="eastAsia" w:ascii="宋体" w:hAnsi="宋体"/>
        </w:rPr>
        <w:t>23.2投标人在使用《投标书编制软件》编制投标书时须注意：</w:t>
      </w:r>
    </w:p>
    <w:p w14:paraId="68BFE19D">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7161624">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4A1C384E">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471AE4E1">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642094EE">
      <w:pPr>
        <w:ind w:firstLine="411" w:firstLineChars="196"/>
        <w:rPr>
          <w:rFonts w:ascii="宋体" w:hAnsi="宋体"/>
        </w:rPr>
      </w:pPr>
      <w:r>
        <w:rPr>
          <w:rFonts w:hint="eastAsia" w:ascii="宋体" w:hAnsi="宋体"/>
        </w:rPr>
        <w:t>23.2.5完整填写“投标关键信息”，如下图所示：</w:t>
      </w:r>
    </w:p>
    <w:p w14:paraId="7ADDD882">
      <w:pPr>
        <w:ind w:firstLine="411" w:firstLineChars="196"/>
        <w:rPr>
          <w:rFonts w:ascii="宋体" w:hAnsi="宋体"/>
        </w:rPr>
      </w:pPr>
      <w:r>
        <w:rPr>
          <w:rFonts w:ascii="宋体" w:hAnsi="宋体"/>
        </w:rPr>
        <w:drawing>
          <wp:inline distT="0" distB="0" distL="0" distR="0">
            <wp:extent cx="5278755" cy="2721610"/>
            <wp:effectExtent l="0" t="0" r="9525" b="635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4B9D6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7ECA8B36">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FB5A0E5">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B66FD52">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0FAF66E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57D3AD5">
      <w:pPr>
        <w:ind w:firstLine="411" w:firstLineChars="196"/>
        <w:rPr>
          <w:rFonts w:ascii="宋体" w:hAnsi="宋体"/>
        </w:rPr>
      </w:pPr>
      <w:r>
        <w:rPr>
          <w:rFonts w:hint="eastAsia" w:ascii="宋体" w:hAnsi="宋体"/>
        </w:rPr>
        <w:t>23.3电报、电话、传真形式的投标概不接受。</w:t>
      </w:r>
    </w:p>
    <w:p w14:paraId="1B629714">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29AB91B4">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p>
    <w:p w14:paraId="75FB5168">
      <w:pPr>
        <w:ind w:firstLine="411" w:firstLineChars="196"/>
        <w:rPr>
          <w:rFonts w:ascii="宋体" w:hAnsi="宋体"/>
          <w:szCs w:val="21"/>
        </w:rPr>
      </w:pPr>
    </w:p>
    <w:p w14:paraId="37D0EB57">
      <w:pPr>
        <w:pStyle w:val="5"/>
        <w:numPr>
          <w:ilvl w:val="0"/>
          <w:numId w:val="13"/>
        </w:numPr>
        <w:spacing w:before="120" w:beforeLines="50" w:after="120" w:afterLines="50"/>
        <w:ind w:left="562" w:hanging="562"/>
        <w:rPr>
          <w:sz w:val="28"/>
          <w:szCs w:val="28"/>
        </w:rPr>
      </w:pPr>
      <w:r>
        <w:rPr>
          <w:rFonts w:hint="eastAsia"/>
          <w:sz w:val="28"/>
          <w:szCs w:val="28"/>
        </w:rPr>
        <w:t>投标文件的递交</w:t>
      </w:r>
    </w:p>
    <w:p w14:paraId="037164E5">
      <w:pPr>
        <w:rPr>
          <w:rFonts w:ascii="黑体" w:hAnsi="宋体" w:eastAsia="黑体"/>
          <w:sz w:val="24"/>
        </w:rPr>
      </w:pPr>
      <w:r>
        <w:rPr>
          <w:rFonts w:hint="eastAsia" w:ascii="黑体" w:hAnsi="宋体" w:eastAsia="黑体"/>
          <w:sz w:val="24"/>
        </w:rPr>
        <w:t>24．投标文件的保密</w:t>
      </w:r>
    </w:p>
    <w:p w14:paraId="37F690F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7B6F87E5">
      <w:pPr>
        <w:widowControl/>
        <w:jc w:val="left"/>
        <w:rPr>
          <w:rFonts w:ascii="宋体" w:hAnsi="宋体" w:cs="宋体"/>
          <w:kern w:val="0"/>
          <w:sz w:val="24"/>
        </w:rPr>
      </w:pPr>
      <w:r>
        <w:rPr>
          <w:rFonts w:ascii="宋体" w:hAnsi="宋体"/>
        </w:rPr>
        <w:drawing>
          <wp:inline distT="0" distB="0" distL="0" distR="0">
            <wp:extent cx="5278755" cy="2721610"/>
            <wp:effectExtent l="0" t="0" r="9525" b="6350"/>
            <wp:docPr id="1"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6089AC7C">
      <w:pPr>
        <w:ind w:firstLine="480" w:firstLineChars="200"/>
        <w:rPr>
          <w:sz w:val="24"/>
        </w:rPr>
      </w:pPr>
    </w:p>
    <w:p w14:paraId="08FB3FDF">
      <w:pPr>
        <w:rPr>
          <w:sz w:val="24"/>
        </w:rPr>
      </w:pPr>
      <w:r>
        <w:rPr>
          <w:rFonts w:ascii="宋体" w:hAnsi="宋体"/>
        </w:rPr>
        <w:drawing>
          <wp:inline distT="0" distB="0" distL="0" distR="0">
            <wp:extent cx="5278755" cy="2732405"/>
            <wp:effectExtent l="0" t="0" r="9525" b="10795"/>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A93BB47">
      <w:pPr>
        <w:ind w:firstLine="411" w:firstLineChars="196"/>
        <w:rPr>
          <w:rFonts w:ascii="宋体" w:hAnsi="宋体"/>
        </w:rPr>
      </w:pPr>
    </w:p>
    <w:p w14:paraId="786A6446">
      <w:pPr>
        <w:rPr>
          <w:rFonts w:ascii="宋体" w:hAnsi="宋体"/>
          <w:b/>
        </w:rPr>
      </w:pPr>
      <w:r>
        <w:rPr>
          <w:rFonts w:hint="eastAsia" w:ascii="黑体" w:hAnsi="宋体" w:eastAsia="黑体"/>
          <w:sz w:val="24"/>
        </w:rPr>
        <w:t>24.2若采购项目出现延期情况：</w:t>
      </w:r>
    </w:p>
    <w:p w14:paraId="7C9FD55F">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w:t>
      </w:r>
      <w:r>
        <w:rPr>
          <w:rFonts w:hint="eastAsia" w:ascii="宋体" w:hAnsi="宋体"/>
          <w:b w:val="0"/>
          <w:bCs w:val="0"/>
          <w:lang w:eastAsia="zh-CN"/>
        </w:rPr>
        <w:t>确</w:t>
      </w:r>
      <w:r>
        <w:rPr>
          <w:rFonts w:hint="eastAsia" w:ascii="宋体" w:hAnsi="宋体"/>
          <w:b w:val="0"/>
          <w:bCs w:val="0"/>
        </w:rPr>
        <w:t>定</w:t>
      </w:r>
      <w:r>
        <w:rPr>
          <w:rFonts w:hint="eastAsia" w:ascii="宋体" w:hAnsi="宋体"/>
        </w:rPr>
        <w:t>）。否则，投标人自行承担投标文件无法解密导致投标无效的后果。</w:t>
      </w:r>
    </w:p>
    <w:p w14:paraId="71A7E1E6">
      <w:pPr>
        <w:rPr>
          <w:rFonts w:ascii="黑体" w:hAnsi="宋体" w:eastAsia="黑体"/>
          <w:sz w:val="24"/>
        </w:rPr>
      </w:pPr>
      <w:r>
        <w:rPr>
          <w:rFonts w:hint="eastAsia" w:ascii="黑体" w:hAnsi="宋体" w:eastAsia="黑体"/>
          <w:sz w:val="24"/>
        </w:rPr>
        <w:t>25．上传投标文件及投标截止日期</w:t>
      </w:r>
    </w:p>
    <w:p w14:paraId="66B10387">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565FBE7A">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74533E2D">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41209865">
      <w:pPr>
        <w:ind w:firstLine="411" w:firstLineChars="196"/>
        <w:rPr>
          <w:rFonts w:ascii="宋体" w:hAnsi="宋体"/>
        </w:rPr>
      </w:pPr>
    </w:p>
    <w:p w14:paraId="3CB97C8B">
      <w:pPr>
        <w:ind w:firstLine="411" w:firstLineChars="196"/>
        <w:rPr>
          <w:rFonts w:ascii="宋体" w:hAnsi="宋体"/>
        </w:rPr>
      </w:pPr>
    </w:p>
    <w:p w14:paraId="047E52D4">
      <w:pPr>
        <w:rPr>
          <w:rFonts w:ascii="黑体" w:hAnsi="宋体" w:eastAsia="黑体"/>
          <w:sz w:val="24"/>
        </w:rPr>
      </w:pPr>
      <w:r>
        <w:rPr>
          <w:rFonts w:hint="eastAsia" w:ascii="黑体" w:hAnsi="宋体" w:eastAsia="黑体"/>
          <w:sz w:val="24"/>
        </w:rPr>
        <w:t>26. 样品、现场演示、方案讲解</w:t>
      </w:r>
    </w:p>
    <w:p w14:paraId="6DFD71FD">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77F3ED36">
      <w:pPr>
        <w:rPr>
          <w:rFonts w:ascii="黑体" w:hAnsi="宋体" w:eastAsia="黑体"/>
          <w:sz w:val="24"/>
        </w:rPr>
      </w:pPr>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3EF4A40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76D748B3">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1023E2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6990BFE">
      <w:pPr>
        <w:ind w:firstLine="411" w:firstLineChars="196"/>
        <w:rPr>
          <w:rFonts w:ascii="宋体" w:hAnsi="宋体"/>
          <w:szCs w:val="21"/>
        </w:rPr>
      </w:pPr>
      <w:r>
        <w:rPr>
          <w:rFonts w:hint="eastAsia" w:ascii="宋体" w:hAnsi="宋体"/>
          <w:szCs w:val="21"/>
        </w:rPr>
        <w:t>27.4政府集中采购机构不退还投标文件，专用条款另有规定的除外。</w:t>
      </w:r>
    </w:p>
    <w:p w14:paraId="3B73B5F9">
      <w:pPr>
        <w:pStyle w:val="5"/>
        <w:numPr>
          <w:ilvl w:val="0"/>
          <w:numId w:val="13"/>
        </w:numPr>
        <w:spacing w:before="120" w:beforeLines="50" w:after="120" w:afterLines="50"/>
        <w:ind w:left="562" w:hanging="562"/>
        <w:rPr>
          <w:sz w:val="28"/>
          <w:szCs w:val="28"/>
        </w:rPr>
      </w:pPr>
      <w:r>
        <w:rPr>
          <w:rFonts w:hint="eastAsia"/>
          <w:sz w:val="28"/>
          <w:szCs w:val="28"/>
        </w:rPr>
        <w:t>开标</w:t>
      </w:r>
    </w:p>
    <w:p w14:paraId="481562F0">
      <w:pPr>
        <w:rPr>
          <w:rFonts w:ascii="黑体" w:hAnsi="宋体" w:eastAsia="黑体"/>
          <w:sz w:val="24"/>
        </w:rPr>
      </w:pPr>
      <w:r>
        <w:rPr>
          <w:rFonts w:hint="eastAsia" w:ascii="黑体" w:hAnsi="宋体" w:eastAsia="黑体"/>
          <w:sz w:val="24"/>
        </w:rPr>
        <w:t>28．开标</w:t>
      </w:r>
    </w:p>
    <w:p w14:paraId="6C9C016C">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C4A5728">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45D68E17">
      <w:pPr>
        <w:ind w:firstLine="315" w:firstLineChars="150"/>
        <w:rPr>
          <w:rFonts w:ascii="宋体" w:hAnsi="宋体"/>
          <w:szCs w:val="21"/>
        </w:rPr>
      </w:pPr>
    </w:p>
    <w:p w14:paraId="7DD4DE15">
      <w:pPr>
        <w:pStyle w:val="5"/>
        <w:numPr>
          <w:ilvl w:val="0"/>
          <w:numId w:val="13"/>
        </w:numPr>
        <w:spacing w:before="120" w:beforeLines="50" w:after="120" w:afterLines="50"/>
        <w:ind w:left="562" w:hanging="562"/>
        <w:rPr>
          <w:sz w:val="28"/>
          <w:szCs w:val="28"/>
        </w:rPr>
      </w:pPr>
      <w:r>
        <w:rPr>
          <w:rFonts w:hint="eastAsia"/>
          <w:sz w:val="28"/>
          <w:szCs w:val="28"/>
        </w:rPr>
        <w:t>评审要求</w:t>
      </w:r>
    </w:p>
    <w:p w14:paraId="39A7D152">
      <w:pPr>
        <w:rPr>
          <w:rFonts w:ascii="黑体" w:hAnsi="宋体" w:eastAsia="黑体"/>
          <w:sz w:val="24"/>
        </w:rPr>
      </w:pPr>
      <w:r>
        <w:rPr>
          <w:rFonts w:hint="eastAsia" w:ascii="黑体" w:hAnsi="宋体" w:eastAsia="黑体"/>
          <w:sz w:val="24"/>
        </w:rPr>
        <w:t>29．评审委员会组成</w:t>
      </w:r>
    </w:p>
    <w:p w14:paraId="2EE907A4">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5D6E34BE">
      <w:pPr>
        <w:ind w:firstLine="411" w:firstLineChars="196"/>
        <w:rPr>
          <w:rFonts w:ascii="宋体" w:hAnsi="宋体"/>
        </w:rPr>
      </w:pPr>
      <w:r>
        <w:rPr>
          <w:rFonts w:hint="eastAsia" w:ascii="宋体" w:hAnsi="宋体"/>
        </w:rPr>
        <w:t>评审委员会由采购人代表和评审专家组成，成员人数应当为5人以上单数（部分条件下为7人以上单数），其中评审专家不得少于成员总数的三分之二。评定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E71803D">
      <w:pPr>
        <w:ind w:firstLine="411" w:firstLineChars="196"/>
        <w:rPr>
          <w:rFonts w:ascii="宋体" w:hAnsi="宋体"/>
        </w:rPr>
      </w:pPr>
      <w:r>
        <w:rPr>
          <w:rFonts w:hint="eastAsia" w:ascii="宋体" w:hAnsi="宋体"/>
        </w:rPr>
        <w:t>29.2评审定标应当遵循公平、公正、科学、择优的原则。</w:t>
      </w:r>
    </w:p>
    <w:p w14:paraId="1B9AA1EA">
      <w:pPr>
        <w:ind w:firstLine="411" w:firstLineChars="196"/>
        <w:rPr>
          <w:rFonts w:ascii="宋体" w:hAnsi="宋体"/>
        </w:rPr>
      </w:pPr>
      <w:r>
        <w:rPr>
          <w:rFonts w:hint="eastAsia" w:ascii="宋体" w:hAnsi="宋体"/>
        </w:rPr>
        <w:t>29.3评审活动依法进行，任何单位和个人不得非法干预评标过程和结果。</w:t>
      </w:r>
    </w:p>
    <w:p w14:paraId="76DC58F5">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2A0AEC8E">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670928F0">
      <w:pPr>
        <w:rPr>
          <w:rFonts w:ascii="黑体" w:hAnsi="宋体" w:eastAsia="黑体"/>
          <w:sz w:val="24"/>
        </w:rPr>
      </w:pPr>
      <w:r>
        <w:rPr>
          <w:rFonts w:hint="eastAsia" w:ascii="黑体" w:hAnsi="宋体" w:eastAsia="黑体"/>
          <w:sz w:val="24"/>
        </w:rPr>
        <w:t>30．向评审委员会提供的资料</w:t>
      </w:r>
    </w:p>
    <w:p w14:paraId="241A9F4D">
      <w:pPr>
        <w:ind w:firstLine="411" w:firstLineChars="196"/>
        <w:rPr>
          <w:rFonts w:ascii="宋体" w:hAnsi="宋体"/>
        </w:rPr>
      </w:pPr>
      <w:r>
        <w:rPr>
          <w:rFonts w:hint="eastAsia" w:ascii="宋体" w:hAnsi="宋体"/>
        </w:rPr>
        <w:t>30.1公开发布的招标文件，包括图纸、服务清单、答疑文件等；</w:t>
      </w:r>
    </w:p>
    <w:p w14:paraId="3E395929">
      <w:pPr>
        <w:ind w:firstLine="411" w:firstLineChars="196"/>
        <w:rPr>
          <w:rFonts w:ascii="宋体" w:hAnsi="宋体"/>
        </w:rPr>
      </w:pPr>
      <w:r>
        <w:rPr>
          <w:rFonts w:hint="eastAsia" w:ascii="宋体" w:hAnsi="宋体"/>
        </w:rPr>
        <w:t>30.2其他评标</w:t>
      </w:r>
      <w:r>
        <w:rPr>
          <w:rFonts w:hint="eastAsia" w:ascii="宋体" w:hAnsi="宋体"/>
          <w:lang w:eastAsia="zh-CN"/>
        </w:rPr>
        <w:t>必需</w:t>
      </w:r>
      <w:r>
        <w:rPr>
          <w:rFonts w:hint="eastAsia" w:ascii="宋体" w:hAnsi="宋体"/>
        </w:rPr>
        <w:t>的资料。</w:t>
      </w:r>
    </w:p>
    <w:p w14:paraId="7073B8D7">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4D634FF9">
      <w:pPr>
        <w:ind w:firstLine="411" w:firstLineChars="196"/>
        <w:rPr>
          <w:rFonts w:ascii="宋体" w:hAnsi="宋体"/>
        </w:rPr>
      </w:pPr>
      <w:r>
        <w:rPr>
          <w:rFonts w:hint="eastAsia" w:ascii="宋体" w:hAnsi="宋体"/>
        </w:rPr>
        <w:t>（1）招标的目的；</w:t>
      </w:r>
    </w:p>
    <w:p w14:paraId="733D56EF">
      <w:pPr>
        <w:ind w:firstLine="411" w:firstLineChars="196"/>
        <w:rPr>
          <w:rFonts w:ascii="宋体" w:hAnsi="宋体"/>
        </w:rPr>
      </w:pPr>
      <w:r>
        <w:rPr>
          <w:rFonts w:hint="eastAsia" w:ascii="宋体" w:hAnsi="宋体"/>
        </w:rPr>
        <w:t>（2）招标项目需求的范围和性质；</w:t>
      </w:r>
    </w:p>
    <w:p w14:paraId="38452867">
      <w:pPr>
        <w:ind w:firstLine="411" w:firstLineChars="196"/>
        <w:rPr>
          <w:rFonts w:ascii="宋体" w:hAnsi="宋体"/>
        </w:rPr>
      </w:pPr>
      <w:r>
        <w:rPr>
          <w:rFonts w:hint="eastAsia" w:ascii="宋体" w:hAnsi="宋体"/>
        </w:rPr>
        <w:t>（3）招标文件规定的投标人的资格、财政预算限额、商务条款；</w:t>
      </w:r>
    </w:p>
    <w:p w14:paraId="2347FB76">
      <w:pPr>
        <w:ind w:firstLine="411" w:firstLineChars="196"/>
        <w:rPr>
          <w:rFonts w:ascii="宋体" w:hAnsi="宋体"/>
        </w:rPr>
      </w:pPr>
      <w:r>
        <w:rPr>
          <w:rFonts w:hint="eastAsia" w:ascii="宋体" w:hAnsi="宋体"/>
        </w:rPr>
        <w:t>（4）招标文件规定的评标程序、评标方法和评标因素；</w:t>
      </w:r>
    </w:p>
    <w:p w14:paraId="5AEB2309">
      <w:pPr>
        <w:ind w:firstLine="411" w:firstLineChars="196"/>
        <w:rPr>
          <w:rFonts w:ascii="宋体" w:hAnsi="宋体"/>
        </w:rPr>
      </w:pPr>
      <w:r>
        <w:rPr>
          <w:rFonts w:hint="eastAsia" w:ascii="宋体" w:hAnsi="宋体"/>
        </w:rPr>
        <w:t>（5）招标文件所列示的资格性审查表及符合性审查表。</w:t>
      </w:r>
    </w:p>
    <w:p w14:paraId="0DD1C1BC">
      <w:pPr>
        <w:rPr>
          <w:rFonts w:ascii="黑体" w:hAnsi="宋体" w:eastAsia="黑体"/>
          <w:sz w:val="24"/>
        </w:rPr>
      </w:pPr>
      <w:r>
        <w:rPr>
          <w:rFonts w:hint="eastAsia" w:ascii="黑体" w:hAnsi="宋体" w:eastAsia="黑体"/>
          <w:sz w:val="24"/>
        </w:rPr>
        <w:t>31．独立评审</w:t>
      </w:r>
    </w:p>
    <w:p w14:paraId="554A7F0A">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6A7E0E7F">
      <w:pPr>
        <w:ind w:firstLine="411" w:firstLineChars="196"/>
        <w:rPr>
          <w:rFonts w:ascii="宋体" w:hAnsi="宋体"/>
          <w:bCs/>
          <w:szCs w:val="21"/>
        </w:rPr>
      </w:pPr>
    </w:p>
    <w:p w14:paraId="5C24E222">
      <w:pPr>
        <w:pStyle w:val="5"/>
        <w:numPr>
          <w:ilvl w:val="0"/>
          <w:numId w:val="13"/>
        </w:numPr>
        <w:spacing w:before="120" w:beforeLines="50" w:after="120" w:afterLines="50"/>
        <w:ind w:left="562" w:hanging="562"/>
        <w:rPr>
          <w:sz w:val="28"/>
          <w:szCs w:val="28"/>
        </w:rPr>
      </w:pPr>
      <w:r>
        <w:rPr>
          <w:rFonts w:hint="eastAsia"/>
          <w:sz w:val="28"/>
          <w:szCs w:val="28"/>
        </w:rPr>
        <w:t>评审程序及评审方法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59"/>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19C6563F">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5AF14E4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1CAF8F56">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4B1297B4">
      <w:pPr>
        <w:pStyle w:val="59"/>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256BCCC7">
      <w:pPr>
        <w:pStyle w:val="59"/>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3C9F00B4">
      <w:pPr>
        <w:rPr>
          <w:rFonts w:hint="eastAsia" w:ascii="黑体" w:hAnsi="宋体" w:eastAsia="黑体"/>
          <w:sz w:val="24"/>
        </w:rPr>
      </w:pPr>
    </w:p>
    <w:p w14:paraId="27A5C1CE">
      <w:pPr>
        <w:rPr>
          <w:rFonts w:ascii="黑体" w:hAnsi="宋体" w:eastAsia="黑体"/>
          <w:sz w:val="24"/>
        </w:rPr>
      </w:pPr>
      <w:r>
        <w:rPr>
          <w:rFonts w:hint="eastAsia" w:ascii="黑体" w:hAnsi="宋体" w:eastAsia="黑体"/>
          <w:sz w:val="24"/>
        </w:rPr>
        <w:t>33．澄清有关问题</w:t>
      </w:r>
    </w:p>
    <w:p w14:paraId="058E14A8">
      <w:pPr>
        <w:ind w:firstLine="411" w:firstLineChars="196"/>
        <w:rPr>
          <w:rFonts w:ascii="宋体" w:hAnsi="宋体"/>
        </w:rPr>
      </w:pPr>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p>
    <w:p w14:paraId="4962EF7A">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367C67C">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559F8548">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2042FA4">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0F5CBC40">
      <w:pPr>
        <w:rPr>
          <w:rFonts w:ascii="黑体" w:hAnsi="宋体" w:eastAsia="黑体"/>
          <w:sz w:val="24"/>
        </w:rPr>
      </w:pPr>
      <w:r>
        <w:rPr>
          <w:rFonts w:hint="eastAsia" w:ascii="黑体" w:hAnsi="宋体" w:eastAsia="黑体"/>
          <w:sz w:val="24"/>
        </w:rPr>
        <w:t>34．错误的修正</w:t>
      </w:r>
    </w:p>
    <w:p w14:paraId="3C43FCAB">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452D27A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5E9ABF9">
      <w:pPr>
        <w:ind w:firstLine="411" w:firstLineChars="196"/>
        <w:rPr>
          <w:rFonts w:ascii="宋体" w:hAnsi="宋体"/>
          <w:szCs w:val="21"/>
        </w:rPr>
      </w:pPr>
      <w:r>
        <w:rPr>
          <w:rFonts w:hint="eastAsia" w:ascii="宋体" w:hAnsi="宋体"/>
          <w:szCs w:val="21"/>
        </w:rPr>
        <w:t>34.2大写金额和小写金额不一致的，以大写金额为准；</w:t>
      </w:r>
    </w:p>
    <w:p w14:paraId="4217C92A">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25DDAE78">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BAC525B">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w:t>
      </w:r>
      <w:r>
        <w:rPr>
          <w:rFonts w:hint="eastAsia" w:ascii="宋体" w:hAnsi="宋体"/>
          <w:szCs w:val="21"/>
          <w:lang w:eastAsia="zh-CN"/>
        </w:rPr>
        <w:t>第</w:t>
      </w:r>
      <w:r>
        <w:rPr>
          <w:rFonts w:hint="eastAsia" w:ascii="宋体" w:hAnsi="宋体"/>
          <w:szCs w:val="21"/>
        </w:rPr>
        <w:t>33条的规定，经投标人确认后产生约束力，投标人不确认的，其投标无效。</w:t>
      </w:r>
    </w:p>
    <w:p w14:paraId="56451C81">
      <w:pPr>
        <w:rPr>
          <w:rFonts w:ascii="黑体" w:hAnsi="宋体" w:eastAsia="黑体"/>
          <w:sz w:val="24"/>
        </w:rPr>
      </w:pPr>
      <w:r>
        <w:rPr>
          <w:rFonts w:hint="eastAsia" w:ascii="黑体" w:hAnsi="宋体" w:eastAsia="黑体"/>
          <w:sz w:val="24"/>
        </w:rPr>
        <w:t>35．投标文件的比较与评价</w:t>
      </w:r>
    </w:p>
    <w:p w14:paraId="595390FA">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089568C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24DD130">
      <w:pPr>
        <w:rPr>
          <w:rFonts w:ascii="黑体" w:hAnsi="宋体" w:eastAsia="黑体"/>
          <w:sz w:val="24"/>
        </w:rPr>
      </w:pPr>
      <w:r>
        <w:rPr>
          <w:rFonts w:hint="eastAsia" w:ascii="黑体" w:hAnsi="宋体" w:eastAsia="黑体"/>
          <w:sz w:val="24"/>
        </w:rPr>
        <w:t>3</w:t>
      </w:r>
      <w:r>
        <w:rPr>
          <w:rFonts w:hint="eastAsia" w:ascii="黑体" w:hAnsi="宋体" w:eastAsia="黑体"/>
          <w:sz w:val="24"/>
          <w:lang w:val="en-US" w:eastAsia="zh-CN"/>
        </w:rPr>
        <w:t>6</w:t>
      </w:r>
      <w:r>
        <w:rPr>
          <w:rFonts w:hint="eastAsia" w:ascii="黑体" w:hAnsi="宋体" w:eastAsia="黑体"/>
          <w:sz w:val="24"/>
        </w:rPr>
        <w:t>．评审方法</w:t>
      </w:r>
    </w:p>
    <w:p w14:paraId="41FE6B0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4D9AA736">
      <w:pPr>
        <w:ind w:firstLine="411" w:firstLineChars="196"/>
        <w:rPr>
          <w:rFonts w:ascii="ˎ̥" w:hAnsi="ˎ̥"/>
        </w:rPr>
      </w:pPr>
      <w:r>
        <w:rPr>
          <w:rFonts w:ascii="ˎ̥" w:hAnsi="ˎ̥"/>
        </w:rPr>
        <w:t>最低价法，</w:t>
      </w:r>
      <w:r>
        <w:rPr>
          <w:rFonts w:hint="eastAsia" w:ascii="ˎ̥" w:hAnsi="ˎ̥"/>
        </w:rPr>
        <w:t>是指投标文件满足招标文件全部实质性要求，且投标报价最低的投标人为中标候选人的评标方法。</w:t>
      </w:r>
    </w:p>
    <w:p w14:paraId="53F94AAA">
      <w:pPr>
        <w:ind w:firstLine="411" w:firstLineChars="196"/>
        <w:rPr>
          <w:rFonts w:ascii="ˎ̥" w:hAnsi="ˎ̥"/>
        </w:rPr>
      </w:pPr>
      <w:r>
        <w:rPr>
          <w:rFonts w:hint="eastAsia" w:ascii="ˎ̥" w:hAnsi="ˎ̥"/>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61F9E117">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4B674215">
      <w:pPr>
        <w:ind w:firstLine="411" w:firstLineChars="196"/>
        <w:rPr>
          <w:rFonts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p>
    <w:p w14:paraId="35EC9EBF">
      <w:pPr>
        <w:ind w:firstLine="411" w:firstLineChars="196"/>
        <w:rPr>
          <w:rFonts w:ascii="ˎ̥" w:hAnsi="ˎ̥"/>
        </w:rPr>
      </w:pPr>
      <w:r>
        <w:rPr>
          <w:rFonts w:hint="eastAsia" w:ascii="ˎ̥" w:hAnsi="ˎ̥"/>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4E1F546F">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40A55FB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3825162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54CF33A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72DF079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6E9579F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6D518AF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6BCBAC13">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962FD7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7B94D8C8">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05B5E8C6">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AC12E5F">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74C05FA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1ED2A13A">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634D0640">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579C0C6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6B11F8E">
      <w:pPr>
        <w:ind w:firstLine="411" w:firstLineChars="196"/>
        <w:rPr>
          <w:rFonts w:ascii="宋体" w:hAnsi="宋体"/>
          <w:szCs w:val="21"/>
        </w:rPr>
      </w:pPr>
    </w:p>
    <w:p w14:paraId="20E40431">
      <w:pPr>
        <w:pStyle w:val="5"/>
        <w:numPr>
          <w:ilvl w:val="0"/>
          <w:numId w:val="13"/>
        </w:numPr>
        <w:spacing w:before="120" w:beforeLines="50" w:after="120" w:afterLines="50"/>
        <w:ind w:left="562" w:hanging="562"/>
        <w:rPr>
          <w:sz w:val="28"/>
          <w:szCs w:val="28"/>
        </w:rPr>
      </w:pPr>
      <w:r>
        <w:rPr>
          <w:rFonts w:hint="eastAsia"/>
          <w:sz w:val="28"/>
          <w:szCs w:val="28"/>
        </w:rPr>
        <w:t>定标及公示</w:t>
      </w:r>
    </w:p>
    <w:p w14:paraId="0C5CC4A7">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4853203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784B4B4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C549BF8">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9FCC70E">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37D9232A">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11707E0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0C1FB4D8">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748A13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31C9BBDA">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3C57A722">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7A2F467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58438391">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64804344">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64ED2F6">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22BDD5B1">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4437FA16">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3418A350">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6E4E68A7">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078F76D5">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68B7DED1">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1BCF54C9">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p w14:paraId="1D58DA7F">
      <w:pPr>
        <w:ind w:firstLine="411" w:firstLineChars="196"/>
        <w:rPr>
          <w:rFonts w:ascii="宋体" w:hAnsi="宋体"/>
          <w:szCs w:val="21"/>
        </w:rPr>
      </w:pPr>
    </w:p>
    <w:p w14:paraId="0ED2EFD4">
      <w:pPr>
        <w:pStyle w:val="5"/>
        <w:numPr>
          <w:ilvl w:val="0"/>
          <w:numId w:val="13"/>
        </w:numPr>
        <w:spacing w:before="120" w:beforeLines="50" w:after="120" w:afterLines="50"/>
        <w:ind w:left="562" w:hanging="562"/>
        <w:rPr>
          <w:sz w:val="28"/>
          <w:szCs w:val="28"/>
        </w:rPr>
      </w:pPr>
      <w:r>
        <w:rPr>
          <w:rFonts w:hint="eastAsia"/>
          <w:sz w:val="28"/>
          <w:szCs w:val="28"/>
        </w:rPr>
        <w:t>公开招标失败的后续处理</w:t>
      </w:r>
    </w:p>
    <w:p w14:paraId="5CA68B6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1</w:t>
      </w:r>
      <w:r>
        <w:rPr>
          <w:rFonts w:hint="eastAsia" w:ascii="黑体" w:hAnsi="宋体" w:eastAsia="黑体"/>
          <w:sz w:val="24"/>
        </w:rPr>
        <w:t>．公开招标失败的处理</w:t>
      </w:r>
    </w:p>
    <w:p w14:paraId="66E7B7DF">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4350B6C3">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BB9B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0B9386DD">
      <w:pPr>
        <w:ind w:firstLine="411" w:firstLineChars="196"/>
        <w:rPr>
          <w:rFonts w:ascii="宋体" w:hAnsi="宋体"/>
        </w:rPr>
      </w:pPr>
      <w:r>
        <w:rPr>
          <w:rFonts w:hint="eastAsia" w:ascii="宋体" w:hAnsi="宋体"/>
        </w:rPr>
        <w:t>（1）由政府集中采购机构重新组织公开招标；</w:t>
      </w:r>
    </w:p>
    <w:p w14:paraId="46C1D4ED">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CC229E6">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D666273">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78691532">
      <w:pPr>
        <w:rPr>
          <w:rFonts w:ascii="黑体" w:hAnsi="宋体" w:eastAsia="黑体"/>
          <w:sz w:val="24"/>
        </w:rPr>
      </w:pPr>
    </w:p>
    <w:p w14:paraId="19C9B826">
      <w:pPr>
        <w:pStyle w:val="5"/>
        <w:numPr>
          <w:ilvl w:val="0"/>
          <w:numId w:val="13"/>
        </w:numPr>
        <w:spacing w:before="120" w:beforeLines="50" w:after="120" w:afterLines="50"/>
        <w:ind w:left="562" w:hanging="562"/>
        <w:rPr>
          <w:sz w:val="28"/>
          <w:szCs w:val="28"/>
        </w:rPr>
      </w:pPr>
      <w:r>
        <w:rPr>
          <w:rFonts w:hint="eastAsia"/>
          <w:sz w:val="28"/>
          <w:szCs w:val="28"/>
        </w:rPr>
        <w:t>合同的授予与备案</w:t>
      </w:r>
    </w:p>
    <w:p w14:paraId="230EE3F4">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2</w:t>
      </w:r>
      <w:r>
        <w:rPr>
          <w:rFonts w:hint="eastAsia" w:ascii="黑体" w:hAnsi="宋体" w:eastAsia="黑体"/>
          <w:sz w:val="24"/>
        </w:rPr>
        <w:t>．合同授予标准</w:t>
      </w:r>
    </w:p>
    <w:p w14:paraId="750C4494">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483BB8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3</w:t>
      </w:r>
      <w:r>
        <w:rPr>
          <w:rFonts w:hint="eastAsia" w:ascii="黑体" w:hAnsi="宋体" w:eastAsia="黑体"/>
          <w:sz w:val="24"/>
        </w:rPr>
        <w:t>．接受和拒绝任何或所有投标的</w:t>
      </w:r>
      <w:r>
        <w:rPr>
          <w:rFonts w:hint="eastAsia" w:ascii="黑体" w:hAnsi="宋体" w:eastAsia="黑体"/>
          <w:sz w:val="24"/>
          <w:lang w:eastAsia="zh-CN"/>
        </w:rPr>
        <w:t>权利</w:t>
      </w:r>
    </w:p>
    <w:p w14:paraId="53E9927B">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64D2CCB">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4</w:t>
      </w:r>
      <w:r>
        <w:rPr>
          <w:rFonts w:hint="eastAsia" w:ascii="黑体" w:hAnsi="宋体" w:eastAsia="黑体"/>
          <w:sz w:val="24"/>
        </w:rPr>
        <w:t>．合同的签订</w:t>
      </w:r>
    </w:p>
    <w:p w14:paraId="11B5CCB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85E740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6790054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E51721D">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5</w:t>
      </w:r>
      <w:r>
        <w:rPr>
          <w:rFonts w:hint="eastAsia" w:ascii="黑体" w:hAnsi="宋体" w:eastAsia="黑体"/>
          <w:sz w:val="24"/>
        </w:rPr>
        <w:t>．履约担保</w:t>
      </w:r>
    </w:p>
    <w:p w14:paraId="7DBFEA6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3733416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98FA55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20FFC9B9">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2939707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39E4B955">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5284A96F">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6AC32F32">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E9641C9">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16139C18">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7973758">
      <w:pPr>
        <w:ind w:left="210" w:leftChars="100" w:firstLine="411" w:firstLineChars="196"/>
        <w:rPr>
          <w:rFonts w:ascii="宋体" w:hAnsi="宋体"/>
        </w:rPr>
      </w:pPr>
      <w:r>
        <w:rPr>
          <w:rFonts w:ascii="宋体" w:hAnsi="宋体"/>
        </w:rPr>
        <w:t>a.名片、宣传册、广告标语等；</w:t>
      </w:r>
    </w:p>
    <w:p w14:paraId="7452282E">
      <w:pPr>
        <w:ind w:left="210" w:leftChars="100" w:firstLine="411" w:firstLineChars="196"/>
        <w:rPr>
          <w:rFonts w:ascii="宋体" w:hAnsi="宋体"/>
        </w:rPr>
      </w:pPr>
      <w:r>
        <w:rPr>
          <w:rFonts w:ascii="宋体" w:hAnsi="宋体"/>
        </w:rPr>
        <w:t>b.案例介绍、推广等；</w:t>
      </w:r>
    </w:p>
    <w:p w14:paraId="76ECCA53">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0B1349D7">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5AC1418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7FE1996">
      <w:pPr>
        <w:ind w:firstLine="411" w:firstLineChars="196"/>
        <w:rPr>
          <w:rFonts w:ascii="宋体" w:hAnsi="宋体"/>
          <w:szCs w:val="21"/>
        </w:rPr>
      </w:pPr>
      <w:r>
        <w:rPr>
          <w:rFonts w:hint="eastAsia" w:ascii="宋体" w:hAnsi="宋体"/>
          <w:szCs w:val="21"/>
        </w:rPr>
        <w:t>（1）在采购活动中应当回避而未回避的；</w:t>
      </w:r>
    </w:p>
    <w:p w14:paraId="5D7A625B">
      <w:pPr>
        <w:ind w:firstLine="411" w:firstLineChars="196"/>
        <w:rPr>
          <w:rFonts w:ascii="宋体" w:hAnsi="宋体"/>
          <w:szCs w:val="21"/>
        </w:rPr>
      </w:pPr>
      <w:r>
        <w:rPr>
          <w:rFonts w:hint="eastAsia" w:ascii="宋体" w:hAnsi="宋体"/>
          <w:szCs w:val="21"/>
        </w:rPr>
        <w:t>（2）未按本条例规定签订、履行采购合同，造成严重后果的；</w:t>
      </w:r>
    </w:p>
    <w:p w14:paraId="4EA0B711">
      <w:pPr>
        <w:ind w:firstLine="411" w:firstLineChars="196"/>
        <w:rPr>
          <w:rFonts w:ascii="宋体" w:hAnsi="宋体"/>
          <w:szCs w:val="21"/>
        </w:rPr>
      </w:pPr>
      <w:r>
        <w:rPr>
          <w:rFonts w:hint="eastAsia" w:ascii="宋体" w:hAnsi="宋体"/>
          <w:szCs w:val="21"/>
        </w:rPr>
        <w:t>（3）隐瞒真实情况，提供虚假资料的；</w:t>
      </w:r>
    </w:p>
    <w:p w14:paraId="528A7369">
      <w:pPr>
        <w:ind w:firstLine="411" w:firstLineChars="196"/>
        <w:rPr>
          <w:rFonts w:ascii="宋体" w:hAnsi="宋体"/>
          <w:szCs w:val="21"/>
        </w:rPr>
      </w:pPr>
      <w:r>
        <w:rPr>
          <w:rFonts w:hint="eastAsia" w:ascii="宋体" w:hAnsi="宋体"/>
          <w:szCs w:val="21"/>
        </w:rPr>
        <w:t>（4）以非法手段排斥其他供应商参与竞争的；</w:t>
      </w:r>
    </w:p>
    <w:p w14:paraId="7F4D9112">
      <w:pPr>
        <w:ind w:firstLine="411" w:firstLineChars="196"/>
        <w:rPr>
          <w:rFonts w:ascii="宋体" w:hAnsi="宋体"/>
          <w:szCs w:val="21"/>
        </w:rPr>
      </w:pPr>
      <w:r>
        <w:rPr>
          <w:rFonts w:hint="eastAsia" w:ascii="宋体" w:hAnsi="宋体"/>
          <w:szCs w:val="21"/>
        </w:rPr>
        <w:t>（5）与其他采购参加人串通投标的；</w:t>
      </w:r>
    </w:p>
    <w:p w14:paraId="4E8EE113">
      <w:pPr>
        <w:ind w:firstLine="411" w:firstLineChars="196"/>
        <w:rPr>
          <w:rFonts w:ascii="宋体" w:hAnsi="宋体"/>
          <w:szCs w:val="21"/>
        </w:rPr>
      </w:pPr>
      <w:r>
        <w:rPr>
          <w:rFonts w:hint="eastAsia" w:ascii="宋体" w:hAnsi="宋体"/>
          <w:szCs w:val="21"/>
        </w:rPr>
        <w:t>（6）恶意投诉的；</w:t>
      </w:r>
    </w:p>
    <w:p w14:paraId="215C63E1">
      <w:pPr>
        <w:ind w:firstLine="411" w:firstLineChars="196"/>
        <w:rPr>
          <w:rFonts w:ascii="宋体" w:hAnsi="宋体"/>
          <w:szCs w:val="21"/>
        </w:rPr>
      </w:pPr>
      <w:r>
        <w:rPr>
          <w:rFonts w:hint="eastAsia" w:ascii="宋体" w:hAnsi="宋体"/>
          <w:szCs w:val="21"/>
        </w:rPr>
        <w:t>（7）向采购项目相关人行贿或者提供其他不当利益的；</w:t>
      </w:r>
    </w:p>
    <w:p w14:paraId="45E8CD7D">
      <w:pPr>
        <w:ind w:firstLine="411" w:firstLineChars="196"/>
        <w:rPr>
          <w:rFonts w:ascii="宋体" w:hAnsi="宋体"/>
          <w:szCs w:val="21"/>
        </w:rPr>
      </w:pPr>
      <w:r>
        <w:rPr>
          <w:rFonts w:hint="eastAsia" w:ascii="宋体" w:hAnsi="宋体"/>
          <w:szCs w:val="21"/>
        </w:rPr>
        <w:t>（8）阻碍、抗拒主管部门监督检查的；</w:t>
      </w:r>
    </w:p>
    <w:p w14:paraId="3F8423AE">
      <w:pPr>
        <w:ind w:firstLine="411" w:firstLineChars="196"/>
        <w:rPr>
          <w:rFonts w:ascii="宋体" w:hAnsi="宋体"/>
          <w:szCs w:val="21"/>
        </w:rPr>
      </w:pPr>
      <w:r>
        <w:rPr>
          <w:rFonts w:hint="eastAsia" w:ascii="宋体" w:hAnsi="宋体"/>
          <w:szCs w:val="21"/>
        </w:rPr>
        <w:t>（9）其他违反本条例规定的行为。</w:t>
      </w:r>
    </w:p>
    <w:p w14:paraId="54314616">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p>
    <w:p w14:paraId="74F872B0">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4FB81AE3">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0938D93A">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4BD9806">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p w14:paraId="50161DB2">
      <w:pPr>
        <w:pStyle w:val="5"/>
        <w:numPr>
          <w:ilvl w:val="0"/>
          <w:numId w:val="13"/>
        </w:numPr>
        <w:spacing w:before="120" w:beforeLines="50" w:after="120" w:afterLines="50"/>
        <w:ind w:left="562" w:hanging="562"/>
        <w:rPr>
          <w:sz w:val="28"/>
          <w:szCs w:val="28"/>
        </w:rPr>
      </w:pPr>
      <w:r>
        <w:rPr>
          <w:rFonts w:hint="eastAsia"/>
          <w:sz w:val="28"/>
          <w:szCs w:val="28"/>
        </w:rPr>
        <w:t>质疑处理</w:t>
      </w:r>
    </w:p>
    <w:p w14:paraId="368CAA4F">
      <w:pPr>
        <w:rPr>
          <w:rFonts w:ascii="黑体" w:hAnsi="宋体" w:eastAsia="黑体"/>
          <w:sz w:val="24"/>
        </w:rPr>
      </w:pPr>
      <w:r>
        <w:rPr>
          <w:rFonts w:hint="eastAsia" w:ascii="黑体" w:hAnsi="宋体" w:eastAsia="黑体"/>
          <w:sz w:val="24"/>
          <w:lang w:bidi="ar"/>
        </w:rPr>
        <w:t>5</w:t>
      </w:r>
      <w:r>
        <w:rPr>
          <w:rFonts w:hint="eastAsia" w:ascii="黑体" w:hAnsi="宋体" w:eastAsia="黑体"/>
          <w:sz w:val="24"/>
          <w:lang w:val="en-US" w:eastAsia="zh-CN" w:bidi="ar"/>
        </w:rPr>
        <w:t>1</w:t>
      </w:r>
      <w:r>
        <w:rPr>
          <w:rFonts w:hint="eastAsia" w:ascii="黑体" w:hAnsi="宋体" w:eastAsia="黑体"/>
          <w:sz w:val="24"/>
          <w:lang w:bidi="ar"/>
        </w:rPr>
        <w:t>.质疑提出与答复</w:t>
      </w:r>
    </w:p>
    <w:p w14:paraId="5267CEF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.1提出质疑</w:t>
      </w:r>
    </w:p>
    <w:p w14:paraId="21F80BE9">
      <w:pPr>
        <w:rPr>
          <w:rFonts w:ascii="宋体" w:hAnsi="宋体"/>
          <w:szCs w:val="21"/>
        </w:rPr>
      </w:pPr>
      <w:r>
        <w:rPr>
          <w:rFonts w:hint="eastAsia" w:ascii="宋体" w:hAnsi="宋体"/>
          <w:szCs w:val="21"/>
          <w:lang w:bidi="ar"/>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38791EE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.2法律依据</w:t>
      </w:r>
    </w:p>
    <w:p w14:paraId="3BF437F2">
      <w:pPr>
        <w:rPr>
          <w:rFonts w:ascii="宋体" w:hAnsi="宋体"/>
          <w:szCs w:val="21"/>
        </w:rPr>
      </w:pPr>
      <w:r>
        <w:rPr>
          <w:rFonts w:hint="eastAsia" w:ascii="宋体" w:hAnsi="宋体"/>
          <w:szCs w:val="21"/>
          <w:lang w:bidi="ar"/>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1CFF7DB6">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.3质疑条件</w:t>
      </w:r>
    </w:p>
    <w:p w14:paraId="0A8DF0DF">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3.1提出质疑的供应商应当是参与所质疑项目采购活动的供应商；以联合体形式参与的，质疑应当由组成联合体的所有成员共同提出（如供应商采用线上提交质疑方式的，由牵头单位在系统发起，根据本采购文件第5</w:t>
      </w:r>
      <w:r>
        <w:rPr>
          <w:rFonts w:hint="eastAsia" w:ascii="宋体" w:hAnsi="宋体"/>
          <w:szCs w:val="21"/>
          <w:lang w:val="en-US" w:eastAsia="zh-CN" w:bidi="ar"/>
        </w:rPr>
        <w:t>1</w:t>
      </w:r>
      <w:r>
        <w:rPr>
          <w:rFonts w:hint="eastAsia" w:ascii="宋体" w:hAnsi="宋体"/>
          <w:szCs w:val="21"/>
          <w:lang w:bidi="ar"/>
        </w:rPr>
        <w:t>.3.3条、5</w:t>
      </w:r>
      <w:r>
        <w:rPr>
          <w:rFonts w:hint="eastAsia" w:ascii="宋体" w:hAnsi="宋体"/>
          <w:szCs w:val="21"/>
          <w:lang w:val="en-US" w:eastAsia="zh-CN" w:bidi="ar"/>
        </w:rPr>
        <w:t>1</w:t>
      </w:r>
      <w:r>
        <w:rPr>
          <w:rFonts w:hint="eastAsia" w:ascii="宋体" w:hAnsi="宋体"/>
          <w:szCs w:val="21"/>
          <w:lang w:bidi="ar"/>
        </w:rPr>
        <w:t>.4条的要求，提供所有联合体成员共同签字盖章的质疑函、授权委托书，所有联合体成员的营业执照或者其他证明文件（如事业单位法人证书等）、法定代表人（负责人）证明书）；</w:t>
      </w:r>
    </w:p>
    <w:p w14:paraId="57AA25DD">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7F96F567">
      <w:pPr>
        <w:ind w:firstLine="42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 xml:space="preserve">.3.3应提交书面质疑函，质疑函应当包括以下内容： </w:t>
      </w:r>
    </w:p>
    <w:p w14:paraId="630B066D">
      <w:pPr>
        <w:ind w:firstLine="420"/>
        <w:rPr>
          <w:rFonts w:ascii="宋体" w:hAnsi="宋体"/>
          <w:szCs w:val="21"/>
        </w:rPr>
      </w:pPr>
      <w:r>
        <w:rPr>
          <w:rFonts w:hint="eastAsia" w:ascii="宋体" w:hAnsi="宋体"/>
          <w:szCs w:val="21"/>
          <w:lang w:bidi="ar"/>
        </w:rPr>
        <w:t>（1）供应商的名称（或者姓名）、地址、邮编、邮箱、联系人及联系电话；</w:t>
      </w:r>
    </w:p>
    <w:p w14:paraId="08F302F6">
      <w:pPr>
        <w:ind w:firstLine="420" w:firstLineChars="200"/>
        <w:rPr>
          <w:rFonts w:ascii="宋体" w:hAnsi="宋体"/>
          <w:szCs w:val="21"/>
        </w:rPr>
      </w:pPr>
      <w:r>
        <w:rPr>
          <w:rFonts w:hint="eastAsia" w:ascii="宋体" w:hAnsi="宋体"/>
          <w:szCs w:val="21"/>
          <w:lang w:bidi="ar"/>
        </w:rPr>
        <w:t>（2）质疑项目的名称、编号；</w:t>
      </w:r>
    </w:p>
    <w:p w14:paraId="14827C9F">
      <w:pPr>
        <w:ind w:firstLine="420" w:firstLineChars="200"/>
        <w:rPr>
          <w:rFonts w:ascii="宋体" w:hAnsi="宋体"/>
          <w:szCs w:val="21"/>
        </w:rPr>
      </w:pPr>
      <w:r>
        <w:rPr>
          <w:rFonts w:hint="eastAsia" w:ascii="宋体" w:hAnsi="宋体"/>
          <w:szCs w:val="21"/>
          <w:lang w:bidi="ar"/>
        </w:rPr>
        <w:t>（3）具体、明确的质疑对象、质疑事项和质疑请求；</w:t>
      </w:r>
    </w:p>
    <w:p w14:paraId="5EBAD3FE">
      <w:pPr>
        <w:ind w:firstLine="420" w:firstLineChars="200"/>
        <w:rPr>
          <w:rFonts w:ascii="宋体" w:hAnsi="宋体"/>
          <w:szCs w:val="21"/>
        </w:rPr>
      </w:pPr>
      <w:r>
        <w:rPr>
          <w:rFonts w:hint="eastAsia" w:ascii="宋体" w:hAnsi="宋体"/>
          <w:szCs w:val="21"/>
          <w:lang w:bidi="ar"/>
        </w:rPr>
        <w:t>（4）因质疑事项而受损害的权益；</w:t>
      </w:r>
    </w:p>
    <w:p w14:paraId="2EA3BB7A">
      <w:pPr>
        <w:ind w:firstLine="420" w:firstLineChars="200"/>
        <w:rPr>
          <w:rFonts w:ascii="宋体" w:hAnsi="宋体"/>
          <w:szCs w:val="21"/>
        </w:rPr>
      </w:pPr>
      <w:r>
        <w:rPr>
          <w:rFonts w:hint="eastAsia" w:ascii="宋体" w:hAnsi="宋体"/>
          <w:szCs w:val="21"/>
          <w:lang w:bidi="ar"/>
        </w:rPr>
        <w:t>（5）事实依据；</w:t>
      </w:r>
    </w:p>
    <w:p w14:paraId="7020B2E3">
      <w:pPr>
        <w:ind w:firstLine="420" w:firstLineChars="200"/>
        <w:rPr>
          <w:rFonts w:ascii="宋体" w:hAnsi="宋体"/>
          <w:szCs w:val="21"/>
        </w:rPr>
      </w:pPr>
      <w:r>
        <w:rPr>
          <w:rFonts w:hint="eastAsia" w:ascii="宋体" w:hAnsi="宋体"/>
          <w:szCs w:val="21"/>
          <w:lang w:bidi="ar"/>
        </w:rPr>
        <w:t>（6）必要的法律依据；</w:t>
      </w:r>
    </w:p>
    <w:p w14:paraId="33EDBEBC">
      <w:pPr>
        <w:ind w:firstLine="420" w:firstLineChars="200"/>
        <w:rPr>
          <w:rFonts w:ascii="宋体" w:hAnsi="宋体"/>
          <w:szCs w:val="21"/>
        </w:rPr>
      </w:pPr>
      <w:r>
        <w:rPr>
          <w:rFonts w:hint="eastAsia" w:ascii="宋体" w:hAnsi="宋体"/>
          <w:szCs w:val="21"/>
          <w:lang w:bidi="ar"/>
        </w:rPr>
        <w:t>（7）提出质疑的日期。</w:t>
      </w:r>
    </w:p>
    <w:p w14:paraId="192CA4A7">
      <w:pPr>
        <w:ind w:firstLine="420" w:firstLineChars="200"/>
        <w:rPr>
          <w:rFonts w:ascii="宋体" w:hAnsi="宋体"/>
          <w:szCs w:val="21"/>
        </w:rPr>
      </w:pPr>
      <w:r>
        <w:rPr>
          <w:rFonts w:hint="eastAsia" w:ascii="宋体" w:hAnsi="宋体"/>
          <w:szCs w:val="21"/>
          <w:lang w:bidi="ar"/>
        </w:rPr>
        <w:t>供应商为自然人的，应当由本人签字；供应商为法人或者其他组织的，应当由法定代表人（负责人），或者其授权代理人签字或者盖章，并加盖公章。</w:t>
      </w:r>
    </w:p>
    <w:p w14:paraId="5BA7C4C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.4提交材料</w:t>
      </w:r>
    </w:p>
    <w:p w14:paraId="6842E728">
      <w:pPr>
        <w:ind w:firstLine="420" w:firstLineChars="200"/>
        <w:rPr>
          <w:rFonts w:ascii="宋体" w:hAnsi="宋体"/>
          <w:szCs w:val="21"/>
        </w:rPr>
      </w:pPr>
      <w:r>
        <w:rPr>
          <w:rFonts w:hint="eastAsia" w:ascii="宋体" w:hAnsi="宋体"/>
          <w:szCs w:val="21"/>
          <w:lang w:bidi="ar"/>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73B9CF04">
      <w:pPr>
        <w:ind w:firstLine="420" w:firstLineChars="200"/>
        <w:rPr>
          <w:rFonts w:ascii="宋体" w:hAnsi="宋体"/>
          <w:szCs w:val="21"/>
        </w:rPr>
      </w:pPr>
      <w:r>
        <w:rPr>
          <w:rFonts w:hint="eastAsia" w:ascii="宋体" w:hAnsi="宋体"/>
          <w:szCs w:val="21"/>
          <w:lang w:bidi="ar"/>
        </w:rPr>
        <w:t>供应商可以委托代理人进行质疑。其授权委托书应当载明代理人的姓名或者名称、代理事项、具体权限、期限和相关事项，并附上加盖公章的代理人身份证复印件。供应商为自然人的，应当由本人签字；供应商为法人或者其他组织的，应当由法定代表人、主要负责人签字或者盖章，并加盖公章。</w:t>
      </w:r>
    </w:p>
    <w:p w14:paraId="7A1521E0">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 提交方式</w:t>
      </w:r>
    </w:p>
    <w:p w14:paraId="6FF5B641">
      <w:pPr>
        <w:ind w:firstLine="420" w:firstLineChars="200"/>
        <w:rPr>
          <w:rFonts w:ascii="Calibri" w:hAnsi="Calibri"/>
          <w:szCs w:val="22"/>
        </w:rPr>
      </w:pPr>
      <w:r>
        <w:rPr>
          <w:rFonts w:hint="eastAsia" w:ascii="Calibri" w:hAnsi="Calibri"/>
          <w:szCs w:val="22"/>
          <w:lang w:bidi="ar"/>
        </w:rPr>
        <w:t>针对采购公告、结果公告或者更正结果公告的质疑，质疑提交可以采用现场或邮寄或线上方式。供应商选择其中一种方式提交。若采用多种方式提交的，以我中心第一次收到完整无误的质疑材料的日期为收文日期。采用邮寄方式提交的，交邮时间应在公告发布之日起七个工作日内。</w:t>
      </w:r>
    </w:p>
    <w:p w14:paraId="2070D332">
      <w:pPr>
        <w:ind w:firstLine="420" w:firstLineChars="200"/>
        <w:rPr>
          <w:rFonts w:ascii="Calibri" w:hAnsi="Calibri"/>
          <w:szCs w:val="22"/>
        </w:rPr>
      </w:pPr>
      <w:r>
        <w:rPr>
          <w:rFonts w:hint="eastAsia" w:ascii="Calibri" w:hAnsi="Calibri"/>
          <w:szCs w:val="22"/>
          <w:lang w:bidi="ar"/>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79B5118A">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.5.1现场或邮寄提交</w:t>
      </w:r>
    </w:p>
    <w:p w14:paraId="3EF9DC45">
      <w:pPr>
        <w:ind w:firstLine="420" w:firstLineChars="200"/>
        <w:rPr>
          <w:rFonts w:ascii="宋体" w:hAnsi="宋体"/>
          <w:szCs w:val="21"/>
        </w:rPr>
      </w:pPr>
      <w:r>
        <w:rPr>
          <w:rFonts w:hint="eastAsia" w:ascii="宋体" w:hAnsi="宋体"/>
          <w:szCs w:val="21"/>
          <w:lang w:bidi="ar"/>
        </w:rPr>
        <w:t>收文地址：深圳公共资源交易中心（深圳交易集团有限公司政府采购业务分公司）深圳市南山区沙河西路3185号南山智谷A座（深圳交易集团总部大楼）27楼，质疑咨询电话：0755-86500050、0755-86500054。</w:t>
      </w:r>
    </w:p>
    <w:p w14:paraId="71AE77D0">
      <w:pPr>
        <w:ind w:firstLine="420" w:firstLineChars="200"/>
        <w:rPr>
          <w:rFonts w:ascii="宋体" w:hAnsi="宋体"/>
          <w:szCs w:val="21"/>
        </w:rPr>
      </w:pPr>
      <w:r>
        <w:rPr>
          <w:rFonts w:hint="eastAsia" w:ascii="宋体" w:hAnsi="宋体"/>
          <w:szCs w:val="21"/>
          <w:lang w:bidi="ar"/>
        </w:rPr>
        <w:t>请质疑供应商根据深圳公共资源交易中心网页（https://www.szggzy.com/globalSearch/details.html?contentId=1211037）所发布的质疑指引、质疑函模板填写质疑函并提交质疑材料。</w:t>
      </w:r>
    </w:p>
    <w:p w14:paraId="567734B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.5.2线上提交</w:t>
      </w:r>
    </w:p>
    <w:p w14:paraId="0B304C26">
      <w:pPr>
        <w:ind w:firstLine="420" w:firstLineChars="200"/>
        <w:rPr>
          <w:rFonts w:ascii="宋体" w:hAnsi="宋体"/>
          <w:szCs w:val="21"/>
        </w:rPr>
      </w:pPr>
      <w:r>
        <w:rPr>
          <w:rFonts w:hint="eastAsia" w:ascii="宋体" w:hAnsi="宋体"/>
          <w:szCs w:val="21"/>
          <w:lang w:bidi="ar"/>
        </w:rPr>
        <w:t>登录深圳政府采购智慧(监管)平台（http://zfcg.szggzy.com:8081/）→“深圳政府采购智慧(监管)平台用户网上办事子系统（http://zfcg.szggzy.com:8081/TPBidder/memberLogin）”，在“【我的项目】→【项目流程】→【质疑】”功能点中提交质疑。</w:t>
      </w:r>
    </w:p>
    <w:p w14:paraId="58762C8E">
      <w:pPr>
        <w:ind w:firstLine="422" w:firstLineChars="200"/>
        <w:rPr>
          <w:rFonts w:ascii="宋体" w:hAnsi="宋体"/>
          <w:b/>
          <w:bCs/>
          <w:color w:val="FF0000"/>
          <w:szCs w:val="21"/>
        </w:rPr>
      </w:pPr>
      <w:r>
        <w:rPr>
          <w:rFonts w:hint="eastAsia" w:ascii="宋体" w:hAnsi="宋体"/>
          <w:b/>
          <w:bCs/>
          <w:color w:val="FF0000"/>
          <w:szCs w:val="21"/>
          <w:lang w:bidi="ar"/>
        </w:rPr>
        <w:t>线上质疑的系统功能初次上线，正处试运行完善阶段。使用期间遇任何问题，欢迎来电联系0755-36568999 转1转1、0755-86500050、0755-86500054。如因系统功能原因导致无法提交质疑材料，请及时选择其他提交方式（现场或者邮寄提交）。如未及时选择其他提交方式导致质疑函超过法定质疑期（七个工作日内）提交，将导致质疑材料不被受理并承担相关不利后果。</w:t>
      </w:r>
    </w:p>
    <w:p w14:paraId="077D4318">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.6收文办理程序</w:t>
      </w:r>
    </w:p>
    <w:p w14:paraId="7313F91C">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.6.1供应商提交的质疑符合受理条件的，政府集中采购机构自收到质疑材料之日起即为受理，应当向供应商出具质疑函收文回执</w:t>
      </w:r>
      <w:r>
        <w:rPr>
          <w:rFonts w:hint="eastAsia" w:ascii="宋体" w:hAnsi="宋体"/>
          <w:szCs w:val="21"/>
        </w:rPr>
        <w:t>并可以要求其递交质疑的法定代表人（负责人）或者授权代理人签署质疑文书送达地址确认书</w:t>
      </w:r>
      <w:r>
        <w:rPr>
          <w:rFonts w:hint="eastAsia" w:ascii="宋体" w:hAnsi="宋体"/>
          <w:szCs w:val="21"/>
          <w:lang w:bidi="ar"/>
        </w:rPr>
        <w:t>。</w:t>
      </w:r>
    </w:p>
    <w:p w14:paraId="5635F93A">
      <w:pPr>
        <w:ind w:firstLine="420" w:firstLineChars="200"/>
        <w:rPr>
          <w:rFonts w:ascii="仿宋" w:hAnsi="仿宋" w:eastAsia="仿宋"/>
          <w:sz w:val="28"/>
          <w:szCs w:val="28"/>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.6.2供应商提交的质疑材料不符合质疑条件的，视情况处理：</w:t>
      </w:r>
    </w:p>
    <w:p w14:paraId="5ABB9BE8">
      <w:pPr>
        <w:ind w:firstLine="420" w:firstLineChars="200"/>
        <w:rPr>
          <w:rFonts w:ascii="宋体" w:hAnsi="宋体"/>
          <w:szCs w:val="21"/>
        </w:rPr>
      </w:pPr>
      <w:r>
        <w:rPr>
          <w:rFonts w:hint="eastAsia" w:ascii="宋体" w:hAnsi="宋体"/>
          <w:szCs w:val="21"/>
          <w:lang w:bidi="ar"/>
        </w:rPr>
        <w:t>供应商提交的质疑材料不全或者未按要求签字或者盖章的，政府集中采购机构应当一次性告知供应商需补正的内容和补正期限。</w:t>
      </w:r>
    </w:p>
    <w:p w14:paraId="1A9A625B">
      <w:pPr>
        <w:ind w:firstLine="420" w:firstLineChars="200"/>
        <w:rPr>
          <w:rFonts w:ascii="宋体" w:hAnsi="宋体"/>
          <w:szCs w:val="21"/>
        </w:rPr>
      </w:pPr>
      <w:r>
        <w:rPr>
          <w:rFonts w:hint="eastAsia" w:ascii="宋体" w:hAnsi="宋体"/>
          <w:szCs w:val="21"/>
          <w:lang w:bidi="ar"/>
        </w:rPr>
        <w:t>供应商提交的质疑存在下列情形之一的，不予受理：</w:t>
      </w:r>
    </w:p>
    <w:p w14:paraId="1E35A9A4">
      <w:pPr>
        <w:ind w:firstLine="420" w:firstLineChars="200"/>
        <w:rPr>
          <w:rFonts w:ascii="宋体" w:hAnsi="宋体"/>
          <w:szCs w:val="21"/>
        </w:rPr>
      </w:pPr>
      <w:r>
        <w:rPr>
          <w:rFonts w:hint="eastAsia" w:ascii="宋体" w:hAnsi="宋体"/>
          <w:szCs w:val="21"/>
          <w:lang w:bidi="ar"/>
        </w:rPr>
        <w:t>（1）质疑主体不满足要求的；</w:t>
      </w:r>
    </w:p>
    <w:p w14:paraId="55CD6B2B">
      <w:pPr>
        <w:ind w:firstLine="420" w:firstLineChars="200"/>
        <w:rPr>
          <w:rFonts w:ascii="宋体" w:hAnsi="宋体"/>
          <w:szCs w:val="21"/>
        </w:rPr>
      </w:pPr>
      <w:r>
        <w:rPr>
          <w:rFonts w:hint="eastAsia" w:ascii="宋体" w:hAnsi="宋体"/>
          <w:szCs w:val="21"/>
          <w:lang w:bidi="ar"/>
        </w:rPr>
        <w:t>（2）供应商自身权益未受到损害的；</w:t>
      </w:r>
    </w:p>
    <w:p w14:paraId="05A90DAD">
      <w:pPr>
        <w:ind w:firstLine="420" w:firstLineChars="200"/>
        <w:rPr>
          <w:rFonts w:ascii="宋体" w:hAnsi="宋体"/>
          <w:szCs w:val="21"/>
        </w:rPr>
      </w:pPr>
      <w:r>
        <w:rPr>
          <w:rFonts w:hint="eastAsia" w:ascii="宋体" w:hAnsi="宋体"/>
          <w:szCs w:val="21"/>
          <w:lang w:bidi="ar"/>
        </w:rPr>
        <w:t>（3）供应商未在法定质疑期限内提出质疑的；</w:t>
      </w:r>
    </w:p>
    <w:p w14:paraId="0E793FFA">
      <w:pPr>
        <w:ind w:firstLine="420" w:firstLineChars="200"/>
        <w:rPr>
          <w:rFonts w:ascii="宋体" w:hAnsi="宋体"/>
          <w:szCs w:val="21"/>
        </w:rPr>
      </w:pPr>
      <w:r>
        <w:rPr>
          <w:rFonts w:hint="eastAsia" w:ascii="宋体" w:hAnsi="宋体"/>
          <w:szCs w:val="21"/>
          <w:lang w:bidi="ar"/>
        </w:rPr>
        <w:t>（4）质疑材料不全或者未按要求签字或者盖章的情况下，要求补正后，逾期未补正或者补正后仍不符合规定的；</w:t>
      </w:r>
    </w:p>
    <w:p w14:paraId="154C6606">
      <w:pPr>
        <w:ind w:firstLine="420" w:firstLineChars="200"/>
        <w:rPr>
          <w:rFonts w:ascii="宋体" w:hAnsi="宋体"/>
          <w:szCs w:val="21"/>
        </w:rPr>
      </w:pPr>
      <w:r>
        <w:rPr>
          <w:rFonts w:hint="eastAsia" w:ascii="宋体" w:hAnsi="宋体"/>
          <w:szCs w:val="21"/>
          <w:lang w:bidi="ar"/>
        </w:rPr>
        <w:t>（5）其他不符合受理条件情形的。</w:t>
      </w:r>
    </w:p>
    <w:p w14:paraId="52532274">
      <w:pPr>
        <w:ind w:firstLine="420" w:firstLineChars="200"/>
        <w:rPr>
          <w:rFonts w:ascii="宋体" w:hAnsi="宋体"/>
          <w:szCs w:val="21"/>
        </w:rPr>
      </w:pPr>
      <w:r>
        <w:rPr>
          <w:rFonts w:hint="eastAsia" w:ascii="宋体" w:hAnsi="宋体"/>
          <w:szCs w:val="21"/>
          <w:lang w:bidi="ar"/>
        </w:rPr>
        <w:t>质疑事项不予受理的，政府集中采购机构应当向供应商出具不符合质疑条件告知书或系统中说明不符合质疑条件的理由。</w:t>
      </w:r>
    </w:p>
    <w:p w14:paraId="5C95B261">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.7质疑答复时限</w:t>
      </w:r>
    </w:p>
    <w:p w14:paraId="2318A5FE">
      <w:pPr>
        <w:rPr>
          <w:rFonts w:ascii="宋体" w:hAnsi="宋体"/>
          <w:szCs w:val="21"/>
        </w:rPr>
      </w:pPr>
      <w:r>
        <w:rPr>
          <w:rFonts w:hint="eastAsia" w:ascii="宋体" w:hAnsi="宋体"/>
          <w:szCs w:val="21"/>
          <w:lang w:bidi="ar"/>
        </w:rPr>
        <w:t xml:space="preserve">    自收文之日起七个工作日内。</w:t>
      </w:r>
    </w:p>
    <w:p w14:paraId="3D45CC75">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.8投诉</w:t>
      </w:r>
    </w:p>
    <w:p w14:paraId="0F37C751">
      <w:pPr>
        <w:ind w:firstLine="420"/>
        <w:rPr>
          <w:rFonts w:ascii="宋体" w:hAnsi="宋体"/>
          <w:szCs w:val="21"/>
        </w:rPr>
      </w:pPr>
      <w:r>
        <w:rPr>
          <w:rFonts w:hint="eastAsia" w:ascii="宋体" w:hAnsi="宋体"/>
          <w:szCs w:val="21"/>
          <w:lang w:bidi="ar"/>
        </w:rPr>
        <w:t>对质疑答复不满意或者未在规定时间内答复的，提出质疑的供应商可以在答复期满后15个工作日内向同级财政部门投诉。</w:t>
      </w:r>
    </w:p>
    <w:p w14:paraId="443E4E5A">
      <w:pPr>
        <w:ind w:firstLine="420"/>
        <w:rPr>
          <w:rFonts w:ascii="Calibri" w:hAnsi="Calibri"/>
          <w:szCs w:val="22"/>
        </w:rPr>
      </w:pPr>
      <w:r>
        <w:rPr>
          <w:rFonts w:hint="eastAsia" w:ascii="Calibri" w:hAnsi="Calibri"/>
          <w:szCs w:val="22"/>
          <w:lang w:bidi="ar"/>
        </w:rPr>
        <w:t>如供应商采用线上提交质疑方式的，可以登录深圳政府采购智慧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w:t>
      </w:r>
      <w:r>
        <w:rPr>
          <w:rFonts w:ascii="Calibri" w:hAnsi="Calibri"/>
          <w:szCs w:val="22"/>
          <w:lang w:bidi="ar"/>
        </w:rPr>
        <w:t>http://zfcg.szggzy.com:8081/</w:t>
      </w:r>
      <w:r>
        <w:rPr>
          <w:rFonts w:hint="eastAsia" w:ascii="Calibri" w:hAnsi="Calibri"/>
          <w:szCs w:val="22"/>
          <w:lang w:bidi="ar"/>
        </w:rPr>
        <w:t>）→“深圳政府采购智慧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平台用户网上办事子系统（</w:t>
      </w:r>
      <w:r>
        <w:rPr>
          <w:rFonts w:ascii="Calibri" w:hAnsi="Calibri"/>
          <w:szCs w:val="22"/>
          <w:lang w:bidi="ar"/>
        </w:rPr>
        <w:t>http://zfcg.szggzy.com:8081/TPBidder/memberLogin</w:t>
      </w:r>
      <w:r>
        <w:rPr>
          <w:rFonts w:hint="eastAsia" w:ascii="Calibri" w:hAnsi="Calibri"/>
          <w:szCs w:val="22"/>
          <w:lang w:bidi="ar"/>
        </w:rPr>
        <w:t>）”，在“【我的项目】→【项目流程】→【投诉】”功能点中提交投诉。</w:t>
      </w:r>
    </w:p>
    <w:p w14:paraId="374678CC">
      <w:pPr>
        <w:rPr>
          <w:rFonts w:ascii="黑体" w:hAnsi="宋体" w:eastAsia="黑体"/>
          <w:sz w:val="24"/>
        </w:rPr>
      </w:pPr>
      <w:r>
        <w:rPr>
          <w:rFonts w:hint="eastAsia" w:ascii="黑体" w:hAnsi="宋体" w:eastAsia="黑体"/>
          <w:sz w:val="24"/>
          <w:lang w:bidi="ar"/>
        </w:rPr>
        <w:t>53. 质疑后续处理</w:t>
      </w:r>
    </w:p>
    <w:p w14:paraId="3BD9503D">
      <w:pPr>
        <w:rPr>
          <w:rFonts w:ascii="宋体" w:hAnsi="宋体"/>
          <w:szCs w:val="21"/>
        </w:rPr>
      </w:pPr>
      <w:r>
        <w:rPr>
          <w:rFonts w:hint="eastAsia" w:ascii="宋体" w:hAnsi="宋体"/>
          <w:szCs w:val="21"/>
          <w:lang w:bidi="ar"/>
        </w:rPr>
        <w:t xml:space="preserve">    53.1供应商质疑不成立，或者成立但未对中标、成交结果构成影响的，继续开展采购活动。</w:t>
      </w:r>
    </w:p>
    <w:p w14:paraId="05B8161F">
      <w:pPr>
        <w:ind w:firstLine="420"/>
        <w:rPr>
          <w:rFonts w:ascii="宋体" w:hAnsi="宋体"/>
          <w:szCs w:val="21"/>
        </w:rPr>
      </w:pPr>
      <w:r>
        <w:rPr>
          <w:rFonts w:hint="eastAsia" w:ascii="宋体" w:hAnsi="宋体"/>
          <w:szCs w:val="21"/>
          <w:lang w:bidi="ar"/>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69997DE7">
      <w:pPr>
        <w:ind w:firstLine="420"/>
        <w:rPr>
          <w:rFonts w:ascii="宋体" w:hAnsi="宋体"/>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7EB22CDD">
      <w:pPr>
        <w:jc w:val="center"/>
      </w:pPr>
      <w:r>
        <w:t>---- END ----</w:t>
      </w:r>
    </w:p>
    <w:p w14:paraId="78E1F3D5">
      <w:pPr>
        <w:ind w:firstLine="420" w:firstLineChars="200"/>
        <w:rPr>
          <w:rFonts w:ascii="宋体" w:hAnsi="宋体"/>
          <w:szCs w:val="21"/>
        </w:rPr>
      </w:pPr>
    </w:p>
    <w:p w14:paraId="7BF4677F"/>
    <w:p w14:paraId="5A78E5FA">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C9B6F">
    <w:pPr>
      <w:pStyle w:val="28"/>
      <w:framePr w:wrap="around" w:vAnchor="text" w:hAnchor="margin" w:xAlign="center" w:y="1"/>
      <w:rPr>
        <w:rStyle w:val="46"/>
      </w:rPr>
    </w:pPr>
    <w:r>
      <w:t xml:space="preserve">- </w:t>
    </w:r>
    <w:r>
      <w:fldChar w:fldCharType="begin"/>
    </w:r>
    <w:r>
      <w:instrText xml:space="preserve"> PAGE </w:instrText>
    </w:r>
    <w:r>
      <w:fldChar w:fldCharType="separate"/>
    </w:r>
    <w:r>
      <w:t>67</w:t>
    </w:r>
    <w:r>
      <w:fldChar w:fldCharType="end"/>
    </w:r>
    <w:r>
      <w:t xml:space="preserve"> -</w:t>
    </w:r>
  </w:p>
  <w:p w14:paraId="12F73835">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4F33D">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3AFBD80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3E515">
    <w:pPr>
      <w:pStyle w:val="2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62AAB"/>
    <w:multiLevelType w:val="singleLevel"/>
    <w:tmpl w:val="89D62AAB"/>
    <w:lvl w:ilvl="0" w:tentative="0">
      <w:start w:val="6"/>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3">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2503483"/>
    <w:multiLevelType w:val="multilevel"/>
    <w:tmpl w:val="12503483"/>
    <w:lvl w:ilvl="0" w:tentative="0">
      <w:start w:val="1"/>
      <w:numFmt w:val="bullet"/>
      <w:pStyle w:val="114"/>
      <w:lvlText w:val=""/>
      <w:lvlJc w:val="left"/>
      <w:pPr>
        <w:tabs>
          <w:tab w:val="left" w:pos="420"/>
        </w:tabs>
        <w:ind w:left="420" w:hanging="420"/>
      </w:pPr>
      <w:rPr>
        <w:rFonts w:hint="default" w:ascii="Wingdings" w:hAnsi="Wingdings"/>
      </w:rPr>
    </w:lvl>
    <w:lvl w:ilvl="1" w:tentative="0">
      <w:start w:val="1"/>
      <w:numFmt w:val="bullet"/>
      <w:pStyle w:val="11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160D20D0"/>
    <w:multiLevelType w:val="multilevel"/>
    <w:tmpl w:val="160D20D0"/>
    <w:lvl w:ilvl="0" w:tentative="0">
      <w:start w:val="1"/>
      <w:numFmt w:val="bullet"/>
      <w:pStyle w:val="82"/>
      <w:lvlText w:val=""/>
      <w:lvlJc w:val="left"/>
      <w:pPr>
        <w:tabs>
          <w:tab w:val="left" w:pos="840"/>
        </w:tabs>
        <w:ind w:left="840" w:hanging="420"/>
      </w:pPr>
      <w:rPr>
        <w:rFonts w:hint="default" w:ascii="Wingdings" w:hAnsi="Wingdings"/>
      </w:rPr>
    </w:lvl>
    <w:lvl w:ilvl="1" w:tentative="0">
      <w:start w:val="1"/>
      <w:numFmt w:val="bullet"/>
      <w:pStyle w:val="8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F395B7B"/>
    <w:multiLevelType w:val="multilevel"/>
    <w:tmpl w:val="2F395B7B"/>
    <w:lvl w:ilvl="0" w:tentative="0">
      <w:start w:val="1"/>
      <w:numFmt w:val="bullet"/>
      <w:pStyle w:val="1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8">
    <w:nsid w:val="53C875D1"/>
    <w:multiLevelType w:val="singleLevel"/>
    <w:tmpl w:val="53C875D1"/>
    <w:lvl w:ilvl="0" w:tentative="0">
      <w:start w:val="1"/>
      <w:numFmt w:val="upperLetter"/>
      <w:suff w:val="nothing"/>
      <w:lvlText w:val="%1、"/>
      <w:lvlJc w:val="left"/>
      <w:rPr>
        <w:rFonts w:hint="default"/>
        <w:b w:val="0"/>
        <w:bCs w:val="0"/>
      </w:rPr>
    </w:lvl>
  </w:abstractNum>
  <w:abstractNum w:abstractNumId="9">
    <w:nsid w:val="59C81665"/>
    <w:multiLevelType w:val="singleLevel"/>
    <w:tmpl w:val="59C81665"/>
    <w:lvl w:ilvl="0" w:tentative="0">
      <w:start w:val="3"/>
      <w:numFmt w:val="decimal"/>
      <w:suff w:val="nothing"/>
      <w:lvlText w:val="%1、"/>
      <w:lvlJc w:val="left"/>
    </w:lvl>
  </w:abstractNum>
  <w:abstractNum w:abstractNumId="10">
    <w:nsid w:val="5E81C570"/>
    <w:multiLevelType w:val="singleLevel"/>
    <w:tmpl w:val="5E81C570"/>
    <w:lvl w:ilvl="0" w:tentative="0">
      <w:start w:val="3"/>
      <w:numFmt w:val="decimal"/>
      <w:suff w:val="nothing"/>
      <w:lvlText w:val="%1）"/>
      <w:lvlJc w:val="left"/>
    </w:lvl>
  </w:abstractNum>
  <w:abstractNum w:abstractNumId="11">
    <w:nsid w:val="7AEF7716"/>
    <w:multiLevelType w:val="multilevel"/>
    <w:tmpl w:val="7AEF7716"/>
    <w:lvl w:ilvl="0" w:tentative="0">
      <w:start w:val="1"/>
      <w:numFmt w:val="chineseCountingThousand"/>
      <w:pStyle w:val="12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FDC49CD"/>
    <w:multiLevelType w:val="singleLevel"/>
    <w:tmpl w:val="7FDC49CD"/>
    <w:lvl w:ilvl="0" w:tentative="0">
      <w:start w:val="2"/>
      <w:numFmt w:val="decimal"/>
      <w:lvlText w:val="%1."/>
      <w:lvlJc w:val="left"/>
      <w:pPr>
        <w:tabs>
          <w:tab w:val="left" w:pos="312"/>
        </w:tabs>
      </w:pPr>
    </w:lvl>
  </w:abstractNum>
  <w:num w:numId="1">
    <w:abstractNumId w:val="3"/>
  </w:num>
  <w:num w:numId="2">
    <w:abstractNumId w:val="2"/>
  </w:num>
  <w:num w:numId="3">
    <w:abstractNumId w:val="6"/>
  </w:num>
  <w:num w:numId="4">
    <w:abstractNumId w:val="5"/>
  </w:num>
  <w:num w:numId="5">
    <w:abstractNumId w:val="11"/>
  </w:num>
  <w:num w:numId="6">
    <w:abstractNumId w:val="7"/>
  </w:num>
  <w:num w:numId="7">
    <w:abstractNumId w:val="9"/>
  </w:num>
  <w:num w:numId="8">
    <w:abstractNumId w:val="10"/>
  </w:num>
  <w:num w:numId="9">
    <w:abstractNumId w:val="8"/>
  </w:num>
  <w:num w:numId="10">
    <w:abstractNumId w:val="0"/>
  </w:num>
  <w:num w:numId="11">
    <w:abstractNumId w:val="12"/>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U1MmE5ZjlkM2MwMmY4MDNmZjU5MzU2ODdiZmNkYzc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4AFF"/>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6CF"/>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3C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1A2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193"/>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87369"/>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3916"/>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6B3D"/>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7B7"/>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5DAB"/>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48FF"/>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B7D8F"/>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0820"/>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7D5"/>
    <w:rsid w:val="00AA5EB3"/>
    <w:rsid w:val="00AA5F1A"/>
    <w:rsid w:val="00AA6916"/>
    <w:rsid w:val="00AB022F"/>
    <w:rsid w:val="00AB110E"/>
    <w:rsid w:val="00AB11CF"/>
    <w:rsid w:val="00AB1287"/>
    <w:rsid w:val="00AB1CE8"/>
    <w:rsid w:val="00AB2470"/>
    <w:rsid w:val="00AB26EF"/>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51"/>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28"/>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5FC1"/>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60C0"/>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87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2E74"/>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35C7"/>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017684"/>
    <w:rsid w:val="01371058"/>
    <w:rsid w:val="018F4DD0"/>
    <w:rsid w:val="02034A18"/>
    <w:rsid w:val="021131B3"/>
    <w:rsid w:val="02181129"/>
    <w:rsid w:val="024D3921"/>
    <w:rsid w:val="028E13EB"/>
    <w:rsid w:val="02922C89"/>
    <w:rsid w:val="02A23E5E"/>
    <w:rsid w:val="02A37291"/>
    <w:rsid w:val="02B21804"/>
    <w:rsid w:val="02E774A6"/>
    <w:rsid w:val="03613039"/>
    <w:rsid w:val="036202D4"/>
    <w:rsid w:val="038A236C"/>
    <w:rsid w:val="03AC070B"/>
    <w:rsid w:val="03C52284"/>
    <w:rsid w:val="03D07714"/>
    <w:rsid w:val="03DB41BC"/>
    <w:rsid w:val="03ED067A"/>
    <w:rsid w:val="041B448A"/>
    <w:rsid w:val="041D2A27"/>
    <w:rsid w:val="04233CA8"/>
    <w:rsid w:val="04682DCE"/>
    <w:rsid w:val="04B8744A"/>
    <w:rsid w:val="04B94B88"/>
    <w:rsid w:val="05262D76"/>
    <w:rsid w:val="053C46E6"/>
    <w:rsid w:val="05545FD4"/>
    <w:rsid w:val="056F462F"/>
    <w:rsid w:val="059004AD"/>
    <w:rsid w:val="05CF7D50"/>
    <w:rsid w:val="05DE11B6"/>
    <w:rsid w:val="05E11832"/>
    <w:rsid w:val="06270849"/>
    <w:rsid w:val="064249C6"/>
    <w:rsid w:val="06552DE0"/>
    <w:rsid w:val="067D4F9E"/>
    <w:rsid w:val="06A27213"/>
    <w:rsid w:val="06A967F3"/>
    <w:rsid w:val="06B331CE"/>
    <w:rsid w:val="06D71535"/>
    <w:rsid w:val="06E87055"/>
    <w:rsid w:val="06F25E18"/>
    <w:rsid w:val="0708176C"/>
    <w:rsid w:val="07515FD1"/>
    <w:rsid w:val="075F5104"/>
    <w:rsid w:val="07991A83"/>
    <w:rsid w:val="079943F9"/>
    <w:rsid w:val="08026F96"/>
    <w:rsid w:val="08387E2F"/>
    <w:rsid w:val="083F6644"/>
    <w:rsid w:val="0869623A"/>
    <w:rsid w:val="087B2F8F"/>
    <w:rsid w:val="087B7477"/>
    <w:rsid w:val="08CA370B"/>
    <w:rsid w:val="095C2505"/>
    <w:rsid w:val="098743C3"/>
    <w:rsid w:val="09E55D95"/>
    <w:rsid w:val="09F07824"/>
    <w:rsid w:val="0A0932C7"/>
    <w:rsid w:val="0A1E592A"/>
    <w:rsid w:val="0A283ED3"/>
    <w:rsid w:val="0A314B36"/>
    <w:rsid w:val="0A416B84"/>
    <w:rsid w:val="0A506477"/>
    <w:rsid w:val="0A784EBD"/>
    <w:rsid w:val="0A8A4C86"/>
    <w:rsid w:val="0B164BF7"/>
    <w:rsid w:val="0B5C5BE2"/>
    <w:rsid w:val="0B6158EF"/>
    <w:rsid w:val="0BAE2505"/>
    <w:rsid w:val="0BB867C0"/>
    <w:rsid w:val="0BF43322"/>
    <w:rsid w:val="0C4F74F5"/>
    <w:rsid w:val="0C581959"/>
    <w:rsid w:val="0C8D726E"/>
    <w:rsid w:val="0CB43946"/>
    <w:rsid w:val="0CB5111D"/>
    <w:rsid w:val="0CC25F19"/>
    <w:rsid w:val="0CD5044B"/>
    <w:rsid w:val="0CE05750"/>
    <w:rsid w:val="0D0C53E6"/>
    <w:rsid w:val="0D1077DD"/>
    <w:rsid w:val="0D130C42"/>
    <w:rsid w:val="0D1557C7"/>
    <w:rsid w:val="0D200E92"/>
    <w:rsid w:val="0DCC0A89"/>
    <w:rsid w:val="0E1A4077"/>
    <w:rsid w:val="0E301417"/>
    <w:rsid w:val="0E6C0832"/>
    <w:rsid w:val="0E7B2950"/>
    <w:rsid w:val="0EA162F1"/>
    <w:rsid w:val="0F1748FB"/>
    <w:rsid w:val="0F2A424A"/>
    <w:rsid w:val="0F451083"/>
    <w:rsid w:val="0F4F55B5"/>
    <w:rsid w:val="0F523385"/>
    <w:rsid w:val="0F6B0AEA"/>
    <w:rsid w:val="0F8E6586"/>
    <w:rsid w:val="0FC95811"/>
    <w:rsid w:val="102F7D69"/>
    <w:rsid w:val="103E7FAD"/>
    <w:rsid w:val="105B70D8"/>
    <w:rsid w:val="10907D14"/>
    <w:rsid w:val="10A83678"/>
    <w:rsid w:val="10A92473"/>
    <w:rsid w:val="10BE733F"/>
    <w:rsid w:val="10DF7058"/>
    <w:rsid w:val="110658A6"/>
    <w:rsid w:val="114A387E"/>
    <w:rsid w:val="11902A8A"/>
    <w:rsid w:val="11A5684D"/>
    <w:rsid w:val="11BC713D"/>
    <w:rsid w:val="11C84507"/>
    <w:rsid w:val="120E7E09"/>
    <w:rsid w:val="121D1E44"/>
    <w:rsid w:val="123D4E07"/>
    <w:rsid w:val="12495049"/>
    <w:rsid w:val="12562AA0"/>
    <w:rsid w:val="128C51F9"/>
    <w:rsid w:val="12A06CFD"/>
    <w:rsid w:val="12AA67B8"/>
    <w:rsid w:val="12DE7825"/>
    <w:rsid w:val="139F1017"/>
    <w:rsid w:val="140D45E4"/>
    <w:rsid w:val="141A372C"/>
    <w:rsid w:val="143F359F"/>
    <w:rsid w:val="14517301"/>
    <w:rsid w:val="145B51B5"/>
    <w:rsid w:val="1478143A"/>
    <w:rsid w:val="148A7C64"/>
    <w:rsid w:val="14A365ED"/>
    <w:rsid w:val="14C92ACC"/>
    <w:rsid w:val="15080C4C"/>
    <w:rsid w:val="15525935"/>
    <w:rsid w:val="155920DE"/>
    <w:rsid w:val="156758B0"/>
    <w:rsid w:val="156B7273"/>
    <w:rsid w:val="159B504D"/>
    <w:rsid w:val="15C01464"/>
    <w:rsid w:val="16135A37"/>
    <w:rsid w:val="1627207D"/>
    <w:rsid w:val="163F3677"/>
    <w:rsid w:val="165C5872"/>
    <w:rsid w:val="167308AC"/>
    <w:rsid w:val="167F40D4"/>
    <w:rsid w:val="169B65A7"/>
    <w:rsid w:val="16CB4F50"/>
    <w:rsid w:val="170A6E3A"/>
    <w:rsid w:val="175D5FCB"/>
    <w:rsid w:val="17853B61"/>
    <w:rsid w:val="17881110"/>
    <w:rsid w:val="178C0F21"/>
    <w:rsid w:val="17A710C7"/>
    <w:rsid w:val="17CB121D"/>
    <w:rsid w:val="183A1C0C"/>
    <w:rsid w:val="186802BC"/>
    <w:rsid w:val="18B310B8"/>
    <w:rsid w:val="18E56FBF"/>
    <w:rsid w:val="18ED431E"/>
    <w:rsid w:val="18F2565D"/>
    <w:rsid w:val="191A12C3"/>
    <w:rsid w:val="193637CA"/>
    <w:rsid w:val="1963014B"/>
    <w:rsid w:val="19650358"/>
    <w:rsid w:val="199E5A21"/>
    <w:rsid w:val="19D2715C"/>
    <w:rsid w:val="19EE2A43"/>
    <w:rsid w:val="1A051B30"/>
    <w:rsid w:val="1A0F6516"/>
    <w:rsid w:val="1A116732"/>
    <w:rsid w:val="1A1678A4"/>
    <w:rsid w:val="1A6E23B6"/>
    <w:rsid w:val="1A8707A2"/>
    <w:rsid w:val="1ADA6B24"/>
    <w:rsid w:val="1B1715A3"/>
    <w:rsid w:val="1B942A09"/>
    <w:rsid w:val="1BB61013"/>
    <w:rsid w:val="1BCE272A"/>
    <w:rsid w:val="1BDB4749"/>
    <w:rsid w:val="1BDF7E16"/>
    <w:rsid w:val="1C4C11C0"/>
    <w:rsid w:val="1C752FA8"/>
    <w:rsid w:val="1C931680"/>
    <w:rsid w:val="1CE1063D"/>
    <w:rsid w:val="1CF814E3"/>
    <w:rsid w:val="1D035455"/>
    <w:rsid w:val="1D0D38B9"/>
    <w:rsid w:val="1D2B1804"/>
    <w:rsid w:val="1D2D465B"/>
    <w:rsid w:val="1D61177E"/>
    <w:rsid w:val="1D8E1789"/>
    <w:rsid w:val="1DD66365"/>
    <w:rsid w:val="1E195BB5"/>
    <w:rsid w:val="1E37603B"/>
    <w:rsid w:val="1E3950C5"/>
    <w:rsid w:val="1E4808ED"/>
    <w:rsid w:val="1F086E69"/>
    <w:rsid w:val="1F316F2E"/>
    <w:rsid w:val="1F356A1F"/>
    <w:rsid w:val="1FC63B1B"/>
    <w:rsid w:val="1FDD5F55"/>
    <w:rsid w:val="20484A50"/>
    <w:rsid w:val="208A2D9A"/>
    <w:rsid w:val="20913CBA"/>
    <w:rsid w:val="20B57232"/>
    <w:rsid w:val="20DB5404"/>
    <w:rsid w:val="210118AD"/>
    <w:rsid w:val="21555156"/>
    <w:rsid w:val="217F21D3"/>
    <w:rsid w:val="21D83065"/>
    <w:rsid w:val="21E169EA"/>
    <w:rsid w:val="22105521"/>
    <w:rsid w:val="221943D6"/>
    <w:rsid w:val="2244334A"/>
    <w:rsid w:val="22467649"/>
    <w:rsid w:val="229A363B"/>
    <w:rsid w:val="22B211CF"/>
    <w:rsid w:val="23516690"/>
    <w:rsid w:val="239F4DAE"/>
    <w:rsid w:val="23C12CFF"/>
    <w:rsid w:val="240115C5"/>
    <w:rsid w:val="242C01D0"/>
    <w:rsid w:val="2446522A"/>
    <w:rsid w:val="2470573C"/>
    <w:rsid w:val="24D4382A"/>
    <w:rsid w:val="24E8008F"/>
    <w:rsid w:val="257A718B"/>
    <w:rsid w:val="25B12A01"/>
    <w:rsid w:val="25C31279"/>
    <w:rsid w:val="25C96113"/>
    <w:rsid w:val="25E116AE"/>
    <w:rsid w:val="26094761"/>
    <w:rsid w:val="26101C34"/>
    <w:rsid w:val="269E30FB"/>
    <w:rsid w:val="26C54B2C"/>
    <w:rsid w:val="26E1123A"/>
    <w:rsid w:val="27034AD1"/>
    <w:rsid w:val="271F1D08"/>
    <w:rsid w:val="27427F2B"/>
    <w:rsid w:val="275A34C6"/>
    <w:rsid w:val="277420AE"/>
    <w:rsid w:val="278E4F1E"/>
    <w:rsid w:val="27B5694E"/>
    <w:rsid w:val="27F27CD9"/>
    <w:rsid w:val="280C250B"/>
    <w:rsid w:val="28245882"/>
    <w:rsid w:val="28677CCB"/>
    <w:rsid w:val="287C56BE"/>
    <w:rsid w:val="28CF69C0"/>
    <w:rsid w:val="28DD6E23"/>
    <w:rsid w:val="28FB3E89"/>
    <w:rsid w:val="293509E1"/>
    <w:rsid w:val="297F3F87"/>
    <w:rsid w:val="29E928DF"/>
    <w:rsid w:val="29F86FC6"/>
    <w:rsid w:val="2A1C2CB5"/>
    <w:rsid w:val="2A4F0167"/>
    <w:rsid w:val="2A704DAF"/>
    <w:rsid w:val="2A7E3970"/>
    <w:rsid w:val="2A8D1886"/>
    <w:rsid w:val="2ADE7026"/>
    <w:rsid w:val="2B253DEB"/>
    <w:rsid w:val="2B6F5066"/>
    <w:rsid w:val="2BCE4483"/>
    <w:rsid w:val="2BD51BDA"/>
    <w:rsid w:val="2BD870AF"/>
    <w:rsid w:val="2C29268F"/>
    <w:rsid w:val="2C42277B"/>
    <w:rsid w:val="2C54393F"/>
    <w:rsid w:val="2CB8206C"/>
    <w:rsid w:val="2CBC252D"/>
    <w:rsid w:val="2CC80ED2"/>
    <w:rsid w:val="2CD21D51"/>
    <w:rsid w:val="2CDD21EA"/>
    <w:rsid w:val="2D2C52BF"/>
    <w:rsid w:val="2D426FC6"/>
    <w:rsid w:val="2D504B9E"/>
    <w:rsid w:val="2D641DC8"/>
    <w:rsid w:val="2D8206C8"/>
    <w:rsid w:val="2DB0354B"/>
    <w:rsid w:val="2DBE22D5"/>
    <w:rsid w:val="2DFA19C5"/>
    <w:rsid w:val="2EA85955"/>
    <w:rsid w:val="2EB775B3"/>
    <w:rsid w:val="2EC40E47"/>
    <w:rsid w:val="2EC92CDF"/>
    <w:rsid w:val="2ECD69D5"/>
    <w:rsid w:val="2EE25C78"/>
    <w:rsid w:val="2EE44AA2"/>
    <w:rsid w:val="2EEC40A0"/>
    <w:rsid w:val="2F305F8A"/>
    <w:rsid w:val="2F437EA6"/>
    <w:rsid w:val="2F8371C0"/>
    <w:rsid w:val="2F994DA8"/>
    <w:rsid w:val="2FB41BE1"/>
    <w:rsid w:val="2FD74BE1"/>
    <w:rsid w:val="2FFD5337"/>
    <w:rsid w:val="307410C2"/>
    <w:rsid w:val="308915CF"/>
    <w:rsid w:val="308D0856"/>
    <w:rsid w:val="30D1097F"/>
    <w:rsid w:val="30EE2ED1"/>
    <w:rsid w:val="31121EF5"/>
    <w:rsid w:val="311E6FCE"/>
    <w:rsid w:val="31232B7B"/>
    <w:rsid w:val="316867E0"/>
    <w:rsid w:val="317C228B"/>
    <w:rsid w:val="31837ABD"/>
    <w:rsid w:val="31A9457D"/>
    <w:rsid w:val="31D405A7"/>
    <w:rsid w:val="31D67B45"/>
    <w:rsid w:val="31EF7704"/>
    <w:rsid w:val="322070BA"/>
    <w:rsid w:val="32476D3D"/>
    <w:rsid w:val="32775FA3"/>
    <w:rsid w:val="32A1322A"/>
    <w:rsid w:val="32A47CEB"/>
    <w:rsid w:val="32DD07DC"/>
    <w:rsid w:val="3316226B"/>
    <w:rsid w:val="33255E05"/>
    <w:rsid w:val="332B5D17"/>
    <w:rsid w:val="33305B83"/>
    <w:rsid w:val="33356193"/>
    <w:rsid w:val="33370B5F"/>
    <w:rsid w:val="335C2374"/>
    <w:rsid w:val="338B6C3E"/>
    <w:rsid w:val="33F97BC3"/>
    <w:rsid w:val="34022441"/>
    <w:rsid w:val="347B4A7C"/>
    <w:rsid w:val="34C46423"/>
    <w:rsid w:val="34D85D0F"/>
    <w:rsid w:val="35511835"/>
    <w:rsid w:val="35531555"/>
    <w:rsid w:val="355969BD"/>
    <w:rsid w:val="357716E7"/>
    <w:rsid w:val="359D0A22"/>
    <w:rsid w:val="35AF558A"/>
    <w:rsid w:val="35B71AE4"/>
    <w:rsid w:val="35BE10C4"/>
    <w:rsid w:val="369B31B3"/>
    <w:rsid w:val="36B10C29"/>
    <w:rsid w:val="36BD1500"/>
    <w:rsid w:val="36C901DF"/>
    <w:rsid w:val="36CC2449"/>
    <w:rsid w:val="37367638"/>
    <w:rsid w:val="37712166"/>
    <w:rsid w:val="37DA5F5D"/>
    <w:rsid w:val="38D34E86"/>
    <w:rsid w:val="39162FC5"/>
    <w:rsid w:val="39667278"/>
    <w:rsid w:val="397C156F"/>
    <w:rsid w:val="39847A4E"/>
    <w:rsid w:val="39E13D03"/>
    <w:rsid w:val="39E14173"/>
    <w:rsid w:val="39FB56C0"/>
    <w:rsid w:val="3A4554C0"/>
    <w:rsid w:val="3A660185"/>
    <w:rsid w:val="3A993EAE"/>
    <w:rsid w:val="3B042119"/>
    <w:rsid w:val="3B356485"/>
    <w:rsid w:val="3B47390A"/>
    <w:rsid w:val="3B844B5E"/>
    <w:rsid w:val="3B9B0E1C"/>
    <w:rsid w:val="3BA918B8"/>
    <w:rsid w:val="3BDD4E74"/>
    <w:rsid w:val="3C011D0B"/>
    <w:rsid w:val="3C0D6901"/>
    <w:rsid w:val="3C3F1C5A"/>
    <w:rsid w:val="3C7E4EDD"/>
    <w:rsid w:val="3C8D7A42"/>
    <w:rsid w:val="3CDE7D7E"/>
    <w:rsid w:val="3CED6733"/>
    <w:rsid w:val="3D303E99"/>
    <w:rsid w:val="3D6D78AE"/>
    <w:rsid w:val="3D6E7F4D"/>
    <w:rsid w:val="3D8F7CDB"/>
    <w:rsid w:val="3E55633E"/>
    <w:rsid w:val="3E573E64"/>
    <w:rsid w:val="3E5821F0"/>
    <w:rsid w:val="3E824310"/>
    <w:rsid w:val="3E990E38"/>
    <w:rsid w:val="3EAD1CD6"/>
    <w:rsid w:val="3EB53DB8"/>
    <w:rsid w:val="3F067638"/>
    <w:rsid w:val="3F115748"/>
    <w:rsid w:val="3F122481"/>
    <w:rsid w:val="3F2415CF"/>
    <w:rsid w:val="3F2717F0"/>
    <w:rsid w:val="3F283A52"/>
    <w:rsid w:val="3F2B709E"/>
    <w:rsid w:val="3FB6105E"/>
    <w:rsid w:val="3FC7326B"/>
    <w:rsid w:val="3FC7515B"/>
    <w:rsid w:val="3FD31C10"/>
    <w:rsid w:val="40267F92"/>
    <w:rsid w:val="4031308C"/>
    <w:rsid w:val="40446AC3"/>
    <w:rsid w:val="405C2C22"/>
    <w:rsid w:val="40B97C69"/>
    <w:rsid w:val="40F11ED0"/>
    <w:rsid w:val="41103AB3"/>
    <w:rsid w:val="41160006"/>
    <w:rsid w:val="411A2A57"/>
    <w:rsid w:val="41453527"/>
    <w:rsid w:val="414549F8"/>
    <w:rsid w:val="41466412"/>
    <w:rsid w:val="4185067D"/>
    <w:rsid w:val="41A2641C"/>
    <w:rsid w:val="41DB6A6F"/>
    <w:rsid w:val="420D0DA4"/>
    <w:rsid w:val="420F4A55"/>
    <w:rsid w:val="42576B28"/>
    <w:rsid w:val="42617F13"/>
    <w:rsid w:val="426828AB"/>
    <w:rsid w:val="42731488"/>
    <w:rsid w:val="42927158"/>
    <w:rsid w:val="42A11473"/>
    <w:rsid w:val="42C44733"/>
    <w:rsid w:val="42D24149"/>
    <w:rsid w:val="42DE0FF8"/>
    <w:rsid w:val="42E51F94"/>
    <w:rsid w:val="43374264"/>
    <w:rsid w:val="433934BA"/>
    <w:rsid w:val="43C006FD"/>
    <w:rsid w:val="43C26223"/>
    <w:rsid w:val="43F860E9"/>
    <w:rsid w:val="4433142F"/>
    <w:rsid w:val="44502E5B"/>
    <w:rsid w:val="44C558EE"/>
    <w:rsid w:val="44D3620E"/>
    <w:rsid w:val="44FC5765"/>
    <w:rsid w:val="450308A1"/>
    <w:rsid w:val="450D5906"/>
    <w:rsid w:val="45256AA7"/>
    <w:rsid w:val="45267C44"/>
    <w:rsid w:val="453E0749"/>
    <w:rsid w:val="45857501"/>
    <w:rsid w:val="458A2D71"/>
    <w:rsid w:val="45E17242"/>
    <w:rsid w:val="462F3918"/>
    <w:rsid w:val="464748E7"/>
    <w:rsid w:val="46603AD2"/>
    <w:rsid w:val="46C422B2"/>
    <w:rsid w:val="46CF4FC2"/>
    <w:rsid w:val="46EC288D"/>
    <w:rsid w:val="47024B89"/>
    <w:rsid w:val="4732546E"/>
    <w:rsid w:val="47372A84"/>
    <w:rsid w:val="475F0D00"/>
    <w:rsid w:val="476B0980"/>
    <w:rsid w:val="477F19A8"/>
    <w:rsid w:val="47B6656B"/>
    <w:rsid w:val="47CF172B"/>
    <w:rsid w:val="47D26C51"/>
    <w:rsid w:val="480C3F11"/>
    <w:rsid w:val="48247A5C"/>
    <w:rsid w:val="48671147"/>
    <w:rsid w:val="48B16614"/>
    <w:rsid w:val="48C170B3"/>
    <w:rsid w:val="492C5E26"/>
    <w:rsid w:val="493443AD"/>
    <w:rsid w:val="493C06FE"/>
    <w:rsid w:val="493C1488"/>
    <w:rsid w:val="49574862"/>
    <w:rsid w:val="49694C8F"/>
    <w:rsid w:val="497C50C6"/>
    <w:rsid w:val="498126DD"/>
    <w:rsid w:val="4A06623F"/>
    <w:rsid w:val="4A271BA8"/>
    <w:rsid w:val="4A34090F"/>
    <w:rsid w:val="4A4F56D0"/>
    <w:rsid w:val="4A5406A2"/>
    <w:rsid w:val="4A632FEA"/>
    <w:rsid w:val="4A697A4F"/>
    <w:rsid w:val="4A8F4985"/>
    <w:rsid w:val="4AAA0739"/>
    <w:rsid w:val="4AC519F6"/>
    <w:rsid w:val="4ACF1226"/>
    <w:rsid w:val="4AD52CE0"/>
    <w:rsid w:val="4B110B90"/>
    <w:rsid w:val="4B1B2ECF"/>
    <w:rsid w:val="4B6D116B"/>
    <w:rsid w:val="4B7122DD"/>
    <w:rsid w:val="4B904E59"/>
    <w:rsid w:val="4B9960BB"/>
    <w:rsid w:val="4BA13D17"/>
    <w:rsid w:val="4C2822D2"/>
    <w:rsid w:val="4D3C7046"/>
    <w:rsid w:val="4D4B1098"/>
    <w:rsid w:val="4D624570"/>
    <w:rsid w:val="4D7F5185"/>
    <w:rsid w:val="4D8602C2"/>
    <w:rsid w:val="4D9F1383"/>
    <w:rsid w:val="4DA37DB4"/>
    <w:rsid w:val="4DDD6858"/>
    <w:rsid w:val="4E06200F"/>
    <w:rsid w:val="4E2B7F63"/>
    <w:rsid w:val="4E444B87"/>
    <w:rsid w:val="4E61488B"/>
    <w:rsid w:val="4E6E3563"/>
    <w:rsid w:val="4EA56E6D"/>
    <w:rsid w:val="4ECC0B5C"/>
    <w:rsid w:val="4EFB4CDF"/>
    <w:rsid w:val="4F6B2E9F"/>
    <w:rsid w:val="4FB34218"/>
    <w:rsid w:val="4FBC621D"/>
    <w:rsid w:val="4FED287A"/>
    <w:rsid w:val="4FF5172F"/>
    <w:rsid w:val="5086682B"/>
    <w:rsid w:val="50B05655"/>
    <w:rsid w:val="50F47C38"/>
    <w:rsid w:val="512F0C70"/>
    <w:rsid w:val="514F1FA1"/>
    <w:rsid w:val="515F1555"/>
    <w:rsid w:val="516E1798"/>
    <w:rsid w:val="51976CBF"/>
    <w:rsid w:val="51C441A9"/>
    <w:rsid w:val="51E054FD"/>
    <w:rsid w:val="523438C0"/>
    <w:rsid w:val="52701540"/>
    <w:rsid w:val="52AE0496"/>
    <w:rsid w:val="52B82EEA"/>
    <w:rsid w:val="52B83584"/>
    <w:rsid w:val="52F61A46"/>
    <w:rsid w:val="53083749"/>
    <w:rsid w:val="530F6FAB"/>
    <w:rsid w:val="53146370"/>
    <w:rsid w:val="53217ECD"/>
    <w:rsid w:val="5355411C"/>
    <w:rsid w:val="53590226"/>
    <w:rsid w:val="536410A5"/>
    <w:rsid w:val="537773A1"/>
    <w:rsid w:val="53CF453C"/>
    <w:rsid w:val="54014B46"/>
    <w:rsid w:val="54185AF9"/>
    <w:rsid w:val="54273E81"/>
    <w:rsid w:val="54300F87"/>
    <w:rsid w:val="54420CBA"/>
    <w:rsid w:val="54803EF9"/>
    <w:rsid w:val="54815C87"/>
    <w:rsid w:val="54F507E9"/>
    <w:rsid w:val="55102B67"/>
    <w:rsid w:val="552A00CC"/>
    <w:rsid w:val="556F3C6E"/>
    <w:rsid w:val="55801A9A"/>
    <w:rsid w:val="55C64E56"/>
    <w:rsid w:val="55D12837"/>
    <w:rsid w:val="55FD133D"/>
    <w:rsid w:val="560D7C15"/>
    <w:rsid w:val="561244DD"/>
    <w:rsid w:val="561623FF"/>
    <w:rsid w:val="562B3B54"/>
    <w:rsid w:val="563A27AE"/>
    <w:rsid w:val="56530F5D"/>
    <w:rsid w:val="569358E8"/>
    <w:rsid w:val="56BD644F"/>
    <w:rsid w:val="56F15429"/>
    <w:rsid w:val="57032983"/>
    <w:rsid w:val="572823EA"/>
    <w:rsid w:val="572D6E84"/>
    <w:rsid w:val="573F362D"/>
    <w:rsid w:val="57752C31"/>
    <w:rsid w:val="57DD1426"/>
    <w:rsid w:val="57F14ED1"/>
    <w:rsid w:val="58160494"/>
    <w:rsid w:val="584E7888"/>
    <w:rsid w:val="5879650B"/>
    <w:rsid w:val="58882ACE"/>
    <w:rsid w:val="58AB44A7"/>
    <w:rsid w:val="58B205DA"/>
    <w:rsid w:val="58B8154B"/>
    <w:rsid w:val="59562254"/>
    <w:rsid w:val="59583222"/>
    <w:rsid w:val="595E06CC"/>
    <w:rsid w:val="59A83BCA"/>
    <w:rsid w:val="59C47366"/>
    <w:rsid w:val="5A054C64"/>
    <w:rsid w:val="5A7431D7"/>
    <w:rsid w:val="5AA23067"/>
    <w:rsid w:val="5AA75D1B"/>
    <w:rsid w:val="5AB92201"/>
    <w:rsid w:val="5AC10B8B"/>
    <w:rsid w:val="5AE07170"/>
    <w:rsid w:val="5B182775"/>
    <w:rsid w:val="5B44356A"/>
    <w:rsid w:val="5B534489"/>
    <w:rsid w:val="5B6D0D13"/>
    <w:rsid w:val="5B847B74"/>
    <w:rsid w:val="5BAF171A"/>
    <w:rsid w:val="5BDF2D3B"/>
    <w:rsid w:val="5BF6163A"/>
    <w:rsid w:val="5C013204"/>
    <w:rsid w:val="5C166CB5"/>
    <w:rsid w:val="5C577173"/>
    <w:rsid w:val="5C5D23EC"/>
    <w:rsid w:val="5CED3FF9"/>
    <w:rsid w:val="5CEE378D"/>
    <w:rsid w:val="5D096819"/>
    <w:rsid w:val="5D0E3E30"/>
    <w:rsid w:val="5D4476FB"/>
    <w:rsid w:val="5D465377"/>
    <w:rsid w:val="5D722610"/>
    <w:rsid w:val="5DE84681"/>
    <w:rsid w:val="5E895E64"/>
    <w:rsid w:val="5E8B3C4B"/>
    <w:rsid w:val="5E9F7435"/>
    <w:rsid w:val="5ED30E8D"/>
    <w:rsid w:val="5ED8763C"/>
    <w:rsid w:val="5F6B37BB"/>
    <w:rsid w:val="5F771986"/>
    <w:rsid w:val="5F8D1439"/>
    <w:rsid w:val="5FAA42E4"/>
    <w:rsid w:val="5FC96642"/>
    <w:rsid w:val="5FFB4A48"/>
    <w:rsid w:val="60032513"/>
    <w:rsid w:val="601574AE"/>
    <w:rsid w:val="60257F58"/>
    <w:rsid w:val="60602BF4"/>
    <w:rsid w:val="607245F5"/>
    <w:rsid w:val="607E307A"/>
    <w:rsid w:val="609603C4"/>
    <w:rsid w:val="60AC5E39"/>
    <w:rsid w:val="60F60B07"/>
    <w:rsid w:val="61250170"/>
    <w:rsid w:val="614B2DC9"/>
    <w:rsid w:val="616A451F"/>
    <w:rsid w:val="61785D1C"/>
    <w:rsid w:val="61D16E42"/>
    <w:rsid w:val="61F71336"/>
    <w:rsid w:val="62111B39"/>
    <w:rsid w:val="628A3F58"/>
    <w:rsid w:val="6291178B"/>
    <w:rsid w:val="62C751AC"/>
    <w:rsid w:val="63185A08"/>
    <w:rsid w:val="634925E3"/>
    <w:rsid w:val="634A32AF"/>
    <w:rsid w:val="63576530"/>
    <w:rsid w:val="63600598"/>
    <w:rsid w:val="63C27722"/>
    <w:rsid w:val="63D53536"/>
    <w:rsid w:val="63E167C9"/>
    <w:rsid w:val="64251011"/>
    <w:rsid w:val="64934432"/>
    <w:rsid w:val="64A941E8"/>
    <w:rsid w:val="64AC6408"/>
    <w:rsid w:val="64F658D5"/>
    <w:rsid w:val="65177DE9"/>
    <w:rsid w:val="65735661"/>
    <w:rsid w:val="65B2559F"/>
    <w:rsid w:val="65D70E17"/>
    <w:rsid w:val="664960F3"/>
    <w:rsid w:val="665E5750"/>
    <w:rsid w:val="66681859"/>
    <w:rsid w:val="666D6BA9"/>
    <w:rsid w:val="668D4017"/>
    <w:rsid w:val="66DC2EB8"/>
    <w:rsid w:val="66EC34BA"/>
    <w:rsid w:val="67753429"/>
    <w:rsid w:val="678877B3"/>
    <w:rsid w:val="67A94E81"/>
    <w:rsid w:val="67B11F87"/>
    <w:rsid w:val="67E1648C"/>
    <w:rsid w:val="67F51E74"/>
    <w:rsid w:val="68435FBB"/>
    <w:rsid w:val="68965FEA"/>
    <w:rsid w:val="68DA5D31"/>
    <w:rsid w:val="68DE12F3"/>
    <w:rsid w:val="69180510"/>
    <w:rsid w:val="695D23C7"/>
    <w:rsid w:val="696A0819"/>
    <w:rsid w:val="697B3329"/>
    <w:rsid w:val="69A9410F"/>
    <w:rsid w:val="69AA4EE0"/>
    <w:rsid w:val="6A274783"/>
    <w:rsid w:val="6A5C0BF9"/>
    <w:rsid w:val="6AA97EF9"/>
    <w:rsid w:val="6AC326FD"/>
    <w:rsid w:val="6B100175"/>
    <w:rsid w:val="6B560E7C"/>
    <w:rsid w:val="6B7B6B34"/>
    <w:rsid w:val="6B916358"/>
    <w:rsid w:val="6BC82C65"/>
    <w:rsid w:val="6BD050D2"/>
    <w:rsid w:val="6C022DB1"/>
    <w:rsid w:val="6C101972"/>
    <w:rsid w:val="6C186A79"/>
    <w:rsid w:val="6C355F4E"/>
    <w:rsid w:val="6C5B7090"/>
    <w:rsid w:val="6CB5251A"/>
    <w:rsid w:val="6CC90EA7"/>
    <w:rsid w:val="6D0E2679"/>
    <w:rsid w:val="6D4621DE"/>
    <w:rsid w:val="6D6535F8"/>
    <w:rsid w:val="6D6639EA"/>
    <w:rsid w:val="6D8B6DD7"/>
    <w:rsid w:val="6DC26C9C"/>
    <w:rsid w:val="6DC347C2"/>
    <w:rsid w:val="6DE55656"/>
    <w:rsid w:val="6E056B89"/>
    <w:rsid w:val="6E261BA7"/>
    <w:rsid w:val="6E660432"/>
    <w:rsid w:val="6E681C31"/>
    <w:rsid w:val="6E8B52E0"/>
    <w:rsid w:val="6E8D3E82"/>
    <w:rsid w:val="6ED7625C"/>
    <w:rsid w:val="6F094457"/>
    <w:rsid w:val="6F135292"/>
    <w:rsid w:val="6F6D49E6"/>
    <w:rsid w:val="6F8C57B4"/>
    <w:rsid w:val="6FE91E9F"/>
    <w:rsid w:val="6FF869A5"/>
    <w:rsid w:val="701B088F"/>
    <w:rsid w:val="70585696"/>
    <w:rsid w:val="70722A64"/>
    <w:rsid w:val="70DA5631"/>
    <w:rsid w:val="70DF22EF"/>
    <w:rsid w:val="70F50EBA"/>
    <w:rsid w:val="710458DF"/>
    <w:rsid w:val="71266569"/>
    <w:rsid w:val="717C6A58"/>
    <w:rsid w:val="71A60683"/>
    <w:rsid w:val="71B608C6"/>
    <w:rsid w:val="71D60130"/>
    <w:rsid w:val="71D95763"/>
    <w:rsid w:val="720B5C8E"/>
    <w:rsid w:val="72111FA0"/>
    <w:rsid w:val="721A5641"/>
    <w:rsid w:val="721D0945"/>
    <w:rsid w:val="729055BB"/>
    <w:rsid w:val="729E168C"/>
    <w:rsid w:val="72B27B5F"/>
    <w:rsid w:val="735411D5"/>
    <w:rsid w:val="736D0FD2"/>
    <w:rsid w:val="73B452D9"/>
    <w:rsid w:val="73F27FF5"/>
    <w:rsid w:val="73FA5E27"/>
    <w:rsid w:val="74045008"/>
    <w:rsid w:val="741E4FC3"/>
    <w:rsid w:val="7447637A"/>
    <w:rsid w:val="74995F15"/>
    <w:rsid w:val="74BB61F3"/>
    <w:rsid w:val="74BE087B"/>
    <w:rsid w:val="74BF341C"/>
    <w:rsid w:val="74C667AB"/>
    <w:rsid w:val="74C876B4"/>
    <w:rsid w:val="74EB40C8"/>
    <w:rsid w:val="75120509"/>
    <w:rsid w:val="752F6EB8"/>
    <w:rsid w:val="757440A2"/>
    <w:rsid w:val="75761242"/>
    <w:rsid w:val="75A1363B"/>
    <w:rsid w:val="75F714AD"/>
    <w:rsid w:val="75F73A2A"/>
    <w:rsid w:val="75FC7405"/>
    <w:rsid w:val="769958F2"/>
    <w:rsid w:val="76D6594C"/>
    <w:rsid w:val="76E47C83"/>
    <w:rsid w:val="76E96805"/>
    <w:rsid w:val="770266B0"/>
    <w:rsid w:val="77420E4E"/>
    <w:rsid w:val="77434EF4"/>
    <w:rsid w:val="776E1C43"/>
    <w:rsid w:val="7771703D"/>
    <w:rsid w:val="77A13DC6"/>
    <w:rsid w:val="77E577FB"/>
    <w:rsid w:val="77F71C38"/>
    <w:rsid w:val="781018E5"/>
    <w:rsid w:val="78174C2D"/>
    <w:rsid w:val="784576F8"/>
    <w:rsid w:val="78563849"/>
    <w:rsid w:val="78767A5E"/>
    <w:rsid w:val="787943FB"/>
    <w:rsid w:val="789631FF"/>
    <w:rsid w:val="78A07BDA"/>
    <w:rsid w:val="78A771BA"/>
    <w:rsid w:val="78B638A1"/>
    <w:rsid w:val="78B673FD"/>
    <w:rsid w:val="78B744C5"/>
    <w:rsid w:val="78B8149D"/>
    <w:rsid w:val="78B83176"/>
    <w:rsid w:val="78C37D6C"/>
    <w:rsid w:val="78DB075B"/>
    <w:rsid w:val="793D0B51"/>
    <w:rsid w:val="797D616D"/>
    <w:rsid w:val="79984D55"/>
    <w:rsid w:val="79B41C03"/>
    <w:rsid w:val="79BD12D1"/>
    <w:rsid w:val="79D42231"/>
    <w:rsid w:val="79D43D96"/>
    <w:rsid w:val="7A2860D9"/>
    <w:rsid w:val="7A2C4364"/>
    <w:rsid w:val="7A2F6226"/>
    <w:rsid w:val="7A302DEA"/>
    <w:rsid w:val="7A432F13"/>
    <w:rsid w:val="7A5F2A48"/>
    <w:rsid w:val="7A993E33"/>
    <w:rsid w:val="7AB7745D"/>
    <w:rsid w:val="7B471C92"/>
    <w:rsid w:val="7B713AB0"/>
    <w:rsid w:val="7B803CF3"/>
    <w:rsid w:val="7B8B2DC3"/>
    <w:rsid w:val="7B971768"/>
    <w:rsid w:val="7CCE35F1"/>
    <w:rsid w:val="7CDB7433"/>
    <w:rsid w:val="7CFE3D1B"/>
    <w:rsid w:val="7D3D00ED"/>
    <w:rsid w:val="7D407BDD"/>
    <w:rsid w:val="7D4D5E56"/>
    <w:rsid w:val="7DA725DD"/>
    <w:rsid w:val="7DC62E44"/>
    <w:rsid w:val="7DEB27D3"/>
    <w:rsid w:val="7E0C7AC0"/>
    <w:rsid w:val="7E357016"/>
    <w:rsid w:val="7E816BC7"/>
    <w:rsid w:val="7EF402AF"/>
    <w:rsid w:val="7EF91DDE"/>
    <w:rsid w:val="7F2326CD"/>
    <w:rsid w:val="7F2E3DC9"/>
    <w:rsid w:val="7F385010"/>
    <w:rsid w:val="7F3D0635"/>
    <w:rsid w:val="7FAB3A34"/>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3"/>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78"/>
    <w:qFormat/>
    <w:uiPriority w:val="0"/>
    <w:pPr>
      <w:adjustRightInd w:val="0"/>
      <w:jc w:val="center"/>
      <w:textAlignment w:val="baseline"/>
      <w:outlineLvl w:val="1"/>
    </w:pPr>
    <w:rPr>
      <w:kern w:val="0"/>
      <w:sz w:val="24"/>
      <w:szCs w:val="20"/>
    </w:rPr>
  </w:style>
  <w:style w:type="paragraph" w:styleId="3">
    <w:name w:val="heading 3"/>
    <w:basedOn w:val="4"/>
    <w:next w:val="1"/>
    <w:link w:val="62"/>
    <w:qFormat/>
    <w:uiPriority w:val="9"/>
    <w:pPr>
      <w:spacing w:before="260" w:after="260" w:line="240" w:lineRule="auto"/>
      <w:outlineLvl w:val="2"/>
    </w:pPr>
    <w:rPr>
      <w:rFonts w:ascii="宋体" w:hAnsi="宋体" w:eastAsia="宋体"/>
      <w:szCs w:val="32"/>
    </w:rPr>
  </w:style>
  <w:style w:type="paragraph" w:styleId="4">
    <w:name w:val="heading 4"/>
    <w:basedOn w:val="1"/>
    <w:next w:val="1"/>
    <w:link w:val="60"/>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7"/>
    <w:qFormat/>
    <w:uiPriority w:val="0"/>
    <w:pPr>
      <w:keepNext/>
      <w:keepLines/>
      <w:spacing w:before="280" w:after="290" w:line="376" w:lineRule="auto"/>
      <w:outlineLvl w:val="4"/>
    </w:pPr>
    <w:rPr>
      <w:b/>
      <w:sz w:val="28"/>
      <w:szCs w:val="20"/>
    </w:rPr>
  </w:style>
  <w:style w:type="paragraph" w:styleId="8">
    <w:name w:val="heading 6"/>
    <w:basedOn w:val="1"/>
    <w:next w:val="7"/>
    <w:link w:val="90"/>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91"/>
    <w:qFormat/>
    <w:uiPriority w:val="0"/>
    <w:pPr>
      <w:keepNext/>
      <w:keepLines/>
      <w:spacing w:before="240" w:after="64" w:line="320" w:lineRule="auto"/>
      <w:outlineLvl w:val="6"/>
    </w:pPr>
    <w:rPr>
      <w:b/>
      <w:sz w:val="24"/>
      <w:szCs w:val="20"/>
    </w:rPr>
  </w:style>
  <w:style w:type="paragraph" w:styleId="10">
    <w:name w:val="heading 8"/>
    <w:basedOn w:val="1"/>
    <w:next w:val="7"/>
    <w:link w:val="92"/>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9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4"/>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91"/>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5"/>
    <w:qFormat/>
    <w:uiPriority w:val="0"/>
    <w:pPr>
      <w:spacing w:after="120"/>
    </w:pPr>
    <w:rPr>
      <w:sz w:val="16"/>
      <w:szCs w:val="16"/>
    </w:rPr>
  </w:style>
  <w:style w:type="paragraph" w:styleId="18">
    <w:name w:val="Body Text"/>
    <w:basedOn w:val="1"/>
    <w:next w:val="19"/>
    <w:link w:val="99"/>
    <w:qFormat/>
    <w:uiPriority w:val="0"/>
    <w:pPr>
      <w:spacing w:line="360" w:lineRule="auto"/>
    </w:pPr>
    <w:rPr>
      <w:b/>
      <w:bCs/>
      <w:sz w:val="24"/>
    </w:rPr>
  </w:style>
  <w:style w:type="paragraph" w:styleId="19">
    <w:name w:val="Body Text 2"/>
    <w:basedOn w:val="1"/>
    <w:link w:val="103"/>
    <w:qFormat/>
    <w:uiPriority w:val="0"/>
    <w:pPr>
      <w:spacing w:line="360" w:lineRule="auto"/>
    </w:pPr>
    <w:rPr>
      <w:sz w:val="24"/>
    </w:rPr>
  </w:style>
  <w:style w:type="paragraph" w:styleId="20">
    <w:name w:val="Body Text Indent"/>
    <w:basedOn w:val="1"/>
    <w:link w:val="86"/>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7"/>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5"/>
    <w:qFormat/>
    <w:uiPriority w:val="0"/>
    <w:rPr>
      <w:rFonts w:ascii="宋体" w:hAnsi="Courier New"/>
      <w:sz w:val="32"/>
      <w:szCs w:val="20"/>
    </w:rPr>
  </w:style>
  <w:style w:type="paragraph" w:styleId="26">
    <w:name w:val="Body Text Indent 2"/>
    <w:basedOn w:val="1"/>
    <w:link w:val="100"/>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6"/>
    <w:semiHidden/>
    <w:qFormat/>
    <w:uiPriority w:val="99"/>
    <w:rPr>
      <w:sz w:val="18"/>
      <w:szCs w:val="18"/>
    </w:rPr>
  </w:style>
  <w:style w:type="paragraph" w:styleId="28">
    <w:name w:val="footer"/>
    <w:basedOn w:val="1"/>
    <w:link w:val="104"/>
    <w:qFormat/>
    <w:uiPriority w:val="0"/>
    <w:pPr>
      <w:tabs>
        <w:tab w:val="center" w:pos="4153"/>
        <w:tab w:val="right" w:pos="8306"/>
      </w:tabs>
      <w:snapToGrid w:val="0"/>
      <w:jc w:val="left"/>
    </w:pPr>
    <w:rPr>
      <w:sz w:val="18"/>
      <w:szCs w:val="18"/>
    </w:rPr>
  </w:style>
  <w:style w:type="paragraph" w:styleId="29">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2"/>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7"/>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4"/>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92"/>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3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qFormat/>
    <w:uiPriority w:val="0"/>
  </w:style>
  <w:style w:type="character" w:styleId="53">
    <w:name w:val="Hyperlink"/>
    <w:qFormat/>
    <w:uiPriority w:val="0"/>
    <w:rPr>
      <w:color w:val="0000FF"/>
      <w:u w:val="single"/>
    </w:rPr>
  </w:style>
  <w:style w:type="character" w:styleId="54">
    <w:name w:val="HTML Code"/>
    <w:basedOn w:val="44"/>
    <w:semiHidden/>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hint="default" w:ascii="monospace" w:hAnsi="monospace" w:eastAsia="monospace" w:cs="monospace"/>
      <w:sz w:val="20"/>
    </w:rPr>
  </w:style>
  <w:style w:type="character" w:styleId="58">
    <w:name w:val="HTML Sample"/>
    <w:basedOn w:val="44"/>
    <w:semiHidden/>
    <w:unhideWhenUsed/>
    <w:qFormat/>
    <w:uiPriority w:val="0"/>
    <w:rPr>
      <w:rFonts w:hint="default" w:ascii="monospace" w:hAnsi="monospace" w:eastAsia="monospace" w:cs="monospace"/>
    </w:rPr>
  </w:style>
  <w:style w:type="paragraph" w:styleId="5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0">
    <w:name w:val="标题 4 字符"/>
    <w:link w:val="4"/>
    <w:qFormat/>
    <w:uiPriority w:val="9"/>
    <w:rPr>
      <w:rFonts w:ascii="Arial" w:hAnsi="Arial" w:eastAsia="黑体"/>
      <w:b/>
      <w:bCs/>
      <w:kern w:val="2"/>
      <w:sz w:val="28"/>
      <w:szCs w:val="28"/>
      <w:lang w:val="en-US" w:eastAsia="zh-CN" w:bidi="ar-SA"/>
    </w:rPr>
  </w:style>
  <w:style w:type="paragraph" w:customStyle="1" w:styleId="6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2">
    <w:name w:val="标题 3 字符"/>
    <w:link w:val="3"/>
    <w:qFormat/>
    <w:uiPriority w:val="9"/>
    <w:rPr>
      <w:rFonts w:ascii="宋体" w:hAnsi="宋体" w:eastAsia="宋体"/>
      <w:b/>
      <w:bCs/>
      <w:kern w:val="2"/>
      <w:sz w:val="28"/>
      <w:szCs w:val="32"/>
      <w:lang w:val="en-US" w:eastAsia="zh-CN" w:bidi="ar-SA"/>
    </w:rPr>
  </w:style>
  <w:style w:type="character" w:customStyle="1" w:styleId="63">
    <w:name w:val="标题 1 字符"/>
    <w:link w:val="2"/>
    <w:qFormat/>
    <w:uiPriority w:val="0"/>
    <w:rPr>
      <w:rFonts w:ascii="宋体" w:hAnsi="宋体" w:eastAsia="黑体"/>
      <w:b/>
      <w:bCs/>
      <w:kern w:val="44"/>
      <w:sz w:val="28"/>
      <w:szCs w:val="44"/>
      <w:lang w:val="en-US" w:eastAsia="zh-CN" w:bidi="ar-SA"/>
    </w:rPr>
  </w:style>
  <w:style w:type="character" w:customStyle="1" w:styleId="64">
    <w:name w:val="正文缩进 字符"/>
    <w:link w:val="7"/>
    <w:qFormat/>
    <w:uiPriority w:val="0"/>
    <w:rPr>
      <w:rFonts w:eastAsia="宋体"/>
      <w:kern w:val="2"/>
      <w:sz w:val="21"/>
      <w:lang w:val="en-US" w:eastAsia="zh-CN" w:bidi="ar-SA"/>
    </w:rPr>
  </w:style>
  <w:style w:type="character" w:customStyle="1" w:styleId="65">
    <w:name w:val="标题 3 Char"/>
    <w:qFormat/>
    <w:uiPriority w:val="0"/>
    <w:rPr>
      <w:rFonts w:ascii="黑体" w:eastAsia="黑体"/>
      <w:bCs/>
      <w:sz w:val="30"/>
    </w:rPr>
  </w:style>
  <w:style w:type="paragraph" w:customStyle="1" w:styleId="6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自定义正文"/>
    <w:basedOn w:val="1"/>
    <w:qFormat/>
    <w:uiPriority w:val="0"/>
    <w:pPr>
      <w:spacing w:afterLines="50"/>
      <w:ind w:left="600" w:leftChars="600"/>
    </w:pPr>
  </w:style>
  <w:style w:type="paragraph" w:customStyle="1" w:styleId="74">
    <w:name w:val="Char Char Char Char Char"/>
    <w:basedOn w:val="1"/>
    <w:qFormat/>
    <w:uiPriority w:val="0"/>
    <w:rPr>
      <w:rFonts w:ascii="Tahoma" w:hAnsi="Tahoma"/>
      <w:sz w:val="24"/>
      <w:szCs w:val="20"/>
    </w:rPr>
  </w:style>
  <w:style w:type="paragraph" w:customStyle="1" w:styleId="7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6">
    <w:name w:val="Char Char"/>
    <w:basedOn w:val="1"/>
    <w:qFormat/>
    <w:uiPriority w:val="0"/>
    <w:rPr>
      <w:rFonts w:ascii="Tahoma" w:hAnsi="Tahoma"/>
      <w:sz w:val="24"/>
      <w:szCs w:val="20"/>
    </w:rPr>
  </w:style>
  <w:style w:type="paragraph" w:customStyle="1" w:styleId="7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8">
    <w:name w:val="标题 2 字符"/>
    <w:link w:val="5"/>
    <w:qFormat/>
    <w:uiPriority w:val="0"/>
    <w:rPr>
      <w:rFonts w:ascii="宋体" w:hAnsi="宋体" w:eastAsia="宋体"/>
      <w:b/>
      <w:bCs/>
      <w:sz w:val="24"/>
      <w:lang w:val="en-US" w:eastAsia="zh-CN" w:bidi="ar-SA"/>
    </w:rPr>
  </w:style>
  <w:style w:type="paragraph" w:customStyle="1" w:styleId="7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0">
    <w:name w:val="List Paragraph"/>
    <w:basedOn w:val="1"/>
    <w:qFormat/>
    <w:uiPriority w:val="34"/>
    <w:pPr>
      <w:ind w:firstLine="420" w:firstLineChars="200"/>
    </w:pPr>
    <w:rPr>
      <w:rFonts w:ascii="Calibri" w:hAnsi="Calibri"/>
      <w:szCs w:val="22"/>
    </w:rPr>
  </w:style>
  <w:style w:type="paragraph" w:customStyle="1" w:styleId="81">
    <w:name w:val="USE 1"/>
    <w:basedOn w:val="1"/>
    <w:qFormat/>
    <w:uiPriority w:val="0"/>
    <w:pPr>
      <w:spacing w:line="200" w:lineRule="atLeast"/>
      <w:jc w:val="left"/>
    </w:pPr>
    <w:rPr>
      <w:rFonts w:ascii="宋体" w:hAnsi="宋体"/>
      <w:b/>
      <w:sz w:val="24"/>
      <w:szCs w:val="28"/>
    </w:rPr>
  </w:style>
  <w:style w:type="paragraph" w:customStyle="1" w:styleId="8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3">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4">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5">
    <w:name w:val="H4 Char2"/>
    <w:qFormat/>
    <w:uiPriority w:val="0"/>
    <w:rPr>
      <w:rFonts w:ascii="Arial" w:hAnsi="Arial" w:eastAsia="黑体"/>
      <w:b/>
      <w:bCs/>
      <w:kern w:val="2"/>
      <w:sz w:val="28"/>
      <w:szCs w:val="28"/>
      <w:lang w:val="en-US" w:eastAsia="zh-CN" w:bidi="ar-SA"/>
    </w:rPr>
  </w:style>
  <w:style w:type="character" w:customStyle="1" w:styleId="86">
    <w:name w:val="正文文本缩进 字符"/>
    <w:link w:val="20"/>
    <w:qFormat/>
    <w:uiPriority w:val="0"/>
    <w:rPr>
      <w:rFonts w:eastAsia="宋体"/>
      <w:kern w:val="2"/>
      <w:sz w:val="21"/>
      <w:szCs w:val="24"/>
      <w:lang w:val="en-US" w:eastAsia="zh-CN" w:bidi="ar-SA"/>
    </w:rPr>
  </w:style>
  <w:style w:type="character" w:customStyle="1" w:styleId="87">
    <w:name w:val="标题 5 字符"/>
    <w:link w:val="6"/>
    <w:qFormat/>
    <w:uiPriority w:val="0"/>
    <w:rPr>
      <w:rFonts w:eastAsia="宋体"/>
      <w:b/>
      <w:kern w:val="2"/>
      <w:sz w:val="28"/>
      <w:lang w:val="en-US" w:eastAsia="zh-CN" w:bidi="ar-SA"/>
    </w:rPr>
  </w:style>
  <w:style w:type="character" w:customStyle="1" w:styleId="88">
    <w:name w:val="第*章 Char"/>
    <w:qFormat/>
    <w:uiPriority w:val="0"/>
    <w:rPr>
      <w:rFonts w:ascii="Arial" w:hAnsi="Arial" w:eastAsia="黑体"/>
      <w:b/>
      <w:bCs/>
      <w:kern w:val="2"/>
      <w:sz w:val="32"/>
      <w:szCs w:val="32"/>
    </w:rPr>
  </w:style>
  <w:style w:type="character" w:customStyle="1" w:styleId="89">
    <w:name w:val="章标题1 Char"/>
    <w:qFormat/>
    <w:uiPriority w:val="0"/>
    <w:rPr>
      <w:rFonts w:eastAsia="宋体"/>
      <w:b/>
      <w:bCs/>
      <w:kern w:val="2"/>
      <w:sz w:val="32"/>
      <w:szCs w:val="32"/>
      <w:lang w:val="en-US" w:eastAsia="zh-CN" w:bidi="ar-SA"/>
    </w:rPr>
  </w:style>
  <w:style w:type="character" w:customStyle="1" w:styleId="90">
    <w:name w:val="标题 6 字符"/>
    <w:link w:val="8"/>
    <w:qFormat/>
    <w:uiPriority w:val="0"/>
    <w:rPr>
      <w:rFonts w:ascii="Arial" w:hAnsi="Arial" w:eastAsia="黑体"/>
      <w:b/>
      <w:kern w:val="2"/>
      <w:sz w:val="24"/>
      <w:lang w:val="en-US" w:eastAsia="zh-CN" w:bidi="ar-SA"/>
    </w:rPr>
  </w:style>
  <w:style w:type="character" w:customStyle="1" w:styleId="91">
    <w:name w:val="标题 7 字符"/>
    <w:link w:val="9"/>
    <w:qFormat/>
    <w:uiPriority w:val="0"/>
    <w:rPr>
      <w:rFonts w:eastAsia="宋体"/>
      <w:b/>
      <w:kern w:val="2"/>
      <w:sz w:val="24"/>
      <w:lang w:val="en-US" w:eastAsia="zh-CN" w:bidi="ar-SA"/>
    </w:rPr>
  </w:style>
  <w:style w:type="character" w:customStyle="1" w:styleId="92">
    <w:name w:val="标题 8 字符"/>
    <w:link w:val="10"/>
    <w:qFormat/>
    <w:uiPriority w:val="0"/>
    <w:rPr>
      <w:rFonts w:ascii="Arial" w:hAnsi="Arial" w:eastAsia="黑体"/>
      <w:kern w:val="2"/>
      <w:sz w:val="24"/>
      <w:lang w:val="en-US" w:eastAsia="zh-CN" w:bidi="ar-SA"/>
    </w:rPr>
  </w:style>
  <w:style w:type="character" w:customStyle="1" w:styleId="93">
    <w:name w:val="标题 9 字符"/>
    <w:link w:val="11"/>
    <w:qFormat/>
    <w:uiPriority w:val="0"/>
    <w:rPr>
      <w:rFonts w:ascii="Arial" w:hAnsi="Arial" w:eastAsia="黑体"/>
      <w:kern w:val="2"/>
      <w:sz w:val="21"/>
      <w:lang w:val="en-US" w:eastAsia="zh-CN" w:bidi="ar-SA"/>
    </w:rPr>
  </w:style>
  <w:style w:type="character" w:customStyle="1" w:styleId="94">
    <w:name w:val="标题 字符"/>
    <w:link w:val="39"/>
    <w:qFormat/>
    <w:uiPriority w:val="0"/>
    <w:rPr>
      <w:rFonts w:ascii="Arial" w:hAnsi="Arial" w:eastAsia="隶书" w:cs="Arial"/>
      <w:b/>
      <w:bCs/>
      <w:kern w:val="2"/>
      <w:sz w:val="32"/>
      <w:szCs w:val="32"/>
      <w:lang w:val="en-US" w:eastAsia="zh-CN" w:bidi="ar-SA"/>
    </w:rPr>
  </w:style>
  <w:style w:type="character" w:customStyle="1" w:styleId="95">
    <w:name w:val="日期 字符"/>
    <w:link w:val="25"/>
    <w:qFormat/>
    <w:uiPriority w:val="0"/>
    <w:rPr>
      <w:rFonts w:ascii="宋体" w:hAnsi="Courier New" w:eastAsia="宋体"/>
      <w:kern w:val="2"/>
      <w:sz w:val="32"/>
      <w:lang w:val="en-US" w:eastAsia="zh-CN" w:bidi="ar-SA"/>
    </w:rPr>
  </w:style>
  <w:style w:type="character" w:customStyle="1" w:styleId="96">
    <w:name w:val="HTML 预设格式 字符"/>
    <w:link w:val="36"/>
    <w:qFormat/>
    <w:uiPriority w:val="0"/>
    <w:rPr>
      <w:rFonts w:ascii="Arial Unicode MS" w:hAnsi="Arial Unicode MS" w:eastAsia="Arial Unicode MS"/>
      <w:color w:val="000000"/>
      <w:lang w:val="en-US" w:eastAsia="zh-CN" w:bidi="ar-SA"/>
    </w:rPr>
  </w:style>
  <w:style w:type="character" w:customStyle="1" w:styleId="97">
    <w:name w:val="纯文本 字符"/>
    <w:link w:val="23"/>
    <w:qFormat/>
    <w:uiPriority w:val="0"/>
    <w:rPr>
      <w:rFonts w:ascii="宋体" w:hAnsi="Courier New" w:eastAsia="宋体"/>
      <w:kern w:val="2"/>
      <w:sz w:val="21"/>
      <w:lang w:val="en-US" w:eastAsia="zh-CN" w:bidi="ar-SA"/>
    </w:rPr>
  </w:style>
  <w:style w:type="character" w:customStyle="1" w:styleId="98">
    <w:name w:val="正文文字首行缩进 Char"/>
    <w:qFormat/>
    <w:uiPriority w:val="0"/>
    <w:rPr>
      <w:kern w:val="2"/>
      <w:sz w:val="21"/>
      <w:szCs w:val="24"/>
    </w:rPr>
  </w:style>
  <w:style w:type="character" w:customStyle="1" w:styleId="99">
    <w:name w:val="正文文本 字符"/>
    <w:link w:val="18"/>
    <w:qFormat/>
    <w:uiPriority w:val="0"/>
    <w:rPr>
      <w:rFonts w:eastAsia="宋体"/>
      <w:b/>
      <w:bCs/>
      <w:kern w:val="2"/>
      <w:sz w:val="24"/>
      <w:szCs w:val="24"/>
      <w:lang w:val="en-US" w:eastAsia="zh-CN" w:bidi="ar-SA"/>
    </w:rPr>
  </w:style>
  <w:style w:type="character" w:customStyle="1" w:styleId="100">
    <w:name w:val="正文文本缩进 2 字符"/>
    <w:link w:val="26"/>
    <w:qFormat/>
    <w:uiPriority w:val="0"/>
    <w:rPr>
      <w:rFonts w:ascii="宋体" w:hAnsi="宋体" w:eastAsia="宋体"/>
      <w:kern w:val="2"/>
      <w:sz w:val="21"/>
      <w:szCs w:val="24"/>
      <w:lang w:val="en-US" w:eastAsia="zh-CN" w:bidi="ar-SA"/>
    </w:rPr>
  </w:style>
  <w:style w:type="character" w:customStyle="1" w:styleId="101">
    <w:name w:val="页眉 字符"/>
    <w:link w:val="29"/>
    <w:qFormat/>
    <w:uiPriority w:val="99"/>
    <w:rPr>
      <w:rFonts w:eastAsia="宋体"/>
      <w:kern w:val="2"/>
      <w:sz w:val="18"/>
      <w:szCs w:val="18"/>
      <w:lang w:val="en-US" w:eastAsia="zh-CN" w:bidi="ar-SA"/>
    </w:rPr>
  </w:style>
  <w:style w:type="character" w:customStyle="1" w:styleId="102">
    <w:name w:val="正文文本缩进 3 字符"/>
    <w:link w:val="33"/>
    <w:qFormat/>
    <w:uiPriority w:val="0"/>
    <w:rPr>
      <w:rFonts w:ascii="宋体" w:eastAsia="宋体"/>
      <w:b/>
      <w:bCs/>
      <w:kern w:val="2"/>
      <w:sz w:val="24"/>
      <w:szCs w:val="24"/>
      <w:lang w:val="en-US" w:eastAsia="zh-CN" w:bidi="ar-SA"/>
    </w:rPr>
  </w:style>
  <w:style w:type="character" w:customStyle="1" w:styleId="103">
    <w:name w:val="正文文本 2 字符"/>
    <w:link w:val="19"/>
    <w:qFormat/>
    <w:uiPriority w:val="0"/>
    <w:rPr>
      <w:rFonts w:eastAsia="宋体"/>
      <w:kern w:val="2"/>
      <w:sz w:val="24"/>
      <w:szCs w:val="24"/>
      <w:lang w:val="en-US" w:eastAsia="zh-CN" w:bidi="ar-SA"/>
    </w:rPr>
  </w:style>
  <w:style w:type="character" w:customStyle="1" w:styleId="104">
    <w:name w:val="页脚 字符"/>
    <w:link w:val="28"/>
    <w:qFormat/>
    <w:uiPriority w:val="0"/>
    <w:rPr>
      <w:rFonts w:eastAsia="宋体"/>
      <w:kern w:val="2"/>
      <w:sz w:val="18"/>
      <w:szCs w:val="18"/>
      <w:lang w:val="en-US" w:eastAsia="zh-CN" w:bidi="ar-SA"/>
    </w:rPr>
  </w:style>
  <w:style w:type="character" w:customStyle="1" w:styleId="105">
    <w:name w:val="正文文本 3 字符"/>
    <w:link w:val="17"/>
    <w:qFormat/>
    <w:uiPriority w:val="0"/>
    <w:rPr>
      <w:rFonts w:eastAsia="宋体"/>
      <w:kern w:val="2"/>
      <w:sz w:val="16"/>
      <w:szCs w:val="16"/>
      <w:lang w:val="en-US" w:eastAsia="zh-CN" w:bidi="ar-SA"/>
    </w:rPr>
  </w:style>
  <w:style w:type="character" w:customStyle="1" w:styleId="106">
    <w:name w:val="批注框文本 字符"/>
    <w:link w:val="27"/>
    <w:semiHidden/>
    <w:qFormat/>
    <w:uiPriority w:val="99"/>
    <w:rPr>
      <w:rFonts w:eastAsia="宋体"/>
      <w:kern w:val="2"/>
      <w:sz w:val="18"/>
      <w:szCs w:val="18"/>
      <w:lang w:val="en-US" w:eastAsia="zh-CN" w:bidi="ar-SA"/>
    </w:rPr>
  </w:style>
  <w:style w:type="paragraph" w:customStyle="1" w:styleId="107">
    <w:name w:val="样式1"/>
    <w:basedOn w:val="39"/>
    <w:qFormat/>
    <w:uiPriority w:val="0"/>
    <w:pPr>
      <w:spacing w:before="120" w:after="120"/>
    </w:pPr>
    <w:rPr>
      <w:rFonts w:eastAsia="黑体"/>
      <w:b w:val="0"/>
      <w:sz w:val="30"/>
      <w:szCs w:val="21"/>
    </w:rPr>
  </w:style>
  <w:style w:type="paragraph" w:customStyle="1" w:styleId="108">
    <w:name w:val="样式2"/>
    <w:basedOn w:val="39"/>
    <w:next w:val="107"/>
    <w:qFormat/>
    <w:uiPriority w:val="0"/>
    <w:pPr>
      <w:spacing w:before="120" w:after="120"/>
    </w:pPr>
    <w:rPr>
      <w:rFonts w:eastAsia="黑体"/>
      <w:b w:val="0"/>
      <w:sz w:val="30"/>
      <w:szCs w:val="30"/>
    </w:rPr>
  </w:style>
  <w:style w:type="character" w:customStyle="1" w:styleId="109">
    <w:name w:val="标题 3 Char Char"/>
    <w:qFormat/>
    <w:uiPriority w:val="0"/>
    <w:rPr>
      <w:rFonts w:eastAsia="宋体"/>
      <w:b/>
      <w:bCs/>
      <w:kern w:val="2"/>
      <w:sz w:val="32"/>
      <w:szCs w:val="32"/>
      <w:lang w:val="en-US" w:eastAsia="zh-CN" w:bidi="ar-SA"/>
    </w:rPr>
  </w:style>
  <w:style w:type="paragraph" w:customStyle="1" w:styleId="11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2">
    <w:name w:val="--规划正文"/>
    <w:basedOn w:val="1"/>
    <w:qFormat/>
    <w:uiPriority w:val="0"/>
    <w:pPr>
      <w:spacing w:line="360" w:lineRule="auto"/>
      <w:ind w:firstLine="200" w:firstLineChars="200"/>
    </w:pPr>
    <w:rPr>
      <w:szCs w:val="20"/>
    </w:rPr>
  </w:style>
  <w:style w:type="paragraph" w:customStyle="1" w:styleId="113">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5">
    <w:name w:val="样式4"/>
    <w:basedOn w:val="1"/>
    <w:qFormat/>
    <w:uiPriority w:val="0"/>
    <w:pPr>
      <w:tabs>
        <w:tab w:val="left" w:pos="842"/>
      </w:tabs>
      <w:spacing w:line="360" w:lineRule="auto"/>
      <w:ind w:left="842" w:hanging="420"/>
    </w:pPr>
    <w:rPr>
      <w:sz w:val="24"/>
    </w:rPr>
  </w:style>
  <w:style w:type="paragraph" w:customStyle="1" w:styleId="116">
    <w:name w:val="文字"/>
    <w:basedOn w:val="1"/>
    <w:qFormat/>
    <w:uiPriority w:val="0"/>
    <w:pPr>
      <w:tabs>
        <w:tab w:val="left" w:pos="8520"/>
      </w:tabs>
      <w:spacing w:line="312" w:lineRule="auto"/>
      <w:ind w:right="-210" w:firstLine="556"/>
    </w:pPr>
    <w:rPr>
      <w:rFonts w:ascii="宋体"/>
      <w:sz w:val="28"/>
      <w:szCs w:val="20"/>
    </w:rPr>
  </w:style>
  <w:style w:type="paragraph" w:customStyle="1" w:styleId="117">
    <w:name w:val="--规划-表格-居左"/>
    <w:basedOn w:val="112"/>
    <w:qFormat/>
    <w:uiPriority w:val="0"/>
    <w:pPr>
      <w:spacing w:line="240" w:lineRule="auto"/>
      <w:ind w:firstLine="0" w:firstLineChars="0"/>
    </w:pPr>
    <w:rPr>
      <w:sz w:val="20"/>
    </w:rPr>
  </w:style>
  <w:style w:type="paragraph" w:customStyle="1" w:styleId="118">
    <w:name w:val="--规划-表格-居中"/>
    <w:basedOn w:val="112"/>
    <w:qFormat/>
    <w:uiPriority w:val="0"/>
    <w:pPr>
      <w:spacing w:line="240" w:lineRule="auto"/>
      <w:ind w:firstLine="0" w:firstLineChars="0"/>
      <w:jc w:val="center"/>
    </w:pPr>
    <w:rPr>
      <w:sz w:val="20"/>
    </w:rPr>
  </w:style>
  <w:style w:type="paragraph" w:customStyle="1" w:styleId="119">
    <w:name w:val="--编号内缩进"/>
    <w:basedOn w:val="1"/>
    <w:qFormat/>
    <w:uiPriority w:val="0"/>
    <w:pPr>
      <w:spacing w:line="360" w:lineRule="auto"/>
      <w:ind w:left="420" w:firstLine="200" w:firstLineChars="200"/>
    </w:pPr>
    <w:rPr>
      <w:szCs w:val="21"/>
    </w:rPr>
  </w:style>
  <w:style w:type="paragraph" w:customStyle="1" w:styleId="120">
    <w:name w:val="--规划-题注"/>
    <w:basedOn w:val="1"/>
    <w:next w:val="112"/>
    <w:qFormat/>
    <w:uiPriority w:val="0"/>
    <w:pPr>
      <w:spacing w:line="360" w:lineRule="auto"/>
      <w:jc w:val="center"/>
    </w:pPr>
    <w:rPr>
      <w:rFonts w:eastAsia="黑体"/>
    </w:rPr>
  </w:style>
  <w:style w:type="paragraph" w:customStyle="1" w:styleId="121">
    <w:name w:val="--规划-图和表"/>
    <w:next w:val="112"/>
    <w:qFormat/>
    <w:uiPriority w:val="0"/>
    <w:pPr>
      <w:jc w:val="center"/>
    </w:pPr>
    <w:rPr>
      <w:rFonts w:ascii="Times New Roman" w:hAnsi="Times New Roman" w:eastAsia="宋体" w:cs="Times New Roman"/>
      <w:kern w:val="2"/>
      <w:sz w:val="21"/>
      <w:lang w:val="en-US" w:eastAsia="zh-CN" w:bidi="ar-SA"/>
    </w:rPr>
  </w:style>
  <w:style w:type="paragraph" w:customStyle="1" w:styleId="122">
    <w:name w:val="--规划-小标题"/>
    <w:basedOn w:val="1"/>
    <w:next w:val="112"/>
    <w:qFormat/>
    <w:uiPriority w:val="0"/>
    <w:pPr>
      <w:keepNext/>
      <w:keepLines/>
      <w:spacing w:line="360" w:lineRule="auto"/>
      <w:outlineLvl w:val="4"/>
    </w:pPr>
    <w:rPr>
      <w:rFonts w:eastAsia="黑体"/>
    </w:rPr>
  </w:style>
  <w:style w:type="paragraph" w:customStyle="1" w:styleId="123">
    <w:name w:val="--规划正文 Char"/>
    <w:basedOn w:val="1"/>
    <w:qFormat/>
    <w:uiPriority w:val="0"/>
    <w:pPr>
      <w:spacing w:line="360" w:lineRule="auto"/>
      <w:ind w:firstLine="200" w:firstLineChars="200"/>
    </w:pPr>
    <w:rPr>
      <w:sz w:val="24"/>
    </w:rPr>
  </w:style>
  <w:style w:type="paragraph" w:customStyle="1" w:styleId="124">
    <w:name w:val="缺省文本"/>
    <w:basedOn w:val="1"/>
    <w:qFormat/>
    <w:uiPriority w:val="0"/>
    <w:pPr>
      <w:autoSpaceDE w:val="0"/>
      <w:autoSpaceDN w:val="0"/>
      <w:adjustRightInd w:val="0"/>
      <w:jc w:val="left"/>
    </w:pPr>
    <w:rPr>
      <w:kern w:val="0"/>
    </w:rPr>
  </w:style>
  <w:style w:type="paragraph" w:customStyle="1" w:styleId="12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6">
    <w:name w:val="--规划正文 Char Char"/>
    <w:qFormat/>
    <w:uiPriority w:val="0"/>
    <w:rPr>
      <w:rFonts w:eastAsia="宋体"/>
      <w:kern w:val="2"/>
      <w:sz w:val="24"/>
      <w:szCs w:val="24"/>
      <w:lang w:val="en-US" w:eastAsia="zh-CN" w:bidi="ar-SA"/>
    </w:rPr>
  </w:style>
  <w:style w:type="paragraph" w:customStyle="1" w:styleId="127">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8">
    <w:name w:val="--规划正文 Char1"/>
    <w:qFormat/>
    <w:uiPriority w:val="0"/>
    <w:rPr>
      <w:rFonts w:eastAsia="宋体"/>
      <w:kern w:val="2"/>
      <w:sz w:val="21"/>
      <w:lang w:val="en-US" w:eastAsia="zh-CN" w:bidi="ar-SA"/>
    </w:rPr>
  </w:style>
  <w:style w:type="paragraph" w:customStyle="1" w:styleId="12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0">
    <w:name w:val="列表项目"/>
    <w:basedOn w:val="1"/>
    <w:qFormat/>
    <w:uiPriority w:val="0"/>
    <w:pPr>
      <w:tabs>
        <w:tab w:val="left" w:pos="420"/>
        <w:tab w:val="left" w:pos="1080"/>
      </w:tabs>
      <w:spacing w:line="288" w:lineRule="auto"/>
      <w:ind w:left="1080" w:hanging="360"/>
    </w:pPr>
    <w:rPr>
      <w:sz w:val="24"/>
      <w:szCs w:val="20"/>
    </w:rPr>
  </w:style>
  <w:style w:type="character" w:customStyle="1" w:styleId="131">
    <w:name w:val="content1"/>
    <w:qFormat/>
    <w:uiPriority w:val="0"/>
    <w:rPr>
      <w:rFonts w:hint="default" w:ascii="??" w:hAnsi="??"/>
      <w:sz w:val="16"/>
      <w:szCs w:val="16"/>
      <w:u w:val="none"/>
    </w:rPr>
  </w:style>
  <w:style w:type="character" w:customStyle="1" w:styleId="132">
    <w:name w:val="unnamed4"/>
    <w:basedOn w:val="44"/>
    <w:qFormat/>
    <w:uiPriority w:val="0"/>
  </w:style>
  <w:style w:type="character" w:customStyle="1" w:styleId="133">
    <w:name w:val="font2"/>
    <w:basedOn w:val="44"/>
    <w:qFormat/>
    <w:uiPriority w:val="0"/>
  </w:style>
  <w:style w:type="character" w:customStyle="1" w:styleId="134">
    <w:name w:val="font41"/>
    <w:qFormat/>
    <w:uiPriority w:val="0"/>
    <w:rPr>
      <w:color w:val="000000"/>
      <w:spacing w:val="260"/>
      <w:sz w:val="18"/>
      <w:szCs w:val="18"/>
      <w:u w:val="none"/>
    </w:rPr>
  </w:style>
  <w:style w:type="paragraph" w:customStyle="1" w:styleId="13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7">
    <w:name w:val="正文首行缩进 字符"/>
    <w:link w:val="41"/>
    <w:qFormat/>
    <w:uiPriority w:val="0"/>
    <w:rPr>
      <w:rFonts w:eastAsia="宋体"/>
      <w:b/>
      <w:bCs/>
      <w:kern w:val="2"/>
      <w:sz w:val="21"/>
      <w:szCs w:val="24"/>
      <w:lang w:val="en-US" w:eastAsia="zh-CN" w:bidi="ar-SA"/>
    </w:rPr>
  </w:style>
  <w:style w:type="paragraph" w:customStyle="1" w:styleId="13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1">
    <w:name w:val="mode"/>
    <w:basedOn w:val="44"/>
    <w:qFormat/>
    <w:uiPriority w:val="0"/>
  </w:style>
  <w:style w:type="paragraph" w:customStyle="1" w:styleId="142">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3">
    <w:name w:val="unnamed3"/>
    <w:basedOn w:val="44"/>
    <w:qFormat/>
    <w:uiPriority w:val="0"/>
  </w:style>
  <w:style w:type="paragraph" w:customStyle="1" w:styleId="144">
    <w:name w:val="8"/>
    <w:basedOn w:val="1"/>
    <w:next w:val="20"/>
    <w:qFormat/>
    <w:uiPriority w:val="0"/>
    <w:pPr>
      <w:spacing w:after="120"/>
      <w:ind w:left="420" w:leftChars="200"/>
    </w:pPr>
  </w:style>
  <w:style w:type="paragraph" w:customStyle="1" w:styleId="14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7">
    <w:name w:val="5"/>
    <w:basedOn w:val="1"/>
    <w:qFormat/>
    <w:uiPriority w:val="0"/>
    <w:pPr>
      <w:autoSpaceDE w:val="0"/>
      <w:autoSpaceDN w:val="0"/>
      <w:adjustRightInd w:val="0"/>
      <w:jc w:val="left"/>
    </w:pPr>
    <w:rPr>
      <w:rFonts w:ascii="宋体"/>
      <w:b/>
      <w:bCs/>
      <w:kern w:val="0"/>
      <w:sz w:val="18"/>
      <w:szCs w:val="18"/>
    </w:rPr>
  </w:style>
  <w:style w:type="paragraph" w:customStyle="1" w:styleId="148">
    <w:name w:val="6"/>
    <w:basedOn w:val="147"/>
    <w:qFormat/>
    <w:uiPriority w:val="0"/>
    <w:pPr>
      <w:spacing w:line="270" w:lineRule="atLeast"/>
      <w:jc w:val="both"/>
    </w:pPr>
    <w:rPr>
      <w:b w:val="0"/>
      <w:bCs w:val="0"/>
    </w:rPr>
  </w:style>
  <w:style w:type="paragraph" w:customStyle="1" w:styleId="14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0">
    <w:name w:val="姜文清定义的正文"/>
    <w:basedOn w:val="1"/>
    <w:qFormat/>
    <w:uiPriority w:val="0"/>
    <w:pPr>
      <w:spacing w:line="240" w:lineRule="atLeast"/>
      <w:ind w:firstLine="567"/>
    </w:pPr>
    <w:rPr>
      <w:szCs w:val="20"/>
    </w:rPr>
  </w:style>
  <w:style w:type="paragraph" w:customStyle="1" w:styleId="15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2">
    <w:name w:val="CM2"/>
    <w:basedOn w:val="151"/>
    <w:next w:val="151"/>
    <w:qFormat/>
    <w:uiPriority w:val="0"/>
    <w:pPr>
      <w:spacing w:line="200" w:lineRule="atLeast"/>
    </w:pPr>
    <w:rPr>
      <w:rFonts w:ascii="Arial" w:hAnsi="Arial" w:eastAsia="宋体" w:cs="Times New Roman"/>
      <w:color w:val="auto"/>
    </w:rPr>
  </w:style>
  <w:style w:type="paragraph" w:customStyle="1" w:styleId="153">
    <w:name w:val="Normal Paragraph"/>
    <w:basedOn w:val="1"/>
    <w:qFormat/>
    <w:uiPriority w:val="0"/>
    <w:pPr>
      <w:widowControl/>
      <w:spacing w:before="120" w:line="360" w:lineRule="auto"/>
      <w:ind w:firstLine="425"/>
    </w:pPr>
    <w:rPr>
      <w:kern w:val="0"/>
      <w:sz w:val="24"/>
    </w:rPr>
  </w:style>
  <w:style w:type="character" w:customStyle="1" w:styleId="154">
    <w:name w:val="blue"/>
    <w:basedOn w:val="44"/>
    <w:qFormat/>
    <w:uiPriority w:val="0"/>
  </w:style>
  <w:style w:type="paragraph" w:customStyle="1" w:styleId="15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6">
    <w:name w:val="font"/>
    <w:basedOn w:val="44"/>
    <w:qFormat/>
    <w:uiPriority w:val="0"/>
  </w:style>
  <w:style w:type="character" w:customStyle="1" w:styleId="157">
    <w:name w:val="font11"/>
    <w:qFormat/>
    <w:uiPriority w:val="0"/>
    <w:rPr>
      <w:rFonts w:hint="default" w:ascii="ˎ̥" w:hAnsi="ˎ̥"/>
    </w:rPr>
  </w:style>
  <w:style w:type="paragraph" w:customStyle="1" w:styleId="15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9">
    <w:name w:val="proddescription"/>
    <w:basedOn w:val="44"/>
    <w:qFormat/>
    <w:uiPriority w:val="0"/>
  </w:style>
  <w:style w:type="character" w:customStyle="1" w:styleId="160">
    <w:name w:val="prodheadlines"/>
    <w:basedOn w:val="44"/>
    <w:qFormat/>
    <w:uiPriority w:val="0"/>
  </w:style>
  <w:style w:type="character" w:customStyle="1" w:styleId="161">
    <w:name w:val="text"/>
    <w:basedOn w:val="44"/>
    <w:qFormat/>
    <w:uiPriority w:val="0"/>
  </w:style>
  <w:style w:type="paragraph" w:customStyle="1" w:styleId="16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7">
    <w:name w:val="段落正文"/>
    <w:basedOn w:val="23"/>
    <w:qFormat/>
    <w:uiPriority w:val="0"/>
    <w:pPr>
      <w:ind w:firstLine="560" w:firstLineChars="200"/>
    </w:pPr>
    <w:rPr>
      <w:sz w:val="28"/>
    </w:rPr>
  </w:style>
  <w:style w:type="character" w:customStyle="1" w:styleId="168">
    <w:name w:val="gray6"/>
    <w:basedOn w:val="44"/>
    <w:qFormat/>
    <w:uiPriority w:val="0"/>
  </w:style>
  <w:style w:type="character" w:customStyle="1" w:styleId="169">
    <w:name w:val="style9"/>
    <w:basedOn w:val="44"/>
    <w:qFormat/>
    <w:uiPriority w:val="0"/>
  </w:style>
  <w:style w:type="paragraph" w:customStyle="1" w:styleId="17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1">
    <w:name w:val="grame"/>
    <w:basedOn w:val="44"/>
    <w:qFormat/>
    <w:uiPriority w:val="0"/>
  </w:style>
  <w:style w:type="paragraph" w:customStyle="1" w:styleId="17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Char1"/>
    <w:basedOn w:val="1"/>
    <w:qFormat/>
    <w:uiPriority w:val="0"/>
    <w:pPr>
      <w:jc w:val="left"/>
    </w:pPr>
    <w:rPr>
      <w:rFonts w:ascii="Tahoma" w:hAnsi="Tahoma"/>
      <w:sz w:val="24"/>
      <w:szCs w:val="20"/>
    </w:rPr>
  </w:style>
  <w:style w:type="paragraph" w:customStyle="1" w:styleId="17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1">
    <w:name w:val="表格字"/>
    <w:basedOn w:val="1"/>
    <w:qFormat/>
    <w:uiPriority w:val="0"/>
    <w:pPr>
      <w:adjustRightInd w:val="0"/>
      <w:jc w:val="center"/>
    </w:pPr>
    <w:rPr>
      <w:rFonts w:ascii="宋体"/>
      <w:sz w:val="24"/>
      <w:szCs w:val="20"/>
    </w:rPr>
  </w:style>
  <w:style w:type="character" w:customStyle="1" w:styleId="182">
    <w:name w:val="样式 小三 加粗"/>
    <w:qFormat/>
    <w:uiPriority w:val="0"/>
    <w:rPr>
      <w:rFonts w:eastAsia="宋体"/>
      <w:b/>
      <w:bCs/>
      <w:sz w:val="32"/>
    </w:rPr>
  </w:style>
  <w:style w:type="paragraph" w:customStyle="1" w:styleId="1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5">
    <w:name w:val="Char Char Char"/>
    <w:basedOn w:val="1"/>
    <w:qFormat/>
    <w:uiPriority w:val="0"/>
    <w:rPr>
      <w:rFonts w:ascii="Tahoma" w:hAnsi="Tahoma"/>
      <w:sz w:val="24"/>
      <w:szCs w:val="20"/>
    </w:rPr>
  </w:style>
  <w:style w:type="paragraph" w:customStyle="1" w:styleId="18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7">
    <w:name w:val="info4"/>
    <w:basedOn w:val="44"/>
    <w:qFormat/>
    <w:uiPriority w:val="0"/>
  </w:style>
  <w:style w:type="paragraph" w:customStyle="1" w:styleId="188">
    <w:name w:val="缩进正文"/>
    <w:basedOn w:val="1"/>
    <w:link w:val="189"/>
    <w:qFormat/>
    <w:uiPriority w:val="0"/>
    <w:pPr>
      <w:ind w:firstLine="560" w:firstLineChars="200"/>
    </w:pPr>
    <w:rPr>
      <w:rFonts w:eastAsia="仿宋_GB2312" w:cs="宋体"/>
      <w:sz w:val="28"/>
      <w:szCs w:val="20"/>
    </w:rPr>
  </w:style>
  <w:style w:type="character" w:customStyle="1" w:styleId="189">
    <w:name w:val="缩进正文 Char"/>
    <w:link w:val="188"/>
    <w:qFormat/>
    <w:uiPriority w:val="0"/>
    <w:rPr>
      <w:rFonts w:eastAsia="仿宋_GB2312" w:cs="宋体"/>
      <w:kern w:val="2"/>
      <w:sz w:val="28"/>
      <w:lang w:val="en-US" w:eastAsia="zh-CN" w:bidi="ar-SA"/>
    </w:rPr>
  </w:style>
  <w:style w:type="paragraph" w:customStyle="1" w:styleId="190">
    <w:name w:val="列出段落1"/>
    <w:basedOn w:val="1"/>
    <w:qFormat/>
    <w:uiPriority w:val="0"/>
    <w:pPr>
      <w:ind w:firstLine="420" w:firstLineChars="200"/>
    </w:pPr>
    <w:rPr>
      <w:rFonts w:ascii="Calibri" w:hAnsi="Calibri" w:cs="Calibri"/>
      <w:szCs w:val="21"/>
    </w:rPr>
  </w:style>
  <w:style w:type="character" w:customStyle="1" w:styleId="191">
    <w:name w:val="批注文字 字符"/>
    <w:basedOn w:val="44"/>
    <w:link w:val="16"/>
    <w:qFormat/>
    <w:uiPriority w:val="99"/>
    <w:rPr>
      <w:rFonts w:ascii="宋体"/>
      <w:sz w:val="34"/>
    </w:rPr>
  </w:style>
  <w:style w:type="character" w:customStyle="1" w:styleId="192">
    <w:name w:val="批注主题 字符"/>
    <w:basedOn w:val="191"/>
    <w:link w:val="40"/>
    <w:qFormat/>
    <w:uiPriority w:val="99"/>
    <w:rPr>
      <w:rFonts w:ascii="宋体"/>
      <w:sz w:val="34"/>
    </w:rPr>
  </w:style>
  <w:style w:type="paragraph" w:customStyle="1" w:styleId="193">
    <w:name w:val="评价"/>
    <w:basedOn w:val="1"/>
    <w:qFormat/>
    <w:uiPriority w:val="0"/>
    <w:pPr>
      <w:spacing w:afterLines="20"/>
      <w:ind w:firstLine="1446" w:firstLineChars="200"/>
    </w:pPr>
    <w:rPr>
      <w:rFonts w:ascii="Calibri" w:hAnsi="Calibri"/>
      <w:sz w:val="24"/>
    </w:rPr>
  </w:style>
  <w:style w:type="paragraph" w:customStyle="1" w:styleId="19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5">
    <w:name w:val="alt-edited1"/>
    <w:qFormat/>
    <w:uiPriority w:val="0"/>
    <w:rPr>
      <w:color w:val="4D90F0"/>
    </w:rPr>
  </w:style>
  <w:style w:type="character" w:customStyle="1" w:styleId="196">
    <w:name w:val="body text Char1"/>
    <w:qFormat/>
    <w:uiPriority w:val="0"/>
    <w:rPr>
      <w:rFonts w:eastAsia="宋体"/>
      <w:kern w:val="2"/>
      <w:sz w:val="21"/>
      <w:lang w:val="en-US" w:eastAsia="zh-CN" w:bidi="ar-SA"/>
    </w:rPr>
  </w:style>
  <w:style w:type="character" w:customStyle="1" w:styleId="197">
    <w:name w:val="普通(网站) 字符"/>
    <w:link w:val="37"/>
    <w:qFormat/>
    <w:uiPriority w:val="0"/>
    <w:rPr>
      <w:kern w:val="2"/>
      <w:sz w:val="24"/>
      <w:szCs w:val="24"/>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table" w:customStyle="1" w:styleId="20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1">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202">
    <w:name w:val="hover"/>
    <w:basedOn w:val="44"/>
    <w:qFormat/>
    <w:uiPriority w:val="0"/>
    <w:rPr>
      <w:color w:val="28BFA6"/>
    </w:rPr>
  </w:style>
  <w:style w:type="character" w:customStyle="1" w:styleId="203">
    <w:name w:val="hover1"/>
    <w:basedOn w:val="44"/>
    <w:qFormat/>
    <w:uiPriority w:val="0"/>
    <w:rPr>
      <w:color w:val="28BFA6"/>
    </w:rPr>
  </w:style>
  <w:style w:type="character" w:customStyle="1" w:styleId="204">
    <w:name w:val="hover2"/>
    <w:basedOn w:val="44"/>
    <w:qFormat/>
    <w:uiPriority w:val="0"/>
  </w:style>
  <w:style w:type="character" w:customStyle="1" w:styleId="205">
    <w:name w:val="hover3"/>
    <w:basedOn w:val="44"/>
    <w:qFormat/>
    <w:uiPriority w:val="0"/>
    <w:rPr>
      <w:color w:val="28BFA6"/>
      <w:shd w:val="clear" w:color="auto" w:fill="EAF9F6"/>
    </w:rPr>
  </w:style>
  <w:style w:type="character" w:customStyle="1" w:styleId="206">
    <w:name w:val="mini-outputtext1"/>
    <w:basedOn w:val="44"/>
    <w:qFormat/>
    <w:uiPriority w:val="0"/>
  </w:style>
  <w:style w:type="character" w:customStyle="1" w:styleId="207">
    <w:name w:val="hover4"/>
    <w:basedOn w:val="44"/>
    <w:qFormat/>
    <w:uiPriority w:val="0"/>
    <w:rPr>
      <w:color w:val="2590EB"/>
      <w:shd w:val="clear" w:color="auto" w:fill="E9F4FD"/>
    </w:rPr>
  </w:style>
  <w:style w:type="paragraph" w:customStyle="1" w:styleId="208">
    <w:name w:val="_Style 1"/>
    <w:basedOn w:val="1"/>
    <w:qFormat/>
    <w:uiPriority w:val="34"/>
    <w:pPr>
      <w:ind w:firstLine="420" w:firstLineChars="200"/>
    </w:pPr>
    <w:rPr>
      <w:rFonts w:ascii="Calibri" w:hAnsi="Calibri"/>
      <w:szCs w:val="22"/>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97</Pages>
  <Words>13897</Words>
  <Characters>14674</Characters>
  <Lines>695</Lines>
  <Paragraphs>195</Paragraphs>
  <TotalTime>10</TotalTime>
  <ScaleCrop>false</ScaleCrop>
  <LinksUpToDate>false</LinksUpToDate>
  <CharactersWithSpaces>14764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2026-07-17T03:37:00Z</dcterms:created>
  <dc:creator>thsware</dc:creator>
  <cp:lastModifiedBy>lhh--</cp:lastModifiedBy>
  <cp:lastPrinted>2021-05-09T08:02:00Z</cp:lastPrinted>
  <dcterms:modified xsi:type="dcterms:W3CDTF">2026-07-28T11:24:24Z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9F2A35C2759D4D8A80896F54538E8D3B_13</vt:lpwstr>
  </property>
  <property fmtid="{D5CDD505-2E9C-101B-9397-08002B2CF9AE}" pid="4" name="KSOTemplateDocerSaveRecord">
    <vt:lpwstr>eyJoZGlkIjoiMGJlMDg3MWEzMzBiNjNjMDYwNDk1NjRjYjRlNDJjOTIiLCJ1c2VySWQiOiIyNzIwNTUxMjEifQ==</vt:lpwstr>
  </property>
</Properties>
</file>